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DCA" w:rsidRDefault="006B5DCA" w:rsidP="006B5DCA">
      <w:pPr>
        <w:pStyle w:val="NoSpacing"/>
        <w:rPr>
          <w:lang w:val="en-AU" w:eastAsia="en-AU"/>
        </w:rPr>
      </w:pPr>
      <w:bookmarkStart w:id="0" w:name="_GoBack"/>
      <w:bookmarkEnd w:id="0"/>
    </w:p>
    <w:p w:rsidR="00A67649" w:rsidRPr="00665BFB" w:rsidRDefault="001F090B" w:rsidP="006B5DCA">
      <w:pPr>
        <w:pStyle w:val="NoSpacing"/>
        <w:rPr>
          <w:rFonts w:asciiTheme="minorHAnsi" w:hAnsiTheme="minorHAnsi"/>
        </w:rPr>
      </w:pPr>
      <w:r w:rsidRPr="00665BFB">
        <w:rPr>
          <w:noProof/>
          <w:lang w:val="en-AU" w:eastAsia="en-AU"/>
        </w:rPr>
        <mc:AlternateContent>
          <mc:Choice Requires="wps">
            <w:drawing>
              <wp:anchor distT="0" distB="0" distL="114300" distR="114300" simplePos="0" relativeHeight="251662336" behindDoc="0" locked="0" layoutInCell="1" allowOverlap="1" wp14:anchorId="3A39F9D0" wp14:editId="5D31833E">
                <wp:simplePos x="0" y="0"/>
                <wp:positionH relativeFrom="column">
                  <wp:posOffset>3453765</wp:posOffset>
                </wp:positionH>
                <wp:positionV relativeFrom="paragraph">
                  <wp:posOffset>-453390</wp:posOffset>
                </wp:positionV>
                <wp:extent cx="2360930" cy="605155"/>
                <wp:effectExtent l="0" t="0" r="127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05155"/>
                        </a:xfrm>
                        <a:prstGeom prst="rect">
                          <a:avLst/>
                        </a:prstGeom>
                        <a:noFill/>
                        <a:ln w="9525">
                          <a:noFill/>
                          <a:miter lim="800000"/>
                          <a:headEnd/>
                          <a:tailEnd/>
                        </a:ln>
                      </wps:spPr>
                      <wps:txbx>
                        <w:txbxContent>
                          <w:p w:rsidR="006B5DCA" w:rsidRPr="000A740C" w:rsidRDefault="006B5DCA" w:rsidP="00A67649">
                            <w:pPr>
                              <w:pStyle w:val="NoSpacing"/>
                              <w:jc w:val="right"/>
                              <w:rPr>
                                <w:szCs w:val="22"/>
                              </w:rPr>
                            </w:pPr>
                            <w:r w:rsidRPr="000A740C">
                              <w:rPr>
                                <w:szCs w:val="22"/>
                              </w:rPr>
                              <w:t>cohealth</w:t>
                            </w:r>
                          </w:p>
                          <w:p w:rsidR="006B5DCA" w:rsidRPr="000A740C" w:rsidRDefault="006B5DCA" w:rsidP="00A67649">
                            <w:pPr>
                              <w:pStyle w:val="NoSpacing"/>
                              <w:jc w:val="right"/>
                              <w:rPr>
                                <w:szCs w:val="22"/>
                              </w:rPr>
                            </w:pPr>
                            <w:r w:rsidRPr="000A740C">
                              <w:rPr>
                                <w:szCs w:val="22"/>
                              </w:rPr>
                              <w:t>365 Hoddle Street</w:t>
                            </w:r>
                          </w:p>
                          <w:p w:rsidR="006B5DCA" w:rsidRPr="000A740C" w:rsidRDefault="006B5DCA" w:rsidP="00A67649">
                            <w:pPr>
                              <w:pStyle w:val="NoSpacing"/>
                              <w:jc w:val="right"/>
                              <w:rPr>
                                <w:szCs w:val="22"/>
                              </w:rPr>
                            </w:pPr>
                            <w:r w:rsidRPr="000A740C">
                              <w:rPr>
                                <w:szCs w:val="22"/>
                              </w:rPr>
                              <w:t>Collingwood, Vic. 3066</w:t>
                            </w:r>
                          </w:p>
                        </w:txbxContent>
                      </wps:txbx>
                      <wps:bodyPr rot="0" vert="horz" wrap="square" lIns="91440" tIns="45720" rIns="0" bIns="45720" anchor="t" anchorCtr="0">
                        <a:spAutoFit/>
                      </wps:bodyPr>
                    </wps:wsp>
                  </a:graphicData>
                </a:graphic>
                <wp14:sizeRelH relativeFrom="page">
                  <wp14:pctWidth>0</wp14:pctWidth>
                </wp14:sizeRelH>
                <wp14:sizeRelV relativeFrom="page">
                  <wp14:pctHeight>0</wp14:pctHeight>
                </wp14:sizeRelV>
              </wp:anchor>
            </w:drawing>
          </mc:Choice>
          <mc:Fallback>
            <w:pict>
              <v:shapetype w14:anchorId="3A39F9D0" id="_x0000_t202" coordsize="21600,21600" o:spt="202" path="m,l,21600r21600,l21600,xe">
                <v:stroke joinstyle="miter"/>
                <v:path gradientshapeok="t" o:connecttype="rect"/>
              </v:shapetype>
              <v:shape id="Text Box 2" o:spid="_x0000_s1026" type="#_x0000_t202" style="position:absolute;margin-left:271.95pt;margin-top:-35.7pt;width:185.9pt;height:4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" filled="f" stroked="f">
                <v:textbox style="mso-fit-shape-to-text:t" inset=",,0">
                  <w:txbxContent>
                    <w:p w:rsidR="006B5DCA" w:rsidRPr="000A740C" w:rsidRDefault="006B5DCA" w:rsidP="00A67649">
                      <w:pPr>
                        <w:pStyle w:val="NoSpacing"/>
                        <w:jc w:val="right"/>
                        <w:rPr>
                          <w:szCs w:val="22"/>
                        </w:rPr>
                      </w:pPr>
                      <w:r w:rsidRPr="000A740C">
                        <w:rPr>
                          <w:szCs w:val="22"/>
                        </w:rPr>
                        <w:t>cohealth</w:t>
                      </w:r>
                    </w:p>
                    <w:p w:rsidR="006B5DCA" w:rsidRPr="000A740C" w:rsidRDefault="006B5DCA" w:rsidP="00A67649">
                      <w:pPr>
                        <w:pStyle w:val="NoSpacing"/>
                        <w:jc w:val="right"/>
                        <w:rPr>
                          <w:szCs w:val="22"/>
                        </w:rPr>
                      </w:pPr>
                      <w:r w:rsidRPr="000A740C">
                        <w:rPr>
                          <w:szCs w:val="22"/>
                        </w:rPr>
                        <w:t>365 Hoddle Street</w:t>
                      </w:r>
                    </w:p>
                    <w:p w:rsidR="006B5DCA" w:rsidRPr="000A740C" w:rsidRDefault="006B5DCA" w:rsidP="00A67649">
                      <w:pPr>
                        <w:pStyle w:val="NoSpacing"/>
                        <w:jc w:val="right"/>
                        <w:rPr>
                          <w:szCs w:val="22"/>
                        </w:rPr>
                      </w:pPr>
                      <w:r w:rsidRPr="000A740C">
                        <w:rPr>
                          <w:szCs w:val="22"/>
                        </w:rPr>
                        <w:t>Collingwood, Vic. 3066</w:t>
                      </w:r>
                    </w:p>
                  </w:txbxContent>
                </v:textbox>
                <w10:wrap type="square"/>
              </v:shape>
            </w:pict>
          </mc:Fallback>
        </mc:AlternateContent>
      </w:r>
      <w:r w:rsidR="00665BFB" w:rsidRPr="00665BFB">
        <w:rPr>
          <w:lang w:val="en-AU" w:eastAsia="en-AU"/>
        </w:rPr>
        <w:t>12</w:t>
      </w:r>
      <w:r w:rsidR="00665BFB" w:rsidRPr="00665BFB">
        <w:rPr>
          <w:vertAlign w:val="superscript"/>
          <w:lang w:val="en-AU" w:eastAsia="en-AU"/>
        </w:rPr>
        <w:t>th</w:t>
      </w:r>
      <w:r w:rsidR="00665BFB" w:rsidRPr="00665BFB">
        <w:rPr>
          <w:lang w:val="en-AU" w:eastAsia="en-AU"/>
        </w:rPr>
        <w:t xml:space="preserve"> July</w:t>
      </w:r>
      <w:r w:rsidR="003A5216" w:rsidRPr="00665BFB">
        <w:rPr>
          <w:rFonts w:asciiTheme="minorHAnsi" w:hAnsiTheme="minorHAnsi"/>
        </w:rPr>
        <w:t xml:space="preserve"> 2017</w:t>
      </w:r>
    </w:p>
    <w:p w:rsidR="006B5DCA" w:rsidRDefault="006B5DCA" w:rsidP="006B5DCA">
      <w:pPr>
        <w:pStyle w:val="NoSpacing"/>
      </w:pPr>
    </w:p>
    <w:p w:rsidR="006B5DCA" w:rsidRDefault="006B5DCA" w:rsidP="006B5DCA">
      <w:pPr>
        <w:pStyle w:val="NoSpacing"/>
      </w:pPr>
      <w:r w:rsidRPr="006B5DCA">
        <w:t>National Disability Insurance Scheme (NDIS) Costs study</w:t>
      </w:r>
    </w:p>
    <w:p w:rsidR="00643D0F" w:rsidRPr="005E44A3" w:rsidRDefault="00D32C91" w:rsidP="001F090B">
      <w:pPr>
        <w:rPr>
          <w:rFonts w:asciiTheme="minorHAnsi" w:hAnsiTheme="minorHAnsi" w:cs="Arial"/>
          <w:color w:val="1A1A1A"/>
          <w:sz w:val="20"/>
          <w:szCs w:val="20"/>
        </w:rPr>
      </w:pPr>
      <w:r w:rsidRPr="005E44A3">
        <w:rPr>
          <w:rFonts w:asciiTheme="minorHAnsi" w:hAnsiTheme="minorHAnsi" w:cs="Arial"/>
          <w:color w:val="1A1A1A"/>
          <w:sz w:val="20"/>
          <w:szCs w:val="20"/>
        </w:rPr>
        <w:t>Productivity Commission</w:t>
      </w:r>
      <w:r w:rsidRPr="005E44A3">
        <w:rPr>
          <w:rFonts w:asciiTheme="minorHAnsi" w:hAnsiTheme="minorHAnsi" w:cs="Arial"/>
          <w:color w:val="1A1A1A"/>
          <w:sz w:val="20"/>
          <w:szCs w:val="20"/>
        </w:rPr>
        <w:br/>
        <w:t>GPO Box 1428</w:t>
      </w:r>
      <w:r w:rsidR="003A5216" w:rsidRPr="005E44A3">
        <w:rPr>
          <w:rFonts w:asciiTheme="minorHAnsi" w:hAnsiTheme="minorHAnsi" w:cs="Arial"/>
          <w:color w:val="1A1A1A"/>
          <w:sz w:val="20"/>
          <w:szCs w:val="20"/>
          <w:lang w:val="en"/>
        </w:rPr>
        <w:br/>
      </w:r>
      <w:r w:rsidRPr="005E44A3">
        <w:rPr>
          <w:rFonts w:asciiTheme="minorHAnsi" w:hAnsiTheme="minorHAnsi" w:cs="Arial"/>
          <w:color w:val="1A1A1A"/>
          <w:sz w:val="20"/>
          <w:szCs w:val="20"/>
          <w:lang w:val="en"/>
        </w:rPr>
        <w:t>Barton</w:t>
      </w:r>
      <w:r w:rsidR="003A5216" w:rsidRPr="005E44A3">
        <w:rPr>
          <w:rFonts w:asciiTheme="minorHAnsi" w:hAnsiTheme="minorHAnsi" w:cs="Arial"/>
          <w:color w:val="1A1A1A"/>
          <w:sz w:val="20"/>
          <w:szCs w:val="20"/>
          <w:lang w:val="en"/>
        </w:rPr>
        <w:t xml:space="preserve"> ACT 2600</w:t>
      </w:r>
    </w:p>
    <w:p w:rsidR="009E1A68" w:rsidRPr="005E44A3" w:rsidRDefault="009E1A68" w:rsidP="009D02D0">
      <w:pPr>
        <w:pStyle w:val="NoSpacing"/>
        <w:rPr>
          <w:rFonts w:asciiTheme="minorHAnsi" w:hAnsiTheme="minorHAnsi"/>
          <w:szCs w:val="20"/>
        </w:rPr>
      </w:pPr>
    </w:p>
    <w:p w:rsidR="00AB7AF4" w:rsidRDefault="00AB7AF4" w:rsidP="009D02D0">
      <w:pPr>
        <w:rPr>
          <w:rFonts w:asciiTheme="minorHAnsi" w:hAnsiTheme="minorHAnsi" w:cs="Arial"/>
          <w:sz w:val="20"/>
          <w:szCs w:val="20"/>
        </w:rPr>
      </w:pPr>
      <w:r w:rsidRPr="005E44A3">
        <w:rPr>
          <w:rFonts w:asciiTheme="minorHAnsi" w:hAnsiTheme="minorHAnsi" w:cs="Arial"/>
          <w:sz w:val="20"/>
          <w:szCs w:val="20"/>
        </w:rPr>
        <w:t xml:space="preserve">Dear </w:t>
      </w:r>
      <w:r w:rsidR="00D32C91" w:rsidRPr="005E44A3">
        <w:rPr>
          <w:rFonts w:asciiTheme="minorHAnsi" w:hAnsiTheme="minorHAnsi" w:cs="Arial"/>
          <w:sz w:val="20"/>
          <w:szCs w:val="20"/>
        </w:rPr>
        <w:t>Commission</w:t>
      </w:r>
      <w:r w:rsidR="000A740C">
        <w:rPr>
          <w:rFonts w:asciiTheme="minorHAnsi" w:hAnsiTheme="minorHAnsi" w:cs="Arial"/>
          <w:sz w:val="20"/>
          <w:szCs w:val="20"/>
        </w:rPr>
        <w:t>er</w:t>
      </w:r>
      <w:r w:rsidR="0024674B">
        <w:rPr>
          <w:rFonts w:asciiTheme="minorHAnsi" w:hAnsiTheme="minorHAnsi" w:cs="Arial"/>
          <w:sz w:val="20"/>
          <w:szCs w:val="20"/>
        </w:rPr>
        <w:t>,</w:t>
      </w:r>
    </w:p>
    <w:p w:rsidR="000A740C" w:rsidRPr="000A740C" w:rsidRDefault="000A740C" w:rsidP="000A740C">
      <w:pPr>
        <w:jc w:val="center"/>
        <w:rPr>
          <w:rFonts w:asciiTheme="minorHAnsi" w:hAnsiTheme="minorHAnsi" w:cs="Arial"/>
          <w:b/>
          <w:sz w:val="20"/>
          <w:szCs w:val="20"/>
        </w:rPr>
      </w:pPr>
      <w:r w:rsidRPr="000A740C">
        <w:rPr>
          <w:rFonts w:asciiTheme="minorHAnsi" w:hAnsiTheme="minorHAnsi" w:cs="Arial"/>
          <w:b/>
          <w:sz w:val="20"/>
          <w:szCs w:val="20"/>
        </w:rPr>
        <w:t>Re: NDIS Costs Position Paper</w:t>
      </w:r>
    </w:p>
    <w:p w:rsidR="0024674B" w:rsidRDefault="00F028C1" w:rsidP="009D02D0">
      <w:pPr>
        <w:rPr>
          <w:rFonts w:asciiTheme="minorHAnsi" w:hAnsiTheme="minorHAnsi"/>
          <w:sz w:val="20"/>
          <w:szCs w:val="20"/>
          <w:lang w:val="en"/>
        </w:rPr>
      </w:pPr>
      <w:r w:rsidRPr="005E44A3">
        <w:rPr>
          <w:rFonts w:asciiTheme="minorHAnsi" w:hAnsiTheme="minorHAnsi" w:cs="Arial"/>
          <w:sz w:val="20"/>
          <w:szCs w:val="20"/>
        </w:rPr>
        <w:t xml:space="preserve">cohealth welcomes the opportunity to </w:t>
      </w:r>
      <w:r w:rsidR="0024674B">
        <w:rPr>
          <w:rFonts w:asciiTheme="minorHAnsi" w:hAnsiTheme="minorHAnsi" w:cs="Arial"/>
          <w:sz w:val="20"/>
          <w:szCs w:val="20"/>
        </w:rPr>
        <w:t>respond</w:t>
      </w:r>
      <w:r w:rsidR="00D32C91" w:rsidRPr="005E44A3">
        <w:rPr>
          <w:rFonts w:asciiTheme="minorHAnsi" w:hAnsiTheme="minorHAnsi" w:cs="Arial"/>
          <w:sz w:val="20"/>
          <w:szCs w:val="20"/>
        </w:rPr>
        <w:t xml:space="preserve"> to the </w:t>
      </w:r>
      <w:r w:rsidR="0024674B">
        <w:rPr>
          <w:rFonts w:asciiTheme="minorHAnsi" w:hAnsiTheme="minorHAnsi" w:cs="Arial"/>
          <w:sz w:val="20"/>
          <w:szCs w:val="20"/>
        </w:rPr>
        <w:t>Position</w:t>
      </w:r>
      <w:r w:rsidR="00D32C91" w:rsidRPr="005E44A3">
        <w:rPr>
          <w:rFonts w:asciiTheme="minorHAnsi" w:hAnsiTheme="minorHAnsi" w:cs="Arial"/>
          <w:sz w:val="20"/>
          <w:szCs w:val="20"/>
        </w:rPr>
        <w:t xml:space="preserve"> Paper on </w:t>
      </w:r>
      <w:r w:rsidR="00D32C91" w:rsidRPr="0024674B">
        <w:rPr>
          <w:rFonts w:asciiTheme="minorHAnsi" w:hAnsiTheme="minorHAnsi" w:cs="Arial"/>
          <w:i/>
          <w:sz w:val="20"/>
          <w:szCs w:val="20"/>
        </w:rPr>
        <w:t>National Disability Insurance Scheme (NDIS) costs</w:t>
      </w:r>
      <w:r w:rsidR="003A5216" w:rsidRPr="005E44A3">
        <w:rPr>
          <w:rFonts w:asciiTheme="minorHAnsi" w:hAnsiTheme="minorHAnsi"/>
          <w:sz w:val="20"/>
          <w:szCs w:val="20"/>
          <w:lang w:val="en"/>
        </w:rPr>
        <w:t xml:space="preserve">.  </w:t>
      </w:r>
      <w:r w:rsidR="0024674B">
        <w:rPr>
          <w:rFonts w:asciiTheme="minorHAnsi" w:hAnsiTheme="minorHAnsi"/>
          <w:sz w:val="20"/>
          <w:szCs w:val="20"/>
          <w:lang w:val="en"/>
        </w:rPr>
        <w:t>cohealth also made a submission in response to the Issues Paper on the same matter</w:t>
      </w:r>
      <w:r w:rsidR="007259B2">
        <w:rPr>
          <w:rFonts w:asciiTheme="minorHAnsi" w:hAnsiTheme="minorHAnsi"/>
          <w:sz w:val="20"/>
          <w:szCs w:val="20"/>
          <w:lang w:val="en"/>
        </w:rPr>
        <w:t xml:space="preserve">, which is available at: </w:t>
      </w:r>
      <w:hyperlink r:id="rId10" w:history="1">
        <w:r w:rsidR="007259B2" w:rsidRPr="00BD03E3">
          <w:rPr>
            <w:rStyle w:val="Hyperlink"/>
            <w:rFonts w:asciiTheme="minorHAnsi" w:hAnsiTheme="minorHAnsi"/>
            <w:sz w:val="20"/>
            <w:szCs w:val="20"/>
            <w:lang w:val="en"/>
          </w:rPr>
          <w:t>http://www.pc.gov.au/inquiries/current/ndis-costs/submissions</w:t>
        </w:r>
      </w:hyperlink>
      <w:r w:rsidR="007259B2">
        <w:rPr>
          <w:rFonts w:asciiTheme="minorHAnsi" w:hAnsiTheme="minorHAnsi"/>
          <w:sz w:val="20"/>
          <w:szCs w:val="20"/>
          <w:lang w:val="en"/>
        </w:rPr>
        <w:t xml:space="preserve"> </w:t>
      </w:r>
      <w:r w:rsidR="0024674B">
        <w:rPr>
          <w:rFonts w:asciiTheme="minorHAnsi" w:hAnsiTheme="minorHAnsi"/>
          <w:sz w:val="20"/>
          <w:szCs w:val="20"/>
          <w:lang w:val="en"/>
        </w:rPr>
        <w:t>.</w:t>
      </w:r>
    </w:p>
    <w:p w:rsidR="0024674B" w:rsidRPr="005E44A3" w:rsidRDefault="0024674B" w:rsidP="0024674B">
      <w:pPr>
        <w:rPr>
          <w:rFonts w:asciiTheme="minorHAnsi" w:hAnsiTheme="minorHAnsi"/>
          <w:sz w:val="20"/>
          <w:szCs w:val="22"/>
        </w:rPr>
      </w:pPr>
      <w:r w:rsidRPr="005E44A3">
        <w:rPr>
          <w:rFonts w:asciiTheme="minorHAnsi" w:hAnsiTheme="minorHAnsi"/>
          <w:sz w:val="20"/>
          <w:szCs w:val="22"/>
        </w:rPr>
        <w:t xml:space="preserve">cohealth is Australia’s largest not-for-profit community health service, operating across 14 local government areas in Victoria. Our mission is to improve health and wellbeing for all, and to tackle inequality and inequity in partnership with people and their communities. </w:t>
      </w:r>
      <w:r>
        <w:rPr>
          <w:rFonts w:asciiTheme="minorHAnsi" w:hAnsiTheme="minorHAnsi"/>
          <w:sz w:val="20"/>
          <w:szCs w:val="22"/>
        </w:rPr>
        <w:t xml:space="preserve">  </w:t>
      </w:r>
      <w:r w:rsidRPr="005E44A3">
        <w:rPr>
          <w:rFonts w:asciiTheme="minorHAnsi" w:hAnsiTheme="minorHAnsi"/>
          <w:sz w:val="20"/>
          <w:szCs w:val="22"/>
        </w:rPr>
        <w:t>cohealth provides integrated medical, dental, allied health, mental health and community support services, and delivers programs to promote community health and wellbeing. Our service delivery model prioritises people who experience social disadvantage and are consequently marginalised from many mainstream health and other services.</w:t>
      </w:r>
    </w:p>
    <w:p w:rsidR="0024674B" w:rsidRPr="005E44A3" w:rsidRDefault="0024674B" w:rsidP="0024674B">
      <w:pPr>
        <w:rPr>
          <w:rFonts w:asciiTheme="minorHAnsi" w:hAnsiTheme="minorHAnsi"/>
          <w:sz w:val="20"/>
          <w:szCs w:val="22"/>
        </w:rPr>
      </w:pPr>
      <w:r w:rsidRPr="005E44A3">
        <w:rPr>
          <w:rFonts w:asciiTheme="minorHAnsi" w:hAnsiTheme="minorHAnsi"/>
          <w:sz w:val="20"/>
          <w:szCs w:val="22"/>
          <w:lang w:val="en"/>
        </w:rPr>
        <w:t>cohealth provides a range of services for people experiencing mental illness, from residential accommodation to community outreach and mentoring to interagency planning coordination</w:t>
      </w:r>
      <w:r>
        <w:rPr>
          <w:rFonts w:asciiTheme="minorHAnsi" w:hAnsiTheme="minorHAnsi"/>
          <w:sz w:val="20"/>
          <w:szCs w:val="20"/>
          <w:lang w:val="en"/>
        </w:rPr>
        <w:t xml:space="preserve">.  </w:t>
      </w:r>
      <w:r w:rsidR="00665BFB">
        <w:rPr>
          <w:rFonts w:asciiTheme="minorHAnsi" w:hAnsiTheme="minorHAnsi"/>
          <w:sz w:val="20"/>
          <w:szCs w:val="22"/>
          <w:lang w:val="en"/>
        </w:rPr>
        <w:t>Our</w:t>
      </w:r>
      <w:r w:rsidRPr="005E44A3">
        <w:rPr>
          <w:rFonts w:asciiTheme="minorHAnsi" w:hAnsiTheme="minorHAnsi"/>
          <w:sz w:val="20"/>
          <w:szCs w:val="22"/>
          <w:lang w:val="en"/>
        </w:rPr>
        <w:t xml:space="preserve"> mental health consumers in the North East Melbourne area </w:t>
      </w:r>
      <w:r>
        <w:rPr>
          <w:rFonts w:asciiTheme="minorHAnsi" w:hAnsiTheme="minorHAnsi"/>
          <w:sz w:val="20"/>
          <w:szCs w:val="22"/>
          <w:lang w:val="en"/>
        </w:rPr>
        <w:t>have recently transitioned</w:t>
      </w:r>
      <w:r w:rsidRPr="005E44A3">
        <w:rPr>
          <w:rFonts w:asciiTheme="minorHAnsi" w:hAnsiTheme="minorHAnsi"/>
          <w:sz w:val="20"/>
          <w:szCs w:val="22"/>
          <w:lang w:val="en"/>
        </w:rPr>
        <w:t xml:space="preserve"> to the NDIS, and our comments in this submission reflect their experiences, along with those of workers and the service system involved. </w:t>
      </w:r>
    </w:p>
    <w:p w:rsidR="00E57C92" w:rsidRDefault="00A20E5E" w:rsidP="009D02D0">
      <w:pPr>
        <w:rPr>
          <w:rFonts w:asciiTheme="minorHAnsi" w:hAnsiTheme="minorHAnsi"/>
          <w:sz w:val="20"/>
          <w:szCs w:val="20"/>
          <w:lang w:val="en"/>
        </w:rPr>
      </w:pPr>
      <w:r>
        <w:rPr>
          <w:rFonts w:asciiTheme="minorHAnsi" w:hAnsiTheme="minorHAnsi"/>
          <w:sz w:val="20"/>
          <w:szCs w:val="20"/>
          <w:lang w:val="en"/>
        </w:rPr>
        <w:t>c</w:t>
      </w:r>
      <w:r w:rsidR="00CE021C">
        <w:rPr>
          <w:rFonts w:asciiTheme="minorHAnsi" w:hAnsiTheme="minorHAnsi"/>
          <w:sz w:val="20"/>
          <w:szCs w:val="20"/>
          <w:lang w:val="en"/>
        </w:rPr>
        <w:t>ohealth</w:t>
      </w:r>
      <w:r w:rsidR="00E57C92">
        <w:rPr>
          <w:rFonts w:asciiTheme="minorHAnsi" w:hAnsiTheme="minorHAnsi"/>
          <w:sz w:val="20"/>
          <w:szCs w:val="20"/>
          <w:lang w:val="en"/>
        </w:rPr>
        <w:t xml:space="preserve"> fully supports the NDIS as an </w:t>
      </w:r>
      <w:r w:rsidR="00665BFB">
        <w:rPr>
          <w:rFonts w:asciiTheme="minorHAnsi" w:hAnsiTheme="minorHAnsi"/>
          <w:sz w:val="20"/>
          <w:szCs w:val="20"/>
          <w:lang w:val="en"/>
        </w:rPr>
        <w:t>important</w:t>
      </w:r>
      <w:r w:rsidR="00E57C92">
        <w:rPr>
          <w:rFonts w:asciiTheme="minorHAnsi" w:hAnsiTheme="minorHAnsi"/>
          <w:sz w:val="20"/>
          <w:szCs w:val="20"/>
          <w:lang w:val="en"/>
        </w:rPr>
        <w:t xml:space="preserve"> </w:t>
      </w:r>
      <w:r>
        <w:rPr>
          <w:rFonts w:asciiTheme="minorHAnsi" w:hAnsiTheme="minorHAnsi"/>
          <w:sz w:val="20"/>
          <w:szCs w:val="20"/>
          <w:lang w:val="en"/>
        </w:rPr>
        <w:t>system to provide much needed supports to people with disabilities. T</w:t>
      </w:r>
      <w:r w:rsidRPr="00A20E5E">
        <w:rPr>
          <w:rFonts w:asciiTheme="minorHAnsi" w:hAnsiTheme="minorHAnsi"/>
          <w:sz w:val="20"/>
          <w:szCs w:val="20"/>
          <w:lang w:val="en"/>
        </w:rPr>
        <w:t>he fundamental NDIS philosophy of client choice and control</w:t>
      </w:r>
      <w:r>
        <w:rPr>
          <w:rFonts w:asciiTheme="minorHAnsi" w:hAnsiTheme="minorHAnsi"/>
          <w:sz w:val="20"/>
          <w:szCs w:val="20"/>
          <w:lang w:val="en"/>
        </w:rPr>
        <w:t xml:space="preserve"> aligns with cohealth values and approaches, and w</w:t>
      </w:r>
      <w:r w:rsidRPr="00A20E5E">
        <w:rPr>
          <w:rFonts w:asciiTheme="minorHAnsi" w:hAnsiTheme="minorHAnsi"/>
          <w:sz w:val="20"/>
          <w:szCs w:val="20"/>
          <w:lang w:val="en"/>
        </w:rPr>
        <w:t>e acknowledge the potential opportunities for NDIS participants to identify and structure their supports in the ways that best suit them</w:t>
      </w:r>
      <w:r>
        <w:rPr>
          <w:rFonts w:asciiTheme="minorHAnsi" w:hAnsiTheme="minorHAnsi"/>
          <w:sz w:val="20"/>
          <w:szCs w:val="20"/>
          <w:lang w:val="en"/>
        </w:rPr>
        <w:t xml:space="preserve">.  </w:t>
      </w:r>
    </w:p>
    <w:p w:rsidR="002A1FB3" w:rsidRDefault="00A20E5E" w:rsidP="009D02D0">
      <w:pPr>
        <w:rPr>
          <w:rFonts w:asciiTheme="minorHAnsi" w:hAnsiTheme="minorHAnsi"/>
          <w:sz w:val="20"/>
          <w:szCs w:val="20"/>
          <w:lang w:val="en"/>
        </w:rPr>
      </w:pPr>
      <w:r>
        <w:rPr>
          <w:rFonts w:asciiTheme="minorHAnsi" w:hAnsiTheme="minorHAnsi"/>
          <w:sz w:val="20"/>
          <w:szCs w:val="20"/>
          <w:lang w:val="en"/>
        </w:rPr>
        <w:t>Nonetheless, we hold serious concerns about the ability of the NDIS to effectively respond to the needs of people with psychosocial disability</w:t>
      </w:r>
      <w:r w:rsidR="00A147BD">
        <w:rPr>
          <w:rFonts w:asciiTheme="minorHAnsi" w:hAnsiTheme="minorHAnsi"/>
          <w:sz w:val="20"/>
          <w:szCs w:val="20"/>
          <w:lang w:val="en"/>
        </w:rPr>
        <w:t>, and for the p</w:t>
      </w:r>
      <w:r w:rsidR="00504ACE">
        <w:rPr>
          <w:rFonts w:asciiTheme="minorHAnsi" w:hAnsiTheme="minorHAnsi"/>
          <w:sz w:val="20"/>
          <w:szCs w:val="20"/>
          <w:lang w:val="en"/>
        </w:rPr>
        <w:t>rovision of supports to those not eligible for the NDIS</w:t>
      </w:r>
      <w:r>
        <w:rPr>
          <w:rFonts w:asciiTheme="minorHAnsi" w:hAnsiTheme="minorHAnsi"/>
          <w:sz w:val="20"/>
          <w:szCs w:val="20"/>
          <w:lang w:val="en"/>
        </w:rPr>
        <w:t xml:space="preserve">. </w:t>
      </w:r>
      <w:r w:rsidR="00504ACE">
        <w:rPr>
          <w:rFonts w:asciiTheme="minorHAnsi" w:hAnsiTheme="minorHAnsi"/>
          <w:sz w:val="20"/>
          <w:szCs w:val="20"/>
          <w:lang w:val="en"/>
        </w:rPr>
        <w:t xml:space="preserve"> In this context we are </w:t>
      </w:r>
      <w:r w:rsidR="00A147BD">
        <w:rPr>
          <w:rFonts w:asciiTheme="minorHAnsi" w:hAnsiTheme="minorHAnsi"/>
          <w:sz w:val="20"/>
          <w:szCs w:val="20"/>
          <w:lang w:val="en"/>
        </w:rPr>
        <w:t xml:space="preserve">pleased </w:t>
      </w:r>
      <w:r w:rsidR="00504ACE">
        <w:rPr>
          <w:rFonts w:asciiTheme="minorHAnsi" w:hAnsiTheme="minorHAnsi"/>
          <w:sz w:val="20"/>
          <w:szCs w:val="20"/>
          <w:lang w:val="en"/>
        </w:rPr>
        <w:t>that the</w:t>
      </w:r>
      <w:r w:rsidR="00A147BD">
        <w:rPr>
          <w:rFonts w:asciiTheme="minorHAnsi" w:hAnsiTheme="minorHAnsi"/>
          <w:sz w:val="20"/>
          <w:szCs w:val="20"/>
          <w:lang w:val="en"/>
        </w:rPr>
        <w:t xml:space="preserve"> Commission </w:t>
      </w:r>
      <w:r w:rsidR="00504ACE">
        <w:rPr>
          <w:rFonts w:asciiTheme="minorHAnsi" w:hAnsiTheme="minorHAnsi"/>
          <w:sz w:val="20"/>
          <w:szCs w:val="20"/>
          <w:lang w:val="en"/>
        </w:rPr>
        <w:t>recognises</w:t>
      </w:r>
      <w:r w:rsidR="00A147BD">
        <w:rPr>
          <w:rFonts w:asciiTheme="minorHAnsi" w:hAnsiTheme="minorHAnsi"/>
          <w:sz w:val="20"/>
          <w:szCs w:val="20"/>
          <w:lang w:val="en"/>
        </w:rPr>
        <w:t xml:space="preserve"> the limitations of the NDIS for</w:t>
      </w:r>
      <w:r w:rsidR="00504ACE">
        <w:rPr>
          <w:rFonts w:asciiTheme="minorHAnsi" w:hAnsiTheme="minorHAnsi"/>
          <w:sz w:val="20"/>
          <w:szCs w:val="20"/>
          <w:lang w:val="en"/>
        </w:rPr>
        <w:t xml:space="preserve"> people with complex needs, </w:t>
      </w:r>
      <w:r w:rsidR="00E57C92">
        <w:rPr>
          <w:rFonts w:asciiTheme="minorHAnsi" w:hAnsiTheme="minorHAnsi"/>
          <w:sz w:val="20"/>
          <w:szCs w:val="20"/>
          <w:lang w:val="en"/>
        </w:rPr>
        <w:t>particularly</w:t>
      </w:r>
      <w:r w:rsidR="00504ACE">
        <w:rPr>
          <w:rFonts w:asciiTheme="minorHAnsi" w:hAnsiTheme="minorHAnsi"/>
          <w:sz w:val="20"/>
          <w:szCs w:val="20"/>
          <w:lang w:val="en"/>
        </w:rPr>
        <w:t xml:space="preserve"> thos</w:t>
      </w:r>
      <w:r w:rsidR="00E57C92">
        <w:rPr>
          <w:rFonts w:asciiTheme="minorHAnsi" w:hAnsiTheme="minorHAnsi"/>
          <w:sz w:val="20"/>
          <w:szCs w:val="20"/>
          <w:lang w:val="en"/>
        </w:rPr>
        <w:t>e with psych</w:t>
      </w:r>
      <w:r w:rsidR="00224B53">
        <w:rPr>
          <w:rFonts w:asciiTheme="minorHAnsi" w:hAnsiTheme="minorHAnsi"/>
          <w:sz w:val="20"/>
          <w:szCs w:val="20"/>
          <w:lang w:val="en"/>
        </w:rPr>
        <w:t>osocial disability, and welcome</w:t>
      </w:r>
      <w:r w:rsidR="00E57C92">
        <w:rPr>
          <w:rFonts w:asciiTheme="minorHAnsi" w:hAnsiTheme="minorHAnsi"/>
          <w:sz w:val="20"/>
          <w:szCs w:val="20"/>
          <w:lang w:val="en"/>
        </w:rPr>
        <w:t xml:space="preserve"> the recommendations on how the NDIS can be improved to meet their needs. </w:t>
      </w:r>
    </w:p>
    <w:p w:rsidR="00E57C92" w:rsidRDefault="00665BFB" w:rsidP="009D02D0">
      <w:pPr>
        <w:rPr>
          <w:rFonts w:asciiTheme="minorHAnsi" w:hAnsiTheme="minorHAnsi"/>
          <w:sz w:val="20"/>
          <w:szCs w:val="20"/>
          <w:lang w:val="en"/>
        </w:rPr>
      </w:pPr>
      <w:r>
        <w:rPr>
          <w:rFonts w:asciiTheme="minorHAnsi" w:hAnsiTheme="minorHAnsi"/>
          <w:sz w:val="20"/>
          <w:szCs w:val="20"/>
          <w:lang w:val="en"/>
        </w:rPr>
        <w:t xml:space="preserve">While the recommended changes go some way to improving the effectiveness of the NDIS for people with psychosocial disability, a </w:t>
      </w:r>
      <w:r w:rsidR="00E57C92">
        <w:rPr>
          <w:rFonts w:asciiTheme="minorHAnsi" w:hAnsiTheme="minorHAnsi"/>
          <w:sz w:val="20"/>
          <w:szCs w:val="20"/>
          <w:lang w:val="en"/>
        </w:rPr>
        <w:t>key cohealth concern remains</w:t>
      </w:r>
      <w:r w:rsidR="00C33C1C">
        <w:rPr>
          <w:rFonts w:asciiTheme="minorHAnsi" w:hAnsiTheme="minorHAnsi"/>
          <w:sz w:val="20"/>
          <w:szCs w:val="20"/>
          <w:lang w:val="en"/>
        </w:rPr>
        <w:t>: t</w:t>
      </w:r>
      <w:r w:rsidR="00152144" w:rsidRPr="00152144">
        <w:rPr>
          <w:rFonts w:asciiTheme="minorHAnsi" w:hAnsiTheme="minorHAnsi"/>
          <w:sz w:val="20"/>
          <w:szCs w:val="20"/>
          <w:lang w:val="en"/>
        </w:rPr>
        <w:t xml:space="preserve">he </w:t>
      </w:r>
      <w:r w:rsidR="00152144">
        <w:rPr>
          <w:rFonts w:asciiTheme="minorHAnsi" w:hAnsiTheme="minorHAnsi"/>
          <w:sz w:val="20"/>
          <w:szCs w:val="20"/>
          <w:lang w:val="en"/>
        </w:rPr>
        <w:t xml:space="preserve">current price </w:t>
      </w:r>
      <w:r w:rsidR="00224B53">
        <w:rPr>
          <w:rFonts w:asciiTheme="minorHAnsi" w:hAnsiTheme="minorHAnsi"/>
          <w:sz w:val="20"/>
          <w:szCs w:val="20"/>
          <w:lang w:val="en"/>
        </w:rPr>
        <w:t>structure</w:t>
      </w:r>
      <w:r w:rsidR="00152144">
        <w:rPr>
          <w:rFonts w:asciiTheme="minorHAnsi" w:hAnsiTheme="minorHAnsi"/>
          <w:sz w:val="20"/>
          <w:szCs w:val="20"/>
          <w:lang w:val="en"/>
        </w:rPr>
        <w:t xml:space="preserve"> is not sufficient to provide the </w:t>
      </w:r>
      <w:r w:rsidR="00152144" w:rsidRPr="00152144">
        <w:rPr>
          <w:rFonts w:asciiTheme="minorHAnsi" w:hAnsiTheme="minorHAnsi"/>
          <w:sz w:val="20"/>
          <w:szCs w:val="20"/>
          <w:lang w:val="en"/>
        </w:rPr>
        <w:t>qualified and skilled</w:t>
      </w:r>
      <w:r>
        <w:rPr>
          <w:rFonts w:asciiTheme="minorHAnsi" w:hAnsiTheme="minorHAnsi"/>
          <w:sz w:val="20"/>
          <w:szCs w:val="20"/>
          <w:lang w:val="en"/>
        </w:rPr>
        <w:t xml:space="preserve"> recovery</w:t>
      </w:r>
      <w:r w:rsidR="00152144" w:rsidRPr="00152144">
        <w:rPr>
          <w:rFonts w:asciiTheme="minorHAnsi" w:hAnsiTheme="minorHAnsi"/>
          <w:sz w:val="20"/>
          <w:szCs w:val="20"/>
          <w:lang w:val="en"/>
        </w:rPr>
        <w:t xml:space="preserve"> supports </w:t>
      </w:r>
      <w:r w:rsidR="00224B53">
        <w:rPr>
          <w:rFonts w:asciiTheme="minorHAnsi" w:hAnsiTheme="minorHAnsi"/>
          <w:sz w:val="20"/>
          <w:szCs w:val="20"/>
          <w:lang w:val="en"/>
        </w:rPr>
        <w:t>to date</w:t>
      </w:r>
      <w:r w:rsidR="00152144" w:rsidRPr="00152144">
        <w:rPr>
          <w:rFonts w:asciiTheme="minorHAnsi" w:hAnsiTheme="minorHAnsi"/>
          <w:sz w:val="20"/>
          <w:szCs w:val="20"/>
          <w:lang w:val="en"/>
        </w:rPr>
        <w:t xml:space="preserve"> provided </w:t>
      </w:r>
      <w:r>
        <w:rPr>
          <w:rFonts w:asciiTheme="minorHAnsi" w:hAnsiTheme="minorHAnsi"/>
          <w:sz w:val="20"/>
          <w:szCs w:val="20"/>
          <w:lang w:val="en"/>
        </w:rPr>
        <w:t xml:space="preserve">by community managed mental health services </w:t>
      </w:r>
      <w:r w:rsidR="00152144" w:rsidRPr="00152144">
        <w:rPr>
          <w:rFonts w:asciiTheme="minorHAnsi" w:hAnsiTheme="minorHAnsi"/>
          <w:sz w:val="20"/>
          <w:szCs w:val="20"/>
          <w:lang w:val="en"/>
        </w:rPr>
        <w:t xml:space="preserve">to people experiencing mental illness.  Most </w:t>
      </w:r>
      <w:r>
        <w:rPr>
          <w:rFonts w:asciiTheme="minorHAnsi" w:hAnsiTheme="minorHAnsi"/>
          <w:sz w:val="20"/>
          <w:szCs w:val="20"/>
          <w:lang w:val="en"/>
        </w:rPr>
        <w:t xml:space="preserve">NDIS </w:t>
      </w:r>
      <w:r w:rsidR="00152144" w:rsidRPr="00152144">
        <w:rPr>
          <w:rFonts w:asciiTheme="minorHAnsi" w:hAnsiTheme="minorHAnsi"/>
          <w:sz w:val="20"/>
          <w:szCs w:val="20"/>
          <w:lang w:val="en"/>
        </w:rPr>
        <w:t xml:space="preserve">activities will be funded at a rate too low to maintain </w:t>
      </w:r>
      <w:r w:rsidR="006E5589">
        <w:rPr>
          <w:rFonts w:asciiTheme="minorHAnsi" w:hAnsiTheme="minorHAnsi"/>
          <w:sz w:val="20"/>
          <w:szCs w:val="20"/>
          <w:lang w:val="en"/>
        </w:rPr>
        <w:t xml:space="preserve">an appropriately credentialed </w:t>
      </w:r>
      <w:r w:rsidR="00152144" w:rsidRPr="00152144">
        <w:rPr>
          <w:rFonts w:asciiTheme="minorHAnsi" w:hAnsiTheme="minorHAnsi"/>
          <w:sz w:val="20"/>
          <w:szCs w:val="20"/>
          <w:lang w:val="en"/>
        </w:rPr>
        <w:t xml:space="preserve">workforce, or to be financially viable.  As a result therapeutic case management built on a trusting, ongoing relationship – a role very different to disability support or care coordination - will be harder to provide.  </w:t>
      </w:r>
      <w:r w:rsidR="00152144">
        <w:rPr>
          <w:rFonts w:asciiTheme="minorHAnsi" w:hAnsiTheme="minorHAnsi"/>
          <w:sz w:val="20"/>
          <w:szCs w:val="20"/>
          <w:lang w:val="en"/>
        </w:rPr>
        <w:t xml:space="preserve">The ability for consumers to exercise choice and </w:t>
      </w:r>
      <w:r w:rsidR="006B5DCA">
        <w:rPr>
          <w:rFonts w:asciiTheme="minorHAnsi" w:hAnsiTheme="minorHAnsi"/>
          <w:sz w:val="20"/>
          <w:szCs w:val="20"/>
          <w:lang w:val="en"/>
        </w:rPr>
        <w:t>control, which is fundamental to the NDIS,</w:t>
      </w:r>
      <w:r w:rsidR="00152144">
        <w:rPr>
          <w:rFonts w:asciiTheme="minorHAnsi" w:hAnsiTheme="minorHAnsi"/>
          <w:sz w:val="20"/>
          <w:szCs w:val="20"/>
          <w:lang w:val="en"/>
        </w:rPr>
        <w:t xml:space="preserve"> will be put at risk.</w:t>
      </w:r>
      <w:r>
        <w:rPr>
          <w:rFonts w:asciiTheme="minorHAnsi" w:hAnsiTheme="minorHAnsi"/>
          <w:sz w:val="20"/>
          <w:szCs w:val="20"/>
          <w:lang w:val="en"/>
        </w:rPr>
        <w:t xml:space="preserve">  We reiterate our recommendation</w:t>
      </w:r>
      <w:r w:rsidR="00290C1F">
        <w:rPr>
          <w:rFonts w:asciiTheme="minorHAnsi" w:hAnsiTheme="minorHAnsi"/>
          <w:sz w:val="20"/>
          <w:szCs w:val="20"/>
          <w:lang w:val="en"/>
        </w:rPr>
        <w:t>s</w:t>
      </w:r>
      <w:r>
        <w:rPr>
          <w:rFonts w:asciiTheme="minorHAnsi" w:hAnsiTheme="minorHAnsi"/>
          <w:sz w:val="20"/>
          <w:szCs w:val="20"/>
          <w:lang w:val="en"/>
        </w:rPr>
        <w:t xml:space="preserve"> </w:t>
      </w:r>
      <w:r w:rsidR="00224B53">
        <w:rPr>
          <w:rFonts w:asciiTheme="minorHAnsi" w:hAnsiTheme="minorHAnsi"/>
          <w:sz w:val="20"/>
          <w:szCs w:val="20"/>
          <w:lang w:val="en"/>
        </w:rPr>
        <w:t xml:space="preserve">in response to the Issues Paper, </w:t>
      </w:r>
      <w:r>
        <w:rPr>
          <w:rFonts w:asciiTheme="minorHAnsi" w:hAnsiTheme="minorHAnsi"/>
          <w:sz w:val="20"/>
          <w:szCs w:val="20"/>
          <w:lang w:val="en"/>
        </w:rPr>
        <w:t xml:space="preserve">that the price structure </w:t>
      </w:r>
      <w:r w:rsidR="00290C1F">
        <w:rPr>
          <w:rFonts w:asciiTheme="minorHAnsi" w:hAnsiTheme="minorHAnsi"/>
          <w:sz w:val="20"/>
          <w:szCs w:val="20"/>
          <w:lang w:val="en"/>
        </w:rPr>
        <w:t xml:space="preserve">for providing psychosocial support be reviewed, and a new line item for this work be created. </w:t>
      </w:r>
    </w:p>
    <w:p w:rsidR="00504ACE" w:rsidRPr="00BD4149" w:rsidRDefault="002574C5" w:rsidP="009D02D0">
      <w:pPr>
        <w:rPr>
          <w:rFonts w:asciiTheme="minorHAnsi" w:hAnsiTheme="minorHAnsi"/>
          <w:b/>
          <w:color w:val="00BABE" w:themeColor="accent3"/>
          <w:sz w:val="20"/>
          <w:szCs w:val="20"/>
          <w:lang w:val="en"/>
        </w:rPr>
      </w:pPr>
      <w:r w:rsidRPr="00BD4149">
        <w:rPr>
          <w:rFonts w:asciiTheme="minorHAnsi" w:hAnsiTheme="minorHAnsi"/>
          <w:b/>
          <w:color w:val="00BABE" w:themeColor="accent3"/>
          <w:sz w:val="20"/>
          <w:szCs w:val="20"/>
          <w:lang w:val="en"/>
        </w:rPr>
        <w:lastRenderedPageBreak/>
        <w:t>c</w:t>
      </w:r>
      <w:r w:rsidR="00504ACE" w:rsidRPr="00BD4149">
        <w:rPr>
          <w:rFonts w:asciiTheme="minorHAnsi" w:hAnsiTheme="minorHAnsi"/>
          <w:b/>
          <w:color w:val="00BABE" w:themeColor="accent3"/>
          <w:sz w:val="20"/>
          <w:szCs w:val="20"/>
          <w:lang w:val="en"/>
        </w:rPr>
        <w:t>ohealth supports the following findings and recommendations:</w:t>
      </w:r>
    </w:p>
    <w:p w:rsidR="002574C5" w:rsidRDefault="00504ACE" w:rsidP="006B5DCA">
      <w:pPr>
        <w:shd w:val="clear" w:color="auto" w:fill="F2F2F2" w:themeFill="background1" w:themeFillShade="F2"/>
        <w:rPr>
          <w:rFonts w:asciiTheme="minorHAnsi" w:hAnsiTheme="minorHAnsi" w:cs="Arial"/>
          <w:sz w:val="20"/>
          <w:szCs w:val="20"/>
        </w:rPr>
      </w:pPr>
      <w:r w:rsidRPr="002574C5">
        <w:rPr>
          <w:rFonts w:asciiTheme="minorHAnsi" w:hAnsiTheme="minorHAnsi" w:cs="Arial"/>
          <w:b/>
          <w:sz w:val="20"/>
          <w:szCs w:val="20"/>
        </w:rPr>
        <w:t>Draft finding 2.4</w:t>
      </w:r>
      <w:r w:rsidR="00A64347" w:rsidRPr="002574C5">
        <w:rPr>
          <w:rFonts w:asciiTheme="minorHAnsi" w:hAnsiTheme="minorHAnsi" w:cs="Arial"/>
          <w:b/>
          <w:sz w:val="20"/>
          <w:szCs w:val="20"/>
        </w:rPr>
        <w:t>:</w:t>
      </w:r>
      <w:r>
        <w:rPr>
          <w:rFonts w:asciiTheme="minorHAnsi" w:hAnsiTheme="minorHAnsi" w:cs="Arial"/>
          <w:sz w:val="20"/>
          <w:szCs w:val="20"/>
        </w:rPr>
        <w:tab/>
        <w:t>“Participants with psychosocial disability, and those who struggle to navigate the scheme, are most at risk of experiencing poor outcomes”.</w:t>
      </w:r>
    </w:p>
    <w:p w:rsidR="002574C5" w:rsidRDefault="002574C5" w:rsidP="002574C5">
      <w:pPr>
        <w:shd w:val="clear" w:color="auto" w:fill="FFFFFF" w:themeFill="background1"/>
        <w:rPr>
          <w:b/>
        </w:rPr>
      </w:pPr>
    </w:p>
    <w:p w:rsidR="00504ACE" w:rsidRDefault="00504ACE" w:rsidP="002574C5">
      <w:pPr>
        <w:pStyle w:val="NoSpacing"/>
        <w:shd w:val="clear" w:color="auto" w:fill="F2F2F2" w:themeFill="background1" w:themeFillShade="F2"/>
      </w:pPr>
      <w:r w:rsidRPr="002574C5">
        <w:rPr>
          <w:b/>
        </w:rPr>
        <w:t>Draft recommendation 4.1</w:t>
      </w:r>
      <w:r w:rsidR="00A64347" w:rsidRPr="002574C5">
        <w:rPr>
          <w:b/>
        </w:rPr>
        <w:t>:</w:t>
      </w:r>
      <w:r w:rsidRPr="002574C5">
        <w:rPr>
          <w:b/>
        </w:rPr>
        <w:tab/>
      </w:r>
      <w:r>
        <w:t>“</w:t>
      </w:r>
      <w:r w:rsidRPr="00504ACE">
        <w:t xml:space="preserve">The National Disability Insurance Agency should: </w:t>
      </w:r>
    </w:p>
    <w:p w:rsidR="00504ACE" w:rsidRPr="00504ACE" w:rsidRDefault="00504ACE" w:rsidP="002574C5">
      <w:pPr>
        <w:pStyle w:val="NoSpacing"/>
        <w:numPr>
          <w:ilvl w:val="0"/>
          <w:numId w:val="22"/>
        </w:numPr>
        <w:shd w:val="clear" w:color="auto" w:fill="F2F2F2" w:themeFill="background1" w:themeFillShade="F2"/>
        <w:ind w:left="426" w:hanging="426"/>
      </w:pPr>
      <w:r w:rsidRPr="00504ACE">
        <w:t xml:space="preserve">implement a process for allowing minor amendments or adjustments to plans without triggering a full plan review </w:t>
      </w:r>
    </w:p>
    <w:p w:rsidR="00504ACE" w:rsidRPr="00504ACE" w:rsidRDefault="00504ACE" w:rsidP="002574C5">
      <w:pPr>
        <w:pStyle w:val="NoSpacing"/>
        <w:numPr>
          <w:ilvl w:val="0"/>
          <w:numId w:val="22"/>
        </w:numPr>
        <w:shd w:val="clear" w:color="auto" w:fill="F2F2F2" w:themeFill="background1" w:themeFillShade="F2"/>
        <w:ind w:left="426" w:hanging="426"/>
      </w:pPr>
      <w:r w:rsidRPr="00504ACE">
        <w:t xml:space="preserve">review its protocols relating to how phone planning is used </w:t>
      </w:r>
    </w:p>
    <w:p w:rsidR="00504ACE" w:rsidRDefault="00504ACE" w:rsidP="002574C5">
      <w:pPr>
        <w:pStyle w:val="NoSpacing"/>
        <w:numPr>
          <w:ilvl w:val="0"/>
          <w:numId w:val="22"/>
        </w:numPr>
        <w:shd w:val="clear" w:color="auto" w:fill="F2F2F2" w:themeFill="background1" w:themeFillShade="F2"/>
        <w:ind w:left="426" w:hanging="426"/>
      </w:pPr>
      <w:r w:rsidRPr="00504ACE">
        <w:t xml:space="preserve">provide clear, comprehensive and up-to-date information about how the planning process operates, what to expect during the planning process, and participants’ rights and options </w:t>
      </w:r>
    </w:p>
    <w:p w:rsidR="00504ACE" w:rsidRPr="00504ACE" w:rsidRDefault="00504ACE" w:rsidP="002574C5">
      <w:pPr>
        <w:pStyle w:val="NoSpacing"/>
        <w:numPr>
          <w:ilvl w:val="0"/>
          <w:numId w:val="22"/>
        </w:numPr>
        <w:shd w:val="clear" w:color="auto" w:fill="F2F2F2" w:themeFill="background1" w:themeFillShade="F2"/>
        <w:ind w:left="426" w:hanging="426"/>
      </w:pPr>
      <w:r w:rsidRPr="00504ACE">
        <w:t>ensure that Local Area Coordinators are on the ground six months before the scheme is rolled out in an area and are engaging in pre-planning with participants</w:t>
      </w:r>
      <w:r w:rsidR="00AF227B">
        <w:t>”</w:t>
      </w:r>
    </w:p>
    <w:p w:rsidR="00504ACE" w:rsidRPr="00504ACE" w:rsidRDefault="00504ACE" w:rsidP="00504ACE">
      <w:pPr>
        <w:pStyle w:val="NoSpacing"/>
      </w:pPr>
    </w:p>
    <w:p w:rsidR="002574C5" w:rsidRDefault="00504ACE" w:rsidP="002574C5">
      <w:pPr>
        <w:rPr>
          <w:rFonts w:asciiTheme="minorHAnsi" w:hAnsiTheme="minorHAnsi" w:cs="Arial"/>
          <w:sz w:val="20"/>
          <w:szCs w:val="20"/>
        </w:rPr>
      </w:pPr>
      <w:r w:rsidRPr="00504ACE">
        <w:rPr>
          <w:rFonts w:asciiTheme="minorHAnsi" w:hAnsiTheme="minorHAnsi" w:cs="Arial"/>
          <w:sz w:val="20"/>
          <w:szCs w:val="20"/>
        </w:rPr>
        <w:t xml:space="preserve">cohealth </w:t>
      </w:r>
      <w:r w:rsidR="00152144">
        <w:rPr>
          <w:rFonts w:asciiTheme="minorHAnsi" w:hAnsiTheme="minorHAnsi" w:cs="Arial"/>
          <w:sz w:val="20"/>
          <w:szCs w:val="20"/>
        </w:rPr>
        <w:t xml:space="preserve">supports this recommendation.  As described in the Position Paper, the planning process is of critical importance in ensuring that a participant receives the most effective </w:t>
      </w:r>
      <w:r w:rsidR="00224B53">
        <w:rPr>
          <w:rFonts w:asciiTheme="minorHAnsi" w:hAnsiTheme="minorHAnsi" w:cs="Arial"/>
          <w:sz w:val="20"/>
          <w:szCs w:val="20"/>
        </w:rPr>
        <w:t xml:space="preserve">and appropriate supports.  The </w:t>
      </w:r>
      <w:r w:rsidR="00152144">
        <w:rPr>
          <w:rFonts w:asciiTheme="minorHAnsi" w:hAnsiTheme="minorHAnsi" w:cs="Arial"/>
          <w:sz w:val="20"/>
          <w:szCs w:val="20"/>
        </w:rPr>
        <w:t>many limitations to the use of phone planning, particularly to people living with a mental illness</w:t>
      </w:r>
      <w:r w:rsidR="00224B53">
        <w:rPr>
          <w:rFonts w:asciiTheme="minorHAnsi" w:hAnsiTheme="minorHAnsi" w:cs="Arial"/>
          <w:sz w:val="20"/>
          <w:szCs w:val="20"/>
        </w:rPr>
        <w:t>,</w:t>
      </w:r>
      <w:r w:rsidR="00152144">
        <w:rPr>
          <w:rFonts w:asciiTheme="minorHAnsi" w:hAnsiTheme="minorHAnsi" w:cs="Arial"/>
          <w:sz w:val="20"/>
          <w:szCs w:val="20"/>
        </w:rPr>
        <w:t xml:space="preserve"> have also been well outlined.  cohealth </w:t>
      </w:r>
      <w:r w:rsidR="00DD2F8B">
        <w:rPr>
          <w:rFonts w:asciiTheme="minorHAnsi" w:hAnsiTheme="minorHAnsi" w:cs="Arial"/>
          <w:sz w:val="20"/>
          <w:szCs w:val="20"/>
        </w:rPr>
        <w:t xml:space="preserve">suggests that the use of phone planning only be used if it is specifically requested, particularly for people with psychosocial disabilities. We are aware of people who decline involvement with the NDIS, </w:t>
      </w:r>
      <w:r w:rsidR="00224B53">
        <w:rPr>
          <w:rFonts w:asciiTheme="minorHAnsi" w:hAnsiTheme="minorHAnsi" w:cs="Arial"/>
          <w:sz w:val="20"/>
          <w:szCs w:val="20"/>
        </w:rPr>
        <w:t xml:space="preserve">or receive inadequate plans, thereby </w:t>
      </w:r>
      <w:r w:rsidR="00DD2F8B">
        <w:rPr>
          <w:rFonts w:asciiTheme="minorHAnsi" w:hAnsiTheme="minorHAnsi" w:cs="Arial"/>
          <w:sz w:val="20"/>
          <w:szCs w:val="20"/>
        </w:rPr>
        <w:t xml:space="preserve">missing out on much needed supports, because </w:t>
      </w:r>
      <w:r w:rsidR="00592AE0">
        <w:rPr>
          <w:rFonts w:asciiTheme="minorHAnsi" w:hAnsiTheme="minorHAnsi" w:cs="Arial"/>
          <w:sz w:val="20"/>
          <w:szCs w:val="20"/>
        </w:rPr>
        <w:t>plans have been completed over</w:t>
      </w:r>
      <w:r w:rsidR="00DD2F8B">
        <w:rPr>
          <w:rFonts w:asciiTheme="minorHAnsi" w:hAnsiTheme="minorHAnsi" w:cs="Arial"/>
          <w:sz w:val="20"/>
          <w:szCs w:val="20"/>
        </w:rPr>
        <w:t xml:space="preserve"> the phone.    </w:t>
      </w:r>
      <w:r w:rsidRPr="00504ACE">
        <w:rPr>
          <w:rFonts w:asciiTheme="minorHAnsi" w:hAnsiTheme="minorHAnsi" w:cs="Arial"/>
          <w:sz w:val="20"/>
          <w:szCs w:val="20"/>
        </w:rPr>
        <w:t xml:space="preserve"> </w:t>
      </w:r>
      <w:r w:rsidR="002574C5">
        <w:rPr>
          <w:rFonts w:asciiTheme="minorHAnsi" w:hAnsiTheme="minorHAnsi" w:cs="Arial"/>
          <w:sz w:val="20"/>
          <w:szCs w:val="20"/>
        </w:rPr>
        <w:br/>
      </w:r>
    </w:p>
    <w:p w:rsidR="00DD2F8B" w:rsidRDefault="00DD2F8B" w:rsidP="002574C5">
      <w:pPr>
        <w:pStyle w:val="NoSpacing"/>
        <w:shd w:val="clear" w:color="auto" w:fill="F2F2F2" w:themeFill="background1" w:themeFillShade="F2"/>
        <w:rPr>
          <w:rFonts w:asciiTheme="minorHAnsi" w:hAnsiTheme="minorHAnsi" w:cs="Arial"/>
          <w:szCs w:val="20"/>
        </w:rPr>
      </w:pPr>
      <w:r w:rsidRPr="002574C5">
        <w:rPr>
          <w:b/>
        </w:rPr>
        <w:t>Draft recommendation 4.2</w:t>
      </w:r>
      <w:r w:rsidR="00A64347" w:rsidRPr="002574C5">
        <w:rPr>
          <w:b/>
        </w:rPr>
        <w:t>:</w:t>
      </w:r>
      <w:r>
        <w:rPr>
          <w:rFonts w:asciiTheme="minorHAnsi" w:hAnsiTheme="minorHAnsi" w:cs="Arial"/>
          <w:szCs w:val="20"/>
        </w:rPr>
        <w:tab/>
        <w:t>“</w:t>
      </w:r>
      <w:r w:rsidRPr="00DD2F8B">
        <w:rPr>
          <w:rFonts w:asciiTheme="minorHAnsi" w:hAnsiTheme="minorHAnsi" w:cs="Arial"/>
          <w:szCs w:val="20"/>
        </w:rPr>
        <w:t>The National Disability Insurance Agency should ensure that planners have a general understanding about different types of disability. For types of disability that require specialist knowledge (such as psychosocial disability), there should be specialised planning teams and/or more use of industry knowledge and expertise.</w:t>
      </w:r>
      <w:r>
        <w:rPr>
          <w:rFonts w:asciiTheme="minorHAnsi" w:hAnsiTheme="minorHAnsi" w:cs="Arial"/>
          <w:szCs w:val="20"/>
        </w:rPr>
        <w:t>”</w:t>
      </w:r>
    </w:p>
    <w:p w:rsidR="002574C5" w:rsidRDefault="00DD2F8B" w:rsidP="00A64347">
      <w:pPr>
        <w:pStyle w:val="NoSpacing"/>
        <w:ind w:left="2127" w:hanging="2127"/>
      </w:pPr>
      <w:r>
        <w:tab/>
      </w:r>
    </w:p>
    <w:p w:rsidR="00DD2F8B" w:rsidRDefault="00DD2F8B" w:rsidP="002574C5">
      <w:pPr>
        <w:pStyle w:val="NoSpacing"/>
      </w:pPr>
      <w:r>
        <w:t xml:space="preserve">cohealth strongly supports this recommendation.  </w:t>
      </w:r>
      <w:r w:rsidR="00A64347">
        <w:t>Psychosocial disabilities have particular features, not least the</w:t>
      </w:r>
      <w:r w:rsidR="00224B53">
        <w:t>ir</w:t>
      </w:r>
      <w:r w:rsidR="00A64347">
        <w:t xml:space="preserve"> episodic nature, which separate them from other disabilities, and require</w:t>
      </w:r>
      <w:r w:rsidR="00224B53">
        <w:t xml:space="preserve"> planners to have</w:t>
      </w:r>
      <w:r w:rsidR="00A64347">
        <w:t xml:space="preserve"> specialised knowledge. </w:t>
      </w:r>
      <w:r w:rsidR="00795498">
        <w:t>Other options for enhancing the planning process include: conducting planning</w:t>
      </w:r>
      <w:r w:rsidR="00A64347">
        <w:t xml:space="preserve"> over more than one meeting</w:t>
      </w:r>
      <w:r w:rsidR="00795498">
        <w:t>, allowing the relationship between the participant and planner to develop, resulting in a more appropriate plan; and encouraging greater input by current support providers.</w:t>
      </w:r>
      <w:r w:rsidR="002574C5">
        <w:br/>
      </w:r>
    </w:p>
    <w:p w:rsidR="00795498" w:rsidRDefault="00795498" w:rsidP="00A64347">
      <w:pPr>
        <w:pStyle w:val="NoSpacing"/>
        <w:ind w:left="2127" w:hanging="2127"/>
      </w:pPr>
    </w:p>
    <w:p w:rsidR="00795498" w:rsidRDefault="00795498" w:rsidP="002574C5">
      <w:pPr>
        <w:pStyle w:val="NoSpacing"/>
        <w:shd w:val="clear" w:color="auto" w:fill="F2F2F2" w:themeFill="background1" w:themeFillShade="F2"/>
      </w:pPr>
      <w:r w:rsidRPr="002574C5">
        <w:rPr>
          <w:b/>
        </w:rPr>
        <w:t>Draft recommendation 5.1:</w:t>
      </w:r>
      <w:r>
        <w:tab/>
        <w:t>“</w:t>
      </w:r>
      <w:r w:rsidRPr="00795498">
        <w:t>Funding for Information, Linkages and Capacity Building (ILC) should be increased to the full scheme amount (of $131 million) for each year during the transition</w:t>
      </w:r>
      <w:r>
        <w:t xml:space="preserve">….[and] </w:t>
      </w:r>
      <w:r w:rsidRPr="00795498">
        <w:t xml:space="preserve">maintained at a minimum of $131 million per annum until results from </w:t>
      </w:r>
      <w:r>
        <w:t>[</w:t>
      </w:r>
      <w:r w:rsidRPr="00795498">
        <w:t>the next COAG agreed five-yearly review of scheme costs</w:t>
      </w:r>
      <w:r>
        <w:t xml:space="preserve">] </w:t>
      </w:r>
      <w:r w:rsidRPr="00795498">
        <w:t>are available.</w:t>
      </w:r>
      <w:r>
        <w:t>”</w:t>
      </w:r>
    </w:p>
    <w:p w:rsidR="0083353F" w:rsidRDefault="0083353F" w:rsidP="00A64347">
      <w:pPr>
        <w:pStyle w:val="NoSpacing"/>
        <w:ind w:left="2127" w:hanging="2127"/>
      </w:pPr>
    </w:p>
    <w:p w:rsidR="002C6438" w:rsidRDefault="002C6438" w:rsidP="00A64347">
      <w:pPr>
        <w:pStyle w:val="NoSpacing"/>
        <w:ind w:left="2127" w:hanging="2127"/>
      </w:pPr>
    </w:p>
    <w:p w:rsidR="0083353F" w:rsidRDefault="0083353F" w:rsidP="002574C5">
      <w:pPr>
        <w:pStyle w:val="NoSpacing"/>
        <w:shd w:val="clear" w:color="auto" w:fill="F2F2F2" w:themeFill="background1" w:themeFillShade="F2"/>
      </w:pPr>
      <w:r w:rsidRPr="002574C5">
        <w:rPr>
          <w:b/>
        </w:rPr>
        <w:t>Draft recommendation 5.2:</w:t>
      </w:r>
      <w:r>
        <w:tab/>
        <w:t>“</w:t>
      </w:r>
      <w:r w:rsidRPr="0083353F">
        <w:t xml:space="preserve">The Australian, State and Territory Governments should make public their approach to providing continuity of support and the services they intend to provide to people </w:t>
      </w:r>
      <w:r>
        <w:t>…</w:t>
      </w:r>
      <w:r w:rsidRPr="0083353F">
        <w:t xml:space="preserve"> beyond supports provided through the National Disability Insurance Scheme</w:t>
      </w:r>
      <w:r w:rsidR="00C566BF">
        <w:t xml:space="preserve">… </w:t>
      </w:r>
      <w:r w:rsidR="00C566BF" w:rsidRPr="00C566BF">
        <w:t>The National Disability Insurance Agency should report, in its quarterly COAG Disability Reform Council report, on boundary issues as they are playing out on the ground, including identifying service gaps and actions to address barriers to accessing disability and mainstream services for people with disability.</w:t>
      </w:r>
      <w:r w:rsidR="00C566BF">
        <w:t>”</w:t>
      </w:r>
    </w:p>
    <w:p w:rsidR="0083353F" w:rsidRDefault="0083353F" w:rsidP="00A64347">
      <w:pPr>
        <w:pStyle w:val="NoSpacing"/>
        <w:ind w:left="2127" w:hanging="2127"/>
      </w:pPr>
    </w:p>
    <w:p w:rsidR="00304C26" w:rsidRDefault="0083353F" w:rsidP="002574C5">
      <w:pPr>
        <w:pStyle w:val="NoSpacing"/>
        <w:tabs>
          <w:tab w:val="left" w:pos="0"/>
        </w:tabs>
      </w:pPr>
      <w:r>
        <w:lastRenderedPageBreak/>
        <w:t xml:space="preserve">In Victoria, existing community managed </w:t>
      </w:r>
      <w:r w:rsidR="00C566BF">
        <w:t>psychosocial rehabilitation</w:t>
      </w:r>
      <w:r>
        <w:t xml:space="preserve"> funding </w:t>
      </w:r>
      <w:r w:rsidR="00C566BF">
        <w:t xml:space="preserve">(Mental Health Community Support Service, or MHCSS) </w:t>
      </w:r>
      <w:r>
        <w:t>has been rolled into the NDIS. cohealth holds serious concerns</w:t>
      </w:r>
      <w:r w:rsidR="00A26455">
        <w:t xml:space="preserve"> about how people with a serious mental illness will have their psychosocial rehabilitation needs met, due to</w:t>
      </w:r>
      <w:r w:rsidR="00304C26">
        <w:t>:</w:t>
      </w:r>
    </w:p>
    <w:p w:rsidR="00304C26" w:rsidRDefault="0083353F" w:rsidP="002574C5">
      <w:pPr>
        <w:pStyle w:val="NoSpacing"/>
        <w:numPr>
          <w:ilvl w:val="0"/>
          <w:numId w:val="23"/>
        </w:numPr>
        <w:tabs>
          <w:tab w:val="left" w:pos="851"/>
        </w:tabs>
        <w:ind w:left="851" w:hanging="284"/>
      </w:pPr>
      <w:r>
        <w:t xml:space="preserve">a lack of services for people not eligible for the NDIS, and </w:t>
      </w:r>
    </w:p>
    <w:p w:rsidR="00304C26" w:rsidRDefault="00A26455" w:rsidP="002574C5">
      <w:pPr>
        <w:pStyle w:val="NoSpacing"/>
        <w:numPr>
          <w:ilvl w:val="0"/>
          <w:numId w:val="23"/>
        </w:numPr>
        <w:tabs>
          <w:tab w:val="left" w:pos="851"/>
        </w:tabs>
        <w:ind w:left="851" w:hanging="284"/>
      </w:pPr>
      <w:r>
        <w:t xml:space="preserve">NDIS </w:t>
      </w:r>
      <w:r w:rsidR="00C566BF">
        <w:t>disability support services provid</w:t>
      </w:r>
      <w:r>
        <w:t>ing</w:t>
      </w:r>
      <w:r w:rsidR="00C566BF">
        <w:t xml:space="preserve"> </w:t>
      </w:r>
      <w:r w:rsidR="00224B53">
        <w:t>services that are quite different to the psychosocial rehabilitation provided by MHCS</w:t>
      </w:r>
      <w:r w:rsidR="00C566BF">
        <w:t xml:space="preserve">S. </w:t>
      </w:r>
      <w:r w:rsidR="00592AE0">
        <w:t xml:space="preserve">  </w:t>
      </w:r>
    </w:p>
    <w:p w:rsidR="002574C5" w:rsidRDefault="002574C5" w:rsidP="002574C5">
      <w:pPr>
        <w:pStyle w:val="NoSpacing"/>
        <w:tabs>
          <w:tab w:val="left" w:pos="851"/>
        </w:tabs>
      </w:pPr>
    </w:p>
    <w:p w:rsidR="0083353F" w:rsidRDefault="00592AE0" w:rsidP="002574C5">
      <w:pPr>
        <w:pStyle w:val="NoSpacing"/>
        <w:tabs>
          <w:tab w:val="left" w:pos="851"/>
        </w:tabs>
      </w:pPr>
      <w:r>
        <w:t>Greater clarity about the supports provided by the NDIS</w:t>
      </w:r>
      <w:r w:rsidR="00304C26">
        <w:t xml:space="preserve">, and </w:t>
      </w:r>
      <w:r w:rsidR="00224B53">
        <w:t xml:space="preserve">those provided </w:t>
      </w:r>
      <w:r w:rsidR="00304C26">
        <w:t xml:space="preserve">by states and territories, is needed </w:t>
      </w:r>
      <w:r w:rsidR="00224B53">
        <w:t>to ensure</w:t>
      </w:r>
      <w:r>
        <w:t xml:space="preserve"> that service gaps can be identified </w:t>
      </w:r>
      <w:r w:rsidR="00304C26">
        <w:t xml:space="preserve">and addressed </w:t>
      </w:r>
      <w:r>
        <w:t>prior to</w:t>
      </w:r>
      <w:r w:rsidR="00304C26">
        <w:t xml:space="preserve"> </w:t>
      </w:r>
      <w:r w:rsidR="00A26455">
        <w:t>the implementation of the</w:t>
      </w:r>
      <w:r w:rsidR="00304C26">
        <w:t xml:space="preserve"> NDIS. </w:t>
      </w:r>
      <w:r w:rsidR="00A26455">
        <w:t xml:space="preserve"> The ongoing provision of appropriate supports</w:t>
      </w:r>
      <w:r w:rsidR="00304C26">
        <w:t xml:space="preserve"> </w:t>
      </w:r>
      <w:r>
        <w:t xml:space="preserve">is essential for the </w:t>
      </w:r>
      <w:r w:rsidR="006B422A">
        <w:t>wellbeing</w:t>
      </w:r>
      <w:r>
        <w:t xml:space="preserve"> of </w:t>
      </w:r>
      <w:r w:rsidR="00224B53">
        <w:t xml:space="preserve">all </w:t>
      </w:r>
      <w:r>
        <w:t>people with psychosocial disabilities</w:t>
      </w:r>
      <w:r w:rsidR="006B2E0F">
        <w:t>, regardless of NDIS eligibility</w:t>
      </w:r>
      <w:r>
        <w:t>.</w:t>
      </w:r>
      <w:r w:rsidR="002574C5">
        <w:br/>
      </w:r>
    </w:p>
    <w:p w:rsidR="00C566BF" w:rsidRDefault="00C566BF" w:rsidP="00A64347">
      <w:pPr>
        <w:pStyle w:val="NoSpacing"/>
        <w:ind w:left="2127" w:hanging="2127"/>
      </w:pPr>
    </w:p>
    <w:p w:rsidR="00D06FAE" w:rsidRDefault="00C566BF" w:rsidP="002574C5">
      <w:pPr>
        <w:pStyle w:val="NoSpacing"/>
        <w:shd w:val="clear" w:color="auto" w:fill="F2F2F2" w:themeFill="background1" w:themeFillShade="F2"/>
      </w:pPr>
      <w:r w:rsidRPr="002574C5">
        <w:rPr>
          <w:b/>
        </w:rPr>
        <w:t>Draft recommendation 6.1</w:t>
      </w:r>
      <w:r w:rsidR="002574C5">
        <w:rPr>
          <w:b/>
        </w:rPr>
        <w:t xml:space="preserve">  </w:t>
      </w:r>
      <w:r>
        <w:tab/>
      </w:r>
      <w:r w:rsidR="00D06FAE">
        <w:t>“</w:t>
      </w:r>
      <w:r w:rsidR="00D06FAE" w:rsidRPr="00D06FAE">
        <w:t>The</w:t>
      </w:r>
      <w:r w:rsidR="00D06FAE">
        <w:t xml:space="preserve"> Australian Government should</w:t>
      </w:r>
      <w:r w:rsidR="00D06FAE" w:rsidRPr="00D06FAE">
        <w:t xml:space="preserve"> immediately introdu</w:t>
      </w:r>
      <w:r w:rsidR="00D06FAE">
        <w:t>ce an independent price monitor.”</w:t>
      </w:r>
    </w:p>
    <w:p w:rsidR="00D06FAE" w:rsidRDefault="00D06FAE" w:rsidP="00A64347">
      <w:pPr>
        <w:pStyle w:val="NoSpacing"/>
        <w:ind w:left="2127" w:hanging="2127"/>
      </w:pPr>
    </w:p>
    <w:p w:rsidR="00C566BF" w:rsidRDefault="00C566BF" w:rsidP="002574C5">
      <w:pPr>
        <w:pStyle w:val="NoSpacing"/>
      </w:pPr>
      <w:r>
        <w:t xml:space="preserve">cohealth supports the recommendation of an independent price monitor.  Transparency and independence in price setting and review removes the potential conflict of interest arising from the NDIA setting prices </w:t>
      </w:r>
      <w:r w:rsidR="006B2E0F">
        <w:t>while also</w:t>
      </w:r>
      <w:r>
        <w:t xml:space="preserve"> being responsible for scheme sustainability.</w:t>
      </w:r>
    </w:p>
    <w:p w:rsidR="00C566BF" w:rsidRDefault="00C566BF" w:rsidP="00A64347">
      <w:pPr>
        <w:pStyle w:val="NoSpacing"/>
        <w:ind w:left="2127" w:hanging="2127"/>
      </w:pPr>
    </w:p>
    <w:p w:rsidR="00C566BF" w:rsidRPr="00DD2F8B" w:rsidRDefault="00C566BF" w:rsidP="00A64347">
      <w:pPr>
        <w:pStyle w:val="NoSpacing"/>
        <w:ind w:left="2127" w:hanging="2127"/>
      </w:pPr>
    </w:p>
    <w:p w:rsidR="0083353F" w:rsidRDefault="0083353F" w:rsidP="0083353F">
      <w:pPr>
        <w:pStyle w:val="NoSpacing"/>
      </w:pPr>
    </w:p>
    <w:p w:rsidR="0083353F" w:rsidRPr="00BD4149" w:rsidRDefault="002530B5" w:rsidP="00C566BF">
      <w:pPr>
        <w:rPr>
          <w:rFonts w:asciiTheme="minorHAnsi" w:hAnsiTheme="minorHAnsi"/>
          <w:b/>
          <w:color w:val="00BABE" w:themeColor="accent3"/>
          <w:sz w:val="20"/>
          <w:szCs w:val="20"/>
          <w:lang w:val="en"/>
        </w:rPr>
      </w:pPr>
      <w:r w:rsidRPr="00BD4149">
        <w:rPr>
          <w:rFonts w:asciiTheme="minorHAnsi" w:hAnsiTheme="minorHAnsi"/>
          <w:b/>
          <w:color w:val="00BABE" w:themeColor="accent3"/>
          <w:sz w:val="20"/>
          <w:szCs w:val="20"/>
          <w:lang w:val="en"/>
        </w:rPr>
        <w:t>c</w:t>
      </w:r>
      <w:r w:rsidR="00C566BF" w:rsidRPr="00BD4149">
        <w:rPr>
          <w:rFonts w:asciiTheme="minorHAnsi" w:hAnsiTheme="minorHAnsi"/>
          <w:b/>
          <w:color w:val="00BABE" w:themeColor="accent3"/>
          <w:sz w:val="20"/>
          <w:szCs w:val="20"/>
          <w:lang w:val="en"/>
        </w:rPr>
        <w:t xml:space="preserve">ohealth feedback on </w:t>
      </w:r>
      <w:r w:rsidR="002F75AD" w:rsidRPr="00BD4149">
        <w:rPr>
          <w:rFonts w:asciiTheme="minorHAnsi" w:hAnsiTheme="minorHAnsi"/>
          <w:b/>
          <w:color w:val="00BABE" w:themeColor="accent3"/>
          <w:sz w:val="20"/>
          <w:szCs w:val="20"/>
          <w:lang w:val="en"/>
        </w:rPr>
        <w:t xml:space="preserve">selected </w:t>
      </w:r>
      <w:r w:rsidR="00C566BF" w:rsidRPr="00BD4149">
        <w:rPr>
          <w:rFonts w:asciiTheme="minorHAnsi" w:hAnsiTheme="minorHAnsi"/>
          <w:b/>
          <w:color w:val="00BABE" w:themeColor="accent3"/>
          <w:sz w:val="20"/>
          <w:szCs w:val="20"/>
          <w:lang w:val="en"/>
        </w:rPr>
        <w:t>other findings and information requests:</w:t>
      </w:r>
    </w:p>
    <w:p w:rsidR="00C566BF" w:rsidRDefault="00C566BF" w:rsidP="00487B54">
      <w:pPr>
        <w:pStyle w:val="NoSpacing"/>
        <w:shd w:val="clear" w:color="auto" w:fill="F2F2F2" w:themeFill="background1" w:themeFillShade="F2"/>
        <w:rPr>
          <w:lang w:val="en"/>
        </w:rPr>
      </w:pPr>
      <w:r w:rsidRPr="00487B54">
        <w:rPr>
          <w:b/>
          <w:lang w:val="en"/>
        </w:rPr>
        <w:t>Draft finding 6.1</w:t>
      </w:r>
      <w:r>
        <w:rPr>
          <w:lang w:val="en"/>
        </w:rPr>
        <w:tab/>
      </w:r>
      <w:r w:rsidRPr="002574C5">
        <w:rPr>
          <w:lang w:val="en"/>
        </w:rPr>
        <w:t>That thin markets will persist for some participants, including those “with complex, specialised or high intensity needs, or very challenging behaviours”</w:t>
      </w:r>
      <w:r w:rsidR="006F416B" w:rsidRPr="002574C5">
        <w:rPr>
          <w:lang w:val="en"/>
        </w:rPr>
        <w:t>, and that “in the absence of effective government intervention, such market failure is likely to result in greater shortages, less competition and poorer participant outcomes”.</w:t>
      </w:r>
    </w:p>
    <w:p w:rsidR="006F416B" w:rsidRDefault="006F416B" w:rsidP="00C566BF">
      <w:pPr>
        <w:pStyle w:val="NoSpacing"/>
        <w:ind w:left="2127" w:hanging="2127"/>
        <w:rPr>
          <w:lang w:val="en"/>
        </w:rPr>
      </w:pPr>
    </w:p>
    <w:p w:rsidR="00AE08A2" w:rsidRDefault="002530B5" w:rsidP="00487B54">
      <w:pPr>
        <w:pStyle w:val="NoSpacing"/>
        <w:rPr>
          <w:rFonts w:asciiTheme="minorHAnsi" w:hAnsiTheme="minorHAnsi"/>
        </w:rPr>
      </w:pPr>
      <w:r>
        <w:rPr>
          <w:lang w:val="en"/>
        </w:rPr>
        <w:t>cohealth agrees with these concerns, and anticipates that a number of participants with psychosocial disabilities will fall into this category</w:t>
      </w:r>
      <w:r w:rsidR="00A1559C">
        <w:rPr>
          <w:lang w:val="en"/>
        </w:rPr>
        <w:t>, due to their complex needs</w:t>
      </w:r>
      <w:r>
        <w:rPr>
          <w:lang w:val="en"/>
        </w:rPr>
        <w:t xml:space="preserve">.  </w:t>
      </w:r>
      <w:r w:rsidR="00AE08A2" w:rsidRPr="005E44A3">
        <w:rPr>
          <w:rFonts w:asciiTheme="minorHAnsi" w:hAnsiTheme="minorHAnsi"/>
        </w:rPr>
        <w:t>Some of the most disadvantaged consumers – people with complex mental health issues who also experience homelessness, Aboriginal and Torres Strait Islanders, people from CALD background</w:t>
      </w:r>
      <w:r w:rsidR="00AE08A2">
        <w:rPr>
          <w:rFonts w:asciiTheme="minorHAnsi" w:hAnsiTheme="minorHAnsi"/>
        </w:rPr>
        <w:t>s</w:t>
      </w:r>
      <w:r w:rsidR="00AE08A2" w:rsidRPr="005E44A3">
        <w:rPr>
          <w:rFonts w:asciiTheme="minorHAnsi" w:hAnsiTheme="minorHAnsi"/>
        </w:rPr>
        <w:t xml:space="preserve"> or </w:t>
      </w:r>
      <w:r w:rsidR="00AE08A2">
        <w:rPr>
          <w:rFonts w:asciiTheme="minorHAnsi" w:hAnsiTheme="minorHAnsi"/>
        </w:rPr>
        <w:t>those</w:t>
      </w:r>
      <w:r w:rsidR="00AE08A2" w:rsidRPr="005E44A3">
        <w:rPr>
          <w:rFonts w:asciiTheme="minorHAnsi" w:hAnsiTheme="minorHAnsi"/>
        </w:rPr>
        <w:t xml:space="preserve"> involved with the criminal justice system – </w:t>
      </w:r>
      <w:r w:rsidR="00AE08A2">
        <w:rPr>
          <w:rFonts w:asciiTheme="minorHAnsi" w:hAnsiTheme="minorHAnsi"/>
        </w:rPr>
        <w:t>require a more</w:t>
      </w:r>
      <w:r w:rsidR="00AE08A2" w:rsidRPr="005E44A3">
        <w:rPr>
          <w:rFonts w:asciiTheme="minorHAnsi" w:hAnsiTheme="minorHAnsi"/>
        </w:rPr>
        <w:t xml:space="preserve"> intensive level of support.  </w:t>
      </w:r>
    </w:p>
    <w:p w:rsidR="00AE08A2" w:rsidRDefault="00AE08A2" w:rsidP="00487B54">
      <w:pPr>
        <w:pStyle w:val="NoSpacing"/>
        <w:rPr>
          <w:rFonts w:asciiTheme="minorHAnsi" w:hAnsiTheme="minorHAnsi"/>
        </w:rPr>
      </w:pPr>
    </w:p>
    <w:p w:rsidR="006F416B" w:rsidRPr="00AE08A2" w:rsidRDefault="00AE08A2" w:rsidP="00487B54">
      <w:pPr>
        <w:pStyle w:val="NoSpacing"/>
        <w:rPr>
          <w:lang w:val="en"/>
        </w:rPr>
      </w:pPr>
      <w:r w:rsidRPr="00AE08A2">
        <w:t>We fear that</w:t>
      </w:r>
      <w:r w:rsidR="00684281">
        <w:t xml:space="preserve"> services may find</w:t>
      </w:r>
      <w:r w:rsidRPr="00AE08A2">
        <w:t xml:space="preserve"> </w:t>
      </w:r>
      <w:r w:rsidR="0057178B">
        <w:t xml:space="preserve">it unsustainable to provide supports to these consumers, due to </w:t>
      </w:r>
      <w:r w:rsidRPr="00AE08A2">
        <w:t xml:space="preserve">the additional costs associated with providing the appropriate level of support, combined with the current price </w:t>
      </w:r>
      <w:r w:rsidR="006B2E0F">
        <w:t>structure</w:t>
      </w:r>
      <w:r w:rsidR="0057178B">
        <w:t>,</w:t>
      </w:r>
      <w:r w:rsidRPr="00AE08A2">
        <w:t xml:space="preserve"> resulting in a lack of services. </w:t>
      </w:r>
      <w:r w:rsidR="00A4434E" w:rsidRPr="00AE08A2">
        <w:rPr>
          <w:lang w:val="en"/>
        </w:rPr>
        <w:t xml:space="preserve">It is critically important that these people continue to receive appropriate supports, and </w:t>
      </w:r>
      <w:r w:rsidR="0080005B">
        <w:rPr>
          <w:lang w:val="en"/>
        </w:rPr>
        <w:t xml:space="preserve">receive the vital rehabilitation supports to which they are </w:t>
      </w:r>
      <w:r w:rsidR="00743FBF">
        <w:rPr>
          <w:lang w:val="en"/>
        </w:rPr>
        <w:t>entitled</w:t>
      </w:r>
      <w:r w:rsidR="0080005B">
        <w:rPr>
          <w:lang w:val="en"/>
        </w:rPr>
        <w:t>.</w:t>
      </w:r>
    </w:p>
    <w:p w:rsidR="008B432A" w:rsidRDefault="008B432A" w:rsidP="00487B54">
      <w:pPr>
        <w:pStyle w:val="NoSpacing"/>
        <w:rPr>
          <w:lang w:val="en"/>
        </w:rPr>
      </w:pPr>
    </w:p>
    <w:p w:rsidR="008B432A" w:rsidRDefault="008B432A" w:rsidP="00487B54">
      <w:pPr>
        <w:pStyle w:val="NoSpacing"/>
        <w:rPr>
          <w:lang w:val="en"/>
        </w:rPr>
      </w:pPr>
      <w:r w:rsidRPr="005E44A3">
        <w:rPr>
          <w:rFonts w:asciiTheme="minorHAnsi" w:hAnsiTheme="minorHAnsi"/>
          <w:color w:val="000000"/>
        </w:rPr>
        <w:t xml:space="preserve">The risks </w:t>
      </w:r>
      <w:r w:rsidR="00CB1439">
        <w:rPr>
          <w:rFonts w:asciiTheme="minorHAnsi" w:hAnsiTheme="minorHAnsi"/>
          <w:color w:val="000000"/>
        </w:rPr>
        <w:t xml:space="preserve">from people </w:t>
      </w:r>
      <w:r w:rsidR="00CB1439" w:rsidRPr="005E44A3">
        <w:rPr>
          <w:rFonts w:asciiTheme="minorHAnsi" w:hAnsiTheme="minorHAnsi"/>
          <w:color w:val="000000"/>
        </w:rPr>
        <w:t xml:space="preserve">with </w:t>
      </w:r>
      <w:r w:rsidR="00F01F09">
        <w:rPr>
          <w:rFonts w:asciiTheme="minorHAnsi" w:hAnsiTheme="minorHAnsi"/>
          <w:color w:val="000000"/>
        </w:rPr>
        <w:t>psychosocial disabilities</w:t>
      </w:r>
      <w:r w:rsidR="00CB1439">
        <w:rPr>
          <w:rFonts w:asciiTheme="minorHAnsi" w:hAnsiTheme="minorHAnsi"/>
          <w:color w:val="000000"/>
        </w:rPr>
        <w:t xml:space="preserve"> not receiving appropriate support </w:t>
      </w:r>
      <w:r w:rsidR="00485D2E" w:rsidRPr="005E44A3">
        <w:rPr>
          <w:rFonts w:asciiTheme="minorHAnsi" w:hAnsiTheme="minorHAnsi"/>
          <w:color w:val="000000"/>
        </w:rPr>
        <w:t>services</w:t>
      </w:r>
      <w:r w:rsidRPr="005E44A3">
        <w:rPr>
          <w:rFonts w:asciiTheme="minorHAnsi" w:hAnsiTheme="minorHAnsi"/>
          <w:color w:val="000000"/>
        </w:rPr>
        <w:t xml:space="preserve"> </w:t>
      </w:r>
      <w:r w:rsidR="00CB1439" w:rsidRPr="005E44A3">
        <w:rPr>
          <w:rFonts w:asciiTheme="minorHAnsi" w:hAnsiTheme="minorHAnsi"/>
          <w:color w:val="000000"/>
        </w:rPr>
        <w:t>are real and significant</w:t>
      </w:r>
      <w:r w:rsidR="00CB1439">
        <w:rPr>
          <w:rFonts w:asciiTheme="minorHAnsi" w:hAnsiTheme="minorHAnsi"/>
          <w:color w:val="000000"/>
        </w:rPr>
        <w:t xml:space="preserve"> -</w:t>
      </w:r>
      <w:r w:rsidR="00CB1439" w:rsidRPr="005E44A3">
        <w:rPr>
          <w:rFonts w:asciiTheme="minorHAnsi" w:hAnsiTheme="minorHAnsi"/>
          <w:color w:val="000000"/>
        </w:rPr>
        <w:t xml:space="preserve"> </w:t>
      </w:r>
      <w:r w:rsidRPr="005E44A3">
        <w:rPr>
          <w:rFonts w:asciiTheme="minorHAnsi" w:hAnsiTheme="minorHAnsi"/>
          <w:color w:val="000000"/>
        </w:rPr>
        <w:t xml:space="preserve">to </w:t>
      </w:r>
      <w:r w:rsidR="00CB1439">
        <w:rPr>
          <w:rFonts w:asciiTheme="minorHAnsi" w:hAnsiTheme="minorHAnsi"/>
          <w:color w:val="000000"/>
        </w:rPr>
        <w:t>the individuals</w:t>
      </w:r>
      <w:r w:rsidRPr="005E44A3">
        <w:rPr>
          <w:rFonts w:asciiTheme="minorHAnsi" w:hAnsiTheme="minorHAnsi"/>
          <w:color w:val="000000"/>
        </w:rPr>
        <w:t>, their families and the community</w:t>
      </w:r>
      <w:r w:rsidR="00F50B76">
        <w:rPr>
          <w:rFonts w:asciiTheme="minorHAnsi" w:hAnsiTheme="minorHAnsi"/>
          <w:color w:val="000000"/>
        </w:rPr>
        <w:t>, and</w:t>
      </w:r>
      <w:r w:rsidR="00F50B76" w:rsidRPr="00F50B76">
        <w:rPr>
          <w:rFonts w:asciiTheme="minorHAnsi" w:hAnsiTheme="minorHAnsi"/>
          <w:color w:val="000000"/>
        </w:rPr>
        <w:t xml:space="preserve"> </w:t>
      </w:r>
      <w:r w:rsidR="00F50B76" w:rsidRPr="005E44A3">
        <w:rPr>
          <w:rFonts w:asciiTheme="minorHAnsi" w:hAnsiTheme="minorHAnsi"/>
          <w:color w:val="000000"/>
        </w:rPr>
        <w:t>run counter to the aims of the NDIS</w:t>
      </w:r>
      <w:r w:rsidRPr="005E44A3">
        <w:rPr>
          <w:rFonts w:asciiTheme="minorHAnsi" w:hAnsiTheme="minorHAnsi"/>
          <w:color w:val="000000"/>
        </w:rPr>
        <w:t xml:space="preserve">.  </w:t>
      </w:r>
      <w:r w:rsidR="00CB1439">
        <w:rPr>
          <w:rFonts w:asciiTheme="minorHAnsi" w:hAnsiTheme="minorHAnsi"/>
          <w:color w:val="000000"/>
        </w:rPr>
        <w:t>P</w:t>
      </w:r>
      <w:r w:rsidRPr="005E44A3">
        <w:rPr>
          <w:rFonts w:asciiTheme="minorHAnsi" w:hAnsiTheme="minorHAnsi"/>
          <w:color w:val="000000"/>
        </w:rPr>
        <w:t xml:space="preserve">otential consequences </w:t>
      </w:r>
      <w:r w:rsidR="00CB1439">
        <w:rPr>
          <w:rFonts w:asciiTheme="minorHAnsi" w:hAnsiTheme="minorHAnsi"/>
          <w:color w:val="000000"/>
        </w:rPr>
        <w:t>include</w:t>
      </w:r>
      <w:r w:rsidR="00F50B76">
        <w:rPr>
          <w:rFonts w:asciiTheme="minorHAnsi" w:hAnsiTheme="minorHAnsi"/>
          <w:color w:val="000000"/>
        </w:rPr>
        <w:t>:</w:t>
      </w:r>
      <w:r w:rsidR="00CB1439">
        <w:rPr>
          <w:rFonts w:asciiTheme="minorHAnsi" w:hAnsiTheme="minorHAnsi"/>
          <w:color w:val="000000"/>
        </w:rPr>
        <w:t xml:space="preserve"> a</w:t>
      </w:r>
      <w:r w:rsidRPr="005E44A3">
        <w:rPr>
          <w:rFonts w:asciiTheme="minorHAnsi" w:hAnsiTheme="minorHAnsi"/>
          <w:color w:val="000000"/>
        </w:rPr>
        <w:t xml:space="preserve"> decline in </w:t>
      </w:r>
      <w:r w:rsidR="00CB1439">
        <w:rPr>
          <w:rFonts w:asciiTheme="minorHAnsi" w:hAnsiTheme="minorHAnsi"/>
          <w:color w:val="000000"/>
        </w:rPr>
        <w:t xml:space="preserve">individual </w:t>
      </w:r>
      <w:r w:rsidRPr="005E44A3">
        <w:rPr>
          <w:rFonts w:asciiTheme="minorHAnsi" w:hAnsiTheme="minorHAnsi"/>
          <w:color w:val="000000"/>
        </w:rPr>
        <w:t xml:space="preserve">wellbeing, greater responsibility placed on families and informal supports, and </w:t>
      </w:r>
      <w:r w:rsidR="00C33C1C">
        <w:rPr>
          <w:rFonts w:asciiTheme="minorHAnsi" w:hAnsiTheme="minorHAnsi"/>
          <w:color w:val="000000"/>
        </w:rPr>
        <w:t xml:space="preserve">increased </w:t>
      </w:r>
      <w:r w:rsidRPr="005E44A3">
        <w:rPr>
          <w:rFonts w:asciiTheme="minorHAnsi" w:hAnsiTheme="minorHAnsi"/>
          <w:color w:val="000000"/>
        </w:rPr>
        <w:t>pressure on the acute mental health, health, alcohol and o</w:t>
      </w:r>
      <w:r w:rsidR="00F50B76">
        <w:rPr>
          <w:rFonts w:asciiTheme="minorHAnsi" w:hAnsiTheme="minorHAnsi"/>
          <w:color w:val="000000"/>
        </w:rPr>
        <w:t>ther drugs and justice systems.</w:t>
      </w:r>
    </w:p>
    <w:p w:rsidR="00AE08A2" w:rsidRDefault="002530B5" w:rsidP="00487B54">
      <w:pPr>
        <w:pStyle w:val="NoSpacing"/>
        <w:rPr>
          <w:lang w:val="en"/>
        </w:rPr>
      </w:pPr>
      <w:r>
        <w:rPr>
          <w:lang w:val="en"/>
        </w:rPr>
        <w:tab/>
      </w:r>
    </w:p>
    <w:p w:rsidR="001F090B" w:rsidRDefault="002530B5" w:rsidP="00487B54">
      <w:pPr>
        <w:pStyle w:val="NoSpacing"/>
      </w:pPr>
      <w:r>
        <w:rPr>
          <w:lang w:val="en"/>
        </w:rPr>
        <w:t xml:space="preserve">In this context cohealth argues that </w:t>
      </w:r>
      <w:r w:rsidRPr="001F090B">
        <w:rPr>
          <w:lang w:val="en"/>
        </w:rPr>
        <w:t>block funding</w:t>
      </w:r>
      <w:r w:rsidR="00C33C1C">
        <w:rPr>
          <w:lang w:val="en"/>
        </w:rPr>
        <w:t xml:space="preserve"> should</w:t>
      </w:r>
      <w:r w:rsidRPr="001F090B">
        <w:rPr>
          <w:lang w:val="en"/>
        </w:rPr>
        <w:t xml:space="preserve"> </w:t>
      </w:r>
      <w:r w:rsidR="006B2E0F">
        <w:rPr>
          <w:lang w:val="en"/>
        </w:rPr>
        <w:t>be</w:t>
      </w:r>
      <w:r w:rsidR="00E67F40">
        <w:rPr>
          <w:lang w:val="en"/>
        </w:rPr>
        <w:t xml:space="preserve"> provided</w:t>
      </w:r>
      <w:r w:rsidR="00E67F40" w:rsidRPr="001F090B">
        <w:rPr>
          <w:lang w:val="en"/>
        </w:rPr>
        <w:t xml:space="preserve"> </w:t>
      </w:r>
      <w:r w:rsidRPr="001F090B">
        <w:rPr>
          <w:lang w:val="en"/>
        </w:rPr>
        <w:t>to existing providers</w:t>
      </w:r>
      <w:r w:rsidR="00E67F40">
        <w:rPr>
          <w:lang w:val="en"/>
        </w:rPr>
        <w:t>, to</w:t>
      </w:r>
      <w:r w:rsidRPr="001F090B">
        <w:rPr>
          <w:lang w:val="en"/>
        </w:rPr>
        <w:t xml:space="preserve"> ensure</w:t>
      </w:r>
      <w:r>
        <w:rPr>
          <w:lang w:val="en"/>
        </w:rPr>
        <w:t xml:space="preserve"> the continuity</w:t>
      </w:r>
      <w:r w:rsidR="00A4434E">
        <w:rPr>
          <w:lang w:val="en"/>
        </w:rPr>
        <w:t xml:space="preserve"> of support</w:t>
      </w:r>
      <w:r w:rsidR="00E67F40">
        <w:rPr>
          <w:lang w:val="en"/>
        </w:rPr>
        <w:t xml:space="preserve"> for particularly </w:t>
      </w:r>
      <w:r w:rsidR="003756F3">
        <w:rPr>
          <w:rFonts w:asciiTheme="minorHAnsi" w:hAnsiTheme="minorHAnsi"/>
          <w:szCs w:val="22"/>
          <w:lang w:val="en-AU"/>
        </w:rPr>
        <w:t>d</w:t>
      </w:r>
      <w:r w:rsidR="003756F3" w:rsidRPr="005E44A3">
        <w:rPr>
          <w:rFonts w:asciiTheme="minorHAnsi" w:hAnsiTheme="minorHAnsi"/>
          <w:szCs w:val="22"/>
          <w:lang w:val="en-AU"/>
        </w:rPr>
        <w:t xml:space="preserve">isadvantaged </w:t>
      </w:r>
      <w:r w:rsidR="00E67F40">
        <w:rPr>
          <w:lang w:val="en"/>
        </w:rPr>
        <w:t xml:space="preserve">groups, </w:t>
      </w:r>
      <w:r w:rsidR="003756F3" w:rsidRPr="005E44A3">
        <w:rPr>
          <w:rFonts w:asciiTheme="minorHAnsi" w:hAnsiTheme="minorHAnsi"/>
          <w:szCs w:val="22"/>
          <w:lang w:val="en-AU"/>
        </w:rPr>
        <w:t>such as refugees, people experiencing homelessness,</w:t>
      </w:r>
      <w:r w:rsidR="003756F3">
        <w:rPr>
          <w:rFonts w:asciiTheme="minorHAnsi" w:hAnsiTheme="minorHAnsi"/>
          <w:szCs w:val="22"/>
          <w:lang w:val="en-AU"/>
        </w:rPr>
        <w:t xml:space="preserve"> </w:t>
      </w:r>
      <w:r w:rsidR="003756F3" w:rsidRPr="005E44A3">
        <w:rPr>
          <w:rFonts w:asciiTheme="minorHAnsi" w:hAnsiTheme="minorHAnsi"/>
          <w:szCs w:val="22"/>
          <w:lang w:val="en-AU"/>
        </w:rPr>
        <w:t>CALD communities, Aboriginal and Torres Strait Islander groups, people involved in the criminal justice system and those with complex support needs</w:t>
      </w:r>
      <w:r w:rsidR="00A61D75" w:rsidRPr="003756F3">
        <w:t>.</w:t>
      </w:r>
      <w:r w:rsidR="003756F3">
        <w:t xml:space="preserve">  </w:t>
      </w:r>
    </w:p>
    <w:p w:rsidR="0080005B" w:rsidRDefault="0080005B" w:rsidP="00487B54">
      <w:pPr>
        <w:pStyle w:val="NoSpacing"/>
      </w:pPr>
    </w:p>
    <w:p w:rsidR="00F203EF" w:rsidRDefault="00684281" w:rsidP="00487B54">
      <w:pPr>
        <w:pStyle w:val="NoSpacing"/>
        <w:shd w:val="clear" w:color="auto" w:fill="F2F2F2" w:themeFill="background1" w:themeFillShade="F2"/>
        <w:rPr>
          <w:rFonts w:asciiTheme="minorHAnsi" w:hAnsiTheme="minorHAnsi" w:cs="Arial"/>
          <w:i/>
          <w:szCs w:val="20"/>
        </w:rPr>
      </w:pPr>
      <w:r w:rsidRPr="00F203EF">
        <w:rPr>
          <w:b/>
        </w:rPr>
        <w:lastRenderedPageBreak/>
        <w:t xml:space="preserve">Section 7 - </w:t>
      </w:r>
      <w:r w:rsidR="0067107C" w:rsidRPr="00F203EF">
        <w:rPr>
          <w:b/>
        </w:rPr>
        <w:t xml:space="preserve">Workforce Readiness </w:t>
      </w:r>
      <w:r w:rsidR="00BD4149">
        <w:rPr>
          <w:b/>
        </w:rPr>
        <w:tab/>
      </w:r>
      <w:r w:rsidR="00F203EF" w:rsidRPr="002574C5">
        <w:rPr>
          <w:rFonts w:asciiTheme="minorHAnsi" w:hAnsiTheme="minorHAnsi" w:cs="Arial"/>
          <w:szCs w:val="20"/>
        </w:rPr>
        <w:t>“The challenges confronting the readiness of the workforce, if left unaddressed, could create short-term and long-term risks to the sustainability of the scheme and the wellbeing of participants.”</w:t>
      </w:r>
    </w:p>
    <w:p w:rsidR="00487B54" w:rsidRPr="008B432A" w:rsidRDefault="00487B54" w:rsidP="00487B54">
      <w:pPr>
        <w:pStyle w:val="NoSpacing"/>
        <w:rPr>
          <w:rFonts w:asciiTheme="minorHAnsi" w:hAnsiTheme="minorHAnsi" w:cs="Arial"/>
          <w:i/>
          <w:szCs w:val="20"/>
        </w:rPr>
      </w:pPr>
    </w:p>
    <w:p w:rsidR="00F203EF" w:rsidRPr="00F203EF" w:rsidRDefault="00F203EF" w:rsidP="002574C5">
      <w:pPr>
        <w:rPr>
          <w:rFonts w:asciiTheme="minorHAnsi" w:hAnsiTheme="minorHAnsi" w:cs="Arial"/>
          <w:sz w:val="20"/>
          <w:szCs w:val="20"/>
        </w:rPr>
      </w:pPr>
      <w:r w:rsidRPr="00F203EF">
        <w:rPr>
          <w:rFonts w:asciiTheme="minorHAnsi" w:hAnsiTheme="minorHAnsi" w:cs="Arial"/>
          <w:sz w:val="20"/>
          <w:szCs w:val="20"/>
        </w:rPr>
        <w:t>Section 7 - Workforce Readiness focusses on the very real concern that the workforce may not be able to grow fast enough to meet the demand for disability support.</w:t>
      </w:r>
    </w:p>
    <w:p w:rsidR="00E540DF" w:rsidRDefault="00B46E74" w:rsidP="002574C5">
      <w:pPr>
        <w:rPr>
          <w:rFonts w:asciiTheme="minorHAnsi" w:hAnsiTheme="minorHAnsi" w:cs="Arial"/>
          <w:sz w:val="20"/>
          <w:szCs w:val="20"/>
        </w:rPr>
      </w:pPr>
      <w:r>
        <w:rPr>
          <w:rFonts w:asciiTheme="minorHAnsi" w:hAnsiTheme="minorHAnsi" w:cs="Arial"/>
          <w:sz w:val="20"/>
          <w:szCs w:val="20"/>
        </w:rPr>
        <w:t>cohealth is concerned</w:t>
      </w:r>
      <w:r w:rsidR="00C33C1C">
        <w:rPr>
          <w:rFonts w:asciiTheme="minorHAnsi" w:hAnsiTheme="minorHAnsi" w:cs="Arial"/>
          <w:sz w:val="20"/>
          <w:szCs w:val="20"/>
        </w:rPr>
        <w:t xml:space="preserve"> </w:t>
      </w:r>
      <w:r>
        <w:rPr>
          <w:rFonts w:asciiTheme="minorHAnsi" w:hAnsiTheme="minorHAnsi" w:cs="Arial"/>
          <w:sz w:val="20"/>
          <w:szCs w:val="20"/>
        </w:rPr>
        <w:t xml:space="preserve">that little attention is given </w:t>
      </w:r>
      <w:r w:rsidR="00E540DF">
        <w:rPr>
          <w:rFonts w:asciiTheme="minorHAnsi" w:hAnsiTheme="minorHAnsi" w:cs="Arial"/>
          <w:sz w:val="20"/>
          <w:szCs w:val="20"/>
        </w:rPr>
        <w:t xml:space="preserve">in </w:t>
      </w:r>
      <w:r w:rsidR="00F203EF">
        <w:rPr>
          <w:rFonts w:asciiTheme="minorHAnsi" w:hAnsiTheme="minorHAnsi" w:cs="Arial"/>
          <w:sz w:val="20"/>
          <w:szCs w:val="20"/>
        </w:rPr>
        <w:t>this</w:t>
      </w:r>
      <w:r w:rsidR="00E540DF">
        <w:rPr>
          <w:rFonts w:asciiTheme="minorHAnsi" w:hAnsiTheme="minorHAnsi" w:cs="Arial"/>
          <w:sz w:val="20"/>
          <w:szCs w:val="20"/>
        </w:rPr>
        <w:t xml:space="preserve"> discussion </w:t>
      </w:r>
      <w:r>
        <w:rPr>
          <w:rFonts w:asciiTheme="minorHAnsi" w:hAnsiTheme="minorHAnsi" w:cs="Arial"/>
          <w:sz w:val="20"/>
          <w:szCs w:val="20"/>
        </w:rPr>
        <w:t xml:space="preserve">to the </w:t>
      </w:r>
      <w:r w:rsidR="00F203EF">
        <w:rPr>
          <w:rFonts w:asciiTheme="minorHAnsi" w:hAnsiTheme="minorHAnsi" w:cs="Arial"/>
          <w:sz w:val="20"/>
          <w:szCs w:val="20"/>
        </w:rPr>
        <w:t xml:space="preserve">appropriate </w:t>
      </w:r>
      <w:r>
        <w:rPr>
          <w:rFonts w:asciiTheme="minorHAnsi" w:hAnsiTheme="minorHAnsi" w:cs="Arial"/>
          <w:sz w:val="20"/>
          <w:szCs w:val="20"/>
        </w:rPr>
        <w:t>skills and qu</w:t>
      </w:r>
      <w:r w:rsidR="008B432A">
        <w:rPr>
          <w:rFonts w:asciiTheme="minorHAnsi" w:hAnsiTheme="minorHAnsi" w:cs="Arial"/>
          <w:sz w:val="20"/>
          <w:szCs w:val="20"/>
        </w:rPr>
        <w:t>alifications of the workforce</w:t>
      </w:r>
      <w:r w:rsidR="00E540DF">
        <w:rPr>
          <w:rFonts w:asciiTheme="minorHAnsi" w:hAnsiTheme="minorHAnsi" w:cs="Arial"/>
          <w:sz w:val="20"/>
          <w:szCs w:val="20"/>
        </w:rPr>
        <w:t xml:space="preserve">. While the size of the workforce is important, the ability of the workforce to meet participant needs is also critical. </w:t>
      </w:r>
    </w:p>
    <w:p w:rsidR="00B46E74" w:rsidRDefault="00B46E74" w:rsidP="002574C5">
      <w:pPr>
        <w:rPr>
          <w:rFonts w:asciiTheme="minorHAnsi" w:hAnsiTheme="minorHAnsi" w:cs="Arial"/>
          <w:sz w:val="20"/>
          <w:szCs w:val="20"/>
        </w:rPr>
      </w:pPr>
      <w:r w:rsidRPr="00B46E74">
        <w:rPr>
          <w:rFonts w:asciiTheme="minorHAnsi" w:hAnsiTheme="minorHAnsi" w:cs="Arial"/>
          <w:sz w:val="20"/>
          <w:szCs w:val="20"/>
        </w:rPr>
        <w:t xml:space="preserve">Providing effective support for people with psychosocial disabilities requires a </w:t>
      </w:r>
      <w:r w:rsidRPr="00194D35">
        <w:rPr>
          <w:rFonts w:asciiTheme="minorHAnsi" w:hAnsiTheme="minorHAnsi" w:cs="Arial"/>
          <w:sz w:val="20"/>
          <w:szCs w:val="20"/>
        </w:rPr>
        <w:t>workforce</w:t>
      </w:r>
      <w:r w:rsidRPr="00B46E74">
        <w:rPr>
          <w:rFonts w:asciiTheme="minorHAnsi" w:hAnsiTheme="minorHAnsi" w:cs="Arial"/>
          <w:sz w:val="20"/>
          <w:szCs w:val="20"/>
        </w:rPr>
        <w:t xml:space="preserve"> </w:t>
      </w:r>
      <w:r w:rsidR="00194D35" w:rsidRPr="00B46E74">
        <w:rPr>
          <w:rFonts w:asciiTheme="minorHAnsi" w:hAnsiTheme="minorHAnsi" w:cs="Arial"/>
          <w:sz w:val="20"/>
          <w:szCs w:val="20"/>
        </w:rPr>
        <w:t xml:space="preserve">that </w:t>
      </w:r>
      <w:r w:rsidR="00194D35">
        <w:rPr>
          <w:rFonts w:asciiTheme="minorHAnsi" w:hAnsiTheme="minorHAnsi" w:cs="Arial"/>
          <w:sz w:val="20"/>
          <w:szCs w:val="20"/>
        </w:rPr>
        <w:t>has</w:t>
      </w:r>
      <w:r w:rsidR="003B7586">
        <w:rPr>
          <w:rFonts w:asciiTheme="minorHAnsi" w:hAnsiTheme="minorHAnsi" w:cs="Arial"/>
          <w:sz w:val="20"/>
          <w:szCs w:val="20"/>
        </w:rPr>
        <w:t xml:space="preserve"> specialised knowledge and skills </w:t>
      </w:r>
      <w:r w:rsidR="00743FBF">
        <w:rPr>
          <w:rFonts w:asciiTheme="minorHAnsi" w:hAnsiTheme="minorHAnsi" w:cs="Arial"/>
          <w:sz w:val="20"/>
          <w:szCs w:val="20"/>
        </w:rPr>
        <w:t>about the complexities of</w:t>
      </w:r>
      <w:r w:rsidR="003B7586">
        <w:rPr>
          <w:rFonts w:asciiTheme="minorHAnsi" w:hAnsiTheme="minorHAnsi" w:cs="Arial"/>
          <w:sz w:val="20"/>
          <w:szCs w:val="20"/>
        </w:rPr>
        <w:t xml:space="preserve"> working</w:t>
      </w:r>
      <w:r w:rsidRPr="00B46E74">
        <w:rPr>
          <w:rFonts w:asciiTheme="minorHAnsi" w:hAnsiTheme="minorHAnsi" w:cs="Arial"/>
          <w:sz w:val="20"/>
          <w:szCs w:val="20"/>
        </w:rPr>
        <w:t xml:space="preserve"> with people</w:t>
      </w:r>
      <w:r w:rsidR="00743FBF">
        <w:rPr>
          <w:rFonts w:asciiTheme="minorHAnsi" w:hAnsiTheme="minorHAnsi" w:cs="Arial"/>
          <w:sz w:val="20"/>
          <w:szCs w:val="20"/>
        </w:rPr>
        <w:t xml:space="preserve"> with a mental illness</w:t>
      </w:r>
      <w:r w:rsidRPr="00B46E74">
        <w:rPr>
          <w:rFonts w:asciiTheme="minorHAnsi" w:hAnsiTheme="minorHAnsi" w:cs="Arial"/>
          <w:sz w:val="20"/>
          <w:szCs w:val="20"/>
        </w:rPr>
        <w:t xml:space="preserve">. This is quite different work to the </w:t>
      </w:r>
      <w:r w:rsidR="00743FBF">
        <w:rPr>
          <w:rFonts w:asciiTheme="minorHAnsi" w:hAnsiTheme="minorHAnsi" w:cs="Arial"/>
          <w:sz w:val="20"/>
          <w:szCs w:val="20"/>
        </w:rPr>
        <w:t xml:space="preserve">generic </w:t>
      </w:r>
      <w:r w:rsidRPr="00B46E74">
        <w:rPr>
          <w:rFonts w:asciiTheme="minorHAnsi" w:hAnsiTheme="minorHAnsi" w:cs="Arial"/>
          <w:sz w:val="20"/>
          <w:szCs w:val="20"/>
        </w:rPr>
        <w:t xml:space="preserve">disability support work on which the pricing structure is based. </w:t>
      </w:r>
      <w:r w:rsidR="00E540DF">
        <w:rPr>
          <w:rFonts w:asciiTheme="minorHAnsi" w:hAnsiTheme="minorHAnsi" w:cs="Arial"/>
          <w:sz w:val="20"/>
          <w:szCs w:val="20"/>
        </w:rPr>
        <w:t xml:space="preserve">This difference is not reflected in the </w:t>
      </w:r>
      <w:r w:rsidR="008B432A">
        <w:rPr>
          <w:rFonts w:asciiTheme="minorHAnsi" w:hAnsiTheme="minorHAnsi" w:cs="Arial"/>
          <w:sz w:val="20"/>
          <w:szCs w:val="20"/>
        </w:rPr>
        <w:t xml:space="preserve">NDIS </w:t>
      </w:r>
      <w:r w:rsidRPr="00B46E74">
        <w:rPr>
          <w:rFonts w:asciiTheme="minorHAnsi" w:hAnsiTheme="minorHAnsi" w:cs="Arial"/>
          <w:sz w:val="20"/>
          <w:szCs w:val="20"/>
        </w:rPr>
        <w:t>pricing structure</w:t>
      </w:r>
      <w:r w:rsidR="00E540DF">
        <w:rPr>
          <w:rFonts w:asciiTheme="minorHAnsi" w:hAnsiTheme="minorHAnsi" w:cs="Arial"/>
          <w:sz w:val="20"/>
          <w:szCs w:val="20"/>
        </w:rPr>
        <w:t xml:space="preserve">.  As such, </w:t>
      </w:r>
      <w:r w:rsidRPr="00B46E74">
        <w:rPr>
          <w:rFonts w:asciiTheme="minorHAnsi" w:hAnsiTheme="minorHAnsi" w:cs="Arial"/>
          <w:sz w:val="20"/>
          <w:szCs w:val="20"/>
        </w:rPr>
        <w:t>services will not be able to employ appropriately qualified</w:t>
      </w:r>
      <w:r w:rsidR="00194D35">
        <w:rPr>
          <w:rFonts w:asciiTheme="minorHAnsi" w:hAnsiTheme="minorHAnsi" w:cs="Arial"/>
          <w:sz w:val="20"/>
          <w:szCs w:val="20"/>
        </w:rPr>
        <w:t xml:space="preserve"> and experienced</w:t>
      </w:r>
      <w:r w:rsidRPr="00B46E74">
        <w:rPr>
          <w:rFonts w:asciiTheme="minorHAnsi" w:hAnsiTheme="minorHAnsi" w:cs="Arial"/>
          <w:sz w:val="20"/>
          <w:szCs w:val="20"/>
        </w:rPr>
        <w:t xml:space="preserve"> staff to provide the necessary level of support.  Clearly, if providers are not </w:t>
      </w:r>
      <w:r w:rsidR="00C33C1C">
        <w:rPr>
          <w:rFonts w:asciiTheme="minorHAnsi" w:hAnsiTheme="minorHAnsi" w:cs="Arial"/>
          <w:sz w:val="20"/>
          <w:szCs w:val="20"/>
        </w:rPr>
        <w:t>remunerated</w:t>
      </w:r>
      <w:r w:rsidRPr="00B46E74">
        <w:rPr>
          <w:rFonts w:asciiTheme="minorHAnsi" w:hAnsiTheme="minorHAnsi" w:cs="Arial"/>
          <w:sz w:val="20"/>
          <w:szCs w:val="20"/>
        </w:rPr>
        <w:t xml:space="preserve"> for the cost of providing </w:t>
      </w:r>
      <w:r w:rsidR="00743FBF">
        <w:rPr>
          <w:rFonts w:asciiTheme="minorHAnsi" w:hAnsiTheme="minorHAnsi" w:cs="Arial"/>
          <w:sz w:val="20"/>
          <w:szCs w:val="20"/>
        </w:rPr>
        <w:t>appropriate</w:t>
      </w:r>
      <w:r w:rsidRPr="00B46E74">
        <w:rPr>
          <w:rFonts w:asciiTheme="minorHAnsi" w:hAnsiTheme="minorHAnsi" w:cs="Arial"/>
          <w:sz w:val="20"/>
          <w:szCs w:val="20"/>
        </w:rPr>
        <w:t xml:space="preserve"> support the risk is that these services will not be provided.   </w:t>
      </w:r>
    </w:p>
    <w:p w:rsidR="00B46E74" w:rsidRDefault="00C33C1C" w:rsidP="002574C5">
      <w:pPr>
        <w:rPr>
          <w:rFonts w:asciiTheme="minorHAnsi" w:hAnsiTheme="minorHAnsi" w:cs="Arial"/>
          <w:sz w:val="20"/>
          <w:szCs w:val="20"/>
        </w:rPr>
      </w:pPr>
      <w:r>
        <w:rPr>
          <w:rFonts w:asciiTheme="minorHAnsi" w:hAnsiTheme="minorHAnsi" w:cs="Arial"/>
          <w:sz w:val="20"/>
          <w:szCs w:val="20"/>
        </w:rPr>
        <w:t xml:space="preserve">If providers are unable to </w:t>
      </w:r>
      <w:r w:rsidR="00B46E74">
        <w:rPr>
          <w:rFonts w:asciiTheme="minorHAnsi" w:hAnsiTheme="minorHAnsi" w:cs="Arial"/>
          <w:sz w:val="20"/>
          <w:szCs w:val="20"/>
        </w:rPr>
        <w:t xml:space="preserve">provide appropriate and effective supports, </w:t>
      </w:r>
      <w:r>
        <w:rPr>
          <w:rFonts w:asciiTheme="minorHAnsi" w:hAnsiTheme="minorHAnsi" w:cs="Arial"/>
          <w:sz w:val="20"/>
          <w:szCs w:val="20"/>
        </w:rPr>
        <w:t>there is a risk that participant choice will be constrained,</w:t>
      </w:r>
      <w:r w:rsidR="00B46E74">
        <w:rPr>
          <w:rFonts w:asciiTheme="minorHAnsi" w:hAnsiTheme="minorHAnsi" w:cs="Arial"/>
          <w:sz w:val="20"/>
          <w:szCs w:val="20"/>
        </w:rPr>
        <w:t xml:space="preserve"> </w:t>
      </w:r>
      <w:r w:rsidR="00983413">
        <w:rPr>
          <w:rFonts w:asciiTheme="minorHAnsi" w:hAnsiTheme="minorHAnsi" w:cs="Arial"/>
          <w:sz w:val="20"/>
          <w:szCs w:val="20"/>
        </w:rPr>
        <w:t xml:space="preserve">over time </w:t>
      </w:r>
      <w:r w:rsidR="00B46E74">
        <w:rPr>
          <w:rFonts w:asciiTheme="minorHAnsi" w:hAnsiTheme="minorHAnsi" w:cs="Arial"/>
          <w:sz w:val="20"/>
          <w:szCs w:val="20"/>
        </w:rPr>
        <w:t xml:space="preserve">jeopardising the scheme aims.  </w:t>
      </w:r>
    </w:p>
    <w:p w:rsidR="00B46E74" w:rsidRDefault="00B46E74" w:rsidP="002574C5">
      <w:pPr>
        <w:rPr>
          <w:rFonts w:asciiTheme="minorHAnsi" w:hAnsiTheme="minorHAnsi" w:cs="Arial"/>
          <w:sz w:val="20"/>
          <w:szCs w:val="20"/>
        </w:rPr>
      </w:pPr>
      <w:r>
        <w:rPr>
          <w:rFonts w:asciiTheme="minorHAnsi" w:hAnsiTheme="minorHAnsi" w:cs="Arial"/>
          <w:sz w:val="20"/>
          <w:szCs w:val="20"/>
        </w:rPr>
        <w:t xml:space="preserve">cohealth recommends that </w:t>
      </w:r>
      <w:r w:rsidRPr="00B46E74">
        <w:rPr>
          <w:rFonts w:asciiTheme="minorHAnsi" w:hAnsiTheme="minorHAnsi" w:cs="Arial"/>
          <w:sz w:val="20"/>
          <w:szCs w:val="20"/>
        </w:rPr>
        <w:t>the pricing structure</w:t>
      </w:r>
      <w:r>
        <w:rPr>
          <w:rFonts w:asciiTheme="minorHAnsi" w:hAnsiTheme="minorHAnsi" w:cs="Arial"/>
          <w:sz w:val="20"/>
          <w:szCs w:val="20"/>
        </w:rPr>
        <w:t xml:space="preserve"> be reviewed</w:t>
      </w:r>
      <w:r w:rsidRPr="00B46E74">
        <w:rPr>
          <w:rFonts w:asciiTheme="minorHAnsi" w:hAnsiTheme="minorHAnsi" w:cs="Arial"/>
          <w:sz w:val="20"/>
          <w:szCs w:val="20"/>
        </w:rPr>
        <w:t xml:space="preserve"> to ensure it allows sufficient resources to effectively meet the needs of people with psychosocial disability. Specifically, a separate cost line for mental health support services should be included, with a higher hourly rate.  Provision for payment for features essential to the work, such as active outreach work, two worker visits, ‘no-shows’</w:t>
      </w:r>
      <w:r w:rsidR="00592AE0">
        <w:rPr>
          <w:rFonts w:asciiTheme="minorHAnsi" w:hAnsiTheme="minorHAnsi" w:cs="Arial"/>
          <w:sz w:val="20"/>
          <w:szCs w:val="20"/>
        </w:rPr>
        <w:t>, case conferences</w:t>
      </w:r>
      <w:r w:rsidRPr="00B46E74">
        <w:rPr>
          <w:rFonts w:asciiTheme="minorHAnsi" w:hAnsiTheme="minorHAnsi" w:cs="Arial"/>
          <w:sz w:val="20"/>
          <w:szCs w:val="20"/>
        </w:rPr>
        <w:t xml:space="preserve"> and extended travel provisions should be included.  </w:t>
      </w:r>
      <w:r w:rsidR="00194D35">
        <w:rPr>
          <w:rFonts w:asciiTheme="minorHAnsi" w:hAnsiTheme="minorHAnsi" w:cs="Arial"/>
          <w:sz w:val="20"/>
          <w:szCs w:val="20"/>
        </w:rPr>
        <w:br/>
      </w:r>
      <w:r w:rsidR="002574C5">
        <w:rPr>
          <w:rFonts w:asciiTheme="minorHAnsi" w:hAnsiTheme="minorHAnsi" w:cs="Arial"/>
          <w:sz w:val="20"/>
          <w:szCs w:val="20"/>
        </w:rPr>
        <w:br/>
      </w:r>
      <w:r w:rsidR="00743FBF">
        <w:rPr>
          <w:rFonts w:asciiTheme="minorHAnsi" w:hAnsiTheme="minorHAnsi" w:cs="Arial"/>
          <w:sz w:val="20"/>
          <w:szCs w:val="20"/>
        </w:rPr>
        <w:t>cohealth remains seriously concerned that t</w:t>
      </w:r>
      <w:r w:rsidR="00194D35">
        <w:rPr>
          <w:rFonts w:asciiTheme="minorHAnsi" w:hAnsiTheme="minorHAnsi" w:cs="Arial"/>
          <w:sz w:val="20"/>
          <w:szCs w:val="20"/>
        </w:rPr>
        <w:t>he rehabilitation</w:t>
      </w:r>
      <w:r w:rsidR="00743FBF" w:rsidRPr="00B46E74">
        <w:rPr>
          <w:rFonts w:asciiTheme="minorHAnsi" w:hAnsiTheme="minorHAnsi" w:cs="Arial"/>
          <w:sz w:val="20"/>
          <w:szCs w:val="20"/>
        </w:rPr>
        <w:t xml:space="preserve"> approach currently undertaken by community mental health services is likely to be lost </w:t>
      </w:r>
      <w:r w:rsidR="00743FBF">
        <w:rPr>
          <w:rFonts w:asciiTheme="minorHAnsi" w:hAnsiTheme="minorHAnsi" w:cs="Arial"/>
          <w:sz w:val="20"/>
          <w:szCs w:val="20"/>
        </w:rPr>
        <w:t xml:space="preserve">as existing state funding moves the NDIS.  We urge the State and Territory governments to meet their obligations to ensure that psychosocial rehabilitation is </w:t>
      </w:r>
      <w:r w:rsidR="0029490D">
        <w:rPr>
          <w:rFonts w:asciiTheme="minorHAnsi" w:hAnsiTheme="minorHAnsi" w:cs="Arial"/>
          <w:sz w:val="20"/>
          <w:szCs w:val="20"/>
        </w:rPr>
        <w:t xml:space="preserve">adequately funded. </w:t>
      </w:r>
      <w:r w:rsidR="00194D35">
        <w:rPr>
          <w:rFonts w:asciiTheme="minorHAnsi" w:hAnsiTheme="minorHAnsi" w:cs="Arial"/>
          <w:sz w:val="20"/>
          <w:szCs w:val="20"/>
        </w:rPr>
        <w:br/>
      </w:r>
    </w:p>
    <w:p w:rsidR="002574C5" w:rsidRPr="002574C5" w:rsidRDefault="00A4434E" w:rsidP="00487B54">
      <w:pPr>
        <w:pStyle w:val="NoSpacing"/>
        <w:shd w:val="clear" w:color="auto" w:fill="F2F2F2" w:themeFill="background1" w:themeFillShade="F2"/>
        <w:rPr>
          <w:rFonts w:asciiTheme="minorHAnsi" w:hAnsiTheme="minorHAnsi" w:cs="Arial"/>
          <w:szCs w:val="20"/>
        </w:rPr>
      </w:pPr>
      <w:r w:rsidRPr="00487B54">
        <w:rPr>
          <w:b/>
        </w:rPr>
        <w:t>Information request 8.1</w:t>
      </w:r>
      <w:r w:rsidR="00487B54">
        <w:rPr>
          <w:b/>
        </w:rPr>
        <w:t xml:space="preserve">  </w:t>
      </w:r>
      <w:r w:rsidR="00983413">
        <w:rPr>
          <w:rFonts w:asciiTheme="minorHAnsi" w:hAnsiTheme="minorHAnsi" w:cs="Arial"/>
          <w:i/>
          <w:szCs w:val="20"/>
        </w:rPr>
        <w:tab/>
      </w:r>
      <w:r w:rsidR="0032602E">
        <w:rPr>
          <w:rFonts w:asciiTheme="minorHAnsi" w:hAnsiTheme="minorHAnsi" w:cs="Arial"/>
          <w:i/>
          <w:szCs w:val="20"/>
        </w:rPr>
        <w:t>“</w:t>
      </w:r>
      <w:r w:rsidR="0032602E" w:rsidRPr="0032602E">
        <w:rPr>
          <w:rFonts w:asciiTheme="minorHAnsi" w:hAnsiTheme="minorHAnsi" w:cs="Arial"/>
          <w:szCs w:val="20"/>
        </w:rPr>
        <w:t>Is support coordination being appropriately targeted to meet the aims for which it was</w:t>
      </w:r>
      <w:r w:rsidR="0032602E">
        <w:rPr>
          <w:rFonts w:asciiTheme="minorHAnsi" w:hAnsiTheme="minorHAnsi" w:cs="Arial"/>
          <w:szCs w:val="20"/>
        </w:rPr>
        <w:t xml:space="preserve"> </w:t>
      </w:r>
      <w:r w:rsidR="0032602E" w:rsidRPr="0032602E">
        <w:rPr>
          <w:rFonts w:asciiTheme="minorHAnsi" w:hAnsiTheme="minorHAnsi" w:cs="Arial"/>
          <w:szCs w:val="20"/>
        </w:rPr>
        <w:t>designed?</w:t>
      </w:r>
      <w:r w:rsidR="0032602E">
        <w:rPr>
          <w:rFonts w:asciiTheme="minorHAnsi" w:hAnsiTheme="minorHAnsi" w:cs="Arial"/>
          <w:szCs w:val="20"/>
        </w:rPr>
        <w:t>”</w:t>
      </w:r>
    </w:p>
    <w:p w:rsidR="003B0960" w:rsidRDefault="002574C5" w:rsidP="00487B54">
      <w:pPr>
        <w:rPr>
          <w:rFonts w:asciiTheme="minorHAnsi" w:hAnsiTheme="minorHAnsi" w:cs="Arial"/>
          <w:sz w:val="20"/>
          <w:szCs w:val="20"/>
        </w:rPr>
      </w:pPr>
      <w:r>
        <w:rPr>
          <w:rFonts w:asciiTheme="minorHAnsi" w:hAnsiTheme="minorHAnsi" w:cs="Arial"/>
          <w:sz w:val="20"/>
          <w:szCs w:val="20"/>
        </w:rPr>
        <w:br/>
      </w:r>
      <w:r w:rsidR="003B0960">
        <w:rPr>
          <w:rFonts w:asciiTheme="minorHAnsi" w:hAnsiTheme="minorHAnsi" w:cs="Arial"/>
          <w:sz w:val="20"/>
          <w:szCs w:val="20"/>
        </w:rPr>
        <w:t xml:space="preserve">People with complex needs, including those with psychosocial disability, can </w:t>
      </w:r>
      <w:r w:rsidR="00983413">
        <w:rPr>
          <w:rFonts w:asciiTheme="minorHAnsi" w:hAnsiTheme="minorHAnsi" w:cs="Arial"/>
          <w:sz w:val="20"/>
          <w:szCs w:val="20"/>
        </w:rPr>
        <w:t>require</w:t>
      </w:r>
      <w:r w:rsidR="003B0960">
        <w:rPr>
          <w:rFonts w:asciiTheme="minorHAnsi" w:hAnsiTheme="minorHAnsi" w:cs="Arial"/>
          <w:sz w:val="20"/>
          <w:szCs w:val="20"/>
        </w:rPr>
        <w:t xml:space="preserve"> greater assistance in navigating the NDIS – a need </w:t>
      </w:r>
      <w:r w:rsidR="007F1103">
        <w:rPr>
          <w:rFonts w:asciiTheme="minorHAnsi" w:hAnsiTheme="minorHAnsi" w:cs="Arial"/>
          <w:sz w:val="20"/>
          <w:szCs w:val="20"/>
        </w:rPr>
        <w:t>recognised</w:t>
      </w:r>
      <w:r w:rsidR="003B0960">
        <w:rPr>
          <w:rFonts w:asciiTheme="minorHAnsi" w:hAnsiTheme="minorHAnsi" w:cs="Arial"/>
          <w:sz w:val="20"/>
          <w:szCs w:val="20"/>
        </w:rPr>
        <w:t xml:space="preserve"> by the NDIA in implementing the ‘participant pathway’</w:t>
      </w:r>
      <w:r w:rsidR="003B0960">
        <w:rPr>
          <w:rStyle w:val="FootnoteReference"/>
          <w:rFonts w:asciiTheme="minorHAnsi" w:hAnsiTheme="minorHAnsi"/>
          <w:sz w:val="20"/>
          <w:szCs w:val="20"/>
        </w:rPr>
        <w:footnoteReference w:id="2"/>
      </w:r>
      <w:r w:rsidR="003B0960">
        <w:rPr>
          <w:rFonts w:asciiTheme="minorHAnsi" w:hAnsiTheme="minorHAnsi" w:cs="Arial"/>
          <w:sz w:val="20"/>
          <w:szCs w:val="20"/>
        </w:rPr>
        <w:t xml:space="preserve">.  </w:t>
      </w:r>
      <w:r w:rsidR="007F1103">
        <w:rPr>
          <w:rFonts w:asciiTheme="minorHAnsi" w:hAnsiTheme="minorHAnsi" w:cs="Arial"/>
          <w:sz w:val="20"/>
          <w:szCs w:val="20"/>
        </w:rPr>
        <w:t xml:space="preserve">However, the identification of people who fall into this category, and who are eligible to receive additional assistance, could be improved.  It would be valuable for the NDIA to develop, in consultation with consumers and service providers, a </w:t>
      </w:r>
      <w:r w:rsidR="007F1103" w:rsidRPr="00A61D75">
        <w:rPr>
          <w:rFonts w:asciiTheme="minorHAnsi" w:hAnsiTheme="minorHAnsi" w:cs="Arial"/>
          <w:sz w:val="20"/>
          <w:szCs w:val="20"/>
        </w:rPr>
        <w:t xml:space="preserve">methodology for measuring the capacity of consumers </w:t>
      </w:r>
      <w:r w:rsidR="007F1103">
        <w:rPr>
          <w:rFonts w:asciiTheme="minorHAnsi" w:hAnsiTheme="minorHAnsi" w:cs="Arial"/>
          <w:sz w:val="20"/>
          <w:szCs w:val="20"/>
        </w:rPr>
        <w:t>to ensure</w:t>
      </w:r>
      <w:r w:rsidR="00983413">
        <w:rPr>
          <w:rFonts w:asciiTheme="minorHAnsi" w:hAnsiTheme="minorHAnsi" w:cs="Arial"/>
          <w:sz w:val="20"/>
          <w:szCs w:val="20"/>
        </w:rPr>
        <w:t xml:space="preserve"> that</w:t>
      </w:r>
      <w:r w:rsidR="007F1103">
        <w:rPr>
          <w:rFonts w:asciiTheme="minorHAnsi" w:hAnsiTheme="minorHAnsi" w:cs="Arial"/>
          <w:sz w:val="20"/>
          <w:szCs w:val="20"/>
        </w:rPr>
        <w:t xml:space="preserve"> appropriate assistance is provided.   </w:t>
      </w:r>
      <w:r>
        <w:rPr>
          <w:rFonts w:asciiTheme="minorHAnsi" w:hAnsiTheme="minorHAnsi" w:cs="Arial"/>
          <w:sz w:val="20"/>
          <w:szCs w:val="20"/>
        </w:rPr>
        <w:br/>
      </w:r>
    </w:p>
    <w:p w:rsidR="0024674B" w:rsidRPr="00DF77A4" w:rsidRDefault="00AC45C6" w:rsidP="0032602E">
      <w:pPr>
        <w:pStyle w:val="NoSpacing"/>
        <w:shd w:val="clear" w:color="auto" w:fill="F2F2F2" w:themeFill="background1" w:themeFillShade="F2"/>
        <w:rPr>
          <w:rFonts w:asciiTheme="minorHAnsi" w:hAnsiTheme="minorHAnsi" w:cs="Arial"/>
          <w:i/>
          <w:szCs w:val="20"/>
        </w:rPr>
      </w:pPr>
      <w:r w:rsidRPr="002574C5">
        <w:rPr>
          <w:b/>
          <w:szCs w:val="20"/>
        </w:rPr>
        <w:t>Information request 8.2</w:t>
      </w:r>
      <w:r w:rsidR="00487B54">
        <w:rPr>
          <w:szCs w:val="20"/>
        </w:rPr>
        <w:t xml:space="preserve">  </w:t>
      </w:r>
      <w:r w:rsidR="00DF77A4">
        <w:rPr>
          <w:rFonts w:asciiTheme="minorHAnsi" w:hAnsiTheme="minorHAnsi" w:cs="Arial"/>
          <w:szCs w:val="20"/>
        </w:rPr>
        <w:tab/>
      </w:r>
      <w:r w:rsidR="0032602E">
        <w:rPr>
          <w:rFonts w:asciiTheme="minorHAnsi" w:hAnsiTheme="minorHAnsi" w:cs="Arial"/>
          <w:szCs w:val="20"/>
        </w:rPr>
        <w:t>“</w:t>
      </w:r>
      <w:r w:rsidR="0032602E" w:rsidRPr="0032602E">
        <w:rPr>
          <w:rFonts w:asciiTheme="minorHAnsi" w:hAnsiTheme="minorHAnsi" w:cs="Arial"/>
          <w:szCs w:val="20"/>
        </w:rPr>
        <w:t>Is there scope for Disability Support Organisations and private intermediaries to play a</w:t>
      </w:r>
      <w:r w:rsidR="0032602E">
        <w:rPr>
          <w:rFonts w:asciiTheme="minorHAnsi" w:hAnsiTheme="minorHAnsi" w:cs="Arial"/>
          <w:szCs w:val="20"/>
        </w:rPr>
        <w:t xml:space="preserve"> </w:t>
      </w:r>
      <w:r w:rsidR="0032602E" w:rsidRPr="0032602E">
        <w:rPr>
          <w:rFonts w:asciiTheme="minorHAnsi" w:hAnsiTheme="minorHAnsi" w:cs="Arial"/>
          <w:szCs w:val="20"/>
        </w:rPr>
        <w:t>greater role in supporting participants?</w:t>
      </w:r>
      <w:r w:rsidR="0032602E">
        <w:rPr>
          <w:rFonts w:asciiTheme="minorHAnsi" w:hAnsiTheme="minorHAnsi" w:cs="Arial"/>
          <w:szCs w:val="20"/>
        </w:rPr>
        <w:t>”</w:t>
      </w:r>
    </w:p>
    <w:p w:rsidR="00DF1351" w:rsidRDefault="002574C5" w:rsidP="002574C5">
      <w:pPr>
        <w:rPr>
          <w:rFonts w:asciiTheme="minorHAnsi" w:hAnsiTheme="minorHAnsi" w:cs="Arial"/>
          <w:sz w:val="20"/>
          <w:szCs w:val="20"/>
        </w:rPr>
      </w:pPr>
      <w:r>
        <w:rPr>
          <w:rFonts w:asciiTheme="minorHAnsi" w:hAnsiTheme="minorHAnsi" w:cs="Arial"/>
          <w:sz w:val="20"/>
          <w:szCs w:val="20"/>
        </w:rPr>
        <w:br/>
      </w:r>
      <w:r w:rsidR="00DF1351">
        <w:rPr>
          <w:rFonts w:asciiTheme="minorHAnsi" w:hAnsiTheme="minorHAnsi" w:cs="Arial"/>
          <w:sz w:val="20"/>
          <w:szCs w:val="20"/>
        </w:rPr>
        <w:t>Knowledgeable i</w:t>
      </w:r>
      <w:r w:rsidR="00357DB6">
        <w:rPr>
          <w:rFonts w:asciiTheme="minorHAnsi" w:hAnsiTheme="minorHAnsi" w:cs="Arial"/>
          <w:sz w:val="20"/>
          <w:szCs w:val="20"/>
        </w:rPr>
        <w:t xml:space="preserve">ntermediaries </w:t>
      </w:r>
      <w:r w:rsidR="00B47E12">
        <w:rPr>
          <w:rFonts w:asciiTheme="minorHAnsi" w:hAnsiTheme="minorHAnsi" w:cs="Arial"/>
          <w:sz w:val="20"/>
          <w:szCs w:val="20"/>
        </w:rPr>
        <w:t xml:space="preserve">can </w:t>
      </w:r>
      <w:r w:rsidR="00A656EE">
        <w:rPr>
          <w:rFonts w:asciiTheme="minorHAnsi" w:hAnsiTheme="minorHAnsi" w:cs="Arial"/>
          <w:sz w:val="20"/>
          <w:szCs w:val="20"/>
        </w:rPr>
        <w:t>play an important</w:t>
      </w:r>
      <w:r w:rsidR="00B47E12">
        <w:rPr>
          <w:rFonts w:asciiTheme="minorHAnsi" w:hAnsiTheme="minorHAnsi" w:cs="Arial"/>
          <w:sz w:val="20"/>
          <w:szCs w:val="20"/>
        </w:rPr>
        <w:t xml:space="preserve"> role in </w:t>
      </w:r>
      <w:r w:rsidR="00357DB6">
        <w:rPr>
          <w:rFonts w:asciiTheme="minorHAnsi" w:hAnsiTheme="minorHAnsi" w:cs="Arial"/>
          <w:sz w:val="20"/>
          <w:szCs w:val="20"/>
        </w:rPr>
        <w:t>support</w:t>
      </w:r>
      <w:r w:rsidR="00B47E12">
        <w:rPr>
          <w:rFonts w:asciiTheme="minorHAnsi" w:hAnsiTheme="minorHAnsi" w:cs="Arial"/>
          <w:sz w:val="20"/>
          <w:szCs w:val="20"/>
        </w:rPr>
        <w:t>ing</w:t>
      </w:r>
      <w:r w:rsidR="00357DB6">
        <w:rPr>
          <w:rFonts w:asciiTheme="minorHAnsi" w:hAnsiTheme="minorHAnsi" w:cs="Arial"/>
          <w:sz w:val="20"/>
          <w:szCs w:val="20"/>
        </w:rPr>
        <w:t xml:space="preserve"> participants </w:t>
      </w:r>
      <w:r w:rsidR="00A656EE">
        <w:rPr>
          <w:rFonts w:asciiTheme="minorHAnsi" w:hAnsiTheme="minorHAnsi" w:cs="Arial"/>
          <w:sz w:val="20"/>
          <w:szCs w:val="20"/>
        </w:rPr>
        <w:t>to be ready for the NDIS</w:t>
      </w:r>
      <w:r w:rsidR="00A61D75" w:rsidRPr="00A61D75">
        <w:rPr>
          <w:rFonts w:asciiTheme="minorHAnsi" w:hAnsiTheme="minorHAnsi" w:cs="Arial"/>
          <w:sz w:val="20"/>
          <w:szCs w:val="20"/>
        </w:rPr>
        <w:t xml:space="preserve">. </w:t>
      </w:r>
      <w:r w:rsidR="00DF1351">
        <w:rPr>
          <w:rFonts w:asciiTheme="minorHAnsi" w:hAnsiTheme="minorHAnsi" w:cs="Arial"/>
          <w:sz w:val="20"/>
          <w:szCs w:val="20"/>
        </w:rPr>
        <w:t xml:space="preserve"> They can provide education to participants about their rights and </w:t>
      </w:r>
      <w:r w:rsidR="00DF1351">
        <w:rPr>
          <w:rFonts w:asciiTheme="minorHAnsi" w:hAnsiTheme="minorHAnsi" w:cs="Arial"/>
          <w:sz w:val="20"/>
          <w:szCs w:val="20"/>
        </w:rPr>
        <w:lastRenderedPageBreak/>
        <w:t xml:space="preserve">entitlements under the scheme, and independent advocacy for appropriate plan preparation.  </w:t>
      </w:r>
    </w:p>
    <w:p w:rsidR="00641A00" w:rsidRPr="00641A00" w:rsidRDefault="00641A00" w:rsidP="002574C5">
      <w:pPr>
        <w:rPr>
          <w:b/>
          <w:sz w:val="20"/>
        </w:rPr>
      </w:pPr>
      <w:r w:rsidRPr="00641A00">
        <w:rPr>
          <w:sz w:val="20"/>
        </w:rPr>
        <w:t>cohealth has observed the importance of consumer</w:t>
      </w:r>
      <w:r w:rsidR="00983413">
        <w:rPr>
          <w:sz w:val="20"/>
        </w:rPr>
        <w:t>s</w:t>
      </w:r>
      <w:r w:rsidRPr="00641A00">
        <w:rPr>
          <w:sz w:val="20"/>
        </w:rPr>
        <w:t xml:space="preserve"> having a support person, or advocate, who knows them and their needs well, </w:t>
      </w:r>
      <w:r>
        <w:rPr>
          <w:sz w:val="20"/>
        </w:rPr>
        <w:t>involved in the planning process</w:t>
      </w:r>
      <w:r w:rsidRPr="00641A00">
        <w:rPr>
          <w:sz w:val="20"/>
        </w:rPr>
        <w:t xml:space="preserve">.  For example, two consumers of cohealth support services, with very similar conditions and circumstances received very different plans.  The main difference appeared to be that one had an advocate/support accompany them to the planning meeting.  This consumer had a </w:t>
      </w:r>
      <w:r w:rsidR="00983413" w:rsidRPr="00641A00">
        <w:rPr>
          <w:sz w:val="20"/>
        </w:rPr>
        <w:t xml:space="preserve">more comprehensive </w:t>
      </w:r>
      <w:r w:rsidRPr="00641A00">
        <w:rPr>
          <w:sz w:val="20"/>
        </w:rPr>
        <w:t>plan developed that provided for more effective and appropriate supports.</w:t>
      </w:r>
      <w:r>
        <w:rPr>
          <w:sz w:val="20"/>
        </w:rPr>
        <w:t xml:space="preserve">  </w:t>
      </w:r>
    </w:p>
    <w:p w:rsidR="00E57C92" w:rsidRDefault="007F1103" w:rsidP="002574C5">
      <w:pPr>
        <w:rPr>
          <w:rFonts w:asciiTheme="minorHAnsi" w:hAnsiTheme="minorHAnsi" w:cs="Arial"/>
          <w:sz w:val="20"/>
          <w:szCs w:val="20"/>
        </w:rPr>
      </w:pPr>
      <w:r>
        <w:rPr>
          <w:rFonts w:asciiTheme="minorHAnsi" w:hAnsiTheme="minorHAnsi" w:cs="Arial"/>
          <w:sz w:val="20"/>
          <w:szCs w:val="20"/>
        </w:rPr>
        <w:t>However, it is critical that intermediaries have the appropriate qualifications and experience. Disability support organisations, wh</w:t>
      </w:r>
      <w:r w:rsidR="00A656EE">
        <w:rPr>
          <w:rFonts w:asciiTheme="minorHAnsi" w:hAnsiTheme="minorHAnsi" w:cs="Arial"/>
          <w:sz w:val="20"/>
          <w:szCs w:val="20"/>
        </w:rPr>
        <w:t xml:space="preserve">ich understand the service systems, terminology and supports available, are best placed to provide this assistance.  Peer workers are ideally placed to provide the support, advice and advocacy to participants. </w:t>
      </w:r>
    </w:p>
    <w:p w:rsidR="00A656EE" w:rsidRDefault="00A656EE" w:rsidP="00357DB6">
      <w:pPr>
        <w:ind w:left="2127"/>
        <w:rPr>
          <w:rFonts w:asciiTheme="minorHAnsi" w:hAnsiTheme="minorHAnsi" w:cs="Arial"/>
          <w:sz w:val="20"/>
          <w:szCs w:val="20"/>
        </w:rPr>
      </w:pPr>
    </w:p>
    <w:p w:rsidR="00AB7AF4" w:rsidRPr="005E44A3" w:rsidRDefault="00AB7AF4" w:rsidP="009D02D0">
      <w:pPr>
        <w:rPr>
          <w:rFonts w:asciiTheme="minorHAnsi" w:hAnsiTheme="minorHAnsi" w:cs="Arial"/>
          <w:sz w:val="20"/>
          <w:szCs w:val="20"/>
        </w:rPr>
      </w:pPr>
      <w:r w:rsidRPr="005E44A3">
        <w:rPr>
          <w:rFonts w:asciiTheme="minorHAnsi" w:hAnsiTheme="minorHAnsi" w:cs="Arial"/>
          <w:sz w:val="20"/>
          <w:szCs w:val="20"/>
        </w:rPr>
        <w:t>Yours sincerely</w:t>
      </w:r>
    </w:p>
    <w:p w:rsidR="001E7B88" w:rsidRPr="005E44A3" w:rsidRDefault="001E7B88" w:rsidP="009D02D0">
      <w:pPr>
        <w:rPr>
          <w:rFonts w:asciiTheme="minorHAnsi" w:hAnsiTheme="minorHAnsi"/>
          <w:noProof/>
          <w:sz w:val="20"/>
          <w:szCs w:val="20"/>
          <w:shd w:val="clear" w:color="auto" w:fill="FFFFFF"/>
          <w:lang w:val="en-AU" w:eastAsia="en-AU"/>
        </w:rPr>
      </w:pPr>
    </w:p>
    <w:p w:rsidR="00AB7AF4" w:rsidRPr="005E44A3" w:rsidRDefault="00AB7AF4" w:rsidP="00DC0984">
      <w:pPr>
        <w:pStyle w:val="NoSpacing"/>
      </w:pPr>
      <w:r w:rsidRPr="005E44A3">
        <w:t>Lyn Morgain</w:t>
      </w:r>
    </w:p>
    <w:p w:rsidR="00AB7AF4" w:rsidRPr="005E44A3" w:rsidRDefault="00F41D39" w:rsidP="009D02D0">
      <w:pPr>
        <w:rPr>
          <w:rFonts w:asciiTheme="minorHAnsi" w:hAnsiTheme="minorHAnsi" w:cs="Arial"/>
          <w:sz w:val="20"/>
          <w:szCs w:val="20"/>
        </w:rPr>
      </w:pPr>
      <w:r w:rsidRPr="005E44A3">
        <w:rPr>
          <w:rFonts w:asciiTheme="minorHAnsi" w:hAnsiTheme="minorHAnsi" w:cs="Arial"/>
          <w:sz w:val="20"/>
          <w:szCs w:val="20"/>
        </w:rPr>
        <w:t>Chief Executive</w:t>
      </w:r>
    </w:p>
    <w:sectPr w:rsidR="00AB7AF4" w:rsidRPr="005E44A3" w:rsidSect="006B5DCA">
      <w:headerReference w:type="even" r:id="rId11"/>
      <w:headerReference w:type="default" r:id="rId12"/>
      <w:footerReference w:type="even" r:id="rId13"/>
      <w:footerReference w:type="default" r:id="rId14"/>
      <w:headerReference w:type="first" r:id="rId15"/>
      <w:footerReference w:type="first" r:id="rId16"/>
      <w:pgSz w:w="11906" w:h="16838" w:code="9"/>
      <w:pgMar w:top="1985" w:right="1416"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A0B" w:rsidRDefault="00257A0B" w:rsidP="0019305E">
      <w:pPr>
        <w:spacing w:after="0"/>
      </w:pPr>
      <w:r>
        <w:separator/>
      </w:r>
    </w:p>
  </w:endnote>
  <w:endnote w:type="continuationSeparator" w:id="0">
    <w:p w:rsidR="00257A0B" w:rsidRDefault="00257A0B" w:rsidP="0019305E">
      <w:pPr>
        <w:spacing w:after="0"/>
      </w:pPr>
      <w:r>
        <w:continuationSeparator/>
      </w:r>
    </w:p>
  </w:endnote>
  <w:endnote w:type="continuationNotice" w:id="1">
    <w:p w:rsidR="00257A0B" w:rsidRDefault="00257A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DCA" w:rsidRDefault="006B5DCA">
    <w:pPr>
      <w:spacing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DCA" w:rsidRDefault="006B5DCA">
    <w:pPr>
      <w:pStyle w:val="Footer"/>
    </w:pPr>
    <w:r>
      <w:rPr>
        <w:noProof/>
        <w:lang w:val="en-AU" w:eastAsia="en-AU"/>
      </w:rPr>
      <w:drawing>
        <wp:anchor distT="0" distB="0" distL="114300" distR="114300" simplePos="0" relativeHeight="251657728" behindDoc="0" locked="0" layoutInCell="1" allowOverlap="1" wp14:anchorId="5E741416" wp14:editId="2633755F">
          <wp:simplePos x="0" y="0"/>
          <wp:positionH relativeFrom="column">
            <wp:posOffset>3544570</wp:posOffset>
          </wp:positionH>
          <wp:positionV relativeFrom="page">
            <wp:posOffset>9926320</wp:posOffset>
          </wp:positionV>
          <wp:extent cx="2459990" cy="4533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9990" cy="4533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n-AU" w:eastAsia="en-AU"/>
      </w:rPr>
      <mc:AlternateContent>
        <mc:Choice Requires="wps">
          <w:drawing>
            <wp:anchor distT="45720" distB="45720" distL="114300" distR="114300" simplePos="0" relativeHeight="251656704" behindDoc="0" locked="0" layoutInCell="1" allowOverlap="1" wp14:anchorId="1F2A8E23" wp14:editId="3E9B9946">
              <wp:simplePos x="0" y="0"/>
              <wp:positionH relativeFrom="margin">
                <wp:posOffset>0</wp:posOffset>
              </wp:positionH>
              <wp:positionV relativeFrom="page">
                <wp:posOffset>10030460</wp:posOffset>
              </wp:positionV>
              <wp:extent cx="2017395" cy="49784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7395" cy="497840"/>
                      </a:xfrm>
                      <a:prstGeom prst="rect">
                        <a:avLst/>
                      </a:prstGeom>
                      <a:noFill/>
                      <a:ln w="9525">
                        <a:noFill/>
                        <a:miter lim="800000"/>
                        <a:headEnd/>
                        <a:tailEnd/>
                      </a:ln>
                    </wps:spPr>
                    <wps:txbx>
                      <w:txbxContent>
                        <w:p w:rsidR="006B5DCA" w:rsidRPr="000C0132" w:rsidRDefault="006B5DCA" w:rsidP="002C3F9A">
                          <w:pPr>
                            <w:rPr>
                              <w:b/>
                              <w:color w:val="58595B" w:themeColor="accent5"/>
                              <w:spacing w:val="-12"/>
                              <w:sz w:val="32"/>
                              <w:szCs w:val="32"/>
                            </w:rPr>
                          </w:pPr>
                          <w:r w:rsidRPr="000C0132">
                            <w:rPr>
                              <w:b/>
                              <w:color w:val="58595B" w:themeColor="accent5"/>
                              <w:spacing w:val="-12"/>
                              <w:sz w:val="32"/>
                              <w:szCs w:val="32"/>
                            </w:rPr>
                            <w:t>cohealth.org.au</w:t>
                          </w:r>
                        </w:p>
                      </w:txbxContent>
                    </wps:txbx>
                    <wps:bodyPr rot="0" vert="horz" wrap="square" lIns="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1F2A8E23" id="_x0000_t202" coordsize="21600,21600" o:spt="202" path="m,l,21600r21600,l21600,xe">
              <v:stroke joinstyle="miter"/>
              <v:path gradientshapeok="t" o:connecttype="rect"/>
            </v:shapetype>
            <v:shape id="_x0000_s1027" type="#_x0000_t202" style="position:absolute;margin-left:0;margin-top:789.8pt;width:158.85pt;height:39.2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" filled="f" stroked="f">
              <v:textbox inset="0">
                <w:txbxContent>
                  <w:p w:rsidR="006B5DCA" w:rsidRPr="000C0132" w:rsidRDefault="006B5DCA" w:rsidP="002C3F9A">
                    <w:pPr>
                      <w:rPr>
                        <w:b/>
                        <w:color w:val="58595B" w:themeColor="accent5"/>
                        <w:spacing w:val="-12"/>
                        <w:sz w:val="32"/>
                        <w:szCs w:val="32"/>
                      </w:rPr>
                    </w:pPr>
                    <w:r w:rsidRPr="000C0132">
                      <w:rPr>
                        <w:b/>
                        <w:color w:val="58595B" w:themeColor="accent5"/>
                        <w:spacing w:val="-12"/>
                        <w:sz w:val="32"/>
                        <w:szCs w:val="32"/>
                      </w:rPr>
                      <w:t>cohealth.org.au</w:t>
                    </w:r>
                  </w:p>
                </w:txbxContent>
              </v:textbox>
              <w10:wrap anchorx="margin"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DCA" w:rsidRDefault="006B5DCA">
    <w:pPr>
      <w:spacing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A0B" w:rsidRDefault="00257A0B" w:rsidP="0019305E">
      <w:pPr>
        <w:spacing w:after="0"/>
      </w:pPr>
      <w:r>
        <w:separator/>
      </w:r>
    </w:p>
  </w:footnote>
  <w:footnote w:type="continuationSeparator" w:id="0">
    <w:p w:rsidR="00257A0B" w:rsidRDefault="00257A0B" w:rsidP="0019305E">
      <w:pPr>
        <w:spacing w:after="0"/>
      </w:pPr>
      <w:r>
        <w:continuationSeparator/>
      </w:r>
    </w:p>
  </w:footnote>
  <w:footnote w:type="continuationNotice" w:id="1">
    <w:p w:rsidR="00257A0B" w:rsidRDefault="00257A0B">
      <w:pPr>
        <w:spacing w:after="0"/>
      </w:pPr>
    </w:p>
  </w:footnote>
  <w:footnote w:id="2">
    <w:p w:rsidR="006B5DCA" w:rsidRPr="003B0960" w:rsidRDefault="006B5DCA">
      <w:pPr>
        <w:pStyle w:val="FootnoteText"/>
        <w:rPr>
          <w:lang w:val="en-US"/>
        </w:rPr>
      </w:pPr>
      <w:r>
        <w:rPr>
          <w:rStyle w:val="FootnoteReference"/>
        </w:rPr>
        <w:footnoteRef/>
      </w:r>
      <w:r>
        <w:t xml:space="preserve"> </w:t>
      </w:r>
      <w:r w:rsidRPr="007F1103">
        <w:rPr>
          <w:sz w:val="18"/>
          <w:lang w:val="en-US"/>
        </w:rPr>
        <w:t xml:space="preserve">Productivity Commission 2017, </w:t>
      </w:r>
      <w:r w:rsidRPr="007F1103">
        <w:rPr>
          <w:i/>
          <w:sz w:val="18"/>
          <w:lang w:val="en-US"/>
        </w:rPr>
        <w:t>National Disability Insurance Scheme (NDIS) Costs,</w:t>
      </w:r>
      <w:r w:rsidRPr="007F1103">
        <w:rPr>
          <w:sz w:val="18"/>
          <w:lang w:val="en-US"/>
        </w:rPr>
        <w:t xml:space="preserve"> Position Paper p283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DCA" w:rsidRDefault="006B5DCA">
    <w:pP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DCA" w:rsidRDefault="006B5DCA">
    <w:pPr>
      <w:pStyle w:val="Header"/>
    </w:pPr>
    <w:r>
      <w:rPr>
        <w:noProof/>
        <w:lang w:val="en-AU" w:eastAsia="en-AU"/>
      </w:rPr>
      <w:drawing>
        <wp:anchor distT="0" distB="0" distL="114300" distR="114300" simplePos="0" relativeHeight="251658752" behindDoc="0" locked="0" layoutInCell="1" allowOverlap="1" wp14:anchorId="49B2703D" wp14:editId="5D88A6CE">
          <wp:simplePos x="0" y="0"/>
          <wp:positionH relativeFrom="column">
            <wp:posOffset>-1905</wp:posOffset>
          </wp:positionH>
          <wp:positionV relativeFrom="page">
            <wp:posOffset>476885</wp:posOffset>
          </wp:positionV>
          <wp:extent cx="2332355" cy="60706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2355" cy="6070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DCA" w:rsidRDefault="006B5DCA">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0651E"/>
    <w:multiLevelType w:val="hybridMultilevel"/>
    <w:tmpl w:val="FE161E28"/>
    <w:lvl w:ilvl="0" w:tplc="30686E68">
      <w:start w:val="6"/>
      <w:numFmt w:val="bullet"/>
      <w:lvlText w:val="-"/>
      <w:lvlJc w:val="left"/>
      <w:pPr>
        <w:ind w:left="720" w:hanging="360"/>
      </w:pPr>
      <w:rPr>
        <w:rFonts w:ascii="Century Gothic" w:eastAsia="Times New Roman" w:hAnsi="Century Gothic"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803C23"/>
    <w:multiLevelType w:val="hybridMultilevel"/>
    <w:tmpl w:val="9F005F96"/>
    <w:lvl w:ilvl="0" w:tplc="98FC8FA8">
      <w:start w:val="1"/>
      <w:numFmt w:val="lowerRoman"/>
      <w:lvlText w:val="%1."/>
      <w:lvlJc w:val="right"/>
      <w:pPr>
        <w:ind w:left="720" w:hanging="360"/>
      </w:pPr>
      <w:rPr>
        <w:rFonts w:cs="Times New Roman" w:hint="default"/>
        <w:b w:val="0"/>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 w15:restartNumberingAfterBreak="0">
    <w:nsid w:val="11E667B7"/>
    <w:multiLevelType w:val="hybridMultilevel"/>
    <w:tmpl w:val="26A6293E"/>
    <w:lvl w:ilvl="0" w:tplc="A990993C">
      <w:numFmt w:val="bullet"/>
      <w:lvlText w:val="-"/>
      <w:lvlJc w:val="left"/>
      <w:pPr>
        <w:ind w:left="720" w:hanging="360"/>
      </w:pPr>
      <w:rPr>
        <w:rFonts w:ascii="Century Gothic" w:eastAsia="Times New Roman" w:hAnsi="Century Gothic"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447200"/>
    <w:multiLevelType w:val="hybridMultilevel"/>
    <w:tmpl w:val="41A6E9F4"/>
    <w:lvl w:ilvl="0" w:tplc="81D0AC06">
      <w:start w:val="5"/>
      <w:numFmt w:val="lowerLetter"/>
      <w:lvlText w:val="%1."/>
      <w:lvlJc w:val="left"/>
      <w:pPr>
        <w:ind w:left="720" w:hanging="360"/>
      </w:pPr>
      <w:rPr>
        <w:rFonts w:cs="Times New Roman" w:hint="default"/>
        <w:b/>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 w15:restartNumberingAfterBreak="0">
    <w:nsid w:val="17AC6762"/>
    <w:multiLevelType w:val="hybridMultilevel"/>
    <w:tmpl w:val="3A3C60A8"/>
    <w:lvl w:ilvl="0" w:tplc="BF886BAA">
      <w:start w:val="1"/>
      <w:numFmt w:val="decimal"/>
      <w:lvlText w:val="%1."/>
      <w:lvlJc w:val="left"/>
      <w:pPr>
        <w:ind w:left="720" w:hanging="360"/>
      </w:pPr>
      <w:rPr>
        <w:rFonts w:cs="Times New Roman" w:hint="default"/>
        <w:b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D796442"/>
    <w:multiLevelType w:val="hybridMultilevel"/>
    <w:tmpl w:val="9F2026E4"/>
    <w:lvl w:ilvl="0" w:tplc="6C4E63B8">
      <w:start w:val="1"/>
      <w:numFmt w:val="decimal"/>
      <w:lvlText w:val="%1."/>
      <w:lvlJc w:val="left"/>
      <w:pPr>
        <w:ind w:left="720" w:hanging="360"/>
      </w:pPr>
      <w:rPr>
        <w:rFonts w:cs="Times New Roman" w:hint="default"/>
        <w:b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1967E3"/>
    <w:multiLevelType w:val="hybridMultilevel"/>
    <w:tmpl w:val="2C82F0E2"/>
    <w:lvl w:ilvl="0" w:tplc="CDC6CB26">
      <w:start w:val="1"/>
      <w:numFmt w:val="lowerRoman"/>
      <w:lvlText w:val="%1)"/>
      <w:lvlJc w:val="left"/>
      <w:pPr>
        <w:ind w:left="1080" w:hanging="720"/>
      </w:pPr>
      <w:rPr>
        <w:rFonts w:cs="Times New Roman" w:hint="default"/>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7" w15:restartNumberingAfterBreak="0">
    <w:nsid w:val="2E6F20AB"/>
    <w:multiLevelType w:val="hybridMultilevel"/>
    <w:tmpl w:val="7A00E320"/>
    <w:lvl w:ilvl="0" w:tplc="C3866D40">
      <w:start w:val="1"/>
      <w:numFmt w:val="lowerLetter"/>
      <w:lvlText w:val="%1."/>
      <w:lvlJc w:val="left"/>
      <w:pPr>
        <w:ind w:left="720" w:hanging="360"/>
      </w:pPr>
      <w:rPr>
        <w:rFonts w:cs="Times New Roman" w:hint="default"/>
        <w:b/>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8" w15:restartNumberingAfterBreak="0">
    <w:nsid w:val="43EB61D8"/>
    <w:multiLevelType w:val="hybridMultilevel"/>
    <w:tmpl w:val="1020FF2A"/>
    <w:lvl w:ilvl="0" w:tplc="6C4E63B8">
      <w:start w:val="1"/>
      <w:numFmt w:val="decimal"/>
      <w:lvlText w:val="%1."/>
      <w:lvlJc w:val="left"/>
      <w:pPr>
        <w:ind w:left="720" w:hanging="360"/>
      </w:pPr>
      <w:rPr>
        <w:rFonts w:cs="Times New Roman" w:hint="default"/>
        <w:b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5AA5EBA"/>
    <w:multiLevelType w:val="hybridMultilevel"/>
    <w:tmpl w:val="4EDA94DA"/>
    <w:lvl w:ilvl="0" w:tplc="6C4E63B8">
      <w:start w:val="1"/>
      <w:numFmt w:val="decimal"/>
      <w:lvlText w:val="%1."/>
      <w:lvlJc w:val="left"/>
      <w:pPr>
        <w:ind w:left="720" w:hanging="360"/>
      </w:pPr>
      <w:rPr>
        <w:rFonts w:cs="Times New Roman" w:hint="default"/>
        <w:b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D370B5B"/>
    <w:multiLevelType w:val="hybridMultilevel"/>
    <w:tmpl w:val="21143CBA"/>
    <w:lvl w:ilvl="0" w:tplc="04090001">
      <w:start w:val="1"/>
      <w:numFmt w:val="bullet"/>
      <w:lvlText w:val=""/>
      <w:lvlJc w:val="left"/>
      <w:pPr>
        <w:ind w:left="360" w:hanging="360"/>
      </w:pPr>
      <w:rPr>
        <w:rFonts w:ascii="Symbol" w:hAnsi="Symbol" w:hint="default"/>
      </w:rPr>
    </w:lvl>
    <w:lvl w:ilvl="1" w:tplc="0C09001B">
      <w:start w:val="1"/>
      <w:numFmt w:val="lowerRoman"/>
      <w:lvlText w:val="%2."/>
      <w:lvlJc w:val="right"/>
      <w:pPr>
        <w:ind w:left="1080" w:hanging="360"/>
      </w:pPr>
      <w:rPr>
        <w:rFonts w:cs="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5B001F7"/>
    <w:multiLevelType w:val="hybridMultilevel"/>
    <w:tmpl w:val="1C86A9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8451F9B"/>
    <w:multiLevelType w:val="hybridMultilevel"/>
    <w:tmpl w:val="8A2C246E"/>
    <w:lvl w:ilvl="0" w:tplc="D0E6B5E6">
      <w:start w:val="1"/>
      <w:numFmt w:val="lowerRoman"/>
      <w:lvlText w:val="%1."/>
      <w:lvlJc w:val="right"/>
      <w:pPr>
        <w:ind w:left="1508" w:hanging="360"/>
      </w:pPr>
      <w:rPr>
        <w:rFonts w:cs="Times New Roman"/>
        <w:b w:val="0"/>
      </w:rPr>
    </w:lvl>
    <w:lvl w:ilvl="1" w:tplc="0C090019">
      <w:start w:val="1"/>
      <w:numFmt w:val="lowerLetter"/>
      <w:lvlText w:val="%2."/>
      <w:lvlJc w:val="left"/>
      <w:pPr>
        <w:ind w:left="2228" w:hanging="360"/>
      </w:pPr>
      <w:rPr>
        <w:rFonts w:cs="Times New Roman"/>
      </w:rPr>
    </w:lvl>
    <w:lvl w:ilvl="2" w:tplc="0C09001B" w:tentative="1">
      <w:start w:val="1"/>
      <w:numFmt w:val="lowerRoman"/>
      <w:lvlText w:val="%3."/>
      <w:lvlJc w:val="right"/>
      <w:pPr>
        <w:ind w:left="2948" w:hanging="180"/>
      </w:pPr>
      <w:rPr>
        <w:rFonts w:cs="Times New Roman"/>
      </w:rPr>
    </w:lvl>
    <w:lvl w:ilvl="3" w:tplc="0C09000F" w:tentative="1">
      <w:start w:val="1"/>
      <w:numFmt w:val="decimal"/>
      <w:lvlText w:val="%4."/>
      <w:lvlJc w:val="left"/>
      <w:pPr>
        <w:ind w:left="3668" w:hanging="360"/>
      </w:pPr>
      <w:rPr>
        <w:rFonts w:cs="Times New Roman"/>
      </w:rPr>
    </w:lvl>
    <w:lvl w:ilvl="4" w:tplc="0C090019" w:tentative="1">
      <w:start w:val="1"/>
      <w:numFmt w:val="lowerLetter"/>
      <w:lvlText w:val="%5."/>
      <w:lvlJc w:val="left"/>
      <w:pPr>
        <w:ind w:left="4388" w:hanging="360"/>
      </w:pPr>
      <w:rPr>
        <w:rFonts w:cs="Times New Roman"/>
      </w:rPr>
    </w:lvl>
    <w:lvl w:ilvl="5" w:tplc="0C09001B" w:tentative="1">
      <w:start w:val="1"/>
      <w:numFmt w:val="lowerRoman"/>
      <w:lvlText w:val="%6."/>
      <w:lvlJc w:val="right"/>
      <w:pPr>
        <w:ind w:left="5108" w:hanging="180"/>
      </w:pPr>
      <w:rPr>
        <w:rFonts w:cs="Times New Roman"/>
      </w:rPr>
    </w:lvl>
    <w:lvl w:ilvl="6" w:tplc="0C09000F" w:tentative="1">
      <w:start w:val="1"/>
      <w:numFmt w:val="decimal"/>
      <w:lvlText w:val="%7."/>
      <w:lvlJc w:val="left"/>
      <w:pPr>
        <w:ind w:left="5828" w:hanging="360"/>
      </w:pPr>
      <w:rPr>
        <w:rFonts w:cs="Times New Roman"/>
      </w:rPr>
    </w:lvl>
    <w:lvl w:ilvl="7" w:tplc="0C090019" w:tentative="1">
      <w:start w:val="1"/>
      <w:numFmt w:val="lowerLetter"/>
      <w:lvlText w:val="%8."/>
      <w:lvlJc w:val="left"/>
      <w:pPr>
        <w:ind w:left="6548" w:hanging="360"/>
      </w:pPr>
      <w:rPr>
        <w:rFonts w:cs="Times New Roman"/>
      </w:rPr>
    </w:lvl>
    <w:lvl w:ilvl="8" w:tplc="0C09001B" w:tentative="1">
      <w:start w:val="1"/>
      <w:numFmt w:val="lowerRoman"/>
      <w:lvlText w:val="%9."/>
      <w:lvlJc w:val="right"/>
      <w:pPr>
        <w:ind w:left="7268" w:hanging="180"/>
      </w:pPr>
      <w:rPr>
        <w:rFonts w:cs="Times New Roman"/>
      </w:rPr>
    </w:lvl>
  </w:abstractNum>
  <w:abstractNum w:abstractNumId="13" w15:restartNumberingAfterBreak="0">
    <w:nsid w:val="5AEB32D9"/>
    <w:multiLevelType w:val="hybridMultilevel"/>
    <w:tmpl w:val="CAD6E6CC"/>
    <w:lvl w:ilvl="0" w:tplc="E06065DE">
      <w:numFmt w:val="bullet"/>
      <w:lvlText w:val=""/>
      <w:lvlJc w:val="left"/>
      <w:pPr>
        <w:ind w:left="1080" w:hanging="360"/>
      </w:pPr>
      <w:rPr>
        <w:rFonts w:ascii="Century Gothic" w:eastAsia="Times New Roman" w:hAnsi="Century Gothic"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5B5760A7"/>
    <w:multiLevelType w:val="hybridMultilevel"/>
    <w:tmpl w:val="4ACE3B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C779B3"/>
    <w:multiLevelType w:val="hybridMultilevel"/>
    <w:tmpl w:val="8A9C22E4"/>
    <w:lvl w:ilvl="0" w:tplc="0C09001B">
      <w:start w:val="1"/>
      <w:numFmt w:val="lowerRoman"/>
      <w:lvlText w:val="%1."/>
      <w:lvlJc w:val="right"/>
      <w:pPr>
        <w:ind w:left="1508" w:hanging="360"/>
      </w:pPr>
      <w:rPr>
        <w:rFonts w:cs="Times New Roman"/>
      </w:rPr>
    </w:lvl>
    <w:lvl w:ilvl="1" w:tplc="0C090019">
      <w:start w:val="1"/>
      <w:numFmt w:val="lowerLetter"/>
      <w:lvlText w:val="%2."/>
      <w:lvlJc w:val="left"/>
      <w:pPr>
        <w:ind w:left="2228" w:hanging="360"/>
      </w:pPr>
      <w:rPr>
        <w:rFonts w:cs="Times New Roman"/>
      </w:rPr>
    </w:lvl>
    <w:lvl w:ilvl="2" w:tplc="0C09001B" w:tentative="1">
      <w:start w:val="1"/>
      <w:numFmt w:val="lowerRoman"/>
      <w:lvlText w:val="%3."/>
      <w:lvlJc w:val="right"/>
      <w:pPr>
        <w:ind w:left="2948" w:hanging="180"/>
      </w:pPr>
      <w:rPr>
        <w:rFonts w:cs="Times New Roman"/>
      </w:rPr>
    </w:lvl>
    <w:lvl w:ilvl="3" w:tplc="0C09000F" w:tentative="1">
      <w:start w:val="1"/>
      <w:numFmt w:val="decimal"/>
      <w:lvlText w:val="%4."/>
      <w:lvlJc w:val="left"/>
      <w:pPr>
        <w:ind w:left="3668" w:hanging="360"/>
      </w:pPr>
      <w:rPr>
        <w:rFonts w:cs="Times New Roman"/>
      </w:rPr>
    </w:lvl>
    <w:lvl w:ilvl="4" w:tplc="0C090019" w:tentative="1">
      <w:start w:val="1"/>
      <w:numFmt w:val="lowerLetter"/>
      <w:lvlText w:val="%5."/>
      <w:lvlJc w:val="left"/>
      <w:pPr>
        <w:ind w:left="4388" w:hanging="360"/>
      </w:pPr>
      <w:rPr>
        <w:rFonts w:cs="Times New Roman"/>
      </w:rPr>
    </w:lvl>
    <w:lvl w:ilvl="5" w:tplc="0C09001B" w:tentative="1">
      <w:start w:val="1"/>
      <w:numFmt w:val="lowerRoman"/>
      <w:lvlText w:val="%6."/>
      <w:lvlJc w:val="right"/>
      <w:pPr>
        <w:ind w:left="5108" w:hanging="180"/>
      </w:pPr>
      <w:rPr>
        <w:rFonts w:cs="Times New Roman"/>
      </w:rPr>
    </w:lvl>
    <w:lvl w:ilvl="6" w:tplc="0C09000F" w:tentative="1">
      <w:start w:val="1"/>
      <w:numFmt w:val="decimal"/>
      <w:lvlText w:val="%7."/>
      <w:lvlJc w:val="left"/>
      <w:pPr>
        <w:ind w:left="5828" w:hanging="360"/>
      </w:pPr>
      <w:rPr>
        <w:rFonts w:cs="Times New Roman"/>
      </w:rPr>
    </w:lvl>
    <w:lvl w:ilvl="7" w:tplc="0C090019" w:tentative="1">
      <w:start w:val="1"/>
      <w:numFmt w:val="lowerLetter"/>
      <w:lvlText w:val="%8."/>
      <w:lvlJc w:val="left"/>
      <w:pPr>
        <w:ind w:left="6548" w:hanging="360"/>
      </w:pPr>
      <w:rPr>
        <w:rFonts w:cs="Times New Roman"/>
      </w:rPr>
    </w:lvl>
    <w:lvl w:ilvl="8" w:tplc="0C09001B" w:tentative="1">
      <w:start w:val="1"/>
      <w:numFmt w:val="lowerRoman"/>
      <w:lvlText w:val="%9."/>
      <w:lvlJc w:val="right"/>
      <w:pPr>
        <w:ind w:left="7268" w:hanging="180"/>
      </w:pPr>
      <w:rPr>
        <w:rFonts w:cs="Times New Roman"/>
      </w:rPr>
    </w:lvl>
  </w:abstractNum>
  <w:abstractNum w:abstractNumId="16" w15:restartNumberingAfterBreak="0">
    <w:nsid w:val="5D7B0582"/>
    <w:multiLevelType w:val="hybridMultilevel"/>
    <w:tmpl w:val="0E645404"/>
    <w:lvl w:ilvl="0" w:tplc="91A62EFE">
      <w:start w:val="500"/>
      <w:numFmt w:val="lowerRoman"/>
      <w:lvlText w:val="%1."/>
      <w:lvlJc w:val="left"/>
      <w:pPr>
        <w:ind w:left="108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7" w15:restartNumberingAfterBreak="0">
    <w:nsid w:val="61610CD9"/>
    <w:multiLevelType w:val="hybridMultilevel"/>
    <w:tmpl w:val="4EB27D3C"/>
    <w:lvl w:ilvl="0" w:tplc="0C090019">
      <w:start w:val="1"/>
      <w:numFmt w:val="lowerLetter"/>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8" w15:restartNumberingAfterBreak="0">
    <w:nsid w:val="633A68FE"/>
    <w:multiLevelType w:val="hybridMultilevel"/>
    <w:tmpl w:val="5B54318C"/>
    <w:lvl w:ilvl="0" w:tplc="E06065DE">
      <w:numFmt w:val="bullet"/>
      <w:lvlText w:val=""/>
      <w:lvlJc w:val="left"/>
      <w:pPr>
        <w:ind w:left="720" w:hanging="360"/>
      </w:pPr>
      <w:rPr>
        <w:rFonts w:ascii="Century Gothic" w:eastAsia="Times New Roman" w:hAnsi="Century Gothic"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8317B24"/>
    <w:multiLevelType w:val="hybridMultilevel"/>
    <w:tmpl w:val="EBC0D76E"/>
    <w:lvl w:ilvl="0" w:tplc="0C090015">
      <w:start w:val="1"/>
      <w:numFmt w:val="upperLetter"/>
      <w:lvlText w:val="%1."/>
      <w:lvlJc w:val="left"/>
      <w:pPr>
        <w:ind w:left="720" w:hanging="360"/>
      </w:pPr>
      <w:rPr>
        <w:rFonts w:cs="Times New Roman" w:hint="default"/>
        <w:b w:val="0"/>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74437A"/>
    <w:multiLevelType w:val="hybridMultilevel"/>
    <w:tmpl w:val="91B66D04"/>
    <w:lvl w:ilvl="0" w:tplc="CC6E3214">
      <w:start w:val="1"/>
      <w:numFmt w:val="decimal"/>
      <w:lvlText w:val="%1."/>
      <w:lvlJc w:val="left"/>
      <w:pPr>
        <w:ind w:left="720" w:hanging="360"/>
      </w:pPr>
      <w:rPr>
        <w:rFonts w:cs="Times New Roman"/>
        <w:b w:val="0"/>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21" w15:restartNumberingAfterBreak="0">
    <w:nsid w:val="75B85E8B"/>
    <w:multiLevelType w:val="hybridMultilevel"/>
    <w:tmpl w:val="C1D6C548"/>
    <w:lvl w:ilvl="0" w:tplc="BAB40778">
      <w:start w:val="1"/>
      <w:numFmt w:val="lowerRoman"/>
      <w:lvlText w:val="%1)"/>
      <w:lvlJc w:val="left"/>
      <w:pPr>
        <w:ind w:left="3600" w:hanging="72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2" w15:restartNumberingAfterBreak="0">
    <w:nsid w:val="7F175C2B"/>
    <w:multiLevelType w:val="hybridMultilevel"/>
    <w:tmpl w:val="0F4291D6"/>
    <w:lvl w:ilvl="0" w:tplc="4A808544">
      <w:start w:val="3"/>
      <w:numFmt w:val="bullet"/>
      <w:lvlText w:val="-"/>
      <w:lvlJc w:val="left"/>
      <w:pPr>
        <w:ind w:left="720" w:hanging="360"/>
      </w:pPr>
      <w:rPr>
        <w:rFonts w:ascii="Century Gothic" w:eastAsia="Times New Roman" w:hAnsi="Century Gothic"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6"/>
  </w:num>
  <w:num w:numId="4">
    <w:abstractNumId w:val="3"/>
  </w:num>
  <w:num w:numId="5">
    <w:abstractNumId w:val="1"/>
  </w:num>
  <w:num w:numId="6">
    <w:abstractNumId w:val="17"/>
  </w:num>
  <w:num w:numId="7">
    <w:abstractNumId w:val="10"/>
  </w:num>
  <w:num w:numId="8">
    <w:abstractNumId w:val="15"/>
  </w:num>
  <w:num w:numId="9">
    <w:abstractNumId w:val="2"/>
  </w:num>
  <w:num w:numId="10">
    <w:abstractNumId w:val="6"/>
  </w:num>
  <w:num w:numId="11">
    <w:abstractNumId w:val="19"/>
  </w:num>
  <w:num w:numId="12">
    <w:abstractNumId w:val="9"/>
  </w:num>
  <w:num w:numId="13">
    <w:abstractNumId w:val="20"/>
  </w:num>
  <w:num w:numId="14">
    <w:abstractNumId w:val="7"/>
  </w:num>
  <w:num w:numId="15">
    <w:abstractNumId w:val="12"/>
  </w:num>
  <w:num w:numId="16">
    <w:abstractNumId w:val="5"/>
  </w:num>
  <w:num w:numId="17">
    <w:abstractNumId w:val="22"/>
  </w:num>
  <w:num w:numId="18">
    <w:abstractNumId w:val="8"/>
  </w:num>
  <w:num w:numId="19">
    <w:abstractNumId w:val="14"/>
  </w:num>
  <w:num w:numId="20">
    <w:abstractNumId w:val="18"/>
  </w:num>
  <w:num w:numId="21">
    <w:abstractNumId w:val="13"/>
  </w:num>
  <w:num w:numId="22">
    <w:abstractNumId w:val="11"/>
  </w:num>
  <w:num w:numId="2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8AC"/>
    <w:rsid w:val="00004A2E"/>
    <w:rsid w:val="000139B1"/>
    <w:rsid w:val="00022D3F"/>
    <w:rsid w:val="000255B2"/>
    <w:rsid w:val="000278DD"/>
    <w:rsid w:val="00032F4E"/>
    <w:rsid w:val="00043B7C"/>
    <w:rsid w:val="00051C08"/>
    <w:rsid w:val="000541D3"/>
    <w:rsid w:val="00056812"/>
    <w:rsid w:val="000603B5"/>
    <w:rsid w:val="00067A97"/>
    <w:rsid w:val="00067D77"/>
    <w:rsid w:val="000749B6"/>
    <w:rsid w:val="00080250"/>
    <w:rsid w:val="00090708"/>
    <w:rsid w:val="000908B3"/>
    <w:rsid w:val="000923A8"/>
    <w:rsid w:val="00096B2B"/>
    <w:rsid w:val="000A0A2F"/>
    <w:rsid w:val="000A71E0"/>
    <w:rsid w:val="000A740C"/>
    <w:rsid w:val="000A7B19"/>
    <w:rsid w:val="000B13C4"/>
    <w:rsid w:val="000B624D"/>
    <w:rsid w:val="000C0132"/>
    <w:rsid w:val="000C0219"/>
    <w:rsid w:val="000C0C93"/>
    <w:rsid w:val="000C31A6"/>
    <w:rsid w:val="000C3621"/>
    <w:rsid w:val="000C57BB"/>
    <w:rsid w:val="000C5E5F"/>
    <w:rsid w:val="000C610B"/>
    <w:rsid w:val="000C61E3"/>
    <w:rsid w:val="000D5A70"/>
    <w:rsid w:val="000E2077"/>
    <w:rsid w:val="000E3321"/>
    <w:rsid w:val="00100CFC"/>
    <w:rsid w:val="001037FA"/>
    <w:rsid w:val="00106FC7"/>
    <w:rsid w:val="001130AA"/>
    <w:rsid w:val="00117628"/>
    <w:rsid w:val="00117F60"/>
    <w:rsid w:val="00123801"/>
    <w:rsid w:val="00123BC9"/>
    <w:rsid w:val="0013069A"/>
    <w:rsid w:val="001309D6"/>
    <w:rsid w:val="00134896"/>
    <w:rsid w:val="001373AD"/>
    <w:rsid w:val="00141540"/>
    <w:rsid w:val="00141628"/>
    <w:rsid w:val="001473E8"/>
    <w:rsid w:val="00150561"/>
    <w:rsid w:val="00152144"/>
    <w:rsid w:val="00163F6F"/>
    <w:rsid w:val="00166DF6"/>
    <w:rsid w:val="00167D30"/>
    <w:rsid w:val="00167E8B"/>
    <w:rsid w:val="00172A27"/>
    <w:rsid w:val="00173871"/>
    <w:rsid w:val="001742F4"/>
    <w:rsid w:val="00177CBB"/>
    <w:rsid w:val="00185331"/>
    <w:rsid w:val="0018579F"/>
    <w:rsid w:val="00186C8E"/>
    <w:rsid w:val="0019305E"/>
    <w:rsid w:val="00193A76"/>
    <w:rsid w:val="00194D35"/>
    <w:rsid w:val="001959C5"/>
    <w:rsid w:val="001A0292"/>
    <w:rsid w:val="001A1C32"/>
    <w:rsid w:val="001A29C9"/>
    <w:rsid w:val="001A31EA"/>
    <w:rsid w:val="001A37E7"/>
    <w:rsid w:val="001B1D28"/>
    <w:rsid w:val="001B6B06"/>
    <w:rsid w:val="001C033D"/>
    <w:rsid w:val="001C75FC"/>
    <w:rsid w:val="001D7E03"/>
    <w:rsid w:val="001E634D"/>
    <w:rsid w:val="001E7B88"/>
    <w:rsid w:val="001F090B"/>
    <w:rsid w:val="001F1553"/>
    <w:rsid w:val="001F39E9"/>
    <w:rsid w:val="001F68F1"/>
    <w:rsid w:val="00201A17"/>
    <w:rsid w:val="00203939"/>
    <w:rsid w:val="0020480E"/>
    <w:rsid w:val="00206314"/>
    <w:rsid w:val="00210F9C"/>
    <w:rsid w:val="00211B3E"/>
    <w:rsid w:val="00213FDC"/>
    <w:rsid w:val="00215815"/>
    <w:rsid w:val="0022071E"/>
    <w:rsid w:val="00223CE6"/>
    <w:rsid w:val="00224B53"/>
    <w:rsid w:val="00230F79"/>
    <w:rsid w:val="00233503"/>
    <w:rsid w:val="00243E84"/>
    <w:rsid w:val="0024674B"/>
    <w:rsid w:val="002530B5"/>
    <w:rsid w:val="00253408"/>
    <w:rsid w:val="00254263"/>
    <w:rsid w:val="002574C5"/>
    <w:rsid w:val="00257A0B"/>
    <w:rsid w:val="00262B5F"/>
    <w:rsid w:val="00263122"/>
    <w:rsid w:val="00265FC0"/>
    <w:rsid w:val="002716CC"/>
    <w:rsid w:val="002759F7"/>
    <w:rsid w:val="002828AC"/>
    <w:rsid w:val="00283334"/>
    <w:rsid w:val="0028617A"/>
    <w:rsid w:val="00290C1F"/>
    <w:rsid w:val="002929E2"/>
    <w:rsid w:val="0029490D"/>
    <w:rsid w:val="00294C0B"/>
    <w:rsid w:val="00294F1F"/>
    <w:rsid w:val="00295F5A"/>
    <w:rsid w:val="002A030D"/>
    <w:rsid w:val="002A1FB3"/>
    <w:rsid w:val="002A72D3"/>
    <w:rsid w:val="002A7D95"/>
    <w:rsid w:val="002B127E"/>
    <w:rsid w:val="002C1F94"/>
    <w:rsid w:val="002C2294"/>
    <w:rsid w:val="002C3F9A"/>
    <w:rsid w:val="002C51EE"/>
    <w:rsid w:val="002C6438"/>
    <w:rsid w:val="002E0114"/>
    <w:rsid w:val="002E48F4"/>
    <w:rsid w:val="002E7CC6"/>
    <w:rsid w:val="002F69F2"/>
    <w:rsid w:val="002F75AD"/>
    <w:rsid w:val="00304C26"/>
    <w:rsid w:val="0031275C"/>
    <w:rsid w:val="0031302B"/>
    <w:rsid w:val="00314983"/>
    <w:rsid w:val="00324A92"/>
    <w:rsid w:val="003255FE"/>
    <w:rsid w:val="00325D0F"/>
    <w:rsid w:val="0032602E"/>
    <w:rsid w:val="00331817"/>
    <w:rsid w:val="00333FED"/>
    <w:rsid w:val="00335C4A"/>
    <w:rsid w:val="00335C9C"/>
    <w:rsid w:val="00340C61"/>
    <w:rsid w:val="003449CF"/>
    <w:rsid w:val="00344FCE"/>
    <w:rsid w:val="003463C9"/>
    <w:rsid w:val="00357DB6"/>
    <w:rsid w:val="003633B3"/>
    <w:rsid w:val="00364E8A"/>
    <w:rsid w:val="00366589"/>
    <w:rsid w:val="003667A6"/>
    <w:rsid w:val="00367D2D"/>
    <w:rsid w:val="00367EAD"/>
    <w:rsid w:val="003756F3"/>
    <w:rsid w:val="00383A1C"/>
    <w:rsid w:val="0038607E"/>
    <w:rsid w:val="00387104"/>
    <w:rsid w:val="003911E1"/>
    <w:rsid w:val="00391D66"/>
    <w:rsid w:val="00395924"/>
    <w:rsid w:val="00396BBC"/>
    <w:rsid w:val="00397458"/>
    <w:rsid w:val="003A2854"/>
    <w:rsid w:val="003A5216"/>
    <w:rsid w:val="003A6001"/>
    <w:rsid w:val="003A6C88"/>
    <w:rsid w:val="003B07F6"/>
    <w:rsid w:val="003B0960"/>
    <w:rsid w:val="003B3DFE"/>
    <w:rsid w:val="003B7586"/>
    <w:rsid w:val="003C107C"/>
    <w:rsid w:val="003C6DCC"/>
    <w:rsid w:val="003D51F4"/>
    <w:rsid w:val="003E1A6F"/>
    <w:rsid w:val="003E22D4"/>
    <w:rsid w:val="003E73E4"/>
    <w:rsid w:val="00402116"/>
    <w:rsid w:val="004119A4"/>
    <w:rsid w:val="00413378"/>
    <w:rsid w:val="00414A23"/>
    <w:rsid w:val="00414CD7"/>
    <w:rsid w:val="00415263"/>
    <w:rsid w:val="00416099"/>
    <w:rsid w:val="0041742B"/>
    <w:rsid w:val="004253A5"/>
    <w:rsid w:val="004317CC"/>
    <w:rsid w:val="00434591"/>
    <w:rsid w:val="00436EA7"/>
    <w:rsid w:val="00437E5A"/>
    <w:rsid w:val="00441DE8"/>
    <w:rsid w:val="00445511"/>
    <w:rsid w:val="0044582B"/>
    <w:rsid w:val="0045694C"/>
    <w:rsid w:val="00457B54"/>
    <w:rsid w:val="00461D17"/>
    <w:rsid w:val="00467B1A"/>
    <w:rsid w:val="00471901"/>
    <w:rsid w:val="00483847"/>
    <w:rsid w:val="0048393E"/>
    <w:rsid w:val="00485D2E"/>
    <w:rsid w:val="004873BB"/>
    <w:rsid w:val="00487B54"/>
    <w:rsid w:val="004A01CD"/>
    <w:rsid w:val="004A3767"/>
    <w:rsid w:val="004A7384"/>
    <w:rsid w:val="004A797B"/>
    <w:rsid w:val="004B2304"/>
    <w:rsid w:val="004B41E8"/>
    <w:rsid w:val="004C0791"/>
    <w:rsid w:val="004C1775"/>
    <w:rsid w:val="004D1478"/>
    <w:rsid w:val="004E002F"/>
    <w:rsid w:val="004E4682"/>
    <w:rsid w:val="004E4B90"/>
    <w:rsid w:val="004E4D85"/>
    <w:rsid w:val="004E5C8A"/>
    <w:rsid w:val="004E6A93"/>
    <w:rsid w:val="00504422"/>
    <w:rsid w:val="00504ACE"/>
    <w:rsid w:val="00504BCF"/>
    <w:rsid w:val="00505159"/>
    <w:rsid w:val="00513F4D"/>
    <w:rsid w:val="005143C7"/>
    <w:rsid w:val="00515738"/>
    <w:rsid w:val="00527CA4"/>
    <w:rsid w:val="00530730"/>
    <w:rsid w:val="005324A8"/>
    <w:rsid w:val="005340F4"/>
    <w:rsid w:val="00535707"/>
    <w:rsid w:val="00540D97"/>
    <w:rsid w:val="005441C8"/>
    <w:rsid w:val="00550459"/>
    <w:rsid w:val="00555850"/>
    <w:rsid w:val="005562DF"/>
    <w:rsid w:val="0056085D"/>
    <w:rsid w:val="0056134A"/>
    <w:rsid w:val="005645A9"/>
    <w:rsid w:val="00571136"/>
    <w:rsid w:val="0057178B"/>
    <w:rsid w:val="00571AAE"/>
    <w:rsid w:val="005764D9"/>
    <w:rsid w:val="00576A19"/>
    <w:rsid w:val="00592AE0"/>
    <w:rsid w:val="005A1DE6"/>
    <w:rsid w:val="005A5C00"/>
    <w:rsid w:val="005A7BEB"/>
    <w:rsid w:val="005B0A12"/>
    <w:rsid w:val="005C5704"/>
    <w:rsid w:val="005D20AB"/>
    <w:rsid w:val="005D63B0"/>
    <w:rsid w:val="005E0055"/>
    <w:rsid w:val="005E44A3"/>
    <w:rsid w:val="005E44D3"/>
    <w:rsid w:val="005E6125"/>
    <w:rsid w:val="005E630D"/>
    <w:rsid w:val="006002A6"/>
    <w:rsid w:val="00615607"/>
    <w:rsid w:val="006162BC"/>
    <w:rsid w:val="006229AB"/>
    <w:rsid w:val="00631293"/>
    <w:rsid w:val="006335B1"/>
    <w:rsid w:val="00641A00"/>
    <w:rsid w:val="00643D0F"/>
    <w:rsid w:val="006554C9"/>
    <w:rsid w:val="00655882"/>
    <w:rsid w:val="006560F4"/>
    <w:rsid w:val="00661DBD"/>
    <w:rsid w:val="0066312D"/>
    <w:rsid w:val="00663F43"/>
    <w:rsid w:val="00665559"/>
    <w:rsid w:val="00665BFB"/>
    <w:rsid w:val="006678C0"/>
    <w:rsid w:val="00667986"/>
    <w:rsid w:val="00670D58"/>
    <w:rsid w:val="0067107C"/>
    <w:rsid w:val="00684105"/>
    <w:rsid w:val="00684281"/>
    <w:rsid w:val="006875D5"/>
    <w:rsid w:val="00692804"/>
    <w:rsid w:val="006972C4"/>
    <w:rsid w:val="006A28EF"/>
    <w:rsid w:val="006A6234"/>
    <w:rsid w:val="006B2E0F"/>
    <w:rsid w:val="006B422A"/>
    <w:rsid w:val="006B51EA"/>
    <w:rsid w:val="006B5DCA"/>
    <w:rsid w:val="006C6141"/>
    <w:rsid w:val="006C7A10"/>
    <w:rsid w:val="006D2159"/>
    <w:rsid w:val="006D5BC1"/>
    <w:rsid w:val="006E48D2"/>
    <w:rsid w:val="006E5589"/>
    <w:rsid w:val="006E70A7"/>
    <w:rsid w:val="006F2564"/>
    <w:rsid w:val="006F416B"/>
    <w:rsid w:val="0070562D"/>
    <w:rsid w:val="007115CE"/>
    <w:rsid w:val="00721B21"/>
    <w:rsid w:val="007239F8"/>
    <w:rsid w:val="007259B2"/>
    <w:rsid w:val="007361E9"/>
    <w:rsid w:val="00736957"/>
    <w:rsid w:val="00743462"/>
    <w:rsid w:val="00743FBF"/>
    <w:rsid w:val="0075489A"/>
    <w:rsid w:val="00757B10"/>
    <w:rsid w:val="00761A48"/>
    <w:rsid w:val="0076316F"/>
    <w:rsid w:val="007657ED"/>
    <w:rsid w:val="00765A70"/>
    <w:rsid w:val="007671EF"/>
    <w:rsid w:val="007672C8"/>
    <w:rsid w:val="00767D57"/>
    <w:rsid w:val="00771661"/>
    <w:rsid w:val="00772921"/>
    <w:rsid w:val="007776FC"/>
    <w:rsid w:val="00784150"/>
    <w:rsid w:val="00787797"/>
    <w:rsid w:val="00794184"/>
    <w:rsid w:val="00795498"/>
    <w:rsid w:val="0079684E"/>
    <w:rsid w:val="007A0734"/>
    <w:rsid w:val="007A3275"/>
    <w:rsid w:val="007A37E1"/>
    <w:rsid w:val="007A6DD9"/>
    <w:rsid w:val="007B1143"/>
    <w:rsid w:val="007B765F"/>
    <w:rsid w:val="007C3563"/>
    <w:rsid w:val="007C3D22"/>
    <w:rsid w:val="007C410C"/>
    <w:rsid w:val="007C5C33"/>
    <w:rsid w:val="007C5CD1"/>
    <w:rsid w:val="007D2CAF"/>
    <w:rsid w:val="007D45F3"/>
    <w:rsid w:val="007D4E62"/>
    <w:rsid w:val="007D5E50"/>
    <w:rsid w:val="007D6EFE"/>
    <w:rsid w:val="007E3A43"/>
    <w:rsid w:val="007E4146"/>
    <w:rsid w:val="007E43AE"/>
    <w:rsid w:val="007E5558"/>
    <w:rsid w:val="007F1103"/>
    <w:rsid w:val="007F1A25"/>
    <w:rsid w:val="007F1CAF"/>
    <w:rsid w:val="007F30EA"/>
    <w:rsid w:val="007F3490"/>
    <w:rsid w:val="007F669E"/>
    <w:rsid w:val="0080005B"/>
    <w:rsid w:val="00805843"/>
    <w:rsid w:val="00812EAE"/>
    <w:rsid w:val="0081468B"/>
    <w:rsid w:val="00824742"/>
    <w:rsid w:val="0082513F"/>
    <w:rsid w:val="00830613"/>
    <w:rsid w:val="0083279A"/>
    <w:rsid w:val="0083353F"/>
    <w:rsid w:val="00840A68"/>
    <w:rsid w:val="008416CC"/>
    <w:rsid w:val="00841B87"/>
    <w:rsid w:val="00846656"/>
    <w:rsid w:val="00857616"/>
    <w:rsid w:val="008625F3"/>
    <w:rsid w:val="00870B12"/>
    <w:rsid w:val="008721F6"/>
    <w:rsid w:val="008737A9"/>
    <w:rsid w:val="008813DC"/>
    <w:rsid w:val="008826FD"/>
    <w:rsid w:val="00885140"/>
    <w:rsid w:val="00887CBA"/>
    <w:rsid w:val="00890165"/>
    <w:rsid w:val="00894EF2"/>
    <w:rsid w:val="008A1560"/>
    <w:rsid w:val="008A1C30"/>
    <w:rsid w:val="008B045D"/>
    <w:rsid w:val="008B432A"/>
    <w:rsid w:val="008B4792"/>
    <w:rsid w:val="008C5ABC"/>
    <w:rsid w:val="008D51F1"/>
    <w:rsid w:val="008E3A72"/>
    <w:rsid w:val="008E5083"/>
    <w:rsid w:val="008F0597"/>
    <w:rsid w:val="008F28B9"/>
    <w:rsid w:val="008F5A9C"/>
    <w:rsid w:val="008F6A08"/>
    <w:rsid w:val="00900942"/>
    <w:rsid w:val="00900DD4"/>
    <w:rsid w:val="00900DF8"/>
    <w:rsid w:val="00903670"/>
    <w:rsid w:val="0091267C"/>
    <w:rsid w:val="00913BF8"/>
    <w:rsid w:val="00914080"/>
    <w:rsid w:val="00916F93"/>
    <w:rsid w:val="009257A0"/>
    <w:rsid w:val="00926DA8"/>
    <w:rsid w:val="00930698"/>
    <w:rsid w:val="00933FDB"/>
    <w:rsid w:val="0093782C"/>
    <w:rsid w:val="009450C7"/>
    <w:rsid w:val="00952DF9"/>
    <w:rsid w:val="00955692"/>
    <w:rsid w:val="00983413"/>
    <w:rsid w:val="00983C82"/>
    <w:rsid w:val="0099198E"/>
    <w:rsid w:val="00991C20"/>
    <w:rsid w:val="00992302"/>
    <w:rsid w:val="00992FF7"/>
    <w:rsid w:val="0099617A"/>
    <w:rsid w:val="009A01B7"/>
    <w:rsid w:val="009A02B4"/>
    <w:rsid w:val="009A333E"/>
    <w:rsid w:val="009B0975"/>
    <w:rsid w:val="009B7D75"/>
    <w:rsid w:val="009C2F90"/>
    <w:rsid w:val="009C5B34"/>
    <w:rsid w:val="009D02D0"/>
    <w:rsid w:val="009D1D8E"/>
    <w:rsid w:val="009D3D94"/>
    <w:rsid w:val="009E1A68"/>
    <w:rsid w:val="009E35AF"/>
    <w:rsid w:val="009F5D35"/>
    <w:rsid w:val="00A02979"/>
    <w:rsid w:val="00A132A0"/>
    <w:rsid w:val="00A1381F"/>
    <w:rsid w:val="00A147BD"/>
    <w:rsid w:val="00A1559C"/>
    <w:rsid w:val="00A16B07"/>
    <w:rsid w:val="00A174E7"/>
    <w:rsid w:val="00A20E5E"/>
    <w:rsid w:val="00A2235F"/>
    <w:rsid w:val="00A237F1"/>
    <w:rsid w:val="00A26455"/>
    <w:rsid w:val="00A3197D"/>
    <w:rsid w:val="00A35A7B"/>
    <w:rsid w:val="00A36E2C"/>
    <w:rsid w:val="00A37D7E"/>
    <w:rsid w:val="00A4434E"/>
    <w:rsid w:val="00A512BE"/>
    <w:rsid w:val="00A51CF6"/>
    <w:rsid w:val="00A52359"/>
    <w:rsid w:val="00A5589E"/>
    <w:rsid w:val="00A61D75"/>
    <w:rsid w:val="00A64347"/>
    <w:rsid w:val="00A656EE"/>
    <w:rsid w:val="00A668CC"/>
    <w:rsid w:val="00A67649"/>
    <w:rsid w:val="00A70446"/>
    <w:rsid w:val="00A77129"/>
    <w:rsid w:val="00A8005B"/>
    <w:rsid w:val="00A813BE"/>
    <w:rsid w:val="00A933C4"/>
    <w:rsid w:val="00A96339"/>
    <w:rsid w:val="00A96851"/>
    <w:rsid w:val="00AA2414"/>
    <w:rsid w:val="00AB3DC3"/>
    <w:rsid w:val="00AB7347"/>
    <w:rsid w:val="00AB7AF4"/>
    <w:rsid w:val="00AC40D7"/>
    <w:rsid w:val="00AC45C6"/>
    <w:rsid w:val="00AC48D5"/>
    <w:rsid w:val="00AD200B"/>
    <w:rsid w:val="00AE0192"/>
    <w:rsid w:val="00AE08A2"/>
    <w:rsid w:val="00AE24DA"/>
    <w:rsid w:val="00AE6211"/>
    <w:rsid w:val="00AF227B"/>
    <w:rsid w:val="00B03D1D"/>
    <w:rsid w:val="00B076B1"/>
    <w:rsid w:val="00B11E47"/>
    <w:rsid w:val="00B12FB6"/>
    <w:rsid w:val="00B22F37"/>
    <w:rsid w:val="00B24D23"/>
    <w:rsid w:val="00B3239C"/>
    <w:rsid w:val="00B33661"/>
    <w:rsid w:val="00B34C10"/>
    <w:rsid w:val="00B37023"/>
    <w:rsid w:val="00B43556"/>
    <w:rsid w:val="00B4407C"/>
    <w:rsid w:val="00B443BE"/>
    <w:rsid w:val="00B452F3"/>
    <w:rsid w:val="00B46E74"/>
    <w:rsid w:val="00B47E12"/>
    <w:rsid w:val="00B505EA"/>
    <w:rsid w:val="00B51D01"/>
    <w:rsid w:val="00B51EC2"/>
    <w:rsid w:val="00B5345A"/>
    <w:rsid w:val="00B54A8B"/>
    <w:rsid w:val="00B56352"/>
    <w:rsid w:val="00B56593"/>
    <w:rsid w:val="00B57145"/>
    <w:rsid w:val="00B63ED3"/>
    <w:rsid w:val="00B63F17"/>
    <w:rsid w:val="00B66EAB"/>
    <w:rsid w:val="00B70C5B"/>
    <w:rsid w:val="00B7163A"/>
    <w:rsid w:val="00B72598"/>
    <w:rsid w:val="00B7357D"/>
    <w:rsid w:val="00B77B7D"/>
    <w:rsid w:val="00B830C9"/>
    <w:rsid w:val="00B86EC8"/>
    <w:rsid w:val="00B96050"/>
    <w:rsid w:val="00BA00AF"/>
    <w:rsid w:val="00BA35F2"/>
    <w:rsid w:val="00BB0626"/>
    <w:rsid w:val="00BB310E"/>
    <w:rsid w:val="00BB3B08"/>
    <w:rsid w:val="00BB40A6"/>
    <w:rsid w:val="00BC04BB"/>
    <w:rsid w:val="00BC5A91"/>
    <w:rsid w:val="00BC768E"/>
    <w:rsid w:val="00BC7D11"/>
    <w:rsid w:val="00BD130C"/>
    <w:rsid w:val="00BD18B2"/>
    <w:rsid w:val="00BD2236"/>
    <w:rsid w:val="00BD4149"/>
    <w:rsid w:val="00BE33EF"/>
    <w:rsid w:val="00BE34AA"/>
    <w:rsid w:val="00BE4D7E"/>
    <w:rsid w:val="00BE4E12"/>
    <w:rsid w:val="00BE6C59"/>
    <w:rsid w:val="00BF25AC"/>
    <w:rsid w:val="00BF3FCD"/>
    <w:rsid w:val="00BF6C05"/>
    <w:rsid w:val="00BF71D0"/>
    <w:rsid w:val="00BF7F6E"/>
    <w:rsid w:val="00C000BF"/>
    <w:rsid w:val="00C048D3"/>
    <w:rsid w:val="00C11012"/>
    <w:rsid w:val="00C1409C"/>
    <w:rsid w:val="00C144DF"/>
    <w:rsid w:val="00C21557"/>
    <w:rsid w:val="00C33C1C"/>
    <w:rsid w:val="00C342E2"/>
    <w:rsid w:val="00C3662F"/>
    <w:rsid w:val="00C36990"/>
    <w:rsid w:val="00C43944"/>
    <w:rsid w:val="00C47882"/>
    <w:rsid w:val="00C51892"/>
    <w:rsid w:val="00C566BF"/>
    <w:rsid w:val="00C6358F"/>
    <w:rsid w:val="00C63D7D"/>
    <w:rsid w:val="00C74D13"/>
    <w:rsid w:val="00C75E25"/>
    <w:rsid w:val="00C75ECB"/>
    <w:rsid w:val="00C91C56"/>
    <w:rsid w:val="00C9744B"/>
    <w:rsid w:val="00CA08B6"/>
    <w:rsid w:val="00CA3B43"/>
    <w:rsid w:val="00CA5A90"/>
    <w:rsid w:val="00CB0F68"/>
    <w:rsid w:val="00CB1439"/>
    <w:rsid w:val="00CB1B60"/>
    <w:rsid w:val="00CB3834"/>
    <w:rsid w:val="00CB5077"/>
    <w:rsid w:val="00CC3A5C"/>
    <w:rsid w:val="00CE021C"/>
    <w:rsid w:val="00CE31CC"/>
    <w:rsid w:val="00CE7AF0"/>
    <w:rsid w:val="00CF253F"/>
    <w:rsid w:val="00CF4C1F"/>
    <w:rsid w:val="00D004CE"/>
    <w:rsid w:val="00D049A3"/>
    <w:rsid w:val="00D06FAE"/>
    <w:rsid w:val="00D11E12"/>
    <w:rsid w:val="00D16B6B"/>
    <w:rsid w:val="00D203DA"/>
    <w:rsid w:val="00D24091"/>
    <w:rsid w:val="00D27003"/>
    <w:rsid w:val="00D306F1"/>
    <w:rsid w:val="00D31D25"/>
    <w:rsid w:val="00D32C91"/>
    <w:rsid w:val="00D33FD8"/>
    <w:rsid w:val="00D35C5E"/>
    <w:rsid w:val="00D377AF"/>
    <w:rsid w:val="00D41776"/>
    <w:rsid w:val="00D44B4E"/>
    <w:rsid w:val="00D520E9"/>
    <w:rsid w:val="00D52A01"/>
    <w:rsid w:val="00D7004B"/>
    <w:rsid w:val="00D726AE"/>
    <w:rsid w:val="00D72FB7"/>
    <w:rsid w:val="00D87B58"/>
    <w:rsid w:val="00D87ED6"/>
    <w:rsid w:val="00D94A22"/>
    <w:rsid w:val="00DA0162"/>
    <w:rsid w:val="00DA4F11"/>
    <w:rsid w:val="00DA6A42"/>
    <w:rsid w:val="00DB2D91"/>
    <w:rsid w:val="00DB62A8"/>
    <w:rsid w:val="00DC0984"/>
    <w:rsid w:val="00DC2499"/>
    <w:rsid w:val="00DC3117"/>
    <w:rsid w:val="00DC7F53"/>
    <w:rsid w:val="00DD2F8B"/>
    <w:rsid w:val="00DD55ED"/>
    <w:rsid w:val="00DE15C0"/>
    <w:rsid w:val="00DE3950"/>
    <w:rsid w:val="00DF1351"/>
    <w:rsid w:val="00DF19BC"/>
    <w:rsid w:val="00DF77A4"/>
    <w:rsid w:val="00DF7FBF"/>
    <w:rsid w:val="00E03DC5"/>
    <w:rsid w:val="00E05E53"/>
    <w:rsid w:val="00E07C24"/>
    <w:rsid w:val="00E125D0"/>
    <w:rsid w:val="00E13AA7"/>
    <w:rsid w:val="00E26CAA"/>
    <w:rsid w:val="00E33EFD"/>
    <w:rsid w:val="00E4382B"/>
    <w:rsid w:val="00E47193"/>
    <w:rsid w:val="00E47AD8"/>
    <w:rsid w:val="00E51D5A"/>
    <w:rsid w:val="00E540DF"/>
    <w:rsid w:val="00E566BE"/>
    <w:rsid w:val="00E57250"/>
    <w:rsid w:val="00E57C92"/>
    <w:rsid w:val="00E6005F"/>
    <w:rsid w:val="00E614A4"/>
    <w:rsid w:val="00E67F40"/>
    <w:rsid w:val="00E721F4"/>
    <w:rsid w:val="00E750D3"/>
    <w:rsid w:val="00E7547D"/>
    <w:rsid w:val="00E86D72"/>
    <w:rsid w:val="00E945B6"/>
    <w:rsid w:val="00E9547C"/>
    <w:rsid w:val="00EA0BB7"/>
    <w:rsid w:val="00EA1ADF"/>
    <w:rsid w:val="00EB18BF"/>
    <w:rsid w:val="00EB4057"/>
    <w:rsid w:val="00EB75A8"/>
    <w:rsid w:val="00EB7846"/>
    <w:rsid w:val="00EC0193"/>
    <w:rsid w:val="00EC206C"/>
    <w:rsid w:val="00EC4AC8"/>
    <w:rsid w:val="00ED08A2"/>
    <w:rsid w:val="00ED3714"/>
    <w:rsid w:val="00ED5A26"/>
    <w:rsid w:val="00EE7E76"/>
    <w:rsid w:val="00EF1AD8"/>
    <w:rsid w:val="00EF4075"/>
    <w:rsid w:val="00EF72E5"/>
    <w:rsid w:val="00F0008B"/>
    <w:rsid w:val="00F01F09"/>
    <w:rsid w:val="00F028C1"/>
    <w:rsid w:val="00F04183"/>
    <w:rsid w:val="00F041CD"/>
    <w:rsid w:val="00F05AA6"/>
    <w:rsid w:val="00F13710"/>
    <w:rsid w:val="00F14869"/>
    <w:rsid w:val="00F203EF"/>
    <w:rsid w:val="00F23892"/>
    <w:rsid w:val="00F302CB"/>
    <w:rsid w:val="00F35D30"/>
    <w:rsid w:val="00F363E4"/>
    <w:rsid w:val="00F37010"/>
    <w:rsid w:val="00F41D39"/>
    <w:rsid w:val="00F43236"/>
    <w:rsid w:val="00F44532"/>
    <w:rsid w:val="00F44689"/>
    <w:rsid w:val="00F46FFA"/>
    <w:rsid w:val="00F47F41"/>
    <w:rsid w:val="00F50B76"/>
    <w:rsid w:val="00F5270B"/>
    <w:rsid w:val="00F56A20"/>
    <w:rsid w:val="00F619E9"/>
    <w:rsid w:val="00F648B0"/>
    <w:rsid w:val="00F648B8"/>
    <w:rsid w:val="00F7294F"/>
    <w:rsid w:val="00F822BE"/>
    <w:rsid w:val="00F8399B"/>
    <w:rsid w:val="00F942C4"/>
    <w:rsid w:val="00F94774"/>
    <w:rsid w:val="00FA2DC6"/>
    <w:rsid w:val="00FB6B89"/>
    <w:rsid w:val="00FB72F4"/>
    <w:rsid w:val="00FC6C46"/>
    <w:rsid w:val="00FC7E96"/>
    <w:rsid w:val="00FD0C89"/>
    <w:rsid w:val="00FD6668"/>
    <w:rsid w:val="00FD6B2F"/>
    <w:rsid w:val="00FD7000"/>
    <w:rsid w:val="00FD7D18"/>
    <w:rsid w:val="00FF4A19"/>
    <w:rsid w:val="00FF6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efaultImageDpi w14:val="0"/>
  <w15:docId w15:val="{D8A495E7-B19E-4125-888D-CF7D9CBC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ndara" w:eastAsia="Times New Roman" w:hAnsi="Candara" w:cs="Candara"/>
        <w:sz w:val="22"/>
        <w:szCs w:val="22"/>
        <w:lang w:val="en-US" w:eastAsia="en-US"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BF3FCD"/>
    <w:pPr>
      <w:spacing w:after="200"/>
    </w:pPr>
    <w:rPr>
      <w:rFonts w:ascii="Century Gothic" w:hAnsi="Century Gothic" w:cs="Times New Roman"/>
      <w:sz w:val="24"/>
      <w:szCs w:val="24"/>
    </w:rPr>
  </w:style>
  <w:style w:type="paragraph" w:styleId="Heading1">
    <w:name w:val="heading 1"/>
    <w:basedOn w:val="Normal"/>
    <w:link w:val="Heading1Char"/>
    <w:uiPriority w:val="9"/>
    <w:qFormat/>
    <w:locked/>
    <w:rsid w:val="00DF7FBF"/>
    <w:pPr>
      <w:spacing w:after="0"/>
      <w:outlineLvl w:val="0"/>
    </w:pPr>
    <w:rPr>
      <w:b/>
      <w:color w:val="58595B"/>
      <w:sz w:val="68"/>
      <w:szCs w:val="68"/>
    </w:rPr>
  </w:style>
  <w:style w:type="paragraph" w:styleId="Heading2">
    <w:name w:val="heading 2"/>
    <w:basedOn w:val="Heading3"/>
    <w:next w:val="Normal"/>
    <w:link w:val="Heading2Char"/>
    <w:uiPriority w:val="9"/>
    <w:unhideWhenUsed/>
    <w:qFormat/>
    <w:locked/>
    <w:rsid w:val="00BF3FCD"/>
    <w:pPr>
      <w:spacing w:after="200"/>
      <w:outlineLvl w:val="1"/>
    </w:pPr>
    <w:rPr>
      <w:sz w:val="40"/>
    </w:rPr>
  </w:style>
  <w:style w:type="paragraph" w:styleId="Heading3">
    <w:name w:val="heading 3"/>
    <w:basedOn w:val="Normal"/>
    <w:link w:val="Heading3Char"/>
    <w:uiPriority w:val="9"/>
    <w:unhideWhenUsed/>
    <w:qFormat/>
    <w:locked/>
    <w:rsid w:val="00BF3FCD"/>
    <w:pPr>
      <w:spacing w:after="120"/>
      <w:outlineLvl w:val="2"/>
    </w:pPr>
    <w:rPr>
      <w:b/>
      <w:color w:val="00BABE"/>
      <w:sz w:val="32"/>
      <w:szCs w:val="32"/>
    </w:rPr>
  </w:style>
  <w:style w:type="paragraph" w:styleId="Heading4">
    <w:name w:val="heading 4"/>
    <w:basedOn w:val="Heading3"/>
    <w:next w:val="Normal"/>
    <w:link w:val="Heading4Char"/>
    <w:uiPriority w:val="9"/>
    <w:unhideWhenUsed/>
    <w:qFormat/>
    <w:locked/>
    <w:rsid w:val="00BF3FCD"/>
    <w:pPr>
      <w:outlineLvl w:val="3"/>
    </w:pPr>
    <w:rPr>
      <w:sz w:val="28"/>
    </w:rPr>
  </w:style>
  <w:style w:type="paragraph" w:styleId="Heading5">
    <w:name w:val="heading 5"/>
    <w:basedOn w:val="Heading4"/>
    <w:next w:val="Normal"/>
    <w:link w:val="Heading5Char"/>
    <w:uiPriority w:val="9"/>
    <w:unhideWhenUsed/>
    <w:qFormat/>
    <w:locked/>
    <w:rsid w:val="00BF3FCD"/>
    <w:pPr>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F7FBF"/>
    <w:rPr>
      <w:rFonts w:ascii="Century Gothic" w:hAnsi="Century Gothic" w:cs="Times New Roman"/>
      <w:b/>
      <w:color w:val="58595B"/>
      <w:sz w:val="68"/>
      <w:szCs w:val="68"/>
    </w:rPr>
  </w:style>
  <w:style w:type="character" w:customStyle="1" w:styleId="Heading2Char">
    <w:name w:val="Heading 2 Char"/>
    <w:basedOn w:val="DefaultParagraphFont"/>
    <w:link w:val="Heading2"/>
    <w:uiPriority w:val="9"/>
    <w:locked/>
    <w:rsid w:val="00BF3FCD"/>
    <w:rPr>
      <w:rFonts w:ascii="Century Gothic" w:hAnsi="Century Gothic" w:cs="Times New Roman"/>
      <w:b/>
      <w:color w:val="00BABE"/>
      <w:sz w:val="32"/>
      <w:szCs w:val="32"/>
    </w:rPr>
  </w:style>
  <w:style w:type="character" w:customStyle="1" w:styleId="Heading3Char">
    <w:name w:val="Heading 3 Char"/>
    <w:basedOn w:val="DefaultParagraphFont"/>
    <w:link w:val="Heading3"/>
    <w:uiPriority w:val="9"/>
    <w:locked/>
    <w:rsid w:val="00BF3FCD"/>
    <w:rPr>
      <w:rFonts w:ascii="Century Gothic" w:hAnsi="Century Gothic" w:cs="Times New Roman"/>
      <w:b/>
      <w:color w:val="00BABE"/>
      <w:sz w:val="32"/>
      <w:szCs w:val="32"/>
    </w:rPr>
  </w:style>
  <w:style w:type="character" w:customStyle="1" w:styleId="Heading4Char">
    <w:name w:val="Heading 4 Char"/>
    <w:basedOn w:val="DefaultParagraphFont"/>
    <w:link w:val="Heading4"/>
    <w:uiPriority w:val="9"/>
    <w:locked/>
    <w:rsid w:val="00BF3FCD"/>
    <w:rPr>
      <w:rFonts w:ascii="Century Gothic" w:hAnsi="Century Gothic" w:cs="Times New Roman"/>
      <w:b/>
      <w:color w:val="00BABE"/>
      <w:sz w:val="32"/>
      <w:szCs w:val="32"/>
    </w:rPr>
  </w:style>
  <w:style w:type="character" w:customStyle="1" w:styleId="Heading5Char">
    <w:name w:val="Heading 5 Char"/>
    <w:basedOn w:val="DefaultParagraphFont"/>
    <w:link w:val="Heading5"/>
    <w:uiPriority w:val="9"/>
    <w:locked/>
    <w:rsid w:val="00BF3FCD"/>
    <w:rPr>
      <w:rFonts w:ascii="Century Gothic" w:hAnsi="Century Gothic" w:cs="Times New Roman"/>
      <w:b/>
      <w:color w:val="00BABE"/>
      <w:sz w:val="32"/>
      <w:szCs w:val="32"/>
    </w:rPr>
  </w:style>
  <w:style w:type="character" w:styleId="PlaceholderText">
    <w:name w:val="Placeholder Text"/>
    <w:basedOn w:val="DefaultParagraphFont"/>
    <w:uiPriority w:val="99"/>
    <w:semiHidden/>
    <w:locked/>
    <w:rsid w:val="00BF3FCD"/>
    <w:rPr>
      <w:rFonts w:cs="Times New Roman"/>
      <w:color w:val="808080"/>
    </w:rPr>
  </w:style>
  <w:style w:type="paragraph" w:styleId="BodyText">
    <w:name w:val="Body Text"/>
    <w:basedOn w:val="Normal"/>
    <w:link w:val="BodyTextChar"/>
    <w:uiPriority w:val="99"/>
    <w:unhideWhenUsed/>
    <w:rsid w:val="00004A2E"/>
    <w:rPr>
      <w:noProof/>
      <w:sz w:val="22"/>
    </w:rPr>
  </w:style>
  <w:style w:type="character" w:customStyle="1" w:styleId="BodyTextChar">
    <w:name w:val="Body Text Char"/>
    <w:basedOn w:val="DefaultParagraphFont"/>
    <w:link w:val="BodyText"/>
    <w:uiPriority w:val="99"/>
    <w:locked/>
    <w:rsid w:val="00004A2E"/>
    <w:rPr>
      <w:rFonts w:ascii="Century Gothic" w:hAnsi="Century Gothic" w:cs="Times New Roman"/>
      <w:noProof/>
      <w:sz w:val="24"/>
      <w:szCs w:val="24"/>
    </w:rPr>
  </w:style>
  <w:style w:type="paragraph" w:customStyle="1" w:styleId="Bodytext11pt">
    <w:name w:val="Body text 11pt"/>
    <w:basedOn w:val="BodyText"/>
    <w:qFormat/>
    <w:locked/>
    <w:rsid w:val="00BF3FCD"/>
  </w:style>
  <w:style w:type="table" w:styleId="TableGrid">
    <w:name w:val="Table Grid"/>
    <w:basedOn w:val="TableNormal"/>
    <w:uiPriority w:val="39"/>
    <w:locked/>
    <w:rsid w:val="002716C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locked/>
    <w:rsid w:val="0019305E"/>
    <w:pPr>
      <w:tabs>
        <w:tab w:val="center" w:pos="4513"/>
        <w:tab w:val="right" w:pos="9026"/>
      </w:tabs>
      <w:spacing w:after="0"/>
    </w:pPr>
  </w:style>
  <w:style w:type="character" w:customStyle="1" w:styleId="HeaderChar">
    <w:name w:val="Header Char"/>
    <w:basedOn w:val="DefaultParagraphFont"/>
    <w:link w:val="Header"/>
    <w:uiPriority w:val="99"/>
    <w:locked/>
    <w:rsid w:val="0019305E"/>
    <w:rPr>
      <w:rFonts w:ascii="Century Gothic" w:hAnsi="Century Gothic" w:cs="Times New Roman"/>
      <w:sz w:val="24"/>
      <w:szCs w:val="24"/>
    </w:rPr>
  </w:style>
  <w:style w:type="paragraph" w:styleId="Footer">
    <w:name w:val="footer"/>
    <w:basedOn w:val="Normal"/>
    <w:link w:val="FooterChar"/>
    <w:uiPriority w:val="99"/>
    <w:unhideWhenUsed/>
    <w:locked/>
    <w:rsid w:val="0019305E"/>
    <w:pPr>
      <w:tabs>
        <w:tab w:val="center" w:pos="4513"/>
        <w:tab w:val="right" w:pos="9026"/>
      </w:tabs>
      <w:spacing w:after="0"/>
    </w:pPr>
  </w:style>
  <w:style w:type="character" w:customStyle="1" w:styleId="FooterChar">
    <w:name w:val="Footer Char"/>
    <w:basedOn w:val="DefaultParagraphFont"/>
    <w:link w:val="Footer"/>
    <w:uiPriority w:val="99"/>
    <w:locked/>
    <w:rsid w:val="0019305E"/>
    <w:rPr>
      <w:rFonts w:ascii="Century Gothic" w:hAnsi="Century Gothic" w:cs="Times New Roman"/>
      <w:sz w:val="24"/>
      <w:szCs w:val="24"/>
    </w:rPr>
  </w:style>
  <w:style w:type="paragraph" w:styleId="NoSpacing">
    <w:name w:val="No Spacing"/>
    <w:uiPriority w:val="1"/>
    <w:qFormat/>
    <w:locked/>
    <w:rsid w:val="0067107C"/>
    <w:rPr>
      <w:rFonts w:ascii="Century Gothic" w:hAnsi="Century Gothic" w:cs="Times New Roman"/>
      <w:sz w:val="20"/>
      <w:szCs w:val="24"/>
    </w:rPr>
  </w:style>
  <w:style w:type="paragraph" w:styleId="BalloonText">
    <w:name w:val="Balloon Text"/>
    <w:basedOn w:val="Normal"/>
    <w:link w:val="BalloonTextChar"/>
    <w:uiPriority w:val="99"/>
    <w:semiHidden/>
    <w:unhideWhenUsed/>
    <w:locked/>
    <w:rsid w:val="002E7CC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E7CC6"/>
    <w:rPr>
      <w:rFonts w:ascii="Tahoma" w:hAnsi="Tahoma" w:cs="Tahoma"/>
      <w:sz w:val="16"/>
      <w:szCs w:val="16"/>
    </w:rPr>
  </w:style>
  <w:style w:type="character" w:styleId="CommentReference">
    <w:name w:val="annotation reference"/>
    <w:basedOn w:val="DefaultParagraphFont"/>
    <w:uiPriority w:val="99"/>
    <w:semiHidden/>
    <w:unhideWhenUsed/>
    <w:locked/>
    <w:rsid w:val="00A67649"/>
    <w:rPr>
      <w:rFonts w:cs="Times New Roman"/>
      <w:sz w:val="16"/>
      <w:szCs w:val="16"/>
    </w:rPr>
  </w:style>
  <w:style w:type="paragraph" w:styleId="CommentText">
    <w:name w:val="annotation text"/>
    <w:basedOn w:val="Normal"/>
    <w:link w:val="CommentTextChar"/>
    <w:uiPriority w:val="99"/>
    <w:unhideWhenUsed/>
    <w:locked/>
    <w:rsid w:val="00A67649"/>
    <w:pPr>
      <w:spacing w:after="0"/>
    </w:pPr>
    <w:rPr>
      <w:rFonts w:asciiTheme="minorHAnsi" w:hAnsiTheme="minorHAnsi"/>
      <w:sz w:val="20"/>
      <w:szCs w:val="20"/>
      <w:lang w:val="en-AU"/>
    </w:rPr>
  </w:style>
  <w:style w:type="character" w:customStyle="1" w:styleId="CommentTextChar">
    <w:name w:val="Comment Text Char"/>
    <w:basedOn w:val="DefaultParagraphFont"/>
    <w:link w:val="CommentText"/>
    <w:uiPriority w:val="99"/>
    <w:locked/>
    <w:rsid w:val="00A67649"/>
    <w:rPr>
      <w:rFonts w:asciiTheme="minorHAnsi" w:hAnsiTheme="minorHAnsi" w:cs="Times New Roman"/>
      <w:sz w:val="20"/>
      <w:szCs w:val="20"/>
      <w:lang w:val="en-AU" w:eastAsia="x-none"/>
    </w:rPr>
  </w:style>
  <w:style w:type="paragraph" w:styleId="ListParagraph">
    <w:name w:val="List Paragraph"/>
    <w:basedOn w:val="Normal"/>
    <w:uiPriority w:val="34"/>
    <w:qFormat/>
    <w:locked/>
    <w:rsid w:val="00916F93"/>
    <w:pPr>
      <w:spacing w:line="276" w:lineRule="auto"/>
      <w:ind w:left="720"/>
      <w:contextualSpacing/>
    </w:pPr>
    <w:rPr>
      <w:rFonts w:asciiTheme="minorHAnsi" w:hAnsiTheme="minorHAnsi"/>
      <w:sz w:val="22"/>
      <w:szCs w:val="22"/>
      <w:lang w:val="en-AU"/>
    </w:rPr>
  </w:style>
  <w:style w:type="character" w:styleId="Hyperlink">
    <w:name w:val="Hyperlink"/>
    <w:basedOn w:val="DefaultParagraphFont"/>
    <w:uiPriority w:val="99"/>
    <w:unhideWhenUsed/>
    <w:locked/>
    <w:rsid w:val="00AB7AF4"/>
    <w:rPr>
      <w:rFonts w:cs="Times New Roman"/>
      <w:color w:val="0000FF"/>
      <w:u w:val="single"/>
    </w:rPr>
  </w:style>
  <w:style w:type="paragraph" w:styleId="FootnoteText">
    <w:name w:val="footnote text"/>
    <w:basedOn w:val="Normal"/>
    <w:link w:val="FootnoteTextChar"/>
    <w:uiPriority w:val="99"/>
    <w:unhideWhenUsed/>
    <w:locked/>
    <w:rsid w:val="00AB7AF4"/>
    <w:pPr>
      <w:spacing w:after="0"/>
    </w:pPr>
    <w:rPr>
      <w:rFonts w:asciiTheme="minorHAnsi" w:hAnsiTheme="minorHAnsi"/>
      <w:sz w:val="20"/>
      <w:szCs w:val="20"/>
      <w:lang w:val="en-AU"/>
    </w:rPr>
  </w:style>
  <w:style w:type="character" w:customStyle="1" w:styleId="FootnoteTextChar">
    <w:name w:val="Footnote Text Char"/>
    <w:basedOn w:val="DefaultParagraphFont"/>
    <w:link w:val="FootnoteText"/>
    <w:uiPriority w:val="99"/>
    <w:locked/>
    <w:rsid w:val="00AB7AF4"/>
    <w:rPr>
      <w:rFonts w:asciiTheme="minorHAnsi" w:hAnsiTheme="minorHAnsi" w:cs="Times New Roman"/>
      <w:sz w:val="20"/>
      <w:szCs w:val="20"/>
      <w:lang w:val="en-AU" w:eastAsia="x-none"/>
    </w:rPr>
  </w:style>
  <w:style w:type="character" w:styleId="FootnoteReference">
    <w:name w:val="footnote reference"/>
    <w:basedOn w:val="DefaultParagraphFont"/>
    <w:uiPriority w:val="99"/>
    <w:unhideWhenUsed/>
    <w:locked/>
    <w:rsid w:val="00AB7AF4"/>
    <w:rPr>
      <w:rFonts w:cs="Times New Roman"/>
      <w:vertAlign w:val="superscript"/>
    </w:rPr>
  </w:style>
  <w:style w:type="character" w:styleId="Emphasis">
    <w:name w:val="Emphasis"/>
    <w:basedOn w:val="DefaultParagraphFont"/>
    <w:uiPriority w:val="20"/>
    <w:qFormat/>
    <w:locked/>
    <w:rsid w:val="00AB7AF4"/>
    <w:rPr>
      <w:rFonts w:cs="Times New Roman"/>
      <w:i/>
      <w:iCs/>
    </w:rPr>
  </w:style>
  <w:style w:type="paragraph" w:styleId="NormalWeb">
    <w:name w:val="Normal (Web)"/>
    <w:basedOn w:val="Normal"/>
    <w:uiPriority w:val="99"/>
    <w:unhideWhenUsed/>
    <w:locked/>
    <w:rsid w:val="00AB7AF4"/>
    <w:pPr>
      <w:spacing w:before="100" w:beforeAutospacing="1" w:after="100" w:afterAutospacing="1"/>
    </w:pPr>
    <w:rPr>
      <w:rFonts w:ascii="Times New Roman" w:hAnsi="Times New Roman"/>
      <w:lang w:val="en-AU" w:eastAsia="en-AU"/>
    </w:rPr>
  </w:style>
  <w:style w:type="paragraph" w:customStyle="1" w:styleId="Style1">
    <w:name w:val="Style1"/>
    <w:basedOn w:val="Heading1"/>
    <w:link w:val="Style1Char"/>
    <w:qFormat/>
    <w:rsid w:val="00AB7AF4"/>
    <w:pPr>
      <w:spacing w:after="200" w:line="276" w:lineRule="auto"/>
    </w:pPr>
    <w:rPr>
      <w:rFonts w:asciiTheme="minorHAnsi" w:hAnsiTheme="minorHAnsi"/>
      <w:color w:val="64B09C"/>
      <w:sz w:val="28"/>
      <w:lang w:val="en-AU"/>
    </w:rPr>
  </w:style>
  <w:style w:type="character" w:customStyle="1" w:styleId="includeassetsummary">
    <w:name w:val="include_asset_summary"/>
    <w:basedOn w:val="DefaultParagraphFont"/>
    <w:rsid w:val="00AB7AF4"/>
    <w:rPr>
      <w:rFonts w:cs="Times New Roman"/>
    </w:rPr>
  </w:style>
  <w:style w:type="character" w:customStyle="1" w:styleId="Style1Char">
    <w:name w:val="Style1 Char"/>
    <w:basedOn w:val="Heading1Char"/>
    <w:link w:val="Style1"/>
    <w:locked/>
    <w:rsid w:val="00AB7AF4"/>
    <w:rPr>
      <w:rFonts w:asciiTheme="minorHAnsi" w:hAnsiTheme="minorHAnsi" w:cs="Times New Roman"/>
      <w:b/>
      <w:color w:val="64B09C"/>
      <w:sz w:val="68"/>
      <w:szCs w:val="68"/>
      <w:lang w:val="en-AU" w:eastAsia="x-none"/>
    </w:rPr>
  </w:style>
  <w:style w:type="paragraph" w:customStyle="1" w:styleId="selectionshareable">
    <w:name w:val="selectionshareable"/>
    <w:basedOn w:val="Normal"/>
    <w:rsid w:val="00210F9C"/>
    <w:pPr>
      <w:spacing w:before="100" w:beforeAutospacing="1" w:after="100" w:afterAutospacing="1"/>
    </w:pPr>
    <w:rPr>
      <w:rFonts w:ascii="Times" w:hAnsi="Times"/>
      <w:sz w:val="20"/>
      <w:szCs w:val="20"/>
      <w:lang w:val="en-AU"/>
    </w:rPr>
  </w:style>
  <w:style w:type="character" w:customStyle="1" w:styleId="apple-converted-space">
    <w:name w:val="apple-converted-space"/>
    <w:basedOn w:val="DefaultParagraphFont"/>
    <w:rsid w:val="00C6358F"/>
    <w:rPr>
      <w:rFonts w:cs="Times New Roman"/>
    </w:rPr>
  </w:style>
  <w:style w:type="paragraph" w:styleId="CommentSubject">
    <w:name w:val="annotation subject"/>
    <w:basedOn w:val="CommentText"/>
    <w:next w:val="CommentText"/>
    <w:link w:val="CommentSubjectChar"/>
    <w:uiPriority w:val="99"/>
    <w:semiHidden/>
    <w:unhideWhenUsed/>
    <w:locked/>
    <w:rsid w:val="0076316F"/>
    <w:pPr>
      <w:spacing w:after="200"/>
    </w:pPr>
    <w:rPr>
      <w:rFonts w:ascii="Century Gothic" w:hAnsi="Century Gothic"/>
      <w:b/>
      <w:bCs/>
      <w:lang w:val="en-US"/>
    </w:rPr>
  </w:style>
  <w:style w:type="character" w:customStyle="1" w:styleId="CommentSubjectChar">
    <w:name w:val="Comment Subject Char"/>
    <w:basedOn w:val="CommentTextChar"/>
    <w:link w:val="CommentSubject"/>
    <w:uiPriority w:val="99"/>
    <w:semiHidden/>
    <w:locked/>
    <w:rsid w:val="0076316F"/>
    <w:rPr>
      <w:rFonts w:ascii="Century Gothic" w:hAnsi="Century Gothic" w:cs="Times New Roman"/>
      <w:b/>
      <w:bCs/>
      <w:sz w:val="20"/>
      <w:szCs w:val="20"/>
      <w:lang w:val="en-AU" w:eastAsia="x-none"/>
    </w:rPr>
  </w:style>
  <w:style w:type="paragraph" w:styleId="Revision">
    <w:name w:val="Revision"/>
    <w:hidden/>
    <w:uiPriority w:val="99"/>
    <w:semiHidden/>
    <w:rsid w:val="007D45F3"/>
    <w:rPr>
      <w:rFonts w:ascii="Century Gothic" w:hAnsi="Century Gothic" w:cs="Times New Roman"/>
      <w:sz w:val="24"/>
      <w:szCs w:val="24"/>
    </w:rPr>
  </w:style>
  <w:style w:type="character" w:styleId="FollowedHyperlink">
    <w:name w:val="FollowedHyperlink"/>
    <w:basedOn w:val="DefaultParagraphFont"/>
    <w:uiPriority w:val="99"/>
    <w:semiHidden/>
    <w:unhideWhenUsed/>
    <w:locked/>
    <w:rsid w:val="004E5C8A"/>
    <w:rPr>
      <w:rFonts w:cs="Times New Roman"/>
      <w:color w:val="005378"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148615">
      <w:marLeft w:val="0"/>
      <w:marRight w:val="0"/>
      <w:marTop w:val="0"/>
      <w:marBottom w:val="0"/>
      <w:divBdr>
        <w:top w:val="none" w:sz="0" w:space="0" w:color="auto"/>
        <w:left w:val="none" w:sz="0" w:space="0" w:color="auto"/>
        <w:bottom w:val="none" w:sz="0" w:space="0" w:color="auto"/>
        <w:right w:val="none" w:sz="0" w:space="0" w:color="auto"/>
      </w:divBdr>
    </w:div>
    <w:div w:id="352148617">
      <w:marLeft w:val="0"/>
      <w:marRight w:val="0"/>
      <w:marTop w:val="0"/>
      <w:marBottom w:val="0"/>
      <w:divBdr>
        <w:top w:val="none" w:sz="0" w:space="0" w:color="auto"/>
        <w:left w:val="none" w:sz="0" w:space="0" w:color="auto"/>
        <w:bottom w:val="none" w:sz="0" w:space="0" w:color="auto"/>
        <w:right w:val="none" w:sz="0" w:space="0" w:color="auto"/>
      </w:divBdr>
    </w:div>
    <w:div w:id="352148625">
      <w:marLeft w:val="0"/>
      <w:marRight w:val="0"/>
      <w:marTop w:val="0"/>
      <w:marBottom w:val="0"/>
      <w:divBdr>
        <w:top w:val="none" w:sz="0" w:space="0" w:color="auto"/>
        <w:left w:val="none" w:sz="0" w:space="0" w:color="auto"/>
        <w:bottom w:val="none" w:sz="0" w:space="0" w:color="auto"/>
        <w:right w:val="none" w:sz="0" w:space="0" w:color="auto"/>
      </w:divBdr>
    </w:div>
    <w:div w:id="352148626">
      <w:marLeft w:val="0"/>
      <w:marRight w:val="0"/>
      <w:marTop w:val="0"/>
      <w:marBottom w:val="0"/>
      <w:divBdr>
        <w:top w:val="none" w:sz="0" w:space="0" w:color="auto"/>
        <w:left w:val="none" w:sz="0" w:space="0" w:color="auto"/>
        <w:bottom w:val="none" w:sz="0" w:space="0" w:color="auto"/>
        <w:right w:val="none" w:sz="0" w:space="0" w:color="auto"/>
      </w:divBdr>
    </w:div>
    <w:div w:id="352148627">
      <w:marLeft w:val="0"/>
      <w:marRight w:val="0"/>
      <w:marTop w:val="0"/>
      <w:marBottom w:val="0"/>
      <w:divBdr>
        <w:top w:val="none" w:sz="0" w:space="0" w:color="auto"/>
        <w:left w:val="none" w:sz="0" w:space="0" w:color="auto"/>
        <w:bottom w:val="none" w:sz="0" w:space="0" w:color="auto"/>
        <w:right w:val="none" w:sz="0" w:space="0" w:color="auto"/>
      </w:divBdr>
    </w:div>
    <w:div w:id="352148629">
      <w:marLeft w:val="0"/>
      <w:marRight w:val="0"/>
      <w:marTop w:val="0"/>
      <w:marBottom w:val="0"/>
      <w:divBdr>
        <w:top w:val="none" w:sz="0" w:space="0" w:color="auto"/>
        <w:left w:val="none" w:sz="0" w:space="0" w:color="auto"/>
        <w:bottom w:val="none" w:sz="0" w:space="0" w:color="auto"/>
        <w:right w:val="none" w:sz="0" w:space="0" w:color="auto"/>
      </w:divBdr>
      <w:divsChild>
        <w:div w:id="352148618">
          <w:marLeft w:val="720"/>
          <w:marRight w:val="0"/>
          <w:marTop w:val="0"/>
          <w:marBottom w:val="0"/>
          <w:divBdr>
            <w:top w:val="none" w:sz="0" w:space="0" w:color="auto"/>
            <w:left w:val="none" w:sz="0" w:space="0" w:color="auto"/>
            <w:bottom w:val="none" w:sz="0" w:space="0" w:color="auto"/>
            <w:right w:val="none" w:sz="0" w:space="0" w:color="auto"/>
          </w:divBdr>
        </w:div>
        <w:div w:id="352148619">
          <w:marLeft w:val="1440"/>
          <w:marRight w:val="0"/>
          <w:marTop w:val="0"/>
          <w:marBottom w:val="0"/>
          <w:divBdr>
            <w:top w:val="none" w:sz="0" w:space="0" w:color="auto"/>
            <w:left w:val="none" w:sz="0" w:space="0" w:color="auto"/>
            <w:bottom w:val="none" w:sz="0" w:space="0" w:color="auto"/>
            <w:right w:val="none" w:sz="0" w:space="0" w:color="auto"/>
          </w:divBdr>
        </w:div>
        <w:div w:id="352148620">
          <w:marLeft w:val="720"/>
          <w:marRight w:val="0"/>
          <w:marTop w:val="0"/>
          <w:marBottom w:val="0"/>
          <w:divBdr>
            <w:top w:val="none" w:sz="0" w:space="0" w:color="auto"/>
            <w:left w:val="none" w:sz="0" w:space="0" w:color="auto"/>
            <w:bottom w:val="none" w:sz="0" w:space="0" w:color="auto"/>
            <w:right w:val="none" w:sz="0" w:space="0" w:color="auto"/>
          </w:divBdr>
        </w:div>
        <w:div w:id="352148621">
          <w:marLeft w:val="720"/>
          <w:marRight w:val="0"/>
          <w:marTop w:val="0"/>
          <w:marBottom w:val="0"/>
          <w:divBdr>
            <w:top w:val="none" w:sz="0" w:space="0" w:color="auto"/>
            <w:left w:val="none" w:sz="0" w:space="0" w:color="auto"/>
            <w:bottom w:val="none" w:sz="0" w:space="0" w:color="auto"/>
            <w:right w:val="none" w:sz="0" w:space="0" w:color="auto"/>
          </w:divBdr>
        </w:div>
        <w:div w:id="352148622">
          <w:marLeft w:val="720"/>
          <w:marRight w:val="0"/>
          <w:marTop w:val="0"/>
          <w:marBottom w:val="0"/>
          <w:divBdr>
            <w:top w:val="none" w:sz="0" w:space="0" w:color="auto"/>
            <w:left w:val="none" w:sz="0" w:space="0" w:color="auto"/>
            <w:bottom w:val="none" w:sz="0" w:space="0" w:color="auto"/>
            <w:right w:val="none" w:sz="0" w:space="0" w:color="auto"/>
          </w:divBdr>
        </w:div>
        <w:div w:id="352148628">
          <w:marLeft w:val="720"/>
          <w:marRight w:val="0"/>
          <w:marTop w:val="0"/>
          <w:marBottom w:val="0"/>
          <w:divBdr>
            <w:top w:val="none" w:sz="0" w:space="0" w:color="auto"/>
            <w:left w:val="none" w:sz="0" w:space="0" w:color="auto"/>
            <w:bottom w:val="none" w:sz="0" w:space="0" w:color="auto"/>
            <w:right w:val="none" w:sz="0" w:space="0" w:color="auto"/>
          </w:divBdr>
        </w:div>
        <w:div w:id="352148630">
          <w:marLeft w:val="720"/>
          <w:marRight w:val="0"/>
          <w:marTop w:val="0"/>
          <w:marBottom w:val="0"/>
          <w:divBdr>
            <w:top w:val="none" w:sz="0" w:space="0" w:color="auto"/>
            <w:left w:val="none" w:sz="0" w:space="0" w:color="auto"/>
            <w:bottom w:val="none" w:sz="0" w:space="0" w:color="auto"/>
            <w:right w:val="none" w:sz="0" w:space="0" w:color="auto"/>
          </w:divBdr>
        </w:div>
        <w:div w:id="352148638">
          <w:marLeft w:val="720"/>
          <w:marRight w:val="0"/>
          <w:marTop w:val="0"/>
          <w:marBottom w:val="0"/>
          <w:divBdr>
            <w:top w:val="none" w:sz="0" w:space="0" w:color="auto"/>
            <w:left w:val="none" w:sz="0" w:space="0" w:color="auto"/>
            <w:bottom w:val="none" w:sz="0" w:space="0" w:color="auto"/>
            <w:right w:val="none" w:sz="0" w:space="0" w:color="auto"/>
          </w:divBdr>
        </w:div>
        <w:div w:id="352148639">
          <w:marLeft w:val="1440"/>
          <w:marRight w:val="0"/>
          <w:marTop w:val="0"/>
          <w:marBottom w:val="0"/>
          <w:divBdr>
            <w:top w:val="none" w:sz="0" w:space="0" w:color="auto"/>
            <w:left w:val="none" w:sz="0" w:space="0" w:color="auto"/>
            <w:bottom w:val="none" w:sz="0" w:space="0" w:color="auto"/>
            <w:right w:val="none" w:sz="0" w:space="0" w:color="auto"/>
          </w:divBdr>
        </w:div>
      </w:divsChild>
    </w:div>
    <w:div w:id="352148631">
      <w:marLeft w:val="0"/>
      <w:marRight w:val="0"/>
      <w:marTop w:val="0"/>
      <w:marBottom w:val="0"/>
      <w:divBdr>
        <w:top w:val="none" w:sz="0" w:space="0" w:color="auto"/>
        <w:left w:val="none" w:sz="0" w:space="0" w:color="auto"/>
        <w:bottom w:val="none" w:sz="0" w:space="0" w:color="auto"/>
        <w:right w:val="none" w:sz="0" w:space="0" w:color="auto"/>
      </w:divBdr>
    </w:div>
    <w:div w:id="352148634">
      <w:marLeft w:val="0"/>
      <w:marRight w:val="0"/>
      <w:marTop w:val="0"/>
      <w:marBottom w:val="0"/>
      <w:divBdr>
        <w:top w:val="none" w:sz="0" w:space="0" w:color="auto"/>
        <w:left w:val="none" w:sz="0" w:space="0" w:color="auto"/>
        <w:bottom w:val="none" w:sz="0" w:space="0" w:color="auto"/>
        <w:right w:val="none" w:sz="0" w:space="0" w:color="auto"/>
      </w:divBdr>
      <w:divsChild>
        <w:div w:id="352148616">
          <w:marLeft w:val="1440"/>
          <w:marRight w:val="0"/>
          <w:marTop w:val="0"/>
          <w:marBottom w:val="0"/>
          <w:divBdr>
            <w:top w:val="none" w:sz="0" w:space="0" w:color="auto"/>
            <w:left w:val="none" w:sz="0" w:space="0" w:color="auto"/>
            <w:bottom w:val="none" w:sz="0" w:space="0" w:color="auto"/>
            <w:right w:val="none" w:sz="0" w:space="0" w:color="auto"/>
          </w:divBdr>
        </w:div>
        <w:div w:id="352148623">
          <w:marLeft w:val="720"/>
          <w:marRight w:val="0"/>
          <w:marTop w:val="0"/>
          <w:marBottom w:val="0"/>
          <w:divBdr>
            <w:top w:val="none" w:sz="0" w:space="0" w:color="auto"/>
            <w:left w:val="none" w:sz="0" w:space="0" w:color="auto"/>
            <w:bottom w:val="none" w:sz="0" w:space="0" w:color="auto"/>
            <w:right w:val="none" w:sz="0" w:space="0" w:color="auto"/>
          </w:divBdr>
        </w:div>
        <w:div w:id="352148624">
          <w:marLeft w:val="720"/>
          <w:marRight w:val="0"/>
          <w:marTop w:val="0"/>
          <w:marBottom w:val="0"/>
          <w:divBdr>
            <w:top w:val="none" w:sz="0" w:space="0" w:color="auto"/>
            <w:left w:val="none" w:sz="0" w:space="0" w:color="auto"/>
            <w:bottom w:val="none" w:sz="0" w:space="0" w:color="auto"/>
            <w:right w:val="none" w:sz="0" w:space="0" w:color="auto"/>
          </w:divBdr>
        </w:div>
        <w:div w:id="352148632">
          <w:marLeft w:val="720"/>
          <w:marRight w:val="0"/>
          <w:marTop w:val="0"/>
          <w:marBottom w:val="0"/>
          <w:divBdr>
            <w:top w:val="none" w:sz="0" w:space="0" w:color="auto"/>
            <w:left w:val="none" w:sz="0" w:space="0" w:color="auto"/>
            <w:bottom w:val="none" w:sz="0" w:space="0" w:color="auto"/>
            <w:right w:val="none" w:sz="0" w:space="0" w:color="auto"/>
          </w:divBdr>
        </w:div>
        <w:div w:id="352148633">
          <w:marLeft w:val="1440"/>
          <w:marRight w:val="0"/>
          <w:marTop w:val="0"/>
          <w:marBottom w:val="0"/>
          <w:divBdr>
            <w:top w:val="none" w:sz="0" w:space="0" w:color="auto"/>
            <w:left w:val="none" w:sz="0" w:space="0" w:color="auto"/>
            <w:bottom w:val="none" w:sz="0" w:space="0" w:color="auto"/>
            <w:right w:val="none" w:sz="0" w:space="0" w:color="auto"/>
          </w:divBdr>
        </w:div>
        <w:div w:id="352148635">
          <w:marLeft w:val="720"/>
          <w:marRight w:val="0"/>
          <w:marTop w:val="0"/>
          <w:marBottom w:val="0"/>
          <w:divBdr>
            <w:top w:val="none" w:sz="0" w:space="0" w:color="auto"/>
            <w:left w:val="none" w:sz="0" w:space="0" w:color="auto"/>
            <w:bottom w:val="none" w:sz="0" w:space="0" w:color="auto"/>
            <w:right w:val="none" w:sz="0" w:space="0" w:color="auto"/>
          </w:divBdr>
        </w:div>
        <w:div w:id="352148637">
          <w:marLeft w:val="720"/>
          <w:marRight w:val="0"/>
          <w:marTop w:val="0"/>
          <w:marBottom w:val="0"/>
          <w:divBdr>
            <w:top w:val="none" w:sz="0" w:space="0" w:color="auto"/>
            <w:left w:val="none" w:sz="0" w:space="0" w:color="auto"/>
            <w:bottom w:val="none" w:sz="0" w:space="0" w:color="auto"/>
            <w:right w:val="none" w:sz="0" w:space="0" w:color="auto"/>
          </w:divBdr>
        </w:div>
        <w:div w:id="352148640">
          <w:marLeft w:val="720"/>
          <w:marRight w:val="0"/>
          <w:marTop w:val="0"/>
          <w:marBottom w:val="0"/>
          <w:divBdr>
            <w:top w:val="none" w:sz="0" w:space="0" w:color="auto"/>
            <w:left w:val="none" w:sz="0" w:space="0" w:color="auto"/>
            <w:bottom w:val="none" w:sz="0" w:space="0" w:color="auto"/>
            <w:right w:val="none" w:sz="0" w:space="0" w:color="auto"/>
          </w:divBdr>
        </w:div>
        <w:div w:id="352148641">
          <w:marLeft w:val="720"/>
          <w:marRight w:val="0"/>
          <w:marTop w:val="0"/>
          <w:marBottom w:val="0"/>
          <w:divBdr>
            <w:top w:val="none" w:sz="0" w:space="0" w:color="auto"/>
            <w:left w:val="none" w:sz="0" w:space="0" w:color="auto"/>
            <w:bottom w:val="none" w:sz="0" w:space="0" w:color="auto"/>
            <w:right w:val="none" w:sz="0" w:space="0" w:color="auto"/>
          </w:divBdr>
        </w:div>
      </w:divsChild>
    </w:div>
    <w:div w:id="3521486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pc.gov.au/inquiries/current/ndis-costs/submiss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me\Documents\Custom%20Office%20Templates\cohealth\cohealth%20Styles.dotx" TargetMode="External"/></Relationships>
</file>

<file path=word/theme/theme1.xml><?xml version="1.0" encoding="utf-8"?>
<a:theme xmlns:a="http://schemas.openxmlformats.org/drawingml/2006/main" name="cohealth">
  <a:themeElements>
    <a:clrScheme name="cohealth 1">
      <a:dk1>
        <a:srgbClr val="58595B"/>
      </a:dk1>
      <a:lt1>
        <a:sysClr val="window" lastClr="FFFFFF"/>
      </a:lt1>
      <a:dk2>
        <a:srgbClr val="005378"/>
      </a:dk2>
      <a:lt2>
        <a:srgbClr val="FFFFFF"/>
      </a:lt2>
      <a:accent1>
        <a:srgbClr val="3088A7"/>
      </a:accent1>
      <a:accent2>
        <a:srgbClr val="92C83E"/>
      </a:accent2>
      <a:accent3>
        <a:srgbClr val="00BABE"/>
      </a:accent3>
      <a:accent4>
        <a:srgbClr val="85D3E8"/>
      </a:accent4>
      <a:accent5>
        <a:srgbClr val="58595B"/>
      </a:accent5>
      <a:accent6>
        <a:srgbClr val="2C2C2D"/>
      </a:accent6>
      <a:hlink>
        <a:srgbClr val="3088A7"/>
      </a:hlink>
      <a:folHlink>
        <a:srgbClr val="005378"/>
      </a:folHlink>
    </a:clrScheme>
    <a:fontScheme name="cohealth">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A466BD4-056E-4ECB-929B-E809980DF390}">
  <ds:schemaRefs>
    <ds:schemaRef ds:uri="http://schemas.openxmlformats.org/officeDocument/2006/bibliography"/>
  </ds:schemaRefs>
</ds:datastoreItem>
</file>

<file path=customXml/itemProps2.xml><?xml version="1.0" encoding="utf-8"?>
<ds:datastoreItem xmlns:ds="http://schemas.openxmlformats.org/officeDocument/2006/customXml" ds:itemID="{F1355C7D-1BC0-48BE-A647-EF10E7216D75}">
  <ds:schemaRefs>
    <ds:schemaRef ds:uri="http://schemas.openxmlformats.org/officeDocument/2006/bibliography"/>
  </ds:schemaRefs>
</ds:datastoreItem>
</file>

<file path=customXml/itemProps3.xml><?xml version="1.0" encoding="utf-8"?>
<ds:datastoreItem xmlns:ds="http://schemas.openxmlformats.org/officeDocument/2006/customXml" ds:itemID="{AAEC72EF-B88C-40C6-B157-CC30B59D0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cohealth Styles.dotx</Template>
  <TotalTime>28</TotalTime>
  <Pages>5</Pages>
  <Words>2142</Words>
  <Characters>12211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Submission PP261 - cohealth ltd - National Disability Insurance Scheme (NDIS) Costs - Commissioned study</vt:lpstr>
    </vt:vector>
  </TitlesOfParts>
  <Company>cohealth ltd</Company>
  <LinksUpToDate>false</LinksUpToDate>
  <CharactersWithSpaces>14325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PP261 - cohealth ltd - National Disability Insurance Scheme (NDIS) Costs - Commissioned study</dc:title>
  <dc:creator>cohealth ltd</dc:creator>
  <cp:lastModifiedBy>Pimperl, Mark</cp:lastModifiedBy>
  <cp:revision>8</cp:revision>
  <cp:lastPrinted>2017-07-12T05:14:00Z</cp:lastPrinted>
  <dcterms:created xsi:type="dcterms:W3CDTF">2017-07-12T04:51:00Z</dcterms:created>
  <dcterms:modified xsi:type="dcterms:W3CDTF">2017-07-13T01:25:00Z</dcterms:modified>
</cp:coreProperties>
</file>