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0E" w:rsidRPr="005D322A" w:rsidRDefault="00AA7D0E" w:rsidP="00D448A3">
      <w:pPr>
        <w:jc w:val="right"/>
        <w:rPr>
          <w:rFonts w:ascii="Times New Roman" w:hAnsi="Times New Roman"/>
          <w:b/>
          <w:color w:val="2C2C2C"/>
          <w:spacing w:val="7"/>
          <w:kern w:val="36"/>
          <w:sz w:val="19"/>
          <w:szCs w:val="19"/>
          <w:lang w:val="en"/>
        </w:rPr>
      </w:pPr>
      <w:r w:rsidRPr="005D322A">
        <w:rPr>
          <w:rFonts w:ascii="Times New Roman" w:hAnsi="Times New Roman"/>
          <w:b/>
          <w:color w:val="2C2C2C"/>
          <w:spacing w:val="7"/>
          <w:kern w:val="36"/>
          <w:sz w:val="19"/>
          <w:szCs w:val="19"/>
          <w:lang w:val="en"/>
        </w:rPr>
        <w:t>Second-round Submission to Productivity Commission/Peter Mair</w:t>
      </w:r>
    </w:p>
    <w:p w:rsidR="00AA7D0E" w:rsidRPr="005D322A" w:rsidRDefault="00AA7D0E" w:rsidP="00AA7D0E">
      <w:pPr>
        <w:jc w:val="right"/>
        <w:rPr>
          <w:rFonts w:ascii="Times New Roman" w:hAnsi="Times New Roman"/>
          <w:b/>
          <w:color w:val="2C2C2C"/>
          <w:spacing w:val="7"/>
          <w:kern w:val="36"/>
          <w:sz w:val="19"/>
          <w:szCs w:val="19"/>
          <w:lang w:val="en"/>
        </w:rPr>
      </w:pPr>
    </w:p>
    <w:p w:rsidR="00D448A3" w:rsidRPr="005D322A" w:rsidRDefault="00D448A3" w:rsidP="00E33D85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</w:p>
    <w:p w:rsidR="00E33D85" w:rsidRPr="005D322A" w:rsidRDefault="00AA7D0E" w:rsidP="00E33D85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  <w:r w:rsidRPr="005D322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Financial System</w:t>
      </w:r>
      <w:r w:rsidR="00D51CAA" w:rsidRPr="00D51CA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 xml:space="preserve"> </w:t>
      </w:r>
      <w:r w:rsidR="00D51CAA" w:rsidRPr="005D322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Competition</w:t>
      </w:r>
      <w:r w:rsidR="00F53EB4" w:rsidRPr="005D322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 xml:space="preserve">: </w:t>
      </w:r>
      <w:r w:rsidR="00770F13" w:rsidRPr="005D322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Interim Report</w:t>
      </w:r>
    </w:p>
    <w:p w:rsidR="00D448A3" w:rsidRPr="005D322A" w:rsidRDefault="00D448A3" w:rsidP="00E33D85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</w:p>
    <w:p w:rsidR="00F05D61" w:rsidRDefault="00AA7D0E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This interim report 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does not 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cut it</w:t>
      </w:r>
      <w:r w:rsidR="00DF65B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I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 does not 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meet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48443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reasonable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entitlement and </w:t>
      </w:r>
      <w:r w:rsidR="00770F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expectation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770F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of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community to have a proper explanation of the failure of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governments and appointed regulators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ensure the 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operation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of the financial system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competitive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– or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regulated to operate ‘as if’ it was competitive</w:t>
      </w:r>
      <w:r w:rsidR="00770F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AA7D0E" w:rsidRPr="005D322A" w:rsidRDefault="00565DFC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Rather</w:t>
      </w:r>
      <w:r w:rsidR="00DF65B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allowing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</w:t>
      </w:r>
      <w:r w:rsidR="00770F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decades-long degradation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of 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competition</w:t>
      </w:r>
      <w:r w:rsidR="00F05D6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(and fairness) 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was deliberate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well</w:t>
      </w:r>
      <w:bookmarkStart w:id="0" w:name="_GoBack"/>
      <w:bookmarkEnd w:id="0"/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known</w:t>
      </w:r>
      <w:r w:rsidR="00AA0AC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well </w:t>
      </w:r>
      <w:r w:rsidR="00AA0AC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understood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not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only</w:t>
      </w:r>
      <w:r w:rsidR="009258B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9258B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not 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addressed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progressively made worse</w:t>
      </w:r>
      <w:r w:rsidR="008D66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 was just not polite to say so.</w:t>
      </w:r>
    </w:p>
    <w:p w:rsidR="00A92902" w:rsidRPr="005D322A" w:rsidRDefault="00AA0AC2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This 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long-standing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situation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cannot be 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now portrayed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as 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some </w:t>
      </w:r>
      <w:r w:rsidR="00770F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regulatory </w:t>
      </w:r>
      <w:r w:rsidR="00DF65B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miscue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--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not 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properly </w:t>
      </w:r>
      <w:r w:rsidR="00E464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striking a balance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E464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between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‘stability’ and ‘competition’</w:t>
      </w:r>
      <w:r w:rsidR="00F05D6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PC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now 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proposes 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 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correct</w:t>
      </w:r>
      <w:r w:rsidR="00D322BF" w:rsidRP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situation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with</w:t>
      </w:r>
      <w:r w:rsidR="0052401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reoriented ACCC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bringing 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competition</w:t>
      </w:r>
      <w:r w:rsidR="00E93862" w:rsidRP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E9386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brief</w:t>
      </w:r>
      <w:r w:rsidR="009268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the table of the Council of Financial Regulators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(CFC)</w:t>
      </w:r>
      <w:r w:rsidR="00131F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E93862" w:rsidRDefault="00770F13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It is quaintly Dickensian 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 en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vision the 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ACCC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at the big-table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‘asking for more’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when it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never</w:t>
      </w:r>
      <w:r w:rsidR="00DE02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525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effectively</w:t>
      </w:r>
      <w:r w:rsidR="00DE02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84525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asks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for any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C5D0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ACCC would soon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re-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discover</w:t>
      </w:r>
      <w:r w:rsidR="005C5D0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that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E9386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expecting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rapt</w:t>
      </w:r>
      <w:r w:rsidR="006B606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att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ention at the table-of-stable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is fanciful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--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those that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run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this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game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could hardly 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have made their preference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attitude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and authority, </w:t>
      </w:r>
      <w:r w:rsidR="00C13B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more </w:t>
      </w:r>
      <w:r w:rsidR="003769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clear. </w:t>
      </w:r>
    </w:p>
    <w:p w:rsidR="004358F6" w:rsidRDefault="004358F6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standing reality stand</w:t>
      </w:r>
      <w:r w:rsidR="0072619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 sharp contrast to the PC contention that:</w:t>
      </w:r>
    </w:p>
    <w:p w:rsidR="004358F6" w:rsidRDefault="004358F6" w:rsidP="00726191">
      <w:pPr>
        <w:jc w:val="center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4358F6">
        <w:rPr>
          <w:rFonts w:ascii="Times New Roman" w:hAnsi="Times New Roman"/>
          <w:i/>
          <w:color w:val="2C2C2C"/>
          <w:spacing w:val="7"/>
          <w:kern w:val="36"/>
          <w:sz w:val="24"/>
          <w:szCs w:val="24"/>
          <w:lang w:val="en"/>
        </w:rPr>
        <w:t>The Council of Financial Regulators is a valuable forum for a rigorous and informe</w:t>
      </w:r>
      <w:r w:rsidR="00726191">
        <w:rPr>
          <w:rFonts w:ascii="Times New Roman" w:hAnsi="Times New Roman"/>
          <w:i/>
          <w:color w:val="2C2C2C"/>
          <w:spacing w:val="7"/>
          <w:kern w:val="36"/>
          <w:sz w:val="24"/>
          <w:szCs w:val="24"/>
          <w:lang w:val="en"/>
        </w:rPr>
        <w:t>d competit</w:t>
      </w:r>
      <w:r w:rsidRPr="004358F6">
        <w:rPr>
          <w:rFonts w:ascii="Times New Roman" w:hAnsi="Times New Roman"/>
          <w:i/>
          <w:color w:val="2C2C2C"/>
          <w:spacing w:val="7"/>
          <w:kern w:val="36"/>
          <w:sz w:val="24"/>
          <w:szCs w:val="24"/>
          <w:lang w:val="en"/>
        </w:rPr>
        <w:t>ion debate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(15.1)</w:t>
      </w:r>
    </w:p>
    <w:p w:rsidR="006B6069" w:rsidRPr="005D322A" w:rsidRDefault="003769E7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For decades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Treasurer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 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have noisily 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promised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competitive 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retail 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financial system – for decades the community has seen only the converse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an ever more closely-owned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more 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cartel-like, industry behaving ever more badly.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Regulators heard the promises and saw the misconduct but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if anything, 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only </w:t>
      </w:r>
      <w:r w:rsidR="002B653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doubled down and 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endorsed 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licens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e-to-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kill 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given to</w:t>
      </w:r>
      <w:r w:rsidR="00A9290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Pillars.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What happened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5170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was deliberate</w:t>
      </w:r>
      <w:r w:rsidR="00DE02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D322BF" w:rsidRDefault="00AA7D0E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Ahead of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government’s 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compromised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royal commission (into 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systemic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misconduct) there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was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range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of diversionary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initiatives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– one was the brief 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given to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PC to investigate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‘competition’.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That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brief</w:t>
      </w:r>
      <w:r w:rsidR="008468A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from the Treasurer,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</w:t>
      </w:r>
      <w:r w:rsidR="008A589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self-serving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 deceptiv</w:t>
      </w:r>
      <w:r w:rsidR="00E33D8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 –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it </w:t>
      </w:r>
      <w:r w:rsidR="0084525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asks</w:t>
      </w:r>
      <w:r w:rsidR="00E33D8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</w:t>
      </w:r>
      <w:r w:rsidR="00DE02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Commission </w:t>
      </w:r>
      <w:r w:rsidR="00E33D8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 respect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105E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some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‘existing wide-ranging financial system reform agenda’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before going on to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lastRenderedPageBreak/>
        <w:t>suggest this agenda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already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embraces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hallmarks of competition --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resilience, efficiency, innovation, fairness and regulator’s capabilities and accountability</w:t>
      </w:r>
      <w:r w:rsidR="004B5C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E33D8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103452" w:rsidRPr="005D322A" w:rsidRDefault="00D51CAA" w:rsidP="00AA7D0E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PC may not respect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tripe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but it did not reject it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DE0252" w:rsidRPr="005D322A" w:rsidRDefault="00DE0252" w:rsidP="00DE02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PC remains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cop on the local beat,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51CA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spiritually and practically independent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still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holding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spect of the 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wider </w:t>
      </w:r>
      <w:r w:rsidR="00DA33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community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There were, and remain, expectations of the PC delivering a proper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ly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investigated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explanation for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un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competitive environment </w:t>
      </w:r>
      <w:r w:rsidR="00D51CA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that undermines efficiency and fairness in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Australian financial s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ystem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These expectations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are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fueled by the lengths to which the government 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went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avoid any full and proper investigation of system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ic failings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. </w:t>
      </w:r>
    </w:p>
    <w:p w:rsidR="009C251C" w:rsidRDefault="00DE0252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Whether the</w:t>
      </w:r>
      <w:r w:rsidR="00900EB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brief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given </w:t>
      </w:r>
      <w:r w:rsidR="00D50F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 the PC necessarily</w:t>
      </w:r>
      <w:r w:rsidR="00434E5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900EB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compromises 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its</w:t>
      </w:r>
      <w:r w:rsidR="00900EB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scope and </w:t>
      </w:r>
      <w:r w:rsidR="00900EB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objectivity is </w:t>
      </w:r>
      <w:r w:rsidR="00E33D8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</w:t>
      </w:r>
      <w:r w:rsidR="001034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open question </w:t>
      </w:r>
      <w:r w:rsidR="003F4E8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–</w:t>
      </w:r>
      <w:r w:rsidR="001034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report</w:t>
      </w:r>
      <w:r w:rsidR="003F4E8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6082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gives rise to</w:t>
      </w:r>
      <w:r w:rsidR="003F4E8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concerns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3F4E8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D22387" w:rsidRPr="005D322A" w:rsidRDefault="00D22387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</w:p>
    <w:p w:rsidR="004124A3" w:rsidRPr="0052769A" w:rsidRDefault="00D22387" w:rsidP="00F53EB4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  <w:r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INDEPENDENCE</w:t>
      </w:r>
      <w:r w:rsidR="00D322BF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 xml:space="preserve"> WITHOUT</w:t>
      </w:r>
      <w:r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 xml:space="preserve"> </w:t>
      </w:r>
      <w:r w:rsidR="0052769A" w:rsidRPr="0052769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ACCOUNTABILITY</w:t>
      </w:r>
    </w:p>
    <w:p w:rsidR="00F53EB4" w:rsidRPr="005D322A" w:rsidRDefault="00F53EB4" w:rsidP="00F53EB4">
      <w:pPr>
        <w:jc w:val="center"/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</w:p>
    <w:p w:rsidR="004358F6" w:rsidRDefault="00D831CE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sense of despair about </w:t>
      </w:r>
      <w:r w:rsidR="001F534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outcomes</w:t>
      </w:r>
      <w:r w:rsidR="00AB7B9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for competition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is inherent in </w:t>
      </w:r>
      <w:r w:rsidR="00657D0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granting </w:t>
      </w:r>
      <w:r w:rsidR="001F534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independence</w:t>
      </w:r>
      <w:r w:rsidR="00C9642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 single-minded regulators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–</w:t>
      </w:r>
      <w:r w:rsidR="00D2238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‘independence’ 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nominally</w:t>
      </w:r>
      <w:r w:rsidR="00AB7B9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portend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ing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hope</w:t>
      </w:r>
      <w:r w:rsidR="007F350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but </w:t>
      </w:r>
      <w:r w:rsidR="007F350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without 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33673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necessary complement 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of accountability.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Regulators acting</w:t>
      </w:r>
      <w:r w:rsidR="004358F6" w:rsidRP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as they like, with impunity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4358F6" w:rsidRP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is not on.</w:t>
      </w:r>
    </w:p>
    <w:p w:rsidR="00BD1879" w:rsidRPr="005D322A" w:rsidRDefault="00AB7B9C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‘Independence’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22387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allows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do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ing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nothing as well as right thing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 wrong thing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hat goes to the heart of the issues </w:t>
      </w:r>
      <w:r w:rsidR="00657D0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for which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financial system </w:t>
      </w:r>
      <w:r w:rsidR="00657D0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players and regulators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D187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should 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be</w:t>
      </w:r>
      <w:r w:rsidR="00BD187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accountable but are not</w:t>
      </w:r>
      <w:r w:rsidR="009473B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657D0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9473BA" w:rsidRPr="005D322A" w:rsidRDefault="009473BA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If the royal commission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 covering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misconduct of the players, 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AB7B9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PC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 the counterpart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assess the </w:t>
      </w:r>
      <w:r w:rsidR="001F534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regulators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’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use, and misuse, of their independence. 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delivery of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4A268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 uncompetitive</w:t>
      </w:r>
      <w:r w:rsidR="00A66BF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and unfair,</w:t>
      </w:r>
      <w:r w:rsidR="004A268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system</w:t>
      </w:r>
      <w:r w:rsidR="001F534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 the community </w:t>
      </w:r>
      <w:r w:rsidR="004A268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was no accident</w:t>
      </w:r>
      <w:r w:rsidR="00F93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232C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4358F6" w:rsidRDefault="003D54EE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Overall, however, t</w:t>
      </w:r>
      <w:r w:rsidR="00BA10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his interim report </w:t>
      </w:r>
      <w:r w:rsidR="00C55DA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does not evidence</w:t>
      </w:r>
      <w:r w:rsidR="00BA10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</w:t>
      </w:r>
      <w:r w:rsidR="00F93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insightful</w:t>
      </w:r>
      <w:r w:rsidR="00BA10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investigation</w:t>
      </w:r>
      <w:r w:rsidR="00AB7B9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A10A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and explanation</w:t>
      </w:r>
      <w:r w:rsidR="00AB7B9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F93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of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misused 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regulatory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independence </w:t>
      </w:r>
      <w:r w:rsidR="00F93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leading to the current imbroglio</w:t>
      </w:r>
      <w:r w:rsidR="00C55DA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4F611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C55DA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</w:t>
      </w:r>
      <w:r w:rsidR="00A66BF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either does it meet </w:t>
      </w:r>
      <w:r w:rsidR="004F611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challenge of restoring</w:t>
      </w:r>
      <w:r w:rsidR="004F611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 </w:t>
      </w:r>
      <w:r w:rsidR="00BA79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workably competitive</w:t>
      </w:r>
      <w:r w:rsidR="004F611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sense of order</w:t>
      </w:r>
      <w:r w:rsidR="00F93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A66BF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4358F6" w:rsidRDefault="00A66BFF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It is naive.</w:t>
      </w:r>
    </w:p>
    <w:p w:rsidR="00765D6D" w:rsidRDefault="004F6114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That said, it seems the PC has elected to 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take a different approach – to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let bygones be bygones, to just look at what we have, recognize shortcomings, and 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propose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F54C2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reform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 to</w:t>
      </w:r>
      <w:r w:rsidR="00F54C2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E71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policy framework to 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restore competitive</w:t>
      </w:r>
      <w:r w:rsidR="00E71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order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AB614D" w:rsidRDefault="00E7130D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lastRenderedPageBreak/>
        <w:t>Against this naivety, understanding the past</w:t>
      </w:r>
      <w:r w:rsidR="00F54C2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 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obvious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regulatory 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abuses</w:t>
      </w:r>
      <w:r w:rsidR="00F54C2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is reasonably prerequisite to 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now </w:t>
      </w:r>
      <w:r w:rsidR="00F54C2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framing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well-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founded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competition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agenda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99733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33673E" w:rsidRPr="005D322A" w:rsidRDefault="0033673E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As is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offending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regulators will simply ‘file’ this report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(after a faux display of 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praise </w:t>
      </w:r>
      <w:r w:rsidR="00D322B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cooperative concern)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765D6D" w:rsidRDefault="004F6114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What follows </w:t>
      </w:r>
      <w:r w:rsidR="0033673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briefly 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outlines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some important </w:t>
      </w:r>
      <w:r w:rsidR="00C075B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misuses of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regulatory independence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84267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compromising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competition</w:t>
      </w:r>
      <w:r w:rsidR="002B6B4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efficiency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2B6B4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fairness</w:t>
      </w:r>
      <w:r w:rsidR="004358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-- </w:t>
      </w:r>
      <w:r w:rsidR="004358F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and</w:t>
      </w:r>
      <w:r w:rsidR="004358F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now stability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AB614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765D6D" w:rsidRDefault="00C075B6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[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Player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</w:t>
      </w:r>
      <w:r w:rsidR="00765D6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isconduct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will be </w:t>
      </w:r>
      <w:r w:rsidR="00765D6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exposed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by the royal commission.]</w:t>
      </w:r>
      <w:r w:rsidR="004F611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4358F6" w:rsidRPr="005D322A" w:rsidRDefault="004358F6" w:rsidP="00BA10A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</w:p>
    <w:p w:rsidR="0068508F" w:rsidRPr="0052769A" w:rsidRDefault="0052769A" w:rsidP="0068508F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  <w:r w:rsidRPr="0052769A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NOT GOOD ENOUGH</w:t>
      </w:r>
    </w:p>
    <w:p w:rsidR="00E56702" w:rsidRPr="005D322A" w:rsidRDefault="00E56702" w:rsidP="0068508F">
      <w:pPr>
        <w:jc w:val="center"/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</w:p>
    <w:p w:rsidR="006761C5" w:rsidRDefault="00D7276E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 xml:space="preserve">As in </w:t>
      </w:r>
      <w:r w:rsidR="006761C5">
        <w:rPr>
          <w:rFonts w:ascii="Times New Roman" w:hAnsi="Times New Roman"/>
          <w:i/>
          <w:kern w:val="36"/>
          <w:sz w:val="24"/>
          <w:szCs w:val="24"/>
          <w:lang w:val="en"/>
        </w:rPr>
        <w:t xml:space="preserve"> </w:t>
      </w:r>
      <w:r w:rsidR="00C91AB3" w:rsidRPr="005D322A">
        <w:rPr>
          <w:rFonts w:ascii="Times New Roman" w:hAnsi="Times New Roman"/>
          <w:i/>
          <w:kern w:val="36"/>
          <w:sz w:val="24"/>
          <w:szCs w:val="24"/>
          <w:lang w:val="en"/>
        </w:rPr>
        <w:t>Hamlet without the Prince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C91AB3" w:rsidRPr="005D322A">
        <w:rPr>
          <w:rFonts w:ascii="Times New Roman" w:hAnsi="Times New Roman"/>
          <w:kern w:val="36"/>
          <w:sz w:val="24"/>
          <w:szCs w:val="24"/>
          <w:lang w:val="en"/>
        </w:rPr>
        <w:t xml:space="preserve">the </w:t>
      </w:r>
      <w:r w:rsidR="005D322A">
        <w:rPr>
          <w:rFonts w:ascii="Times New Roman" w:hAnsi="Times New Roman"/>
          <w:kern w:val="36"/>
          <w:sz w:val="24"/>
          <w:szCs w:val="24"/>
          <w:lang w:val="en"/>
        </w:rPr>
        <w:t xml:space="preserve">PC </w:t>
      </w:r>
      <w:r w:rsidR="00C91AB3" w:rsidRPr="005D322A">
        <w:rPr>
          <w:rFonts w:ascii="Times New Roman" w:hAnsi="Times New Roman"/>
          <w:kern w:val="36"/>
          <w:sz w:val="24"/>
          <w:szCs w:val="24"/>
          <w:lang w:val="en"/>
        </w:rPr>
        <w:t xml:space="preserve">story </w:t>
      </w:r>
      <w:r w:rsidR="00BA0EC1">
        <w:rPr>
          <w:rFonts w:ascii="Times New Roman" w:hAnsi="Times New Roman"/>
          <w:kern w:val="36"/>
          <w:sz w:val="24"/>
          <w:szCs w:val="24"/>
          <w:lang w:val="en"/>
        </w:rPr>
        <w:t xml:space="preserve">on competition 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is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incomplete without giving </w:t>
      </w:r>
      <w:r w:rsidR="00BA0EC1">
        <w:rPr>
          <w:rFonts w:ascii="Times New Roman" w:hAnsi="Times New Roman"/>
          <w:kern w:val="36"/>
          <w:sz w:val="24"/>
          <w:szCs w:val="24"/>
          <w:lang w:val="en"/>
        </w:rPr>
        <w:t xml:space="preserve">the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leading role to </w:t>
      </w:r>
      <w:r w:rsidR="00C91AB3" w:rsidRPr="005D322A">
        <w:rPr>
          <w:rFonts w:ascii="Times New Roman" w:hAnsi="Times New Roman"/>
          <w:kern w:val="36"/>
          <w:sz w:val="24"/>
          <w:szCs w:val="24"/>
          <w:lang w:val="en"/>
        </w:rPr>
        <w:t xml:space="preserve">the </w:t>
      </w:r>
      <w:r w:rsidR="00C91AB3" w:rsidRPr="00E231FD">
        <w:rPr>
          <w:rFonts w:ascii="Times New Roman" w:hAnsi="Times New Roman"/>
          <w:b/>
          <w:kern w:val="36"/>
          <w:sz w:val="24"/>
          <w:szCs w:val="24"/>
          <w:u w:val="single"/>
          <w:lang w:val="en"/>
        </w:rPr>
        <w:t>one-trillion</w:t>
      </w:r>
      <w:r w:rsidR="005D322A" w:rsidRPr="00E231FD">
        <w:rPr>
          <w:rFonts w:ascii="Times New Roman" w:hAnsi="Times New Roman"/>
          <w:b/>
          <w:kern w:val="36"/>
          <w:sz w:val="24"/>
          <w:szCs w:val="24"/>
          <w:u w:val="single"/>
          <w:lang w:val="en"/>
        </w:rPr>
        <w:t xml:space="preserve"> in</w:t>
      </w:r>
      <w:r>
        <w:rPr>
          <w:rFonts w:ascii="Times New Roman" w:hAnsi="Times New Roman"/>
          <w:b/>
          <w:kern w:val="36"/>
          <w:sz w:val="24"/>
          <w:szCs w:val="24"/>
          <w:u w:val="single"/>
          <w:lang w:val="en"/>
        </w:rPr>
        <w:t xml:space="preserve"> </w:t>
      </w:r>
      <w:r w:rsidR="005D322A" w:rsidRPr="00E231FD">
        <w:rPr>
          <w:rFonts w:ascii="Times New Roman" w:hAnsi="Times New Roman"/>
          <w:b/>
          <w:kern w:val="36"/>
          <w:sz w:val="24"/>
          <w:szCs w:val="24"/>
          <w:u w:val="single"/>
          <w:lang w:val="en"/>
        </w:rPr>
        <w:t>transaction accounts</w:t>
      </w:r>
      <w:r w:rsidR="005D322A">
        <w:rPr>
          <w:rFonts w:ascii="Times New Roman" w:hAnsi="Times New Roman"/>
          <w:kern w:val="36"/>
          <w:sz w:val="24"/>
          <w:szCs w:val="24"/>
          <w:lang w:val="en"/>
        </w:rPr>
        <w:t xml:space="preserve"> on which ‘no’ interest is paid. </w:t>
      </w:r>
    </w:p>
    <w:p w:rsidR="006761C5" w:rsidRDefault="006761C5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071BD9" w:rsidRDefault="00C55DA0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>The ‘one-trillion’</w:t>
      </w:r>
      <w:r w:rsidR="00545790">
        <w:rPr>
          <w:rFonts w:ascii="Times New Roman" w:hAnsi="Times New Roman"/>
          <w:kern w:val="36"/>
          <w:sz w:val="24"/>
          <w:szCs w:val="24"/>
          <w:lang w:val="en"/>
        </w:rPr>
        <w:t>,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h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>istorically</w:t>
      </w:r>
      <w:r w:rsidR="005D322A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932D93">
        <w:rPr>
          <w:rFonts w:ascii="Times New Roman" w:hAnsi="Times New Roman"/>
          <w:kern w:val="36"/>
          <w:sz w:val="24"/>
          <w:szCs w:val="24"/>
          <w:lang w:val="en"/>
        </w:rPr>
        <w:t>parading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 as ‘current accounts not bearing interest’ and now as ‘transaction account deposits’ (on which low or no interest is paid)</w:t>
      </w:r>
      <w:r>
        <w:rPr>
          <w:rFonts w:ascii="Times New Roman" w:hAnsi="Times New Roman"/>
          <w:kern w:val="36"/>
          <w:sz w:val="24"/>
          <w:szCs w:val="24"/>
          <w:lang w:val="en"/>
        </w:rPr>
        <w:t>,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 comprise</w:t>
      </w:r>
      <w:r>
        <w:rPr>
          <w:rFonts w:ascii="Times New Roman" w:hAnsi="Times New Roman"/>
          <w:kern w:val="36"/>
          <w:sz w:val="24"/>
          <w:szCs w:val="24"/>
          <w:lang w:val="en"/>
        </w:rPr>
        <w:t>s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 deposits in cheque and savings accounts repayable ‘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>on demand’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. </w:t>
      </w:r>
    </w:p>
    <w:p w:rsidR="00071BD9" w:rsidRDefault="00071BD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C91AB3" w:rsidRDefault="00BA0EC1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>The great bulk of the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‘free’ 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>deposits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is </w:t>
      </w:r>
      <w:r w:rsidR="006761C5">
        <w:rPr>
          <w:rFonts w:ascii="Times New Roman" w:hAnsi="Times New Roman"/>
          <w:kern w:val="36"/>
          <w:sz w:val="24"/>
          <w:szCs w:val="24"/>
          <w:lang w:val="en"/>
        </w:rPr>
        <w:t xml:space="preserve">held by the 4Pillars </w:t>
      </w:r>
      <w:r>
        <w:rPr>
          <w:rFonts w:ascii="Times New Roman" w:hAnsi="Times New Roman"/>
          <w:kern w:val="36"/>
          <w:sz w:val="24"/>
          <w:szCs w:val="24"/>
          <w:lang w:val="en"/>
        </w:rPr>
        <w:t>and has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 xml:space="preserve">long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underwritten </w:t>
      </w:r>
      <w:r w:rsidR="00D7276E" w:rsidRPr="00D7276E">
        <w:rPr>
          <w:rFonts w:ascii="Times New Roman" w:hAnsi="Times New Roman"/>
          <w:kern w:val="36"/>
          <w:sz w:val="24"/>
          <w:szCs w:val="24"/>
          <w:lang w:val="en"/>
        </w:rPr>
        <w:t>destructive competition</w:t>
      </w:r>
      <w:r w:rsidR="00545790">
        <w:rPr>
          <w:rFonts w:ascii="Times New Roman" w:hAnsi="Times New Roman"/>
          <w:kern w:val="36"/>
          <w:sz w:val="24"/>
          <w:szCs w:val="24"/>
          <w:lang w:val="en"/>
        </w:rPr>
        <w:t xml:space="preserve"> -- the</w:t>
      </w:r>
      <w:r w:rsidR="00FC6DE5" w:rsidRPr="00D7276E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kern w:val="36"/>
          <w:sz w:val="24"/>
          <w:szCs w:val="24"/>
          <w:lang w:val="en"/>
        </w:rPr>
        <w:t>misuse of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FC6DE5" w:rsidRPr="00D7276E">
        <w:rPr>
          <w:rFonts w:ascii="Times New Roman" w:hAnsi="Times New Roman"/>
          <w:kern w:val="36"/>
          <w:sz w:val="24"/>
          <w:szCs w:val="24"/>
          <w:lang w:val="en"/>
        </w:rPr>
        <w:t xml:space="preserve">the 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>windfall</w:t>
      </w:r>
      <w:r w:rsidR="00FC6DE5" w:rsidRPr="00D7276E">
        <w:rPr>
          <w:rFonts w:ascii="Times New Roman" w:hAnsi="Times New Roman"/>
          <w:kern w:val="36"/>
          <w:sz w:val="24"/>
          <w:szCs w:val="24"/>
          <w:lang w:val="en"/>
        </w:rPr>
        <w:t xml:space="preserve"> earnings flowing from the investment of these ‘free’ funds at market rates.</w:t>
      </w:r>
    </w:p>
    <w:p w:rsidR="00BA0EC1" w:rsidRDefault="00BA0EC1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BA0EC1" w:rsidRDefault="00BA0EC1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 xml:space="preserve">These earnings, </w:t>
      </w:r>
      <w:r w:rsidR="00545790">
        <w:rPr>
          <w:rFonts w:ascii="Times New Roman" w:hAnsi="Times New Roman"/>
          <w:kern w:val="36"/>
          <w:sz w:val="24"/>
          <w:szCs w:val="24"/>
          <w:lang w:val="en"/>
        </w:rPr>
        <w:t xml:space="preserve">rightly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belonging to the people, </w:t>
      </w:r>
      <w:r w:rsidR="00545790">
        <w:rPr>
          <w:rFonts w:ascii="Times New Roman" w:hAnsi="Times New Roman"/>
          <w:kern w:val="36"/>
          <w:sz w:val="24"/>
          <w:szCs w:val="24"/>
          <w:lang w:val="en"/>
        </w:rPr>
        <w:t>are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used against the people. </w:t>
      </w:r>
    </w:p>
    <w:p w:rsidR="00FC6DE5" w:rsidRDefault="00FC6DE5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9F7158" w:rsidRDefault="00071BD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 xml:space="preserve">Traditionally 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>this soft-profit endowment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>cross-subsidize</w:t>
      </w:r>
      <w:r>
        <w:rPr>
          <w:rFonts w:ascii="Times New Roman" w:hAnsi="Times New Roman"/>
          <w:kern w:val="36"/>
          <w:sz w:val="24"/>
          <w:szCs w:val="24"/>
          <w:lang w:val="en"/>
        </w:rPr>
        <w:t>d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‘free banking’ </w:t>
      </w:r>
      <w:r w:rsidR="006F0A98">
        <w:rPr>
          <w:rFonts w:ascii="Times New Roman" w:hAnsi="Times New Roman"/>
          <w:kern w:val="36"/>
          <w:sz w:val="24"/>
          <w:szCs w:val="24"/>
          <w:lang w:val="en"/>
        </w:rPr>
        <w:t>payments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facilities to customers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– something competitors could not </w:t>
      </w:r>
      <w:r w:rsidR="006F0A98">
        <w:rPr>
          <w:rFonts w:ascii="Times New Roman" w:hAnsi="Times New Roman"/>
          <w:kern w:val="36"/>
          <w:sz w:val="24"/>
          <w:szCs w:val="24"/>
          <w:lang w:val="en"/>
        </w:rPr>
        <w:t>match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. 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Far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worse, </w:t>
      </w:r>
      <w:r w:rsidR="009F7158">
        <w:rPr>
          <w:rFonts w:ascii="Times New Roman" w:hAnsi="Times New Roman"/>
          <w:kern w:val="36"/>
          <w:sz w:val="24"/>
          <w:szCs w:val="24"/>
          <w:lang w:val="en"/>
        </w:rPr>
        <w:t xml:space="preserve">however, was 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>the explosion of the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‘soft profits’ in the 1980s </w:t>
      </w:r>
      <w:r w:rsidR="009F7158">
        <w:rPr>
          <w:rFonts w:ascii="Times New Roman" w:hAnsi="Times New Roman"/>
          <w:kern w:val="36"/>
          <w:sz w:val="24"/>
          <w:szCs w:val="24"/>
          <w:lang w:val="en"/>
        </w:rPr>
        <w:t xml:space="preserve">that 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>funded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the Pillars </w:t>
      </w:r>
      <w:r>
        <w:rPr>
          <w:rFonts w:ascii="Times New Roman" w:hAnsi="Times New Roman"/>
          <w:kern w:val="36"/>
          <w:sz w:val="24"/>
          <w:szCs w:val="24"/>
          <w:lang w:val="en"/>
        </w:rPr>
        <w:t>run</w:t>
      </w:r>
      <w:r w:rsidR="00D7276E">
        <w:rPr>
          <w:rFonts w:ascii="Times New Roman" w:hAnsi="Times New Roman"/>
          <w:kern w:val="36"/>
          <w:sz w:val="24"/>
          <w:szCs w:val="24"/>
          <w:lang w:val="en"/>
        </w:rPr>
        <w:t>ning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rampant</w:t>
      </w:r>
      <w:r w:rsidR="00932D93">
        <w:rPr>
          <w:rFonts w:ascii="Times New Roman" w:hAnsi="Times New Roman"/>
          <w:kern w:val="36"/>
          <w:sz w:val="24"/>
          <w:szCs w:val="24"/>
          <w:lang w:val="en"/>
        </w:rPr>
        <w:t>,</w:t>
      </w:r>
      <w:r w:rsidR="00FC6DE5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  <w:r w:rsidR="00932D93">
        <w:rPr>
          <w:rFonts w:ascii="Times New Roman" w:hAnsi="Times New Roman"/>
          <w:kern w:val="36"/>
          <w:sz w:val="24"/>
          <w:szCs w:val="24"/>
          <w:lang w:val="en"/>
        </w:rPr>
        <w:t xml:space="preserve">pillaging the financial system. </w:t>
      </w:r>
    </w:p>
    <w:p w:rsidR="009F7158" w:rsidRDefault="009F7158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FC6DE5" w:rsidRDefault="00071BD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>A</w:t>
      </w:r>
      <w:r w:rsidR="00932D93">
        <w:rPr>
          <w:rFonts w:ascii="Times New Roman" w:hAnsi="Times New Roman"/>
          <w:kern w:val="36"/>
          <w:sz w:val="24"/>
          <w:szCs w:val="24"/>
          <w:lang w:val="en"/>
        </w:rPr>
        <w:t>ccountability is called for.</w:t>
      </w:r>
    </w:p>
    <w:p w:rsidR="00400C3C" w:rsidRDefault="00400C3C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400C3C" w:rsidRPr="00071BD9" w:rsidRDefault="00071BD9" w:rsidP="00071BD9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071BD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[ --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400C3C" w:rsidRPr="00071BD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 invitation not accepted</w:t>
      </w:r>
    </w:p>
    <w:p w:rsidR="00400C3C" w:rsidRPr="00071BD9" w:rsidRDefault="00071BD9" w:rsidP="00400C3C">
      <w:pPr>
        <w:jc w:val="both"/>
        <w:rPr>
          <w:rFonts w:ascii="Times New Roman" w:hAnsi="Times New Roman"/>
          <w:b/>
          <w:i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="00400C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terms of reference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invited</w:t>
      </w:r>
      <w:r w:rsidR="00400C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PC to</w:t>
      </w:r>
      <w:r>
        <w:rPr>
          <w:rFonts w:ascii="Times New Roman" w:hAnsi="Times New Roman"/>
          <w:b/>
          <w:i/>
          <w:color w:val="555555"/>
          <w:spacing w:val="7"/>
          <w:sz w:val="24"/>
          <w:szCs w:val="24"/>
          <w:lang w:val="en"/>
        </w:rPr>
        <w:t xml:space="preserve"> .. </w:t>
      </w:r>
      <w:r w:rsidR="00400C3C" w:rsidRPr="005D322A">
        <w:rPr>
          <w:rFonts w:ascii="Times New Roman" w:hAnsi="Times New Roman"/>
          <w:b/>
          <w:i/>
          <w:color w:val="555555"/>
          <w:spacing w:val="7"/>
          <w:sz w:val="24"/>
          <w:szCs w:val="24"/>
          <w:lang w:val="en"/>
        </w:rPr>
        <w:t>examine the degree and nature of competition in the provision of personal deposit accounts</w:t>
      </w:r>
      <w:r>
        <w:rPr>
          <w:rFonts w:ascii="Times New Roman" w:hAnsi="Times New Roman"/>
          <w:b/>
          <w:i/>
          <w:color w:val="555555"/>
          <w:spacing w:val="7"/>
          <w:sz w:val="24"/>
          <w:szCs w:val="24"/>
          <w:lang w:val="en"/>
        </w:rPr>
        <w:t xml:space="preserve">... </w:t>
      </w:r>
      <w:r w:rsidR="00400C3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It has not.</w:t>
      </w:r>
    </w:p>
    <w:p w:rsidR="00400C3C" w:rsidRPr="005D322A" w:rsidRDefault="00400C3C" w:rsidP="00400C3C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 this an interim oversight?</w:t>
      </w:r>
      <w:r w:rsidR="00071BD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]</w:t>
      </w:r>
    </w:p>
    <w:p w:rsidR="00400C3C" w:rsidRDefault="00400C3C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932D93" w:rsidRDefault="00932D93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932D93" w:rsidRDefault="00932D93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 xml:space="preserve">On a closely related matter – </w:t>
      </w:r>
      <w:r w:rsidRPr="00E231FD">
        <w:rPr>
          <w:rFonts w:ascii="Times New Roman" w:hAnsi="Times New Roman"/>
          <w:b/>
          <w:kern w:val="36"/>
          <w:sz w:val="24"/>
          <w:szCs w:val="24"/>
          <w:u w:val="single"/>
          <w:lang w:val="en"/>
        </w:rPr>
        <w:t>the bank levy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– the PC report is naively 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unfamiliar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with banking histor</w:t>
      </w:r>
      <w:r w:rsidR="00651BA9">
        <w:rPr>
          <w:rFonts w:ascii="Times New Roman" w:hAnsi="Times New Roman"/>
          <w:kern w:val="36"/>
          <w:sz w:val="24"/>
          <w:szCs w:val="24"/>
          <w:lang w:val="en"/>
        </w:rPr>
        <w:t>y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.</w:t>
      </w:r>
      <w:r w:rsidR="00651BA9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</w:p>
    <w:p w:rsidR="00651BA9" w:rsidRDefault="00651BA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651BA9" w:rsidRDefault="00651BA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lastRenderedPageBreak/>
        <w:t>Fact is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,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for some 50 years, from 1941, the Pillars and their forebears were subject to a raft of de facto regulatory taxes (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e.g.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Statutory Reserve Deposits) that, very 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intentionally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, </w:t>
      </w:r>
      <w:r w:rsidR="00071BD9">
        <w:rPr>
          <w:rFonts w:ascii="Times New Roman" w:hAnsi="Times New Roman"/>
          <w:kern w:val="36"/>
          <w:sz w:val="24"/>
          <w:szCs w:val="24"/>
          <w:lang w:val="en"/>
        </w:rPr>
        <w:t>moderated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 their unfair </w:t>
      </w:r>
      <w:r w:rsidR="00E231FD">
        <w:rPr>
          <w:rFonts w:ascii="Times New Roman" w:hAnsi="Times New Roman"/>
          <w:kern w:val="36"/>
          <w:sz w:val="24"/>
          <w:szCs w:val="24"/>
          <w:lang w:val="en"/>
        </w:rPr>
        <w:t xml:space="preserve">competitive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advantages and constrained their competitive power. The effectiveness of this </w:t>
      </w:r>
      <w:r w:rsidR="00E231FD">
        <w:rPr>
          <w:rFonts w:ascii="Times New Roman" w:hAnsi="Times New Roman"/>
          <w:kern w:val="36"/>
          <w:sz w:val="24"/>
          <w:szCs w:val="24"/>
          <w:lang w:val="en"/>
        </w:rPr>
        <w:t xml:space="preserve">‘tax’ </w:t>
      </w:r>
      <w:r>
        <w:rPr>
          <w:rFonts w:ascii="Times New Roman" w:hAnsi="Times New Roman"/>
          <w:kern w:val="36"/>
          <w:sz w:val="24"/>
          <w:szCs w:val="24"/>
          <w:lang w:val="en"/>
        </w:rPr>
        <w:t>regime was illustrated by non-bank ins</w:t>
      </w:r>
      <w:r w:rsidR="00D25941">
        <w:rPr>
          <w:rFonts w:ascii="Times New Roman" w:hAnsi="Times New Roman"/>
          <w:kern w:val="36"/>
          <w:sz w:val="24"/>
          <w:szCs w:val="24"/>
          <w:lang w:val="en"/>
        </w:rPr>
        <w:t xml:space="preserve">titutions competing with banks (some </w:t>
      </w:r>
      <w:r w:rsidR="00E231FD">
        <w:rPr>
          <w:rFonts w:ascii="Times New Roman" w:hAnsi="Times New Roman"/>
          <w:kern w:val="36"/>
          <w:sz w:val="24"/>
          <w:szCs w:val="24"/>
          <w:lang w:val="en"/>
        </w:rPr>
        <w:t>became banks</w:t>
      </w:r>
      <w:r w:rsidR="00D25941">
        <w:rPr>
          <w:rFonts w:ascii="Times New Roman" w:hAnsi="Times New Roman"/>
          <w:kern w:val="36"/>
          <w:sz w:val="24"/>
          <w:szCs w:val="24"/>
          <w:lang w:val="en"/>
        </w:rPr>
        <w:t xml:space="preserve"> – and Pillar prey)</w:t>
      </w:r>
      <w:r w:rsidR="00E231FD">
        <w:rPr>
          <w:rFonts w:ascii="Times New Roman" w:hAnsi="Times New Roman"/>
          <w:kern w:val="36"/>
          <w:sz w:val="24"/>
          <w:szCs w:val="24"/>
          <w:lang w:val="en"/>
        </w:rPr>
        <w:t>.</w:t>
      </w:r>
    </w:p>
    <w:p w:rsidR="00651BA9" w:rsidRDefault="00651BA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9F7158" w:rsidRDefault="00651BA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>All this came unstuck in the late 1980s when deregulation (of the Pillars) removed these regulatory constraints in the high interest rate circumstances of the time.</w:t>
      </w:r>
      <w:r w:rsidR="00D25941">
        <w:rPr>
          <w:rFonts w:ascii="Times New Roman" w:hAnsi="Times New Roman"/>
          <w:kern w:val="36"/>
          <w:sz w:val="24"/>
          <w:szCs w:val="24"/>
          <w:lang w:val="en"/>
        </w:rPr>
        <w:t xml:space="preserve"> </w:t>
      </w:r>
    </w:p>
    <w:p w:rsidR="009F7158" w:rsidRDefault="009F7158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651BA9" w:rsidRDefault="00D25941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>G</w:t>
      </w:r>
      <w:r w:rsidR="00651BA9">
        <w:rPr>
          <w:rFonts w:ascii="Times New Roman" w:hAnsi="Times New Roman"/>
          <w:kern w:val="36"/>
          <w:sz w:val="24"/>
          <w:szCs w:val="24"/>
          <w:lang w:val="en"/>
        </w:rPr>
        <w:t>ame over</w:t>
      </w:r>
      <w:r w:rsidR="009F7158">
        <w:rPr>
          <w:rFonts w:ascii="Times New Roman" w:hAnsi="Times New Roman"/>
          <w:kern w:val="36"/>
          <w:sz w:val="24"/>
          <w:szCs w:val="24"/>
          <w:lang w:val="en"/>
        </w:rPr>
        <w:t xml:space="preserve"> for competition</w:t>
      </w:r>
      <w:r w:rsidR="00651BA9">
        <w:rPr>
          <w:rFonts w:ascii="Times New Roman" w:hAnsi="Times New Roman"/>
          <w:kern w:val="36"/>
          <w:sz w:val="24"/>
          <w:szCs w:val="24"/>
          <w:lang w:val="en"/>
        </w:rPr>
        <w:t>.</w:t>
      </w:r>
    </w:p>
    <w:p w:rsidR="009F7158" w:rsidRDefault="009F7158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9F7158" w:rsidRDefault="009F7158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  <w:r>
        <w:rPr>
          <w:rFonts w:ascii="Times New Roman" w:hAnsi="Times New Roman"/>
          <w:kern w:val="36"/>
          <w:sz w:val="24"/>
          <w:szCs w:val="24"/>
          <w:lang w:val="en"/>
        </w:rPr>
        <w:t xml:space="preserve">[That said, a ‘levy’ is not the </w:t>
      </w:r>
      <w:r w:rsidR="006F0A98">
        <w:rPr>
          <w:rFonts w:ascii="Times New Roman" w:hAnsi="Times New Roman"/>
          <w:kern w:val="36"/>
          <w:sz w:val="24"/>
          <w:szCs w:val="24"/>
          <w:lang w:val="en"/>
        </w:rPr>
        <w:t xml:space="preserve">ony or </w:t>
      </w:r>
      <w:r>
        <w:rPr>
          <w:rFonts w:ascii="Times New Roman" w:hAnsi="Times New Roman"/>
          <w:kern w:val="36"/>
          <w:sz w:val="24"/>
          <w:szCs w:val="24"/>
          <w:lang w:val="en"/>
        </w:rPr>
        <w:t xml:space="preserve">best option to rein back Pillar power – taxing deemed interest income on transaction deposits is </w:t>
      </w:r>
      <w:r w:rsidR="006F0A98">
        <w:rPr>
          <w:rFonts w:ascii="Times New Roman" w:hAnsi="Times New Roman"/>
          <w:kern w:val="36"/>
          <w:sz w:val="24"/>
          <w:szCs w:val="24"/>
          <w:lang w:val="en"/>
        </w:rPr>
        <w:t>the first preference</w:t>
      </w:r>
      <w:r>
        <w:rPr>
          <w:rFonts w:ascii="Times New Roman" w:hAnsi="Times New Roman"/>
          <w:kern w:val="36"/>
          <w:sz w:val="24"/>
          <w:szCs w:val="24"/>
          <w:lang w:val="en"/>
        </w:rPr>
        <w:t>.]</w:t>
      </w:r>
    </w:p>
    <w:p w:rsidR="00772EAD" w:rsidRDefault="00772EAD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651BA9" w:rsidRPr="005D322A" w:rsidRDefault="00651BA9" w:rsidP="006761C5">
      <w:pPr>
        <w:pStyle w:val="NoSpacing"/>
        <w:jc w:val="both"/>
        <w:rPr>
          <w:rFonts w:ascii="Times New Roman" w:hAnsi="Times New Roman"/>
          <w:kern w:val="36"/>
          <w:sz w:val="24"/>
          <w:szCs w:val="24"/>
          <w:lang w:val="en"/>
        </w:rPr>
      </w:pPr>
    </w:p>
    <w:p w:rsidR="0068508F" w:rsidRDefault="00B67382" w:rsidP="00772EAD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  <w:r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THREE</w:t>
      </w:r>
      <w:r w:rsidR="00772EAD" w:rsidRPr="00772EAD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 xml:space="preserve"> SHORTCOMINGS</w:t>
      </w:r>
    </w:p>
    <w:p w:rsidR="00533BDF" w:rsidRPr="00772EAD" w:rsidRDefault="00533BDF" w:rsidP="00772EAD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</w:p>
    <w:p w:rsidR="00DE6512" w:rsidRPr="00533BDF" w:rsidRDefault="006E6413" w:rsidP="00533BDF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  <w:r w:rsidRPr="00533BDF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Circle work with the credit card cartel</w:t>
      </w:r>
    </w:p>
    <w:p w:rsidR="006E6413" w:rsidRPr="005D322A" w:rsidRDefault="006E6413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 is a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saga of regulatory intervention </w:t>
      </w:r>
      <w:r w:rsidR="00DE651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(and not)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 credit card schemes.</w:t>
      </w:r>
    </w:p>
    <w:p w:rsidR="00035326" w:rsidRPr="005D322A" w:rsidRDefault="00DE6512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In the early 1990’s t</w:t>
      </w:r>
      <w:r w:rsidR="006E64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mirror-image global schemes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– Visa and MasterCard --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were recognized as</w:t>
      </w:r>
      <w:r w:rsidR="006E64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 affront to competitive efficiency and fair dealing. What happened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after</w:t>
      </w:r>
      <w:r w:rsidR="002F25A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and ongoing, </w:t>
      </w:r>
      <w:r w:rsidR="006E641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2F25A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case study in regulatory substitution of never-ending circle work for any </w:t>
      </w:r>
      <w:r w:rsidR="000858F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genuine </w:t>
      </w:r>
      <w:r w:rsidR="002F25A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commitment to deal with </w:t>
      </w:r>
      <w:r w:rsidR="000858F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2F25A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market failure.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With the protection</w:t>
      </w:r>
      <w:r w:rsidR="00035326" w:rsidRP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of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studied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regulatory inaction, promoters of credit card schemes prospered at great cost to the wider community.</w:t>
      </w:r>
    </w:p>
    <w:p w:rsidR="002F25AB" w:rsidRPr="005D322A" w:rsidRDefault="002F25AB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Nothing was done, or intended to be done, until the 1997 report of the Wallis Committee forced the regulatory hand. Re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gulatory re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luctance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has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remained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key note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ver two decades,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succession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of time-buying reviews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has seen 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only slow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and confusing 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progress after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initial bold step halved the overall maximum interchange fee payable. The way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further 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progress has been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snail-paced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3532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begs for accountability</w:t>
      </w:r>
      <w:r w:rsidR="00B17FD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D012CE" w:rsidRDefault="00DD7433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</w:t>
      </w:r>
      <w:r w:rsidR="005B30F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his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disturbing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background</w:t>
      </w:r>
      <w:r w:rsidR="005B30F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could be contrasted with the intention of the PC to ‘ban card interchange fees’ (draft recommendation 10.3)</w:t>
      </w:r>
      <w:r w:rsidR="00D10FA6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9725FD" w:rsidRPr="005D322A" w:rsidRDefault="00D10FA6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This 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sensible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proposal has 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some history. In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December 2001, the RBA announced 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intention to effectively reduce credit card interchange fees to almost zero.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Why 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RBA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reneged on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that intention, in August 2002, was never explained.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E369C3" w:rsidRPr="005D322A" w:rsidRDefault="00533CC4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idea that the RBA may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now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embrace 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ban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anew is not sound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–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apart from a couple of idle threats to reduce the limit,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RBA is yet to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even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endorse the lower global standard in place for credit car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 interchange fees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. </w:t>
      </w:r>
    </w:p>
    <w:p w:rsidR="00777435" w:rsidRDefault="00D012CE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lastRenderedPageBreak/>
        <w:t>Back a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round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2000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the ACCC, 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then 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jointly 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writing with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RBA the post-Wallis review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of credit card schemes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43546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also 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took an interest in credit card fees being set 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uniformly, 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contrary to trade-practices law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There</w:t>
      </w:r>
      <w:r w:rsidR="00E369C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was some brief 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penalty-posturing and regulatory skirmishing before the ACCC was abruptly shouldered aside by an RBA taking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sole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responsibility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533CC4" w:rsidRPr="005D322A" w:rsidRDefault="00533CC4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history bears on the PC proposal for the ACCC to be now accepted as a respected advocate of consumer and competition protection</w:t>
      </w:r>
      <w:r w:rsidR="009725F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at the Council of Financial Regulators (CFR)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.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That idea is fanciful --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way the RBA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dismissed the ACCC,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took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over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FC4C6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and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protect</w:t>
      </w:r>
      <w:r w:rsidR="00FC4C6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banks’ credit card racket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is illustrative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777435" w:rsidRDefault="00777435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ssues with credit card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chemes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remain red-hot –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one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ever clear</w:t>
      </w:r>
      <w:r w:rsidR="004B26E8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er</w:t>
      </w:r>
      <w:r w:rsidR="00533CC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prospect is </w:t>
      </w:r>
      <w:r w:rsidR="004B26E8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for the VMC schemes to displace cash as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4B26E8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tap’n’go, pay-wave technology underpinning e-cash becomes ubiquitous. </w:t>
      </w:r>
    </w:p>
    <w:p w:rsidR="000E241A" w:rsidRPr="005D322A" w:rsidRDefault="004B26E8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Meantime the RBA is issuing newly designed $50 and $100 currency notes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–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payments medium </w:t>
      </w:r>
      <w:r w:rsidR="00D012CE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ever more redundant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43546C" w:rsidRDefault="0043546C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[Note: chapter and verse on the sad history of credit card regulation is set out in submissions to 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raft of credit card reviews conducted by the RBA 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and Parliamentary Committees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since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1999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.]</w:t>
      </w:r>
    </w:p>
    <w:p w:rsidR="000E241A" w:rsidRPr="005D322A" w:rsidRDefault="000E241A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</w:p>
    <w:p w:rsidR="00533CC4" w:rsidRPr="00772EAD" w:rsidRDefault="00617581" w:rsidP="00617581">
      <w:pPr>
        <w:pStyle w:val="ListParagraph"/>
        <w:numPr>
          <w:ilvl w:val="0"/>
          <w:numId w:val="4"/>
        </w:numP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I</w:t>
      </w:r>
      <w:r w:rsidR="0024592D" w:rsidRP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ntransigence: f</w:t>
      </w:r>
      <w:r w:rsid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eatherbe</w:t>
      </w:r>
      <w:r w:rsidR="00777435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d</w:t>
      </w:r>
      <w:r w:rsid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d</w:t>
      </w:r>
      <w: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ed</w:t>
      </w:r>
      <w:r w:rsidR="000E241A" w:rsidRP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 xml:space="preserve"> stability </w:t>
      </w:r>
      <w:r w:rsid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- outlaw</w:t>
      </w:r>
      <w: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ed</w:t>
      </w:r>
      <w:r w:rsidR="000E241A" w:rsidRPr="00772EAD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 xml:space="preserve"> competition</w:t>
      </w:r>
    </w:p>
    <w:p w:rsidR="00F53EB4" w:rsidRPr="005D322A" w:rsidRDefault="00F53EB4" w:rsidP="00F53EB4">
      <w:pPr>
        <w:jc w:val="center"/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</w:p>
    <w:p w:rsidR="003172D1" w:rsidRDefault="000E241A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PC, among many others, is apparently unable to contemplate that financial system regulators 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have</w:t>
      </w:r>
      <w:r w:rsidR="003122F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in their own interests,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pursue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financial stability to the exclusion of </w:t>
      </w:r>
      <w:r w:rsidR="0024592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competition,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efficiency and fairness. </w:t>
      </w:r>
    </w:p>
    <w:p w:rsidR="009843BD" w:rsidRPr="005D322A" w:rsidRDefault="009843BD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Among the implications is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inability to </w:t>
      </w:r>
      <w:r w:rsidR="003172D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also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see</w:t>
      </w:r>
      <w:r w:rsidR="00E042B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that the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single-minded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pursuit of stability may have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1758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left the system less stable </w:t>
      </w:r>
      <w:r w:rsidR="00E042B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now </w:t>
      </w:r>
      <w:r w:rsidR="00E042B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prevailing low interest rate circumstances. </w:t>
      </w:r>
    </w:p>
    <w:p w:rsidR="003172D1" w:rsidRDefault="003172D1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Put bluntly, in the deregulated</w:t>
      </w:r>
      <w:r w:rsidR="003122F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</w:t>
      </w:r>
      <w:r w:rsidR="00B72D7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high-interest rate circumstances of the 1980s, the 4Pillars 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were gifted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unassailable competitive advantage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underwriting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their</w:t>
      </w:r>
      <w:r w:rsidR="003122F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subsequent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rampant-run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through the system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–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not only 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driving out foreign-bank subsidiaries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122F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only 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licensed in the mi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</w:t>
      </w:r>
      <w:r w:rsidR="007C4B1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1980s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but plundering and absorbing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most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substantial banks and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other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financial service business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es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across the board.</w:t>
      </w:r>
      <w:r w:rsidR="003122F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3172D1" w:rsidRDefault="003122FA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This was buccaneering –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it was unchecked</w:t>
      </w:r>
      <w:r w:rsidR="003172D1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180D16" w:rsidRPr="005D322A" w:rsidRDefault="00180D16" w:rsidP="00180D16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mechanics of the regulators pursuit and delivery of an inefficient and unfair financial system, devoid of meaningful competition, are set out in a first-round submission titled ‘Coming Clean’.</w:t>
      </w:r>
    </w:p>
    <w:p w:rsidR="00180D16" w:rsidRDefault="00545790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lastRenderedPageBreak/>
        <w:t>[</w:t>
      </w:r>
      <w:r w:rsidRPr="00545790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 xml:space="preserve">A </w:t>
      </w:r>
      <w:r w:rsidR="00777435" w:rsidRPr="00545790"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related aside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: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unforgivably, while the banks were buccaneering using the </w:t>
      </w:r>
      <w:r w:rsidR="0077743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windfall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of taxable-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interest 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income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not paid to depositors,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‘overpaid’ </w:t>
      </w:r>
      <w:r w:rsidR="0007041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age-pensioners were </w:t>
      </w:r>
      <w:r w:rsidR="006408F0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being 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deemed to earn means-tested interest income on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their 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no-interest 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account balances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07041A" w:rsidRPr="005D322A" w:rsidRDefault="00147405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One 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correct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sensibly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complementary step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towards fairness and competition, 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would have seen all bank customers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being </w:t>
      </w:r>
      <w:r w:rsidR="007B5D3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deemed to earn taxable interest income on their transaction account balances.</w:t>
      </w:r>
    </w:p>
    <w:p w:rsidR="00147405" w:rsidRDefault="00147405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banking buccaneers would have smelt, and felt, grapeshot.</w:t>
      </w:r>
    </w:p>
    <w:p w:rsidR="00180D16" w:rsidRDefault="00180D16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This option is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preferred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moderate the competitive advantage banks get dirty-dealing ‘free transactions’ for ‘free deposits’.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Moreover, that done, the system may get </w:t>
      </w:r>
      <w:r w:rsidR="00545790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closer to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proper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 cost-related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pricing of payments system services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– a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needed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feature sadly lacking. </w:t>
      </w:r>
    </w:p>
    <w:p w:rsidR="00180D16" w:rsidRDefault="007C7695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‘free-banking’ culture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now entrenched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is inimical to competition --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this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should be said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clearly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.]</w:t>
      </w:r>
      <w:r w:rsidR="00180D1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772EAD" w:rsidRDefault="00772EAD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</w:p>
    <w:p w:rsidR="00772EAD" w:rsidRDefault="006F0A98" w:rsidP="00617581">
      <w:pPr>
        <w:pStyle w:val="ListParagraph"/>
        <w:numPr>
          <w:ilvl w:val="0"/>
          <w:numId w:val="4"/>
        </w:numPr>
        <w:jc w:val="center"/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  <w:t>a system perversely less stable</w:t>
      </w:r>
    </w:p>
    <w:p w:rsidR="00772EAD" w:rsidRPr="00772EAD" w:rsidRDefault="00772EAD" w:rsidP="00772EAD">
      <w:pPr>
        <w:pStyle w:val="ListParagraph"/>
        <w:ind w:left="1080"/>
        <w:rPr>
          <w:rFonts w:ascii="Times New Roman" w:hAnsi="Times New Roman"/>
          <w:b/>
          <w:color w:val="2C2C2C"/>
          <w:spacing w:val="7"/>
          <w:kern w:val="36"/>
          <w:sz w:val="24"/>
          <w:szCs w:val="24"/>
          <w:lang w:val="en"/>
        </w:rPr>
      </w:pPr>
    </w:p>
    <w:p w:rsidR="00147405" w:rsidRPr="005D322A" w:rsidRDefault="00D025CE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wheel of fortune has turned – for buccaneers and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compliant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regulators.</w:t>
      </w:r>
    </w:p>
    <w:p w:rsidR="00B67382" w:rsidRDefault="00AD7E52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Misguided regulation is now having p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erverse consequences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for stability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 a low interest rate environment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These perverse consequences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flow from the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attendant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devaluation of the </w:t>
      </w:r>
      <w:r w:rsidR="0088505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goodwill/franchise-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value of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‘rents’ regulators gifted to 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banks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</w:p>
    <w:p w:rsidR="00B0530D" w:rsidRPr="005D322A" w:rsidRDefault="005435A9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devaluation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of banks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’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franchises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reflects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sharp 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reduction in the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‘soft earnings’ </w:t>
      </w:r>
      <w:r w:rsidR="00B6738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banks get investing</w:t>
      </w:r>
      <w:r w:rsidR="0014740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‘free deposits’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 The capital equivalent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de facto, </w:t>
      </w:r>
      <w:r w:rsidR="00D025CE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present-value of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se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‘rents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’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has been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very important part of a bank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’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 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total resources (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capital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)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available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for sale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to meet liabilities in a crisis.</w:t>
      </w:r>
    </w:p>
    <w:p w:rsidR="00606ED1" w:rsidRPr="005D322A" w:rsidRDefault="006F0A98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Now, c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onsidering that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expected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base,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interest rates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have fallen 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from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some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7.5% p.a. to 2.5% p.a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5% p.a.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reduction in the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margin 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 </w:t>
      </w:r>
      <w:r w:rsidR="005435A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some $1 trillion </w:t>
      </w:r>
      <w:r w:rsidR="00AD7E52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nominally 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reduces bank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revenue by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some $50 billion p.a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(other things unchanged)</w:t>
      </w:r>
      <w:r w:rsidR="005435A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772EAD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present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capitalized 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value of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such a reduction,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being a multiple, </w:t>
      </w:r>
      <w:r w:rsidR="00B0530D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is a big number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in relation to the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share </w:t>
      </w:r>
      <w:r w:rsidR="00B955D7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market value of the 4Pillars.</w:t>
      </w:r>
    </w:p>
    <w:p w:rsidR="00B955D7" w:rsidRPr="005D322A" w:rsidRDefault="00B955D7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Put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illustratively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in the early 1980s when 4 major banks merged to form two Pillars, the ‘pre and post’ market value of the four banks increased some 25% -- this windfall reflecting 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merged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banks taking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both sets of ‘rents’ 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but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consolidating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 the bigger scale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saving overhead and operating costs. </w:t>
      </w:r>
    </w:p>
    <w:p w:rsidR="007C7695" w:rsidRPr="005D322A" w:rsidRDefault="0079013F" w:rsidP="007C7695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purchase price, on the market, of the banks ‘entitled’ to t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he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se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eroded 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rents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is </w:t>
      </w:r>
      <w:r w:rsidR="0003618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now 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substantially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lower. </w:t>
      </w:r>
      <w:r w:rsidR="00606ED1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The PC may like to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weigh the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‘de-facto capital’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lastRenderedPageBreak/>
        <w:t xml:space="preserve">so 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eroded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against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‘cash capital’ added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after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Murray Report </w:t>
      </w:r>
      <w:r w:rsidR="007C7695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demanded</w:t>
      </w:r>
      <w:r w:rsidR="007C7695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cash-capital injections.</w:t>
      </w:r>
    </w:p>
    <w:p w:rsidR="0079013F" w:rsidRDefault="00043FF4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It is this line of thinking that puts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on the horizon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prospect of further consolidating the banking system to 2 Pillars 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and separately incorporating their basic banking functions 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–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providing payments services and holding transaction deposits matched by safe assets. </w:t>
      </w:r>
    </w:p>
    <w:p w:rsidR="00043FF4" w:rsidRDefault="0079013F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</w:t>
      </w:r>
      <w:r w:rsidR="0003618B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he script for 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what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else 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sensibly follow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</w:t>
      </w:r>
      <w:r w:rsidR="00043FF4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is in a box belonging to Pandora.</w:t>
      </w:r>
    </w:p>
    <w:p w:rsidR="00486819" w:rsidRDefault="00486819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There is no clean slate to writ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e about competition initiatives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-- smart</w:t>
      </w:r>
      <w:r w:rsidR="0079013F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regulation can promote outcomes ‘as if’ </w:t>
      </w:r>
      <w:r w:rsidR="00E34854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system were competitive.</w:t>
      </w:r>
    </w:p>
    <w:p w:rsidR="00486819" w:rsidRDefault="00BE19A3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For this reason alone, but also more generally, the PC might give some attention to 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direct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regulatory interventions that will substitute efficiency and fairness for featherbedded complacency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and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profiteering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characterizing the operations of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major 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financial institutions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.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7C7695" w:rsidRDefault="007C7695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Looking ahead, deeming taxable interest income on </w:t>
      </w:r>
      <w:r w:rsidR="00E34854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customers’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transaction account deposits would be a useful start – a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wise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preparatory step before rates rise and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the value of the rents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taken so unfairly, also rises.</w:t>
      </w:r>
    </w:p>
    <w:p w:rsidR="00BE19A3" w:rsidRPr="005D322A" w:rsidRDefault="00400C3C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If competition is to come – best be ready for it.</w:t>
      </w:r>
    </w:p>
    <w:p w:rsidR="007B5D3B" w:rsidRPr="005D322A" w:rsidRDefault="007B5D3B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</w:p>
    <w:p w:rsidR="009843BD" w:rsidRDefault="00400C3C" w:rsidP="00400C3C">
      <w:pPr>
        <w:jc w:val="center"/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</w:pPr>
      <w:r w:rsidRPr="00400C3C">
        <w:rPr>
          <w:rFonts w:ascii="Times New Roman" w:hAnsi="Times New Roman"/>
          <w:b/>
          <w:color w:val="2C2C2C"/>
          <w:spacing w:val="7"/>
          <w:kern w:val="36"/>
          <w:sz w:val="28"/>
          <w:szCs w:val="28"/>
          <w:lang w:val="en"/>
        </w:rPr>
        <w:t>END PIECE</w:t>
      </w:r>
    </w:p>
    <w:p w:rsidR="006036D6" w:rsidRDefault="00DF376F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One lost option for the PC was to ‘return-to-sender’ a political brief </w:t>
      </w:r>
      <w:r w:rsidR="00486819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compromising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its obj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ectivity and funded capability</w:t>
      </w:r>
      <w:r w:rsidR="00E34854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-- a </w:t>
      </w:r>
      <w:r w:rsidR="001A09D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job that looks too hard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6036D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may</w:t>
      </w:r>
      <w:r w:rsidR="001A09D9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never be done by anyone else either. </w:t>
      </w:r>
    </w:p>
    <w:p w:rsidR="000C2483" w:rsidRPr="005D322A" w:rsidRDefault="00E34854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roblems with </w:t>
      </w:r>
      <w:r w:rsidR="006863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culture </w:t>
      </w:r>
      <w:r w:rsidR="006863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corrupting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regulatory </w:t>
      </w:r>
      <w:r w:rsidR="00400C3C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framework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should not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remain official secrets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--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they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should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be corrected.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If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not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, the retail financial system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may be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on a collision course with </w:t>
      </w:r>
      <w:r w:rsidR="000C248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eventual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regulatory </w:t>
      </w:r>
      <w:r w:rsidR="000C248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overkill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akin to nationalization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. </w:t>
      </w:r>
      <w:r w:rsidR="00B6431C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We are getting closer to a</w:t>
      </w:r>
      <w:r w:rsidR="006863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retail banking system </w:t>
      </w:r>
      <w:r w:rsidR="000C2483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more tightly regulated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on behalf of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a community </w:t>
      </w:r>
      <w:r w:rsidR="006F0A98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being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the last-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resort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,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bail-out </w:t>
      </w:r>
      <w:r w:rsidR="001E788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owner but mocked for the privilege.</w:t>
      </w:r>
    </w:p>
    <w:p w:rsidR="00B2475A" w:rsidRDefault="000C2483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Doubters may like to ponder </w:t>
      </w:r>
      <w:r w:rsidR="0068635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how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a</w:t>
      </w:r>
      <w:r w:rsidR="00A034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 intensely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A034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‘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national</w:t>
      </w:r>
      <w:r w:rsidR="00A03452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’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debate would unfold if </w:t>
      </w:r>
      <w:r w:rsidR="006036D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a global</w:t>
      </w:r>
      <w:r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banking conglomerate were to make a takeover bid for one of the Pillars – a prospect not beyond belief.</w:t>
      </w:r>
      <w:r w:rsidR="003D48D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</w:p>
    <w:p w:rsidR="00B6431C" w:rsidRDefault="00400C3C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To be d</w:t>
      </w:r>
      <w:r w:rsidR="003D48D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enied in the national interest for sure –</w:t>
      </w:r>
      <w:r w:rsidR="00DF376F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3D48DA" w:rsidRPr="005D322A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but why?</w:t>
      </w:r>
    </w:p>
    <w:p w:rsidR="00B2475A" w:rsidRDefault="00B2475A" w:rsidP="00103452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                                                                         </w:t>
      </w:r>
    </w:p>
    <w:p w:rsidR="002A101B" w:rsidRPr="00B2475A" w:rsidRDefault="00400C3C" w:rsidP="00B2475A">
      <w:pPr>
        <w:jc w:val="both"/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</w:pP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Peter Mair</w:t>
      </w:r>
      <w:r w:rsidR="00E34854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 </w:t>
      </w:r>
      <w:r w:rsidR="00297586"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 xml:space="preserve">16 </w:t>
      </w:r>
      <w:r>
        <w:rPr>
          <w:rFonts w:ascii="Times New Roman" w:hAnsi="Times New Roman"/>
          <w:color w:val="2C2C2C"/>
          <w:spacing w:val="7"/>
          <w:kern w:val="36"/>
          <w:sz w:val="24"/>
          <w:szCs w:val="24"/>
          <w:lang w:val="en"/>
        </w:rPr>
        <w:t>February 2018</w:t>
      </w:r>
    </w:p>
    <w:sectPr w:rsidR="002A101B" w:rsidRPr="00B2475A" w:rsidSect="00D51CAA">
      <w:headerReference w:type="default" r:id="rId14"/>
      <w:pgSz w:w="11906" w:h="16838"/>
      <w:pgMar w:top="1440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69A" w:rsidRDefault="0052769A" w:rsidP="0052769A">
      <w:pPr>
        <w:spacing w:after="0" w:line="240" w:lineRule="auto"/>
      </w:pPr>
      <w:r>
        <w:separator/>
      </w:r>
    </w:p>
  </w:endnote>
  <w:endnote w:type="continuationSeparator" w:id="0">
    <w:p w:rsidR="0052769A" w:rsidRDefault="0052769A" w:rsidP="0052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69A" w:rsidRDefault="0052769A" w:rsidP="0052769A">
      <w:pPr>
        <w:spacing w:after="0" w:line="240" w:lineRule="auto"/>
      </w:pPr>
      <w:r>
        <w:separator/>
      </w:r>
    </w:p>
  </w:footnote>
  <w:footnote w:type="continuationSeparator" w:id="0">
    <w:p w:rsidR="0052769A" w:rsidRDefault="0052769A" w:rsidP="0052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9A" w:rsidRDefault="0052769A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2C70">
      <w:rPr>
        <w:noProof/>
      </w:rPr>
      <w:t>2</w:t>
    </w:r>
    <w:r>
      <w:fldChar w:fldCharType="end"/>
    </w:r>
  </w:p>
  <w:p w:rsidR="0052769A" w:rsidRDefault="005276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84861"/>
    <w:multiLevelType w:val="hybridMultilevel"/>
    <w:tmpl w:val="C04841AA"/>
    <w:lvl w:ilvl="0" w:tplc="E25443F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742E6B"/>
    <w:multiLevelType w:val="multilevel"/>
    <w:tmpl w:val="D2EE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C3043"/>
    <w:multiLevelType w:val="hybridMultilevel"/>
    <w:tmpl w:val="0818D252"/>
    <w:lvl w:ilvl="0" w:tplc="6F2EAD2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D22957"/>
    <w:multiLevelType w:val="hybridMultilevel"/>
    <w:tmpl w:val="6924F852"/>
    <w:lvl w:ilvl="0" w:tplc="4B76668C">
      <w:numFmt w:val="bullet"/>
      <w:lvlText w:val="-"/>
      <w:lvlJc w:val="left"/>
      <w:pPr>
        <w:ind w:left="432" w:hanging="360"/>
      </w:pPr>
      <w:rPr>
        <w:rFonts w:ascii="NimbusSan" w:eastAsia="Times New Roman" w:hAnsi="NimbusSan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C3"/>
    <w:rsid w:val="00035326"/>
    <w:rsid w:val="0003618B"/>
    <w:rsid w:val="00043FF4"/>
    <w:rsid w:val="00052A6D"/>
    <w:rsid w:val="0007041A"/>
    <w:rsid w:val="00071BD9"/>
    <w:rsid w:val="00083B72"/>
    <w:rsid w:val="000858F9"/>
    <w:rsid w:val="000C2483"/>
    <w:rsid w:val="000E241A"/>
    <w:rsid w:val="00103452"/>
    <w:rsid w:val="00131F3E"/>
    <w:rsid w:val="00147405"/>
    <w:rsid w:val="00180D16"/>
    <w:rsid w:val="001A09D9"/>
    <w:rsid w:val="001E788A"/>
    <w:rsid w:val="001F5345"/>
    <w:rsid w:val="002251E4"/>
    <w:rsid w:val="00232CF6"/>
    <w:rsid w:val="0024592D"/>
    <w:rsid w:val="00272378"/>
    <w:rsid w:val="002958C3"/>
    <w:rsid w:val="00297586"/>
    <w:rsid w:val="002A101B"/>
    <w:rsid w:val="002B6530"/>
    <w:rsid w:val="002B6B4C"/>
    <w:rsid w:val="002E0B1A"/>
    <w:rsid w:val="002F25AB"/>
    <w:rsid w:val="003105E7"/>
    <w:rsid w:val="003122FA"/>
    <w:rsid w:val="003172D1"/>
    <w:rsid w:val="0033673E"/>
    <w:rsid w:val="00356CC8"/>
    <w:rsid w:val="003769E7"/>
    <w:rsid w:val="003D48DA"/>
    <w:rsid w:val="003D54EE"/>
    <w:rsid w:val="003F4E89"/>
    <w:rsid w:val="00400C3C"/>
    <w:rsid w:val="004124A3"/>
    <w:rsid w:val="00423F93"/>
    <w:rsid w:val="00434E59"/>
    <w:rsid w:val="0043546C"/>
    <w:rsid w:val="004358F6"/>
    <w:rsid w:val="0043768D"/>
    <w:rsid w:val="004660F5"/>
    <w:rsid w:val="00484431"/>
    <w:rsid w:val="00486819"/>
    <w:rsid w:val="004A268B"/>
    <w:rsid w:val="004B26E8"/>
    <w:rsid w:val="004B4D01"/>
    <w:rsid w:val="004B5C95"/>
    <w:rsid w:val="004D788A"/>
    <w:rsid w:val="004F6114"/>
    <w:rsid w:val="00524016"/>
    <w:rsid w:val="0052769A"/>
    <w:rsid w:val="00533BDF"/>
    <w:rsid w:val="00533CC4"/>
    <w:rsid w:val="005435A9"/>
    <w:rsid w:val="00545790"/>
    <w:rsid w:val="0055170F"/>
    <w:rsid w:val="00565DFC"/>
    <w:rsid w:val="005A77D7"/>
    <w:rsid w:val="005B30F2"/>
    <w:rsid w:val="005C5D00"/>
    <w:rsid w:val="005D322A"/>
    <w:rsid w:val="006036D6"/>
    <w:rsid w:val="00606ED1"/>
    <w:rsid w:val="00616E52"/>
    <w:rsid w:val="00617581"/>
    <w:rsid w:val="006408F0"/>
    <w:rsid w:val="00651BA9"/>
    <w:rsid w:val="00657D0B"/>
    <w:rsid w:val="00660825"/>
    <w:rsid w:val="006761C5"/>
    <w:rsid w:val="0068508F"/>
    <w:rsid w:val="0068635F"/>
    <w:rsid w:val="006A47E4"/>
    <w:rsid w:val="006A51A9"/>
    <w:rsid w:val="006B6069"/>
    <w:rsid w:val="006E6413"/>
    <w:rsid w:val="006F0A98"/>
    <w:rsid w:val="00726191"/>
    <w:rsid w:val="00765D6D"/>
    <w:rsid w:val="00770F13"/>
    <w:rsid w:val="00772EAD"/>
    <w:rsid w:val="00777435"/>
    <w:rsid w:val="0079013F"/>
    <w:rsid w:val="007B5D3B"/>
    <w:rsid w:val="007C4B1F"/>
    <w:rsid w:val="007C7695"/>
    <w:rsid w:val="007F350A"/>
    <w:rsid w:val="00842675"/>
    <w:rsid w:val="00845257"/>
    <w:rsid w:val="008468A7"/>
    <w:rsid w:val="00880D8D"/>
    <w:rsid w:val="00885059"/>
    <w:rsid w:val="00891682"/>
    <w:rsid w:val="008A5891"/>
    <w:rsid w:val="008D6630"/>
    <w:rsid w:val="008F2848"/>
    <w:rsid w:val="00900EB1"/>
    <w:rsid w:val="00901DBC"/>
    <w:rsid w:val="009258B0"/>
    <w:rsid w:val="0092683C"/>
    <w:rsid w:val="00932D93"/>
    <w:rsid w:val="009473BA"/>
    <w:rsid w:val="009725FD"/>
    <w:rsid w:val="009843BD"/>
    <w:rsid w:val="00997337"/>
    <w:rsid w:val="009C251C"/>
    <w:rsid w:val="009D5C05"/>
    <w:rsid w:val="009D6B68"/>
    <w:rsid w:val="009F7158"/>
    <w:rsid w:val="00A03452"/>
    <w:rsid w:val="00A241FB"/>
    <w:rsid w:val="00A52683"/>
    <w:rsid w:val="00A66BFF"/>
    <w:rsid w:val="00A92902"/>
    <w:rsid w:val="00AA0AC2"/>
    <w:rsid w:val="00AA7D0E"/>
    <w:rsid w:val="00AB614D"/>
    <w:rsid w:val="00AB7B9C"/>
    <w:rsid w:val="00AD7E52"/>
    <w:rsid w:val="00AE49AB"/>
    <w:rsid w:val="00B0530D"/>
    <w:rsid w:val="00B118D2"/>
    <w:rsid w:val="00B166A0"/>
    <w:rsid w:val="00B1704F"/>
    <w:rsid w:val="00B17FD0"/>
    <w:rsid w:val="00B2475A"/>
    <w:rsid w:val="00B6431C"/>
    <w:rsid w:val="00B67382"/>
    <w:rsid w:val="00B72D7D"/>
    <w:rsid w:val="00B955D7"/>
    <w:rsid w:val="00BA0EC1"/>
    <w:rsid w:val="00BA10A2"/>
    <w:rsid w:val="00BA796D"/>
    <w:rsid w:val="00BD1879"/>
    <w:rsid w:val="00BE19A3"/>
    <w:rsid w:val="00C075B6"/>
    <w:rsid w:val="00C13B5F"/>
    <w:rsid w:val="00C32C70"/>
    <w:rsid w:val="00C55DA0"/>
    <w:rsid w:val="00C91AB3"/>
    <w:rsid w:val="00C9642F"/>
    <w:rsid w:val="00D012CE"/>
    <w:rsid w:val="00D025CE"/>
    <w:rsid w:val="00D10FA6"/>
    <w:rsid w:val="00D1198D"/>
    <w:rsid w:val="00D217F7"/>
    <w:rsid w:val="00D22387"/>
    <w:rsid w:val="00D25941"/>
    <w:rsid w:val="00D322BF"/>
    <w:rsid w:val="00D448A3"/>
    <w:rsid w:val="00D50FFD"/>
    <w:rsid w:val="00D51CAA"/>
    <w:rsid w:val="00D7276E"/>
    <w:rsid w:val="00D831CE"/>
    <w:rsid w:val="00D85B1B"/>
    <w:rsid w:val="00D915CB"/>
    <w:rsid w:val="00DA1312"/>
    <w:rsid w:val="00DA33A2"/>
    <w:rsid w:val="00DD7433"/>
    <w:rsid w:val="00DE0252"/>
    <w:rsid w:val="00DE6512"/>
    <w:rsid w:val="00DF376F"/>
    <w:rsid w:val="00DF65B9"/>
    <w:rsid w:val="00E042BD"/>
    <w:rsid w:val="00E231FD"/>
    <w:rsid w:val="00E33D85"/>
    <w:rsid w:val="00E34854"/>
    <w:rsid w:val="00E369C3"/>
    <w:rsid w:val="00E464A7"/>
    <w:rsid w:val="00E56702"/>
    <w:rsid w:val="00E7130D"/>
    <w:rsid w:val="00E93862"/>
    <w:rsid w:val="00F05D61"/>
    <w:rsid w:val="00F53EB4"/>
    <w:rsid w:val="00F54C27"/>
    <w:rsid w:val="00F64F7B"/>
    <w:rsid w:val="00F85ABB"/>
    <w:rsid w:val="00F938F0"/>
    <w:rsid w:val="00FC4C62"/>
    <w:rsid w:val="00F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CAC34FC-7117-4333-BE5D-D5BAA008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5CB"/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2A101B"/>
    <w:pPr>
      <w:spacing w:after="133" w:line="240" w:lineRule="auto"/>
      <w:outlineLvl w:val="0"/>
    </w:pPr>
    <w:rPr>
      <w:rFonts w:ascii="Times New Roman" w:hAnsi="Times New Roman"/>
      <w:kern w:val="36"/>
      <w:sz w:val="17"/>
      <w:szCs w:val="17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2A101B"/>
    <w:pPr>
      <w:spacing w:before="167" w:after="33" w:line="240" w:lineRule="auto"/>
      <w:outlineLvl w:val="1"/>
    </w:pPr>
    <w:rPr>
      <w:rFonts w:ascii="Times New Roman" w:hAnsi="Times New Roman"/>
      <w:sz w:val="15"/>
      <w:szCs w:val="15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A101B"/>
    <w:rPr>
      <w:rFonts w:ascii="Times New Roman" w:hAnsi="Times New Roman" w:cs="Times New Roman"/>
      <w:kern w:val="36"/>
      <w:sz w:val="17"/>
      <w:szCs w:val="17"/>
      <w:lang w:val="x-none" w:eastAsia="en-AU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A101B"/>
    <w:rPr>
      <w:rFonts w:ascii="Times New Roman" w:hAnsi="Times New Roman" w:cs="Times New Roman"/>
      <w:sz w:val="15"/>
      <w:szCs w:val="15"/>
      <w:lang w:val="x-none" w:eastAsia="en-AU"/>
    </w:rPr>
  </w:style>
  <w:style w:type="character" w:styleId="Hyperlink">
    <w:name w:val="Hyperlink"/>
    <w:basedOn w:val="DefaultParagraphFont"/>
    <w:uiPriority w:val="99"/>
    <w:semiHidden/>
    <w:unhideWhenUsed/>
    <w:rsid w:val="002A101B"/>
    <w:rPr>
      <w:rFonts w:cs="Times New Roman"/>
      <w:color w:val="0066AA"/>
      <w:u w:val="singl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A101B"/>
    <w:pPr>
      <w:spacing w:before="100" w:after="0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efault">
    <w:name w:val="Default"/>
    <w:rsid w:val="004B4D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4D01"/>
    <w:pPr>
      <w:ind w:left="720"/>
      <w:contextualSpacing/>
    </w:pPr>
  </w:style>
  <w:style w:type="paragraph" w:styleId="NoSpacing">
    <w:name w:val="No Spacing"/>
    <w:uiPriority w:val="1"/>
    <w:qFormat/>
    <w:rsid w:val="00272378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52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2769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527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69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6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</TaxCatchAll>
    <TaxKeywordTaxHTField xmlns="3f4bcce7-ac1a-4c9d-aa3e-7e77695652db">
      <Terms xmlns="http://schemas.microsoft.com/office/infopath/2007/PartnerControls"/>
    </TaxKeywordTaxHTField>
    <V3Comment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3C96DB499DA44345860536E75257F88B" ma:contentTypeVersion="0" ma:contentTypeDescription="" ma:contentTypeScope="" ma:versionID="0996724ad0c66d5d9a0db4a66b9ed455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230AA-EFAF-437C-986A-5CEC617C6BB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A716F04-0354-4BA0-8C32-ABDAC93FABD1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3f4bcce7-ac1a-4c9d-aa3e-7e77695652db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F60103-F847-4C81-8C21-3BE1F5E9E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70618-15E3-47E5-92B8-D04A531762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4720F3-069B-4B9B-9D1C-82CA3E90EC1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F5E766-4712-4839-8C3F-3036FA3B8D51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F583306-330B-4E60-8CD7-33A35D4F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2321</Words>
  <Characters>12998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DR53 - Peter Mair - Competition in the Australian Financial System - Public inquiry</vt:lpstr>
    </vt:vector>
  </TitlesOfParts>
  <Company/>
  <LinksUpToDate>false</LinksUpToDate>
  <CharactersWithSpaces>15289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DR53 - Peter Mair - Competition in the Australian Financial System - Public inquiry</dc:title>
  <dc:subject/>
  <dc:creator>Peter Mair</dc:creator>
  <cp:keywords/>
  <dc:description/>
  <cp:lastModifiedBy>Pimperl, Mark</cp:lastModifiedBy>
  <cp:revision>3</cp:revision>
  <cp:lastPrinted>2018-02-08T03:32:00Z</cp:lastPrinted>
  <dcterms:created xsi:type="dcterms:W3CDTF">2018-02-20T03:25:00Z</dcterms:created>
  <dcterms:modified xsi:type="dcterms:W3CDTF">2018-02-22T05:03:00Z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rd Tag">
    <vt:lpwstr>139;#Submissions|c6e0dbf8-5444-433c-844d-d567dd519a05</vt:lpwstr>
  </property>
  <property fmtid="{D5CDD505-2E9C-101B-9397-08002B2CF9AE}" pid="3" name="ContentTypeId">
    <vt:lpwstr>0x0101007916246811615643A710C6FEAFF56A871105003C96DB499DA44345860536E75257F88B</vt:lpwstr>
  </property>
  <property fmtid="{D5CDD505-2E9C-101B-9397-08002B2CF9AE}" pid="4" name="TaxKeyword">
    <vt:lpwstr/>
  </property>
</Properties>
</file>