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FF" w:rsidRPr="00CF5F65" w:rsidRDefault="00EC6319" w:rsidP="00CD7106">
      <w:pPr>
        <w:pStyle w:val="Heading1"/>
        <w:spacing w:before="0" w:after="960"/>
        <w:rPr>
          <w:rFonts w:asciiTheme="majorHAnsi" w:hAnsiTheme="majorHAnsi" w:cstheme="majorHAnsi"/>
        </w:rPr>
      </w:pPr>
      <w:bookmarkStart w:id="0" w:name="ChapterTitle"/>
      <w:bookmarkStart w:id="1" w:name="_GoBack"/>
      <w:bookmarkEnd w:id="1"/>
      <w:r w:rsidRPr="00CF5F65">
        <w:rPr>
          <w:rFonts w:asciiTheme="majorHAnsi" w:hAnsiTheme="majorHAnsi" w:cstheme="majorHAnsi"/>
        </w:rPr>
        <w:t>A roadmap to our super report</w:t>
      </w:r>
      <w:bookmarkEnd w:id="0"/>
    </w:p>
    <w:p w:rsidR="003740DA" w:rsidRDefault="003740DA" w:rsidP="003740DA">
      <w:pPr>
        <w:pStyle w:val="Figurespace"/>
      </w:pPr>
      <w:bookmarkStart w:id="2" w:name="begin"/>
      <w:bookmarkEnd w:id="2"/>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740DA" w:rsidTr="001C5DE8">
        <w:trPr>
          <w:tblHeader/>
        </w:trPr>
        <w:tc>
          <w:tcPr>
            <w:tcW w:w="5000" w:type="pct"/>
            <w:tcBorders>
              <w:top w:val="single" w:sz="12" w:space="0" w:color="66BCDB" w:themeColor="text2"/>
              <w:left w:val="nil"/>
              <w:bottom w:val="nil"/>
              <w:right w:val="nil"/>
            </w:tcBorders>
            <w:shd w:val="clear" w:color="auto" w:fill="auto"/>
          </w:tcPr>
          <w:p w:rsidR="003740DA" w:rsidRPr="00176D3F" w:rsidRDefault="003740DA" w:rsidP="00827EFE">
            <w:pPr>
              <w:pStyle w:val="FigureTitle"/>
            </w:pPr>
            <w:r>
              <w:t xml:space="preserve">Superannuation system inquiry: </w:t>
            </w:r>
            <w:r w:rsidR="00EC6319">
              <w:t xml:space="preserve">draft </w:t>
            </w:r>
            <w:r>
              <w:t>report roadmap</w:t>
            </w:r>
          </w:p>
        </w:tc>
      </w:tr>
      <w:tr w:rsidR="003740DA" w:rsidTr="00827EFE">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3740DA" w:rsidRPr="00B1465D" w:rsidTr="00827EFE">
              <w:trPr>
                <w:tblHeader/>
                <w:jc w:val="center"/>
              </w:trPr>
              <w:tc>
                <w:tcPr>
                  <w:tcW w:w="5000" w:type="pct"/>
                  <w:tcBorders>
                    <w:top w:val="nil"/>
                    <w:bottom w:val="nil"/>
                  </w:tcBorders>
                </w:tcPr>
                <w:p w:rsidR="003740DA" w:rsidRPr="00B1465D" w:rsidRDefault="00C950C1" w:rsidP="00827EFE">
                  <w:pPr>
                    <w:pStyle w:val="Figure"/>
                    <w:spacing w:before="60" w:after="60"/>
                    <w:rPr>
                      <w:rFonts w:ascii="Arial" w:hAnsi="Arial" w:cs="Arial"/>
                      <w:sz w:val="18"/>
                      <w:szCs w:val="18"/>
                    </w:rPr>
                  </w:pPr>
                  <w:r w:rsidRPr="00C950C1">
                    <w:rPr>
                      <w:rFonts w:ascii="Arial" w:hAnsi="Arial" w:cs="Arial"/>
                      <w:noProof/>
                      <w:sz w:val="18"/>
                      <w:szCs w:val="18"/>
                    </w:rPr>
                    <w:drawing>
                      <wp:inline distT="0" distB="0" distL="0" distR="0" wp14:anchorId="586182FE" wp14:editId="2FEB2AEF">
                        <wp:extent cx="5376788" cy="540324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76788" cy="5403242"/>
                                </a:xfrm>
                                <a:prstGeom prst="rect">
                                  <a:avLst/>
                                </a:prstGeom>
                                <a:noFill/>
                                <a:ln>
                                  <a:noFill/>
                                </a:ln>
                              </pic:spPr>
                            </pic:pic>
                          </a:graphicData>
                        </a:graphic>
                      </wp:inline>
                    </w:drawing>
                  </w:r>
                </w:p>
              </w:tc>
            </w:tr>
          </w:tbl>
          <w:p w:rsidR="003740DA" w:rsidRDefault="003740DA" w:rsidP="00827EFE">
            <w:pPr>
              <w:pStyle w:val="Figure"/>
            </w:pPr>
          </w:p>
        </w:tc>
      </w:tr>
      <w:tr w:rsidR="003740DA" w:rsidTr="001C5DE8">
        <w:tc>
          <w:tcPr>
            <w:tcW w:w="5000" w:type="pct"/>
            <w:tcBorders>
              <w:top w:val="nil"/>
              <w:left w:val="nil"/>
              <w:bottom w:val="single" w:sz="12" w:space="0" w:color="66BCDB" w:themeColor="text2"/>
              <w:right w:val="nil"/>
            </w:tcBorders>
            <w:shd w:val="clear" w:color="auto" w:fill="auto"/>
          </w:tcPr>
          <w:p w:rsidR="003740DA" w:rsidRDefault="003740DA" w:rsidP="00827EFE">
            <w:pPr>
              <w:pStyle w:val="Figurespace"/>
            </w:pPr>
          </w:p>
        </w:tc>
      </w:tr>
      <w:tr w:rsidR="003740DA" w:rsidRPr="000863A5" w:rsidTr="001C5DE8">
        <w:tc>
          <w:tcPr>
            <w:tcW w:w="5000" w:type="pct"/>
            <w:tcBorders>
              <w:top w:val="single" w:sz="12" w:space="0" w:color="66BCDB" w:themeColor="text2"/>
              <w:left w:val="nil"/>
              <w:bottom w:val="nil"/>
              <w:right w:val="nil"/>
            </w:tcBorders>
          </w:tcPr>
          <w:p w:rsidR="003740DA" w:rsidRPr="00626D32" w:rsidRDefault="003740DA" w:rsidP="00827EFE">
            <w:pPr>
              <w:pStyle w:val="BoxSpaceBelow"/>
            </w:pPr>
          </w:p>
        </w:tc>
      </w:tr>
    </w:tbl>
    <w:p w:rsidR="00666E02" w:rsidRPr="00EC6319" w:rsidRDefault="00EC6319" w:rsidP="00EC6319">
      <w:pPr>
        <w:pStyle w:val="BodyText"/>
      </w:pPr>
      <w:r w:rsidRPr="00B718DC">
        <w:t>The next 13 pages provide a roadmap to help you quickly navigate your way to the figures, cameos and text that support our report’s pr</w:t>
      </w:r>
      <w:r w:rsidR="005050D7">
        <w:t>imary key points and findings. </w:t>
      </w:r>
      <w:r w:rsidRPr="00B718DC">
        <w:t>The roadmap is set out by chapter.</w:t>
      </w:r>
    </w:p>
    <w:p w:rsidR="001C0AED" w:rsidRDefault="00A33DFF" w:rsidP="00120072">
      <w:pPr>
        <w:pStyle w:val="BodyText"/>
      </w:pPr>
      <w:r>
        <w:br w:type="page"/>
      </w:r>
    </w:p>
    <w:tbl>
      <w:tblPr>
        <w:tblW w:w="4903" w:type="pct"/>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6836"/>
        <w:gridCol w:w="334"/>
        <w:gridCol w:w="1448"/>
      </w:tblGrid>
      <w:tr w:rsidR="003740DA" w:rsidTr="001C5DE8">
        <w:trPr>
          <w:trHeight w:val="482"/>
        </w:trPr>
        <w:tc>
          <w:tcPr>
            <w:tcW w:w="3966" w:type="pct"/>
            <w:tcBorders>
              <w:top w:val="single" w:sz="12" w:space="0" w:color="66BCDB" w:themeColor="text2"/>
              <w:left w:val="nil"/>
              <w:bottom w:val="nil"/>
              <w:right w:val="nil"/>
            </w:tcBorders>
            <w:shd w:val="clear" w:color="auto" w:fill="F2F2F2"/>
          </w:tcPr>
          <w:p w:rsidR="003740DA" w:rsidRPr="007047E8" w:rsidRDefault="003740DA" w:rsidP="00827EFE">
            <w:pPr>
              <w:pStyle w:val="BoxTitle"/>
            </w:pPr>
            <w:r>
              <w:lastRenderedPageBreak/>
              <w:t>Chapter 2: Investment performance</w:t>
            </w:r>
          </w:p>
        </w:tc>
        <w:tc>
          <w:tcPr>
            <w:tcW w:w="194" w:type="pct"/>
            <w:tcBorders>
              <w:top w:val="nil"/>
              <w:left w:val="nil"/>
              <w:bottom w:val="nil"/>
              <w:right w:val="nil"/>
            </w:tcBorders>
            <w:shd w:val="clear" w:color="auto" w:fill="FFFFFF" w:themeFill="background1"/>
          </w:tcPr>
          <w:p w:rsidR="003740DA" w:rsidRDefault="003740DA" w:rsidP="00827EFE">
            <w:pPr>
              <w:pStyle w:val="BoxTitle"/>
            </w:pPr>
          </w:p>
        </w:tc>
        <w:tc>
          <w:tcPr>
            <w:tcW w:w="841" w:type="pct"/>
            <w:tcBorders>
              <w:top w:val="single" w:sz="12" w:space="0" w:color="66BCDB" w:themeColor="text2"/>
              <w:left w:val="nil"/>
              <w:bottom w:val="nil"/>
              <w:right w:val="nil"/>
            </w:tcBorders>
            <w:shd w:val="clear" w:color="auto" w:fill="F2F2F2"/>
          </w:tcPr>
          <w:p w:rsidR="003740DA" w:rsidRDefault="003740DA" w:rsidP="0064694C">
            <w:pPr>
              <w:pStyle w:val="BoxTitle"/>
            </w:pPr>
            <w:r>
              <w:t>For more</w:t>
            </w:r>
          </w:p>
        </w:tc>
      </w:tr>
      <w:tr w:rsidR="003740DA" w:rsidTr="00827EFE">
        <w:tc>
          <w:tcPr>
            <w:tcW w:w="3966" w:type="pct"/>
            <w:tcBorders>
              <w:top w:val="nil"/>
              <w:left w:val="nil"/>
              <w:bottom w:val="nil"/>
              <w:right w:val="nil"/>
            </w:tcBorders>
            <w:shd w:val="clear" w:color="auto" w:fill="F2F2F2"/>
          </w:tcPr>
          <w:p w:rsidR="003740DA" w:rsidRDefault="003740DA" w:rsidP="00827EFE">
            <w:pPr>
              <w:pStyle w:val="BoxListBullet"/>
            </w:pPr>
            <w:r>
              <w:t>Overall, the system has delivered mixed investment performance for members.</w:t>
            </w:r>
          </w:p>
          <w:p w:rsidR="003740DA" w:rsidRDefault="003740DA" w:rsidP="00827EFE">
            <w:pPr>
              <w:pStyle w:val="BoxListBullet2"/>
            </w:pPr>
            <w:r>
              <w:t>Over the decade to 2016, both APRA</w:t>
            </w:r>
            <w:r>
              <w:noBreakHyphen/>
              <w:t>regulated funds and SMSFs have delivered net returns of about 5.6 per cent a year (although smaller SMSFs delivered significantly less).</w:t>
            </w:r>
          </w:p>
          <w:p w:rsidR="003740DA" w:rsidRDefault="003740DA" w:rsidP="00827EFE">
            <w:pPr>
              <w:pStyle w:val="BoxListBullet2"/>
            </w:pPr>
            <w:r w:rsidDel="009A23E6">
              <w:t xml:space="preserve">Many members are in </w:t>
            </w:r>
            <w:r>
              <w:t>‘growth’</w:t>
            </w:r>
            <w:r w:rsidDel="009A23E6">
              <w:t xml:space="preserve"> </w:t>
            </w:r>
            <w:r>
              <w:t>and ‘balanced’</w:t>
            </w:r>
            <w:r w:rsidDel="009A23E6">
              <w:t xml:space="preserve"> products</w:t>
            </w:r>
            <w:r>
              <w:t>,</w:t>
            </w:r>
            <w:r w:rsidDel="009A23E6">
              <w:t xml:space="preserve"> which delivered</w:t>
            </w:r>
            <w:r>
              <w:t xml:space="preserve"> around</w:t>
            </w:r>
            <w:r w:rsidDel="009A23E6">
              <w:t xml:space="preserve"> </w:t>
            </w:r>
            <w:r>
              <w:t xml:space="preserve">6.8 per cent a year on average in the 12 years to 2016, beating their tailored benchmarks. </w:t>
            </w:r>
          </w:p>
          <w:p w:rsidR="003740DA" w:rsidRDefault="003740DA" w:rsidP="00827EFE">
            <w:pPr>
              <w:pStyle w:val="BoxListBullet2"/>
            </w:pPr>
            <w:r>
              <w:t>The default segment generated average net returns of about 7 per cent a year over the 12 years to 2016. Top performers were typically (but not always) larger, not</w:t>
            </w:r>
            <w:r>
              <w:noBreakHyphen/>
              <w:t>for</w:t>
            </w:r>
            <w:r>
              <w:noBreakHyphen/>
              <w:t>profit funds.</w:t>
            </w:r>
          </w:p>
          <w:p w:rsidR="003740DA" w:rsidRDefault="003740DA" w:rsidP="00827EFE">
            <w:pPr>
              <w:pStyle w:val="BoxListBullet2"/>
            </w:pPr>
            <w:r>
              <w:t>For</w:t>
            </w:r>
            <w:r>
              <w:noBreakHyphen/>
              <w:t>profit funds as a group, have delivered returns below several benchmarks and significantly below not</w:t>
            </w:r>
            <w:r>
              <w:noBreakHyphen/>
              <w:t>for</w:t>
            </w:r>
            <w:r>
              <w:noBreakHyphen/>
              <w:t>profit funds. These differences do not appear to be fully explained by fund size, asset allocation or reported administration expenses.</w:t>
            </w:r>
          </w:p>
          <w:p w:rsidR="003740DA" w:rsidRDefault="003740DA" w:rsidP="00827EFE">
            <w:pPr>
              <w:pStyle w:val="BoxListBullet"/>
            </w:pPr>
            <w:r>
              <w:t>Investment performance varies widely across funds and products, and this variation in performance best captures the real experience of members. Many members, in choice as well as default, could be doing a lot better.</w:t>
            </w:r>
          </w:p>
          <w:p w:rsidR="003740DA" w:rsidRDefault="003740DA" w:rsidP="00827EFE">
            <w:pPr>
              <w:pStyle w:val="BoxListBullet"/>
            </w:pPr>
            <w:r>
              <w:t>Over the 12 years to 2016, APRA</w:t>
            </w:r>
            <w:r>
              <w:noBreakHyphen/>
              <w:t>regulated funds generated net returns below the benchmark (adjusted for average asset allocation). Further, 20 funds (with 4.6 million member accounts) underperformed a benchmark tailored to their own asset allocation by more than 0.25 percentage points.</w:t>
            </w:r>
          </w:p>
          <w:p w:rsidR="003740DA" w:rsidRDefault="003740DA" w:rsidP="00827EFE">
            <w:pPr>
              <w:pStyle w:val="BoxListBullet"/>
            </w:pPr>
            <w:r>
              <w:t>26 of today’s MySuper products — that can be tracked back over 10 years — underperformed, and represent 13 per cent ($62 billion) of MySuper assets and 15 per cent (1.7 million) of member accounts in the sample. There is a material gap between top and bottom performers.</w:t>
            </w:r>
          </w:p>
          <w:p w:rsidR="003740DA" w:rsidRDefault="003740DA" w:rsidP="00827EFE">
            <w:pPr>
              <w:pStyle w:val="BoxListBullet2"/>
            </w:pPr>
            <w:r>
              <w:t>A member entering the system today into the median underperforming MySuper product is projected to retire with 36 per cent less ($375 000) in retirement than if they entered one in the median top</w:t>
            </w:r>
            <w:r>
              <w:noBreakHyphen/>
              <w:t>10 product.</w:t>
            </w:r>
          </w:p>
          <w:p w:rsidR="003740DA" w:rsidRDefault="003740DA" w:rsidP="003740DA">
            <w:pPr>
              <w:pStyle w:val="BoxListBullet"/>
            </w:pPr>
            <w:r>
              <w:t>While product heterogeneity in the choice segment makes product</w:t>
            </w:r>
            <w:r>
              <w:noBreakHyphen/>
              <w:t>level comparisons challenging, there is revealing evidence of material underperformance within this segment, even when benchmarks are tailored to individual products’ asset allocation.</w:t>
            </w:r>
          </w:p>
        </w:tc>
        <w:tc>
          <w:tcPr>
            <w:tcW w:w="194" w:type="pct"/>
            <w:tcBorders>
              <w:top w:val="nil"/>
              <w:left w:val="nil"/>
              <w:bottom w:val="nil"/>
              <w:right w:val="nil"/>
            </w:tcBorders>
            <w:shd w:val="clear" w:color="auto" w:fill="FFFFFF" w:themeFill="background1"/>
          </w:tcPr>
          <w:p w:rsidR="003740DA" w:rsidRPr="00FF33F3" w:rsidRDefault="003740DA" w:rsidP="00827EFE">
            <w:pPr>
              <w:pStyle w:val="BoxListBullet"/>
              <w:numPr>
                <w:ilvl w:val="0"/>
                <w:numId w:val="0"/>
              </w:numPr>
              <w:ind w:left="284"/>
            </w:pPr>
          </w:p>
        </w:tc>
        <w:tc>
          <w:tcPr>
            <w:tcW w:w="841" w:type="pct"/>
            <w:tcBorders>
              <w:top w:val="nil"/>
              <w:left w:val="nil"/>
              <w:bottom w:val="nil"/>
              <w:right w:val="nil"/>
            </w:tcBorders>
            <w:shd w:val="clear" w:color="auto" w:fill="F2F2F2"/>
          </w:tcPr>
          <w:p w:rsidR="003740DA" w:rsidRDefault="004E3FEF" w:rsidP="004E3FEF">
            <w:pPr>
              <w:pStyle w:val="BodyText"/>
              <w:spacing w:before="100" w:line="260" w:lineRule="atLeast"/>
              <w:jc w:val="left"/>
              <w:rPr>
                <w:rFonts w:ascii="Arial" w:hAnsi="Arial" w:cs="Arial"/>
                <w:sz w:val="20"/>
              </w:rPr>
            </w:pPr>
            <w:r>
              <w:rPr>
                <w:rFonts w:ascii="Arial" w:hAnsi="Arial" w:cs="Arial"/>
                <w:sz w:val="20"/>
              </w:rPr>
              <w:br/>
            </w:r>
          </w:p>
          <w:p w:rsidR="003740DA" w:rsidRDefault="003740DA" w:rsidP="004E3FEF">
            <w:pPr>
              <w:pStyle w:val="BodyText"/>
              <w:spacing w:before="100" w:line="260" w:lineRule="atLeast"/>
              <w:jc w:val="left"/>
              <w:rPr>
                <w:rFonts w:ascii="Arial" w:hAnsi="Arial" w:cs="Arial"/>
                <w:sz w:val="20"/>
              </w:rPr>
            </w:pPr>
            <w:r>
              <w:rPr>
                <w:rFonts w:ascii="Arial" w:hAnsi="Arial" w:cs="Arial"/>
                <w:sz w:val="20"/>
              </w:rPr>
              <w:t>Figure 2.3</w:t>
            </w:r>
            <w:r w:rsidR="008C1D34">
              <w:rPr>
                <w:rFonts w:ascii="Arial" w:hAnsi="Arial" w:cs="Arial"/>
                <w:sz w:val="20"/>
              </w:rPr>
              <w:t xml:space="preserve"> (p. 100)</w:t>
            </w:r>
            <w:r w:rsidR="004E3FEF">
              <w:rPr>
                <w:rFonts w:ascii="Arial" w:hAnsi="Arial" w:cs="Arial"/>
                <w:sz w:val="20"/>
              </w:rPr>
              <w:br/>
            </w:r>
          </w:p>
          <w:p w:rsidR="003740DA" w:rsidRDefault="003740DA" w:rsidP="004E3FEF">
            <w:pPr>
              <w:pStyle w:val="BodyText"/>
              <w:spacing w:before="100" w:line="260" w:lineRule="atLeast"/>
              <w:jc w:val="left"/>
              <w:rPr>
                <w:rFonts w:ascii="Arial" w:hAnsi="Arial" w:cs="Arial"/>
                <w:sz w:val="20"/>
              </w:rPr>
            </w:pPr>
            <w:r>
              <w:rPr>
                <w:rFonts w:ascii="Arial" w:hAnsi="Arial" w:cs="Arial"/>
                <w:sz w:val="20"/>
              </w:rPr>
              <w:t>Figure 2.4</w:t>
            </w:r>
            <w:r w:rsidR="008C1D34">
              <w:rPr>
                <w:rFonts w:ascii="Arial" w:hAnsi="Arial" w:cs="Arial"/>
                <w:sz w:val="20"/>
              </w:rPr>
              <w:t xml:space="preserve"> (p. 103)</w:t>
            </w:r>
            <w:r w:rsidR="004E3FEF">
              <w:rPr>
                <w:rFonts w:ascii="Arial" w:hAnsi="Arial" w:cs="Arial"/>
                <w:sz w:val="20"/>
              </w:rPr>
              <w:br/>
            </w:r>
          </w:p>
          <w:p w:rsidR="003740DA" w:rsidRPr="003740DA" w:rsidRDefault="003740DA" w:rsidP="004E3FEF">
            <w:pPr>
              <w:pStyle w:val="BodyText"/>
              <w:spacing w:before="100" w:line="260" w:lineRule="atLeast"/>
              <w:jc w:val="left"/>
              <w:rPr>
                <w:rFonts w:ascii="Arial" w:hAnsi="Arial" w:cs="Arial"/>
                <w:sz w:val="20"/>
              </w:rPr>
            </w:pPr>
            <w:r>
              <w:rPr>
                <w:rFonts w:ascii="Arial" w:hAnsi="Arial" w:cs="Arial"/>
                <w:sz w:val="20"/>
              </w:rPr>
              <w:t>Figure 2.6</w:t>
            </w:r>
            <w:r w:rsidR="008C1D34">
              <w:rPr>
                <w:rFonts w:ascii="Arial" w:hAnsi="Arial" w:cs="Arial"/>
                <w:sz w:val="20"/>
              </w:rPr>
              <w:t xml:space="preserve"> (p. 107)</w:t>
            </w:r>
            <w:r w:rsidR="004E3FEF">
              <w:rPr>
                <w:rFonts w:ascii="Arial" w:hAnsi="Arial" w:cs="Arial"/>
                <w:sz w:val="20"/>
              </w:rPr>
              <w:br/>
            </w:r>
          </w:p>
          <w:p w:rsidR="004E3FEF" w:rsidRDefault="003740DA" w:rsidP="004E3FEF">
            <w:pPr>
              <w:pStyle w:val="BodyText"/>
              <w:spacing w:before="100" w:line="260" w:lineRule="atLeast"/>
              <w:jc w:val="left"/>
              <w:rPr>
                <w:rFonts w:ascii="Arial" w:hAnsi="Arial" w:cs="Arial"/>
                <w:sz w:val="20"/>
              </w:rPr>
            </w:pPr>
            <w:r>
              <w:rPr>
                <w:rFonts w:ascii="Arial" w:hAnsi="Arial" w:cs="Arial"/>
                <w:sz w:val="20"/>
              </w:rPr>
              <w:t>Figure 2.7</w:t>
            </w:r>
            <w:r w:rsidR="007425B4">
              <w:rPr>
                <w:rFonts w:ascii="Arial" w:hAnsi="Arial" w:cs="Arial"/>
                <w:sz w:val="20"/>
              </w:rPr>
              <w:t xml:space="preserve"> (p. 110)</w:t>
            </w:r>
            <w:r w:rsidR="008C1D34" w:rsidRPr="00EE6DF9">
              <w:rPr>
                <w:rFonts w:ascii="Arial" w:hAnsi="Arial" w:cs="Arial"/>
                <w:sz w:val="20"/>
              </w:rPr>
              <w:br/>
            </w:r>
            <w:r w:rsidR="004E3FEF">
              <w:rPr>
                <w:rFonts w:ascii="Arial" w:hAnsi="Arial" w:cs="Arial"/>
                <w:sz w:val="20"/>
              </w:rPr>
              <w:br/>
            </w:r>
          </w:p>
          <w:p w:rsidR="005050D7" w:rsidRDefault="003740DA" w:rsidP="004E3FEF">
            <w:pPr>
              <w:pStyle w:val="BodyText"/>
              <w:spacing w:before="100" w:line="260" w:lineRule="atLeast"/>
              <w:jc w:val="left"/>
              <w:rPr>
                <w:rFonts w:ascii="Arial" w:hAnsi="Arial" w:cs="Arial"/>
                <w:sz w:val="20"/>
              </w:rPr>
            </w:pPr>
            <w:r>
              <w:rPr>
                <w:rFonts w:ascii="Arial" w:hAnsi="Arial" w:cs="Arial"/>
                <w:sz w:val="20"/>
              </w:rPr>
              <w:t>pp. 112-1</w:t>
            </w:r>
            <w:r w:rsidR="005050D7">
              <w:rPr>
                <w:rFonts w:ascii="Arial" w:hAnsi="Arial" w:cs="Arial"/>
                <w:sz w:val="20"/>
              </w:rPr>
              <w:t>14; 117-118;</w:t>
            </w:r>
            <w:r w:rsidR="0003764B">
              <w:rPr>
                <w:rFonts w:ascii="Arial" w:hAnsi="Arial" w:cs="Arial"/>
                <w:sz w:val="20"/>
              </w:rPr>
              <w:t xml:space="preserve"> 123-125</w:t>
            </w:r>
            <w:r w:rsidR="004E3FEF">
              <w:rPr>
                <w:rFonts w:ascii="Arial" w:hAnsi="Arial" w:cs="Arial"/>
                <w:sz w:val="20"/>
              </w:rPr>
              <w:br/>
            </w:r>
          </w:p>
          <w:p w:rsidR="003740DA" w:rsidRDefault="003740DA" w:rsidP="004E3FEF">
            <w:pPr>
              <w:pStyle w:val="BodyText"/>
              <w:spacing w:before="100" w:line="260" w:lineRule="atLeast"/>
              <w:jc w:val="left"/>
              <w:rPr>
                <w:rFonts w:ascii="Arial" w:hAnsi="Arial" w:cs="Arial"/>
                <w:sz w:val="20"/>
              </w:rPr>
            </w:pPr>
            <w:r>
              <w:rPr>
                <w:rFonts w:ascii="Arial" w:hAnsi="Arial" w:cs="Arial"/>
                <w:sz w:val="20"/>
              </w:rPr>
              <w:t>Figure 2.9</w:t>
            </w:r>
            <w:r w:rsidR="008C1D34">
              <w:rPr>
                <w:rFonts w:ascii="Arial" w:hAnsi="Arial" w:cs="Arial"/>
                <w:sz w:val="20"/>
              </w:rPr>
              <w:t xml:space="preserve"> (p. 113)</w:t>
            </w:r>
            <w:r w:rsidR="004E3FEF">
              <w:rPr>
                <w:rFonts w:ascii="Arial" w:hAnsi="Arial" w:cs="Arial"/>
                <w:sz w:val="20"/>
              </w:rPr>
              <w:br/>
            </w:r>
            <w:r w:rsidR="004E3FEF">
              <w:rPr>
                <w:rFonts w:ascii="Arial" w:hAnsi="Arial" w:cs="Arial"/>
                <w:sz w:val="20"/>
              </w:rPr>
              <w:br/>
            </w:r>
            <w:r w:rsidR="004E3FEF">
              <w:rPr>
                <w:rFonts w:ascii="Arial" w:hAnsi="Arial" w:cs="Arial"/>
                <w:sz w:val="20"/>
              </w:rPr>
              <w:br/>
            </w:r>
          </w:p>
          <w:p w:rsidR="004E3FEF" w:rsidRDefault="003740DA" w:rsidP="004E3FEF">
            <w:pPr>
              <w:pStyle w:val="BodyText"/>
              <w:spacing w:before="100" w:line="260" w:lineRule="atLeast"/>
              <w:jc w:val="left"/>
              <w:rPr>
                <w:rFonts w:ascii="Arial" w:hAnsi="Arial" w:cs="Arial"/>
                <w:sz w:val="20"/>
              </w:rPr>
            </w:pPr>
            <w:r>
              <w:rPr>
                <w:rFonts w:ascii="Arial" w:hAnsi="Arial" w:cs="Arial"/>
                <w:sz w:val="20"/>
              </w:rPr>
              <w:t>Figure 2.13</w:t>
            </w:r>
            <w:r w:rsidR="008C1D34">
              <w:rPr>
                <w:rFonts w:ascii="Arial" w:hAnsi="Arial" w:cs="Arial"/>
                <w:sz w:val="20"/>
              </w:rPr>
              <w:t xml:space="preserve"> (p.  121)</w:t>
            </w:r>
            <w:r w:rsidR="004E3FEF">
              <w:rPr>
                <w:rFonts w:ascii="Arial" w:hAnsi="Arial" w:cs="Arial"/>
                <w:sz w:val="20"/>
              </w:rPr>
              <w:br/>
            </w:r>
            <w:r w:rsidR="004E3FEF">
              <w:rPr>
                <w:rFonts w:ascii="Arial" w:hAnsi="Arial" w:cs="Arial"/>
                <w:sz w:val="20"/>
              </w:rPr>
              <w:br/>
            </w:r>
          </w:p>
          <w:p w:rsidR="003740DA" w:rsidRDefault="003740DA" w:rsidP="004E3FEF">
            <w:pPr>
              <w:pStyle w:val="BodyText"/>
              <w:spacing w:before="100" w:line="260" w:lineRule="atLeast"/>
              <w:jc w:val="left"/>
              <w:rPr>
                <w:rFonts w:ascii="Arial" w:hAnsi="Arial" w:cs="Arial"/>
                <w:sz w:val="20"/>
              </w:rPr>
            </w:pPr>
            <w:r>
              <w:rPr>
                <w:rFonts w:ascii="Arial" w:hAnsi="Arial" w:cs="Arial"/>
                <w:sz w:val="20"/>
              </w:rPr>
              <w:t>Cameo 2.3</w:t>
            </w:r>
            <w:r w:rsidR="008C1D34">
              <w:rPr>
                <w:rFonts w:ascii="Arial" w:hAnsi="Arial" w:cs="Arial"/>
                <w:sz w:val="20"/>
              </w:rPr>
              <w:t xml:space="preserve"> (p. 122)</w:t>
            </w:r>
            <w:r w:rsidR="004E3FEF">
              <w:rPr>
                <w:rFonts w:ascii="Arial" w:hAnsi="Arial" w:cs="Arial"/>
                <w:sz w:val="20"/>
              </w:rPr>
              <w:br/>
            </w:r>
            <w:r w:rsidR="004E3FEF">
              <w:rPr>
                <w:rFonts w:ascii="Arial" w:hAnsi="Arial" w:cs="Arial"/>
                <w:sz w:val="20"/>
              </w:rPr>
              <w:br/>
            </w:r>
          </w:p>
          <w:p w:rsidR="003740DA" w:rsidRPr="00FF33F3" w:rsidRDefault="003740DA" w:rsidP="004E3FEF">
            <w:pPr>
              <w:pStyle w:val="BodyText"/>
              <w:spacing w:before="100" w:line="260" w:lineRule="atLeast"/>
              <w:jc w:val="left"/>
            </w:pPr>
            <w:r>
              <w:rPr>
                <w:rFonts w:ascii="Arial" w:hAnsi="Arial" w:cs="Arial"/>
                <w:sz w:val="20"/>
              </w:rPr>
              <w:t>Figure 2.15</w:t>
            </w:r>
            <w:r w:rsidR="008C1D34">
              <w:rPr>
                <w:rFonts w:ascii="Arial" w:hAnsi="Arial" w:cs="Arial"/>
                <w:sz w:val="20"/>
              </w:rPr>
              <w:t xml:space="preserve"> (p. 124)</w:t>
            </w:r>
          </w:p>
        </w:tc>
      </w:tr>
      <w:tr w:rsidR="003740DA" w:rsidTr="001C5DE8">
        <w:tc>
          <w:tcPr>
            <w:tcW w:w="3966" w:type="pct"/>
            <w:tcBorders>
              <w:top w:val="nil"/>
              <w:left w:val="nil"/>
              <w:bottom w:val="single" w:sz="12" w:space="0" w:color="66BCDB" w:themeColor="text2"/>
              <w:right w:val="nil"/>
            </w:tcBorders>
            <w:shd w:val="clear" w:color="auto" w:fill="F2F2F2"/>
          </w:tcPr>
          <w:p w:rsidR="003740DA" w:rsidRDefault="003740DA" w:rsidP="00827EFE">
            <w:pPr>
              <w:pStyle w:val="Box"/>
              <w:spacing w:before="0" w:line="120" w:lineRule="exact"/>
            </w:pPr>
          </w:p>
        </w:tc>
        <w:tc>
          <w:tcPr>
            <w:tcW w:w="194" w:type="pct"/>
            <w:tcBorders>
              <w:top w:val="nil"/>
              <w:left w:val="nil"/>
              <w:bottom w:val="nil"/>
              <w:right w:val="nil"/>
            </w:tcBorders>
            <w:shd w:val="clear" w:color="auto" w:fill="FFFFFF" w:themeFill="background1"/>
          </w:tcPr>
          <w:p w:rsidR="003740DA" w:rsidRDefault="003740DA" w:rsidP="00827EFE">
            <w:pPr>
              <w:pStyle w:val="Box"/>
              <w:spacing w:before="0" w:line="120" w:lineRule="exact"/>
            </w:pPr>
          </w:p>
        </w:tc>
        <w:tc>
          <w:tcPr>
            <w:tcW w:w="841" w:type="pct"/>
            <w:tcBorders>
              <w:top w:val="nil"/>
              <w:left w:val="nil"/>
              <w:bottom w:val="single" w:sz="12" w:space="0" w:color="66BCDB" w:themeColor="text2"/>
              <w:right w:val="nil"/>
            </w:tcBorders>
            <w:shd w:val="clear" w:color="auto" w:fill="F2F2F2"/>
          </w:tcPr>
          <w:p w:rsidR="003740DA" w:rsidRDefault="003740DA" w:rsidP="0064694C">
            <w:pPr>
              <w:pStyle w:val="Box"/>
              <w:spacing w:before="0" w:line="120" w:lineRule="exact"/>
              <w:jc w:val="left"/>
            </w:pPr>
          </w:p>
        </w:tc>
      </w:tr>
      <w:tr w:rsidR="003740DA" w:rsidRPr="000863A5" w:rsidTr="001C5DE8">
        <w:tc>
          <w:tcPr>
            <w:tcW w:w="3966" w:type="pct"/>
            <w:tcBorders>
              <w:top w:val="single" w:sz="12" w:space="0" w:color="66BCDB" w:themeColor="text2"/>
              <w:left w:val="nil"/>
              <w:bottom w:val="nil"/>
              <w:right w:val="nil"/>
            </w:tcBorders>
          </w:tcPr>
          <w:p w:rsidR="003740DA" w:rsidRPr="00626D32" w:rsidRDefault="003740DA" w:rsidP="00827EFE">
            <w:pPr>
              <w:pStyle w:val="BoxSpaceBelow"/>
            </w:pPr>
          </w:p>
        </w:tc>
        <w:tc>
          <w:tcPr>
            <w:tcW w:w="194" w:type="pct"/>
            <w:tcBorders>
              <w:top w:val="nil"/>
              <w:left w:val="nil"/>
              <w:bottom w:val="nil"/>
              <w:right w:val="nil"/>
            </w:tcBorders>
            <w:shd w:val="clear" w:color="auto" w:fill="FFFFFF" w:themeFill="background1"/>
          </w:tcPr>
          <w:p w:rsidR="003740DA" w:rsidRPr="00626D32" w:rsidRDefault="003740DA" w:rsidP="00827EFE">
            <w:pPr>
              <w:pStyle w:val="BoxSpaceBelow"/>
            </w:pPr>
          </w:p>
        </w:tc>
        <w:tc>
          <w:tcPr>
            <w:tcW w:w="841" w:type="pct"/>
            <w:tcBorders>
              <w:top w:val="single" w:sz="12" w:space="0" w:color="66BCDB" w:themeColor="text2"/>
              <w:left w:val="nil"/>
              <w:bottom w:val="nil"/>
              <w:right w:val="nil"/>
            </w:tcBorders>
          </w:tcPr>
          <w:p w:rsidR="003740DA" w:rsidRPr="00626D32" w:rsidRDefault="003740DA" w:rsidP="0064694C">
            <w:pPr>
              <w:pStyle w:val="BoxSpaceBelow"/>
              <w:jc w:val="left"/>
            </w:pPr>
          </w:p>
        </w:tc>
      </w:tr>
    </w:tbl>
    <w:p w:rsidR="003740DA" w:rsidRDefault="003740DA" w:rsidP="003740DA">
      <w:pPr>
        <w:spacing w:after="160" w:line="259" w:lineRule="auto"/>
      </w:pPr>
      <w:r>
        <w:br w:type="page"/>
      </w:r>
    </w:p>
    <w:tbl>
      <w:tblPr>
        <w:tblW w:w="4903" w:type="pct"/>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6836"/>
        <w:gridCol w:w="334"/>
        <w:gridCol w:w="1448"/>
      </w:tblGrid>
      <w:tr w:rsidR="00A169D6" w:rsidRPr="00A169D6" w:rsidTr="001C5DE8">
        <w:tc>
          <w:tcPr>
            <w:tcW w:w="3966" w:type="pct"/>
            <w:tcBorders>
              <w:top w:val="single" w:sz="12" w:space="0" w:color="66BCDB" w:themeColor="text2"/>
              <w:left w:val="nil"/>
              <w:bottom w:val="nil"/>
              <w:right w:val="nil"/>
            </w:tcBorders>
            <w:shd w:val="clear" w:color="auto" w:fill="F2F2F2"/>
          </w:tcPr>
          <w:p w:rsidR="00A169D6" w:rsidRPr="00A169D6" w:rsidRDefault="00A169D6" w:rsidP="00A169D6">
            <w:pPr>
              <w:pStyle w:val="BoxTitle"/>
            </w:pPr>
            <w:r w:rsidRPr="00A169D6">
              <w:lastRenderedPageBreak/>
              <w:t>Chapter 3: Fees and costs</w:t>
            </w:r>
          </w:p>
        </w:tc>
        <w:tc>
          <w:tcPr>
            <w:tcW w:w="194" w:type="pct"/>
            <w:tcBorders>
              <w:top w:val="nil"/>
              <w:left w:val="nil"/>
              <w:bottom w:val="nil"/>
              <w:right w:val="nil"/>
            </w:tcBorders>
            <w:shd w:val="clear" w:color="auto" w:fill="FFFFFF" w:themeFill="background1"/>
          </w:tcPr>
          <w:p w:rsidR="00A169D6" w:rsidRPr="00A169D6" w:rsidRDefault="00A169D6" w:rsidP="00827EFE">
            <w:pPr>
              <w:pStyle w:val="BoxTitle"/>
            </w:pPr>
          </w:p>
        </w:tc>
        <w:tc>
          <w:tcPr>
            <w:tcW w:w="840" w:type="pct"/>
            <w:tcBorders>
              <w:top w:val="single" w:sz="12" w:space="0" w:color="66BCDB" w:themeColor="text2"/>
              <w:left w:val="nil"/>
              <w:bottom w:val="nil"/>
              <w:right w:val="nil"/>
            </w:tcBorders>
            <w:shd w:val="clear" w:color="auto" w:fill="F2F2F2"/>
          </w:tcPr>
          <w:p w:rsidR="00A169D6" w:rsidRPr="00A169D6" w:rsidRDefault="00A169D6" w:rsidP="0064694C">
            <w:pPr>
              <w:pStyle w:val="BoxTitle"/>
            </w:pPr>
            <w:r w:rsidRPr="00A169D6">
              <w:t>For more</w:t>
            </w:r>
          </w:p>
        </w:tc>
      </w:tr>
      <w:tr w:rsidR="00A169D6" w:rsidTr="008E7584">
        <w:tc>
          <w:tcPr>
            <w:tcW w:w="3966" w:type="pct"/>
            <w:tcBorders>
              <w:top w:val="nil"/>
              <w:left w:val="nil"/>
              <w:bottom w:val="nil"/>
              <w:right w:val="nil"/>
            </w:tcBorders>
            <w:shd w:val="clear" w:color="auto" w:fill="F2F2F2"/>
          </w:tcPr>
          <w:p w:rsidR="00A169D6" w:rsidRPr="00CE1DB9" w:rsidRDefault="00A169D6" w:rsidP="00A169D6">
            <w:pPr>
              <w:pStyle w:val="KeyPointsListBullet"/>
            </w:pPr>
            <w:r w:rsidRPr="00C400DB">
              <w:t>Fees matter — they directly detract from members’ returns and</w:t>
            </w:r>
            <w:r>
              <w:t>,</w:t>
            </w:r>
            <w:r w:rsidRPr="00C400DB">
              <w:t xml:space="preserve"> ultimately</w:t>
            </w:r>
            <w:r>
              <w:t>,</w:t>
            </w:r>
            <w:r w:rsidRPr="00C400DB">
              <w:t xml:space="preserve"> their retirement incomes. Higher fees of just 0.5 per cent a year could reduce the retirement balance of </w:t>
            </w:r>
            <w:r w:rsidRPr="00CE1DB9">
              <w:t>a typical worker starting work today by around $</w:t>
            </w:r>
            <w:r>
              <w:t>100</w:t>
            </w:r>
            <w:r w:rsidRPr="00CE1DB9">
              <w:t> 000.</w:t>
            </w:r>
          </w:p>
          <w:p w:rsidR="00A169D6" w:rsidRPr="00146530" w:rsidRDefault="00A169D6" w:rsidP="00A169D6">
            <w:pPr>
              <w:pStyle w:val="KeyPointsListBullet"/>
              <w:rPr>
                <w:spacing w:val="-2"/>
              </w:rPr>
            </w:pPr>
            <w:r w:rsidRPr="00146530">
              <w:rPr>
                <w:spacing w:val="-2"/>
              </w:rPr>
              <w:t>In 2017, members of APRA</w:t>
            </w:r>
            <w:r w:rsidRPr="00146530">
              <w:rPr>
                <w:spacing w:val="-2"/>
              </w:rPr>
              <w:noBreakHyphen/>
              <w:t>regulated funds collectively paid $8.8 billion in fees (excluding insurance fees and premiums). In dollar terms, fees per member account rose over the</w:t>
            </w:r>
            <w:r w:rsidRPr="00146530" w:rsidDel="00CA53F1">
              <w:rPr>
                <w:spacing w:val="-2"/>
              </w:rPr>
              <w:t xml:space="preserve"> </w:t>
            </w:r>
            <w:r w:rsidRPr="00146530">
              <w:rPr>
                <w:spacing w:val="-2"/>
              </w:rPr>
              <w:t>preceding decade, largely due to account consolidation (reducing a regressive cross subsidy) and higher balances (corresponding to higher investment costs).</w:t>
            </w:r>
          </w:p>
          <w:p w:rsidR="00A169D6" w:rsidRDefault="00A169D6" w:rsidP="00A169D6">
            <w:pPr>
              <w:pStyle w:val="KeyPointsListBullet"/>
            </w:pPr>
            <w:r>
              <w:t>The f</w:t>
            </w:r>
            <w:r w:rsidRPr="009A60C3">
              <w:t xml:space="preserve">ees </w:t>
            </w:r>
            <w:r>
              <w:t>members pay</w:t>
            </w:r>
            <w:r w:rsidRPr="009A60C3">
              <w:t xml:space="preserve"> are driven by</w:t>
            </w:r>
            <w:r>
              <w:t xml:space="preserve"> market dynamics and (to some extent) regulation.</w:t>
            </w:r>
          </w:p>
          <w:p w:rsidR="00A169D6" w:rsidRDefault="00A169D6" w:rsidP="00A169D6">
            <w:pPr>
              <w:pStyle w:val="KeyPointsListBullet2"/>
            </w:pPr>
            <w:r>
              <w:t>Since the global financial crisis, total fees (as a proportion of balances) have fallen by about 0.2 percentage points. This may reflect an increase in competitive pressure in the system, though it is more likely a consequence of small scale funds exiting than efficiencies within remaining funds being passed through to members.</w:t>
            </w:r>
          </w:p>
          <w:p w:rsidR="00A169D6" w:rsidRDefault="00A169D6" w:rsidP="00A169D6">
            <w:pPr>
              <w:pStyle w:val="KeyPointsListBullet2"/>
            </w:pPr>
            <w:r>
              <w:t>Reported i</w:t>
            </w:r>
            <w:r w:rsidRPr="00161643">
              <w:t>nvestment management costs have been falling</w:t>
            </w:r>
            <w:r>
              <w:t>. However</w:t>
            </w:r>
            <w:r w:rsidRPr="00161643" w:rsidDel="00C01A3A">
              <w:t xml:space="preserve">, </w:t>
            </w:r>
            <w:r w:rsidRPr="00161643">
              <w:t>there is some evidence that costs for particular asset classes are high relative to international averages, at least for those industry funds that responded to the Commission’s funds survey.</w:t>
            </w:r>
          </w:p>
          <w:p w:rsidR="00A169D6" w:rsidRDefault="00A169D6" w:rsidP="00A169D6">
            <w:pPr>
              <w:pStyle w:val="KeyPointsListBullet"/>
            </w:pPr>
            <w:r>
              <w:t>These trends belie much variation across segments.</w:t>
            </w:r>
          </w:p>
          <w:p w:rsidR="00A169D6" w:rsidRDefault="00A169D6" w:rsidP="00A169D6">
            <w:pPr>
              <w:pStyle w:val="KeyPointsListBullet2"/>
            </w:pPr>
            <w:r>
              <w:t>Fees have fallen markedly for retail funds (to 1.5 per cent on average) but, with the exception of MySuper products, remain higher than fees for industry funds (which have not substantially changed, at 0.9 per cent).</w:t>
            </w:r>
          </w:p>
          <w:p w:rsidR="00A169D6" w:rsidRPr="00896ECD" w:rsidRDefault="00A169D6" w:rsidP="00A169D6">
            <w:pPr>
              <w:pStyle w:val="KeyPointsListBullet2"/>
            </w:pPr>
            <w:r w:rsidDel="0061313D">
              <w:t>H</w:t>
            </w:r>
            <w:r w:rsidRPr="003B0507">
              <w:t xml:space="preserve">igh fee dispersion </w:t>
            </w:r>
            <w:r>
              <w:t>persists across products. There is a not insignificant ‘tail’ of choice products with high fees (exceeding 1.5 per cent of balances), mostly offered by retail funds.</w:t>
            </w:r>
          </w:p>
          <w:p w:rsidR="00A169D6" w:rsidRDefault="00A169D6" w:rsidP="00A169D6">
            <w:pPr>
              <w:pStyle w:val="KeyPointsListBullet2"/>
            </w:pPr>
            <w:r>
              <w:t xml:space="preserve">The MySuper reforms appear to have contributed to lower fees within the default segment (especially for retail funds), with some likely spillover to the choice segment. Fee dispersion is limited across MySuper products, mainly by regulatory design. Lower fees in the choice segment may also reflect competitive pressure stemming from the growth of SMSFs. </w:t>
            </w:r>
          </w:p>
          <w:p w:rsidR="00A169D6" w:rsidRDefault="00A169D6" w:rsidP="00A169D6">
            <w:pPr>
              <w:pStyle w:val="KeyPointsListBullet2"/>
            </w:pPr>
            <w:r w:rsidRPr="00A44A6C">
              <w:t>Costs for low</w:t>
            </w:r>
            <w:r>
              <w:noBreakHyphen/>
            </w:r>
            <w:r w:rsidRPr="00A44A6C">
              <w:t>balance SMSFs are high</w:t>
            </w:r>
            <w:r>
              <w:t xml:space="preserve"> relative to APRA</w:t>
            </w:r>
            <w:r>
              <w:noBreakHyphen/>
              <w:t xml:space="preserve">regulated funds, driving </w:t>
            </w:r>
            <w:r w:rsidRPr="00A44A6C">
              <w:t>poor</w:t>
            </w:r>
            <w:r>
              <w:t>er</w:t>
            </w:r>
            <w:r w:rsidRPr="00A44A6C">
              <w:t xml:space="preserve"> net returns on average.</w:t>
            </w:r>
          </w:p>
          <w:p w:rsidR="00A169D6" w:rsidRPr="00A169D6" w:rsidRDefault="00A169D6" w:rsidP="00A169D6">
            <w:pPr>
              <w:pStyle w:val="KeyPointsListBullet"/>
            </w:pPr>
            <w:r>
              <w:t>On average, funds that charge higher fees do not deliver better net returns to their members over time. High</w:t>
            </w:r>
            <w:r>
              <w:noBreakHyphen/>
              <w:t>fee funds (around 10 per cent of system assets) tend to persistently have higher fees over time — suggesting there is significant potential to lift retirement balances by members moving, or being allocated, to</w:t>
            </w:r>
            <w:r w:rsidDel="00E66F8E">
              <w:t xml:space="preserve"> </w:t>
            </w:r>
            <w:r>
              <w:t>lower</w:t>
            </w:r>
            <w:r>
              <w:noBreakHyphen/>
              <w:t>fee and better performing funds.</w:t>
            </w:r>
          </w:p>
        </w:tc>
        <w:tc>
          <w:tcPr>
            <w:tcW w:w="194" w:type="pct"/>
            <w:tcBorders>
              <w:top w:val="nil"/>
              <w:left w:val="nil"/>
              <w:bottom w:val="nil"/>
              <w:right w:val="nil"/>
            </w:tcBorders>
            <w:shd w:val="clear" w:color="auto" w:fill="FFFFFF" w:themeFill="background1"/>
          </w:tcPr>
          <w:p w:rsidR="00A169D6" w:rsidRPr="00A169D6" w:rsidRDefault="00A169D6" w:rsidP="00827EFE">
            <w:pPr>
              <w:pStyle w:val="BoxListBullet"/>
              <w:numPr>
                <w:ilvl w:val="0"/>
                <w:numId w:val="0"/>
              </w:numPr>
              <w:ind w:left="284"/>
              <w:rPr>
                <w:color w:val="F15A25" w:themeColor="accent4"/>
              </w:rPr>
            </w:pPr>
          </w:p>
        </w:tc>
        <w:tc>
          <w:tcPr>
            <w:tcW w:w="840" w:type="pct"/>
            <w:tcBorders>
              <w:top w:val="nil"/>
              <w:left w:val="nil"/>
              <w:bottom w:val="nil"/>
              <w:right w:val="nil"/>
            </w:tcBorders>
            <w:shd w:val="clear" w:color="auto" w:fill="F2F2F2"/>
          </w:tcPr>
          <w:p w:rsidR="004E3FEF" w:rsidRDefault="00A169D6" w:rsidP="004E3FEF">
            <w:pPr>
              <w:pStyle w:val="BodyText"/>
              <w:spacing w:before="100" w:line="260" w:lineRule="atLeast"/>
              <w:jc w:val="left"/>
              <w:rPr>
                <w:rFonts w:ascii="Arial" w:hAnsi="Arial" w:cs="Arial"/>
                <w:sz w:val="20"/>
              </w:rPr>
            </w:pPr>
            <w:r w:rsidRPr="00364919">
              <w:rPr>
                <w:rFonts w:ascii="Arial" w:hAnsi="Arial" w:cs="Arial"/>
                <w:sz w:val="20"/>
              </w:rPr>
              <w:t>Cameo 3.1</w:t>
            </w:r>
            <w:r w:rsidR="0031466C">
              <w:rPr>
                <w:rFonts w:ascii="Arial" w:hAnsi="Arial" w:cs="Arial"/>
                <w:sz w:val="20"/>
              </w:rPr>
              <w:t xml:space="preserve"> </w:t>
            </w:r>
            <w:r w:rsidRPr="00364919">
              <w:rPr>
                <w:rFonts w:ascii="Arial" w:hAnsi="Arial" w:cs="Arial"/>
                <w:sz w:val="20"/>
              </w:rPr>
              <w:t>(p. 128)</w:t>
            </w:r>
            <w:r w:rsidR="004E3FEF">
              <w:rPr>
                <w:rFonts w:ascii="Arial" w:hAnsi="Arial" w:cs="Arial"/>
                <w:sz w:val="20"/>
              </w:rPr>
              <w:br/>
            </w:r>
            <w:r w:rsidR="004E3FEF">
              <w:rPr>
                <w:rFonts w:ascii="Arial" w:hAnsi="Arial" w:cs="Arial"/>
                <w:sz w:val="20"/>
              </w:rPr>
              <w:br/>
            </w:r>
          </w:p>
          <w:p w:rsidR="00A169D6" w:rsidRPr="00364919" w:rsidRDefault="00A169D6" w:rsidP="004E3FEF">
            <w:pPr>
              <w:pStyle w:val="BodyText"/>
              <w:spacing w:before="100" w:line="260" w:lineRule="atLeast"/>
              <w:jc w:val="left"/>
              <w:rPr>
                <w:rFonts w:ascii="Arial" w:hAnsi="Arial" w:cs="Arial"/>
                <w:sz w:val="20"/>
              </w:rPr>
            </w:pPr>
            <w:r w:rsidRPr="00364919">
              <w:rPr>
                <w:rFonts w:ascii="Arial" w:hAnsi="Arial" w:cs="Arial"/>
                <w:sz w:val="20"/>
              </w:rPr>
              <w:t>pp. 131-134</w:t>
            </w:r>
            <w:r w:rsidR="004E3FEF">
              <w:rPr>
                <w:rFonts w:ascii="Arial" w:hAnsi="Arial" w:cs="Arial"/>
                <w:sz w:val="20"/>
              </w:rPr>
              <w:br/>
            </w:r>
            <w:r w:rsidR="004E3FEF">
              <w:rPr>
                <w:rFonts w:ascii="Arial" w:hAnsi="Arial" w:cs="Arial"/>
                <w:sz w:val="20"/>
              </w:rPr>
              <w:br/>
            </w:r>
            <w:r w:rsidR="004E3FEF">
              <w:rPr>
                <w:rFonts w:ascii="Arial" w:hAnsi="Arial" w:cs="Arial"/>
                <w:sz w:val="20"/>
              </w:rPr>
              <w:br/>
            </w:r>
            <w:r w:rsidR="004E3FEF">
              <w:rPr>
                <w:rFonts w:ascii="Arial" w:hAnsi="Arial" w:cs="Arial"/>
                <w:sz w:val="20"/>
              </w:rPr>
              <w:br/>
            </w:r>
          </w:p>
          <w:p w:rsidR="00A169D6" w:rsidRPr="00364919" w:rsidRDefault="004E3FEF" w:rsidP="004E3FEF">
            <w:pPr>
              <w:pStyle w:val="BodyText"/>
              <w:spacing w:before="100" w:line="260" w:lineRule="atLeast"/>
              <w:jc w:val="left"/>
              <w:rPr>
                <w:rFonts w:ascii="Arial" w:hAnsi="Arial" w:cs="Arial"/>
                <w:sz w:val="20"/>
              </w:rPr>
            </w:pPr>
            <w:r>
              <w:rPr>
                <w:rFonts w:ascii="Arial" w:hAnsi="Arial" w:cs="Arial"/>
                <w:sz w:val="20"/>
              </w:rPr>
              <w:br/>
            </w:r>
          </w:p>
          <w:p w:rsidR="005C3150" w:rsidRPr="00364919" w:rsidRDefault="005C3150" w:rsidP="004E3FEF">
            <w:pPr>
              <w:pStyle w:val="BodyText"/>
              <w:spacing w:before="100" w:line="260" w:lineRule="atLeast"/>
              <w:jc w:val="left"/>
              <w:rPr>
                <w:rFonts w:ascii="Arial" w:hAnsi="Arial" w:cs="Arial"/>
                <w:sz w:val="20"/>
              </w:rPr>
            </w:pPr>
            <w:r w:rsidRPr="00364919">
              <w:rPr>
                <w:rFonts w:ascii="Arial" w:hAnsi="Arial" w:cs="Arial"/>
                <w:sz w:val="20"/>
              </w:rPr>
              <w:t>Figure 3</w:t>
            </w:r>
            <w:r w:rsidR="00A169D6" w:rsidRPr="00364919">
              <w:rPr>
                <w:rFonts w:ascii="Arial" w:hAnsi="Arial" w:cs="Arial"/>
                <w:sz w:val="20"/>
              </w:rPr>
              <w:t>.</w:t>
            </w:r>
            <w:r w:rsidR="00425A83">
              <w:rPr>
                <w:rFonts w:ascii="Arial" w:hAnsi="Arial" w:cs="Arial"/>
                <w:sz w:val="20"/>
              </w:rPr>
              <w:t>2</w:t>
            </w:r>
            <w:r w:rsidR="00A169D6" w:rsidRPr="00364919">
              <w:rPr>
                <w:rFonts w:ascii="Arial" w:hAnsi="Arial" w:cs="Arial"/>
                <w:sz w:val="20"/>
              </w:rPr>
              <w:t xml:space="preserve"> (p. 1</w:t>
            </w:r>
            <w:r w:rsidRPr="00364919">
              <w:rPr>
                <w:rFonts w:ascii="Arial" w:hAnsi="Arial" w:cs="Arial"/>
                <w:sz w:val="20"/>
              </w:rPr>
              <w:t>3</w:t>
            </w:r>
            <w:r w:rsidR="00425A83">
              <w:rPr>
                <w:rFonts w:ascii="Arial" w:hAnsi="Arial" w:cs="Arial"/>
                <w:sz w:val="20"/>
              </w:rPr>
              <w:t>3</w:t>
            </w:r>
            <w:r w:rsidR="00A169D6" w:rsidRPr="00364919">
              <w:rPr>
                <w:rFonts w:ascii="Arial" w:hAnsi="Arial" w:cs="Arial"/>
                <w:sz w:val="20"/>
              </w:rPr>
              <w:t>)</w:t>
            </w:r>
            <w:r w:rsidR="004E3FEF">
              <w:rPr>
                <w:rFonts w:ascii="Arial" w:hAnsi="Arial" w:cs="Arial"/>
                <w:sz w:val="20"/>
              </w:rPr>
              <w:br/>
            </w:r>
            <w:r w:rsidR="004E3FEF">
              <w:rPr>
                <w:rFonts w:ascii="Arial" w:hAnsi="Arial" w:cs="Arial"/>
                <w:sz w:val="20"/>
              </w:rPr>
              <w:br/>
            </w:r>
            <w:r w:rsidR="004E3FEF">
              <w:rPr>
                <w:rFonts w:ascii="Arial" w:hAnsi="Arial" w:cs="Arial"/>
                <w:sz w:val="20"/>
              </w:rPr>
              <w:br/>
            </w:r>
            <w:r w:rsidR="004E3FEF">
              <w:rPr>
                <w:rFonts w:ascii="Arial" w:hAnsi="Arial" w:cs="Arial"/>
                <w:sz w:val="20"/>
              </w:rPr>
              <w:br/>
            </w:r>
          </w:p>
          <w:p w:rsidR="00A97571" w:rsidRDefault="00A169D6" w:rsidP="004E3FEF">
            <w:pPr>
              <w:pStyle w:val="BodyText"/>
              <w:spacing w:before="100" w:line="260" w:lineRule="atLeast"/>
              <w:jc w:val="left"/>
              <w:rPr>
                <w:rFonts w:ascii="Arial" w:hAnsi="Arial" w:cs="Arial"/>
                <w:sz w:val="20"/>
              </w:rPr>
            </w:pPr>
            <w:r w:rsidRPr="00364919">
              <w:rPr>
                <w:rFonts w:ascii="Arial" w:hAnsi="Arial" w:cs="Arial"/>
                <w:sz w:val="20"/>
              </w:rPr>
              <w:t xml:space="preserve">Figure </w:t>
            </w:r>
            <w:r w:rsidR="005C3150" w:rsidRPr="00364919">
              <w:rPr>
                <w:rFonts w:ascii="Arial" w:hAnsi="Arial" w:cs="Arial"/>
                <w:sz w:val="20"/>
              </w:rPr>
              <w:t>3.9</w:t>
            </w:r>
            <w:r w:rsidRPr="00364919">
              <w:rPr>
                <w:rFonts w:ascii="Arial" w:hAnsi="Arial" w:cs="Arial"/>
                <w:sz w:val="20"/>
              </w:rPr>
              <w:t xml:space="preserve"> (p. 1</w:t>
            </w:r>
            <w:r w:rsidR="005C3150" w:rsidRPr="00364919">
              <w:rPr>
                <w:rFonts w:ascii="Arial" w:hAnsi="Arial" w:cs="Arial"/>
                <w:sz w:val="20"/>
              </w:rPr>
              <w:t>42</w:t>
            </w:r>
            <w:r w:rsidRPr="00364919">
              <w:rPr>
                <w:rFonts w:ascii="Arial" w:hAnsi="Arial" w:cs="Arial"/>
                <w:sz w:val="20"/>
              </w:rPr>
              <w:t>)</w:t>
            </w:r>
            <w:r w:rsidR="00A97571">
              <w:rPr>
                <w:rFonts w:ascii="Arial" w:hAnsi="Arial" w:cs="Arial"/>
                <w:sz w:val="20"/>
              </w:rPr>
              <w:br/>
            </w:r>
            <w:r w:rsidR="004E3FEF">
              <w:rPr>
                <w:rFonts w:ascii="Arial" w:hAnsi="Arial" w:cs="Arial"/>
                <w:sz w:val="20"/>
              </w:rPr>
              <w:br/>
            </w:r>
          </w:p>
          <w:p w:rsidR="004E3FEF" w:rsidRDefault="004E3FEF" w:rsidP="004E3FEF">
            <w:pPr>
              <w:pStyle w:val="BodyText"/>
              <w:spacing w:before="100" w:line="260" w:lineRule="atLeast"/>
              <w:jc w:val="left"/>
              <w:rPr>
                <w:rFonts w:ascii="Arial" w:hAnsi="Arial" w:cs="Arial"/>
                <w:sz w:val="20"/>
              </w:rPr>
            </w:pPr>
          </w:p>
          <w:p w:rsidR="00A169D6" w:rsidRPr="00364919" w:rsidRDefault="00A169D6" w:rsidP="004E3FEF">
            <w:pPr>
              <w:pStyle w:val="BodyText"/>
              <w:spacing w:before="100" w:line="260" w:lineRule="atLeast"/>
              <w:jc w:val="left"/>
              <w:rPr>
                <w:rFonts w:ascii="Arial" w:hAnsi="Arial" w:cs="Arial"/>
                <w:sz w:val="20"/>
              </w:rPr>
            </w:pPr>
            <w:r w:rsidRPr="00364919">
              <w:rPr>
                <w:rFonts w:ascii="Arial" w:hAnsi="Arial" w:cs="Arial"/>
                <w:sz w:val="20"/>
              </w:rPr>
              <w:t xml:space="preserve">Figure </w:t>
            </w:r>
            <w:r w:rsidR="005C3150" w:rsidRPr="00364919">
              <w:rPr>
                <w:rFonts w:ascii="Arial" w:hAnsi="Arial" w:cs="Arial"/>
                <w:sz w:val="20"/>
              </w:rPr>
              <w:t>3.5 (p. 137)</w:t>
            </w:r>
            <w:r w:rsidR="004E3FEF">
              <w:rPr>
                <w:rFonts w:ascii="Arial" w:hAnsi="Arial" w:cs="Arial"/>
                <w:sz w:val="20"/>
              </w:rPr>
              <w:br/>
            </w:r>
            <w:r w:rsidR="004E3FEF">
              <w:rPr>
                <w:rFonts w:ascii="Arial" w:hAnsi="Arial" w:cs="Arial"/>
                <w:sz w:val="20"/>
              </w:rPr>
              <w:br/>
            </w:r>
          </w:p>
          <w:p w:rsidR="00A169D6" w:rsidRPr="00364919" w:rsidRDefault="005C3150" w:rsidP="004E3FEF">
            <w:pPr>
              <w:pStyle w:val="BodyText"/>
              <w:spacing w:before="100" w:line="260" w:lineRule="atLeast"/>
              <w:jc w:val="left"/>
              <w:rPr>
                <w:rFonts w:ascii="Arial" w:hAnsi="Arial" w:cs="Arial"/>
                <w:sz w:val="20"/>
              </w:rPr>
            </w:pPr>
            <w:r w:rsidRPr="00364919">
              <w:rPr>
                <w:rFonts w:ascii="Arial" w:hAnsi="Arial" w:cs="Arial"/>
                <w:sz w:val="20"/>
              </w:rPr>
              <w:t>Figure 3.1</w:t>
            </w:r>
            <w:r w:rsidR="00A97571">
              <w:rPr>
                <w:rFonts w:ascii="Arial" w:hAnsi="Arial" w:cs="Arial"/>
                <w:sz w:val="20"/>
              </w:rPr>
              <w:t>3</w:t>
            </w:r>
            <w:r w:rsidRPr="00364919">
              <w:rPr>
                <w:rFonts w:ascii="Arial" w:hAnsi="Arial" w:cs="Arial"/>
                <w:sz w:val="20"/>
              </w:rPr>
              <w:t xml:space="preserve"> (</w:t>
            </w:r>
            <w:r w:rsidR="00A169D6" w:rsidRPr="00364919">
              <w:rPr>
                <w:rFonts w:ascii="Arial" w:hAnsi="Arial" w:cs="Arial"/>
                <w:sz w:val="20"/>
              </w:rPr>
              <w:t>p</w:t>
            </w:r>
            <w:r w:rsidRPr="00364919">
              <w:rPr>
                <w:rFonts w:ascii="Arial" w:hAnsi="Arial" w:cs="Arial"/>
                <w:sz w:val="20"/>
              </w:rPr>
              <w:t>. </w:t>
            </w:r>
            <w:r w:rsidR="00A169D6" w:rsidRPr="00364919">
              <w:rPr>
                <w:rFonts w:ascii="Arial" w:hAnsi="Arial" w:cs="Arial"/>
                <w:sz w:val="20"/>
              </w:rPr>
              <w:t xml:space="preserve"> </w:t>
            </w:r>
            <w:r w:rsidRPr="00364919">
              <w:rPr>
                <w:rFonts w:ascii="Arial" w:hAnsi="Arial" w:cs="Arial"/>
                <w:sz w:val="20"/>
              </w:rPr>
              <w:t>14</w:t>
            </w:r>
            <w:r w:rsidR="00A97571">
              <w:rPr>
                <w:rFonts w:ascii="Arial" w:hAnsi="Arial" w:cs="Arial"/>
                <w:sz w:val="20"/>
              </w:rPr>
              <w:t>8</w:t>
            </w:r>
            <w:r w:rsidRPr="00364919">
              <w:rPr>
                <w:rFonts w:ascii="Arial" w:hAnsi="Arial" w:cs="Arial"/>
                <w:sz w:val="20"/>
              </w:rPr>
              <w:t>)</w:t>
            </w:r>
            <w:r w:rsidR="004E3FEF">
              <w:rPr>
                <w:rFonts w:ascii="Arial" w:hAnsi="Arial" w:cs="Arial"/>
                <w:sz w:val="20"/>
              </w:rPr>
              <w:br/>
            </w:r>
          </w:p>
          <w:p w:rsidR="00A169D6" w:rsidRPr="00364919" w:rsidRDefault="00A169D6" w:rsidP="004E3FEF">
            <w:pPr>
              <w:pStyle w:val="BodyText"/>
              <w:spacing w:before="100" w:line="260" w:lineRule="atLeast"/>
              <w:jc w:val="left"/>
              <w:rPr>
                <w:rFonts w:ascii="Arial" w:hAnsi="Arial" w:cs="Arial"/>
                <w:sz w:val="20"/>
              </w:rPr>
            </w:pPr>
            <w:r w:rsidRPr="00364919">
              <w:rPr>
                <w:rFonts w:ascii="Arial" w:hAnsi="Arial" w:cs="Arial"/>
                <w:sz w:val="20"/>
              </w:rPr>
              <w:t xml:space="preserve">Figure </w:t>
            </w:r>
            <w:r w:rsidR="005C3150" w:rsidRPr="00364919">
              <w:rPr>
                <w:rFonts w:ascii="Arial" w:hAnsi="Arial" w:cs="Arial"/>
                <w:sz w:val="20"/>
              </w:rPr>
              <w:t>3.17</w:t>
            </w:r>
            <w:r w:rsidRPr="00364919">
              <w:rPr>
                <w:rFonts w:ascii="Arial" w:hAnsi="Arial" w:cs="Arial"/>
                <w:sz w:val="20"/>
              </w:rPr>
              <w:t xml:space="preserve"> (p. 1</w:t>
            </w:r>
            <w:r w:rsidR="005C3150" w:rsidRPr="00364919">
              <w:rPr>
                <w:rFonts w:ascii="Arial" w:hAnsi="Arial" w:cs="Arial"/>
                <w:sz w:val="20"/>
              </w:rPr>
              <w:t>54</w:t>
            </w:r>
            <w:r w:rsidRPr="00364919">
              <w:rPr>
                <w:rFonts w:ascii="Arial" w:hAnsi="Arial" w:cs="Arial"/>
                <w:sz w:val="20"/>
              </w:rPr>
              <w:t>)</w:t>
            </w:r>
            <w:r w:rsidR="004E3FEF">
              <w:rPr>
                <w:rFonts w:ascii="Arial" w:hAnsi="Arial" w:cs="Arial"/>
                <w:sz w:val="20"/>
              </w:rPr>
              <w:br/>
            </w:r>
            <w:r w:rsidR="004E3FEF">
              <w:rPr>
                <w:rFonts w:ascii="Arial" w:hAnsi="Arial" w:cs="Arial"/>
                <w:sz w:val="20"/>
              </w:rPr>
              <w:br/>
            </w:r>
            <w:r w:rsidR="004E3FEF">
              <w:rPr>
                <w:rFonts w:ascii="Arial" w:hAnsi="Arial" w:cs="Arial"/>
                <w:sz w:val="20"/>
              </w:rPr>
              <w:br/>
            </w:r>
            <w:r w:rsidR="004E3FEF">
              <w:rPr>
                <w:rFonts w:ascii="Arial" w:hAnsi="Arial" w:cs="Arial"/>
                <w:sz w:val="20"/>
              </w:rPr>
              <w:br/>
            </w:r>
          </w:p>
          <w:p w:rsidR="00A97571" w:rsidRDefault="00A97571" w:rsidP="004E3FEF">
            <w:pPr>
              <w:pStyle w:val="BodyText"/>
              <w:spacing w:before="100" w:line="260" w:lineRule="atLeast"/>
              <w:jc w:val="left"/>
              <w:rPr>
                <w:rFonts w:ascii="Arial" w:hAnsi="Arial" w:cs="Arial"/>
                <w:sz w:val="20"/>
              </w:rPr>
            </w:pPr>
            <w:r>
              <w:rPr>
                <w:rFonts w:ascii="Arial" w:hAnsi="Arial" w:cs="Arial"/>
                <w:sz w:val="20"/>
              </w:rPr>
              <w:t>Figure 3.22 (p. 161)</w:t>
            </w:r>
          </w:p>
          <w:p w:rsidR="00A169D6" w:rsidRPr="00364919" w:rsidRDefault="00A169D6" w:rsidP="004E3FEF">
            <w:pPr>
              <w:pStyle w:val="BodyText"/>
              <w:spacing w:before="100" w:line="260" w:lineRule="atLeast"/>
              <w:jc w:val="left"/>
            </w:pPr>
            <w:r w:rsidRPr="00364919">
              <w:rPr>
                <w:rFonts w:ascii="Arial" w:hAnsi="Arial" w:cs="Arial"/>
                <w:sz w:val="20"/>
              </w:rPr>
              <w:t xml:space="preserve">Figure </w:t>
            </w:r>
            <w:r w:rsidR="005C3150" w:rsidRPr="00364919">
              <w:rPr>
                <w:rFonts w:ascii="Arial" w:hAnsi="Arial" w:cs="Arial"/>
                <w:sz w:val="20"/>
              </w:rPr>
              <w:t>3.24</w:t>
            </w:r>
            <w:r w:rsidRPr="00364919">
              <w:rPr>
                <w:rFonts w:ascii="Arial" w:hAnsi="Arial" w:cs="Arial"/>
                <w:sz w:val="20"/>
              </w:rPr>
              <w:t xml:space="preserve"> (p. 1</w:t>
            </w:r>
            <w:r w:rsidR="005C3150" w:rsidRPr="00364919">
              <w:rPr>
                <w:rFonts w:ascii="Arial" w:hAnsi="Arial" w:cs="Arial"/>
                <w:sz w:val="20"/>
              </w:rPr>
              <w:t>65</w:t>
            </w:r>
            <w:r w:rsidRPr="00364919">
              <w:rPr>
                <w:rFonts w:ascii="Arial" w:hAnsi="Arial" w:cs="Arial"/>
                <w:sz w:val="20"/>
              </w:rPr>
              <w:t>)</w:t>
            </w:r>
          </w:p>
        </w:tc>
      </w:tr>
      <w:tr w:rsidR="00A169D6" w:rsidTr="001C5DE8">
        <w:tc>
          <w:tcPr>
            <w:tcW w:w="3966" w:type="pct"/>
            <w:tcBorders>
              <w:top w:val="nil"/>
              <w:left w:val="nil"/>
              <w:bottom w:val="single" w:sz="12" w:space="0" w:color="66BCDB" w:themeColor="text2"/>
              <w:right w:val="nil"/>
            </w:tcBorders>
            <w:shd w:val="clear" w:color="auto" w:fill="F2F2F2"/>
          </w:tcPr>
          <w:p w:rsidR="00A169D6" w:rsidRDefault="00A169D6" w:rsidP="00827EFE">
            <w:pPr>
              <w:pStyle w:val="Box"/>
              <w:spacing w:before="0" w:line="120" w:lineRule="exact"/>
            </w:pPr>
          </w:p>
        </w:tc>
        <w:tc>
          <w:tcPr>
            <w:tcW w:w="194" w:type="pct"/>
            <w:tcBorders>
              <w:top w:val="nil"/>
              <w:left w:val="nil"/>
              <w:bottom w:val="nil"/>
              <w:right w:val="nil"/>
            </w:tcBorders>
            <w:shd w:val="clear" w:color="auto" w:fill="FFFFFF" w:themeFill="background1"/>
          </w:tcPr>
          <w:p w:rsidR="00A169D6" w:rsidRDefault="00A169D6" w:rsidP="00827EFE">
            <w:pPr>
              <w:pStyle w:val="Box"/>
              <w:spacing w:before="0" w:line="120" w:lineRule="exact"/>
            </w:pPr>
          </w:p>
        </w:tc>
        <w:tc>
          <w:tcPr>
            <w:tcW w:w="840" w:type="pct"/>
            <w:tcBorders>
              <w:top w:val="nil"/>
              <w:left w:val="nil"/>
              <w:bottom w:val="single" w:sz="12" w:space="0" w:color="66BCDB" w:themeColor="text2"/>
              <w:right w:val="nil"/>
            </w:tcBorders>
            <w:shd w:val="clear" w:color="auto" w:fill="F2F2F2"/>
          </w:tcPr>
          <w:p w:rsidR="00A169D6" w:rsidRDefault="00A169D6" w:rsidP="0064694C">
            <w:pPr>
              <w:pStyle w:val="Box"/>
              <w:spacing w:before="0" w:line="120" w:lineRule="exact"/>
              <w:jc w:val="left"/>
            </w:pPr>
          </w:p>
        </w:tc>
      </w:tr>
      <w:tr w:rsidR="00264FC9" w:rsidRPr="00264FC9" w:rsidTr="001C5DE8">
        <w:tc>
          <w:tcPr>
            <w:tcW w:w="3966" w:type="pct"/>
            <w:tcBorders>
              <w:top w:val="single" w:sz="12" w:space="0" w:color="66BCDB" w:themeColor="text2"/>
              <w:left w:val="nil"/>
              <w:bottom w:val="nil"/>
              <w:right w:val="nil"/>
            </w:tcBorders>
            <w:shd w:val="clear" w:color="auto" w:fill="F2F2F2"/>
          </w:tcPr>
          <w:p w:rsidR="008E7584" w:rsidRPr="00264FC9" w:rsidRDefault="008E7584" w:rsidP="008E7584">
            <w:pPr>
              <w:pStyle w:val="BoxTitle"/>
            </w:pPr>
            <w:r w:rsidRPr="00264FC9">
              <w:lastRenderedPageBreak/>
              <w:t>Chapter 4: Are members’ needs being met?</w:t>
            </w:r>
          </w:p>
        </w:tc>
        <w:tc>
          <w:tcPr>
            <w:tcW w:w="194" w:type="pct"/>
            <w:tcBorders>
              <w:top w:val="nil"/>
              <w:left w:val="nil"/>
              <w:bottom w:val="nil"/>
              <w:right w:val="nil"/>
            </w:tcBorders>
            <w:shd w:val="clear" w:color="auto" w:fill="FFFFFF" w:themeFill="background1"/>
          </w:tcPr>
          <w:p w:rsidR="008E7584" w:rsidRPr="00264FC9" w:rsidRDefault="008E7584" w:rsidP="00164848">
            <w:pPr>
              <w:pStyle w:val="BoxTitle"/>
            </w:pPr>
          </w:p>
        </w:tc>
        <w:tc>
          <w:tcPr>
            <w:tcW w:w="840" w:type="pct"/>
            <w:tcBorders>
              <w:top w:val="single" w:sz="12" w:space="0" w:color="66BCDB" w:themeColor="text2"/>
              <w:left w:val="nil"/>
              <w:bottom w:val="nil"/>
              <w:right w:val="nil"/>
            </w:tcBorders>
            <w:shd w:val="clear" w:color="auto" w:fill="F2F2F2"/>
          </w:tcPr>
          <w:p w:rsidR="008E7584" w:rsidRPr="00264FC9" w:rsidRDefault="008E7584" w:rsidP="0064694C">
            <w:pPr>
              <w:pStyle w:val="BoxTitle"/>
            </w:pPr>
            <w:r w:rsidRPr="00264FC9">
              <w:t>For more</w:t>
            </w:r>
          </w:p>
        </w:tc>
      </w:tr>
      <w:tr w:rsidR="00E853E7" w:rsidRPr="00E853E7" w:rsidTr="008E7584">
        <w:tc>
          <w:tcPr>
            <w:tcW w:w="3966" w:type="pct"/>
            <w:tcBorders>
              <w:top w:val="nil"/>
              <w:left w:val="nil"/>
              <w:bottom w:val="nil"/>
              <w:right w:val="nil"/>
            </w:tcBorders>
            <w:shd w:val="clear" w:color="auto" w:fill="F2F2F2"/>
          </w:tcPr>
          <w:p w:rsidR="008E7584" w:rsidRDefault="008E7584" w:rsidP="00264FC9">
            <w:pPr>
              <w:pStyle w:val="KeyPointsListBullet"/>
            </w:pPr>
            <w:r>
              <w:t>Much of the superannuation system is failing to deliver the right products and services to its members. Given a maturing system, the financial stakes and the need to give more weight to the drawdown (decumulation) phase, this failure is likely to be accentuated over time.</w:t>
            </w:r>
          </w:p>
          <w:p w:rsidR="008E7584" w:rsidRDefault="008E7584" w:rsidP="00264FC9">
            <w:pPr>
              <w:pStyle w:val="KeyPointsListBullet"/>
            </w:pPr>
            <w:r w:rsidRPr="006727C6">
              <w:t xml:space="preserve">The irony of the system is that if anything, products are most complex during accumulation and most simple in retirement </w:t>
            </w:r>
            <w:r>
              <w:t>—</w:t>
            </w:r>
            <w:r w:rsidRPr="006727C6">
              <w:t xml:space="preserve"> when the converse constellation is needed for most.</w:t>
            </w:r>
          </w:p>
          <w:p w:rsidR="008E7584" w:rsidRDefault="008E7584" w:rsidP="00264FC9">
            <w:pPr>
              <w:pStyle w:val="KeyPointsListBullet"/>
            </w:pPr>
            <w:r>
              <w:t>The proliferation of little</w:t>
            </w:r>
            <w:r>
              <w:noBreakHyphen/>
              <w:t>used and complex investment options (some 40 000 in 2016) in the choice segment of the market collectively appear to increase fees and to lower members’ net returns (potentially reducing the retirement balance of a member in a high</w:t>
            </w:r>
            <w:r>
              <w:noBreakHyphen/>
              <w:t>option fund by much more than $100 000). And it is a sign of unhealthy competition.</w:t>
            </w:r>
          </w:p>
          <w:p w:rsidR="008E7584" w:rsidRDefault="008E7584" w:rsidP="00264FC9">
            <w:pPr>
              <w:pStyle w:val="KeyPointsListBullet"/>
            </w:pPr>
            <w:r>
              <w:t>C</w:t>
            </w:r>
            <w:r w:rsidRPr="00BA1CFB">
              <w:t>ognitive vulnerabilities may be at play in understanding the attractiveness of complex products to people, and why a fund is able to extract higher fees by offering them, even if on average, the gross return is not high enough to fund that premium.</w:t>
            </w:r>
            <w:r>
              <w:t xml:space="preserve"> </w:t>
            </w:r>
          </w:p>
          <w:p w:rsidR="008E7584" w:rsidRDefault="008E7584" w:rsidP="00264FC9">
            <w:pPr>
              <w:pStyle w:val="KeyPointsListBullet"/>
            </w:pPr>
            <w:r>
              <w:t>The last few years of the accumulation phase are critical. Balances are high at this time. Reducing sequencing risk by switching to a conservative investment strategy at older ages could potentially reduce the retirement balance of a member by about $130 000, a significant sacrifice for a relatively small improvement in certainty. Life</w:t>
            </w:r>
            <w:r>
              <w:noBreakHyphen/>
              <w:t>cycle products will not suit many people, especially, as people can continue to accumulate savings after retirement, bringing into question the inclusion of ‘one</w:t>
            </w:r>
            <w:r>
              <w:noBreakHyphen/>
              <w:t>size</w:t>
            </w:r>
            <w:r>
              <w:noBreakHyphen/>
              <w:t>fits</w:t>
            </w:r>
            <w:r>
              <w:noBreakHyphen/>
              <w:t>all’ life</w:t>
            </w:r>
            <w:r>
              <w:noBreakHyphen/>
              <w:t>cycle products into MySuper. ‘Smarter’ MySuper life</w:t>
            </w:r>
            <w:r>
              <w:noBreakHyphen/>
              <w:t>cycle options can be designed, but first need trialling in the choice segment.</w:t>
            </w:r>
          </w:p>
          <w:p w:rsidR="00264FC9" w:rsidRDefault="00264FC9" w:rsidP="00264FC9">
            <w:pPr>
              <w:pStyle w:val="KeyPointsListBullet"/>
            </w:pPr>
            <w:r>
              <w:t>There has been low take up of annuity</w:t>
            </w:r>
            <w:r>
              <w:noBreakHyphen/>
              <w:t>based retirement income products in the decumulation phase. Untangling why this holds is challenging, and may reflect:</w:t>
            </w:r>
          </w:p>
          <w:p w:rsidR="00264FC9" w:rsidRDefault="00264FC9" w:rsidP="00264FC9">
            <w:pPr>
              <w:pStyle w:val="KeyPointsListBullet2"/>
            </w:pPr>
            <w:r>
              <w:t>that account</w:t>
            </w:r>
            <w:r>
              <w:noBreakHyphen/>
              <w:t>based pensions (used by the bulk of retirees) will suit many due to their flexibility and people’s capacity to access the Age Pension to insure against longevity risk</w:t>
            </w:r>
          </w:p>
          <w:p w:rsidR="00264FC9" w:rsidRDefault="00264FC9" w:rsidP="00264FC9">
            <w:pPr>
              <w:pStyle w:val="KeyPointsListBullet2"/>
            </w:pPr>
            <w:r>
              <w:t>behavioural biases, lack of understanding about their benefits, and the legacy of (now largely dismantled) regulatory impediments</w:t>
            </w:r>
          </w:p>
          <w:p w:rsidR="008E7584" w:rsidRPr="008E7584" w:rsidRDefault="00264FC9" w:rsidP="00264FC9">
            <w:pPr>
              <w:pStyle w:val="KeyPointsListBullet2"/>
            </w:pPr>
            <w:r>
              <w:t>relatively expensive product offerings alongside just a few vendors, which is now changing.</w:t>
            </w:r>
          </w:p>
        </w:tc>
        <w:tc>
          <w:tcPr>
            <w:tcW w:w="194" w:type="pct"/>
            <w:tcBorders>
              <w:top w:val="nil"/>
              <w:left w:val="nil"/>
              <w:bottom w:val="nil"/>
              <w:right w:val="nil"/>
            </w:tcBorders>
            <w:shd w:val="clear" w:color="auto" w:fill="FFFFFF" w:themeFill="background1"/>
          </w:tcPr>
          <w:p w:rsidR="008E7584" w:rsidRPr="008E7584" w:rsidRDefault="008E7584" w:rsidP="00164848">
            <w:pPr>
              <w:pStyle w:val="BoxListBullet"/>
              <w:numPr>
                <w:ilvl w:val="0"/>
                <w:numId w:val="0"/>
              </w:numPr>
              <w:ind w:left="284"/>
              <w:rPr>
                <w:color w:val="F15A25" w:themeColor="accent4"/>
              </w:rPr>
            </w:pPr>
          </w:p>
        </w:tc>
        <w:tc>
          <w:tcPr>
            <w:tcW w:w="840" w:type="pct"/>
            <w:tcBorders>
              <w:top w:val="nil"/>
              <w:left w:val="nil"/>
              <w:bottom w:val="nil"/>
              <w:right w:val="nil"/>
            </w:tcBorders>
            <w:shd w:val="clear" w:color="auto" w:fill="F2F2F2"/>
          </w:tcPr>
          <w:p w:rsidR="002D17B9" w:rsidRDefault="004E3FEF" w:rsidP="004E3FEF">
            <w:pPr>
              <w:pStyle w:val="BodyText"/>
              <w:spacing w:before="100" w:line="260" w:lineRule="atLeast"/>
              <w:jc w:val="left"/>
              <w:rPr>
                <w:rFonts w:ascii="Arial" w:hAnsi="Arial" w:cs="Arial"/>
                <w:sz w:val="20"/>
              </w:rPr>
            </w:pPr>
            <w:r>
              <w:rPr>
                <w:rFonts w:ascii="Arial" w:hAnsi="Arial" w:cs="Arial"/>
                <w:sz w:val="20"/>
              </w:rPr>
              <w:br/>
            </w:r>
            <w:r>
              <w:rPr>
                <w:rFonts w:ascii="Arial" w:hAnsi="Arial" w:cs="Arial"/>
                <w:sz w:val="20"/>
              </w:rPr>
              <w:br/>
            </w:r>
            <w:r>
              <w:rPr>
                <w:rFonts w:ascii="Arial" w:hAnsi="Arial" w:cs="Arial"/>
                <w:sz w:val="20"/>
              </w:rPr>
              <w:br/>
            </w:r>
          </w:p>
          <w:p w:rsidR="002D17B9" w:rsidRDefault="004E3FEF" w:rsidP="004E3FEF">
            <w:pPr>
              <w:pStyle w:val="BodyText"/>
              <w:spacing w:before="100" w:line="260" w:lineRule="atLeast"/>
              <w:jc w:val="left"/>
              <w:rPr>
                <w:rFonts w:ascii="Arial" w:hAnsi="Arial" w:cs="Arial"/>
                <w:sz w:val="20"/>
              </w:rPr>
            </w:pPr>
            <w:r>
              <w:rPr>
                <w:rFonts w:ascii="Arial" w:hAnsi="Arial" w:cs="Arial"/>
                <w:sz w:val="20"/>
              </w:rPr>
              <w:br/>
            </w:r>
            <w:r>
              <w:rPr>
                <w:rFonts w:ascii="Arial" w:hAnsi="Arial" w:cs="Arial"/>
                <w:sz w:val="20"/>
              </w:rPr>
              <w:br/>
            </w:r>
          </w:p>
          <w:p w:rsidR="008E7584" w:rsidRPr="00E853E7" w:rsidRDefault="002F0301" w:rsidP="004E3FEF">
            <w:pPr>
              <w:pStyle w:val="BodyText"/>
              <w:spacing w:before="100" w:line="260" w:lineRule="atLeast"/>
              <w:jc w:val="left"/>
              <w:rPr>
                <w:rFonts w:ascii="Arial" w:hAnsi="Arial" w:cs="Arial"/>
                <w:sz w:val="20"/>
              </w:rPr>
            </w:pPr>
            <w:r w:rsidRPr="00E853E7">
              <w:rPr>
                <w:rFonts w:ascii="Arial" w:hAnsi="Arial" w:cs="Arial"/>
                <w:sz w:val="20"/>
              </w:rPr>
              <w:t>pp. 17</w:t>
            </w:r>
            <w:r w:rsidR="00730360">
              <w:rPr>
                <w:rFonts w:ascii="Arial" w:hAnsi="Arial" w:cs="Arial"/>
                <w:sz w:val="20"/>
              </w:rPr>
              <w:t>7</w:t>
            </w:r>
            <w:r w:rsidRPr="00E853E7">
              <w:rPr>
                <w:rFonts w:ascii="Arial" w:hAnsi="Arial" w:cs="Arial"/>
                <w:sz w:val="20"/>
              </w:rPr>
              <w:t>-</w:t>
            </w:r>
            <w:r w:rsidR="00730360" w:rsidRPr="00E853E7">
              <w:rPr>
                <w:rFonts w:ascii="Arial" w:hAnsi="Arial" w:cs="Arial"/>
                <w:sz w:val="20"/>
              </w:rPr>
              <w:t>1</w:t>
            </w:r>
            <w:r w:rsidR="00730360">
              <w:rPr>
                <w:rFonts w:ascii="Arial" w:hAnsi="Arial" w:cs="Arial"/>
                <w:sz w:val="20"/>
              </w:rPr>
              <w:t>81</w:t>
            </w:r>
            <w:r w:rsidR="00E853E7" w:rsidRPr="00E853E7">
              <w:rPr>
                <w:rFonts w:ascii="Arial" w:hAnsi="Arial" w:cs="Arial"/>
                <w:sz w:val="20"/>
              </w:rPr>
              <w:t>; figure 4.5</w:t>
            </w:r>
            <w:r w:rsidR="001A4538">
              <w:rPr>
                <w:rFonts w:ascii="Arial" w:hAnsi="Arial" w:cs="Arial"/>
                <w:sz w:val="20"/>
              </w:rPr>
              <w:t xml:space="preserve"> (p. 180)</w:t>
            </w:r>
            <w:r w:rsidR="004E3FEF">
              <w:rPr>
                <w:rFonts w:ascii="Arial" w:hAnsi="Arial" w:cs="Arial"/>
                <w:sz w:val="20"/>
              </w:rPr>
              <w:br/>
            </w:r>
            <w:r w:rsidR="004E3FEF">
              <w:rPr>
                <w:rFonts w:ascii="Arial" w:hAnsi="Arial" w:cs="Arial"/>
                <w:sz w:val="20"/>
              </w:rPr>
              <w:br/>
            </w:r>
          </w:p>
          <w:p w:rsidR="004E3FEF" w:rsidRDefault="008E7584" w:rsidP="004E3FEF">
            <w:pPr>
              <w:pStyle w:val="BodyText"/>
              <w:spacing w:before="100" w:line="260" w:lineRule="atLeast"/>
              <w:jc w:val="left"/>
              <w:rPr>
                <w:rFonts w:ascii="Arial" w:hAnsi="Arial" w:cs="Arial"/>
                <w:sz w:val="20"/>
              </w:rPr>
            </w:pPr>
            <w:r w:rsidRPr="00E853E7">
              <w:rPr>
                <w:rFonts w:ascii="Arial" w:hAnsi="Arial" w:cs="Arial"/>
                <w:sz w:val="20"/>
              </w:rPr>
              <w:t>pp. 1</w:t>
            </w:r>
            <w:r w:rsidR="002F0301" w:rsidRPr="00E853E7">
              <w:rPr>
                <w:rFonts w:ascii="Arial" w:hAnsi="Arial" w:cs="Arial"/>
                <w:sz w:val="20"/>
              </w:rPr>
              <w:t>82-</w:t>
            </w:r>
            <w:r w:rsidR="00730360" w:rsidRPr="00E853E7">
              <w:rPr>
                <w:rFonts w:ascii="Arial" w:hAnsi="Arial" w:cs="Arial"/>
                <w:sz w:val="20"/>
              </w:rPr>
              <w:t>18</w:t>
            </w:r>
            <w:r w:rsidR="00730360">
              <w:rPr>
                <w:rFonts w:ascii="Arial" w:hAnsi="Arial" w:cs="Arial"/>
                <w:sz w:val="20"/>
              </w:rPr>
              <w:t>3</w:t>
            </w:r>
            <w:r w:rsidR="004E3FEF">
              <w:rPr>
                <w:rFonts w:ascii="Arial" w:hAnsi="Arial" w:cs="Arial"/>
                <w:sz w:val="20"/>
              </w:rPr>
              <w:br/>
            </w:r>
            <w:r w:rsidR="005172FA" w:rsidRPr="00E853E7">
              <w:rPr>
                <w:rFonts w:ascii="Arial" w:hAnsi="Arial" w:cs="Arial"/>
                <w:sz w:val="20"/>
              </w:rPr>
              <w:br/>
            </w:r>
            <w:r w:rsidR="00EF47D4">
              <w:rPr>
                <w:rFonts w:ascii="Arial" w:hAnsi="Arial" w:cs="Arial"/>
                <w:sz w:val="20"/>
              </w:rPr>
              <w:br/>
            </w:r>
          </w:p>
          <w:p w:rsidR="008E7584" w:rsidRDefault="002F0301" w:rsidP="004E3FEF">
            <w:pPr>
              <w:pStyle w:val="BodyText"/>
              <w:spacing w:before="100" w:line="260" w:lineRule="atLeast"/>
              <w:jc w:val="left"/>
              <w:rPr>
                <w:rFonts w:ascii="Arial" w:hAnsi="Arial" w:cs="Arial"/>
                <w:sz w:val="20"/>
              </w:rPr>
            </w:pPr>
            <w:r w:rsidRPr="00E853E7">
              <w:rPr>
                <w:rFonts w:ascii="Arial" w:hAnsi="Arial" w:cs="Arial"/>
                <w:sz w:val="20"/>
              </w:rPr>
              <w:t>pp. 190-19</w:t>
            </w:r>
            <w:r w:rsidR="00EF47D4">
              <w:rPr>
                <w:rFonts w:ascii="Arial" w:hAnsi="Arial" w:cs="Arial"/>
                <w:sz w:val="20"/>
              </w:rPr>
              <w:t>3</w:t>
            </w:r>
            <w:r w:rsidR="00E853E7" w:rsidRPr="00E853E7">
              <w:rPr>
                <w:rFonts w:ascii="Arial" w:hAnsi="Arial" w:cs="Arial"/>
                <w:sz w:val="20"/>
              </w:rPr>
              <w:t>; figure 4.7</w:t>
            </w:r>
            <w:r w:rsidR="001A4538">
              <w:rPr>
                <w:rFonts w:ascii="Arial" w:hAnsi="Arial" w:cs="Arial"/>
                <w:sz w:val="20"/>
              </w:rPr>
              <w:t xml:space="preserve"> (p. 192)</w:t>
            </w:r>
            <w:r w:rsidR="004E3FEF">
              <w:rPr>
                <w:rFonts w:ascii="Arial" w:hAnsi="Arial" w:cs="Arial"/>
                <w:sz w:val="20"/>
              </w:rPr>
              <w:br/>
            </w:r>
            <w:r w:rsidR="004E3FEF">
              <w:rPr>
                <w:rFonts w:ascii="Arial" w:hAnsi="Arial" w:cs="Arial"/>
                <w:sz w:val="20"/>
              </w:rPr>
              <w:br/>
            </w:r>
            <w:r w:rsidR="004E3FEF">
              <w:rPr>
                <w:rFonts w:ascii="Arial" w:hAnsi="Arial" w:cs="Arial"/>
                <w:sz w:val="20"/>
              </w:rPr>
              <w:br/>
            </w:r>
            <w:r w:rsidR="004E3FEF">
              <w:rPr>
                <w:rFonts w:ascii="Arial" w:hAnsi="Arial" w:cs="Arial"/>
                <w:sz w:val="20"/>
              </w:rPr>
              <w:br/>
            </w:r>
            <w:r w:rsidR="004E3FEF">
              <w:rPr>
                <w:rFonts w:ascii="Arial" w:hAnsi="Arial" w:cs="Arial"/>
                <w:sz w:val="20"/>
              </w:rPr>
              <w:br/>
            </w:r>
            <w:r w:rsidR="004E3FEF">
              <w:rPr>
                <w:rFonts w:ascii="Arial" w:hAnsi="Arial" w:cs="Arial"/>
                <w:sz w:val="20"/>
              </w:rPr>
              <w:br/>
            </w:r>
            <w:r w:rsidR="004E3FEF">
              <w:rPr>
                <w:rFonts w:ascii="Arial" w:hAnsi="Arial" w:cs="Arial"/>
                <w:sz w:val="20"/>
              </w:rPr>
              <w:br/>
            </w:r>
          </w:p>
          <w:p w:rsidR="008E7584" w:rsidRPr="00E853E7" w:rsidRDefault="00E853E7" w:rsidP="004E3FEF">
            <w:pPr>
              <w:pStyle w:val="BodyText"/>
              <w:spacing w:before="100" w:line="260" w:lineRule="atLeast"/>
              <w:jc w:val="left"/>
            </w:pPr>
            <w:r w:rsidRPr="00E853E7">
              <w:rPr>
                <w:rFonts w:ascii="Arial" w:hAnsi="Arial" w:cs="Arial"/>
                <w:sz w:val="20"/>
              </w:rPr>
              <w:t>pp. 19</w:t>
            </w:r>
            <w:r w:rsidR="00CC3066">
              <w:rPr>
                <w:rFonts w:ascii="Arial" w:hAnsi="Arial" w:cs="Arial"/>
                <w:sz w:val="20"/>
              </w:rPr>
              <w:t>9</w:t>
            </w:r>
            <w:r w:rsidRPr="00E853E7">
              <w:rPr>
                <w:rFonts w:ascii="Arial" w:hAnsi="Arial" w:cs="Arial"/>
                <w:sz w:val="20"/>
              </w:rPr>
              <w:t>-20</w:t>
            </w:r>
            <w:r w:rsidR="008D2351">
              <w:rPr>
                <w:rFonts w:ascii="Arial" w:hAnsi="Arial" w:cs="Arial"/>
                <w:sz w:val="20"/>
              </w:rPr>
              <w:t>1</w:t>
            </w:r>
          </w:p>
        </w:tc>
      </w:tr>
      <w:tr w:rsidR="008E7584" w:rsidTr="001C5DE8">
        <w:tc>
          <w:tcPr>
            <w:tcW w:w="3966" w:type="pct"/>
            <w:tcBorders>
              <w:top w:val="nil"/>
              <w:left w:val="nil"/>
              <w:bottom w:val="single" w:sz="12" w:space="0" w:color="66BCDB" w:themeColor="text2"/>
              <w:right w:val="nil"/>
            </w:tcBorders>
            <w:shd w:val="clear" w:color="auto" w:fill="F2F2F2"/>
          </w:tcPr>
          <w:p w:rsidR="008E7584" w:rsidRDefault="008E7584" w:rsidP="00164848">
            <w:pPr>
              <w:pStyle w:val="Box"/>
              <w:spacing w:before="0" w:line="120" w:lineRule="exact"/>
            </w:pPr>
          </w:p>
        </w:tc>
        <w:tc>
          <w:tcPr>
            <w:tcW w:w="194" w:type="pct"/>
            <w:tcBorders>
              <w:top w:val="nil"/>
              <w:left w:val="nil"/>
              <w:bottom w:val="nil"/>
              <w:right w:val="nil"/>
            </w:tcBorders>
            <w:shd w:val="clear" w:color="auto" w:fill="FFFFFF" w:themeFill="background1"/>
          </w:tcPr>
          <w:p w:rsidR="008E7584" w:rsidRDefault="008E7584" w:rsidP="00164848">
            <w:pPr>
              <w:pStyle w:val="Box"/>
              <w:spacing w:before="0" w:line="120" w:lineRule="exact"/>
            </w:pPr>
          </w:p>
        </w:tc>
        <w:tc>
          <w:tcPr>
            <w:tcW w:w="840" w:type="pct"/>
            <w:tcBorders>
              <w:top w:val="nil"/>
              <w:left w:val="nil"/>
              <w:bottom w:val="single" w:sz="12" w:space="0" w:color="66BCDB" w:themeColor="text2"/>
              <w:right w:val="nil"/>
            </w:tcBorders>
            <w:shd w:val="clear" w:color="auto" w:fill="F2F2F2"/>
          </w:tcPr>
          <w:p w:rsidR="008E7584" w:rsidRDefault="008E7584" w:rsidP="0064694C">
            <w:pPr>
              <w:pStyle w:val="Box"/>
              <w:spacing w:before="0" w:line="120" w:lineRule="exact"/>
              <w:jc w:val="left"/>
            </w:pPr>
          </w:p>
        </w:tc>
      </w:tr>
      <w:tr w:rsidR="008E7584" w:rsidRPr="000863A5" w:rsidTr="001C5DE8">
        <w:tc>
          <w:tcPr>
            <w:tcW w:w="3966" w:type="pct"/>
            <w:tcBorders>
              <w:top w:val="single" w:sz="12" w:space="0" w:color="66BCDB" w:themeColor="text2"/>
              <w:left w:val="nil"/>
              <w:bottom w:val="nil"/>
              <w:right w:val="nil"/>
            </w:tcBorders>
          </w:tcPr>
          <w:p w:rsidR="008E7584" w:rsidRPr="00626D32" w:rsidRDefault="008E7584" w:rsidP="00164848">
            <w:pPr>
              <w:pStyle w:val="BoxSpaceBelow"/>
            </w:pPr>
          </w:p>
        </w:tc>
        <w:tc>
          <w:tcPr>
            <w:tcW w:w="194" w:type="pct"/>
            <w:tcBorders>
              <w:top w:val="nil"/>
              <w:left w:val="nil"/>
              <w:bottom w:val="nil"/>
              <w:right w:val="nil"/>
            </w:tcBorders>
            <w:shd w:val="clear" w:color="auto" w:fill="FFFFFF" w:themeFill="background1"/>
          </w:tcPr>
          <w:p w:rsidR="008E7584" w:rsidRPr="00626D32" w:rsidRDefault="008E7584" w:rsidP="00164848">
            <w:pPr>
              <w:pStyle w:val="BoxSpaceBelow"/>
            </w:pPr>
          </w:p>
        </w:tc>
        <w:tc>
          <w:tcPr>
            <w:tcW w:w="840" w:type="pct"/>
            <w:tcBorders>
              <w:top w:val="single" w:sz="12" w:space="0" w:color="66BCDB" w:themeColor="text2"/>
              <w:left w:val="nil"/>
              <w:bottom w:val="nil"/>
              <w:right w:val="nil"/>
            </w:tcBorders>
          </w:tcPr>
          <w:p w:rsidR="008E7584" w:rsidRPr="00626D32" w:rsidRDefault="008E7584" w:rsidP="0064694C">
            <w:pPr>
              <w:pStyle w:val="BoxSpaceBelow"/>
              <w:jc w:val="left"/>
            </w:pPr>
          </w:p>
        </w:tc>
      </w:tr>
    </w:tbl>
    <w:p w:rsidR="00E853E7" w:rsidRDefault="00E853E7" w:rsidP="00E853E7">
      <w:pPr>
        <w:pStyle w:val="BodyText"/>
      </w:pPr>
      <w:r>
        <w:br w:type="page"/>
      </w:r>
    </w:p>
    <w:tbl>
      <w:tblPr>
        <w:tblW w:w="4903" w:type="pct"/>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6836"/>
        <w:gridCol w:w="334"/>
        <w:gridCol w:w="1448"/>
      </w:tblGrid>
      <w:tr w:rsidR="00E853E7" w:rsidRPr="00E853E7" w:rsidTr="001C5DE8">
        <w:tc>
          <w:tcPr>
            <w:tcW w:w="3966" w:type="pct"/>
            <w:tcBorders>
              <w:top w:val="single" w:sz="12" w:space="0" w:color="66BCDB" w:themeColor="text2"/>
              <w:left w:val="nil"/>
              <w:bottom w:val="nil"/>
              <w:right w:val="nil"/>
            </w:tcBorders>
            <w:shd w:val="clear" w:color="auto" w:fill="F2F2F2"/>
          </w:tcPr>
          <w:p w:rsidR="00E853E7" w:rsidRPr="00E853E7" w:rsidRDefault="00E853E7" w:rsidP="00E853E7">
            <w:pPr>
              <w:pStyle w:val="BoxTitle"/>
            </w:pPr>
            <w:r w:rsidRPr="00E853E7">
              <w:lastRenderedPageBreak/>
              <w:t>Chapter 5: Member engagement</w:t>
            </w:r>
          </w:p>
        </w:tc>
        <w:tc>
          <w:tcPr>
            <w:tcW w:w="194" w:type="pct"/>
            <w:tcBorders>
              <w:top w:val="nil"/>
              <w:left w:val="nil"/>
              <w:bottom w:val="nil"/>
              <w:right w:val="nil"/>
            </w:tcBorders>
            <w:shd w:val="clear" w:color="auto" w:fill="FFFFFF" w:themeFill="background1"/>
          </w:tcPr>
          <w:p w:rsidR="00E853E7" w:rsidRPr="00E853E7" w:rsidRDefault="00E853E7" w:rsidP="00E853E7">
            <w:pPr>
              <w:pStyle w:val="BoxTitle"/>
            </w:pPr>
          </w:p>
        </w:tc>
        <w:tc>
          <w:tcPr>
            <w:tcW w:w="840" w:type="pct"/>
            <w:tcBorders>
              <w:top w:val="single" w:sz="12" w:space="0" w:color="66BCDB" w:themeColor="text2"/>
              <w:left w:val="nil"/>
              <w:bottom w:val="nil"/>
              <w:right w:val="nil"/>
            </w:tcBorders>
            <w:shd w:val="clear" w:color="auto" w:fill="F2F2F2"/>
          </w:tcPr>
          <w:p w:rsidR="00E853E7" w:rsidRPr="00E853E7" w:rsidRDefault="00E853E7" w:rsidP="0064694C">
            <w:pPr>
              <w:pStyle w:val="BoxTitle"/>
            </w:pPr>
            <w:r w:rsidRPr="00E853E7">
              <w:t>For more</w:t>
            </w:r>
          </w:p>
        </w:tc>
      </w:tr>
      <w:tr w:rsidR="00841E2B" w:rsidRPr="00841E2B" w:rsidTr="00164848">
        <w:tc>
          <w:tcPr>
            <w:tcW w:w="3966" w:type="pct"/>
            <w:tcBorders>
              <w:top w:val="nil"/>
              <w:left w:val="nil"/>
              <w:bottom w:val="nil"/>
              <w:right w:val="nil"/>
            </w:tcBorders>
            <w:shd w:val="clear" w:color="auto" w:fill="F2F2F2"/>
          </w:tcPr>
          <w:p w:rsidR="00E853E7" w:rsidRPr="00841E2B" w:rsidRDefault="00E853E7" w:rsidP="0024766C">
            <w:pPr>
              <w:pStyle w:val="KeyPointsListBullet"/>
            </w:pPr>
            <w:r w:rsidRPr="00841E2B">
              <w:t>Many Australians find superannuation complex and are disengaged from decisions around their retirement savings. But for many members in the accumulation phase, low engagement is rational. Several factors drive disengagement, including the: compulsory nature of superannuation, complexities involved, various behavioural biases that affect people’s decisions about their retirement savings, costs of engaging, and presence of intermediaries and trustees (who are charged with acting in members’ best interests).</w:t>
            </w:r>
          </w:p>
          <w:p w:rsidR="00E853E7" w:rsidRPr="00841E2B" w:rsidRDefault="00E853E7" w:rsidP="0024766C">
            <w:pPr>
              <w:pStyle w:val="KeyPointsListBullet"/>
            </w:pPr>
            <w:r w:rsidRPr="00841E2B">
              <w:t xml:space="preserve">Member engagement tends to be higher among those approaching retirement, those with higher balances and SMSFs. Engagement is lowest for the young and those with relatively low balances. </w:t>
            </w:r>
          </w:p>
          <w:p w:rsidR="00E853E7" w:rsidRPr="00841E2B" w:rsidRDefault="00E853E7" w:rsidP="0024766C">
            <w:pPr>
              <w:pStyle w:val="KeyPointsListBullet"/>
            </w:pPr>
            <w:r w:rsidRPr="00841E2B">
              <w:t>While it is neither efficient nor feasible for all members to be constantly informed and engaged, sufficient engagement is needed to promote healthy competition. But demand</w:t>
            </w:r>
            <w:r w:rsidRPr="00841E2B">
              <w:noBreakHyphen/>
              <w:t xml:space="preserve">side competitive pressure in the superannuation system is relatively weak. Active members (or their intermediaries) have not exerted material competitive pressure on funds. </w:t>
            </w:r>
          </w:p>
          <w:p w:rsidR="00E853E7" w:rsidRPr="00841E2B" w:rsidRDefault="00E853E7" w:rsidP="0024766C">
            <w:pPr>
              <w:pStyle w:val="KeyPointsListBullet"/>
            </w:pPr>
            <w:r w:rsidRPr="00841E2B">
              <w:t xml:space="preserve">Most people do not switch funds (estimates of annual fund switching rates sit below 10 per cent). And around half of this switching is passive </w:t>
            </w:r>
            <w:r w:rsidR="0024766C">
              <w:t>— it o</w:t>
            </w:r>
            <w:r w:rsidRPr="00841E2B">
              <w:t>ccurs because members change employer or their employer changes funds.</w:t>
            </w:r>
          </w:p>
          <w:p w:rsidR="00E853E7" w:rsidRPr="00841E2B" w:rsidRDefault="00E853E7" w:rsidP="0024766C">
            <w:pPr>
              <w:pStyle w:val="KeyPointsListBullet"/>
            </w:pPr>
            <w:r w:rsidRPr="00841E2B">
              <w:t>Overall members need better, not more, information. Regulators should play a critical role: regulating financial advice; ensuring complex information in the superannuation system is accessible and easy to understand; and ensuring disclosure is meaningful. However, product dashboards remain a work in progress; they need to be salient, simple and accessible to be effective — and most are not. Moreover, access to impartial guidance (especially for pre</w:t>
            </w:r>
            <w:r w:rsidRPr="00841E2B">
              <w:noBreakHyphen/>
              <w:t>retirees) remains elusive for many, and the quality of advice provided — including to some owners of SMSFs — is questionable.</w:t>
            </w:r>
          </w:p>
          <w:p w:rsidR="00E853E7" w:rsidRPr="00841E2B" w:rsidRDefault="00E853E7" w:rsidP="0024766C">
            <w:pPr>
              <w:pStyle w:val="KeyPointsListBullet"/>
            </w:pPr>
            <w:r w:rsidRPr="00841E2B">
              <w:t>Potential improvements to the system include: ASIC without delay settling on simple and salient product dashboards and publishing them on a centralised website, ASIC proactively setting and enforcing standards for the meaningful disclosure of information to members on superannuation products (including insurance), and the Government requiring the ATO to nudge superannuation members (when they reach 55) to visit ASIC’s MoneySmart website and DHS’ Financial Information Service website.</w:t>
            </w:r>
          </w:p>
        </w:tc>
        <w:tc>
          <w:tcPr>
            <w:tcW w:w="194" w:type="pct"/>
            <w:tcBorders>
              <w:top w:val="nil"/>
              <w:left w:val="nil"/>
              <w:bottom w:val="nil"/>
              <w:right w:val="nil"/>
            </w:tcBorders>
            <w:shd w:val="clear" w:color="auto" w:fill="FFFFFF" w:themeFill="background1"/>
          </w:tcPr>
          <w:p w:rsidR="00E853E7" w:rsidRPr="00841E2B" w:rsidRDefault="00E853E7" w:rsidP="00164848">
            <w:pPr>
              <w:pStyle w:val="BoxListBullet"/>
              <w:numPr>
                <w:ilvl w:val="0"/>
                <w:numId w:val="0"/>
              </w:numPr>
              <w:ind w:left="284"/>
            </w:pPr>
          </w:p>
        </w:tc>
        <w:tc>
          <w:tcPr>
            <w:tcW w:w="840" w:type="pct"/>
            <w:tcBorders>
              <w:top w:val="nil"/>
              <w:left w:val="nil"/>
              <w:bottom w:val="nil"/>
              <w:right w:val="nil"/>
            </w:tcBorders>
            <w:shd w:val="clear" w:color="auto" w:fill="F2F2F2"/>
          </w:tcPr>
          <w:p w:rsidR="00E853E7" w:rsidRPr="00841E2B" w:rsidRDefault="00D91BDA" w:rsidP="004E3FEF">
            <w:pPr>
              <w:pStyle w:val="BodyText"/>
              <w:spacing w:before="100" w:line="260" w:lineRule="atLeast"/>
              <w:jc w:val="left"/>
              <w:rPr>
                <w:rFonts w:ascii="Arial" w:hAnsi="Arial" w:cs="Arial"/>
                <w:sz w:val="20"/>
              </w:rPr>
            </w:pPr>
            <w:r w:rsidRPr="00841E2B">
              <w:rPr>
                <w:rFonts w:ascii="Arial" w:hAnsi="Arial" w:cs="Arial"/>
                <w:sz w:val="20"/>
              </w:rPr>
              <w:t>pp. 212-214</w:t>
            </w:r>
            <w:r w:rsidR="004E3FEF">
              <w:rPr>
                <w:rFonts w:ascii="Arial" w:hAnsi="Arial" w:cs="Arial"/>
                <w:sz w:val="20"/>
              </w:rPr>
              <w:br/>
            </w:r>
            <w:r w:rsidR="004E3FEF">
              <w:rPr>
                <w:rFonts w:ascii="Arial" w:hAnsi="Arial" w:cs="Arial"/>
                <w:sz w:val="20"/>
              </w:rPr>
              <w:br/>
            </w:r>
            <w:r w:rsidR="004E3FEF">
              <w:rPr>
                <w:rFonts w:ascii="Arial" w:hAnsi="Arial" w:cs="Arial"/>
                <w:sz w:val="20"/>
              </w:rPr>
              <w:br/>
            </w:r>
            <w:r w:rsidR="004E3FEF">
              <w:rPr>
                <w:rFonts w:ascii="Arial" w:hAnsi="Arial" w:cs="Arial"/>
                <w:sz w:val="20"/>
              </w:rPr>
              <w:br/>
            </w:r>
            <w:r w:rsidR="004E3FEF">
              <w:rPr>
                <w:rFonts w:ascii="Arial" w:hAnsi="Arial" w:cs="Arial"/>
                <w:sz w:val="20"/>
              </w:rPr>
              <w:br/>
            </w:r>
            <w:r w:rsidR="004E3FEF">
              <w:rPr>
                <w:rFonts w:ascii="Arial" w:hAnsi="Arial" w:cs="Arial"/>
                <w:sz w:val="20"/>
              </w:rPr>
              <w:br/>
            </w:r>
            <w:r w:rsidR="004E3FEF">
              <w:rPr>
                <w:rFonts w:ascii="Arial" w:hAnsi="Arial" w:cs="Arial"/>
                <w:sz w:val="20"/>
              </w:rPr>
              <w:br/>
            </w:r>
          </w:p>
          <w:p w:rsidR="00E853E7" w:rsidRPr="00841E2B" w:rsidRDefault="00E853E7" w:rsidP="004E3FEF">
            <w:pPr>
              <w:pStyle w:val="BodyText"/>
              <w:spacing w:before="100" w:line="260" w:lineRule="atLeast"/>
              <w:jc w:val="left"/>
              <w:rPr>
                <w:rFonts w:ascii="Arial" w:hAnsi="Arial" w:cs="Arial"/>
                <w:sz w:val="20"/>
              </w:rPr>
            </w:pPr>
            <w:r w:rsidRPr="00841E2B">
              <w:rPr>
                <w:rFonts w:ascii="Arial" w:hAnsi="Arial" w:cs="Arial"/>
                <w:sz w:val="20"/>
              </w:rPr>
              <w:t xml:space="preserve">pp. </w:t>
            </w:r>
            <w:r w:rsidR="00841E2B" w:rsidRPr="00841E2B">
              <w:rPr>
                <w:rFonts w:ascii="Arial" w:hAnsi="Arial" w:cs="Arial"/>
                <w:sz w:val="20"/>
              </w:rPr>
              <w:t>216-226</w:t>
            </w:r>
            <w:r w:rsidRPr="00841E2B">
              <w:rPr>
                <w:rFonts w:ascii="Arial" w:hAnsi="Arial" w:cs="Arial"/>
                <w:sz w:val="20"/>
              </w:rPr>
              <w:t>; figure 5</w:t>
            </w:r>
            <w:r w:rsidR="00841E2B" w:rsidRPr="00841E2B">
              <w:rPr>
                <w:rFonts w:ascii="Arial" w:hAnsi="Arial" w:cs="Arial"/>
                <w:sz w:val="20"/>
              </w:rPr>
              <w:t>.1</w:t>
            </w:r>
            <w:r w:rsidR="005C0B98">
              <w:rPr>
                <w:rFonts w:ascii="Arial" w:hAnsi="Arial" w:cs="Arial"/>
                <w:sz w:val="20"/>
              </w:rPr>
              <w:t xml:space="preserve"> (p. 217)</w:t>
            </w:r>
            <w:r w:rsidR="00757294">
              <w:rPr>
                <w:rFonts w:ascii="Arial" w:hAnsi="Arial" w:cs="Arial"/>
                <w:sz w:val="20"/>
              </w:rPr>
              <w:br/>
            </w:r>
            <w:r w:rsidR="00841E2B" w:rsidRPr="00841E2B">
              <w:rPr>
                <w:rFonts w:ascii="Arial" w:hAnsi="Arial" w:cs="Arial"/>
                <w:sz w:val="20"/>
              </w:rPr>
              <w:t>pp. 226-231</w:t>
            </w:r>
          </w:p>
          <w:p w:rsidR="00E853E7" w:rsidRPr="00841E2B" w:rsidRDefault="004E3FEF" w:rsidP="004E3FEF">
            <w:pPr>
              <w:pStyle w:val="BodyText"/>
              <w:spacing w:before="100" w:line="260" w:lineRule="atLeast"/>
              <w:jc w:val="left"/>
              <w:rPr>
                <w:rFonts w:ascii="Arial" w:hAnsi="Arial" w:cs="Arial"/>
                <w:sz w:val="20"/>
              </w:rPr>
            </w:pPr>
            <w:r>
              <w:rPr>
                <w:rFonts w:ascii="Arial" w:hAnsi="Arial" w:cs="Arial"/>
                <w:sz w:val="20"/>
              </w:rPr>
              <w:br/>
            </w:r>
            <w:r>
              <w:rPr>
                <w:rFonts w:ascii="Arial" w:hAnsi="Arial" w:cs="Arial"/>
                <w:sz w:val="20"/>
              </w:rPr>
              <w:br/>
            </w:r>
            <w:r>
              <w:rPr>
                <w:rFonts w:ascii="Arial" w:hAnsi="Arial" w:cs="Arial"/>
                <w:sz w:val="20"/>
              </w:rPr>
              <w:br/>
            </w:r>
            <w:r>
              <w:rPr>
                <w:rFonts w:ascii="Arial" w:hAnsi="Arial" w:cs="Arial"/>
                <w:sz w:val="20"/>
              </w:rPr>
              <w:br/>
            </w:r>
          </w:p>
          <w:p w:rsidR="00E853E7" w:rsidRPr="00841E2B" w:rsidRDefault="00E853E7" w:rsidP="004E3FEF">
            <w:pPr>
              <w:pStyle w:val="BodyText"/>
              <w:spacing w:before="100" w:line="260" w:lineRule="atLeast"/>
              <w:jc w:val="left"/>
              <w:rPr>
                <w:rFonts w:ascii="Arial" w:hAnsi="Arial" w:cs="Arial"/>
                <w:sz w:val="20"/>
              </w:rPr>
            </w:pPr>
            <w:r w:rsidRPr="00841E2B">
              <w:rPr>
                <w:rFonts w:ascii="Arial" w:hAnsi="Arial" w:cs="Arial"/>
                <w:sz w:val="20"/>
              </w:rPr>
              <w:t>p</w:t>
            </w:r>
            <w:r w:rsidR="00841E2B" w:rsidRPr="00841E2B">
              <w:rPr>
                <w:rFonts w:ascii="Arial" w:hAnsi="Arial" w:cs="Arial"/>
                <w:sz w:val="20"/>
              </w:rPr>
              <w:t>p. 226-2</w:t>
            </w:r>
            <w:r w:rsidR="002D2EA0">
              <w:rPr>
                <w:rFonts w:ascii="Arial" w:hAnsi="Arial" w:cs="Arial"/>
                <w:sz w:val="20"/>
              </w:rPr>
              <w:t>27</w:t>
            </w:r>
            <w:r w:rsidR="004E3FEF">
              <w:rPr>
                <w:rFonts w:ascii="Arial" w:hAnsi="Arial" w:cs="Arial"/>
                <w:sz w:val="20"/>
              </w:rPr>
              <w:br/>
            </w:r>
            <w:r w:rsidR="004E3FEF">
              <w:rPr>
                <w:rFonts w:ascii="Arial" w:hAnsi="Arial" w:cs="Arial"/>
                <w:sz w:val="20"/>
              </w:rPr>
              <w:br/>
            </w:r>
            <w:r w:rsidR="004E3FEF">
              <w:rPr>
                <w:rFonts w:ascii="Arial" w:hAnsi="Arial" w:cs="Arial"/>
                <w:sz w:val="20"/>
              </w:rPr>
              <w:br/>
            </w:r>
          </w:p>
          <w:p w:rsidR="00841E2B" w:rsidRPr="00841E2B" w:rsidRDefault="00841E2B" w:rsidP="004E3FEF">
            <w:pPr>
              <w:pStyle w:val="BodyText"/>
              <w:spacing w:before="100" w:line="260" w:lineRule="atLeast"/>
              <w:jc w:val="left"/>
              <w:rPr>
                <w:rFonts w:ascii="Arial" w:hAnsi="Arial" w:cs="Arial"/>
                <w:sz w:val="20"/>
              </w:rPr>
            </w:pPr>
            <w:r w:rsidRPr="00841E2B">
              <w:rPr>
                <w:rFonts w:ascii="Arial" w:hAnsi="Arial" w:cs="Arial"/>
                <w:sz w:val="20"/>
              </w:rPr>
              <w:t>pp. 231-23</w:t>
            </w:r>
            <w:r w:rsidR="002D2EA0">
              <w:rPr>
                <w:rFonts w:ascii="Arial" w:hAnsi="Arial" w:cs="Arial"/>
                <w:sz w:val="20"/>
              </w:rPr>
              <w:t>2</w:t>
            </w:r>
            <w:r w:rsidR="004E3FEF">
              <w:rPr>
                <w:rFonts w:ascii="Arial" w:hAnsi="Arial" w:cs="Arial"/>
                <w:sz w:val="20"/>
              </w:rPr>
              <w:br/>
            </w:r>
            <w:r w:rsidR="004E3FEF">
              <w:rPr>
                <w:rFonts w:ascii="Arial" w:hAnsi="Arial" w:cs="Arial"/>
                <w:sz w:val="20"/>
              </w:rPr>
              <w:br/>
            </w:r>
            <w:r w:rsidR="004E3FEF">
              <w:rPr>
                <w:rFonts w:ascii="Arial" w:hAnsi="Arial" w:cs="Arial"/>
                <w:sz w:val="20"/>
              </w:rPr>
              <w:br/>
            </w:r>
            <w:r w:rsidR="002D2EA0">
              <w:rPr>
                <w:rFonts w:ascii="Arial" w:hAnsi="Arial" w:cs="Arial"/>
                <w:sz w:val="20"/>
              </w:rPr>
              <w:t>pp. 236-237</w:t>
            </w:r>
            <w:r w:rsidR="004E3FEF">
              <w:rPr>
                <w:rFonts w:ascii="Arial" w:hAnsi="Arial" w:cs="Arial"/>
                <w:sz w:val="20"/>
              </w:rPr>
              <w:br/>
            </w:r>
            <w:r w:rsidR="004E3FEF">
              <w:rPr>
                <w:rFonts w:ascii="Arial" w:hAnsi="Arial" w:cs="Arial"/>
                <w:sz w:val="20"/>
              </w:rPr>
              <w:br/>
            </w:r>
            <w:r w:rsidR="004E3FEF">
              <w:rPr>
                <w:rFonts w:ascii="Arial" w:hAnsi="Arial" w:cs="Arial"/>
                <w:sz w:val="20"/>
              </w:rPr>
              <w:br/>
            </w:r>
            <w:r w:rsidR="004E3FEF">
              <w:rPr>
                <w:rFonts w:ascii="Arial" w:hAnsi="Arial" w:cs="Arial"/>
                <w:sz w:val="20"/>
              </w:rPr>
              <w:br/>
            </w:r>
            <w:r w:rsidR="004E3FEF">
              <w:rPr>
                <w:rFonts w:ascii="Arial" w:hAnsi="Arial" w:cs="Arial"/>
                <w:sz w:val="20"/>
              </w:rPr>
              <w:br/>
            </w:r>
          </w:p>
          <w:p w:rsidR="00E853E7" w:rsidRPr="00841E2B" w:rsidRDefault="00E853E7" w:rsidP="004E3FEF">
            <w:pPr>
              <w:pStyle w:val="BodyText"/>
              <w:spacing w:before="100" w:line="260" w:lineRule="atLeast"/>
              <w:jc w:val="left"/>
            </w:pPr>
            <w:r w:rsidRPr="00841E2B">
              <w:rPr>
                <w:rFonts w:ascii="Arial" w:hAnsi="Arial" w:cs="Arial"/>
                <w:sz w:val="20"/>
              </w:rPr>
              <w:t xml:space="preserve">p. </w:t>
            </w:r>
            <w:r w:rsidR="00841E2B" w:rsidRPr="00841E2B">
              <w:rPr>
                <w:rFonts w:ascii="Arial" w:hAnsi="Arial" w:cs="Arial"/>
                <w:sz w:val="20"/>
              </w:rPr>
              <w:t>2</w:t>
            </w:r>
            <w:r w:rsidR="002D2EA0">
              <w:rPr>
                <w:rFonts w:ascii="Arial" w:hAnsi="Arial" w:cs="Arial"/>
                <w:sz w:val="20"/>
              </w:rPr>
              <w:t>42</w:t>
            </w:r>
            <w:r w:rsidRPr="00841E2B">
              <w:rPr>
                <w:rFonts w:ascii="Arial" w:hAnsi="Arial" w:cs="Arial"/>
                <w:sz w:val="20"/>
              </w:rPr>
              <w:t>-</w:t>
            </w:r>
            <w:r w:rsidR="00841E2B" w:rsidRPr="00841E2B">
              <w:rPr>
                <w:rFonts w:ascii="Arial" w:hAnsi="Arial" w:cs="Arial"/>
                <w:sz w:val="20"/>
              </w:rPr>
              <w:t>24</w:t>
            </w:r>
            <w:r w:rsidRPr="00841E2B">
              <w:rPr>
                <w:rFonts w:ascii="Arial" w:hAnsi="Arial" w:cs="Arial"/>
                <w:sz w:val="20"/>
              </w:rPr>
              <w:t>4</w:t>
            </w:r>
          </w:p>
        </w:tc>
      </w:tr>
      <w:tr w:rsidR="00E853E7" w:rsidTr="001C5DE8">
        <w:tc>
          <w:tcPr>
            <w:tcW w:w="3966" w:type="pct"/>
            <w:tcBorders>
              <w:top w:val="nil"/>
              <w:left w:val="nil"/>
              <w:bottom w:val="single" w:sz="12" w:space="0" w:color="66BCDB" w:themeColor="text2"/>
              <w:right w:val="nil"/>
            </w:tcBorders>
            <w:shd w:val="clear" w:color="auto" w:fill="F2F2F2"/>
          </w:tcPr>
          <w:p w:rsidR="00E853E7" w:rsidRDefault="00E853E7" w:rsidP="00164848">
            <w:pPr>
              <w:pStyle w:val="Box"/>
              <w:spacing w:before="0" w:line="120" w:lineRule="exact"/>
            </w:pPr>
          </w:p>
        </w:tc>
        <w:tc>
          <w:tcPr>
            <w:tcW w:w="194" w:type="pct"/>
            <w:tcBorders>
              <w:top w:val="nil"/>
              <w:left w:val="nil"/>
              <w:bottom w:val="nil"/>
              <w:right w:val="nil"/>
            </w:tcBorders>
            <w:shd w:val="clear" w:color="auto" w:fill="FFFFFF" w:themeFill="background1"/>
          </w:tcPr>
          <w:p w:rsidR="00E853E7" w:rsidRDefault="00E853E7" w:rsidP="00164848">
            <w:pPr>
              <w:pStyle w:val="Box"/>
              <w:spacing w:before="0" w:line="120" w:lineRule="exact"/>
            </w:pPr>
          </w:p>
        </w:tc>
        <w:tc>
          <w:tcPr>
            <w:tcW w:w="840" w:type="pct"/>
            <w:tcBorders>
              <w:top w:val="nil"/>
              <w:left w:val="nil"/>
              <w:bottom w:val="single" w:sz="12" w:space="0" w:color="66BCDB" w:themeColor="text2"/>
              <w:right w:val="nil"/>
            </w:tcBorders>
            <w:shd w:val="clear" w:color="auto" w:fill="F2F2F2"/>
          </w:tcPr>
          <w:p w:rsidR="00E853E7" w:rsidRDefault="00E853E7" w:rsidP="0064694C">
            <w:pPr>
              <w:pStyle w:val="Box"/>
              <w:spacing w:before="0" w:line="120" w:lineRule="exact"/>
              <w:jc w:val="left"/>
            </w:pPr>
          </w:p>
        </w:tc>
      </w:tr>
      <w:tr w:rsidR="00E853E7" w:rsidRPr="000863A5" w:rsidTr="001C5DE8">
        <w:tc>
          <w:tcPr>
            <w:tcW w:w="3966" w:type="pct"/>
            <w:tcBorders>
              <w:top w:val="single" w:sz="12" w:space="0" w:color="66BCDB" w:themeColor="text2"/>
              <w:left w:val="nil"/>
              <w:bottom w:val="nil"/>
              <w:right w:val="nil"/>
            </w:tcBorders>
          </w:tcPr>
          <w:p w:rsidR="00E853E7" w:rsidRPr="00626D32" w:rsidRDefault="00E853E7" w:rsidP="00164848">
            <w:pPr>
              <w:pStyle w:val="BoxSpaceBelow"/>
            </w:pPr>
          </w:p>
        </w:tc>
        <w:tc>
          <w:tcPr>
            <w:tcW w:w="194" w:type="pct"/>
            <w:tcBorders>
              <w:top w:val="nil"/>
              <w:left w:val="nil"/>
              <w:bottom w:val="nil"/>
              <w:right w:val="nil"/>
            </w:tcBorders>
            <w:shd w:val="clear" w:color="auto" w:fill="FFFFFF" w:themeFill="background1"/>
          </w:tcPr>
          <w:p w:rsidR="00E853E7" w:rsidRPr="00626D32" w:rsidRDefault="00E853E7" w:rsidP="00164848">
            <w:pPr>
              <w:pStyle w:val="BoxSpaceBelow"/>
            </w:pPr>
          </w:p>
        </w:tc>
        <w:tc>
          <w:tcPr>
            <w:tcW w:w="840" w:type="pct"/>
            <w:tcBorders>
              <w:top w:val="single" w:sz="12" w:space="0" w:color="66BCDB" w:themeColor="text2"/>
              <w:left w:val="nil"/>
              <w:bottom w:val="nil"/>
              <w:right w:val="nil"/>
            </w:tcBorders>
          </w:tcPr>
          <w:p w:rsidR="00E853E7" w:rsidRPr="00626D32" w:rsidRDefault="00E853E7" w:rsidP="0064694C">
            <w:pPr>
              <w:pStyle w:val="BoxSpaceBelow"/>
              <w:jc w:val="left"/>
            </w:pPr>
          </w:p>
        </w:tc>
      </w:tr>
    </w:tbl>
    <w:p w:rsidR="00841E2B" w:rsidRDefault="00841E2B" w:rsidP="00841E2B">
      <w:pPr>
        <w:pStyle w:val="BodyText"/>
      </w:pPr>
      <w:r>
        <w:br w:type="page"/>
      </w:r>
    </w:p>
    <w:tbl>
      <w:tblPr>
        <w:tblW w:w="4903" w:type="pct"/>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6836"/>
        <w:gridCol w:w="334"/>
        <w:gridCol w:w="1448"/>
      </w:tblGrid>
      <w:tr w:rsidR="0004094B" w:rsidRPr="0004094B" w:rsidTr="001C5DE8">
        <w:tc>
          <w:tcPr>
            <w:tcW w:w="3966" w:type="pct"/>
            <w:tcBorders>
              <w:top w:val="single" w:sz="12" w:space="0" w:color="66BCDB" w:themeColor="text2"/>
              <w:left w:val="nil"/>
              <w:bottom w:val="nil"/>
              <w:right w:val="nil"/>
            </w:tcBorders>
            <w:shd w:val="clear" w:color="auto" w:fill="F2F2F2"/>
          </w:tcPr>
          <w:p w:rsidR="00841E2B" w:rsidRPr="0004094B" w:rsidRDefault="00841E2B" w:rsidP="0004094B">
            <w:pPr>
              <w:pStyle w:val="BoxTitle"/>
            </w:pPr>
            <w:r w:rsidRPr="0004094B">
              <w:lastRenderedPageBreak/>
              <w:t xml:space="preserve">Chapter 6: </w:t>
            </w:r>
            <w:r w:rsidR="0004094B" w:rsidRPr="0004094B">
              <w:t>Erosion of m</w:t>
            </w:r>
            <w:r w:rsidRPr="0004094B">
              <w:t xml:space="preserve">ember </w:t>
            </w:r>
            <w:r w:rsidR="0004094B" w:rsidRPr="0004094B">
              <w:t>balances</w:t>
            </w:r>
          </w:p>
        </w:tc>
        <w:tc>
          <w:tcPr>
            <w:tcW w:w="194" w:type="pct"/>
            <w:tcBorders>
              <w:top w:val="nil"/>
              <w:left w:val="nil"/>
              <w:bottom w:val="nil"/>
              <w:right w:val="nil"/>
            </w:tcBorders>
            <w:shd w:val="clear" w:color="auto" w:fill="FFFFFF" w:themeFill="background1"/>
          </w:tcPr>
          <w:p w:rsidR="00841E2B" w:rsidRPr="0004094B" w:rsidRDefault="00841E2B" w:rsidP="00164848">
            <w:pPr>
              <w:pStyle w:val="BoxTitle"/>
            </w:pPr>
          </w:p>
        </w:tc>
        <w:tc>
          <w:tcPr>
            <w:tcW w:w="840" w:type="pct"/>
            <w:tcBorders>
              <w:top w:val="single" w:sz="12" w:space="0" w:color="66BCDB" w:themeColor="text2"/>
              <w:left w:val="nil"/>
              <w:bottom w:val="nil"/>
              <w:right w:val="nil"/>
            </w:tcBorders>
            <w:shd w:val="clear" w:color="auto" w:fill="F2F2F2"/>
          </w:tcPr>
          <w:p w:rsidR="00841E2B" w:rsidRPr="0004094B" w:rsidRDefault="00841E2B" w:rsidP="0064694C">
            <w:pPr>
              <w:pStyle w:val="BoxTitle"/>
            </w:pPr>
            <w:r w:rsidRPr="0004094B">
              <w:t>For more</w:t>
            </w:r>
          </w:p>
        </w:tc>
      </w:tr>
      <w:tr w:rsidR="009B2F08" w:rsidRPr="009B2F08" w:rsidTr="00164848">
        <w:tc>
          <w:tcPr>
            <w:tcW w:w="3966" w:type="pct"/>
            <w:tcBorders>
              <w:top w:val="nil"/>
              <w:left w:val="nil"/>
              <w:bottom w:val="nil"/>
              <w:right w:val="nil"/>
            </w:tcBorders>
            <w:shd w:val="clear" w:color="auto" w:fill="F2F2F2"/>
          </w:tcPr>
          <w:p w:rsidR="0024766C" w:rsidRPr="009B2F08" w:rsidRDefault="0024766C" w:rsidP="0024766C">
            <w:pPr>
              <w:pStyle w:val="KeyPointsListBullet"/>
            </w:pPr>
            <w:r w:rsidRPr="009B2F08">
              <w:t>There is much unnecessary erosion of member balances in the system. It is typically regressive and costs members billions each year.</w:t>
            </w:r>
          </w:p>
          <w:p w:rsidR="0024766C" w:rsidRPr="009B2F08" w:rsidRDefault="0024766C" w:rsidP="0024766C">
            <w:pPr>
              <w:pStyle w:val="KeyPointsListBullet"/>
            </w:pPr>
            <w:r w:rsidRPr="009B2F08">
              <w:t>Unintended multiple accounts (and particularly multiple insurance premiums) are by far the most egregious driver of balance erosion. Unnecessary balance erosion is also caused by delayed and unpaid superannuation, trailing commissions and suboptimal tax management.</w:t>
            </w:r>
          </w:p>
          <w:p w:rsidR="0024766C" w:rsidRPr="009B2F08" w:rsidRDefault="0024766C" w:rsidP="0024766C">
            <w:pPr>
              <w:pStyle w:val="KeyPointsListBullet"/>
            </w:pPr>
            <w:r w:rsidRPr="009B2F08">
              <w:t>Policy plays the dominant role in unnecessary erosion by setting the underlying structures (by linking member accounts to employers and not employees). As such, much (but not all) unnecessary balance erosion is beyond funds’ control.</w:t>
            </w:r>
          </w:p>
          <w:p w:rsidR="0024766C" w:rsidRPr="009B2F08" w:rsidRDefault="0024766C" w:rsidP="0024766C">
            <w:pPr>
              <w:pStyle w:val="KeyPointsListBullet"/>
            </w:pPr>
            <w:r w:rsidRPr="009B2F08">
              <w:t>Unintended multiple accounts represent around one in three member accounts and annually cost members around $2.6 billion ($1.9 billion in excess insurance premiums and $690 million in excess administration fees). Importantly, these direct costs further erode member balances over time in the form of foregone compound returns.</w:t>
            </w:r>
          </w:p>
          <w:p w:rsidR="0024766C" w:rsidRPr="009B2F08" w:rsidRDefault="0024766C" w:rsidP="0024766C">
            <w:pPr>
              <w:pStyle w:val="KeyPointsListBullet"/>
            </w:pPr>
            <w:r w:rsidRPr="009B2F08">
              <w:t>A typical worker with two accounts across their working life will be over 6 per cent (or $51 000) worse off at retirement compared with a worker holding just one account.</w:t>
            </w:r>
          </w:p>
          <w:p w:rsidR="0024766C" w:rsidRPr="009B2F08" w:rsidRDefault="0024766C" w:rsidP="00E437FF">
            <w:pPr>
              <w:pStyle w:val="KeyPointsListBullet"/>
            </w:pPr>
            <w:r w:rsidRPr="009B2F08">
              <w:t>Recent policy initiatives have made inroads, but the stock of unintended multiple accounts remains large and current policy settings are making slow progress by treating the symptoms and not the structural cause.</w:t>
            </w:r>
            <w:r w:rsidR="009B2F08" w:rsidRPr="009B2F08">
              <w:t xml:space="preserve"> </w:t>
            </w:r>
            <w:r w:rsidRPr="009B2F08">
              <w:t xml:space="preserve">A centralised online service would offer a much needed circuit breaker for unintended multiple accounts. Upon new employment, existing members would be presented with their existing </w:t>
            </w:r>
            <w:r w:rsidRPr="009B2F08">
              <w:rPr>
                <w:spacing w:val="-2"/>
              </w:rPr>
              <w:t xml:space="preserve">fund, or could select a new fund. The service would facilitate consolidation of multiple accounts and </w:t>
            </w:r>
            <w:r w:rsidR="009B2F08" w:rsidRPr="009B2F08">
              <w:rPr>
                <w:spacing w:val="-2"/>
              </w:rPr>
              <w:t>nudge</w:t>
            </w:r>
            <w:r w:rsidRPr="009B2F08">
              <w:rPr>
                <w:spacing w:val="-2"/>
              </w:rPr>
              <w:t xml:space="preserve"> member</w:t>
            </w:r>
            <w:r w:rsidR="009B2F08" w:rsidRPr="009B2F08">
              <w:rPr>
                <w:spacing w:val="-2"/>
              </w:rPr>
              <w:t>s</w:t>
            </w:r>
            <w:r w:rsidRPr="009B2F08">
              <w:rPr>
                <w:spacing w:val="-2"/>
              </w:rPr>
              <w:t xml:space="preserve"> to do so.</w:t>
            </w:r>
          </w:p>
          <w:p w:rsidR="0024766C" w:rsidRPr="009B2F08" w:rsidRDefault="0024766C" w:rsidP="009B2F08">
            <w:pPr>
              <w:pStyle w:val="KeyPointsListBullet2"/>
            </w:pPr>
            <w:r w:rsidRPr="009B2F08">
              <w:t>Under directive from the Australian Government, the ATO has been building the capability for such a service through Single Touch Payroll and MyGov infrastructure. This work should be accelerated as a priority, and online completion of the standard choice form made universal.</w:t>
            </w:r>
          </w:p>
          <w:p w:rsidR="0024766C" w:rsidRPr="009B2F08" w:rsidRDefault="0024766C" w:rsidP="0024766C">
            <w:pPr>
              <w:pStyle w:val="KeyPointsListBullet"/>
            </w:pPr>
            <w:r w:rsidRPr="009B2F08">
              <w:t>Clearing the legacy stock of lost ($14.1 billion in 629 000 accounts) and unclaimed ($3.75 billion in 5.4 million accounts) accounts is still much needed. This should be a priority for an empowered ATO. Accounts should be sent to the ATO when they first meet a lost definition for auto</w:t>
            </w:r>
            <w:r w:rsidRPr="009B2F08">
              <w:noBreakHyphen/>
              <w:t>consolidation with a matched, active account.</w:t>
            </w:r>
          </w:p>
          <w:p w:rsidR="00841E2B" w:rsidRPr="009B2F08" w:rsidRDefault="0024766C" w:rsidP="009B2F08">
            <w:pPr>
              <w:pStyle w:val="KeyPointsListBullet"/>
            </w:pPr>
            <w:r w:rsidRPr="009B2F08">
              <w:t>Unpaid super remains a significant cause of erosion — around $2.8</w:t>
            </w:r>
            <w:r w:rsidR="009B2F08" w:rsidRPr="009B2F08">
              <w:t> </w:t>
            </w:r>
            <w:r w:rsidRPr="009B2F08">
              <w:t>billion per year (5 per cent of all SG contributions). It especially impacts low income and young workers. The new regime for employers and funds to report to the ATO (with some important as</w:t>
            </w:r>
            <w:r w:rsidRPr="009B2F08">
              <w:noBreakHyphen/>
              <w:t>yet unlegislated elements) is needed to make monitoring and enforcement simpler and effective.</w:t>
            </w:r>
          </w:p>
        </w:tc>
        <w:tc>
          <w:tcPr>
            <w:tcW w:w="194" w:type="pct"/>
            <w:tcBorders>
              <w:top w:val="nil"/>
              <w:left w:val="nil"/>
              <w:bottom w:val="nil"/>
              <w:right w:val="nil"/>
            </w:tcBorders>
            <w:shd w:val="clear" w:color="auto" w:fill="FFFFFF" w:themeFill="background1"/>
          </w:tcPr>
          <w:p w:rsidR="00841E2B" w:rsidRPr="009B2F08" w:rsidRDefault="00841E2B" w:rsidP="00164848">
            <w:pPr>
              <w:pStyle w:val="BoxListBullet"/>
              <w:numPr>
                <w:ilvl w:val="0"/>
                <w:numId w:val="0"/>
              </w:numPr>
              <w:ind w:left="284"/>
            </w:pPr>
          </w:p>
        </w:tc>
        <w:tc>
          <w:tcPr>
            <w:tcW w:w="840" w:type="pct"/>
            <w:tcBorders>
              <w:top w:val="nil"/>
              <w:left w:val="nil"/>
              <w:bottom w:val="nil"/>
              <w:right w:val="nil"/>
            </w:tcBorders>
            <w:shd w:val="clear" w:color="auto" w:fill="F2F2F2"/>
          </w:tcPr>
          <w:p w:rsidR="00841E2B" w:rsidRPr="009B2F08" w:rsidRDefault="00CC30C8" w:rsidP="00752DBB">
            <w:pPr>
              <w:pStyle w:val="BodyText"/>
              <w:spacing w:before="100" w:line="260" w:lineRule="atLeast"/>
              <w:jc w:val="left"/>
              <w:rPr>
                <w:rFonts w:ascii="Arial" w:hAnsi="Arial" w:cs="Arial"/>
                <w:sz w:val="20"/>
              </w:rPr>
            </w:pPr>
            <w:r>
              <w:rPr>
                <w:rFonts w:ascii="Arial" w:hAnsi="Arial" w:cs="Arial"/>
                <w:sz w:val="20"/>
              </w:rPr>
              <w:t>Figure 6.1 (p. </w:t>
            </w:r>
            <w:r w:rsidR="0024766C" w:rsidRPr="009B2F08">
              <w:rPr>
                <w:rFonts w:ascii="Arial" w:hAnsi="Arial" w:cs="Arial"/>
                <w:sz w:val="20"/>
              </w:rPr>
              <w:t>246</w:t>
            </w:r>
            <w:r>
              <w:rPr>
                <w:rFonts w:ascii="Arial" w:hAnsi="Arial" w:cs="Arial"/>
                <w:sz w:val="20"/>
              </w:rPr>
              <w:t>)</w:t>
            </w:r>
          </w:p>
          <w:p w:rsidR="00841E2B" w:rsidRPr="009B2F08" w:rsidRDefault="00752DBB" w:rsidP="00752DBB">
            <w:pPr>
              <w:pStyle w:val="BodyText"/>
              <w:spacing w:before="100" w:line="260" w:lineRule="atLeast"/>
              <w:jc w:val="left"/>
              <w:rPr>
                <w:rFonts w:ascii="Arial" w:hAnsi="Arial" w:cs="Arial"/>
                <w:sz w:val="20"/>
              </w:rPr>
            </w:pPr>
            <w:r>
              <w:rPr>
                <w:rFonts w:ascii="Arial" w:hAnsi="Arial" w:cs="Arial"/>
                <w:sz w:val="20"/>
              </w:rPr>
              <w:br/>
            </w:r>
            <w:r>
              <w:rPr>
                <w:rFonts w:ascii="Arial" w:hAnsi="Arial" w:cs="Arial"/>
                <w:sz w:val="20"/>
              </w:rPr>
              <w:br/>
            </w:r>
            <w:r w:rsidR="00CC30C8">
              <w:rPr>
                <w:rFonts w:ascii="Arial" w:hAnsi="Arial" w:cs="Arial"/>
                <w:sz w:val="20"/>
              </w:rPr>
              <w:br/>
            </w:r>
            <w:r w:rsidR="00CC30C8">
              <w:rPr>
                <w:rFonts w:ascii="Arial" w:hAnsi="Arial" w:cs="Arial"/>
                <w:sz w:val="20"/>
              </w:rPr>
              <w:br/>
            </w:r>
          </w:p>
          <w:p w:rsidR="00841E2B" w:rsidRPr="009B2F08" w:rsidRDefault="00841E2B" w:rsidP="00752DBB">
            <w:pPr>
              <w:pStyle w:val="BodyText"/>
              <w:spacing w:before="100" w:line="260" w:lineRule="atLeast"/>
              <w:jc w:val="left"/>
              <w:rPr>
                <w:rFonts w:ascii="Arial" w:hAnsi="Arial" w:cs="Arial"/>
                <w:sz w:val="20"/>
              </w:rPr>
            </w:pPr>
            <w:r w:rsidRPr="009B2F08">
              <w:rPr>
                <w:rFonts w:ascii="Arial" w:hAnsi="Arial" w:cs="Arial"/>
                <w:sz w:val="20"/>
              </w:rPr>
              <w:t xml:space="preserve">p. </w:t>
            </w:r>
            <w:r w:rsidR="0024766C" w:rsidRPr="009B2F08">
              <w:rPr>
                <w:rFonts w:ascii="Arial" w:hAnsi="Arial" w:cs="Arial"/>
                <w:sz w:val="20"/>
              </w:rPr>
              <w:t>24</w:t>
            </w:r>
            <w:r w:rsidR="00D552AC">
              <w:rPr>
                <w:rFonts w:ascii="Arial" w:hAnsi="Arial" w:cs="Arial"/>
                <w:sz w:val="20"/>
              </w:rPr>
              <w:t>6</w:t>
            </w:r>
            <w:r w:rsidR="0024766C" w:rsidRPr="009B2F08">
              <w:rPr>
                <w:rFonts w:ascii="Arial" w:hAnsi="Arial" w:cs="Arial"/>
                <w:sz w:val="20"/>
              </w:rPr>
              <w:t>-2</w:t>
            </w:r>
            <w:r w:rsidR="00D552AC">
              <w:rPr>
                <w:rFonts w:ascii="Arial" w:hAnsi="Arial" w:cs="Arial"/>
                <w:sz w:val="20"/>
              </w:rPr>
              <w:t>49</w:t>
            </w:r>
            <w:r w:rsidR="00CC30C8">
              <w:rPr>
                <w:rFonts w:ascii="Arial" w:hAnsi="Arial" w:cs="Arial"/>
                <w:sz w:val="20"/>
              </w:rPr>
              <w:br/>
            </w:r>
            <w:r w:rsidR="00CC30C8">
              <w:rPr>
                <w:rFonts w:ascii="Arial" w:hAnsi="Arial" w:cs="Arial"/>
                <w:sz w:val="20"/>
              </w:rPr>
              <w:br/>
            </w:r>
            <w:r w:rsidR="00752DBB">
              <w:rPr>
                <w:rFonts w:ascii="Arial" w:hAnsi="Arial" w:cs="Arial"/>
                <w:sz w:val="20"/>
              </w:rPr>
              <w:br/>
            </w:r>
          </w:p>
          <w:p w:rsidR="00752DBB" w:rsidRDefault="00CC30C8" w:rsidP="00752DBB">
            <w:pPr>
              <w:pStyle w:val="BodyText"/>
              <w:spacing w:before="100" w:line="260" w:lineRule="atLeast"/>
              <w:jc w:val="left"/>
              <w:rPr>
                <w:rFonts w:ascii="Arial" w:hAnsi="Arial" w:cs="Arial"/>
                <w:sz w:val="20"/>
              </w:rPr>
            </w:pPr>
            <w:r>
              <w:rPr>
                <w:rFonts w:ascii="Arial" w:hAnsi="Arial" w:cs="Arial"/>
                <w:sz w:val="20"/>
              </w:rPr>
              <w:t>Figure 6.2 (p. 248)</w:t>
            </w:r>
            <w:r w:rsidR="00752DBB">
              <w:rPr>
                <w:rFonts w:ascii="Arial" w:hAnsi="Arial" w:cs="Arial"/>
                <w:sz w:val="20"/>
              </w:rPr>
              <w:br/>
            </w:r>
            <w:r>
              <w:rPr>
                <w:rFonts w:ascii="Arial" w:hAnsi="Arial" w:cs="Arial"/>
                <w:sz w:val="20"/>
              </w:rPr>
              <w:br/>
            </w:r>
            <w:r w:rsidR="00752DBB">
              <w:rPr>
                <w:rFonts w:ascii="Arial" w:hAnsi="Arial" w:cs="Arial"/>
                <w:sz w:val="20"/>
              </w:rPr>
              <w:br/>
            </w:r>
          </w:p>
          <w:p w:rsidR="00841E2B" w:rsidRPr="009B2F08" w:rsidRDefault="00CC30C8" w:rsidP="00752DBB">
            <w:pPr>
              <w:pStyle w:val="BodyText"/>
              <w:spacing w:before="100" w:line="260" w:lineRule="atLeast"/>
              <w:jc w:val="left"/>
              <w:rPr>
                <w:rFonts w:ascii="Arial" w:hAnsi="Arial" w:cs="Arial"/>
                <w:sz w:val="20"/>
              </w:rPr>
            </w:pPr>
            <w:r>
              <w:rPr>
                <w:rFonts w:ascii="Arial" w:hAnsi="Arial" w:cs="Arial"/>
                <w:sz w:val="20"/>
              </w:rPr>
              <w:t>F</w:t>
            </w:r>
            <w:r w:rsidR="009B2F08" w:rsidRPr="009B2F08">
              <w:rPr>
                <w:rFonts w:ascii="Arial" w:hAnsi="Arial" w:cs="Arial"/>
                <w:sz w:val="20"/>
              </w:rPr>
              <w:t>igure 6.6 (p. 251)</w:t>
            </w:r>
            <w:r w:rsidR="00752DBB">
              <w:rPr>
                <w:rFonts w:ascii="Arial" w:hAnsi="Arial" w:cs="Arial"/>
                <w:sz w:val="20"/>
              </w:rPr>
              <w:br/>
            </w:r>
          </w:p>
          <w:p w:rsidR="00841E2B" w:rsidRPr="009B2F08" w:rsidRDefault="00841E2B" w:rsidP="00752DBB">
            <w:pPr>
              <w:pStyle w:val="BodyText"/>
              <w:spacing w:before="100" w:line="260" w:lineRule="atLeast"/>
              <w:jc w:val="left"/>
              <w:rPr>
                <w:rFonts w:ascii="Arial" w:hAnsi="Arial" w:cs="Arial"/>
                <w:sz w:val="20"/>
              </w:rPr>
            </w:pPr>
            <w:r w:rsidRPr="009B2F08">
              <w:rPr>
                <w:rFonts w:ascii="Arial" w:hAnsi="Arial" w:cs="Arial"/>
                <w:sz w:val="20"/>
              </w:rPr>
              <w:t xml:space="preserve">pp. </w:t>
            </w:r>
            <w:r w:rsidR="009B2F08" w:rsidRPr="009B2F08">
              <w:rPr>
                <w:rFonts w:ascii="Arial" w:hAnsi="Arial" w:cs="Arial"/>
                <w:sz w:val="20"/>
              </w:rPr>
              <w:t>252-253</w:t>
            </w:r>
            <w:r w:rsidR="00752DBB">
              <w:rPr>
                <w:rFonts w:ascii="Arial" w:hAnsi="Arial" w:cs="Arial"/>
                <w:sz w:val="20"/>
              </w:rPr>
              <w:br/>
            </w:r>
            <w:r w:rsidR="00752DBB">
              <w:rPr>
                <w:rFonts w:ascii="Arial" w:hAnsi="Arial" w:cs="Arial"/>
                <w:sz w:val="20"/>
              </w:rPr>
              <w:br/>
            </w:r>
            <w:r w:rsidR="00752DBB">
              <w:rPr>
                <w:rFonts w:ascii="Arial" w:hAnsi="Arial" w:cs="Arial"/>
                <w:sz w:val="20"/>
              </w:rPr>
              <w:br/>
            </w:r>
            <w:r w:rsidR="00752DBB">
              <w:rPr>
                <w:rFonts w:ascii="Arial" w:hAnsi="Arial" w:cs="Arial"/>
                <w:sz w:val="20"/>
              </w:rPr>
              <w:br/>
            </w:r>
            <w:r w:rsidR="00752DBB">
              <w:rPr>
                <w:rFonts w:ascii="Arial" w:hAnsi="Arial" w:cs="Arial"/>
                <w:sz w:val="20"/>
              </w:rPr>
              <w:br/>
            </w:r>
            <w:r w:rsidR="00752DBB">
              <w:rPr>
                <w:rFonts w:ascii="Arial" w:hAnsi="Arial" w:cs="Arial"/>
                <w:sz w:val="20"/>
              </w:rPr>
              <w:br/>
            </w:r>
            <w:r w:rsidR="00752DBB">
              <w:rPr>
                <w:rFonts w:ascii="Arial" w:hAnsi="Arial" w:cs="Arial"/>
                <w:sz w:val="20"/>
              </w:rPr>
              <w:br/>
            </w:r>
          </w:p>
          <w:p w:rsidR="00752DBB" w:rsidRDefault="00752DBB" w:rsidP="00752DBB">
            <w:pPr>
              <w:pStyle w:val="BodyText"/>
              <w:spacing w:before="100" w:line="260" w:lineRule="atLeast"/>
              <w:jc w:val="left"/>
              <w:rPr>
                <w:rFonts w:ascii="Arial" w:hAnsi="Arial" w:cs="Arial"/>
                <w:sz w:val="20"/>
              </w:rPr>
            </w:pPr>
            <w:r>
              <w:rPr>
                <w:rFonts w:ascii="Arial" w:hAnsi="Arial" w:cs="Arial"/>
                <w:sz w:val="20"/>
              </w:rPr>
              <w:br/>
            </w:r>
            <w:r>
              <w:rPr>
                <w:rFonts w:ascii="Arial" w:hAnsi="Arial" w:cs="Arial"/>
                <w:sz w:val="20"/>
              </w:rPr>
              <w:br/>
            </w:r>
            <w:r>
              <w:rPr>
                <w:rFonts w:ascii="Arial" w:hAnsi="Arial" w:cs="Arial"/>
                <w:sz w:val="20"/>
              </w:rPr>
              <w:br/>
            </w:r>
          </w:p>
          <w:p w:rsidR="00841E2B" w:rsidRPr="009B2F08" w:rsidRDefault="00841E2B" w:rsidP="00752DBB">
            <w:pPr>
              <w:pStyle w:val="BodyText"/>
              <w:spacing w:before="100" w:line="260" w:lineRule="atLeast"/>
              <w:jc w:val="left"/>
              <w:rPr>
                <w:rFonts w:ascii="Arial" w:hAnsi="Arial" w:cs="Arial"/>
                <w:sz w:val="20"/>
              </w:rPr>
            </w:pPr>
            <w:r w:rsidRPr="009B2F08">
              <w:rPr>
                <w:rFonts w:ascii="Arial" w:hAnsi="Arial" w:cs="Arial"/>
                <w:sz w:val="20"/>
              </w:rPr>
              <w:t xml:space="preserve">pp. </w:t>
            </w:r>
            <w:r w:rsidR="003A248A">
              <w:rPr>
                <w:rFonts w:ascii="Arial" w:hAnsi="Arial" w:cs="Arial"/>
                <w:sz w:val="20"/>
              </w:rPr>
              <w:t>256-257; pp. </w:t>
            </w:r>
            <w:r w:rsidR="009B2F08" w:rsidRPr="009B2F08">
              <w:rPr>
                <w:rFonts w:ascii="Arial" w:hAnsi="Arial" w:cs="Arial"/>
                <w:sz w:val="20"/>
              </w:rPr>
              <w:t>25</w:t>
            </w:r>
            <w:r w:rsidR="003A248A">
              <w:rPr>
                <w:rFonts w:ascii="Arial" w:hAnsi="Arial" w:cs="Arial"/>
                <w:sz w:val="20"/>
              </w:rPr>
              <w:t>9</w:t>
            </w:r>
            <w:r w:rsidRPr="009B2F08">
              <w:rPr>
                <w:rFonts w:ascii="Arial" w:hAnsi="Arial" w:cs="Arial"/>
                <w:sz w:val="20"/>
              </w:rPr>
              <w:t>-</w:t>
            </w:r>
            <w:r w:rsidR="009B2F08" w:rsidRPr="009B2F08">
              <w:rPr>
                <w:rFonts w:ascii="Arial" w:hAnsi="Arial" w:cs="Arial"/>
                <w:sz w:val="20"/>
              </w:rPr>
              <w:t>26</w:t>
            </w:r>
            <w:r w:rsidR="003A248A">
              <w:rPr>
                <w:rFonts w:ascii="Arial" w:hAnsi="Arial" w:cs="Arial"/>
                <w:sz w:val="20"/>
              </w:rPr>
              <w:t>0</w:t>
            </w:r>
            <w:r w:rsidR="009B2F08" w:rsidRPr="009B2F08">
              <w:rPr>
                <w:rFonts w:ascii="Arial" w:hAnsi="Arial" w:cs="Arial"/>
                <w:sz w:val="20"/>
              </w:rPr>
              <w:t>; figure</w:t>
            </w:r>
            <w:r w:rsidR="00E63363">
              <w:rPr>
                <w:rFonts w:ascii="Arial" w:hAnsi="Arial" w:cs="Arial"/>
                <w:sz w:val="20"/>
              </w:rPr>
              <w:t>s</w:t>
            </w:r>
            <w:r w:rsidR="009B2F08" w:rsidRPr="009B2F08">
              <w:rPr>
                <w:rFonts w:ascii="Arial" w:hAnsi="Arial" w:cs="Arial"/>
                <w:sz w:val="20"/>
              </w:rPr>
              <w:t xml:space="preserve"> 6.9 (p. 256)</w:t>
            </w:r>
            <w:r w:rsidR="00E63363">
              <w:rPr>
                <w:rFonts w:ascii="Arial" w:hAnsi="Arial" w:cs="Arial"/>
                <w:sz w:val="20"/>
              </w:rPr>
              <w:t xml:space="preserve"> and 6.10 (p. 257)</w:t>
            </w:r>
            <w:r w:rsidR="00752DBB">
              <w:rPr>
                <w:rFonts w:ascii="Arial" w:hAnsi="Arial" w:cs="Arial"/>
                <w:sz w:val="20"/>
              </w:rPr>
              <w:br/>
            </w:r>
          </w:p>
          <w:p w:rsidR="009B2F08" w:rsidRPr="00752DBB" w:rsidRDefault="009B2F08" w:rsidP="00752DBB">
            <w:pPr>
              <w:pStyle w:val="BodyText"/>
              <w:spacing w:before="100" w:line="260" w:lineRule="atLeast"/>
              <w:jc w:val="left"/>
              <w:rPr>
                <w:rFonts w:ascii="Arial" w:hAnsi="Arial" w:cs="Arial"/>
                <w:sz w:val="20"/>
              </w:rPr>
            </w:pPr>
            <w:r w:rsidRPr="009B2F08">
              <w:rPr>
                <w:rFonts w:ascii="Arial" w:hAnsi="Arial" w:cs="Arial"/>
                <w:sz w:val="20"/>
              </w:rPr>
              <w:t>pp. 26</w:t>
            </w:r>
            <w:r w:rsidR="003A248A">
              <w:rPr>
                <w:rFonts w:ascii="Arial" w:hAnsi="Arial" w:cs="Arial"/>
                <w:sz w:val="20"/>
              </w:rPr>
              <w:t>4</w:t>
            </w:r>
            <w:r w:rsidRPr="009B2F08">
              <w:rPr>
                <w:rFonts w:ascii="Arial" w:hAnsi="Arial" w:cs="Arial"/>
                <w:sz w:val="20"/>
              </w:rPr>
              <w:t>-266</w:t>
            </w:r>
            <w:r w:rsidR="00E63363">
              <w:rPr>
                <w:rFonts w:ascii="Arial" w:hAnsi="Arial" w:cs="Arial"/>
                <w:sz w:val="20"/>
              </w:rPr>
              <w:t>; figure 6.13 (p. 264)</w:t>
            </w:r>
          </w:p>
        </w:tc>
      </w:tr>
      <w:tr w:rsidR="00841E2B" w:rsidTr="001C5DE8">
        <w:tc>
          <w:tcPr>
            <w:tcW w:w="3966" w:type="pct"/>
            <w:tcBorders>
              <w:top w:val="nil"/>
              <w:left w:val="nil"/>
              <w:bottom w:val="single" w:sz="12" w:space="0" w:color="66BCDB" w:themeColor="text2"/>
              <w:right w:val="nil"/>
            </w:tcBorders>
            <w:shd w:val="clear" w:color="auto" w:fill="F2F2F2"/>
          </w:tcPr>
          <w:p w:rsidR="00841E2B" w:rsidRDefault="00841E2B" w:rsidP="00164848">
            <w:pPr>
              <w:pStyle w:val="Box"/>
              <w:spacing w:before="0" w:line="120" w:lineRule="exact"/>
            </w:pPr>
          </w:p>
        </w:tc>
        <w:tc>
          <w:tcPr>
            <w:tcW w:w="194" w:type="pct"/>
            <w:tcBorders>
              <w:top w:val="nil"/>
              <w:left w:val="nil"/>
              <w:bottom w:val="nil"/>
              <w:right w:val="nil"/>
            </w:tcBorders>
            <w:shd w:val="clear" w:color="auto" w:fill="FFFFFF" w:themeFill="background1"/>
          </w:tcPr>
          <w:p w:rsidR="00841E2B" w:rsidRDefault="00841E2B" w:rsidP="00164848">
            <w:pPr>
              <w:pStyle w:val="Box"/>
              <w:spacing w:before="0" w:line="120" w:lineRule="exact"/>
            </w:pPr>
          </w:p>
        </w:tc>
        <w:tc>
          <w:tcPr>
            <w:tcW w:w="840" w:type="pct"/>
            <w:tcBorders>
              <w:top w:val="nil"/>
              <w:left w:val="nil"/>
              <w:bottom w:val="single" w:sz="12" w:space="0" w:color="66BCDB" w:themeColor="text2"/>
              <w:right w:val="nil"/>
            </w:tcBorders>
            <w:shd w:val="clear" w:color="auto" w:fill="F2F2F2"/>
          </w:tcPr>
          <w:p w:rsidR="00841E2B" w:rsidRDefault="00841E2B" w:rsidP="0064694C">
            <w:pPr>
              <w:pStyle w:val="Box"/>
              <w:spacing w:before="0" w:line="120" w:lineRule="exact"/>
              <w:jc w:val="left"/>
            </w:pPr>
          </w:p>
        </w:tc>
      </w:tr>
    </w:tbl>
    <w:p w:rsidR="00F54AAE" w:rsidRDefault="00F54AAE">
      <w:r>
        <w:rPr>
          <w:b/>
        </w:rPr>
        <w:br w:type="page"/>
      </w:r>
    </w:p>
    <w:tbl>
      <w:tblPr>
        <w:tblW w:w="4903" w:type="pct"/>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6836"/>
        <w:gridCol w:w="334"/>
        <w:gridCol w:w="1448"/>
      </w:tblGrid>
      <w:tr w:rsidR="00DF109C" w:rsidRPr="00DF109C" w:rsidTr="001C5DE8">
        <w:tc>
          <w:tcPr>
            <w:tcW w:w="3966" w:type="pct"/>
            <w:tcBorders>
              <w:top w:val="single" w:sz="12" w:space="0" w:color="66BCDB" w:themeColor="text2"/>
              <w:left w:val="nil"/>
              <w:bottom w:val="nil"/>
              <w:right w:val="nil"/>
            </w:tcBorders>
            <w:shd w:val="clear" w:color="auto" w:fill="F2F2F2"/>
          </w:tcPr>
          <w:p w:rsidR="00E63363" w:rsidRPr="00DF109C" w:rsidRDefault="00E63363" w:rsidP="00E63363">
            <w:pPr>
              <w:pStyle w:val="BoxTitle"/>
              <w:rPr>
                <w:color w:val="000000" w:themeColor="text1"/>
              </w:rPr>
            </w:pPr>
            <w:r w:rsidRPr="00DF109C">
              <w:rPr>
                <w:color w:val="000000" w:themeColor="text1"/>
              </w:rPr>
              <w:lastRenderedPageBreak/>
              <w:t xml:space="preserve">Chapter 7: </w:t>
            </w:r>
            <w:r w:rsidR="00251A4D" w:rsidRPr="00DF109C">
              <w:rPr>
                <w:color w:val="000000" w:themeColor="text1"/>
              </w:rPr>
              <w:t>Market structure, contestability and behaviour</w:t>
            </w:r>
          </w:p>
        </w:tc>
        <w:tc>
          <w:tcPr>
            <w:tcW w:w="194" w:type="pct"/>
            <w:tcBorders>
              <w:top w:val="nil"/>
              <w:left w:val="nil"/>
              <w:bottom w:val="nil"/>
              <w:right w:val="nil"/>
            </w:tcBorders>
            <w:shd w:val="clear" w:color="auto" w:fill="FFFFFF" w:themeFill="background1"/>
          </w:tcPr>
          <w:p w:rsidR="00E63363" w:rsidRPr="00DF109C" w:rsidRDefault="00E63363" w:rsidP="00164848">
            <w:pPr>
              <w:pStyle w:val="BoxTitle"/>
              <w:rPr>
                <w:color w:val="000000" w:themeColor="text1"/>
              </w:rPr>
            </w:pPr>
          </w:p>
        </w:tc>
        <w:tc>
          <w:tcPr>
            <w:tcW w:w="840" w:type="pct"/>
            <w:tcBorders>
              <w:top w:val="single" w:sz="12" w:space="0" w:color="66BCDB" w:themeColor="text2"/>
              <w:left w:val="nil"/>
              <w:bottom w:val="nil"/>
              <w:right w:val="nil"/>
            </w:tcBorders>
            <w:shd w:val="clear" w:color="auto" w:fill="F2F2F2"/>
          </w:tcPr>
          <w:p w:rsidR="00E63363" w:rsidRPr="00DF109C" w:rsidRDefault="00E63363" w:rsidP="0064694C">
            <w:pPr>
              <w:pStyle w:val="BoxTitle"/>
              <w:rPr>
                <w:color w:val="000000" w:themeColor="text1"/>
              </w:rPr>
            </w:pPr>
            <w:r w:rsidRPr="00DF109C">
              <w:rPr>
                <w:color w:val="000000" w:themeColor="text1"/>
              </w:rPr>
              <w:t>For more</w:t>
            </w:r>
          </w:p>
        </w:tc>
      </w:tr>
      <w:tr w:rsidR="00DF109C" w:rsidRPr="00DF109C" w:rsidTr="00164848">
        <w:tc>
          <w:tcPr>
            <w:tcW w:w="3966" w:type="pct"/>
            <w:tcBorders>
              <w:top w:val="nil"/>
              <w:left w:val="nil"/>
              <w:bottom w:val="nil"/>
              <w:right w:val="nil"/>
            </w:tcBorders>
            <w:shd w:val="clear" w:color="auto" w:fill="F2F2F2"/>
          </w:tcPr>
          <w:p w:rsidR="00251A4D" w:rsidRPr="00DF109C" w:rsidRDefault="00251A4D" w:rsidP="00251A4D">
            <w:pPr>
              <w:pStyle w:val="KeyPointsListBullet"/>
              <w:rPr>
                <w:color w:val="000000" w:themeColor="text1"/>
              </w:rPr>
            </w:pPr>
            <w:r w:rsidRPr="00DF109C">
              <w:rPr>
                <w:color w:val="000000" w:themeColor="text1"/>
              </w:rPr>
              <w:t xml:space="preserve">Being a product of member compulsion and much fund regulation, superannuation is a unique market characterised by an important distinction between competition </w:t>
            </w:r>
            <w:r w:rsidRPr="00DF109C">
              <w:rPr>
                <w:i/>
                <w:color w:val="000000" w:themeColor="text1"/>
              </w:rPr>
              <w:t xml:space="preserve">in </w:t>
            </w:r>
            <w:r w:rsidRPr="00DF109C">
              <w:rPr>
                <w:color w:val="000000" w:themeColor="text1"/>
              </w:rPr>
              <w:t xml:space="preserve">and </w:t>
            </w:r>
            <w:r w:rsidRPr="00DF109C">
              <w:rPr>
                <w:i/>
                <w:color w:val="000000" w:themeColor="text1"/>
              </w:rPr>
              <w:t>for</w:t>
            </w:r>
            <w:r w:rsidRPr="00DF109C">
              <w:rPr>
                <w:color w:val="000000" w:themeColor="text1"/>
              </w:rPr>
              <w:t xml:space="preserve"> the market.</w:t>
            </w:r>
          </w:p>
          <w:p w:rsidR="00251A4D" w:rsidRPr="00DF109C" w:rsidRDefault="00251A4D" w:rsidP="00251A4D">
            <w:pPr>
              <w:pStyle w:val="KeyPointsListBullet"/>
              <w:rPr>
                <w:color w:val="000000" w:themeColor="text1"/>
              </w:rPr>
            </w:pPr>
            <w:r w:rsidRPr="00DF109C">
              <w:rPr>
                <w:color w:val="000000" w:themeColor="text1"/>
              </w:rPr>
              <w:t>There is no single or simple metric to assess whether the system is performing competitively and delivering good outcomes for members. Some high</w:t>
            </w:r>
            <w:r w:rsidRPr="00DF109C">
              <w:rPr>
                <w:color w:val="000000" w:themeColor="text1"/>
              </w:rPr>
              <w:noBreakHyphen/>
              <w:t>level metrics suggest much of the system is potentially conducive to rivalry and contestability.</w:t>
            </w:r>
          </w:p>
          <w:p w:rsidR="00251A4D" w:rsidRPr="00DF109C" w:rsidRDefault="00251A4D" w:rsidP="00251A4D">
            <w:pPr>
              <w:pStyle w:val="BoxListBullet2"/>
              <w:ind w:left="567" w:hanging="283"/>
              <w:rPr>
                <w:color w:val="000000" w:themeColor="text1"/>
              </w:rPr>
            </w:pPr>
            <w:r w:rsidRPr="00DF109C">
              <w:rPr>
                <w:color w:val="000000" w:themeColor="text1"/>
              </w:rPr>
              <w:t>The retail level of the system is characterised by many diverse funds, low concentration and a contestable choice segment. While structural features of the system create challenges for new entrants, they are not prohibitive or even high barriers to entry.</w:t>
            </w:r>
          </w:p>
          <w:p w:rsidR="00251A4D" w:rsidRPr="00DF109C" w:rsidRDefault="00251A4D" w:rsidP="00251A4D">
            <w:pPr>
              <w:pStyle w:val="BoxListBullet2"/>
              <w:ind w:left="567" w:hanging="283"/>
              <w:rPr>
                <w:color w:val="000000" w:themeColor="text1"/>
              </w:rPr>
            </w:pPr>
            <w:r w:rsidRPr="00DF109C">
              <w:rPr>
                <w:color w:val="000000" w:themeColor="text1"/>
              </w:rPr>
              <w:t>Small high</w:t>
            </w:r>
            <w:r w:rsidRPr="00DF109C">
              <w:rPr>
                <w:color w:val="000000" w:themeColor="text1"/>
              </w:rPr>
              <w:noBreakHyphen/>
              <w:t>cost funds have dominated exits (largely corporate and retail funds) over the past decade; though the pace of consolidation has slowed and a large number of small funds (112 with assets under $1 billion) remain in play for over two million member accounts.</w:t>
            </w:r>
          </w:p>
          <w:p w:rsidR="00251A4D" w:rsidRPr="00DF109C" w:rsidRDefault="00251A4D" w:rsidP="00DF109C">
            <w:pPr>
              <w:pStyle w:val="KeyPointsListBullet"/>
              <w:rPr>
                <w:color w:val="000000" w:themeColor="text1"/>
              </w:rPr>
            </w:pPr>
            <w:r w:rsidRPr="00DF109C">
              <w:rPr>
                <w:color w:val="000000" w:themeColor="text1"/>
              </w:rPr>
              <w:t>The ability of larger funds to shift to insourcing functions such as investment and administration provides a welcome source of competitive pressure in wholesale markets.</w:t>
            </w:r>
          </w:p>
          <w:p w:rsidR="00251A4D" w:rsidRPr="00DF109C" w:rsidRDefault="00251A4D" w:rsidP="00251A4D">
            <w:pPr>
              <w:pStyle w:val="KeyPointsListBullet"/>
              <w:rPr>
                <w:color w:val="000000" w:themeColor="text1"/>
              </w:rPr>
            </w:pPr>
            <w:r w:rsidRPr="00DF109C">
              <w:rPr>
                <w:color w:val="000000" w:themeColor="text1"/>
              </w:rPr>
              <w:t>But this masks the absence of healthy competition, at the expense of members.</w:t>
            </w:r>
          </w:p>
          <w:p w:rsidR="00251A4D" w:rsidRPr="00DF109C" w:rsidRDefault="00251A4D" w:rsidP="00251A4D">
            <w:pPr>
              <w:pStyle w:val="BoxListBullet2"/>
              <w:ind w:left="567" w:hanging="283"/>
              <w:rPr>
                <w:color w:val="000000" w:themeColor="text1"/>
              </w:rPr>
            </w:pPr>
            <w:r w:rsidRPr="00DF109C">
              <w:rPr>
                <w:color w:val="000000" w:themeColor="text1"/>
              </w:rPr>
              <w:t xml:space="preserve">There are high barriers in the default segment for new entrants and a marked absence of competition </w:t>
            </w:r>
            <w:r w:rsidRPr="00DF109C">
              <w:rPr>
                <w:i/>
                <w:color w:val="000000" w:themeColor="text1"/>
              </w:rPr>
              <w:t>for</w:t>
            </w:r>
            <w:r w:rsidRPr="00DF109C">
              <w:rPr>
                <w:color w:val="000000" w:themeColor="text1"/>
              </w:rPr>
              <w:t xml:space="preserve"> the market.</w:t>
            </w:r>
          </w:p>
          <w:p w:rsidR="00251A4D" w:rsidRPr="00DF109C" w:rsidRDefault="00251A4D" w:rsidP="00251A4D">
            <w:pPr>
              <w:pStyle w:val="BoxListBullet2"/>
              <w:rPr>
                <w:color w:val="000000" w:themeColor="text1"/>
              </w:rPr>
            </w:pPr>
            <w:r w:rsidRPr="00DF109C">
              <w:rPr>
                <w:color w:val="000000" w:themeColor="text1"/>
              </w:rPr>
              <w:t xml:space="preserve">Product proliferation </w:t>
            </w:r>
            <w:r w:rsidRPr="00DF109C" w:rsidDel="00CF43A5">
              <w:rPr>
                <w:color w:val="000000" w:themeColor="text1"/>
              </w:rPr>
              <w:t>(</w:t>
            </w:r>
            <w:r w:rsidRPr="00DF109C">
              <w:rPr>
                <w:color w:val="000000" w:themeColor="text1"/>
              </w:rPr>
              <w:t xml:space="preserve">excessive </w:t>
            </w:r>
            <w:r w:rsidRPr="00DF109C" w:rsidDel="00CF43A5">
              <w:rPr>
                <w:color w:val="000000" w:themeColor="text1"/>
              </w:rPr>
              <w:t xml:space="preserve">choice) </w:t>
            </w:r>
            <w:r w:rsidRPr="00DF109C">
              <w:rPr>
                <w:color w:val="000000" w:themeColor="text1"/>
              </w:rPr>
              <w:t>and the absence of simple comparable data are symptoms of unhealthy competition. Member inertia creates challenges for new entrants in the choice segment where competition has not always led to better member outcomes.</w:t>
            </w:r>
          </w:p>
          <w:p w:rsidR="00251A4D" w:rsidRPr="00DF109C" w:rsidRDefault="00251A4D" w:rsidP="00251A4D">
            <w:pPr>
              <w:pStyle w:val="BoxListBullet2"/>
              <w:ind w:left="567" w:hanging="283"/>
              <w:rPr>
                <w:color w:val="000000" w:themeColor="text1"/>
              </w:rPr>
            </w:pPr>
            <w:r w:rsidRPr="00DF109C">
              <w:rPr>
                <w:color w:val="000000" w:themeColor="text1"/>
              </w:rPr>
              <w:t>Horizontal and vertical integration, while not of themselves a problem, have not always led to better outcomes for members. The absence of robust, transparent reporting (including to APRA) on related</w:t>
            </w:r>
            <w:r w:rsidRPr="00DF109C">
              <w:rPr>
                <w:color w:val="000000" w:themeColor="text1"/>
              </w:rPr>
              <w:noBreakHyphen/>
              <w:t>party outsourcing arrangements precludes any reasonable assessment of this conduct and needs immediate redress. The</w:t>
            </w:r>
            <w:r w:rsidRPr="00DF109C" w:rsidDel="0096547D">
              <w:rPr>
                <w:color w:val="000000" w:themeColor="text1"/>
              </w:rPr>
              <w:t xml:space="preserve"> </w:t>
            </w:r>
            <w:r w:rsidRPr="00DF109C">
              <w:rPr>
                <w:color w:val="000000" w:themeColor="text1"/>
              </w:rPr>
              <w:t>poor response to the Commission’s funds survey (including on these arrangements) is symptomatic of a concerning disregard by many funds for transparency and members’ best interests.</w:t>
            </w:r>
          </w:p>
          <w:p w:rsidR="00E63363" w:rsidRPr="00DF109C" w:rsidRDefault="00251A4D" w:rsidP="00251A4D">
            <w:pPr>
              <w:pStyle w:val="KeyPointsListBullet"/>
              <w:rPr>
                <w:color w:val="000000" w:themeColor="text1"/>
              </w:rPr>
            </w:pPr>
            <w:r w:rsidRPr="00DF109C">
              <w:rPr>
                <w:color w:val="000000" w:themeColor="text1"/>
              </w:rPr>
              <w:t>Significant economies of scale have been realised over the past decade, albeit largely driven by the exit of high</w:t>
            </w:r>
            <w:r w:rsidRPr="00DF109C">
              <w:rPr>
                <w:color w:val="000000" w:themeColor="text1"/>
              </w:rPr>
              <w:noBreakHyphen/>
              <w:t>cost subscale funds. However, the remaining large tail of small funds suggests unrealised scale economies remain in the system at much cost to members, and point to less than fully effective competition in the system. Preliminary analysis also reveals an absence of scale economies being passed through to members.</w:t>
            </w:r>
          </w:p>
        </w:tc>
        <w:tc>
          <w:tcPr>
            <w:tcW w:w="194" w:type="pct"/>
            <w:tcBorders>
              <w:top w:val="nil"/>
              <w:left w:val="nil"/>
              <w:bottom w:val="nil"/>
              <w:right w:val="nil"/>
            </w:tcBorders>
            <w:shd w:val="clear" w:color="auto" w:fill="FFFFFF" w:themeFill="background1"/>
          </w:tcPr>
          <w:p w:rsidR="00E63363" w:rsidRPr="00DF109C" w:rsidRDefault="00E63363" w:rsidP="00164848">
            <w:pPr>
              <w:pStyle w:val="BoxListBullet"/>
              <w:numPr>
                <w:ilvl w:val="0"/>
                <w:numId w:val="0"/>
              </w:numPr>
              <w:ind w:left="284"/>
              <w:rPr>
                <w:color w:val="000000" w:themeColor="text1"/>
              </w:rPr>
            </w:pPr>
          </w:p>
        </w:tc>
        <w:tc>
          <w:tcPr>
            <w:tcW w:w="840" w:type="pct"/>
            <w:tcBorders>
              <w:top w:val="nil"/>
              <w:left w:val="nil"/>
              <w:bottom w:val="nil"/>
              <w:right w:val="nil"/>
            </w:tcBorders>
            <w:shd w:val="clear" w:color="auto" w:fill="F2F2F2"/>
          </w:tcPr>
          <w:p w:rsidR="00896CA6" w:rsidRDefault="00752DBB" w:rsidP="00752DBB">
            <w:pPr>
              <w:pStyle w:val="BodyText"/>
              <w:spacing w:before="100" w:line="260" w:lineRule="atLeast"/>
              <w:jc w:val="left"/>
              <w:rPr>
                <w:rFonts w:ascii="Arial" w:hAnsi="Arial" w:cs="Arial"/>
                <w:color w:val="000000" w:themeColor="text1"/>
                <w:sz w:val="20"/>
              </w:rPr>
            </w:pPr>
            <w:r>
              <w:rPr>
                <w:rFonts w:ascii="Arial" w:hAnsi="Arial" w:cs="Arial"/>
                <w:color w:val="000000" w:themeColor="text1"/>
                <w:sz w:val="20"/>
              </w:rPr>
              <w:br/>
            </w:r>
            <w:r>
              <w:rPr>
                <w:rFonts w:ascii="Arial" w:hAnsi="Arial" w:cs="Arial"/>
                <w:color w:val="000000" w:themeColor="text1"/>
                <w:sz w:val="20"/>
              </w:rPr>
              <w:br/>
            </w:r>
          </w:p>
          <w:p w:rsidR="00896CA6" w:rsidRDefault="00752DBB" w:rsidP="00752DBB">
            <w:pPr>
              <w:pStyle w:val="BodyText"/>
              <w:spacing w:before="100" w:line="260" w:lineRule="atLeast"/>
              <w:jc w:val="left"/>
              <w:rPr>
                <w:rFonts w:ascii="Arial" w:hAnsi="Arial" w:cs="Arial"/>
                <w:color w:val="000000" w:themeColor="text1"/>
                <w:sz w:val="20"/>
              </w:rPr>
            </w:pPr>
            <w:r>
              <w:rPr>
                <w:rFonts w:ascii="Arial" w:hAnsi="Arial" w:cs="Arial"/>
                <w:color w:val="000000" w:themeColor="text1"/>
                <w:sz w:val="20"/>
              </w:rPr>
              <w:br/>
            </w:r>
            <w:r>
              <w:rPr>
                <w:rFonts w:ascii="Arial" w:hAnsi="Arial" w:cs="Arial"/>
                <w:color w:val="000000" w:themeColor="text1"/>
                <w:sz w:val="20"/>
              </w:rPr>
              <w:br/>
            </w:r>
            <w:r>
              <w:rPr>
                <w:rFonts w:ascii="Arial" w:hAnsi="Arial" w:cs="Arial"/>
                <w:color w:val="000000" w:themeColor="text1"/>
                <w:sz w:val="20"/>
              </w:rPr>
              <w:br/>
            </w:r>
          </w:p>
          <w:p w:rsidR="00752DBB" w:rsidRDefault="00E63363" w:rsidP="00752DBB">
            <w:pPr>
              <w:pStyle w:val="BodyText"/>
              <w:spacing w:before="100" w:line="260" w:lineRule="atLeast"/>
              <w:jc w:val="left"/>
              <w:rPr>
                <w:rFonts w:ascii="Arial" w:hAnsi="Arial" w:cs="Arial"/>
                <w:color w:val="000000" w:themeColor="text1"/>
                <w:sz w:val="20"/>
              </w:rPr>
            </w:pPr>
            <w:r w:rsidRPr="00DF109C">
              <w:rPr>
                <w:rFonts w:ascii="Arial" w:hAnsi="Arial" w:cs="Arial"/>
                <w:color w:val="000000" w:themeColor="text1"/>
                <w:sz w:val="20"/>
              </w:rPr>
              <w:t xml:space="preserve">pp. </w:t>
            </w:r>
            <w:r w:rsidR="00DF109C" w:rsidRPr="00DF109C">
              <w:rPr>
                <w:rFonts w:ascii="Arial" w:hAnsi="Arial" w:cs="Arial"/>
                <w:color w:val="000000" w:themeColor="text1"/>
                <w:sz w:val="20"/>
              </w:rPr>
              <w:t>274-277</w:t>
            </w:r>
            <w:r w:rsidR="007F49EA">
              <w:rPr>
                <w:rFonts w:ascii="Arial" w:hAnsi="Arial" w:cs="Arial"/>
                <w:color w:val="000000" w:themeColor="text1"/>
                <w:sz w:val="20"/>
              </w:rPr>
              <w:t xml:space="preserve"> </w:t>
            </w:r>
            <w:r w:rsidR="000063F5">
              <w:rPr>
                <w:rFonts w:ascii="Arial" w:hAnsi="Arial" w:cs="Arial"/>
                <w:color w:val="000000" w:themeColor="text1"/>
                <w:sz w:val="20"/>
              </w:rPr>
              <w:br/>
            </w:r>
            <w:r w:rsidR="000063F5">
              <w:rPr>
                <w:rFonts w:ascii="Arial" w:hAnsi="Arial" w:cs="Arial"/>
                <w:color w:val="000000" w:themeColor="text1"/>
                <w:sz w:val="20"/>
              </w:rPr>
              <w:br/>
            </w:r>
            <w:r w:rsidR="00752DBB">
              <w:rPr>
                <w:rFonts w:ascii="Arial" w:hAnsi="Arial" w:cs="Arial"/>
                <w:color w:val="000000" w:themeColor="text1"/>
                <w:sz w:val="20"/>
              </w:rPr>
              <w:br/>
            </w:r>
          </w:p>
          <w:p w:rsidR="000063F5" w:rsidRDefault="000063F5" w:rsidP="00752DBB">
            <w:pPr>
              <w:pStyle w:val="BodyText"/>
              <w:spacing w:before="100" w:line="260" w:lineRule="atLeast"/>
              <w:jc w:val="left"/>
              <w:rPr>
                <w:rFonts w:ascii="Arial" w:hAnsi="Arial" w:cs="Arial"/>
                <w:color w:val="000000" w:themeColor="text1"/>
                <w:sz w:val="20"/>
              </w:rPr>
            </w:pPr>
            <w:r>
              <w:rPr>
                <w:rFonts w:ascii="Arial" w:hAnsi="Arial" w:cs="Arial"/>
                <w:color w:val="000000" w:themeColor="text1"/>
                <w:sz w:val="20"/>
              </w:rPr>
              <w:t>Figure 7.7 (p. 287)</w:t>
            </w:r>
            <w:r w:rsidR="00752DBB">
              <w:rPr>
                <w:rFonts w:ascii="Arial" w:hAnsi="Arial" w:cs="Arial"/>
                <w:color w:val="000000" w:themeColor="text1"/>
                <w:sz w:val="20"/>
              </w:rPr>
              <w:br/>
            </w:r>
            <w:r w:rsidR="00752DBB">
              <w:rPr>
                <w:rFonts w:ascii="Arial" w:hAnsi="Arial" w:cs="Arial"/>
                <w:color w:val="000000" w:themeColor="text1"/>
                <w:sz w:val="20"/>
              </w:rPr>
              <w:br/>
            </w:r>
          </w:p>
          <w:p w:rsidR="00E63363" w:rsidRPr="00DF109C" w:rsidRDefault="00DF109C" w:rsidP="00752DBB">
            <w:pPr>
              <w:pStyle w:val="BodyText"/>
              <w:spacing w:before="100" w:line="260" w:lineRule="atLeast"/>
              <w:jc w:val="left"/>
              <w:rPr>
                <w:rFonts w:ascii="Arial" w:hAnsi="Arial" w:cs="Arial"/>
                <w:color w:val="000000" w:themeColor="text1"/>
                <w:sz w:val="20"/>
              </w:rPr>
            </w:pPr>
            <w:r w:rsidRPr="00DF109C">
              <w:rPr>
                <w:rFonts w:ascii="Arial" w:hAnsi="Arial" w:cs="Arial"/>
                <w:color w:val="000000" w:themeColor="text1"/>
                <w:sz w:val="20"/>
              </w:rPr>
              <w:t>pp. 2</w:t>
            </w:r>
            <w:r w:rsidR="00EF6F6E">
              <w:rPr>
                <w:rFonts w:ascii="Arial" w:hAnsi="Arial" w:cs="Arial"/>
                <w:color w:val="000000" w:themeColor="text1"/>
                <w:sz w:val="20"/>
              </w:rPr>
              <w:t>8</w:t>
            </w:r>
            <w:r w:rsidR="009E0CE3">
              <w:rPr>
                <w:rFonts w:ascii="Arial" w:hAnsi="Arial" w:cs="Arial"/>
                <w:color w:val="000000" w:themeColor="text1"/>
                <w:sz w:val="20"/>
              </w:rPr>
              <w:t>0</w:t>
            </w:r>
            <w:r w:rsidRPr="00DF109C">
              <w:rPr>
                <w:rFonts w:ascii="Arial" w:hAnsi="Arial" w:cs="Arial"/>
                <w:color w:val="000000" w:themeColor="text1"/>
                <w:sz w:val="20"/>
              </w:rPr>
              <w:t>-28</w:t>
            </w:r>
            <w:r w:rsidR="00EF6F6E">
              <w:rPr>
                <w:rFonts w:ascii="Arial" w:hAnsi="Arial" w:cs="Arial"/>
                <w:color w:val="000000" w:themeColor="text1"/>
                <w:sz w:val="20"/>
              </w:rPr>
              <w:t>3</w:t>
            </w:r>
            <w:r w:rsidR="00752DBB">
              <w:rPr>
                <w:rFonts w:ascii="Arial" w:hAnsi="Arial" w:cs="Arial"/>
                <w:color w:val="000000" w:themeColor="text1"/>
                <w:sz w:val="20"/>
              </w:rPr>
              <w:br/>
            </w:r>
            <w:r w:rsidR="00752DBB">
              <w:rPr>
                <w:rFonts w:ascii="Arial" w:hAnsi="Arial" w:cs="Arial"/>
                <w:color w:val="000000" w:themeColor="text1"/>
                <w:sz w:val="20"/>
              </w:rPr>
              <w:br/>
            </w:r>
          </w:p>
          <w:p w:rsidR="00203064" w:rsidRDefault="00752DBB" w:rsidP="00752DBB">
            <w:pPr>
              <w:pStyle w:val="BodyText"/>
              <w:spacing w:before="100" w:line="260" w:lineRule="atLeast"/>
              <w:jc w:val="left"/>
              <w:rPr>
                <w:rFonts w:ascii="Arial" w:hAnsi="Arial" w:cs="Arial"/>
                <w:color w:val="000000" w:themeColor="text1"/>
                <w:sz w:val="20"/>
              </w:rPr>
            </w:pPr>
            <w:r>
              <w:rPr>
                <w:rFonts w:ascii="Arial" w:hAnsi="Arial" w:cs="Arial"/>
                <w:color w:val="000000" w:themeColor="text1"/>
                <w:sz w:val="20"/>
              </w:rPr>
              <w:br/>
            </w:r>
          </w:p>
          <w:p w:rsidR="00752DBB" w:rsidRDefault="00E63363" w:rsidP="00752DBB">
            <w:pPr>
              <w:pStyle w:val="BodyText"/>
              <w:spacing w:before="100" w:line="260" w:lineRule="atLeast"/>
              <w:jc w:val="left"/>
              <w:rPr>
                <w:rFonts w:ascii="Arial" w:hAnsi="Arial" w:cs="Arial"/>
                <w:color w:val="000000" w:themeColor="text1"/>
                <w:sz w:val="20"/>
              </w:rPr>
            </w:pPr>
            <w:r w:rsidRPr="00DF109C">
              <w:rPr>
                <w:rFonts w:ascii="Arial" w:hAnsi="Arial" w:cs="Arial"/>
                <w:color w:val="000000" w:themeColor="text1"/>
                <w:sz w:val="20"/>
              </w:rPr>
              <w:t xml:space="preserve">pp. </w:t>
            </w:r>
            <w:r w:rsidR="00DF109C" w:rsidRPr="00DF109C">
              <w:rPr>
                <w:rFonts w:ascii="Arial" w:hAnsi="Arial" w:cs="Arial"/>
                <w:color w:val="000000" w:themeColor="text1"/>
                <w:sz w:val="20"/>
              </w:rPr>
              <w:t>28</w:t>
            </w:r>
            <w:r w:rsidR="002F23A8">
              <w:rPr>
                <w:rFonts w:ascii="Arial" w:hAnsi="Arial" w:cs="Arial"/>
                <w:color w:val="000000" w:themeColor="text1"/>
                <w:sz w:val="20"/>
              </w:rPr>
              <w:t>8</w:t>
            </w:r>
            <w:r w:rsidR="00DF109C" w:rsidRPr="00DF109C">
              <w:rPr>
                <w:rFonts w:ascii="Arial" w:hAnsi="Arial" w:cs="Arial"/>
                <w:color w:val="000000" w:themeColor="text1"/>
                <w:sz w:val="20"/>
              </w:rPr>
              <w:t>-29</w:t>
            </w:r>
            <w:r w:rsidR="00203064">
              <w:rPr>
                <w:rFonts w:ascii="Arial" w:hAnsi="Arial" w:cs="Arial"/>
                <w:color w:val="000000" w:themeColor="text1"/>
                <w:sz w:val="20"/>
              </w:rPr>
              <w:t>2</w:t>
            </w:r>
            <w:r w:rsidR="00DF109C" w:rsidRPr="00DF109C">
              <w:rPr>
                <w:rFonts w:ascii="Arial" w:hAnsi="Arial" w:cs="Arial"/>
                <w:color w:val="000000" w:themeColor="text1"/>
                <w:sz w:val="20"/>
              </w:rPr>
              <w:t>; figure 7.9 (p. 292)</w:t>
            </w:r>
          </w:p>
          <w:p w:rsidR="00752DBB" w:rsidRDefault="00DF109C" w:rsidP="00752DBB">
            <w:pPr>
              <w:pStyle w:val="BodyText"/>
              <w:spacing w:before="100" w:line="260" w:lineRule="atLeast"/>
              <w:jc w:val="left"/>
              <w:rPr>
                <w:rFonts w:ascii="Arial" w:hAnsi="Arial" w:cs="Arial"/>
                <w:color w:val="000000" w:themeColor="text1"/>
                <w:sz w:val="20"/>
              </w:rPr>
            </w:pPr>
            <w:r w:rsidRPr="00DF109C">
              <w:rPr>
                <w:rFonts w:ascii="Arial" w:hAnsi="Arial" w:cs="Arial"/>
                <w:color w:val="000000" w:themeColor="text1"/>
                <w:sz w:val="20"/>
              </w:rPr>
              <w:t>pp. 296-297</w:t>
            </w:r>
            <w:r w:rsidR="00203064">
              <w:rPr>
                <w:rFonts w:ascii="Arial" w:hAnsi="Arial" w:cs="Arial"/>
                <w:color w:val="000000" w:themeColor="text1"/>
                <w:sz w:val="20"/>
              </w:rPr>
              <w:br/>
            </w:r>
            <w:r w:rsidR="00203064">
              <w:rPr>
                <w:rFonts w:ascii="Arial" w:hAnsi="Arial" w:cs="Arial"/>
                <w:color w:val="000000" w:themeColor="text1"/>
                <w:sz w:val="20"/>
              </w:rPr>
              <w:br/>
            </w:r>
          </w:p>
          <w:p w:rsidR="00E63363" w:rsidRPr="00DF109C" w:rsidRDefault="00DF109C" w:rsidP="00752DBB">
            <w:pPr>
              <w:pStyle w:val="BodyText"/>
              <w:spacing w:before="100" w:line="260" w:lineRule="atLeast"/>
              <w:jc w:val="left"/>
              <w:rPr>
                <w:rFonts w:ascii="Arial" w:hAnsi="Arial" w:cs="Arial"/>
                <w:color w:val="000000" w:themeColor="text1"/>
                <w:sz w:val="20"/>
              </w:rPr>
            </w:pPr>
            <w:r w:rsidRPr="00DF109C">
              <w:rPr>
                <w:rFonts w:ascii="Arial" w:hAnsi="Arial" w:cs="Arial"/>
                <w:color w:val="000000" w:themeColor="text1"/>
                <w:sz w:val="20"/>
              </w:rPr>
              <w:t>pp. 298-303</w:t>
            </w:r>
            <w:r w:rsidR="00752DBB">
              <w:rPr>
                <w:rFonts w:ascii="Arial" w:hAnsi="Arial" w:cs="Arial"/>
                <w:color w:val="000000" w:themeColor="text1"/>
                <w:sz w:val="20"/>
              </w:rPr>
              <w:br/>
            </w:r>
            <w:r w:rsidR="00752DBB">
              <w:rPr>
                <w:rFonts w:ascii="Arial" w:hAnsi="Arial" w:cs="Arial"/>
                <w:color w:val="000000" w:themeColor="text1"/>
                <w:sz w:val="20"/>
              </w:rPr>
              <w:br/>
            </w:r>
            <w:r w:rsidR="00752DBB">
              <w:rPr>
                <w:rFonts w:ascii="Arial" w:hAnsi="Arial" w:cs="Arial"/>
                <w:color w:val="000000" w:themeColor="text1"/>
                <w:sz w:val="20"/>
              </w:rPr>
              <w:br/>
            </w:r>
            <w:r w:rsidR="00752DBB">
              <w:rPr>
                <w:rFonts w:ascii="Arial" w:hAnsi="Arial" w:cs="Arial"/>
                <w:color w:val="000000" w:themeColor="text1"/>
                <w:sz w:val="20"/>
              </w:rPr>
              <w:br/>
            </w:r>
            <w:r w:rsidR="00752DBB">
              <w:rPr>
                <w:rFonts w:ascii="Arial" w:hAnsi="Arial" w:cs="Arial"/>
                <w:color w:val="000000" w:themeColor="text1"/>
                <w:sz w:val="20"/>
              </w:rPr>
              <w:br/>
            </w:r>
            <w:r w:rsidR="00752DBB">
              <w:rPr>
                <w:rFonts w:ascii="Arial" w:hAnsi="Arial" w:cs="Arial"/>
                <w:color w:val="000000" w:themeColor="text1"/>
                <w:sz w:val="20"/>
              </w:rPr>
              <w:br/>
            </w:r>
            <w:r w:rsidR="00752DBB">
              <w:rPr>
                <w:rFonts w:ascii="Arial" w:hAnsi="Arial" w:cs="Arial"/>
                <w:color w:val="000000" w:themeColor="text1"/>
                <w:sz w:val="20"/>
              </w:rPr>
              <w:br/>
            </w:r>
          </w:p>
          <w:p w:rsidR="00E63363" w:rsidRPr="00752DBB" w:rsidRDefault="00E63363" w:rsidP="00752DBB">
            <w:pPr>
              <w:pStyle w:val="BodyText"/>
              <w:spacing w:before="100" w:line="260" w:lineRule="atLeast"/>
              <w:jc w:val="left"/>
              <w:rPr>
                <w:rFonts w:ascii="Arial" w:hAnsi="Arial" w:cs="Arial"/>
                <w:color w:val="000000" w:themeColor="text1"/>
                <w:sz w:val="20"/>
              </w:rPr>
            </w:pPr>
            <w:r w:rsidRPr="00DF109C">
              <w:rPr>
                <w:rFonts w:ascii="Arial" w:hAnsi="Arial" w:cs="Arial"/>
                <w:color w:val="000000" w:themeColor="text1"/>
                <w:sz w:val="20"/>
              </w:rPr>
              <w:t xml:space="preserve">pp. </w:t>
            </w:r>
            <w:r w:rsidR="00DF109C" w:rsidRPr="00DF109C">
              <w:rPr>
                <w:rFonts w:ascii="Arial" w:hAnsi="Arial" w:cs="Arial"/>
                <w:color w:val="000000" w:themeColor="text1"/>
                <w:sz w:val="20"/>
              </w:rPr>
              <w:t>30</w:t>
            </w:r>
            <w:r w:rsidR="009E0CE3">
              <w:rPr>
                <w:rFonts w:ascii="Arial" w:hAnsi="Arial" w:cs="Arial"/>
                <w:color w:val="000000" w:themeColor="text1"/>
                <w:sz w:val="20"/>
              </w:rPr>
              <w:t>4</w:t>
            </w:r>
            <w:r w:rsidR="00DF109C" w:rsidRPr="00DF109C">
              <w:rPr>
                <w:rFonts w:ascii="Arial" w:hAnsi="Arial" w:cs="Arial"/>
                <w:color w:val="000000" w:themeColor="text1"/>
                <w:sz w:val="20"/>
              </w:rPr>
              <w:t>-30</w:t>
            </w:r>
            <w:r w:rsidR="009E0CE3">
              <w:rPr>
                <w:rFonts w:ascii="Arial" w:hAnsi="Arial" w:cs="Arial"/>
                <w:color w:val="000000" w:themeColor="text1"/>
                <w:sz w:val="20"/>
              </w:rPr>
              <w:t>7</w:t>
            </w:r>
            <w:r w:rsidRPr="00DF109C">
              <w:rPr>
                <w:rFonts w:ascii="Arial" w:hAnsi="Arial" w:cs="Arial"/>
                <w:color w:val="000000" w:themeColor="text1"/>
                <w:sz w:val="20"/>
              </w:rPr>
              <w:t xml:space="preserve">; figure </w:t>
            </w:r>
            <w:r w:rsidR="00DF109C" w:rsidRPr="00DF109C">
              <w:rPr>
                <w:rFonts w:ascii="Arial" w:hAnsi="Arial" w:cs="Arial"/>
                <w:color w:val="000000" w:themeColor="text1"/>
                <w:sz w:val="20"/>
              </w:rPr>
              <w:t>7.12</w:t>
            </w:r>
            <w:r w:rsidRPr="00DF109C">
              <w:rPr>
                <w:rFonts w:ascii="Arial" w:hAnsi="Arial" w:cs="Arial"/>
                <w:color w:val="000000" w:themeColor="text1"/>
                <w:sz w:val="20"/>
              </w:rPr>
              <w:t xml:space="preserve"> (p. </w:t>
            </w:r>
            <w:r w:rsidR="00DF109C" w:rsidRPr="00DF109C">
              <w:rPr>
                <w:rFonts w:ascii="Arial" w:hAnsi="Arial" w:cs="Arial"/>
                <w:color w:val="000000" w:themeColor="text1"/>
                <w:sz w:val="20"/>
              </w:rPr>
              <w:t>307</w:t>
            </w:r>
            <w:r w:rsidRPr="00DF109C">
              <w:rPr>
                <w:rFonts w:ascii="Arial" w:hAnsi="Arial" w:cs="Arial"/>
                <w:color w:val="000000" w:themeColor="text1"/>
                <w:sz w:val="20"/>
              </w:rPr>
              <w:t>)</w:t>
            </w:r>
          </w:p>
        </w:tc>
      </w:tr>
      <w:tr w:rsidR="00DF109C" w:rsidRPr="00DF109C" w:rsidTr="001C5DE8">
        <w:tc>
          <w:tcPr>
            <w:tcW w:w="3966" w:type="pct"/>
            <w:tcBorders>
              <w:top w:val="nil"/>
              <w:left w:val="nil"/>
              <w:bottom w:val="single" w:sz="12" w:space="0" w:color="66BCDB" w:themeColor="text2"/>
              <w:right w:val="nil"/>
            </w:tcBorders>
            <w:shd w:val="clear" w:color="auto" w:fill="F2F2F2"/>
          </w:tcPr>
          <w:p w:rsidR="00E63363" w:rsidRPr="00DF109C" w:rsidRDefault="00E63363" w:rsidP="00164848">
            <w:pPr>
              <w:pStyle w:val="Box"/>
              <w:spacing w:before="0" w:line="120" w:lineRule="exact"/>
              <w:rPr>
                <w:color w:val="000000" w:themeColor="text1"/>
              </w:rPr>
            </w:pPr>
          </w:p>
        </w:tc>
        <w:tc>
          <w:tcPr>
            <w:tcW w:w="194" w:type="pct"/>
            <w:tcBorders>
              <w:top w:val="nil"/>
              <w:left w:val="nil"/>
              <w:bottom w:val="nil"/>
              <w:right w:val="nil"/>
            </w:tcBorders>
            <w:shd w:val="clear" w:color="auto" w:fill="FFFFFF" w:themeFill="background1"/>
          </w:tcPr>
          <w:p w:rsidR="00E63363" w:rsidRPr="00DF109C" w:rsidRDefault="00E63363" w:rsidP="00164848">
            <w:pPr>
              <w:pStyle w:val="Box"/>
              <w:spacing w:before="0" w:line="120" w:lineRule="exact"/>
              <w:rPr>
                <w:color w:val="000000" w:themeColor="text1"/>
              </w:rPr>
            </w:pPr>
          </w:p>
        </w:tc>
        <w:tc>
          <w:tcPr>
            <w:tcW w:w="840" w:type="pct"/>
            <w:tcBorders>
              <w:top w:val="nil"/>
              <w:left w:val="nil"/>
              <w:bottom w:val="single" w:sz="12" w:space="0" w:color="66BCDB" w:themeColor="text2"/>
              <w:right w:val="nil"/>
            </w:tcBorders>
            <w:shd w:val="clear" w:color="auto" w:fill="F2F2F2"/>
          </w:tcPr>
          <w:p w:rsidR="00E63363" w:rsidRPr="00DF109C" w:rsidRDefault="00E63363" w:rsidP="0064694C">
            <w:pPr>
              <w:pStyle w:val="Box"/>
              <w:spacing w:before="0" w:line="120" w:lineRule="exact"/>
              <w:jc w:val="left"/>
              <w:rPr>
                <w:color w:val="000000" w:themeColor="text1"/>
              </w:rPr>
            </w:pPr>
          </w:p>
        </w:tc>
      </w:tr>
      <w:tr w:rsidR="00DF109C" w:rsidRPr="00DF109C" w:rsidTr="001C5DE8">
        <w:tc>
          <w:tcPr>
            <w:tcW w:w="3966" w:type="pct"/>
            <w:tcBorders>
              <w:top w:val="single" w:sz="12" w:space="0" w:color="66BCDB" w:themeColor="text2"/>
              <w:left w:val="nil"/>
              <w:bottom w:val="nil"/>
              <w:right w:val="nil"/>
            </w:tcBorders>
          </w:tcPr>
          <w:p w:rsidR="00E63363" w:rsidRPr="00DF109C" w:rsidRDefault="00E63363" w:rsidP="00164848">
            <w:pPr>
              <w:pStyle w:val="BoxSpaceBelow"/>
              <w:rPr>
                <w:color w:val="000000" w:themeColor="text1"/>
              </w:rPr>
            </w:pPr>
          </w:p>
        </w:tc>
        <w:tc>
          <w:tcPr>
            <w:tcW w:w="194" w:type="pct"/>
            <w:tcBorders>
              <w:top w:val="nil"/>
              <w:left w:val="nil"/>
              <w:bottom w:val="nil"/>
              <w:right w:val="nil"/>
            </w:tcBorders>
            <w:shd w:val="clear" w:color="auto" w:fill="FFFFFF" w:themeFill="background1"/>
          </w:tcPr>
          <w:p w:rsidR="00E63363" w:rsidRPr="00DF109C" w:rsidRDefault="00E63363" w:rsidP="00164848">
            <w:pPr>
              <w:pStyle w:val="BoxSpaceBelow"/>
              <w:rPr>
                <w:color w:val="000000" w:themeColor="text1"/>
              </w:rPr>
            </w:pPr>
          </w:p>
        </w:tc>
        <w:tc>
          <w:tcPr>
            <w:tcW w:w="840" w:type="pct"/>
            <w:tcBorders>
              <w:top w:val="single" w:sz="12" w:space="0" w:color="66BCDB" w:themeColor="text2"/>
              <w:left w:val="nil"/>
              <w:bottom w:val="nil"/>
              <w:right w:val="nil"/>
            </w:tcBorders>
          </w:tcPr>
          <w:p w:rsidR="00E63363" w:rsidRPr="00DF109C" w:rsidRDefault="00E63363" w:rsidP="0064694C">
            <w:pPr>
              <w:pStyle w:val="BoxSpaceBelow"/>
              <w:jc w:val="left"/>
              <w:rPr>
                <w:color w:val="000000" w:themeColor="text1"/>
              </w:rPr>
            </w:pPr>
          </w:p>
        </w:tc>
      </w:tr>
    </w:tbl>
    <w:p w:rsidR="006E5630" w:rsidRDefault="006E5630" w:rsidP="006E5630">
      <w:pPr>
        <w:pStyle w:val="BodyText"/>
      </w:pPr>
      <w:r>
        <w:br w:type="page"/>
      </w:r>
    </w:p>
    <w:tbl>
      <w:tblPr>
        <w:tblW w:w="4903" w:type="pct"/>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6836"/>
        <w:gridCol w:w="334"/>
        <w:gridCol w:w="1448"/>
      </w:tblGrid>
      <w:tr w:rsidR="006E5630" w:rsidRPr="006E5630" w:rsidTr="001C5DE8">
        <w:tc>
          <w:tcPr>
            <w:tcW w:w="3966" w:type="pct"/>
            <w:tcBorders>
              <w:top w:val="single" w:sz="12" w:space="0" w:color="66BCDB" w:themeColor="text2"/>
              <w:left w:val="nil"/>
              <w:bottom w:val="nil"/>
              <w:right w:val="nil"/>
            </w:tcBorders>
            <w:shd w:val="clear" w:color="auto" w:fill="F2F2F2"/>
          </w:tcPr>
          <w:p w:rsidR="006E5630" w:rsidRPr="006E5630" w:rsidRDefault="006E5630" w:rsidP="006E5630">
            <w:pPr>
              <w:pStyle w:val="BoxTitle"/>
            </w:pPr>
            <w:r w:rsidRPr="006E5630">
              <w:lastRenderedPageBreak/>
              <w:t>Chapter 8: Insurance</w:t>
            </w:r>
          </w:p>
        </w:tc>
        <w:tc>
          <w:tcPr>
            <w:tcW w:w="194" w:type="pct"/>
            <w:tcBorders>
              <w:top w:val="nil"/>
              <w:left w:val="nil"/>
              <w:bottom w:val="nil"/>
              <w:right w:val="nil"/>
            </w:tcBorders>
            <w:shd w:val="clear" w:color="auto" w:fill="FFFFFF" w:themeFill="background1"/>
          </w:tcPr>
          <w:p w:rsidR="006E5630" w:rsidRPr="006E5630" w:rsidRDefault="006E5630" w:rsidP="006E5630">
            <w:pPr>
              <w:pStyle w:val="BoxTitle"/>
            </w:pPr>
          </w:p>
        </w:tc>
        <w:tc>
          <w:tcPr>
            <w:tcW w:w="840" w:type="pct"/>
            <w:tcBorders>
              <w:top w:val="single" w:sz="12" w:space="0" w:color="66BCDB" w:themeColor="text2"/>
              <w:left w:val="nil"/>
              <w:bottom w:val="nil"/>
              <w:right w:val="nil"/>
            </w:tcBorders>
            <w:shd w:val="clear" w:color="auto" w:fill="F2F2F2"/>
          </w:tcPr>
          <w:p w:rsidR="006E5630" w:rsidRPr="006E5630" w:rsidRDefault="006E5630" w:rsidP="0064694C">
            <w:pPr>
              <w:pStyle w:val="BoxTitle"/>
            </w:pPr>
            <w:r w:rsidRPr="006E5630">
              <w:t>For more</w:t>
            </w:r>
          </w:p>
        </w:tc>
      </w:tr>
      <w:tr w:rsidR="00085631" w:rsidRPr="00085631" w:rsidTr="00164848">
        <w:tc>
          <w:tcPr>
            <w:tcW w:w="3966" w:type="pct"/>
            <w:tcBorders>
              <w:top w:val="nil"/>
              <w:left w:val="nil"/>
              <w:bottom w:val="nil"/>
              <w:right w:val="nil"/>
            </w:tcBorders>
            <w:shd w:val="clear" w:color="auto" w:fill="F2F2F2"/>
          </w:tcPr>
          <w:p w:rsidR="006E5630" w:rsidRPr="00085631" w:rsidRDefault="006E5630" w:rsidP="006E5630">
            <w:pPr>
              <w:pStyle w:val="KeyPointsListBullet"/>
              <w:spacing w:before="80" w:line="240" w:lineRule="atLeast"/>
            </w:pPr>
            <w:r w:rsidRPr="00085631">
              <w:t>Around 12 million Australians hold insurance — for life, total and permanent disability, and income protection — through their superannuation, with about 80 per cent of these policies provided automatically (requiring members to opt out or amend cover if it is unsuitable). Premiums vary widely, but in total increased by 35 per cent over the past three years to $9 billion in 2016</w:t>
            </w:r>
            <w:r w:rsidRPr="00085631">
              <w:noBreakHyphen/>
              <w:t>17 (including an estimated $1.9 billion on unintended duplicate policies).</w:t>
            </w:r>
          </w:p>
          <w:p w:rsidR="006E5630" w:rsidRPr="00085631" w:rsidRDefault="006E5630" w:rsidP="006E5630">
            <w:pPr>
              <w:pStyle w:val="KeyPointsListBullet"/>
              <w:spacing w:before="80" w:line="240" w:lineRule="atLeast"/>
            </w:pPr>
            <w:r w:rsidRPr="00085631">
              <w:t>Current settings are more a function of history than considered policy design. The suitability of insurance relies on trustees balancing cover for members against the erosion of account balances for retirement — avoiding unnecessary balance erosion is a formidable task.</w:t>
            </w:r>
          </w:p>
          <w:p w:rsidR="006E5630" w:rsidRPr="00085631" w:rsidRDefault="006E5630" w:rsidP="008C69CE">
            <w:pPr>
              <w:pStyle w:val="KeyPointsListBullet"/>
              <w:spacing w:before="80" w:line="240" w:lineRule="atLeast"/>
            </w:pPr>
            <w:r w:rsidRPr="00085631">
              <w:t>Many members benefit from the lower costs and ready access provided by default group insurance arrangements in superannuation. These arrangements also potentially address an underinsurance problem (although this is not assessed in this inquiry). But many entrenched problems remain — exacerbated by a lack of awareness by (around a quarter of) members as to whether they have such insurance. Particularly for young workers — either with no dependents (in the case of life insurance) or low incomes (in the case of income protection) — insurance is poor value and does not meet their needs.</w:t>
            </w:r>
          </w:p>
          <w:p w:rsidR="006E5630" w:rsidRPr="00085631" w:rsidRDefault="006E5630" w:rsidP="006E5630">
            <w:pPr>
              <w:pStyle w:val="KeyPointsListBullet"/>
              <w:spacing w:before="80" w:line="240" w:lineRule="atLeast"/>
            </w:pPr>
            <w:r w:rsidRPr="00085631">
              <w:t>Balance erosion can be excessive and highly regressive. The reduction in retirement balances for many of these members could reach 14 per cent ($85 000), and for some disadvantaged members could be reduced by over a quarter ($125 000). Trustees should be required to annually determine the ‘balance erosion trade</w:t>
            </w:r>
            <w:r w:rsidRPr="00085631">
              <w:noBreakHyphen/>
              <w:t xml:space="preserve">off’ for their members and publish it on their website. </w:t>
            </w:r>
          </w:p>
          <w:p w:rsidR="006E5630" w:rsidRPr="00085631" w:rsidRDefault="006E5630" w:rsidP="006E5630">
            <w:pPr>
              <w:pStyle w:val="KeyPointsListBullet"/>
              <w:spacing w:before="80" w:line="240" w:lineRule="atLeast"/>
            </w:pPr>
            <w:r w:rsidRPr="00085631">
              <w:t>Some members have policies that are of little or no use to them — including ‘zombie’ policies that cannot be claimed against (income protection being the main and expensive culprit). Funds could better use member data to inform product design and ensure offerings meet members’ needs. The lack of comparability across products makes switching to better superannuation products difficult.</w:t>
            </w:r>
          </w:p>
          <w:p w:rsidR="006E5630" w:rsidRPr="00085631" w:rsidRDefault="006E5630" w:rsidP="006E5630">
            <w:pPr>
              <w:pStyle w:val="KeyPointsListBullet"/>
              <w:spacing w:before="80" w:line="240" w:lineRule="atLeast"/>
            </w:pPr>
            <w:r w:rsidRPr="00085631">
              <w:t>The</w:t>
            </w:r>
            <w:r w:rsidRPr="00085631" w:rsidDel="00861758">
              <w:t xml:space="preserve"> </w:t>
            </w:r>
            <w:r w:rsidRPr="00085631">
              <w:t>Government-prompted industry code of practice, while a step in the right direction, falls short of what is needed. Its ultimate success depends on it being universally adopted by funds, its provisions being much bolstered and it being effectively enforced. An ASIC</w:t>
            </w:r>
            <w:r w:rsidRPr="00085631">
              <w:noBreakHyphen/>
              <w:t>APRA taskforce should monitor code adoption and provide guidance to industry on how to bolster the code. Signing the code should immediately be made compulsory to hold MySuper status. Industry should be given two years to make the bolstered code binding and enforceable.</w:t>
            </w:r>
          </w:p>
          <w:p w:rsidR="006E5630" w:rsidRPr="00085631" w:rsidRDefault="006E5630" w:rsidP="006E5630">
            <w:pPr>
              <w:pStyle w:val="KeyPointsListBullet"/>
              <w:spacing w:before="80" w:line="240" w:lineRule="atLeast"/>
            </w:pPr>
            <w:r w:rsidRPr="00085631">
              <w:t>Additional actions are required to weed out poor value policies — insurance should only be provided on an opt</w:t>
            </w:r>
            <w:r w:rsidRPr="00085631">
              <w:noBreakHyphen/>
              <w:t>in basis to members under 25, and cover should cease for all members on inactive accounts after 13 months, unless the member explicitly chooses otherwise.</w:t>
            </w:r>
          </w:p>
          <w:p w:rsidR="006E5630" w:rsidRPr="00085631" w:rsidRDefault="006E5630" w:rsidP="006E5630">
            <w:pPr>
              <w:pStyle w:val="KeyPointsListBullet"/>
              <w:spacing w:before="80" w:line="240" w:lineRule="atLeast"/>
            </w:pPr>
            <w:r w:rsidRPr="00085631">
              <w:t>An independent review of insurance in superannuation should be initiated within four years to review progress and determine whether further policy interventions are needed.</w:t>
            </w:r>
          </w:p>
        </w:tc>
        <w:tc>
          <w:tcPr>
            <w:tcW w:w="194" w:type="pct"/>
            <w:tcBorders>
              <w:top w:val="nil"/>
              <w:left w:val="nil"/>
              <w:bottom w:val="nil"/>
              <w:right w:val="nil"/>
            </w:tcBorders>
            <w:shd w:val="clear" w:color="auto" w:fill="FFFFFF" w:themeFill="background1"/>
          </w:tcPr>
          <w:p w:rsidR="006E5630" w:rsidRPr="00085631" w:rsidRDefault="006E5630" w:rsidP="00164848">
            <w:pPr>
              <w:pStyle w:val="BoxListBullet"/>
              <w:numPr>
                <w:ilvl w:val="0"/>
                <w:numId w:val="0"/>
              </w:numPr>
              <w:ind w:left="284"/>
            </w:pPr>
          </w:p>
        </w:tc>
        <w:tc>
          <w:tcPr>
            <w:tcW w:w="840" w:type="pct"/>
            <w:tcBorders>
              <w:top w:val="nil"/>
              <w:left w:val="nil"/>
              <w:bottom w:val="nil"/>
              <w:right w:val="nil"/>
            </w:tcBorders>
            <w:shd w:val="clear" w:color="auto" w:fill="F2F2F2"/>
          </w:tcPr>
          <w:p w:rsidR="007E5939" w:rsidRDefault="007E5939" w:rsidP="00752DBB">
            <w:pPr>
              <w:pStyle w:val="BodyText"/>
              <w:spacing w:before="80" w:line="240" w:lineRule="atLeast"/>
              <w:jc w:val="left"/>
              <w:rPr>
                <w:rFonts w:ascii="Arial" w:hAnsi="Arial" w:cs="Arial"/>
                <w:sz w:val="20"/>
              </w:rPr>
            </w:pPr>
            <w:r>
              <w:rPr>
                <w:rFonts w:ascii="Arial" w:hAnsi="Arial" w:cs="Arial"/>
                <w:sz w:val="20"/>
              </w:rPr>
              <w:t>Figure 8.3 (p. 316)</w:t>
            </w:r>
            <w:r w:rsidR="00752DBB">
              <w:rPr>
                <w:rFonts w:ascii="Arial" w:hAnsi="Arial" w:cs="Arial"/>
                <w:sz w:val="20"/>
              </w:rPr>
              <w:br/>
            </w:r>
            <w:r w:rsidR="00752DBB">
              <w:rPr>
                <w:rFonts w:ascii="Arial" w:hAnsi="Arial" w:cs="Arial"/>
                <w:sz w:val="20"/>
              </w:rPr>
              <w:br/>
            </w:r>
            <w:r>
              <w:rPr>
                <w:rFonts w:ascii="Arial" w:hAnsi="Arial" w:cs="Arial"/>
                <w:sz w:val="20"/>
              </w:rPr>
              <w:t>Figure 8.5 (p. 318)</w:t>
            </w:r>
            <w:r w:rsidR="00752DBB">
              <w:rPr>
                <w:rFonts w:ascii="Arial" w:hAnsi="Arial" w:cs="Arial"/>
                <w:sz w:val="20"/>
              </w:rPr>
              <w:br/>
            </w:r>
            <w:r w:rsidR="00752DBB">
              <w:rPr>
                <w:rFonts w:ascii="Arial" w:hAnsi="Arial" w:cs="Arial"/>
                <w:sz w:val="20"/>
              </w:rPr>
              <w:br/>
            </w:r>
          </w:p>
          <w:p w:rsidR="006E5630" w:rsidRPr="00085631" w:rsidRDefault="006E5630" w:rsidP="00752DBB">
            <w:pPr>
              <w:pStyle w:val="BodyText"/>
              <w:spacing w:before="80" w:line="240" w:lineRule="atLeast"/>
              <w:jc w:val="left"/>
              <w:rPr>
                <w:rFonts w:ascii="Arial" w:hAnsi="Arial" w:cs="Arial"/>
                <w:sz w:val="20"/>
              </w:rPr>
            </w:pPr>
            <w:r w:rsidRPr="00085631">
              <w:rPr>
                <w:rFonts w:ascii="Arial" w:hAnsi="Arial" w:cs="Arial"/>
                <w:sz w:val="20"/>
              </w:rPr>
              <w:t>pp. 320-322</w:t>
            </w:r>
            <w:r w:rsidR="00752DBB">
              <w:rPr>
                <w:rFonts w:ascii="Arial" w:hAnsi="Arial" w:cs="Arial"/>
                <w:sz w:val="20"/>
              </w:rPr>
              <w:br/>
            </w:r>
            <w:r w:rsidR="00752DBB">
              <w:rPr>
                <w:rFonts w:ascii="Arial" w:hAnsi="Arial" w:cs="Arial"/>
                <w:sz w:val="20"/>
              </w:rPr>
              <w:br/>
            </w:r>
            <w:r w:rsidR="00752DBB">
              <w:rPr>
                <w:rFonts w:ascii="Arial" w:hAnsi="Arial" w:cs="Arial"/>
                <w:sz w:val="20"/>
              </w:rPr>
              <w:br/>
            </w:r>
          </w:p>
          <w:p w:rsidR="006E5630" w:rsidRPr="00085631" w:rsidRDefault="006E5630" w:rsidP="00752DBB">
            <w:pPr>
              <w:pStyle w:val="BodyText"/>
              <w:spacing w:before="80" w:line="240" w:lineRule="atLeast"/>
              <w:jc w:val="left"/>
              <w:rPr>
                <w:rFonts w:ascii="Arial" w:hAnsi="Arial" w:cs="Arial"/>
                <w:sz w:val="20"/>
              </w:rPr>
            </w:pPr>
            <w:r w:rsidRPr="00085631">
              <w:rPr>
                <w:rFonts w:ascii="Arial" w:hAnsi="Arial" w:cs="Arial"/>
                <w:sz w:val="20"/>
              </w:rPr>
              <w:t>p</w:t>
            </w:r>
            <w:r w:rsidR="00C522E7">
              <w:rPr>
                <w:rFonts w:ascii="Arial" w:hAnsi="Arial" w:cs="Arial"/>
                <w:sz w:val="20"/>
              </w:rPr>
              <w:t>p. 322; pp. 325</w:t>
            </w:r>
            <w:r w:rsidR="00085631" w:rsidRPr="00085631">
              <w:rPr>
                <w:rFonts w:ascii="Arial" w:hAnsi="Arial" w:cs="Arial"/>
                <w:sz w:val="20"/>
              </w:rPr>
              <w:t>-3</w:t>
            </w:r>
            <w:r w:rsidR="00C522E7">
              <w:rPr>
                <w:rFonts w:ascii="Arial" w:hAnsi="Arial" w:cs="Arial"/>
                <w:sz w:val="20"/>
              </w:rPr>
              <w:t>26</w:t>
            </w:r>
            <w:r w:rsidR="00085631">
              <w:rPr>
                <w:rFonts w:ascii="Arial" w:hAnsi="Arial" w:cs="Arial"/>
                <w:sz w:val="20"/>
              </w:rPr>
              <w:t xml:space="preserve">; </w:t>
            </w:r>
            <w:r w:rsidR="00C522E7">
              <w:rPr>
                <w:rFonts w:ascii="Arial" w:hAnsi="Arial" w:cs="Arial"/>
                <w:sz w:val="20"/>
              </w:rPr>
              <w:t xml:space="preserve"> table 8.2 (p. 326); </w:t>
            </w:r>
            <w:r w:rsidR="00085631">
              <w:rPr>
                <w:rFonts w:ascii="Arial" w:hAnsi="Arial" w:cs="Arial"/>
                <w:sz w:val="20"/>
              </w:rPr>
              <w:t>figure 8.9 (p. 331)</w:t>
            </w:r>
            <w:r w:rsidR="00752DBB">
              <w:rPr>
                <w:rFonts w:ascii="Arial" w:hAnsi="Arial" w:cs="Arial"/>
                <w:sz w:val="20"/>
              </w:rPr>
              <w:br/>
            </w:r>
            <w:r w:rsidR="00752DBB">
              <w:rPr>
                <w:rFonts w:ascii="Arial" w:hAnsi="Arial" w:cs="Arial"/>
                <w:sz w:val="20"/>
              </w:rPr>
              <w:br/>
            </w:r>
            <w:r w:rsidR="00752DBB">
              <w:rPr>
                <w:rFonts w:ascii="Arial" w:hAnsi="Arial" w:cs="Arial"/>
                <w:sz w:val="20"/>
              </w:rPr>
              <w:br/>
            </w:r>
          </w:p>
          <w:p w:rsidR="00752DBB" w:rsidRDefault="00C522E7" w:rsidP="00752DBB">
            <w:pPr>
              <w:pStyle w:val="BodyText"/>
              <w:spacing w:before="80" w:line="240" w:lineRule="atLeast"/>
              <w:jc w:val="left"/>
              <w:rPr>
                <w:rFonts w:ascii="Arial" w:hAnsi="Arial" w:cs="Arial"/>
                <w:sz w:val="20"/>
              </w:rPr>
            </w:pPr>
            <w:r>
              <w:rPr>
                <w:rFonts w:ascii="Arial" w:hAnsi="Arial" w:cs="Arial"/>
                <w:sz w:val="20"/>
              </w:rPr>
              <w:t>Cameos 8.1</w:t>
            </w:r>
            <w:r w:rsidR="00BF25D3">
              <w:rPr>
                <w:rFonts w:ascii="Arial" w:hAnsi="Arial" w:cs="Arial"/>
                <w:sz w:val="20"/>
              </w:rPr>
              <w:t xml:space="preserve"> (p. 32</w:t>
            </w:r>
            <w:r>
              <w:rPr>
                <w:rFonts w:ascii="Arial" w:hAnsi="Arial" w:cs="Arial"/>
                <w:sz w:val="20"/>
              </w:rPr>
              <w:t>8</w:t>
            </w:r>
            <w:r w:rsidR="00BF25D3">
              <w:rPr>
                <w:rFonts w:ascii="Arial" w:hAnsi="Arial" w:cs="Arial"/>
                <w:sz w:val="20"/>
              </w:rPr>
              <w:t>)</w:t>
            </w:r>
            <w:r>
              <w:rPr>
                <w:rFonts w:ascii="Arial" w:hAnsi="Arial" w:cs="Arial"/>
                <w:sz w:val="20"/>
              </w:rPr>
              <w:t xml:space="preserve"> and 8.2 (p. 329)</w:t>
            </w:r>
            <w:r w:rsidR="00BF25D3">
              <w:rPr>
                <w:rFonts w:ascii="Arial" w:hAnsi="Arial" w:cs="Arial"/>
                <w:sz w:val="20"/>
              </w:rPr>
              <w:br/>
            </w:r>
            <w:r w:rsidR="00BF25D3">
              <w:rPr>
                <w:rFonts w:ascii="Arial" w:hAnsi="Arial" w:cs="Arial"/>
                <w:sz w:val="20"/>
              </w:rPr>
              <w:br/>
            </w:r>
            <w:r w:rsidR="00752DBB">
              <w:rPr>
                <w:rFonts w:ascii="Arial" w:hAnsi="Arial" w:cs="Arial"/>
                <w:sz w:val="20"/>
              </w:rPr>
              <w:br/>
            </w:r>
          </w:p>
          <w:p w:rsidR="006E5630" w:rsidRDefault="00C522E7" w:rsidP="00752DBB">
            <w:pPr>
              <w:pStyle w:val="BodyText"/>
              <w:spacing w:before="80" w:line="240" w:lineRule="atLeast"/>
              <w:jc w:val="left"/>
              <w:rPr>
                <w:rFonts w:ascii="Arial" w:hAnsi="Arial" w:cs="Arial"/>
                <w:sz w:val="20"/>
              </w:rPr>
            </w:pPr>
            <w:r>
              <w:rPr>
                <w:rFonts w:ascii="Arial" w:hAnsi="Arial" w:cs="Arial"/>
                <w:sz w:val="20"/>
              </w:rPr>
              <w:t>Box 8.5 (p. 335)</w:t>
            </w:r>
            <w:r w:rsidR="00752DBB">
              <w:rPr>
                <w:rFonts w:ascii="Arial" w:hAnsi="Arial" w:cs="Arial"/>
                <w:sz w:val="20"/>
              </w:rPr>
              <w:br/>
            </w:r>
            <w:r w:rsidR="00752DBB">
              <w:rPr>
                <w:rFonts w:ascii="Arial" w:hAnsi="Arial" w:cs="Arial"/>
                <w:sz w:val="20"/>
              </w:rPr>
              <w:br/>
            </w:r>
            <w:r w:rsidR="00752DBB">
              <w:rPr>
                <w:rFonts w:ascii="Arial" w:hAnsi="Arial" w:cs="Arial"/>
                <w:sz w:val="20"/>
              </w:rPr>
              <w:br/>
            </w:r>
            <w:r w:rsidR="00752DBB">
              <w:rPr>
                <w:rFonts w:ascii="Arial" w:hAnsi="Arial" w:cs="Arial"/>
                <w:sz w:val="20"/>
              </w:rPr>
              <w:br/>
            </w:r>
          </w:p>
          <w:p w:rsidR="006E5630" w:rsidRPr="00085631" w:rsidRDefault="00085631" w:rsidP="00752DBB">
            <w:pPr>
              <w:pStyle w:val="BodyText"/>
              <w:spacing w:before="80" w:line="240" w:lineRule="atLeast"/>
              <w:jc w:val="left"/>
              <w:rPr>
                <w:rFonts w:ascii="Arial" w:hAnsi="Arial" w:cs="Arial"/>
                <w:sz w:val="20"/>
              </w:rPr>
            </w:pPr>
            <w:r w:rsidRPr="00085631">
              <w:rPr>
                <w:rFonts w:ascii="Arial" w:hAnsi="Arial" w:cs="Arial"/>
                <w:sz w:val="20"/>
              </w:rPr>
              <w:t>pp. 339-343</w:t>
            </w:r>
            <w:r w:rsidR="00752DBB">
              <w:rPr>
                <w:rFonts w:ascii="Arial" w:hAnsi="Arial" w:cs="Arial"/>
                <w:sz w:val="20"/>
              </w:rPr>
              <w:br/>
            </w:r>
            <w:r w:rsidR="00752DBB">
              <w:rPr>
                <w:rFonts w:ascii="Arial" w:hAnsi="Arial" w:cs="Arial"/>
                <w:sz w:val="20"/>
              </w:rPr>
              <w:br/>
            </w:r>
            <w:r w:rsidR="00752DBB">
              <w:rPr>
                <w:rFonts w:ascii="Arial" w:hAnsi="Arial" w:cs="Arial"/>
                <w:sz w:val="20"/>
              </w:rPr>
              <w:br/>
            </w:r>
            <w:r w:rsidR="00752DBB">
              <w:rPr>
                <w:rFonts w:ascii="Arial" w:hAnsi="Arial" w:cs="Arial"/>
                <w:sz w:val="20"/>
              </w:rPr>
              <w:br/>
            </w:r>
            <w:r w:rsidR="00752DBB">
              <w:rPr>
                <w:rFonts w:ascii="Arial" w:hAnsi="Arial" w:cs="Arial"/>
                <w:sz w:val="20"/>
              </w:rPr>
              <w:br/>
            </w:r>
            <w:r w:rsidR="00752DBB">
              <w:rPr>
                <w:rFonts w:ascii="Arial" w:hAnsi="Arial" w:cs="Arial"/>
                <w:sz w:val="20"/>
              </w:rPr>
              <w:br/>
            </w:r>
            <w:r w:rsidR="00752DBB">
              <w:rPr>
                <w:rFonts w:ascii="Arial" w:hAnsi="Arial" w:cs="Arial"/>
                <w:sz w:val="20"/>
              </w:rPr>
              <w:br/>
            </w:r>
            <w:r w:rsidR="00752DBB">
              <w:rPr>
                <w:rFonts w:ascii="Arial" w:hAnsi="Arial" w:cs="Arial"/>
                <w:sz w:val="20"/>
              </w:rPr>
              <w:br/>
            </w:r>
          </w:p>
          <w:p w:rsidR="00085631" w:rsidRPr="00085631" w:rsidRDefault="006E5630" w:rsidP="00752DBB">
            <w:pPr>
              <w:pStyle w:val="BodyText"/>
              <w:spacing w:before="80" w:line="240" w:lineRule="atLeast"/>
              <w:jc w:val="left"/>
              <w:rPr>
                <w:rFonts w:ascii="Arial" w:hAnsi="Arial" w:cs="Arial"/>
                <w:sz w:val="20"/>
              </w:rPr>
            </w:pPr>
            <w:r w:rsidRPr="00085631">
              <w:rPr>
                <w:rFonts w:ascii="Arial" w:hAnsi="Arial" w:cs="Arial"/>
                <w:sz w:val="20"/>
              </w:rPr>
              <w:t xml:space="preserve">p. </w:t>
            </w:r>
            <w:r w:rsidR="00085631" w:rsidRPr="00085631">
              <w:rPr>
                <w:rFonts w:ascii="Arial" w:hAnsi="Arial" w:cs="Arial"/>
                <w:sz w:val="20"/>
              </w:rPr>
              <w:t>351</w:t>
            </w:r>
            <w:r w:rsidR="00752DBB">
              <w:rPr>
                <w:rFonts w:ascii="Arial" w:hAnsi="Arial" w:cs="Arial"/>
                <w:sz w:val="20"/>
              </w:rPr>
              <w:br/>
            </w:r>
            <w:r w:rsidR="00752DBB">
              <w:rPr>
                <w:rFonts w:ascii="Arial" w:hAnsi="Arial" w:cs="Arial"/>
                <w:sz w:val="20"/>
              </w:rPr>
              <w:br/>
            </w:r>
            <w:r w:rsidR="00752DBB">
              <w:rPr>
                <w:rFonts w:ascii="Arial" w:hAnsi="Arial" w:cs="Arial"/>
                <w:sz w:val="20"/>
              </w:rPr>
              <w:br/>
            </w:r>
          </w:p>
          <w:p w:rsidR="006E5630" w:rsidRPr="00752DBB" w:rsidRDefault="00085631" w:rsidP="00752DBB">
            <w:pPr>
              <w:pStyle w:val="BodyText"/>
              <w:spacing w:before="80" w:line="240" w:lineRule="atLeast"/>
              <w:jc w:val="left"/>
              <w:rPr>
                <w:rFonts w:ascii="Arial" w:hAnsi="Arial" w:cs="Arial"/>
                <w:sz w:val="20"/>
              </w:rPr>
            </w:pPr>
            <w:r w:rsidRPr="00085631">
              <w:rPr>
                <w:rFonts w:ascii="Arial" w:hAnsi="Arial" w:cs="Arial"/>
                <w:sz w:val="20"/>
              </w:rPr>
              <w:t>pp. 351-352</w:t>
            </w:r>
            <w:r w:rsidR="006E5630" w:rsidRPr="00085631">
              <w:rPr>
                <w:rFonts w:ascii="Arial" w:hAnsi="Arial" w:cs="Arial"/>
                <w:sz w:val="20"/>
              </w:rPr>
              <w:t xml:space="preserve"> </w:t>
            </w:r>
          </w:p>
        </w:tc>
      </w:tr>
      <w:tr w:rsidR="00085631" w:rsidRPr="00085631" w:rsidTr="001C5DE8">
        <w:tc>
          <w:tcPr>
            <w:tcW w:w="3966" w:type="pct"/>
            <w:tcBorders>
              <w:top w:val="nil"/>
              <w:left w:val="nil"/>
              <w:bottom w:val="single" w:sz="12" w:space="0" w:color="66BCDB" w:themeColor="text2"/>
              <w:right w:val="nil"/>
            </w:tcBorders>
            <w:shd w:val="clear" w:color="auto" w:fill="F2F2F2"/>
          </w:tcPr>
          <w:p w:rsidR="006E5630" w:rsidRPr="00085631" w:rsidRDefault="006E5630" w:rsidP="00164848">
            <w:pPr>
              <w:pStyle w:val="Box"/>
              <w:spacing w:before="0" w:line="120" w:lineRule="exact"/>
            </w:pPr>
          </w:p>
        </w:tc>
        <w:tc>
          <w:tcPr>
            <w:tcW w:w="194" w:type="pct"/>
            <w:tcBorders>
              <w:top w:val="nil"/>
              <w:left w:val="nil"/>
              <w:bottom w:val="nil"/>
              <w:right w:val="nil"/>
            </w:tcBorders>
            <w:shd w:val="clear" w:color="auto" w:fill="FFFFFF" w:themeFill="background1"/>
          </w:tcPr>
          <w:p w:rsidR="006E5630" w:rsidRPr="00085631" w:rsidRDefault="006E5630" w:rsidP="00164848">
            <w:pPr>
              <w:pStyle w:val="Box"/>
              <w:spacing w:before="0" w:line="120" w:lineRule="exact"/>
            </w:pPr>
          </w:p>
        </w:tc>
        <w:tc>
          <w:tcPr>
            <w:tcW w:w="840" w:type="pct"/>
            <w:tcBorders>
              <w:top w:val="nil"/>
              <w:left w:val="nil"/>
              <w:bottom w:val="single" w:sz="12" w:space="0" w:color="66BCDB" w:themeColor="text2"/>
              <w:right w:val="nil"/>
            </w:tcBorders>
            <w:shd w:val="clear" w:color="auto" w:fill="F2F2F2"/>
          </w:tcPr>
          <w:p w:rsidR="006E5630" w:rsidRPr="00085631" w:rsidRDefault="006E5630" w:rsidP="0064694C">
            <w:pPr>
              <w:pStyle w:val="Box"/>
              <w:spacing w:before="0" w:line="120" w:lineRule="exact"/>
              <w:jc w:val="left"/>
            </w:pPr>
          </w:p>
        </w:tc>
      </w:tr>
    </w:tbl>
    <w:p w:rsidR="00F54AAE" w:rsidRDefault="00F54AAE">
      <w:r>
        <w:rPr>
          <w:b/>
        </w:rPr>
        <w:br w:type="page"/>
      </w:r>
    </w:p>
    <w:tbl>
      <w:tblPr>
        <w:tblW w:w="4903" w:type="pct"/>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6836"/>
        <w:gridCol w:w="334"/>
        <w:gridCol w:w="1448"/>
      </w:tblGrid>
      <w:tr w:rsidR="008F03F4" w:rsidRPr="006E5630" w:rsidTr="001C5DE8">
        <w:tc>
          <w:tcPr>
            <w:tcW w:w="3966" w:type="pct"/>
            <w:tcBorders>
              <w:top w:val="single" w:sz="12" w:space="0" w:color="66BCDB" w:themeColor="text2"/>
              <w:left w:val="nil"/>
              <w:bottom w:val="nil"/>
              <w:right w:val="nil"/>
            </w:tcBorders>
            <w:shd w:val="clear" w:color="auto" w:fill="F2F2F2"/>
          </w:tcPr>
          <w:p w:rsidR="008F03F4" w:rsidRPr="006E5630" w:rsidRDefault="008F03F4" w:rsidP="008F03F4">
            <w:pPr>
              <w:pStyle w:val="BoxTitle"/>
            </w:pPr>
            <w:r w:rsidRPr="006E5630">
              <w:lastRenderedPageBreak/>
              <w:t xml:space="preserve">Chapter </w:t>
            </w:r>
            <w:r>
              <w:t>9</w:t>
            </w:r>
            <w:r w:rsidRPr="006E5630">
              <w:t xml:space="preserve">: </w:t>
            </w:r>
            <w:r>
              <w:t>Fund governance</w:t>
            </w:r>
          </w:p>
        </w:tc>
        <w:tc>
          <w:tcPr>
            <w:tcW w:w="194" w:type="pct"/>
            <w:tcBorders>
              <w:top w:val="nil"/>
              <w:left w:val="nil"/>
              <w:bottom w:val="nil"/>
              <w:right w:val="nil"/>
            </w:tcBorders>
            <w:shd w:val="clear" w:color="auto" w:fill="FFFFFF" w:themeFill="background1"/>
          </w:tcPr>
          <w:p w:rsidR="008F03F4" w:rsidRPr="006E5630" w:rsidRDefault="008F03F4" w:rsidP="00164848">
            <w:pPr>
              <w:pStyle w:val="BoxTitle"/>
            </w:pPr>
          </w:p>
        </w:tc>
        <w:tc>
          <w:tcPr>
            <w:tcW w:w="840" w:type="pct"/>
            <w:tcBorders>
              <w:top w:val="single" w:sz="12" w:space="0" w:color="66BCDB" w:themeColor="text2"/>
              <w:left w:val="nil"/>
              <w:bottom w:val="nil"/>
              <w:right w:val="nil"/>
            </w:tcBorders>
            <w:shd w:val="clear" w:color="auto" w:fill="F2F2F2"/>
          </w:tcPr>
          <w:p w:rsidR="008F03F4" w:rsidRPr="006E5630" w:rsidRDefault="008F03F4" w:rsidP="0064694C">
            <w:pPr>
              <w:pStyle w:val="BoxTitle"/>
            </w:pPr>
            <w:r w:rsidRPr="006E5630">
              <w:t>For more</w:t>
            </w:r>
          </w:p>
        </w:tc>
      </w:tr>
      <w:tr w:rsidR="008F03F4" w:rsidRPr="008F03F4" w:rsidTr="00164848">
        <w:tc>
          <w:tcPr>
            <w:tcW w:w="3966" w:type="pct"/>
            <w:tcBorders>
              <w:top w:val="nil"/>
              <w:left w:val="nil"/>
              <w:bottom w:val="nil"/>
              <w:right w:val="nil"/>
            </w:tcBorders>
            <w:shd w:val="clear" w:color="auto" w:fill="F2F2F2"/>
          </w:tcPr>
          <w:p w:rsidR="008F03F4" w:rsidRPr="008F03F4" w:rsidRDefault="008F03F4" w:rsidP="008F03F4">
            <w:pPr>
              <w:pStyle w:val="KeyPointsListBullet"/>
            </w:pPr>
            <w:r w:rsidRPr="008F03F4">
              <w:t>Superannuation fund members are heavily reliant on the conduct and actions of others — funds, financial advisers, government and regulators. This is more so than in many other markets given the superannuation system is the product of Australian Government policy and member compulsion.</w:t>
            </w:r>
          </w:p>
          <w:p w:rsidR="008F03F4" w:rsidRPr="008F03F4" w:rsidRDefault="008F03F4" w:rsidP="008F03F4">
            <w:pPr>
              <w:pStyle w:val="KeyPointsListBullet"/>
            </w:pPr>
            <w:r w:rsidRPr="008F03F4">
              <w:t>A well-functioning superannuation system requires high quality governance arrangements involving:</w:t>
            </w:r>
          </w:p>
          <w:p w:rsidR="008F03F4" w:rsidRPr="008F03F4" w:rsidRDefault="008F03F4" w:rsidP="008F03F4">
            <w:pPr>
              <w:pStyle w:val="KeyPointsListBullet2"/>
            </w:pPr>
            <w:r w:rsidRPr="008F03F4">
              <w:t>robust fund governance — quality management of each fund by a board of member</w:t>
            </w:r>
            <w:r w:rsidRPr="008F03F4">
              <w:noBreakHyphen/>
              <w:t>focused trustees</w:t>
            </w:r>
          </w:p>
          <w:p w:rsidR="008F03F4" w:rsidRPr="008F03F4" w:rsidRDefault="008F03F4" w:rsidP="008F03F4">
            <w:pPr>
              <w:pStyle w:val="KeyPointsListBullet2"/>
            </w:pPr>
            <w:r w:rsidRPr="008F03F4">
              <w:t>diligent system governance — holding the system to account through quality supervision (and enforcement at times) by the key system regulators, ASIC and APRA, of; system and fund performance; trustee and financial adviser conduct; product appropriateness (including for insurance in superannuation); and licensing arrangements.</w:t>
            </w:r>
          </w:p>
          <w:p w:rsidR="008F03F4" w:rsidRPr="008F03F4" w:rsidRDefault="008F03F4" w:rsidP="008F03F4">
            <w:pPr>
              <w:pStyle w:val="KeyPointsListBullet"/>
            </w:pPr>
            <w:r w:rsidRPr="008F03F4">
              <w:t>Fund governance has improved materially in recent years (albeit off a low base). The Stronger Super reforms have raised governance standards but they have also, by improving disclosure, highlighted some ongoing problems.</w:t>
            </w:r>
          </w:p>
          <w:p w:rsidR="008F03F4" w:rsidRPr="008F03F4" w:rsidRDefault="008F03F4" w:rsidP="008F03F4">
            <w:pPr>
              <w:pStyle w:val="KeyPointsListBullet"/>
            </w:pPr>
            <w:r w:rsidRPr="008F03F4">
              <w:t>There remain a number of governance practices that raise not inconsiderable doubts about whether funds always have the best interests of members at heart. For example:</w:t>
            </w:r>
          </w:p>
          <w:p w:rsidR="008F03F4" w:rsidRPr="008F03F4" w:rsidRDefault="008F03F4" w:rsidP="008F03F4">
            <w:pPr>
              <w:pStyle w:val="KeyPointsListBullet2"/>
            </w:pPr>
            <w:r w:rsidRPr="008F03F4">
              <w:t>not all funds employ satisfactory practices for appointing adequately skilled and qualified board members, and it appears some sponsoring entities do not take this process seriously</w:t>
            </w:r>
          </w:p>
          <w:p w:rsidR="008F03F4" w:rsidRPr="008F03F4" w:rsidRDefault="008F03F4" w:rsidP="008F03F4">
            <w:pPr>
              <w:pStyle w:val="KeyPointsListBullet2"/>
            </w:pPr>
            <w:r w:rsidRPr="008F03F4">
              <w:t>there is often inadequate independent assessment of board capability</w:t>
            </w:r>
          </w:p>
          <w:p w:rsidR="008F03F4" w:rsidRPr="008F03F4" w:rsidRDefault="008F03F4" w:rsidP="008F03F4">
            <w:pPr>
              <w:pStyle w:val="KeyPointsListBullet2"/>
            </w:pPr>
            <w:r w:rsidRPr="008F03F4">
              <w:t>not all funds have adequate practices in place to deal with related</w:t>
            </w:r>
            <w:r w:rsidRPr="008F03F4">
              <w:noBreakHyphen/>
              <w:t>party transactions (and questions focused on related party transactions in the Commission’s survey of funds received disconcertingly low response rates)</w:t>
            </w:r>
          </w:p>
          <w:p w:rsidR="008F03F4" w:rsidRPr="008F03F4" w:rsidRDefault="008F03F4" w:rsidP="008F03F4">
            <w:pPr>
              <w:pStyle w:val="KeyPointsListBullet2"/>
            </w:pPr>
            <w:r w:rsidRPr="008F03F4">
              <w:t>many CEOs claim that their boards regularly assess and fully understand the attribution of investment performance outcomes, but relatively few funds were able to provide the data that they would hold if they had undertaken this activity</w:t>
            </w:r>
          </w:p>
          <w:p w:rsidR="008F03F4" w:rsidRPr="008F03F4" w:rsidRDefault="008F03F4" w:rsidP="008F03F4">
            <w:pPr>
              <w:pStyle w:val="KeyPointsListBullet2"/>
            </w:pPr>
            <w:r w:rsidRPr="008F03F4">
              <w:t>many funds acknowledge that they are at least somewhat focused on peer risk (their short</w:t>
            </w:r>
            <w:r w:rsidRPr="008F03F4">
              <w:noBreakHyphen/>
              <w:t>run performance relative to their peers).</w:t>
            </w:r>
          </w:p>
          <w:p w:rsidR="008F03F4" w:rsidRPr="008F03F4" w:rsidRDefault="008F03F4" w:rsidP="008F03F4">
            <w:pPr>
              <w:pStyle w:val="KeyPointsListBullet"/>
            </w:pPr>
            <w:r w:rsidRPr="008F03F4">
              <w:t>Arguably the most costly manifestation of poor fund governance is the failure of funds to merge where this would benefit members.</w:t>
            </w:r>
          </w:p>
          <w:p w:rsidR="008F03F4" w:rsidRPr="008F03F4" w:rsidRDefault="008F03F4" w:rsidP="008F03F4">
            <w:pPr>
              <w:pStyle w:val="KeyPointsListBullet2"/>
            </w:pPr>
            <w:r w:rsidRPr="008F03F4">
              <w:t>Measures now being undertaken by APRA will go some way towards addressing these concerns, and would be further advanced if a proposed member-focused outcomes test was legislated.</w:t>
            </w:r>
          </w:p>
        </w:tc>
        <w:tc>
          <w:tcPr>
            <w:tcW w:w="194" w:type="pct"/>
            <w:tcBorders>
              <w:top w:val="nil"/>
              <w:left w:val="nil"/>
              <w:bottom w:val="nil"/>
              <w:right w:val="nil"/>
            </w:tcBorders>
            <w:shd w:val="clear" w:color="auto" w:fill="FFFFFF" w:themeFill="background1"/>
          </w:tcPr>
          <w:p w:rsidR="008F03F4" w:rsidRPr="008F03F4" w:rsidRDefault="008F03F4" w:rsidP="00164848">
            <w:pPr>
              <w:pStyle w:val="BoxListBullet"/>
              <w:numPr>
                <w:ilvl w:val="0"/>
                <w:numId w:val="0"/>
              </w:numPr>
              <w:ind w:left="284"/>
            </w:pPr>
          </w:p>
        </w:tc>
        <w:tc>
          <w:tcPr>
            <w:tcW w:w="840" w:type="pct"/>
            <w:tcBorders>
              <w:top w:val="nil"/>
              <w:left w:val="nil"/>
              <w:bottom w:val="nil"/>
              <w:right w:val="nil"/>
            </w:tcBorders>
            <w:shd w:val="clear" w:color="auto" w:fill="F2F2F2"/>
          </w:tcPr>
          <w:p w:rsidR="008F03F4" w:rsidRPr="008F03F4" w:rsidRDefault="008F03F4" w:rsidP="00752DBB">
            <w:pPr>
              <w:pStyle w:val="BodyText"/>
              <w:spacing w:before="100" w:line="260" w:lineRule="atLeast"/>
              <w:jc w:val="left"/>
              <w:rPr>
                <w:rFonts w:ascii="Arial" w:hAnsi="Arial" w:cs="Arial"/>
                <w:sz w:val="20"/>
              </w:rPr>
            </w:pPr>
            <w:r w:rsidRPr="008F03F4">
              <w:rPr>
                <w:rFonts w:ascii="Arial" w:hAnsi="Arial" w:cs="Arial"/>
                <w:sz w:val="20"/>
              </w:rPr>
              <w:t>pp. 356-359; figure 9.1 (p. 358)</w:t>
            </w:r>
            <w:r w:rsidR="00752DBB">
              <w:rPr>
                <w:rFonts w:ascii="Arial" w:hAnsi="Arial" w:cs="Arial"/>
                <w:sz w:val="20"/>
              </w:rPr>
              <w:br/>
            </w:r>
            <w:r w:rsidR="00752DBB">
              <w:rPr>
                <w:rFonts w:ascii="Arial" w:hAnsi="Arial" w:cs="Arial"/>
                <w:sz w:val="20"/>
              </w:rPr>
              <w:br/>
            </w:r>
          </w:p>
          <w:p w:rsidR="00752DBB" w:rsidRDefault="00752DBB" w:rsidP="00752DBB">
            <w:pPr>
              <w:pStyle w:val="BodyText"/>
              <w:spacing w:before="100" w:line="260" w:lineRule="atLeast"/>
              <w:jc w:val="left"/>
              <w:rPr>
                <w:rFonts w:ascii="Arial" w:hAnsi="Arial" w:cs="Arial"/>
                <w:sz w:val="20"/>
              </w:rPr>
            </w:pPr>
            <w:r>
              <w:rPr>
                <w:rFonts w:ascii="Arial" w:hAnsi="Arial" w:cs="Arial"/>
                <w:sz w:val="20"/>
              </w:rPr>
              <w:br/>
            </w:r>
          </w:p>
          <w:p w:rsidR="00752DBB" w:rsidRDefault="00752DBB" w:rsidP="00752DBB">
            <w:pPr>
              <w:pStyle w:val="BodyText"/>
              <w:spacing w:before="100" w:line="260" w:lineRule="atLeast"/>
              <w:jc w:val="left"/>
              <w:rPr>
                <w:rFonts w:ascii="Arial" w:hAnsi="Arial" w:cs="Arial"/>
                <w:sz w:val="20"/>
              </w:rPr>
            </w:pPr>
            <w:r>
              <w:rPr>
                <w:rFonts w:ascii="Arial" w:hAnsi="Arial" w:cs="Arial"/>
                <w:sz w:val="20"/>
              </w:rPr>
              <w:br/>
            </w:r>
          </w:p>
          <w:p w:rsidR="008D74FA" w:rsidRDefault="001D3360" w:rsidP="00752DBB">
            <w:pPr>
              <w:pStyle w:val="BodyText"/>
              <w:spacing w:before="100" w:line="260" w:lineRule="atLeast"/>
              <w:jc w:val="left"/>
              <w:rPr>
                <w:rFonts w:ascii="Arial" w:hAnsi="Arial" w:cs="Arial"/>
                <w:sz w:val="20"/>
              </w:rPr>
            </w:pPr>
            <w:r>
              <w:rPr>
                <w:rFonts w:ascii="Arial" w:hAnsi="Arial" w:cs="Arial"/>
                <w:sz w:val="20"/>
              </w:rPr>
              <w:t>(Chapter 10)</w:t>
            </w:r>
            <w:r w:rsidR="00752DBB">
              <w:rPr>
                <w:rFonts w:ascii="Arial" w:hAnsi="Arial" w:cs="Arial"/>
                <w:sz w:val="20"/>
              </w:rPr>
              <w:br/>
            </w:r>
            <w:r w:rsidR="00752DBB">
              <w:rPr>
                <w:rFonts w:ascii="Arial" w:hAnsi="Arial" w:cs="Arial"/>
                <w:sz w:val="20"/>
              </w:rPr>
              <w:br/>
            </w:r>
            <w:r w:rsidR="00752DBB">
              <w:rPr>
                <w:rFonts w:ascii="Arial" w:hAnsi="Arial" w:cs="Arial"/>
                <w:sz w:val="20"/>
              </w:rPr>
              <w:br/>
            </w:r>
            <w:r w:rsidR="00752DBB">
              <w:rPr>
                <w:rFonts w:ascii="Arial" w:hAnsi="Arial" w:cs="Arial"/>
                <w:sz w:val="20"/>
              </w:rPr>
              <w:br/>
            </w:r>
            <w:r w:rsidR="00752DBB">
              <w:rPr>
                <w:rFonts w:ascii="Arial" w:hAnsi="Arial" w:cs="Arial"/>
                <w:sz w:val="20"/>
              </w:rPr>
              <w:br/>
            </w:r>
          </w:p>
          <w:p w:rsidR="008F03F4" w:rsidRPr="008F03F4" w:rsidRDefault="008F03F4" w:rsidP="00752DBB">
            <w:pPr>
              <w:pStyle w:val="BodyText"/>
              <w:spacing w:before="100" w:line="260" w:lineRule="atLeast"/>
              <w:jc w:val="left"/>
              <w:rPr>
                <w:rFonts w:ascii="Arial" w:hAnsi="Arial" w:cs="Arial"/>
                <w:sz w:val="20"/>
              </w:rPr>
            </w:pPr>
            <w:r w:rsidRPr="008F03F4">
              <w:rPr>
                <w:rFonts w:ascii="Arial" w:hAnsi="Arial" w:cs="Arial"/>
                <w:sz w:val="20"/>
              </w:rPr>
              <w:t>p. 382</w:t>
            </w:r>
            <w:r w:rsidR="00752DBB">
              <w:rPr>
                <w:rFonts w:ascii="Arial" w:hAnsi="Arial" w:cs="Arial"/>
                <w:sz w:val="20"/>
              </w:rPr>
              <w:br/>
            </w:r>
            <w:r w:rsidR="00752DBB">
              <w:rPr>
                <w:rFonts w:ascii="Arial" w:hAnsi="Arial" w:cs="Arial"/>
                <w:sz w:val="20"/>
              </w:rPr>
              <w:br/>
            </w:r>
            <w:r w:rsidR="00752DBB">
              <w:rPr>
                <w:rFonts w:ascii="Arial" w:hAnsi="Arial" w:cs="Arial"/>
                <w:sz w:val="20"/>
              </w:rPr>
              <w:br/>
            </w:r>
          </w:p>
          <w:p w:rsidR="008F03F4" w:rsidRPr="008F03F4" w:rsidRDefault="00752DBB" w:rsidP="00752DBB">
            <w:pPr>
              <w:pStyle w:val="BodyText"/>
              <w:spacing w:before="100" w:line="260" w:lineRule="atLeast"/>
              <w:jc w:val="left"/>
              <w:rPr>
                <w:rFonts w:ascii="Arial" w:hAnsi="Arial" w:cs="Arial"/>
                <w:sz w:val="20"/>
              </w:rPr>
            </w:pPr>
            <w:r>
              <w:rPr>
                <w:rFonts w:ascii="Arial" w:hAnsi="Arial" w:cs="Arial"/>
                <w:sz w:val="20"/>
              </w:rPr>
              <w:br/>
            </w:r>
            <w:r>
              <w:rPr>
                <w:rFonts w:ascii="Arial" w:hAnsi="Arial" w:cs="Arial"/>
                <w:sz w:val="20"/>
              </w:rPr>
              <w:br/>
            </w:r>
          </w:p>
          <w:p w:rsidR="008F03F4" w:rsidRPr="008F03F4" w:rsidRDefault="008F03F4" w:rsidP="00752DBB">
            <w:pPr>
              <w:pStyle w:val="BodyText"/>
              <w:spacing w:before="100" w:line="260" w:lineRule="atLeast"/>
              <w:jc w:val="left"/>
              <w:rPr>
                <w:rFonts w:ascii="Arial" w:hAnsi="Arial" w:cs="Arial"/>
                <w:sz w:val="20"/>
              </w:rPr>
            </w:pPr>
            <w:r w:rsidRPr="008F03F4">
              <w:rPr>
                <w:rFonts w:ascii="Arial" w:hAnsi="Arial" w:cs="Arial"/>
                <w:sz w:val="20"/>
              </w:rPr>
              <w:t>pp. 360-36</w:t>
            </w:r>
            <w:r w:rsidR="00B73E2F">
              <w:rPr>
                <w:rFonts w:ascii="Arial" w:hAnsi="Arial" w:cs="Arial"/>
                <w:sz w:val="20"/>
              </w:rPr>
              <w:t>1</w:t>
            </w:r>
            <w:r w:rsidR="00752DBB">
              <w:rPr>
                <w:rFonts w:ascii="Arial" w:hAnsi="Arial" w:cs="Arial"/>
                <w:sz w:val="20"/>
              </w:rPr>
              <w:br/>
            </w:r>
            <w:r w:rsidR="00752DBB">
              <w:rPr>
                <w:rFonts w:ascii="Arial" w:hAnsi="Arial" w:cs="Arial"/>
                <w:sz w:val="20"/>
              </w:rPr>
              <w:br/>
            </w:r>
          </w:p>
          <w:p w:rsidR="008F03F4" w:rsidRPr="008F03F4" w:rsidRDefault="008F03F4" w:rsidP="00752DBB">
            <w:pPr>
              <w:pStyle w:val="BodyText"/>
              <w:spacing w:before="100" w:line="260" w:lineRule="atLeast"/>
              <w:jc w:val="left"/>
              <w:rPr>
                <w:rFonts w:ascii="Arial" w:hAnsi="Arial" w:cs="Arial"/>
                <w:sz w:val="20"/>
              </w:rPr>
            </w:pPr>
            <w:r w:rsidRPr="008F03F4">
              <w:rPr>
                <w:rFonts w:ascii="Arial" w:hAnsi="Arial" w:cs="Arial"/>
                <w:sz w:val="20"/>
              </w:rPr>
              <w:t>pp. 364-365</w:t>
            </w:r>
            <w:r w:rsidR="00752DBB">
              <w:rPr>
                <w:rFonts w:ascii="Arial" w:hAnsi="Arial" w:cs="Arial"/>
                <w:sz w:val="20"/>
              </w:rPr>
              <w:br/>
            </w:r>
          </w:p>
          <w:p w:rsidR="00752DBB" w:rsidRPr="008F03F4" w:rsidRDefault="008F03F4" w:rsidP="00752DBB">
            <w:pPr>
              <w:pStyle w:val="BodyText"/>
              <w:spacing w:before="100" w:line="260" w:lineRule="atLeast"/>
              <w:jc w:val="left"/>
              <w:rPr>
                <w:rFonts w:ascii="Arial" w:hAnsi="Arial" w:cs="Arial"/>
                <w:sz w:val="20"/>
              </w:rPr>
            </w:pPr>
            <w:r w:rsidRPr="008F03F4">
              <w:rPr>
                <w:rFonts w:ascii="Arial" w:hAnsi="Arial" w:cs="Arial"/>
                <w:sz w:val="20"/>
              </w:rPr>
              <w:t>pp. 36</w:t>
            </w:r>
            <w:r w:rsidR="00B73E2F">
              <w:rPr>
                <w:rFonts w:ascii="Arial" w:hAnsi="Arial" w:cs="Arial"/>
                <w:sz w:val="20"/>
              </w:rPr>
              <w:t>6</w:t>
            </w:r>
            <w:r w:rsidRPr="008F03F4">
              <w:rPr>
                <w:rFonts w:ascii="Arial" w:hAnsi="Arial" w:cs="Arial"/>
                <w:sz w:val="20"/>
              </w:rPr>
              <w:t>-3</w:t>
            </w:r>
            <w:r w:rsidR="00B73E2F">
              <w:rPr>
                <w:rFonts w:ascii="Arial" w:hAnsi="Arial" w:cs="Arial"/>
                <w:sz w:val="20"/>
              </w:rPr>
              <w:t>67</w:t>
            </w:r>
            <w:r w:rsidR="00752DBB">
              <w:rPr>
                <w:rFonts w:ascii="Arial" w:hAnsi="Arial" w:cs="Arial"/>
                <w:sz w:val="20"/>
              </w:rPr>
              <w:br/>
            </w:r>
            <w:r w:rsidR="00752DBB">
              <w:rPr>
                <w:rFonts w:ascii="Arial" w:hAnsi="Arial" w:cs="Arial"/>
                <w:sz w:val="20"/>
              </w:rPr>
              <w:br/>
            </w:r>
            <w:r w:rsidR="00752DBB">
              <w:rPr>
                <w:rFonts w:ascii="Arial" w:hAnsi="Arial" w:cs="Arial"/>
                <w:sz w:val="20"/>
              </w:rPr>
              <w:br/>
            </w:r>
          </w:p>
          <w:p w:rsidR="00752DBB" w:rsidRDefault="008F03F4" w:rsidP="00752DBB">
            <w:pPr>
              <w:pStyle w:val="BodyText"/>
              <w:spacing w:before="100" w:line="260" w:lineRule="atLeast"/>
              <w:jc w:val="left"/>
              <w:rPr>
                <w:rFonts w:ascii="Arial" w:hAnsi="Arial" w:cs="Arial"/>
                <w:sz w:val="20"/>
              </w:rPr>
            </w:pPr>
            <w:r w:rsidRPr="008F03F4">
              <w:rPr>
                <w:rFonts w:ascii="Arial" w:hAnsi="Arial" w:cs="Arial"/>
                <w:sz w:val="20"/>
              </w:rPr>
              <w:t>pp. 373-374</w:t>
            </w:r>
            <w:r w:rsidR="00146530">
              <w:rPr>
                <w:rFonts w:ascii="Arial" w:hAnsi="Arial" w:cs="Arial"/>
                <w:sz w:val="20"/>
              </w:rPr>
              <w:br/>
            </w:r>
            <w:r w:rsidRPr="008F03F4">
              <w:rPr>
                <w:rFonts w:ascii="Arial" w:hAnsi="Arial" w:cs="Arial"/>
                <w:sz w:val="20"/>
              </w:rPr>
              <w:br/>
            </w:r>
            <w:r w:rsidR="00752DBB">
              <w:rPr>
                <w:rFonts w:ascii="Arial" w:hAnsi="Arial" w:cs="Arial"/>
                <w:sz w:val="20"/>
              </w:rPr>
              <w:br/>
            </w:r>
          </w:p>
          <w:p w:rsidR="008F03F4" w:rsidRPr="00752DBB" w:rsidRDefault="0046001C" w:rsidP="00752DBB">
            <w:pPr>
              <w:pStyle w:val="BodyText"/>
              <w:spacing w:before="100" w:line="260" w:lineRule="atLeast"/>
              <w:jc w:val="left"/>
              <w:rPr>
                <w:rFonts w:ascii="Arial" w:hAnsi="Arial" w:cs="Arial"/>
                <w:sz w:val="20"/>
              </w:rPr>
            </w:pPr>
            <w:r>
              <w:rPr>
                <w:rFonts w:ascii="Arial" w:hAnsi="Arial" w:cs="Arial"/>
                <w:sz w:val="20"/>
              </w:rPr>
              <w:t>F</w:t>
            </w:r>
            <w:r w:rsidR="008F03F4" w:rsidRPr="008F03F4">
              <w:rPr>
                <w:rFonts w:ascii="Arial" w:hAnsi="Arial" w:cs="Arial"/>
                <w:sz w:val="20"/>
              </w:rPr>
              <w:t>igure 9.2</w:t>
            </w:r>
            <w:r w:rsidR="00B13991">
              <w:rPr>
                <w:rFonts w:ascii="Arial" w:hAnsi="Arial" w:cs="Arial"/>
                <w:sz w:val="20"/>
              </w:rPr>
              <w:t xml:space="preserve"> (p. 373)</w:t>
            </w:r>
            <w:r w:rsidR="00752DBB">
              <w:rPr>
                <w:rFonts w:ascii="Arial" w:hAnsi="Arial" w:cs="Arial"/>
                <w:sz w:val="20"/>
              </w:rPr>
              <w:br/>
            </w:r>
            <w:r w:rsidR="008F03F4" w:rsidRPr="008F03F4">
              <w:rPr>
                <w:rFonts w:ascii="Arial" w:hAnsi="Arial" w:cs="Arial"/>
                <w:sz w:val="20"/>
              </w:rPr>
              <w:t>pp. 374-37</w:t>
            </w:r>
            <w:r w:rsidR="0061753A">
              <w:rPr>
                <w:rFonts w:ascii="Arial" w:hAnsi="Arial" w:cs="Arial"/>
                <w:sz w:val="20"/>
              </w:rPr>
              <w:t>6</w:t>
            </w:r>
          </w:p>
        </w:tc>
      </w:tr>
      <w:tr w:rsidR="008F03F4" w:rsidRPr="00085631" w:rsidTr="001C5DE8">
        <w:tc>
          <w:tcPr>
            <w:tcW w:w="3966" w:type="pct"/>
            <w:tcBorders>
              <w:top w:val="nil"/>
              <w:left w:val="nil"/>
              <w:bottom w:val="single" w:sz="12" w:space="0" w:color="66BCDB" w:themeColor="text2"/>
              <w:right w:val="nil"/>
            </w:tcBorders>
            <w:shd w:val="clear" w:color="auto" w:fill="F2F2F2"/>
          </w:tcPr>
          <w:p w:rsidR="008F03F4" w:rsidRPr="00085631" w:rsidRDefault="008F03F4" w:rsidP="00164848">
            <w:pPr>
              <w:pStyle w:val="Box"/>
              <w:spacing w:before="0" w:line="120" w:lineRule="exact"/>
            </w:pPr>
          </w:p>
        </w:tc>
        <w:tc>
          <w:tcPr>
            <w:tcW w:w="194" w:type="pct"/>
            <w:tcBorders>
              <w:top w:val="nil"/>
              <w:left w:val="nil"/>
              <w:bottom w:val="nil"/>
              <w:right w:val="nil"/>
            </w:tcBorders>
            <w:shd w:val="clear" w:color="auto" w:fill="FFFFFF" w:themeFill="background1"/>
          </w:tcPr>
          <w:p w:rsidR="008F03F4" w:rsidRPr="00085631" w:rsidRDefault="008F03F4" w:rsidP="00164848">
            <w:pPr>
              <w:pStyle w:val="Box"/>
              <w:spacing w:before="0" w:line="120" w:lineRule="exact"/>
            </w:pPr>
          </w:p>
        </w:tc>
        <w:tc>
          <w:tcPr>
            <w:tcW w:w="840" w:type="pct"/>
            <w:tcBorders>
              <w:top w:val="nil"/>
              <w:left w:val="nil"/>
              <w:bottom w:val="single" w:sz="12" w:space="0" w:color="66BCDB" w:themeColor="text2"/>
              <w:right w:val="nil"/>
            </w:tcBorders>
            <w:shd w:val="clear" w:color="auto" w:fill="F2F2F2"/>
          </w:tcPr>
          <w:p w:rsidR="008F03F4" w:rsidRPr="00085631" w:rsidRDefault="008F03F4" w:rsidP="0064694C">
            <w:pPr>
              <w:pStyle w:val="Box"/>
              <w:spacing w:before="0" w:line="120" w:lineRule="exact"/>
              <w:jc w:val="left"/>
            </w:pPr>
          </w:p>
        </w:tc>
      </w:tr>
    </w:tbl>
    <w:p w:rsidR="00F54AAE" w:rsidRDefault="00F54AAE">
      <w:r>
        <w:rPr>
          <w:b/>
        </w:rPr>
        <w:br w:type="page"/>
      </w:r>
    </w:p>
    <w:tbl>
      <w:tblPr>
        <w:tblW w:w="4903" w:type="pct"/>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6836"/>
        <w:gridCol w:w="334"/>
        <w:gridCol w:w="1448"/>
      </w:tblGrid>
      <w:tr w:rsidR="00B13991" w:rsidRPr="006E5630" w:rsidTr="001C5DE8">
        <w:tc>
          <w:tcPr>
            <w:tcW w:w="3966" w:type="pct"/>
            <w:tcBorders>
              <w:top w:val="single" w:sz="12" w:space="0" w:color="66BCDB" w:themeColor="text2"/>
              <w:left w:val="nil"/>
              <w:bottom w:val="nil"/>
              <w:right w:val="nil"/>
            </w:tcBorders>
            <w:shd w:val="clear" w:color="auto" w:fill="F2F2F2"/>
          </w:tcPr>
          <w:p w:rsidR="00B13991" w:rsidRPr="006E5630" w:rsidRDefault="00B13991" w:rsidP="00B13991">
            <w:pPr>
              <w:pStyle w:val="BoxTitle"/>
            </w:pPr>
            <w:r w:rsidRPr="006E5630">
              <w:lastRenderedPageBreak/>
              <w:t xml:space="preserve">Chapter </w:t>
            </w:r>
            <w:r>
              <w:t>10</w:t>
            </w:r>
            <w:r w:rsidRPr="006E5630">
              <w:t xml:space="preserve">: </w:t>
            </w:r>
            <w:r>
              <w:t>System governance</w:t>
            </w:r>
          </w:p>
        </w:tc>
        <w:tc>
          <w:tcPr>
            <w:tcW w:w="194" w:type="pct"/>
            <w:tcBorders>
              <w:top w:val="nil"/>
              <w:left w:val="nil"/>
              <w:bottom w:val="nil"/>
              <w:right w:val="nil"/>
            </w:tcBorders>
            <w:shd w:val="clear" w:color="auto" w:fill="FFFFFF" w:themeFill="background1"/>
          </w:tcPr>
          <w:p w:rsidR="00B13991" w:rsidRPr="006E5630" w:rsidRDefault="00B13991" w:rsidP="00164848">
            <w:pPr>
              <w:pStyle w:val="BoxTitle"/>
            </w:pPr>
          </w:p>
        </w:tc>
        <w:tc>
          <w:tcPr>
            <w:tcW w:w="840" w:type="pct"/>
            <w:tcBorders>
              <w:top w:val="single" w:sz="12" w:space="0" w:color="66BCDB" w:themeColor="text2"/>
              <w:left w:val="nil"/>
              <w:bottom w:val="nil"/>
              <w:right w:val="nil"/>
            </w:tcBorders>
            <w:shd w:val="clear" w:color="auto" w:fill="F2F2F2"/>
          </w:tcPr>
          <w:p w:rsidR="00B13991" w:rsidRPr="006E5630" w:rsidRDefault="00B13991" w:rsidP="0064694C">
            <w:pPr>
              <w:pStyle w:val="BoxTitle"/>
            </w:pPr>
            <w:r w:rsidRPr="006E5630">
              <w:t>For more</w:t>
            </w:r>
          </w:p>
        </w:tc>
      </w:tr>
      <w:tr w:rsidR="00B13991" w:rsidRPr="00B13991" w:rsidTr="00164848">
        <w:tc>
          <w:tcPr>
            <w:tcW w:w="3966" w:type="pct"/>
            <w:tcBorders>
              <w:top w:val="nil"/>
              <w:left w:val="nil"/>
              <w:bottom w:val="nil"/>
              <w:right w:val="nil"/>
            </w:tcBorders>
            <w:shd w:val="clear" w:color="auto" w:fill="F2F2F2"/>
          </w:tcPr>
          <w:p w:rsidR="00B13991" w:rsidRPr="00B13991" w:rsidRDefault="00B13991" w:rsidP="00146530">
            <w:pPr>
              <w:pStyle w:val="KeyPointsListBullet"/>
              <w:spacing w:before="80"/>
            </w:pPr>
            <w:r w:rsidRPr="00B13991">
              <w:t>Governance of the superannuation system has evolved much over time and is still evolving. The Stronger Super reforms have better equipped regulators to influence governance outcomes and have improved governance standards significantly. But considerable room for improvement remains.</w:t>
            </w:r>
          </w:p>
          <w:p w:rsidR="00B13991" w:rsidRPr="00B13991" w:rsidRDefault="00B13991" w:rsidP="00146530">
            <w:pPr>
              <w:pStyle w:val="KeyPointsListBullet"/>
              <w:spacing w:before="80"/>
            </w:pPr>
            <w:r w:rsidRPr="00B13991">
              <w:t>More recent policy improvements (both implemented and proposed) should bring further advances. The MySuper scale test has proven inadequate in protecting default members from poorly performing funds, and the proposed outcomes test should better enable APRA to promote fund consolidation and protect members from poorly performing funds. Of the other reforms proposed in the same package, the ability to refuse ownership changes and enhanced expense reporting are considered to be of particular import.</w:t>
            </w:r>
          </w:p>
          <w:p w:rsidR="00B13991" w:rsidRPr="00B13991" w:rsidRDefault="00B13991" w:rsidP="00146530">
            <w:pPr>
              <w:pStyle w:val="KeyPointsListBullet"/>
              <w:spacing w:before="80"/>
              <w:rPr>
                <w:spacing w:val="-2"/>
              </w:rPr>
            </w:pPr>
            <w:r w:rsidRPr="00B13991">
              <w:rPr>
                <w:spacing w:val="-2"/>
              </w:rPr>
              <w:t>Conduct regulation arrangements for the superannuation system are confusing and opaque, with significant overlap and no clear delineation between the roles of APRA and ASIC. As a consequence, strategic conduct regulation appears ‘less than it ought’ and regulator accountability is inevitably reduced. To improve outcomes, APRA and ASIC’s respective roles need to be more clearly delineated and better align with their distinct ‘regulatory DNA’.</w:t>
            </w:r>
          </w:p>
          <w:p w:rsidR="00B13991" w:rsidRPr="00B13991" w:rsidRDefault="00B13991" w:rsidP="00146530">
            <w:pPr>
              <w:pStyle w:val="KeyPointsListBullet2"/>
              <w:spacing w:before="80"/>
            </w:pPr>
            <w:r w:rsidRPr="00B13991">
              <w:t xml:space="preserve">APRA should be distinctly focused on prudential health — ensuring high standards of system and fund performance. And ASIC should focus on the behaviour of the system — the conduct of trustees, advisers and the appropriateness of products (including for particular target markets). </w:t>
            </w:r>
          </w:p>
          <w:p w:rsidR="00B13991" w:rsidRPr="00B13991" w:rsidRDefault="00B13991" w:rsidP="00146530">
            <w:pPr>
              <w:pStyle w:val="KeyPointsListBullet2"/>
              <w:spacing w:before="80"/>
            </w:pPr>
            <w:r w:rsidRPr="00B13991">
              <w:t>The Commission is seeking participant feedback on whether the proposed allocation of responsibilities between the two regulators would lead to better strategic conduct regulation and clearer accountabilities.</w:t>
            </w:r>
          </w:p>
          <w:p w:rsidR="00B13991" w:rsidRPr="00B13991" w:rsidRDefault="00B13991" w:rsidP="00146530">
            <w:pPr>
              <w:pStyle w:val="KeyPointsListBullet"/>
              <w:spacing w:before="80"/>
            </w:pPr>
            <w:r w:rsidRPr="00B13991">
              <w:t>Regulators also need to be more confident and member</w:t>
            </w:r>
            <w:r w:rsidRPr="00B13991">
              <w:noBreakHyphen/>
              <w:t>focused in the manner in which they regulate — becoming ‘member champions’. The role of regulators is ultimately to protect member interests, although the absence of member voices in major industry debates means the interests of funds can sometimes dominate.</w:t>
            </w:r>
          </w:p>
          <w:p w:rsidR="00B13991" w:rsidRPr="00B13991" w:rsidRDefault="00B13991" w:rsidP="00146530">
            <w:pPr>
              <w:pStyle w:val="KeyPointsListBullet"/>
              <w:spacing w:before="80"/>
            </w:pPr>
            <w:r w:rsidRPr="00B13991">
              <w:t>Poor and incomparable data constrain members — or their agents — from ascertaining the most suitable products for their needs. Rather incongruously, the relative wealth of information on MySuper products for default members, is in stark contrast to the dearth of information to ascertain member outcomes in the choice segment.</w:t>
            </w:r>
          </w:p>
          <w:p w:rsidR="00B13991" w:rsidRPr="00B13991" w:rsidRDefault="00B13991" w:rsidP="00146530">
            <w:pPr>
              <w:pStyle w:val="KeyPointsListBullet2"/>
              <w:spacing w:before="80"/>
            </w:pPr>
            <w:r w:rsidRPr="00B13991">
              <w:t>The pace and frequency of superannuation policy change has been significant in recent years, unavoidably imposing heavy compliance burdens during implementation. However, most (especially Stronger Super, SuperStream and MySuper) will deliver demonstrable and compounding benefits to members and should reduce compliance costs over time.</w:t>
            </w:r>
          </w:p>
        </w:tc>
        <w:tc>
          <w:tcPr>
            <w:tcW w:w="194" w:type="pct"/>
            <w:tcBorders>
              <w:top w:val="nil"/>
              <w:left w:val="nil"/>
              <w:bottom w:val="nil"/>
              <w:right w:val="nil"/>
            </w:tcBorders>
            <w:shd w:val="clear" w:color="auto" w:fill="FFFFFF" w:themeFill="background1"/>
          </w:tcPr>
          <w:p w:rsidR="00B13991" w:rsidRPr="00B13991" w:rsidRDefault="00B13991" w:rsidP="00164848">
            <w:pPr>
              <w:pStyle w:val="BoxListBullet"/>
              <w:numPr>
                <w:ilvl w:val="0"/>
                <w:numId w:val="0"/>
              </w:numPr>
              <w:ind w:left="284"/>
            </w:pPr>
          </w:p>
        </w:tc>
        <w:tc>
          <w:tcPr>
            <w:tcW w:w="840" w:type="pct"/>
            <w:tcBorders>
              <w:top w:val="nil"/>
              <w:left w:val="nil"/>
              <w:bottom w:val="nil"/>
              <w:right w:val="nil"/>
            </w:tcBorders>
            <w:shd w:val="clear" w:color="auto" w:fill="F2F2F2"/>
          </w:tcPr>
          <w:p w:rsidR="00B13991" w:rsidRPr="00B13991" w:rsidRDefault="00B13991" w:rsidP="00146530">
            <w:pPr>
              <w:pStyle w:val="BodyText"/>
              <w:spacing w:before="80" w:line="260" w:lineRule="atLeast"/>
              <w:jc w:val="left"/>
              <w:rPr>
                <w:rFonts w:ascii="Arial" w:hAnsi="Arial" w:cs="Arial"/>
                <w:sz w:val="20"/>
              </w:rPr>
            </w:pPr>
            <w:r w:rsidRPr="00B13991">
              <w:rPr>
                <w:rFonts w:ascii="Arial" w:hAnsi="Arial" w:cs="Arial"/>
                <w:sz w:val="20"/>
              </w:rPr>
              <w:t>pp. 384-386</w:t>
            </w:r>
            <w:r w:rsidR="00752DBB">
              <w:rPr>
                <w:rFonts w:ascii="Arial" w:hAnsi="Arial" w:cs="Arial"/>
                <w:sz w:val="20"/>
              </w:rPr>
              <w:br/>
            </w:r>
            <w:r w:rsidR="00752DBB">
              <w:rPr>
                <w:rFonts w:ascii="Arial" w:hAnsi="Arial" w:cs="Arial"/>
                <w:sz w:val="20"/>
              </w:rPr>
              <w:br/>
            </w:r>
            <w:r w:rsidR="00752DBB">
              <w:rPr>
                <w:rFonts w:ascii="Arial" w:hAnsi="Arial" w:cs="Arial"/>
                <w:sz w:val="20"/>
              </w:rPr>
              <w:br/>
            </w:r>
            <w:r w:rsidR="00752DBB">
              <w:rPr>
                <w:rFonts w:ascii="Arial" w:hAnsi="Arial" w:cs="Arial"/>
                <w:sz w:val="20"/>
              </w:rPr>
              <w:br/>
            </w:r>
          </w:p>
          <w:p w:rsidR="00B13991" w:rsidRPr="00B13991" w:rsidRDefault="00B13991" w:rsidP="00146530">
            <w:pPr>
              <w:pStyle w:val="BodyText"/>
              <w:spacing w:before="80" w:line="260" w:lineRule="atLeast"/>
              <w:jc w:val="left"/>
              <w:rPr>
                <w:rFonts w:ascii="Arial" w:hAnsi="Arial" w:cs="Arial"/>
                <w:sz w:val="20"/>
              </w:rPr>
            </w:pPr>
            <w:r w:rsidRPr="00B13991">
              <w:rPr>
                <w:rFonts w:ascii="Arial" w:hAnsi="Arial" w:cs="Arial"/>
                <w:sz w:val="20"/>
              </w:rPr>
              <w:t>pp. 386-3</w:t>
            </w:r>
            <w:r w:rsidR="0061753A">
              <w:rPr>
                <w:rFonts w:ascii="Arial" w:hAnsi="Arial" w:cs="Arial"/>
                <w:sz w:val="20"/>
              </w:rPr>
              <w:t>89</w:t>
            </w:r>
            <w:r w:rsidR="00752DBB">
              <w:rPr>
                <w:rFonts w:ascii="Arial" w:hAnsi="Arial" w:cs="Arial"/>
                <w:sz w:val="20"/>
              </w:rPr>
              <w:br/>
            </w:r>
            <w:r w:rsidR="00752DBB">
              <w:rPr>
                <w:rFonts w:ascii="Arial" w:hAnsi="Arial" w:cs="Arial"/>
                <w:sz w:val="20"/>
              </w:rPr>
              <w:br/>
            </w:r>
            <w:r w:rsidR="00752DBB">
              <w:rPr>
                <w:rFonts w:ascii="Arial" w:hAnsi="Arial" w:cs="Arial"/>
                <w:sz w:val="20"/>
              </w:rPr>
              <w:br/>
            </w:r>
            <w:r w:rsidR="00752DBB">
              <w:rPr>
                <w:rFonts w:ascii="Arial" w:hAnsi="Arial" w:cs="Arial"/>
                <w:sz w:val="20"/>
              </w:rPr>
              <w:br/>
            </w:r>
            <w:r w:rsidR="00752DBB">
              <w:rPr>
                <w:rFonts w:ascii="Arial" w:hAnsi="Arial" w:cs="Arial"/>
                <w:sz w:val="20"/>
              </w:rPr>
              <w:br/>
            </w:r>
            <w:r w:rsidR="00752DBB">
              <w:rPr>
                <w:rFonts w:ascii="Arial" w:hAnsi="Arial" w:cs="Arial"/>
                <w:sz w:val="20"/>
              </w:rPr>
              <w:br/>
            </w:r>
            <w:r w:rsidR="00752DBB">
              <w:rPr>
                <w:rFonts w:ascii="Arial" w:hAnsi="Arial" w:cs="Arial"/>
                <w:sz w:val="20"/>
              </w:rPr>
              <w:br/>
            </w:r>
          </w:p>
          <w:p w:rsidR="00B13991" w:rsidRPr="00B13991" w:rsidRDefault="00B13991" w:rsidP="00146530">
            <w:pPr>
              <w:pStyle w:val="BodyText"/>
              <w:spacing w:before="80" w:line="260" w:lineRule="atLeast"/>
              <w:jc w:val="left"/>
              <w:rPr>
                <w:rFonts w:ascii="Arial" w:hAnsi="Arial" w:cs="Arial"/>
                <w:sz w:val="20"/>
              </w:rPr>
            </w:pPr>
            <w:r w:rsidRPr="00B13991">
              <w:rPr>
                <w:rFonts w:ascii="Arial" w:hAnsi="Arial" w:cs="Arial"/>
                <w:sz w:val="20"/>
              </w:rPr>
              <w:t>pp. 39</w:t>
            </w:r>
            <w:r w:rsidR="0061753A">
              <w:rPr>
                <w:rFonts w:ascii="Arial" w:hAnsi="Arial" w:cs="Arial"/>
                <w:sz w:val="20"/>
              </w:rPr>
              <w:t>6</w:t>
            </w:r>
            <w:r w:rsidRPr="00B13991">
              <w:rPr>
                <w:rFonts w:ascii="Arial" w:hAnsi="Arial" w:cs="Arial"/>
                <w:sz w:val="20"/>
              </w:rPr>
              <w:t>-398</w:t>
            </w:r>
            <w:r w:rsidR="00B43027">
              <w:rPr>
                <w:rFonts w:ascii="Arial" w:hAnsi="Arial" w:cs="Arial"/>
                <w:sz w:val="20"/>
              </w:rPr>
              <w:br/>
            </w:r>
            <w:r w:rsidR="00B43027">
              <w:rPr>
                <w:rFonts w:ascii="Arial" w:hAnsi="Arial" w:cs="Arial"/>
                <w:sz w:val="20"/>
              </w:rPr>
              <w:br/>
            </w:r>
            <w:r w:rsidR="00B43027">
              <w:rPr>
                <w:rFonts w:ascii="Arial" w:hAnsi="Arial" w:cs="Arial"/>
                <w:sz w:val="20"/>
              </w:rPr>
              <w:br/>
            </w:r>
            <w:r w:rsidR="00B43027">
              <w:rPr>
                <w:rFonts w:ascii="Arial" w:hAnsi="Arial" w:cs="Arial"/>
                <w:sz w:val="20"/>
              </w:rPr>
              <w:br/>
            </w:r>
            <w:r w:rsidR="00B43027">
              <w:rPr>
                <w:rFonts w:ascii="Arial" w:hAnsi="Arial" w:cs="Arial"/>
                <w:sz w:val="20"/>
              </w:rPr>
              <w:br/>
            </w:r>
            <w:r w:rsidR="00B43027">
              <w:rPr>
                <w:rFonts w:ascii="Arial" w:hAnsi="Arial" w:cs="Arial"/>
                <w:sz w:val="20"/>
              </w:rPr>
              <w:br/>
            </w:r>
          </w:p>
          <w:p w:rsidR="00B13991" w:rsidRPr="00B13991" w:rsidRDefault="00B43027" w:rsidP="00146530">
            <w:pPr>
              <w:pStyle w:val="BodyText"/>
              <w:spacing w:before="80" w:line="260" w:lineRule="atLeast"/>
              <w:jc w:val="left"/>
              <w:rPr>
                <w:rFonts w:ascii="Arial" w:hAnsi="Arial" w:cs="Arial"/>
                <w:sz w:val="20"/>
              </w:rPr>
            </w:pPr>
            <w:r>
              <w:rPr>
                <w:rFonts w:ascii="Arial" w:hAnsi="Arial" w:cs="Arial"/>
                <w:sz w:val="20"/>
              </w:rPr>
              <w:br/>
            </w:r>
            <w:r>
              <w:rPr>
                <w:rFonts w:ascii="Arial" w:hAnsi="Arial" w:cs="Arial"/>
                <w:sz w:val="20"/>
              </w:rPr>
              <w:br/>
            </w:r>
            <w:r>
              <w:rPr>
                <w:rFonts w:ascii="Arial" w:hAnsi="Arial" w:cs="Arial"/>
                <w:sz w:val="20"/>
              </w:rPr>
              <w:br/>
            </w:r>
            <w:r>
              <w:rPr>
                <w:rFonts w:ascii="Arial" w:hAnsi="Arial" w:cs="Arial"/>
                <w:sz w:val="20"/>
              </w:rPr>
              <w:br/>
            </w:r>
          </w:p>
          <w:p w:rsidR="00B43027" w:rsidRDefault="00B13991" w:rsidP="00146530">
            <w:pPr>
              <w:pStyle w:val="BodyText"/>
              <w:spacing w:before="80" w:line="260" w:lineRule="atLeast"/>
              <w:jc w:val="left"/>
              <w:rPr>
                <w:rFonts w:ascii="Arial" w:hAnsi="Arial" w:cs="Arial"/>
                <w:sz w:val="20"/>
              </w:rPr>
            </w:pPr>
            <w:r w:rsidRPr="00B13991">
              <w:rPr>
                <w:rFonts w:ascii="Arial" w:hAnsi="Arial" w:cs="Arial"/>
                <w:sz w:val="20"/>
              </w:rPr>
              <w:br/>
            </w:r>
            <w:r w:rsidRPr="00B13991">
              <w:rPr>
                <w:rFonts w:ascii="Arial" w:hAnsi="Arial" w:cs="Arial"/>
                <w:sz w:val="20"/>
              </w:rPr>
              <w:br/>
            </w:r>
            <w:r w:rsidRPr="00B13991">
              <w:rPr>
                <w:rFonts w:ascii="Arial" w:hAnsi="Arial" w:cs="Arial"/>
                <w:sz w:val="20"/>
              </w:rPr>
              <w:br/>
            </w:r>
          </w:p>
          <w:p w:rsidR="00B13991" w:rsidRPr="00B13991" w:rsidRDefault="00B13991" w:rsidP="00146530">
            <w:pPr>
              <w:pStyle w:val="BodyText"/>
              <w:spacing w:before="80" w:line="260" w:lineRule="atLeast"/>
              <w:jc w:val="left"/>
              <w:rPr>
                <w:rFonts w:ascii="Arial" w:hAnsi="Arial" w:cs="Arial"/>
                <w:sz w:val="20"/>
              </w:rPr>
            </w:pPr>
            <w:r w:rsidRPr="00B13991">
              <w:rPr>
                <w:rFonts w:ascii="Arial" w:hAnsi="Arial" w:cs="Arial"/>
                <w:sz w:val="20"/>
              </w:rPr>
              <w:t xml:space="preserve">p. </w:t>
            </w:r>
            <w:r w:rsidR="00C0001B">
              <w:rPr>
                <w:rFonts w:ascii="Arial" w:hAnsi="Arial" w:cs="Arial"/>
                <w:sz w:val="20"/>
              </w:rPr>
              <w:t>398</w:t>
            </w:r>
            <w:r w:rsidR="00B43027">
              <w:rPr>
                <w:rFonts w:ascii="Arial" w:hAnsi="Arial" w:cs="Arial"/>
                <w:sz w:val="20"/>
              </w:rPr>
              <w:br/>
            </w:r>
            <w:r w:rsidR="00B43027">
              <w:rPr>
                <w:rFonts w:ascii="Arial" w:hAnsi="Arial" w:cs="Arial"/>
                <w:sz w:val="20"/>
              </w:rPr>
              <w:br/>
            </w:r>
            <w:r w:rsidR="00B43027">
              <w:rPr>
                <w:rFonts w:ascii="Arial" w:hAnsi="Arial" w:cs="Arial"/>
                <w:sz w:val="20"/>
              </w:rPr>
              <w:br/>
            </w:r>
            <w:r w:rsidR="00B43027">
              <w:rPr>
                <w:rFonts w:ascii="Arial" w:hAnsi="Arial" w:cs="Arial"/>
                <w:sz w:val="20"/>
              </w:rPr>
              <w:br/>
            </w:r>
          </w:p>
          <w:p w:rsidR="00B13991" w:rsidRPr="00B13991" w:rsidRDefault="00B13991" w:rsidP="00146530">
            <w:pPr>
              <w:pStyle w:val="BodyText"/>
              <w:spacing w:before="80" w:line="260" w:lineRule="atLeast"/>
              <w:jc w:val="left"/>
              <w:rPr>
                <w:rFonts w:ascii="Arial" w:hAnsi="Arial" w:cs="Arial"/>
                <w:sz w:val="20"/>
              </w:rPr>
            </w:pPr>
            <w:r w:rsidRPr="00B13991">
              <w:rPr>
                <w:rFonts w:ascii="Arial" w:hAnsi="Arial" w:cs="Arial"/>
                <w:sz w:val="20"/>
              </w:rPr>
              <w:t>pp. 406-409</w:t>
            </w:r>
            <w:r w:rsidR="00C0001B">
              <w:rPr>
                <w:rFonts w:ascii="Arial" w:hAnsi="Arial" w:cs="Arial"/>
                <w:sz w:val="20"/>
              </w:rPr>
              <w:t>; table 10.2 (p. 408)</w:t>
            </w:r>
            <w:r w:rsidR="00B43027">
              <w:rPr>
                <w:rFonts w:ascii="Arial" w:hAnsi="Arial" w:cs="Arial"/>
                <w:sz w:val="20"/>
              </w:rPr>
              <w:br/>
            </w:r>
            <w:r w:rsidR="00B43027">
              <w:rPr>
                <w:rFonts w:ascii="Arial" w:hAnsi="Arial" w:cs="Arial"/>
                <w:sz w:val="20"/>
              </w:rPr>
              <w:br/>
            </w:r>
          </w:p>
          <w:p w:rsidR="00B13991" w:rsidRPr="00B43027" w:rsidRDefault="00B13991" w:rsidP="00146530">
            <w:pPr>
              <w:pStyle w:val="BodyText"/>
              <w:spacing w:before="80" w:line="260" w:lineRule="atLeast"/>
              <w:jc w:val="left"/>
              <w:rPr>
                <w:rFonts w:ascii="Arial" w:hAnsi="Arial" w:cs="Arial"/>
                <w:sz w:val="20"/>
              </w:rPr>
            </w:pPr>
            <w:r w:rsidRPr="00B13991">
              <w:rPr>
                <w:rFonts w:ascii="Arial" w:hAnsi="Arial" w:cs="Arial"/>
                <w:sz w:val="20"/>
              </w:rPr>
              <w:t>pp. 409-411</w:t>
            </w:r>
          </w:p>
        </w:tc>
      </w:tr>
      <w:tr w:rsidR="00B13991" w:rsidRPr="00085631" w:rsidTr="001C5DE8">
        <w:tc>
          <w:tcPr>
            <w:tcW w:w="3966" w:type="pct"/>
            <w:tcBorders>
              <w:top w:val="nil"/>
              <w:left w:val="nil"/>
              <w:bottom w:val="single" w:sz="12" w:space="0" w:color="66BCDB" w:themeColor="text2"/>
              <w:right w:val="nil"/>
            </w:tcBorders>
            <w:shd w:val="clear" w:color="auto" w:fill="F2F2F2"/>
          </w:tcPr>
          <w:p w:rsidR="00B13991" w:rsidRPr="00085631" w:rsidRDefault="00B13991" w:rsidP="00146530">
            <w:pPr>
              <w:pStyle w:val="Box"/>
              <w:spacing w:before="80" w:line="120" w:lineRule="exact"/>
            </w:pPr>
          </w:p>
        </w:tc>
        <w:tc>
          <w:tcPr>
            <w:tcW w:w="194" w:type="pct"/>
            <w:tcBorders>
              <w:top w:val="nil"/>
              <w:left w:val="nil"/>
              <w:bottom w:val="nil"/>
              <w:right w:val="nil"/>
            </w:tcBorders>
            <w:shd w:val="clear" w:color="auto" w:fill="FFFFFF" w:themeFill="background1"/>
          </w:tcPr>
          <w:p w:rsidR="00B13991" w:rsidRPr="00085631" w:rsidRDefault="00B13991" w:rsidP="00164848">
            <w:pPr>
              <w:pStyle w:val="Box"/>
              <w:spacing w:before="0" w:line="120" w:lineRule="exact"/>
            </w:pPr>
          </w:p>
        </w:tc>
        <w:tc>
          <w:tcPr>
            <w:tcW w:w="840" w:type="pct"/>
            <w:tcBorders>
              <w:top w:val="nil"/>
              <w:left w:val="nil"/>
              <w:bottom w:val="single" w:sz="12" w:space="0" w:color="66BCDB" w:themeColor="text2"/>
              <w:right w:val="nil"/>
            </w:tcBorders>
            <w:shd w:val="clear" w:color="auto" w:fill="F2F2F2"/>
          </w:tcPr>
          <w:p w:rsidR="00B13991" w:rsidRPr="00085631" w:rsidRDefault="00B13991" w:rsidP="0064694C">
            <w:pPr>
              <w:pStyle w:val="Box"/>
              <w:spacing w:before="0" w:line="120" w:lineRule="exact"/>
              <w:jc w:val="left"/>
            </w:pPr>
          </w:p>
        </w:tc>
      </w:tr>
      <w:tr w:rsidR="003F6ACE" w:rsidRPr="006E5630" w:rsidTr="001C5DE8">
        <w:tc>
          <w:tcPr>
            <w:tcW w:w="3966" w:type="pct"/>
            <w:tcBorders>
              <w:top w:val="single" w:sz="12" w:space="0" w:color="66BCDB" w:themeColor="text2"/>
              <w:left w:val="nil"/>
              <w:bottom w:val="nil"/>
              <w:right w:val="nil"/>
            </w:tcBorders>
            <w:shd w:val="clear" w:color="auto" w:fill="F2F2F2"/>
          </w:tcPr>
          <w:p w:rsidR="003F6ACE" w:rsidRPr="006E5630" w:rsidRDefault="003F6ACE" w:rsidP="003F6ACE">
            <w:pPr>
              <w:pStyle w:val="BoxTitle"/>
            </w:pPr>
            <w:r w:rsidRPr="006E5630">
              <w:lastRenderedPageBreak/>
              <w:t xml:space="preserve">Chapter </w:t>
            </w:r>
            <w:r>
              <w:t>11</w:t>
            </w:r>
            <w:r w:rsidRPr="006E5630">
              <w:t xml:space="preserve">: </w:t>
            </w:r>
            <w:r>
              <w:t>Overall assessment</w:t>
            </w:r>
          </w:p>
        </w:tc>
        <w:tc>
          <w:tcPr>
            <w:tcW w:w="194" w:type="pct"/>
            <w:tcBorders>
              <w:top w:val="nil"/>
              <w:left w:val="nil"/>
              <w:bottom w:val="nil"/>
              <w:right w:val="nil"/>
            </w:tcBorders>
            <w:shd w:val="clear" w:color="auto" w:fill="FFFFFF" w:themeFill="background1"/>
          </w:tcPr>
          <w:p w:rsidR="003F6ACE" w:rsidRPr="006E5630" w:rsidRDefault="003F6ACE" w:rsidP="00164848">
            <w:pPr>
              <w:pStyle w:val="BoxTitle"/>
            </w:pPr>
          </w:p>
        </w:tc>
        <w:tc>
          <w:tcPr>
            <w:tcW w:w="840" w:type="pct"/>
            <w:tcBorders>
              <w:top w:val="single" w:sz="12" w:space="0" w:color="66BCDB" w:themeColor="text2"/>
              <w:left w:val="nil"/>
              <w:bottom w:val="nil"/>
              <w:right w:val="nil"/>
            </w:tcBorders>
            <w:shd w:val="clear" w:color="auto" w:fill="F2F2F2"/>
          </w:tcPr>
          <w:p w:rsidR="003F6ACE" w:rsidRPr="006E5630" w:rsidRDefault="003F6ACE" w:rsidP="0064694C">
            <w:pPr>
              <w:pStyle w:val="BoxTitle"/>
            </w:pPr>
            <w:r w:rsidRPr="006E5630">
              <w:t>For more</w:t>
            </w:r>
          </w:p>
        </w:tc>
      </w:tr>
      <w:tr w:rsidR="00E64ACF" w:rsidRPr="00E64ACF" w:rsidTr="00164848">
        <w:tc>
          <w:tcPr>
            <w:tcW w:w="3966" w:type="pct"/>
            <w:tcBorders>
              <w:top w:val="nil"/>
              <w:left w:val="nil"/>
              <w:bottom w:val="nil"/>
              <w:right w:val="nil"/>
            </w:tcBorders>
            <w:shd w:val="clear" w:color="auto" w:fill="F2F2F2"/>
          </w:tcPr>
          <w:p w:rsidR="0017645B" w:rsidRPr="00E64ACF" w:rsidRDefault="0017645B" w:rsidP="0017645B">
            <w:pPr>
              <w:pStyle w:val="KeyPointsListBullet"/>
            </w:pPr>
            <w:r w:rsidRPr="00E64ACF">
              <w:t>Competition is muted, constraining efficiency and member outcomes. The system lacks the critical mass of engaged and well</w:t>
            </w:r>
            <w:r w:rsidRPr="00E64ACF">
              <w:noBreakHyphen/>
              <w:t xml:space="preserve">informed members who would provide competitive pressure on funds to deliver better products and services. Rivalry between funds in the default segment is </w:t>
            </w:r>
            <w:r w:rsidRPr="00E64ACF">
              <w:rPr>
                <w:spacing w:val="-2"/>
              </w:rPr>
              <w:t>superficial and there are signs of unhealthy competition in the choice segment.</w:t>
            </w:r>
          </w:p>
          <w:p w:rsidR="0017645B" w:rsidRPr="00E64ACF" w:rsidRDefault="0017645B" w:rsidP="0017645B">
            <w:pPr>
              <w:pStyle w:val="KeyPointsListBullet"/>
              <w:rPr>
                <w:spacing w:val="-2"/>
              </w:rPr>
            </w:pPr>
            <w:r w:rsidRPr="00E64ACF">
              <w:rPr>
                <w:spacing w:val="-2"/>
              </w:rPr>
              <w:t>The superannuation system has delivered mixed returns. Overall most institutional funds have delivered solid net returns (and the system exhibits no material systemic risks). But a comparison of returns with benchmarks, and the spread of performance, shows that many members could be doing much better. Too few are in the very best products.</w:t>
            </w:r>
          </w:p>
          <w:p w:rsidR="0017645B" w:rsidRPr="00E64ACF" w:rsidRDefault="0017645B" w:rsidP="0017645B">
            <w:pPr>
              <w:pStyle w:val="KeyPointsListBullet"/>
            </w:pPr>
            <w:r w:rsidRPr="00E64ACF">
              <w:t>Fees, the biggest drain on net returns, have been slowly falling at a system level, but primarily because retail segment fees have come down from levels well above those in other segments.</w:t>
            </w:r>
          </w:p>
          <w:p w:rsidR="0017645B" w:rsidRPr="00E64ACF" w:rsidRDefault="0017645B" w:rsidP="0017645B">
            <w:pPr>
              <w:pStyle w:val="KeyPointsListBullet"/>
            </w:pPr>
            <w:r w:rsidRPr="00E64ACF">
              <w:t>Structural (policy) flaws have led to a situation where a third of all member accounts are unintended multiples. Members holding these accounts (and attached insurance policies) suffer unnecessary and regressive erosion of their account balances. Recent reforms will improve, but not eradicate, this problem.</w:t>
            </w:r>
          </w:p>
          <w:p w:rsidR="0017645B" w:rsidRPr="00E64ACF" w:rsidRDefault="0017645B" w:rsidP="0017645B">
            <w:pPr>
              <w:pStyle w:val="KeyPointsListBullet"/>
            </w:pPr>
            <w:r w:rsidRPr="00E64ACF">
              <w:t>Overall, the system offers products and services that meet most members’ needs. However, products are most complex during accumulation and most simple in retirement — when the converse constellation is needed for most members. And many members lack quality, comparable information to support engagement and good decision making.</w:t>
            </w:r>
          </w:p>
          <w:p w:rsidR="0017645B" w:rsidRPr="00E64ACF" w:rsidRDefault="0017645B" w:rsidP="0017645B">
            <w:pPr>
              <w:pStyle w:val="KeyPointsListBullet"/>
            </w:pPr>
            <w:r w:rsidRPr="00E64ACF">
              <w:t>Governance within funds has been improving, but falls short of best practice. Board skills and performance assessment, management of related</w:t>
            </w:r>
            <w:r w:rsidRPr="00E64ACF">
              <w:noBreakHyphen/>
              <w:t>party transactions, disclosure practices and investment governance remain chief areas of concern. Barriers to mergers have come down, but some substantive obstacles remain.</w:t>
            </w:r>
          </w:p>
          <w:p w:rsidR="0017645B" w:rsidRPr="00E64ACF" w:rsidRDefault="0017645B" w:rsidP="0017645B">
            <w:pPr>
              <w:pStyle w:val="KeyPointsListBullet"/>
              <w:rPr>
                <w:spacing w:val="-2"/>
              </w:rPr>
            </w:pPr>
            <w:r w:rsidRPr="00E64ACF">
              <w:rPr>
                <w:spacing w:val="-2"/>
              </w:rPr>
              <w:t>Insurance in super provides value for money for some, but not all, members. Insurance contributes to excessive balance erosion and system complexity. Some members have policies that ill</w:t>
            </w:r>
            <w:r w:rsidRPr="00E64ACF">
              <w:rPr>
                <w:spacing w:val="-2"/>
              </w:rPr>
              <w:noBreakHyphen/>
              <w:t>suit them (including ‘zombie’ policies they cannot use). The</w:t>
            </w:r>
            <w:r w:rsidRPr="00E64ACF" w:rsidDel="00861758">
              <w:rPr>
                <w:spacing w:val="-2"/>
              </w:rPr>
              <w:t xml:space="preserve"> </w:t>
            </w:r>
            <w:r w:rsidRPr="00E64ACF">
              <w:rPr>
                <w:spacing w:val="-2"/>
              </w:rPr>
              <w:t>Government</w:t>
            </w:r>
            <w:r w:rsidRPr="00E64ACF">
              <w:rPr>
                <w:spacing w:val="-2"/>
              </w:rPr>
              <w:noBreakHyphen/>
              <w:t>prompted industry code of practice, while a step in the right direction, falls short of what is needed</w:t>
            </w:r>
          </w:p>
          <w:p w:rsidR="003F6ACE" w:rsidRPr="00E64ACF" w:rsidRDefault="0017645B" w:rsidP="0017645B">
            <w:pPr>
              <w:pStyle w:val="KeyPointsListBullet2"/>
            </w:pPr>
            <w:r w:rsidRPr="00E64ACF">
              <w:t>The key regulators — APRA and ASIC — are doing reasonably well in their core duties. But conduct regulation arrangements are confusing and opaque, with significant overlap and no clear delineation between the roles of APRA and ASIC. Regulators also need to be more confident and member</w:t>
            </w:r>
            <w:r w:rsidRPr="00E64ACF">
              <w:noBreakHyphen/>
              <w:t>focused in the manner in which they regulate — they need to be ‘member champions’.</w:t>
            </w:r>
          </w:p>
        </w:tc>
        <w:tc>
          <w:tcPr>
            <w:tcW w:w="194" w:type="pct"/>
            <w:tcBorders>
              <w:top w:val="nil"/>
              <w:left w:val="nil"/>
              <w:bottom w:val="nil"/>
              <w:right w:val="nil"/>
            </w:tcBorders>
            <w:shd w:val="clear" w:color="auto" w:fill="FFFFFF" w:themeFill="background1"/>
          </w:tcPr>
          <w:p w:rsidR="003F6ACE" w:rsidRPr="00E64ACF" w:rsidRDefault="003F6ACE" w:rsidP="00164848">
            <w:pPr>
              <w:pStyle w:val="BoxListBullet"/>
              <w:numPr>
                <w:ilvl w:val="0"/>
                <w:numId w:val="0"/>
              </w:numPr>
              <w:ind w:left="284"/>
            </w:pPr>
          </w:p>
        </w:tc>
        <w:tc>
          <w:tcPr>
            <w:tcW w:w="840" w:type="pct"/>
            <w:tcBorders>
              <w:top w:val="nil"/>
              <w:left w:val="nil"/>
              <w:bottom w:val="nil"/>
              <w:right w:val="nil"/>
            </w:tcBorders>
            <w:shd w:val="clear" w:color="auto" w:fill="F2F2F2"/>
          </w:tcPr>
          <w:p w:rsidR="003F6ACE" w:rsidRPr="00E64ACF" w:rsidRDefault="003F6ACE" w:rsidP="00B43027">
            <w:pPr>
              <w:pStyle w:val="BodyText"/>
              <w:spacing w:before="100" w:line="260" w:lineRule="atLeast"/>
              <w:jc w:val="left"/>
              <w:rPr>
                <w:rFonts w:ascii="Arial" w:hAnsi="Arial" w:cs="Arial"/>
                <w:sz w:val="20"/>
              </w:rPr>
            </w:pPr>
            <w:r w:rsidRPr="00E64ACF">
              <w:rPr>
                <w:rFonts w:ascii="Arial" w:hAnsi="Arial" w:cs="Arial"/>
                <w:sz w:val="20"/>
              </w:rPr>
              <w:t xml:space="preserve">pp. </w:t>
            </w:r>
            <w:r w:rsidR="0017645B" w:rsidRPr="00E64ACF">
              <w:rPr>
                <w:rFonts w:ascii="Arial" w:hAnsi="Arial" w:cs="Arial"/>
                <w:sz w:val="20"/>
              </w:rPr>
              <w:t>415-417</w:t>
            </w:r>
            <w:r w:rsidR="00B43027">
              <w:rPr>
                <w:rFonts w:ascii="Arial" w:hAnsi="Arial" w:cs="Arial"/>
                <w:sz w:val="20"/>
              </w:rPr>
              <w:br/>
            </w:r>
            <w:r w:rsidR="00B43027">
              <w:rPr>
                <w:rFonts w:ascii="Arial" w:hAnsi="Arial" w:cs="Arial"/>
                <w:sz w:val="20"/>
              </w:rPr>
              <w:br/>
            </w:r>
            <w:r w:rsidR="00B43027">
              <w:rPr>
                <w:rFonts w:ascii="Arial" w:hAnsi="Arial" w:cs="Arial"/>
                <w:sz w:val="20"/>
              </w:rPr>
              <w:br/>
            </w:r>
            <w:r w:rsidR="00B43027">
              <w:rPr>
                <w:rFonts w:ascii="Arial" w:hAnsi="Arial" w:cs="Arial"/>
                <w:sz w:val="20"/>
              </w:rPr>
              <w:br/>
            </w:r>
            <w:r w:rsidR="00B43027">
              <w:rPr>
                <w:rFonts w:ascii="Arial" w:hAnsi="Arial" w:cs="Arial"/>
                <w:sz w:val="20"/>
              </w:rPr>
              <w:br/>
            </w:r>
          </w:p>
          <w:p w:rsidR="003F6ACE" w:rsidRPr="00E64ACF" w:rsidRDefault="003F6ACE" w:rsidP="00B43027">
            <w:pPr>
              <w:pStyle w:val="BodyText"/>
              <w:spacing w:before="100" w:line="260" w:lineRule="atLeast"/>
              <w:jc w:val="left"/>
              <w:rPr>
                <w:rFonts w:ascii="Arial" w:hAnsi="Arial" w:cs="Arial"/>
                <w:sz w:val="20"/>
              </w:rPr>
            </w:pPr>
            <w:r w:rsidRPr="00E64ACF">
              <w:rPr>
                <w:rFonts w:ascii="Arial" w:hAnsi="Arial" w:cs="Arial"/>
                <w:sz w:val="20"/>
              </w:rPr>
              <w:t xml:space="preserve">pp. </w:t>
            </w:r>
            <w:r w:rsidR="0017645B" w:rsidRPr="00E64ACF">
              <w:rPr>
                <w:rFonts w:ascii="Arial" w:hAnsi="Arial" w:cs="Arial"/>
                <w:sz w:val="20"/>
              </w:rPr>
              <w:t>417-4</w:t>
            </w:r>
            <w:r w:rsidR="001443F6">
              <w:rPr>
                <w:rFonts w:ascii="Arial" w:hAnsi="Arial" w:cs="Arial"/>
                <w:sz w:val="20"/>
              </w:rPr>
              <w:t>19</w:t>
            </w:r>
            <w:r w:rsidR="00B43027">
              <w:rPr>
                <w:rFonts w:ascii="Arial" w:hAnsi="Arial" w:cs="Arial"/>
                <w:sz w:val="20"/>
              </w:rPr>
              <w:br/>
            </w:r>
            <w:r w:rsidR="00B43027">
              <w:rPr>
                <w:rFonts w:ascii="Arial" w:hAnsi="Arial" w:cs="Arial"/>
                <w:sz w:val="20"/>
              </w:rPr>
              <w:br/>
            </w:r>
            <w:r w:rsidR="00B43027">
              <w:rPr>
                <w:rFonts w:ascii="Arial" w:hAnsi="Arial" w:cs="Arial"/>
                <w:sz w:val="20"/>
              </w:rPr>
              <w:br/>
            </w:r>
            <w:r w:rsidR="00B43027">
              <w:rPr>
                <w:rFonts w:ascii="Arial" w:hAnsi="Arial" w:cs="Arial"/>
                <w:sz w:val="20"/>
              </w:rPr>
              <w:br/>
            </w:r>
          </w:p>
          <w:p w:rsidR="003F6ACE" w:rsidRPr="00E64ACF" w:rsidRDefault="00094C0F" w:rsidP="00B43027">
            <w:pPr>
              <w:pStyle w:val="BodyText"/>
              <w:spacing w:before="100" w:line="260" w:lineRule="atLeast"/>
              <w:jc w:val="left"/>
              <w:rPr>
                <w:rFonts w:ascii="Arial" w:hAnsi="Arial" w:cs="Arial"/>
                <w:sz w:val="20"/>
              </w:rPr>
            </w:pPr>
            <w:r w:rsidRPr="00E64ACF">
              <w:rPr>
                <w:rFonts w:ascii="Arial" w:hAnsi="Arial" w:cs="Arial"/>
                <w:sz w:val="20"/>
              </w:rPr>
              <w:t>p. 417</w:t>
            </w:r>
            <w:r w:rsidR="00B43027">
              <w:rPr>
                <w:rFonts w:ascii="Arial" w:hAnsi="Arial" w:cs="Arial"/>
                <w:sz w:val="20"/>
              </w:rPr>
              <w:br/>
            </w:r>
            <w:r w:rsidR="00B43027">
              <w:rPr>
                <w:rFonts w:ascii="Arial" w:hAnsi="Arial" w:cs="Arial"/>
                <w:sz w:val="20"/>
              </w:rPr>
              <w:br/>
            </w:r>
          </w:p>
          <w:p w:rsidR="003F6ACE" w:rsidRPr="00E64ACF" w:rsidRDefault="003F6ACE" w:rsidP="00B43027">
            <w:pPr>
              <w:pStyle w:val="BodyText"/>
              <w:spacing w:before="100" w:line="260" w:lineRule="atLeast"/>
              <w:jc w:val="left"/>
              <w:rPr>
                <w:rFonts w:ascii="Arial" w:hAnsi="Arial" w:cs="Arial"/>
                <w:sz w:val="20"/>
              </w:rPr>
            </w:pPr>
            <w:r w:rsidRPr="00E64ACF">
              <w:rPr>
                <w:rFonts w:ascii="Arial" w:hAnsi="Arial" w:cs="Arial"/>
                <w:sz w:val="20"/>
              </w:rPr>
              <w:t xml:space="preserve">pp. </w:t>
            </w:r>
            <w:r w:rsidR="00094C0F" w:rsidRPr="00E64ACF">
              <w:rPr>
                <w:rFonts w:ascii="Arial" w:hAnsi="Arial" w:cs="Arial"/>
                <w:sz w:val="20"/>
              </w:rPr>
              <w:t>417-419</w:t>
            </w:r>
            <w:r w:rsidR="00B43027">
              <w:rPr>
                <w:rFonts w:ascii="Arial" w:hAnsi="Arial" w:cs="Arial"/>
                <w:sz w:val="20"/>
              </w:rPr>
              <w:br/>
            </w:r>
            <w:r w:rsidR="00B43027">
              <w:rPr>
                <w:rFonts w:ascii="Arial" w:hAnsi="Arial" w:cs="Arial"/>
                <w:sz w:val="20"/>
              </w:rPr>
              <w:br/>
            </w:r>
            <w:r w:rsidR="00B43027">
              <w:rPr>
                <w:rFonts w:ascii="Arial" w:hAnsi="Arial" w:cs="Arial"/>
                <w:sz w:val="20"/>
              </w:rPr>
              <w:br/>
            </w:r>
            <w:r w:rsidR="00B43027">
              <w:rPr>
                <w:rFonts w:ascii="Arial" w:hAnsi="Arial" w:cs="Arial"/>
                <w:sz w:val="20"/>
              </w:rPr>
              <w:br/>
            </w:r>
          </w:p>
          <w:p w:rsidR="003F6ACE" w:rsidRPr="00E64ACF" w:rsidRDefault="00094C0F" w:rsidP="00B43027">
            <w:pPr>
              <w:pStyle w:val="BodyText"/>
              <w:spacing w:before="100" w:line="260" w:lineRule="atLeast"/>
              <w:jc w:val="left"/>
              <w:rPr>
                <w:rFonts w:ascii="Arial" w:hAnsi="Arial" w:cs="Arial"/>
                <w:sz w:val="20"/>
              </w:rPr>
            </w:pPr>
            <w:r w:rsidRPr="00E64ACF">
              <w:rPr>
                <w:rFonts w:ascii="Arial" w:hAnsi="Arial" w:cs="Arial"/>
                <w:sz w:val="20"/>
              </w:rPr>
              <w:t>pp. 419-421</w:t>
            </w:r>
            <w:r w:rsidR="00B43027">
              <w:rPr>
                <w:rFonts w:ascii="Arial" w:hAnsi="Arial" w:cs="Arial"/>
                <w:sz w:val="20"/>
              </w:rPr>
              <w:br/>
            </w:r>
            <w:r w:rsidR="00B43027">
              <w:rPr>
                <w:rFonts w:ascii="Arial" w:hAnsi="Arial" w:cs="Arial"/>
                <w:sz w:val="20"/>
              </w:rPr>
              <w:br/>
            </w:r>
            <w:r w:rsidR="00B43027">
              <w:rPr>
                <w:rFonts w:ascii="Arial" w:hAnsi="Arial" w:cs="Arial"/>
                <w:sz w:val="20"/>
              </w:rPr>
              <w:br/>
            </w:r>
            <w:r w:rsidR="00B43027">
              <w:rPr>
                <w:rFonts w:ascii="Arial" w:hAnsi="Arial" w:cs="Arial"/>
                <w:sz w:val="20"/>
              </w:rPr>
              <w:br/>
            </w:r>
            <w:r w:rsidR="00B43027">
              <w:rPr>
                <w:rFonts w:ascii="Arial" w:hAnsi="Arial" w:cs="Arial"/>
                <w:sz w:val="20"/>
              </w:rPr>
              <w:br/>
            </w:r>
          </w:p>
          <w:p w:rsidR="00B43027" w:rsidRDefault="00C12038" w:rsidP="00B43027">
            <w:pPr>
              <w:pStyle w:val="BodyText"/>
              <w:spacing w:before="100" w:line="260" w:lineRule="atLeast"/>
              <w:jc w:val="left"/>
              <w:rPr>
                <w:rFonts w:ascii="Arial" w:hAnsi="Arial" w:cs="Arial"/>
                <w:sz w:val="20"/>
              </w:rPr>
            </w:pPr>
            <w:r w:rsidRPr="00E64ACF">
              <w:rPr>
                <w:rFonts w:ascii="Arial" w:hAnsi="Arial" w:cs="Arial"/>
                <w:sz w:val="20"/>
              </w:rPr>
              <w:t>pp. 421-422</w:t>
            </w:r>
            <w:r w:rsidR="00B43027">
              <w:rPr>
                <w:rFonts w:ascii="Arial" w:hAnsi="Arial" w:cs="Arial"/>
                <w:sz w:val="20"/>
              </w:rPr>
              <w:br/>
            </w:r>
            <w:r w:rsidR="003F6ACE" w:rsidRPr="00E64ACF">
              <w:rPr>
                <w:rFonts w:ascii="Arial" w:hAnsi="Arial" w:cs="Arial"/>
                <w:sz w:val="20"/>
              </w:rPr>
              <w:br/>
            </w:r>
            <w:r w:rsidR="003F6ACE" w:rsidRPr="00E64ACF">
              <w:rPr>
                <w:rFonts w:ascii="Arial" w:hAnsi="Arial" w:cs="Arial"/>
                <w:sz w:val="20"/>
              </w:rPr>
              <w:br/>
            </w:r>
            <w:r w:rsidR="003F6ACE" w:rsidRPr="00E64ACF">
              <w:rPr>
                <w:rFonts w:ascii="Arial" w:hAnsi="Arial" w:cs="Arial"/>
                <w:sz w:val="20"/>
              </w:rPr>
              <w:br/>
            </w:r>
          </w:p>
          <w:p w:rsidR="004649E2" w:rsidRPr="00E64ACF" w:rsidRDefault="001179C7" w:rsidP="00B43027">
            <w:pPr>
              <w:pStyle w:val="BodyText"/>
              <w:spacing w:before="100" w:line="260" w:lineRule="atLeast"/>
              <w:jc w:val="left"/>
              <w:rPr>
                <w:rFonts w:ascii="Arial" w:hAnsi="Arial" w:cs="Arial"/>
                <w:sz w:val="20"/>
              </w:rPr>
            </w:pPr>
            <w:r w:rsidRPr="00E64ACF">
              <w:rPr>
                <w:rFonts w:ascii="Arial" w:hAnsi="Arial" w:cs="Arial"/>
                <w:sz w:val="20"/>
              </w:rPr>
              <w:t>p</w:t>
            </w:r>
            <w:r w:rsidR="003A6DB9">
              <w:rPr>
                <w:rFonts w:ascii="Arial" w:hAnsi="Arial" w:cs="Arial"/>
                <w:sz w:val="20"/>
              </w:rPr>
              <w:t>p</w:t>
            </w:r>
            <w:r w:rsidRPr="00E64ACF">
              <w:rPr>
                <w:rFonts w:ascii="Arial" w:hAnsi="Arial" w:cs="Arial"/>
                <w:sz w:val="20"/>
              </w:rPr>
              <w:t>. 42</w:t>
            </w:r>
            <w:r w:rsidR="003F6ACE" w:rsidRPr="00E64ACF">
              <w:rPr>
                <w:rFonts w:ascii="Arial" w:hAnsi="Arial" w:cs="Arial"/>
                <w:sz w:val="20"/>
              </w:rPr>
              <w:t>2</w:t>
            </w:r>
            <w:r w:rsidRPr="00E64ACF">
              <w:rPr>
                <w:rFonts w:ascii="Arial" w:hAnsi="Arial" w:cs="Arial"/>
                <w:sz w:val="20"/>
              </w:rPr>
              <w:t>-423</w:t>
            </w:r>
            <w:r w:rsidR="00B43027">
              <w:rPr>
                <w:rFonts w:ascii="Arial" w:hAnsi="Arial" w:cs="Arial"/>
                <w:sz w:val="20"/>
              </w:rPr>
              <w:br/>
            </w:r>
            <w:r w:rsidR="00B43027">
              <w:rPr>
                <w:rFonts w:ascii="Arial" w:hAnsi="Arial" w:cs="Arial"/>
                <w:sz w:val="20"/>
              </w:rPr>
              <w:br/>
            </w:r>
            <w:r w:rsidR="00B43027">
              <w:rPr>
                <w:rFonts w:ascii="Arial" w:hAnsi="Arial" w:cs="Arial"/>
                <w:sz w:val="20"/>
              </w:rPr>
              <w:br/>
            </w:r>
            <w:r w:rsidR="00B43027">
              <w:rPr>
                <w:rFonts w:ascii="Arial" w:hAnsi="Arial" w:cs="Arial"/>
                <w:sz w:val="20"/>
              </w:rPr>
              <w:br/>
            </w:r>
            <w:r w:rsidR="00B43027">
              <w:rPr>
                <w:rFonts w:ascii="Arial" w:hAnsi="Arial" w:cs="Arial"/>
                <w:sz w:val="20"/>
              </w:rPr>
              <w:br/>
            </w:r>
          </w:p>
          <w:p w:rsidR="003F6ACE" w:rsidRPr="00B43027" w:rsidRDefault="003F6ACE" w:rsidP="00B43027">
            <w:pPr>
              <w:pStyle w:val="BodyText"/>
              <w:spacing w:before="100" w:line="260" w:lineRule="atLeast"/>
              <w:jc w:val="left"/>
              <w:rPr>
                <w:rFonts w:ascii="Arial" w:hAnsi="Arial" w:cs="Arial"/>
                <w:sz w:val="20"/>
              </w:rPr>
            </w:pPr>
            <w:r w:rsidRPr="00E64ACF">
              <w:rPr>
                <w:rFonts w:ascii="Arial" w:hAnsi="Arial" w:cs="Arial"/>
                <w:sz w:val="20"/>
              </w:rPr>
              <w:t xml:space="preserve">pp. </w:t>
            </w:r>
            <w:r w:rsidR="004649E2" w:rsidRPr="00E64ACF">
              <w:rPr>
                <w:rFonts w:ascii="Arial" w:hAnsi="Arial" w:cs="Arial"/>
                <w:sz w:val="20"/>
              </w:rPr>
              <w:t>4</w:t>
            </w:r>
            <w:r w:rsidR="00E64ACF" w:rsidRPr="00E64ACF">
              <w:rPr>
                <w:rFonts w:ascii="Arial" w:hAnsi="Arial" w:cs="Arial"/>
                <w:sz w:val="20"/>
              </w:rPr>
              <w:t>21</w:t>
            </w:r>
          </w:p>
        </w:tc>
      </w:tr>
      <w:tr w:rsidR="003F6ACE" w:rsidRPr="00085631" w:rsidTr="001C5DE8">
        <w:tc>
          <w:tcPr>
            <w:tcW w:w="3966" w:type="pct"/>
            <w:tcBorders>
              <w:top w:val="nil"/>
              <w:left w:val="nil"/>
              <w:bottom w:val="single" w:sz="12" w:space="0" w:color="66BCDB" w:themeColor="text2"/>
              <w:right w:val="nil"/>
            </w:tcBorders>
            <w:shd w:val="clear" w:color="auto" w:fill="F2F2F2"/>
          </w:tcPr>
          <w:p w:rsidR="003F6ACE" w:rsidRPr="00085631" w:rsidRDefault="003F6ACE" w:rsidP="00164848">
            <w:pPr>
              <w:pStyle w:val="Box"/>
              <w:spacing w:before="0" w:line="120" w:lineRule="exact"/>
            </w:pPr>
          </w:p>
        </w:tc>
        <w:tc>
          <w:tcPr>
            <w:tcW w:w="194" w:type="pct"/>
            <w:tcBorders>
              <w:top w:val="nil"/>
              <w:left w:val="nil"/>
              <w:bottom w:val="nil"/>
              <w:right w:val="nil"/>
            </w:tcBorders>
            <w:shd w:val="clear" w:color="auto" w:fill="FFFFFF" w:themeFill="background1"/>
          </w:tcPr>
          <w:p w:rsidR="003F6ACE" w:rsidRPr="00085631" w:rsidRDefault="003F6ACE" w:rsidP="00164848">
            <w:pPr>
              <w:pStyle w:val="Box"/>
              <w:spacing w:before="0" w:line="120" w:lineRule="exact"/>
            </w:pPr>
          </w:p>
        </w:tc>
        <w:tc>
          <w:tcPr>
            <w:tcW w:w="840" w:type="pct"/>
            <w:tcBorders>
              <w:top w:val="nil"/>
              <w:left w:val="nil"/>
              <w:bottom w:val="single" w:sz="12" w:space="0" w:color="66BCDB" w:themeColor="text2"/>
              <w:right w:val="nil"/>
            </w:tcBorders>
            <w:shd w:val="clear" w:color="auto" w:fill="F2F2F2"/>
          </w:tcPr>
          <w:p w:rsidR="003F6ACE" w:rsidRPr="00085631" w:rsidRDefault="003F6ACE" w:rsidP="0064694C">
            <w:pPr>
              <w:pStyle w:val="Box"/>
              <w:spacing w:before="0" w:line="120" w:lineRule="exact"/>
              <w:jc w:val="left"/>
            </w:pPr>
          </w:p>
        </w:tc>
      </w:tr>
    </w:tbl>
    <w:p w:rsidR="00F54AAE" w:rsidRDefault="00F54AAE">
      <w:r>
        <w:rPr>
          <w:b/>
        </w:rPr>
        <w:br w:type="page"/>
      </w:r>
    </w:p>
    <w:tbl>
      <w:tblPr>
        <w:tblW w:w="4903" w:type="pct"/>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6836"/>
        <w:gridCol w:w="334"/>
        <w:gridCol w:w="1448"/>
      </w:tblGrid>
      <w:tr w:rsidR="00203B2E" w:rsidRPr="006E5630" w:rsidTr="001C5DE8">
        <w:tc>
          <w:tcPr>
            <w:tcW w:w="3966" w:type="pct"/>
            <w:tcBorders>
              <w:top w:val="single" w:sz="12" w:space="0" w:color="66BCDB" w:themeColor="text2"/>
              <w:left w:val="nil"/>
              <w:bottom w:val="nil"/>
              <w:right w:val="nil"/>
            </w:tcBorders>
            <w:shd w:val="clear" w:color="auto" w:fill="F2F2F2"/>
          </w:tcPr>
          <w:p w:rsidR="00203B2E" w:rsidRPr="006E5630" w:rsidRDefault="00203B2E" w:rsidP="00203B2E">
            <w:pPr>
              <w:pStyle w:val="BoxTitle"/>
            </w:pPr>
            <w:r w:rsidRPr="006E5630">
              <w:lastRenderedPageBreak/>
              <w:t xml:space="preserve">Chapter </w:t>
            </w:r>
            <w:r>
              <w:t>12</w:t>
            </w:r>
            <w:r w:rsidRPr="006E5630">
              <w:t xml:space="preserve">: </w:t>
            </w:r>
            <w:r>
              <w:t>Competing for default members</w:t>
            </w:r>
          </w:p>
        </w:tc>
        <w:tc>
          <w:tcPr>
            <w:tcW w:w="194" w:type="pct"/>
            <w:tcBorders>
              <w:top w:val="nil"/>
              <w:left w:val="nil"/>
              <w:bottom w:val="nil"/>
              <w:right w:val="nil"/>
            </w:tcBorders>
            <w:shd w:val="clear" w:color="auto" w:fill="FFFFFF" w:themeFill="background1"/>
          </w:tcPr>
          <w:p w:rsidR="00203B2E" w:rsidRPr="006E5630" w:rsidRDefault="00203B2E" w:rsidP="00203B2E">
            <w:pPr>
              <w:pStyle w:val="BoxTitle"/>
            </w:pPr>
          </w:p>
        </w:tc>
        <w:tc>
          <w:tcPr>
            <w:tcW w:w="840" w:type="pct"/>
            <w:tcBorders>
              <w:top w:val="single" w:sz="12" w:space="0" w:color="66BCDB" w:themeColor="text2"/>
              <w:left w:val="nil"/>
              <w:bottom w:val="nil"/>
              <w:right w:val="nil"/>
            </w:tcBorders>
            <w:shd w:val="clear" w:color="auto" w:fill="F2F2F2"/>
          </w:tcPr>
          <w:p w:rsidR="00203B2E" w:rsidRPr="006E5630" w:rsidRDefault="007E15CD" w:rsidP="0064694C">
            <w:pPr>
              <w:pStyle w:val="BoxTitle"/>
            </w:pPr>
            <w:r>
              <w:t>For more</w:t>
            </w:r>
          </w:p>
        </w:tc>
      </w:tr>
      <w:tr w:rsidR="00F21744" w:rsidRPr="00F21744" w:rsidTr="00164848">
        <w:tc>
          <w:tcPr>
            <w:tcW w:w="3966" w:type="pct"/>
            <w:tcBorders>
              <w:top w:val="nil"/>
              <w:left w:val="nil"/>
              <w:bottom w:val="nil"/>
              <w:right w:val="nil"/>
            </w:tcBorders>
            <w:shd w:val="clear" w:color="auto" w:fill="F2F2F2"/>
          </w:tcPr>
          <w:p w:rsidR="00203B2E" w:rsidRPr="00F21744" w:rsidRDefault="00203B2E" w:rsidP="00933779">
            <w:pPr>
              <w:pStyle w:val="KeyPointsListBullet"/>
            </w:pPr>
            <w:r w:rsidRPr="00F21744">
              <w:t>In a world of compulsion the onus is on Government to ensure that default super is the system exemplar, eliminating the costly (and highly regressive) twin risks for a default member — defaulting more than once, or into an underperforming fund.</w:t>
            </w:r>
          </w:p>
          <w:p w:rsidR="00203B2E" w:rsidRPr="00F21744" w:rsidRDefault="00203B2E" w:rsidP="00933779">
            <w:pPr>
              <w:pStyle w:val="KeyPointsListBullet"/>
            </w:pPr>
            <w:r w:rsidRPr="00F21744">
              <w:t>A degree of longstanding underperformance is manifest in all segments of the superannuation system. While the default segment has on average outperformed the system as a whole, and worked well for the majority of default members, it fails to ensure members are placed in the very best funds and places a sizable minority in underperforming products, and at a pernicious cost to these members (a reduction in their retirement balance of 36 per cent or $375 000 for a typical new job entrant today). Default arrangements should be recrafted to harness the benefits of competition for default members.</w:t>
            </w:r>
          </w:p>
          <w:p w:rsidR="00203B2E" w:rsidRPr="00F21744" w:rsidRDefault="00203B2E" w:rsidP="00933779">
            <w:pPr>
              <w:pStyle w:val="KeyPointsListBullet"/>
            </w:pPr>
            <w:r w:rsidRPr="00F21744">
              <w:t xml:space="preserve">The key problem with current default arrangements is linking the choice of default fund to the employer, rather than the member. This inevitably contributes to unnecessary account proliferation. Current arrangements also may expose members to poor quality decisions made by third parties, including employers. </w:t>
            </w:r>
          </w:p>
          <w:p w:rsidR="00203B2E" w:rsidRPr="00F21744" w:rsidRDefault="00203B2E" w:rsidP="00933779">
            <w:pPr>
              <w:pStyle w:val="KeyPointsListBullet"/>
            </w:pPr>
            <w:r w:rsidRPr="00F21744">
              <w:t>Of the default models considered by the Commission (including the current system), the assisted employee choice model is likely to provide the best outcomes for members. It would best harness healthy competition and ‘nudge’ members into the very best products. Its design is inspired and informed by behavioural economics — how people actually behave, not how they ‘should’ behave — to ensure simple and safe choice for members from a shortlist of best in show products, and a longer list of good products for more engaged members to consider.</w:t>
            </w:r>
          </w:p>
          <w:p w:rsidR="00203B2E" w:rsidRPr="00F21744" w:rsidRDefault="00203B2E" w:rsidP="00933779">
            <w:pPr>
              <w:pStyle w:val="KeyPointsListBullet"/>
            </w:pPr>
            <w:r w:rsidRPr="00F21744">
              <w:t>By comparison, assisting an employer to make the choice</w:t>
            </w:r>
            <w:r w:rsidRPr="00F21744" w:rsidDel="00787533">
              <w:t xml:space="preserve"> </w:t>
            </w:r>
            <w:r w:rsidRPr="00F21744">
              <w:t>performs less well in ensuring employees are placed in the very best funds, due to the inconsistent incentives with leaving the decision to the employer.</w:t>
            </w:r>
          </w:p>
          <w:p w:rsidR="00203B2E" w:rsidRPr="00F21744" w:rsidRDefault="00203B2E" w:rsidP="00933779">
            <w:pPr>
              <w:pStyle w:val="KeyPointsListBullet"/>
            </w:pPr>
            <w:r w:rsidRPr="00F21744">
              <w:t>The assisted employee choice model would apply to all new workforce entrants (around 474 000 members each year with about $1 billion in annual contributions initially). Importantly, it also offers immediate benefits to many existing default members through extending to them any lower fee offers made in the course of best in show selection; and signalling whether a funds are really best.</w:t>
            </w:r>
          </w:p>
          <w:p w:rsidR="00203B2E" w:rsidRPr="00F21744" w:rsidRDefault="00203B2E" w:rsidP="00933779">
            <w:pPr>
              <w:pStyle w:val="KeyPointsListBullet"/>
            </w:pPr>
            <w:r w:rsidRPr="00F21744">
              <w:t>A government monopoly default fund, suggested by some experts, could realise economies of scale within the system and simplify the whole process — but at the cost of abandoning any attempt to both improve engagement and simplify choice. And it would run counter to the (desirable) absence of an actual or implied government guarantee in the Australian superannuation system and would fail to harness the benefits of a competitive process.</w:t>
            </w:r>
          </w:p>
        </w:tc>
        <w:tc>
          <w:tcPr>
            <w:tcW w:w="194" w:type="pct"/>
            <w:tcBorders>
              <w:top w:val="nil"/>
              <w:left w:val="nil"/>
              <w:bottom w:val="nil"/>
              <w:right w:val="nil"/>
            </w:tcBorders>
            <w:shd w:val="clear" w:color="auto" w:fill="FFFFFF" w:themeFill="background1"/>
          </w:tcPr>
          <w:p w:rsidR="00203B2E" w:rsidRPr="00F21744" w:rsidRDefault="00203B2E" w:rsidP="00164848">
            <w:pPr>
              <w:pStyle w:val="BoxListBullet"/>
              <w:numPr>
                <w:ilvl w:val="0"/>
                <w:numId w:val="0"/>
              </w:numPr>
              <w:ind w:left="284"/>
            </w:pPr>
          </w:p>
        </w:tc>
        <w:tc>
          <w:tcPr>
            <w:tcW w:w="840" w:type="pct"/>
            <w:tcBorders>
              <w:top w:val="nil"/>
              <w:left w:val="nil"/>
              <w:bottom w:val="nil"/>
              <w:right w:val="nil"/>
            </w:tcBorders>
            <w:shd w:val="clear" w:color="auto" w:fill="F2F2F2"/>
          </w:tcPr>
          <w:p w:rsidR="00203B2E" w:rsidRPr="00F21744" w:rsidRDefault="00203B2E" w:rsidP="00B43027">
            <w:pPr>
              <w:pStyle w:val="BodyText"/>
              <w:spacing w:before="100" w:line="260" w:lineRule="atLeast"/>
              <w:jc w:val="left"/>
              <w:rPr>
                <w:rFonts w:ascii="Arial" w:hAnsi="Arial" w:cs="Arial"/>
                <w:sz w:val="20"/>
              </w:rPr>
            </w:pPr>
            <w:r w:rsidRPr="00F21744">
              <w:rPr>
                <w:rFonts w:ascii="Arial" w:hAnsi="Arial" w:cs="Arial"/>
                <w:sz w:val="20"/>
              </w:rPr>
              <w:t xml:space="preserve">p. </w:t>
            </w:r>
            <w:r w:rsidR="00F21744" w:rsidRPr="00F21744">
              <w:rPr>
                <w:rFonts w:ascii="Arial" w:hAnsi="Arial" w:cs="Arial"/>
                <w:sz w:val="20"/>
              </w:rPr>
              <w:t>426</w:t>
            </w:r>
            <w:r w:rsidR="001443F6">
              <w:rPr>
                <w:rFonts w:ascii="Arial" w:hAnsi="Arial" w:cs="Arial"/>
                <w:sz w:val="20"/>
              </w:rPr>
              <w:t>; pp. 430</w:t>
            </w:r>
            <w:r w:rsidR="00F21744" w:rsidRPr="00F21744">
              <w:rPr>
                <w:rFonts w:ascii="Arial" w:hAnsi="Arial" w:cs="Arial"/>
                <w:sz w:val="20"/>
              </w:rPr>
              <w:t>-431</w:t>
            </w:r>
            <w:r w:rsidR="00B43027">
              <w:rPr>
                <w:rFonts w:ascii="Arial" w:hAnsi="Arial" w:cs="Arial"/>
                <w:sz w:val="20"/>
              </w:rPr>
              <w:br/>
            </w:r>
            <w:r w:rsidR="00B43027">
              <w:rPr>
                <w:rFonts w:ascii="Arial" w:hAnsi="Arial" w:cs="Arial"/>
                <w:sz w:val="20"/>
              </w:rPr>
              <w:br/>
            </w:r>
          </w:p>
          <w:p w:rsidR="00203B2E" w:rsidRPr="00F21744" w:rsidRDefault="00A93A52" w:rsidP="00B43027">
            <w:pPr>
              <w:pStyle w:val="BodyText"/>
              <w:spacing w:before="100" w:line="260" w:lineRule="atLeast"/>
              <w:jc w:val="left"/>
              <w:rPr>
                <w:rFonts w:ascii="Arial" w:hAnsi="Arial" w:cs="Arial"/>
                <w:sz w:val="20"/>
              </w:rPr>
            </w:pPr>
            <w:r w:rsidRPr="00F21744">
              <w:rPr>
                <w:rFonts w:ascii="Arial" w:hAnsi="Arial" w:cs="Arial"/>
                <w:sz w:val="20"/>
              </w:rPr>
              <w:t>pp. 427-431; cameos 12.1 (p. 428) and 12.2 (p. 429)</w:t>
            </w:r>
            <w:r w:rsidR="00B43027">
              <w:rPr>
                <w:rFonts w:ascii="Arial" w:hAnsi="Arial" w:cs="Arial"/>
                <w:sz w:val="20"/>
              </w:rPr>
              <w:br/>
            </w:r>
            <w:r w:rsidR="00B43027">
              <w:rPr>
                <w:rFonts w:ascii="Arial" w:hAnsi="Arial" w:cs="Arial"/>
                <w:sz w:val="20"/>
              </w:rPr>
              <w:br/>
            </w:r>
            <w:r w:rsidR="00B43027">
              <w:rPr>
                <w:rFonts w:ascii="Arial" w:hAnsi="Arial" w:cs="Arial"/>
                <w:sz w:val="20"/>
              </w:rPr>
              <w:br/>
            </w:r>
            <w:r w:rsidR="00B43027">
              <w:rPr>
                <w:rFonts w:ascii="Arial" w:hAnsi="Arial" w:cs="Arial"/>
                <w:sz w:val="20"/>
              </w:rPr>
              <w:br/>
            </w:r>
            <w:r w:rsidR="00B43027">
              <w:rPr>
                <w:rFonts w:ascii="Arial" w:hAnsi="Arial" w:cs="Arial"/>
                <w:sz w:val="20"/>
              </w:rPr>
              <w:br/>
            </w:r>
          </w:p>
          <w:p w:rsidR="00203B2E" w:rsidRPr="00F21744" w:rsidRDefault="00203B2E" w:rsidP="00B43027">
            <w:pPr>
              <w:pStyle w:val="BodyText"/>
              <w:spacing w:before="100" w:line="260" w:lineRule="atLeast"/>
              <w:jc w:val="left"/>
              <w:rPr>
                <w:rFonts w:ascii="Arial" w:hAnsi="Arial" w:cs="Arial"/>
                <w:sz w:val="20"/>
              </w:rPr>
            </w:pPr>
            <w:r w:rsidRPr="00F21744">
              <w:rPr>
                <w:rFonts w:ascii="Arial" w:hAnsi="Arial" w:cs="Arial"/>
                <w:sz w:val="20"/>
              </w:rPr>
              <w:t>p</w:t>
            </w:r>
            <w:r w:rsidR="001443F6">
              <w:rPr>
                <w:rFonts w:ascii="Arial" w:hAnsi="Arial" w:cs="Arial"/>
                <w:sz w:val="20"/>
              </w:rPr>
              <w:t xml:space="preserve">. </w:t>
            </w:r>
            <w:r w:rsidR="00A93A52" w:rsidRPr="00F21744">
              <w:rPr>
                <w:rFonts w:ascii="Arial" w:hAnsi="Arial" w:cs="Arial"/>
                <w:sz w:val="20"/>
              </w:rPr>
              <w:t>431</w:t>
            </w:r>
            <w:r w:rsidR="00B43027">
              <w:rPr>
                <w:rFonts w:ascii="Arial" w:hAnsi="Arial" w:cs="Arial"/>
                <w:sz w:val="20"/>
              </w:rPr>
              <w:br/>
            </w:r>
            <w:r w:rsidR="00B43027">
              <w:rPr>
                <w:rFonts w:ascii="Arial" w:hAnsi="Arial" w:cs="Arial"/>
                <w:sz w:val="20"/>
              </w:rPr>
              <w:br/>
            </w:r>
            <w:r w:rsidR="00B43027">
              <w:rPr>
                <w:rFonts w:ascii="Arial" w:hAnsi="Arial" w:cs="Arial"/>
                <w:sz w:val="20"/>
              </w:rPr>
              <w:br/>
            </w:r>
            <w:r w:rsidR="00B43027">
              <w:rPr>
                <w:rFonts w:ascii="Arial" w:hAnsi="Arial" w:cs="Arial"/>
                <w:sz w:val="20"/>
              </w:rPr>
              <w:br/>
            </w:r>
          </w:p>
          <w:p w:rsidR="00203B2E" w:rsidRPr="00F21744" w:rsidRDefault="00203B2E" w:rsidP="00B43027">
            <w:pPr>
              <w:pStyle w:val="BodyText"/>
              <w:spacing w:before="100" w:line="260" w:lineRule="atLeast"/>
              <w:jc w:val="left"/>
              <w:rPr>
                <w:rFonts w:ascii="Arial" w:hAnsi="Arial" w:cs="Arial"/>
                <w:sz w:val="20"/>
              </w:rPr>
            </w:pPr>
            <w:r w:rsidRPr="00F21744">
              <w:rPr>
                <w:rFonts w:ascii="Arial" w:hAnsi="Arial" w:cs="Arial"/>
                <w:sz w:val="20"/>
              </w:rPr>
              <w:t xml:space="preserve">pp. </w:t>
            </w:r>
            <w:r w:rsidR="006D4080">
              <w:rPr>
                <w:rFonts w:ascii="Arial" w:hAnsi="Arial" w:cs="Arial"/>
                <w:sz w:val="20"/>
              </w:rPr>
              <w:t>44</w:t>
            </w:r>
            <w:r w:rsidR="001443F6">
              <w:rPr>
                <w:rFonts w:ascii="Arial" w:hAnsi="Arial" w:cs="Arial"/>
                <w:sz w:val="20"/>
              </w:rPr>
              <w:t>5</w:t>
            </w:r>
            <w:r w:rsidR="006D4080">
              <w:rPr>
                <w:rFonts w:ascii="Arial" w:hAnsi="Arial" w:cs="Arial"/>
                <w:sz w:val="20"/>
              </w:rPr>
              <w:t>-446</w:t>
            </w:r>
            <w:r w:rsidR="00B43027">
              <w:rPr>
                <w:rFonts w:ascii="Arial" w:hAnsi="Arial" w:cs="Arial"/>
                <w:sz w:val="20"/>
              </w:rPr>
              <w:br/>
            </w:r>
            <w:r w:rsidR="00B43027">
              <w:rPr>
                <w:rFonts w:ascii="Arial" w:hAnsi="Arial" w:cs="Arial"/>
                <w:sz w:val="20"/>
              </w:rPr>
              <w:br/>
            </w:r>
            <w:r w:rsidR="00B43027">
              <w:rPr>
                <w:rFonts w:ascii="Arial" w:hAnsi="Arial" w:cs="Arial"/>
                <w:sz w:val="20"/>
              </w:rPr>
              <w:br/>
            </w:r>
            <w:r w:rsidR="00B43027">
              <w:rPr>
                <w:rFonts w:ascii="Arial" w:hAnsi="Arial" w:cs="Arial"/>
                <w:sz w:val="20"/>
              </w:rPr>
              <w:br/>
            </w:r>
            <w:r w:rsidR="00B43027">
              <w:rPr>
                <w:rFonts w:ascii="Arial" w:hAnsi="Arial" w:cs="Arial"/>
                <w:sz w:val="20"/>
              </w:rPr>
              <w:br/>
            </w:r>
            <w:r w:rsidR="00B43027">
              <w:rPr>
                <w:rFonts w:ascii="Arial" w:hAnsi="Arial" w:cs="Arial"/>
                <w:sz w:val="20"/>
              </w:rPr>
              <w:br/>
            </w:r>
            <w:r w:rsidR="00B43027">
              <w:rPr>
                <w:rFonts w:ascii="Arial" w:hAnsi="Arial" w:cs="Arial"/>
                <w:sz w:val="20"/>
              </w:rPr>
              <w:br/>
            </w:r>
            <w:r w:rsidR="00B43027">
              <w:rPr>
                <w:rFonts w:ascii="Arial" w:hAnsi="Arial" w:cs="Arial"/>
                <w:sz w:val="20"/>
              </w:rPr>
              <w:br/>
            </w:r>
          </w:p>
          <w:p w:rsidR="00203B2E" w:rsidRPr="00F21744" w:rsidRDefault="00203B2E" w:rsidP="00B43027">
            <w:pPr>
              <w:pStyle w:val="BodyText"/>
              <w:spacing w:before="100" w:line="260" w:lineRule="atLeast"/>
              <w:jc w:val="left"/>
              <w:rPr>
                <w:rFonts w:ascii="Arial" w:hAnsi="Arial" w:cs="Arial"/>
                <w:sz w:val="20"/>
              </w:rPr>
            </w:pPr>
            <w:r w:rsidRPr="00F21744">
              <w:rPr>
                <w:rFonts w:ascii="Arial" w:hAnsi="Arial" w:cs="Arial"/>
                <w:sz w:val="20"/>
              </w:rPr>
              <w:t xml:space="preserve">p. </w:t>
            </w:r>
            <w:r w:rsidR="00F21744" w:rsidRPr="00F21744">
              <w:rPr>
                <w:rFonts w:ascii="Arial" w:hAnsi="Arial" w:cs="Arial"/>
                <w:sz w:val="20"/>
              </w:rPr>
              <w:t>4</w:t>
            </w:r>
            <w:r w:rsidR="006D4080">
              <w:rPr>
                <w:rFonts w:ascii="Arial" w:hAnsi="Arial" w:cs="Arial"/>
                <w:sz w:val="20"/>
              </w:rPr>
              <w:t>39</w:t>
            </w:r>
            <w:r w:rsidR="00F21744" w:rsidRPr="00F21744">
              <w:rPr>
                <w:rFonts w:ascii="Arial" w:hAnsi="Arial" w:cs="Arial"/>
                <w:sz w:val="20"/>
              </w:rPr>
              <w:t>-4</w:t>
            </w:r>
            <w:r w:rsidR="006D4080">
              <w:rPr>
                <w:rFonts w:ascii="Arial" w:hAnsi="Arial" w:cs="Arial"/>
                <w:sz w:val="20"/>
              </w:rPr>
              <w:t>41</w:t>
            </w:r>
            <w:r w:rsidR="00B43027">
              <w:rPr>
                <w:rFonts w:ascii="Arial" w:hAnsi="Arial" w:cs="Arial"/>
                <w:sz w:val="20"/>
              </w:rPr>
              <w:br/>
            </w:r>
            <w:r w:rsidR="00B43027">
              <w:rPr>
                <w:rFonts w:ascii="Arial" w:hAnsi="Arial" w:cs="Arial"/>
                <w:sz w:val="20"/>
              </w:rPr>
              <w:br/>
            </w:r>
          </w:p>
          <w:p w:rsidR="00B43027" w:rsidRPr="00F21744" w:rsidRDefault="006D4080" w:rsidP="00B43027">
            <w:pPr>
              <w:pStyle w:val="BodyText"/>
              <w:spacing w:before="100" w:line="260" w:lineRule="atLeast"/>
              <w:jc w:val="left"/>
              <w:rPr>
                <w:rFonts w:ascii="Arial" w:hAnsi="Arial" w:cs="Arial"/>
                <w:sz w:val="20"/>
              </w:rPr>
            </w:pPr>
            <w:r>
              <w:rPr>
                <w:rFonts w:ascii="Arial" w:hAnsi="Arial" w:cs="Arial"/>
                <w:sz w:val="20"/>
              </w:rPr>
              <w:t>F</w:t>
            </w:r>
            <w:r w:rsidR="00F21744" w:rsidRPr="00F21744">
              <w:rPr>
                <w:rFonts w:ascii="Arial" w:hAnsi="Arial" w:cs="Arial"/>
                <w:sz w:val="20"/>
              </w:rPr>
              <w:t>igure 12.1 (p. 43</w:t>
            </w:r>
            <w:r w:rsidR="0057098F">
              <w:rPr>
                <w:rFonts w:ascii="Arial" w:hAnsi="Arial" w:cs="Arial"/>
                <w:sz w:val="20"/>
              </w:rPr>
              <w:t>3</w:t>
            </w:r>
            <w:r w:rsidR="00F21744" w:rsidRPr="00F21744">
              <w:rPr>
                <w:rFonts w:ascii="Arial" w:hAnsi="Arial" w:cs="Arial"/>
                <w:sz w:val="20"/>
              </w:rPr>
              <w:t>)</w:t>
            </w:r>
            <w:r w:rsidRPr="00F21744" w:rsidDel="006D4080">
              <w:rPr>
                <w:rFonts w:ascii="Arial" w:hAnsi="Arial" w:cs="Arial"/>
                <w:sz w:val="20"/>
              </w:rPr>
              <w:t xml:space="preserve"> </w:t>
            </w:r>
            <w:r>
              <w:rPr>
                <w:rFonts w:ascii="Arial" w:hAnsi="Arial" w:cs="Arial"/>
                <w:sz w:val="20"/>
              </w:rPr>
              <w:br/>
            </w:r>
            <w:r>
              <w:rPr>
                <w:rFonts w:ascii="Arial" w:hAnsi="Arial" w:cs="Arial"/>
                <w:sz w:val="20"/>
              </w:rPr>
              <w:br/>
            </w:r>
            <w:r w:rsidR="00B43027">
              <w:rPr>
                <w:rFonts w:ascii="Arial" w:hAnsi="Arial" w:cs="Arial"/>
                <w:sz w:val="20"/>
              </w:rPr>
              <w:br/>
            </w:r>
            <w:r>
              <w:rPr>
                <w:rFonts w:ascii="Arial" w:hAnsi="Arial" w:cs="Arial"/>
                <w:sz w:val="20"/>
              </w:rPr>
              <w:br/>
            </w:r>
          </w:p>
          <w:p w:rsidR="00203B2E" w:rsidRPr="00B43027" w:rsidRDefault="00F21744" w:rsidP="00B43027">
            <w:pPr>
              <w:pStyle w:val="BodyText"/>
              <w:spacing w:before="100" w:line="260" w:lineRule="atLeast"/>
              <w:jc w:val="left"/>
              <w:rPr>
                <w:rFonts w:ascii="Arial" w:hAnsi="Arial" w:cs="Arial"/>
                <w:sz w:val="20"/>
              </w:rPr>
            </w:pPr>
            <w:r w:rsidRPr="00F21744">
              <w:rPr>
                <w:rFonts w:ascii="Arial" w:hAnsi="Arial" w:cs="Arial"/>
                <w:sz w:val="20"/>
              </w:rPr>
              <w:t>pp. 450-453</w:t>
            </w:r>
          </w:p>
        </w:tc>
      </w:tr>
      <w:tr w:rsidR="00203B2E" w:rsidRPr="00085631" w:rsidTr="001C5DE8">
        <w:tc>
          <w:tcPr>
            <w:tcW w:w="3966" w:type="pct"/>
            <w:tcBorders>
              <w:top w:val="nil"/>
              <w:left w:val="nil"/>
              <w:bottom w:val="single" w:sz="12" w:space="0" w:color="66BCDB" w:themeColor="text2"/>
              <w:right w:val="nil"/>
            </w:tcBorders>
            <w:shd w:val="clear" w:color="auto" w:fill="F2F2F2"/>
          </w:tcPr>
          <w:p w:rsidR="00203B2E" w:rsidRPr="00085631" w:rsidRDefault="00203B2E" w:rsidP="00164848">
            <w:pPr>
              <w:pStyle w:val="Box"/>
              <w:spacing w:before="0" w:line="120" w:lineRule="exact"/>
            </w:pPr>
          </w:p>
        </w:tc>
        <w:tc>
          <w:tcPr>
            <w:tcW w:w="194" w:type="pct"/>
            <w:tcBorders>
              <w:top w:val="nil"/>
              <w:left w:val="nil"/>
              <w:bottom w:val="nil"/>
              <w:right w:val="nil"/>
            </w:tcBorders>
            <w:shd w:val="clear" w:color="auto" w:fill="FFFFFF" w:themeFill="background1"/>
          </w:tcPr>
          <w:p w:rsidR="00203B2E" w:rsidRPr="00085631" w:rsidRDefault="00203B2E" w:rsidP="00164848">
            <w:pPr>
              <w:pStyle w:val="Box"/>
              <w:spacing w:before="0" w:line="120" w:lineRule="exact"/>
            </w:pPr>
          </w:p>
        </w:tc>
        <w:tc>
          <w:tcPr>
            <w:tcW w:w="840" w:type="pct"/>
            <w:tcBorders>
              <w:top w:val="nil"/>
              <w:left w:val="nil"/>
              <w:bottom w:val="single" w:sz="12" w:space="0" w:color="66BCDB" w:themeColor="text2"/>
              <w:right w:val="nil"/>
            </w:tcBorders>
            <w:shd w:val="clear" w:color="auto" w:fill="F2F2F2"/>
          </w:tcPr>
          <w:p w:rsidR="00203B2E" w:rsidRPr="00085631" w:rsidRDefault="00203B2E" w:rsidP="0064694C">
            <w:pPr>
              <w:pStyle w:val="Box"/>
              <w:spacing w:before="0" w:line="120" w:lineRule="exact"/>
              <w:jc w:val="left"/>
            </w:pPr>
          </w:p>
        </w:tc>
      </w:tr>
    </w:tbl>
    <w:p w:rsidR="00F54AAE" w:rsidRDefault="00F54AAE">
      <w:r>
        <w:rPr>
          <w:b/>
        </w:rPr>
        <w:br w:type="page"/>
      </w:r>
    </w:p>
    <w:tbl>
      <w:tblPr>
        <w:tblW w:w="4903" w:type="pct"/>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6836"/>
        <w:gridCol w:w="334"/>
        <w:gridCol w:w="1448"/>
      </w:tblGrid>
      <w:tr w:rsidR="009875E9" w:rsidRPr="009875E9" w:rsidTr="001C5DE8">
        <w:tc>
          <w:tcPr>
            <w:tcW w:w="3966" w:type="pct"/>
            <w:tcBorders>
              <w:top w:val="single" w:sz="12" w:space="0" w:color="66BCDB" w:themeColor="text2"/>
              <w:left w:val="nil"/>
              <w:bottom w:val="nil"/>
              <w:right w:val="nil"/>
            </w:tcBorders>
            <w:shd w:val="clear" w:color="auto" w:fill="F2F2F2"/>
          </w:tcPr>
          <w:p w:rsidR="00933779" w:rsidRPr="009875E9" w:rsidRDefault="00933779" w:rsidP="00933779">
            <w:pPr>
              <w:pStyle w:val="BoxTitle"/>
            </w:pPr>
            <w:r w:rsidRPr="009875E9">
              <w:lastRenderedPageBreak/>
              <w:t>Chapter 13: Modernising the super system to work better for all members</w:t>
            </w:r>
          </w:p>
        </w:tc>
        <w:tc>
          <w:tcPr>
            <w:tcW w:w="194" w:type="pct"/>
            <w:tcBorders>
              <w:top w:val="nil"/>
              <w:left w:val="nil"/>
              <w:bottom w:val="nil"/>
              <w:right w:val="nil"/>
            </w:tcBorders>
            <w:shd w:val="clear" w:color="auto" w:fill="FFFFFF" w:themeFill="background1"/>
          </w:tcPr>
          <w:p w:rsidR="00933779" w:rsidRPr="009875E9" w:rsidRDefault="00933779" w:rsidP="00164848">
            <w:pPr>
              <w:pStyle w:val="BoxTitle"/>
            </w:pPr>
          </w:p>
        </w:tc>
        <w:tc>
          <w:tcPr>
            <w:tcW w:w="840" w:type="pct"/>
            <w:tcBorders>
              <w:top w:val="single" w:sz="12" w:space="0" w:color="66BCDB" w:themeColor="text2"/>
              <w:left w:val="nil"/>
              <w:bottom w:val="nil"/>
              <w:right w:val="nil"/>
            </w:tcBorders>
            <w:shd w:val="clear" w:color="auto" w:fill="F2F2F2"/>
          </w:tcPr>
          <w:p w:rsidR="00933779" w:rsidRPr="009875E9" w:rsidRDefault="007E15CD" w:rsidP="0064694C">
            <w:pPr>
              <w:pStyle w:val="BoxTitle"/>
            </w:pPr>
            <w:r>
              <w:t>For more</w:t>
            </w:r>
          </w:p>
        </w:tc>
      </w:tr>
      <w:tr w:rsidR="009875E9" w:rsidRPr="009875E9" w:rsidTr="00164848">
        <w:tc>
          <w:tcPr>
            <w:tcW w:w="3966" w:type="pct"/>
            <w:tcBorders>
              <w:top w:val="nil"/>
              <w:left w:val="nil"/>
              <w:bottom w:val="nil"/>
              <w:right w:val="nil"/>
            </w:tcBorders>
            <w:shd w:val="clear" w:color="auto" w:fill="F2F2F2"/>
          </w:tcPr>
          <w:p w:rsidR="00933779" w:rsidRPr="009875E9" w:rsidRDefault="00933779" w:rsidP="00F54AAE">
            <w:pPr>
              <w:pStyle w:val="KeyPointsListBullet"/>
              <w:spacing w:before="80"/>
            </w:pPr>
            <w:r w:rsidRPr="009875E9">
              <w:t>The super system has delivered mixed investment performance for members, and current arrangements only chip away at entrenched problems of unnecessary balance erosion and poor</w:t>
            </w:r>
            <w:r w:rsidRPr="009875E9">
              <w:noBreakHyphen/>
              <w:t>performing funds — at great expense to members in retirement. Changes are needed to better meet the needs of the modern workforce and retirees.</w:t>
            </w:r>
          </w:p>
          <w:p w:rsidR="00933779" w:rsidRPr="009875E9" w:rsidRDefault="00933779" w:rsidP="00F54AAE">
            <w:pPr>
              <w:pStyle w:val="KeyPointsListBullet"/>
              <w:spacing w:before="80"/>
            </w:pPr>
            <w:r w:rsidRPr="009875E9">
              <w:t>The Commission is proposing a package of improvements that simplify choice, boost investment performance for members and better match products to members’ needs — all by making way for healthier, safer competition that will also maintain system stability.</w:t>
            </w:r>
          </w:p>
          <w:p w:rsidR="00933779" w:rsidRPr="009875E9" w:rsidRDefault="00933779" w:rsidP="00F54AAE">
            <w:pPr>
              <w:pStyle w:val="KeyPointsListBullet"/>
              <w:spacing w:before="80"/>
            </w:pPr>
            <w:r w:rsidRPr="009875E9">
              <w:t>Many members are disengaged and are especially vulnerable to the risk of poor outcomes. Government needs to ensure default is the exemplar — for all members.</w:t>
            </w:r>
          </w:p>
          <w:p w:rsidR="00933779" w:rsidRPr="009875E9" w:rsidRDefault="00933779" w:rsidP="00F54AAE">
            <w:pPr>
              <w:pStyle w:val="KeyPointsListBullet2"/>
              <w:spacing w:before="80"/>
            </w:pPr>
            <w:r w:rsidRPr="009875E9">
              <w:t>Members should only be defaulted once, upon entering the workforce for the first time (or if they do not have an account), so they do not end up with unintended multiple accounts.</w:t>
            </w:r>
          </w:p>
          <w:p w:rsidR="00933779" w:rsidRPr="00146530" w:rsidRDefault="00933779" w:rsidP="00F54AAE">
            <w:pPr>
              <w:pStyle w:val="KeyPointsListBullet2"/>
              <w:spacing w:before="80"/>
              <w:rPr>
                <w:spacing w:val="-2"/>
              </w:rPr>
            </w:pPr>
            <w:r w:rsidRPr="00146530">
              <w:rPr>
                <w:spacing w:val="-2"/>
              </w:rPr>
              <w:t>Default products should not be selected by employers or listed in modern awards. Instead, new members should be supported and empowered to choose from a simple, easy to use online list of ‘best in show’ products. This list should be short (to work for members) and set via a competitive and independent process (to drive the best outcomes).</w:t>
            </w:r>
          </w:p>
          <w:p w:rsidR="00933779" w:rsidRPr="009875E9" w:rsidRDefault="00933779" w:rsidP="00F54AAE">
            <w:pPr>
              <w:pStyle w:val="KeyPointsListBullet"/>
              <w:spacing w:before="80"/>
            </w:pPr>
            <w:r w:rsidRPr="009875E9">
              <w:t>All members — whether they default or not — can and should be better protected.</w:t>
            </w:r>
          </w:p>
          <w:p w:rsidR="00933779" w:rsidRPr="009875E9" w:rsidRDefault="00933779" w:rsidP="00F54AAE">
            <w:pPr>
              <w:pStyle w:val="KeyPointsListBullet2"/>
              <w:spacing w:before="80"/>
            </w:pPr>
            <w:r w:rsidRPr="009875E9">
              <w:t>An outcomes test for MySuper products should be legislated and the authorisation criteria tightened. This will give all members a larger set of simple, safe products to choose from.</w:t>
            </w:r>
          </w:p>
          <w:p w:rsidR="00933779" w:rsidRPr="009875E9" w:rsidRDefault="00933779" w:rsidP="00F54AAE">
            <w:pPr>
              <w:pStyle w:val="KeyPointsListBullet2"/>
              <w:spacing w:before="80"/>
            </w:pPr>
            <w:r w:rsidRPr="009875E9">
              <w:t>Governance standards should be brought up to contemporary best practice, including more robust appointment of board members based on skills and experience, stronger vetting and disclosure of outsourcing arrangements, and removing impediments to mergers.</w:t>
            </w:r>
          </w:p>
          <w:p w:rsidR="00933779" w:rsidRPr="009875E9" w:rsidRDefault="00933779" w:rsidP="00F54AAE">
            <w:pPr>
              <w:pStyle w:val="KeyPointsListBullet"/>
              <w:spacing w:before="80"/>
            </w:pPr>
            <w:r w:rsidRPr="009875E9">
              <w:t>The ATO should be empowered to clean up unintended multiple accounts in the system.</w:t>
            </w:r>
          </w:p>
          <w:p w:rsidR="00933779" w:rsidRPr="009875E9" w:rsidRDefault="00933779" w:rsidP="00F54AAE">
            <w:pPr>
              <w:pStyle w:val="KeyPointsListBullet"/>
              <w:spacing w:before="80"/>
            </w:pPr>
            <w:r w:rsidRPr="009875E9">
              <w:t>It should be easier for members and advisers to evaluate and compare products in the market (via simple and comparable product dashboards that are easy to compare with ‘best in show’ products).</w:t>
            </w:r>
          </w:p>
          <w:p w:rsidR="00933779" w:rsidRPr="009875E9" w:rsidRDefault="00933779" w:rsidP="00F54AAE">
            <w:pPr>
              <w:pStyle w:val="KeyPointsListBullet"/>
              <w:spacing w:before="80"/>
            </w:pPr>
            <w:r w:rsidRPr="009875E9">
              <w:t>Super funds and Government need to do more to ensure that members, particularly young and lower</w:t>
            </w:r>
            <w:r w:rsidRPr="009875E9">
              <w:noBreakHyphen/>
              <w:t>income Australians, get value from insurance attached to their super. The recent voluntary code of practice is a small first step, but needs to be strengthened and made enforceable (with concerted regulator endeavour and oversight).</w:t>
            </w:r>
          </w:p>
          <w:p w:rsidR="00933779" w:rsidRPr="00146530" w:rsidRDefault="00933779" w:rsidP="006C0CF7">
            <w:pPr>
              <w:pStyle w:val="KeyPointsListBullet"/>
              <w:rPr>
                <w:spacing w:val="-4"/>
              </w:rPr>
            </w:pPr>
            <w:r w:rsidRPr="00146530">
              <w:rPr>
                <w:spacing w:val="-4"/>
              </w:rPr>
              <w:t>Regulators need to become confident member champions. There is scope to clarify the roles of APRA and ASIC for regulating trustee conduct.</w:t>
            </w:r>
          </w:p>
        </w:tc>
        <w:tc>
          <w:tcPr>
            <w:tcW w:w="194" w:type="pct"/>
            <w:tcBorders>
              <w:top w:val="nil"/>
              <w:left w:val="nil"/>
              <w:bottom w:val="nil"/>
              <w:right w:val="nil"/>
            </w:tcBorders>
            <w:shd w:val="clear" w:color="auto" w:fill="FFFFFF" w:themeFill="background1"/>
          </w:tcPr>
          <w:p w:rsidR="00933779" w:rsidRPr="009875E9" w:rsidRDefault="00933779" w:rsidP="00164848">
            <w:pPr>
              <w:pStyle w:val="BoxListBullet"/>
              <w:numPr>
                <w:ilvl w:val="0"/>
                <w:numId w:val="0"/>
              </w:numPr>
              <w:ind w:left="284"/>
            </w:pPr>
          </w:p>
        </w:tc>
        <w:tc>
          <w:tcPr>
            <w:tcW w:w="840" w:type="pct"/>
            <w:tcBorders>
              <w:top w:val="nil"/>
              <w:left w:val="nil"/>
              <w:bottom w:val="nil"/>
              <w:right w:val="nil"/>
            </w:tcBorders>
            <w:shd w:val="clear" w:color="auto" w:fill="F2F2F2"/>
          </w:tcPr>
          <w:p w:rsidR="00933779" w:rsidRPr="009875E9" w:rsidRDefault="00024390" w:rsidP="00146530">
            <w:pPr>
              <w:pStyle w:val="BodyText"/>
              <w:spacing w:before="80" w:line="260" w:lineRule="atLeast"/>
              <w:jc w:val="left"/>
              <w:rPr>
                <w:rFonts w:ascii="Arial" w:hAnsi="Arial" w:cs="Arial"/>
                <w:sz w:val="20"/>
              </w:rPr>
            </w:pPr>
            <w:r>
              <w:rPr>
                <w:rFonts w:ascii="Arial" w:hAnsi="Arial" w:cs="Arial"/>
                <w:sz w:val="20"/>
              </w:rPr>
              <w:br/>
            </w:r>
            <w:r w:rsidR="00B43027">
              <w:rPr>
                <w:rFonts w:ascii="Arial" w:hAnsi="Arial" w:cs="Arial"/>
                <w:sz w:val="20"/>
              </w:rPr>
              <w:br/>
            </w:r>
            <w:r w:rsidR="00B43027">
              <w:rPr>
                <w:rFonts w:ascii="Arial" w:hAnsi="Arial" w:cs="Arial"/>
                <w:sz w:val="20"/>
              </w:rPr>
              <w:br/>
            </w:r>
            <w:r w:rsidR="00B43027">
              <w:rPr>
                <w:rFonts w:ascii="Arial" w:hAnsi="Arial" w:cs="Arial"/>
                <w:sz w:val="20"/>
              </w:rPr>
              <w:br/>
            </w:r>
          </w:p>
          <w:p w:rsidR="009875E9" w:rsidRPr="009875E9" w:rsidRDefault="009875E9" w:rsidP="00146530">
            <w:pPr>
              <w:pStyle w:val="BodyText"/>
              <w:spacing w:before="80" w:line="260" w:lineRule="atLeast"/>
              <w:jc w:val="left"/>
              <w:rPr>
                <w:rFonts w:ascii="Arial" w:hAnsi="Arial" w:cs="Arial"/>
                <w:sz w:val="20"/>
              </w:rPr>
            </w:pPr>
            <w:r w:rsidRPr="009875E9">
              <w:rPr>
                <w:rFonts w:ascii="Arial" w:hAnsi="Arial" w:cs="Arial"/>
                <w:sz w:val="20"/>
              </w:rPr>
              <w:t>Figure 13.1 (p. 457)</w:t>
            </w:r>
            <w:r w:rsidR="00B43027">
              <w:rPr>
                <w:rFonts w:ascii="Arial" w:hAnsi="Arial" w:cs="Arial"/>
                <w:sz w:val="20"/>
              </w:rPr>
              <w:br/>
            </w:r>
            <w:r w:rsidR="00B43027">
              <w:rPr>
                <w:rFonts w:ascii="Arial" w:hAnsi="Arial" w:cs="Arial"/>
                <w:sz w:val="20"/>
              </w:rPr>
              <w:br/>
            </w:r>
          </w:p>
          <w:p w:rsidR="00933779" w:rsidRPr="009875E9" w:rsidRDefault="009875E9" w:rsidP="00146530">
            <w:pPr>
              <w:pStyle w:val="BodyText"/>
              <w:spacing w:before="80" w:line="260" w:lineRule="atLeast"/>
              <w:jc w:val="left"/>
              <w:rPr>
                <w:rFonts w:ascii="Arial" w:hAnsi="Arial" w:cs="Arial"/>
                <w:sz w:val="20"/>
              </w:rPr>
            </w:pPr>
            <w:r w:rsidRPr="009875E9">
              <w:rPr>
                <w:rFonts w:ascii="Arial" w:hAnsi="Arial" w:cs="Arial"/>
                <w:sz w:val="20"/>
              </w:rPr>
              <w:t>pp. 456-4</w:t>
            </w:r>
            <w:r w:rsidR="008E375A">
              <w:rPr>
                <w:rFonts w:ascii="Arial" w:hAnsi="Arial" w:cs="Arial"/>
                <w:sz w:val="20"/>
              </w:rPr>
              <w:t>57</w:t>
            </w:r>
            <w:r w:rsidR="00B43027">
              <w:rPr>
                <w:rFonts w:ascii="Arial" w:hAnsi="Arial" w:cs="Arial"/>
                <w:sz w:val="20"/>
              </w:rPr>
              <w:br/>
            </w:r>
            <w:r w:rsidR="00B43027">
              <w:rPr>
                <w:rFonts w:ascii="Arial" w:hAnsi="Arial" w:cs="Arial"/>
                <w:sz w:val="20"/>
              </w:rPr>
              <w:br/>
            </w:r>
          </w:p>
          <w:p w:rsidR="00B43027" w:rsidRDefault="009875E9" w:rsidP="00146530">
            <w:pPr>
              <w:pStyle w:val="BodyText"/>
              <w:spacing w:before="80" w:line="260" w:lineRule="atLeast"/>
              <w:jc w:val="left"/>
              <w:rPr>
                <w:rFonts w:ascii="Arial" w:hAnsi="Arial" w:cs="Arial"/>
                <w:sz w:val="20"/>
              </w:rPr>
            </w:pPr>
            <w:r w:rsidRPr="009875E9">
              <w:rPr>
                <w:rFonts w:ascii="Arial" w:hAnsi="Arial" w:cs="Arial"/>
                <w:sz w:val="20"/>
              </w:rPr>
              <w:t>pp. 458-459</w:t>
            </w:r>
            <w:r w:rsidR="00024390">
              <w:rPr>
                <w:rFonts w:ascii="Arial" w:hAnsi="Arial" w:cs="Arial"/>
                <w:sz w:val="20"/>
              </w:rPr>
              <w:br/>
            </w:r>
            <w:r w:rsidR="00B43027">
              <w:rPr>
                <w:rFonts w:ascii="Arial" w:hAnsi="Arial" w:cs="Arial"/>
                <w:sz w:val="20"/>
              </w:rPr>
              <w:br/>
            </w:r>
          </w:p>
          <w:p w:rsidR="00B43027" w:rsidRDefault="00933779" w:rsidP="00146530">
            <w:pPr>
              <w:pStyle w:val="BodyText"/>
              <w:spacing w:before="80" w:line="260" w:lineRule="atLeast"/>
              <w:jc w:val="left"/>
              <w:rPr>
                <w:rFonts w:ascii="Arial" w:hAnsi="Arial" w:cs="Arial"/>
                <w:sz w:val="20"/>
              </w:rPr>
            </w:pPr>
            <w:r w:rsidRPr="009875E9">
              <w:rPr>
                <w:rFonts w:ascii="Arial" w:hAnsi="Arial" w:cs="Arial"/>
                <w:sz w:val="20"/>
              </w:rPr>
              <w:t xml:space="preserve">pp. </w:t>
            </w:r>
            <w:r w:rsidR="009875E9" w:rsidRPr="009875E9">
              <w:rPr>
                <w:rFonts w:ascii="Arial" w:hAnsi="Arial" w:cs="Arial"/>
                <w:sz w:val="20"/>
              </w:rPr>
              <w:t>45</w:t>
            </w:r>
            <w:r w:rsidR="008E375A">
              <w:rPr>
                <w:rFonts w:ascii="Arial" w:hAnsi="Arial" w:cs="Arial"/>
                <w:sz w:val="20"/>
              </w:rPr>
              <w:t>8</w:t>
            </w:r>
            <w:r w:rsidR="009875E9" w:rsidRPr="009875E9">
              <w:rPr>
                <w:rFonts w:ascii="Arial" w:hAnsi="Arial" w:cs="Arial"/>
                <w:sz w:val="20"/>
              </w:rPr>
              <w:t>-46</w:t>
            </w:r>
            <w:r w:rsidR="008E375A">
              <w:rPr>
                <w:rFonts w:ascii="Arial" w:hAnsi="Arial" w:cs="Arial"/>
                <w:sz w:val="20"/>
              </w:rPr>
              <w:t>0</w:t>
            </w:r>
            <w:r w:rsidR="00B43027">
              <w:rPr>
                <w:rFonts w:ascii="Arial" w:hAnsi="Arial" w:cs="Arial"/>
                <w:sz w:val="20"/>
              </w:rPr>
              <w:br/>
            </w:r>
            <w:r w:rsidR="00B43027">
              <w:rPr>
                <w:rFonts w:ascii="Arial" w:hAnsi="Arial" w:cs="Arial"/>
                <w:sz w:val="20"/>
              </w:rPr>
              <w:br/>
            </w:r>
            <w:r w:rsidR="00B43027">
              <w:rPr>
                <w:rFonts w:ascii="Arial" w:hAnsi="Arial" w:cs="Arial"/>
                <w:sz w:val="20"/>
              </w:rPr>
              <w:br/>
            </w:r>
            <w:r w:rsidR="00B43027">
              <w:rPr>
                <w:rFonts w:ascii="Arial" w:hAnsi="Arial" w:cs="Arial"/>
                <w:sz w:val="20"/>
              </w:rPr>
              <w:br/>
            </w:r>
            <w:r w:rsidR="00B43027">
              <w:rPr>
                <w:rFonts w:ascii="Arial" w:hAnsi="Arial" w:cs="Arial"/>
                <w:sz w:val="20"/>
              </w:rPr>
              <w:br/>
            </w:r>
          </w:p>
          <w:p w:rsidR="00B43027" w:rsidRDefault="00B43027" w:rsidP="00146530">
            <w:pPr>
              <w:pStyle w:val="BodyText"/>
              <w:spacing w:before="80" w:line="260" w:lineRule="atLeast"/>
              <w:jc w:val="left"/>
              <w:rPr>
                <w:rFonts w:ascii="Arial" w:hAnsi="Arial" w:cs="Arial"/>
                <w:sz w:val="20"/>
              </w:rPr>
            </w:pPr>
            <w:r>
              <w:rPr>
                <w:rFonts w:ascii="Arial" w:hAnsi="Arial" w:cs="Arial"/>
                <w:sz w:val="20"/>
              </w:rPr>
              <w:br/>
            </w:r>
          </w:p>
          <w:p w:rsidR="00933779" w:rsidRPr="009875E9" w:rsidRDefault="00FB4169" w:rsidP="00146530">
            <w:pPr>
              <w:pStyle w:val="BodyText"/>
              <w:spacing w:before="80" w:line="260" w:lineRule="atLeast"/>
              <w:jc w:val="left"/>
              <w:rPr>
                <w:rFonts w:ascii="Arial" w:hAnsi="Arial" w:cs="Arial"/>
                <w:sz w:val="20"/>
              </w:rPr>
            </w:pPr>
            <w:r>
              <w:rPr>
                <w:rFonts w:ascii="Arial" w:hAnsi="Arial" w:cs="Arial"/>
                <w:sz w:val="20"/>
              </w:rPr>
              <w:t>p</w:t>
            </w:r>
            <w:r w:rsidR="00933779" w:rsidRPr="009875E9">
              <w:rPr>
                <w:rFonts w:ascii="Arial" w:hAnsi="Arial" w:cs="Arial"/>
                <w:sz w:val="20"/>
              </w:rPr>
              <w:t xml:space="preserve">p. </w:t>
            </w:r>
            <w:r w:rsidR="009875E9" w:rsidRPr="009875E9">
              <w:rPr>
                <w:rFonts w:ascii="Arial" w:hAnsi="Arial" w:cs="Arial"/>
                <w:sz w:val="20"/>
              </w:rPr>
              <w:t>464-467</w:t>
            </w:r>
            <w:r w:rsidR="00B43027">
              <w:rPr>
                <w:rFonts w:ascii="Arial" w:hAnsi="Arial" w:cs="Arial"/>
                <w:sz w:val="20"/>
              </w:rPr>
              <w:br/>
            </w:r>
            <w:r w:rsidR="00B43027">
              <w:rPr>
                <w:rFonts w:ascii="Arial" w:hAnsi="Arial" w:cs="Arial"/>
                <w:sz w:val="20"/>
              </w:rPr>
              <w:br/>
            </w:r>
          </w:p>
          <w:p w:rsidR="00933779" w:rsidRPr="009875E9" w:rsidRDefault="00933779" w:rsidP="00146530">
            <w:pPr>
              <w:pStyle w:val="BodyText"/>
              <w:spacing w:before="80" w:line="260" w:lineRule="atLeast"/>
              <w:jc w:val="left"/>
              <w:rPr>
                <w:rFonts w:ascii="Arial" w:hAnsi="Arial" w:cs="Arial"/>
                <w:sz w:val="20"/>
              </w:rPr>
            </w:pPr>
            <w:r w:rsidRPr="009875E9">
              <w:rPr>
                <w:rFonts w:ascii="Arial" w:hAnsi="Arial" w:cs="Arial"/>
                <w:sz w:val="20"/>
              </w:rPr>
              <w:t xml:space="preserve">pp. </w:t>
            </w:r>
            <w:r w:rsidR="009875E9" w:rsidRPr="009875E9">
              <w:rPr>
                <w:rFonts w:ascii="Arial" w:hAnsi="Arial" w:cs="Arial"/>
                <w:sz w:val="20"/>
              </w:rPr>
              <w:t>467-470</w:t>
            </w:r>
            <w:r w:rsidR="00B43027">
              <w:rPr>
                <w:rFonts w:ascii="Arial" w:hAnsi="Arial" w:cs="Arial"/>
                <w:sz w:val="20"/>
              </w:rPr>
              <w:br/>
            </w:r>
            <w:r w:rsidR="00B43027">
              <w:rPr>
                <w:rFonts w:ascii="Arial" w:hAnsi="Arial" w:cs="Arial"/>
                <w:sz w:val="20"/>
              </w:rPr>
              <w:br/>
            </w:r>
            <w:r w:rsidR="00B43027">
              <w:rPr>
                <w:rFonts w:ascii="Arial" w:hAnsi="Arial" w:cs="Arial"/>
                <w:sz w:val="20"/>
              </w:rPr>
              <w:br/>
            </w:r>
          </w:p>
          <w:p w:rsidR="00B43027" w:rsidRPr="009875E9" w:rsidRDefault="00933779" w:rsidP="00146530">
            <w:pPr>
              <w:pStyle w:val="BodyText"/>
              <w:spacing w:before="80" w:line="260" w:lineRule="atLeast"/>
              <w:jc w:val="left"/>
              <w:rPr>
                <w:rFonts w:ascii="Arial" w:hAnsi="Arial" w:cs="Arial"/>
                <w:sz w:val="20"/>
              </w:rPr>
            </w:pPr>
            <w:r w:rsidRPr="009875E9">
              <w:rPr>
                <w:rFonts w:ascii="Arial" w:hAnsi="Arial" w:cs="Arial"/>
                <w:sz w:val="20"/>
              </w:rPr>
              <w:t xml:space="preserve">pp. </w:t>
            </w:r>
            <w:r w:rsidR="009875E9" w:rsidRPr="009875E9">
              <w:rPr>
                <w:rFonts w:ascii="Arial" w:hAnsi="Arial" w:cs="Arial"/>
                <w:sz w:val="20"/>
              </w:rPr>
              <w:t>470-471</w:t>
            </w:r>
            <w:r w:rsidR="00B43027">
              <w:rPr>
                <w:rFonts w:ascii="Arial" w:hAnsi="Arial" w:cs="Arial"/>
                <w:sz w:val="20"/>
              </w:rPr>
              <w:br/>
            </w:r>
          </w:p>
          <w:p w:rsidR="00B43027" w:rsidRDefault="009875E9" w:rsidP="00146530">
            <w:pPr>
              <w:pStyle w:val="BodyText"/>
              <w:spacing w:before="80" w:line="260" w:lineRule="atLeast"/>
              <w:jc w:val="left"/>
              <w:rPr>
                <w:rFonts w:ascii="Arial" w:hAnsi="Arial" w:cs="Arial"/>
                <w:sz w:val="20"/>
              </w:rPr>
            </w:pPr>
            <w:r w:rsidRPr="009875E9">
              <w:rPr>
                <w:rFonts w:ascii="Arial" w:hAnsi="Arial" w:cs="Arial"/>
                <w:sz w:val="20"/>
              </w:rPr>
              <w:t>pp. 471-473</w:t>
            </w:r>
            <w:r w:rsidR="00B43027">
              <w:rPr>
                <w:rFonts w:ascii="Arial" w:hAnsi="Arial" w:cs="Arial"/>
                <w:sz w:val="20"/>
              </w:rPr>
              <w:br/>
            </w:r>
            <w:r w:rsidR="00B43027">
              <w:rPr>
                <w:rFonts w:ascii="Arial" w:hAnsi="Arial" w:cs="Arial"/>
                <w:sz w:val="20"/>
              </w:rPr>
              <w:br/>
            </w:r>
          </w:p>
          <w:p w:rsidR="00B43027" w:rsidRDefault="009875E9" w:rsidP="00146530">
            <w:pPr>
              <w:pStyle w:val="BodyText"/>
              <w:spacing w:before="80" w:line="260" w:lineRule="atLeast"/>
              <w:jc w:val="left"/>
              <w:rPr>
                <w:rFonts w:ascii="Arial" w:hAnsi="Arial" w:cs="Arial"/>
                <w:sz w:val="20"/>
              </w:rPr>
            </w:pPr>
            <w:r w:rsidRPr="009875E9">
              <w:rPr>
                <w:rFonts w:ascii="Arial" w:hAnsi="Arial" w:cs="Arial"/>
                <w:sz w:val="20"/>
              </w:rPr>
              <w:t>pp. 477-480</w:t>
            </w:r>
            <w:r w:rsidR="00B43027">
              <w:rPr>
                <w:rFonts w:ascii="Arial" w:hAnsi="Arial" w:cs="Arial"/>
                <w:sz w:val="20"/>
              </w:rPr>
              <w:br/>
            </w:r>
            <w:r w:rsidRPr="009875E9">
              <w:rPr>
                <w:rFonts w:ascii="Arial" w:hAnsi="Arial" w:cs="Arial"/>
                <w:sz w:val="20"/>
              </w:rPr>
              <w:br/>
            </w:r>
            <w:r w:rsidR="00146530">
              <w:rPr>
                <w:rFonts w:ascii="Arial" w:hAnsi="Arial" w:cs="Arial"/>
                <w:sz w:val="20"/>
              </w:rPr>
              <w:br/>
            </w:r>
            <w:r w:rsidRPr="009875E9">
              <w:rPr>
                <w:rFonts w:ascii="Arial" w:hAnsi="Arial" w:cs="Arial"/>
                <w:sz w:val="20"/>
              </w:rPr>
              <w:br/>
            </w:r>
          </w:p>
          <w:p w:rsidR="009875E9" w:rsidRPr="009875E9" w:rsidRDefault="009875E9" w:rsidP="00146530">
            <w:pPr>
              <w:pStyle w:val="BodyText"/>
              <w:spacing w:before="80" w:line="260" w:lineRule="atLeast"/>
              <w:jc w:val="left"/>
              <w:rPr>
                <w:rFonts w:ascii="Arial" w:hAnsi="Arial" w:cs="Arial"/>
                <w:sz w:val="20"/>
              </w:rPr>
            </w:pPr>
            <w:r w:rsidRPr="009875E9">
              <w:rPr>
                <w:rFonts w:ascii="Arial" w:hAnsi="Arial" w:cs="Arial"/>
                <w:sz w:val="20"/>
              </w:rPr>
              <w:t>pp. 481-482</w:t>
            </w:r>
          </w:p>
        </w:tc>
      </w:tr>
      <w:tr w:rsidR="009875E9" w:rsidRPr="009875E9" w:rsidTr="001C5DE8">
        <w:tc>
          <w:tcPr>
            <w:tcW w:w="3966" w:type="pct"/>
            <w:tcBorders>
              <w:top w:val="nil"/>
              <w:left w:val="nil"/>
              <w:bottom w:val="single" w:sz="12" w:space="0" w:color="66BCDB" w:themeColor="text2"/>
              <w:right w:val="nil"/>
            </w:tcBorders>
            <w:shd w:val="clear" w:color="auto" w:fill="F2F2F2"/>
          </w:tcPr>
          <w:p w:rsidR="00933779" w:rsidRPr="009875E9" w:rsidRDefault="00933779" w:rsidP="00164848">
            <w:pPr>
              <w:pStyle w:val="Box"/>
              <w:spacing w:before="0" w:line="120" w:lineRule="exact"/>
            </w:pPr>
          </w:p>
        </w:tc>
        <w:tc>
          <w:tcPr>
            <w:tcW w:w="194" w:type="pct"/>
            <w:tcBorders>
              <w:top w:val="nil"/>
              <w:left w:val="nil"/>
              <w:bottom w:val="nil"/>
              <w:right w:val="nil"/>
            </w:tcBorders>
            <w:shd w:val="clear" w:color="auto" w:fill="FFFFFF" w:themeFill="background1"/>
          </w:tcPr>
          <w:p w:rsidR="00933779" w:rsidRPr="009875E9" w:rsidRDefault="00933779" w:rsidP="00164848">
            <w:pPr>
              <w:pStyle w:val="Box"/>
              <w:spacing w:before="0" w:line="120" w:lineRule="exact"/>
            </w:pPr>
          </w:p>
        </w:tc>
        <w:tc>
          <w:tcPr>
            <w:tcW w:w="840" w:type="pct"/>
            <w:tcBorders>
              <w:top w:val="nil"/>
              <w:left w:val="nil"/>
              <w:bottom w:val="single" w:sz="12" w:space="0" w:color="66BCDB" w:themeColor="text2"/>
              <w:right w:val="nil"/>
            </w:tcBorders>
            <w:shd w:val="clear" w:color="auto" w:fill="F2F2F2"/>
          </w:tcPr>
          <w:p w:rsidR="00933779" w:rsidRPr="009875E9" w:rsidRDefault="00933779" w:rsidP="0064694C">
            <w:pPr>
              <w:pStyle w:val="Box"/>
              <w:spacing w:before="0" w:line="120" w:lineRule="exact"/>
              <w:jc w:val="left"/>
            </w:pPr>
          </w:p>
        </w:tc>
      </w:tr>
    </w:tbl>
    <w:p w:rsidR="00933779" w:rsidRPr="001C5DE8" w:rsidRDefault="00933779" w:rsidP="00F54AAE">
      <w:pPr>
        <w:pStyle w:val="BodyText"/>
        <w:spacing w:before="0"/>
        <w:rPr>
          <w:sz w:val="2"/>
          <w:szCs w:val="2"/>
        </w:rPr>
      </w:pPr>
    </w:p>
    <w:sectPr w:rsidR="00933779" w:rsidRPr="001C5DE8" w:rsidSect="00FD72C6">
      <w:headerReference w:type="even" r:id="rId9"/>
      <w:headerReference w:type="default" r:id="rId10"/>
      <w:footerReference w:type="even" r:id="rId11"/>
      <w:footerReference w:type="default" r:id="rId12"/>
      <w:headerReference w:type="first" r:id="rId13"/>
      <w:footerReference w:type="first" r:id="rId14"/>
      <w:pgSz w:w="11907" w:h="16840" w:code="9"/>
      <w:pgMar w:top="2693" w:right="1304" w:bottom="992" w:left="1814" w:header="1701" w:footer="402"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DCB" w:rsidRDefault="00E03DCB">
      <w:r>
        <w:separator/>
      </w:r>
    </w:p>
  </w:endnote>
  <w:endnote w:type="continuationSeparator" w:id="0">
    <w:p w:rsidR="00E03DCB" w:rsidRDefault="00E03DCB">
      <w:r>
        <w:continuationSeparator/>
      </w:r>
    </w:p>
  </w:endnote>
  <w:endnote w:type="continuationNotice" w:id="1">
    <w:p w:rsidR="00E03DCB" w:rsidRDefault="00E03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66BCDB" w:themeColor="text2"/>
      </w:rPr>
      <w:id w:val="33008277"/>
      <w:docPartObj>
        <w:docPartGallery w:val="Page Numbers (Bottom of Page)"/>
        <w:docPartUnique/>
      </w:docPartObj>
    </w:sdtPr>
    <w:sdtEndPr>
      <w:rPr>
        <w:b/>
        <w:noProof/>
      </w:rPr>
    </w:sdtEndPr>
    <w:sdtContent>
      <w:p w:rsidR="00FD72C6" w:rsidRPr="00FD72C6" w:rsidRDefault="00FD72C6">
        <w:pPr>
          <w:pStyle w:val="Footer"/>
          <w:jc w:val="center"/>
          <w:rPr>
            <w:b/>
            <w:color w:val="66BCDB" w:themeColor="text2"/>
          </w:rPr>
        </w:pPr>
        <w:r w:rsidRPr="00FD72C6">
          <w:rPr>
            <w:b/>
            <w:color w:val="66BCDB" w:themeColor="text2"/>
          </w:rPr>
          <w:fldChar w:fldCharType="begin"/>
        </w:r>
        <w:r w:rsidRPr="00FD72C6">
          <w:rPr>
            <w:b/>
            <w:color w:val="66BCDB" w:themeColor="text2"/>
          </w:rPr>
          <w:instrText xml:space="preserve"> PAGE   \* MERGEFORMAT </w:instrText>
        </w:r>
        <w:r w:rsidRPr="00FD72C6">
          <w:rPr>
            <w:b/>
            <w:color w:val="66BCDB" w:themeColor="text2"/>
          </w:rPr>
          <w:fldChar w:fldCharType="separate"/>
        </w:r>
        <w:r>
          <w:rPr>
            <w:b/>
            <w:noProof/>
            <w:color w:val="66BCDB" w:themeColor="text2"/>
          </w:rPr>
          <w:t>4</w:t>
        </w:r>
        <w:r w:rsidRPr="00FD72C6">
          <w:rPr>
            <w:b/>
            <w:noProof/>
            <w:color w:val="66BCDB" w:themeColor="text2"/>
          </w:rPr>
          <w:fldChar w:fldCharType="end"/>
        </w:r>
      </w:p>
    </w:sdtContent>
  </w:sdt>
  <w:p w:rsidR="00FD72C6" w:rsidRPr="00FD72C6" w:rsidRDefault="00FD72C6" w:rsidP="00FD72C6">
    <w:pPr>
      <w:pStyle w:val="Footer"/>
      <w:jc w:val="center"/>
      <w:rPr>
        <w:color w:val="66BCDB" w:themeColor="text2"/>
      </w:rPr>
    </w:pPr>
    <w:r w:rsidRPr="00FD72C6">
      <w:rPr>
        <w:rFonts w:cs="Arial"/>
        <w:b/>
        <w:color w:val="66BCDB" w:themeColor="text2"/>
      </w:rPr>
      <w:t>Superannuation: efficiency and COMPETITIVENESS</w:t>
    </w:r>
    <w:r>
      <w:rPr>
        <w:rFonts w:cs="Arial"/>
        <w:b/>
        <w:color w:val="66BCDB" w:themeColor="text2"/>
      </w:rPr>
      <w:t xml:space="preserve"> | Draft report roadmap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2C6" w:rsidRPr="008554D4" w:rsidRDefault="002E4561" w:rsidP="00FD72C6">
    <w:pPr>
      <w:pStyle w:val="Footer"/>
      <w:jc w:val="center"/>
      <w:rPr>
        <w:b/>
        <w:color w:val="FFFFFF" w:themeColor="background1"/>
      </w:rPr>
    </w:pPr>
    <w:sdt>
      <w:sdtPr>
        <w:rPr>
          <w:color w:val="66BCDB" w:themeColor="text2"/>
        </w:rPr>
        <w:id w:val="525983454"/>
        <w:docPartObj>
          <w:docPartGallery w:val="Page Numbers (Bottom of Page)"/>
          <w:docPartUnique/>
        </w:docPartObj>
      </w:sdtPr>
      <w:sdtEndPr>
        <w:rPr>
          <w:b/>
          <w:noProof/>
          <w:color w:val="FFFFFF" w:themeColor="background1"/>
        </w:rPr>
      </w:sdtEndPr>
      <w:sdtContent>
        <w:r w:rsidR="00FD72C6" w:rsidRPr="00FD72C6">
          <w:rPr>
            <w:b/>
            <w:color w:val="FFFFFF" w:themeColor="background1"/>
          </w:rPr>
          <w:fldChar w:fldCharType="begin"/>
        </w:r>
        <w:r w:rsidR="00FD72C6" w:rsidRPr="00FD72C6">
          <w:rPr>
            <w:b/>
            <w:color w:val="FFFFFF" w:themeColor="background1"/>
          </w:rPr>
          <w:instrText xml:space="preserve"> PAGE   \* MERGEFORMAT </w:instrText>
        </w:r>
        <w:r w:rsidR="00FD72C6" w:rsidRPr="00FD72C6">
          <w:rPr>
            <w:b/>
            <w:color w:val="FFFFFF" w:themeColor="background1"/>
          </w:rPr>
          <w:fldChar w:fldCharType="separate"/>
        </w:r>
        <w:r>
          <w:rPr>
            <w:b/>
            <w:noProof/>
            <w:color w:val="FFFFFF" w:themeColor="background1"/>
          </w:rPr>
          <w:t>4</w:t>
        </w:r>
        <w:r w:rsidR="00FD72C6" w:rsidRPr="00FD72C6">
          <w:rPr>
            <w:b/>
            <w:noProof/>
            <w:color w:val="FFFFFF" w:themeColor="background1"/>
          </w:rPr>
          <w:fldChar w:fldCharType="end"/>
        </w:r>
      </w:sdtContent>
    </w:sdt>
    <w:r w:rsidR="008554D4">
      <w:rPr>
        <w:rFonts w:cs="Arial"/>
        <w:b/>
        <w:color w:val="FFFFFF" w:themeColor="background1"/>
      </w:rPr>
      <w:t xml:space="preserve"> </w:t>
    </w:r>
    <w:r w:rsidR="008554D4" w:rsidRPr="00F35FC1">
      <w:rPr>
        <w:rFonts w:cs="Arial"/>
        <w:b/>
        <w:color w:val="66BCDB" w:themeColor="text2"/>
        <w:szCs w:val="16"/>
      </w:rPr>
      <w:t>|</w:t>
    </w:r>
    <w:r w:rsidR="008554D4">
      <w:rPr>
        <w:rFonts w:cs="Arial"/>
        <w:b/>
        <w:color w:val="FFFFFF" w:themeColor="background1"/>
      </w:rPr>
      <w:t xml:space="preserve"> </w:t>
    </w:r>
    <w:r w:rsidR="00FD72C6" w:rsidRPr="00FD72C6">
      <w:rPr>
        <w:rFonts w:cs="Arial"/>
        <w:b/>
        <w:color w:val="FFFFFF" w:themeColor="background1"/>
      </w:rPr>
      <w:t>Draft report roadmap</w:t>
    </w:r>
    <w:r w:rsidR="00FD72C6">
      <w:rPr>
        <w:noProof/>
        <w:color w:val="66BCDB" w:themeColor="text2"/>
      </w:rPr>
      <w:drawing>
        <wp:anchor distT="0" distB="0" distL="114300" distR="114300" simplePos="0" relativeHeight="251661312" behindDoc="1" locked="0" layoutInCell="1" allowOverlap="1" wp14:anchorId="69B7E91E" wp14:editId="4F771A36">
          <wp:simplePos x="1152525" y="9946640"/>
          <wp:positionH relativeFrom="page">
            <wp:align>center</wp:align>
          </wp:positionH>
          <wp:positionV relativeFrom="page">
            <wp:align>bottom</wp:align>
          </wp:positionV>
          <wp:extent cx="7560000" cy="630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per-header-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630000"/>
                  </a:xfrm>
                  <a:prstGeom prst="rect">
                    <a:avLst/>
                  </a:prstGeom>
                </pic:spPr>
              </pic:pic>
            </a:graphicData>
          </a:graphic>
          <wp14:sizeRelH relativeFrom="margin">
            <wp14:pctWidth>0</wp14:pctWidth>
          </wp14:sizeRelH>
          <wp14:sizeRelV relativeFrom="margin">
            <wp14:pctHeight>0</wp14:pctHeight>
          </wp14:sizeRelV>
        </wp:anchor>
      </w:drawing>
    </w:r>
    <w:r w:rsidR="00FD72C6">
      <w:rPr>
        <w:rFonts w:cs="Arial"/>
        <w:b/>
        <w:color w:val="FFFFFF" w:themeColor="background1"/>
      </w:rPr>
      <w:t xml:space="preserve"> </w:t>
    </w:r>
    <w:r w:rsidR="00FD72C6" w:rsidRPr="00F35FC1">
      <w:rPr>
        <w:rFonts w:cs="Arial"/>
        <w:b/>
        <w:color w:val="66BCDB" w:themeColor="text2"/>
        <w:szCs w:val="16"/>
      </w:rPr>
      <w:t xml:space="preserve">| </w:t>
    </w:r>
    <w:r w:rsidR="00FD72C6" w:rsidRPr="00FD72C6">
      <w:rPr>
        <w:rFonts w:cs="Arial"/>
        <w:b/>
        <w:color w:val="FFFFFF" w:themeColor="background1"/>
      </w:rPr>
      <w:t>Superannuation: efficiency and COMPETITIVENESS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1D0" w:rsidRDefault="00FE2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DCB" w:rsidRDefault="00E03DCB">
      <w:r>
        <w:separator/>
      </w:r>
    </w:p>
  </w:footnote>
  <w:footnote w:type="continuationSeparator" w:id="0">
    <w:p w:rsidR="00E03DCB" w:rsidRDefault="00E03DCB">
      <w:r>
        <w:continuationSeparator/>
      </w:r>
    </w:p>
  </w:footnote>
  <w:footnote w:type="continuationNotice" w:id="1">
    <w:p w:rsidR="00E03DCB" w:rsidRDefault="00E03D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106" w:rsidRDefault="00CD7106">
    <w:pPr>
      <w:pStyle w:val="Header"/>
    </w:pPr>
    <w:r>
      <w:rPr>
        <w:noProof/>
      </w:rPr>
      <w:drawing>
        <wp:anchor distT="0" distB="0" distL="114300" distR="114300" simplePos="0" relativeHeight="251660288" behindDoc="1" locked="0" layoutInCell="1" allowOverlap="1" wp14:anchorId="19FED2B8" wp14:editId="5FE69B55">
          <wp:simplePos x="0" y="0"/>
          <wp:positionH relativeFrom="page">
            <wp:align>center</wp:align>
          </wp:positionH>
          <wp:positionV relativeFrom="page">
            <wp:align>top</wp:align>
          </wp:positionV>
          <wp:extent cx="7560000" cy="1549792"/>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per-header-roadmap-came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4979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909" w:rsidRDefault="00CD7106" w:rsidP="00E669E2">
    <w:pPr>
      <w:pStyle w:val="HeaderEnd"/>
    </w:pPr>
    <w:r>
      <w:rPr>
        <w:noProof/>
      </w:rPr>
      <w:drawing>
        <wp:anchor distT="0" distB="0" distL="114300" distR="114300" simplePos="0" relativeHeight="251658240" behindDoc="1" locked="0" layoutInCell="1" allowOverlap="1" wp14:anchorId="7187D556" wp14:editId="0310346A">
          <wp:simplePos x="0" y="0"/>
          <wp:positionH relativeFrom="page">
            <wp:posOffset>4371</wp:posOffset>
          </wp:positionH>
          <wp:positionV relativeFrom="page">
            <wp:posOffset>0</wp:posOffset>
          </wp:positionV>
          <wp:extent cx="7551257" cy="1548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per-header-roadmap-came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257" cy="15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1D0" w:rsidRDefault="00FE21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37A420A"/>
    <w:multiLevelType w:val="hybridMultilevel"/>
    <w:tmpl w:val="FDECE362"/>
    <w:lvl w:ilvl="0" w:tplc="0C090001">
      <w:start w:val="1"/>
      <w:numFmt w:val="bullet"/>
      <w:lvlText w:val=""/>
      <w:lvlJc w:val="left"/>
      <w:pPr>
        <w:tabs>
          <w:tab w:val="num" w:pos="720"/>
        </w:tabs>
        <w:ind w:left="720" w:hanging="360"/>
      </w:pPr>
      <w:rPr>
        <w:rFonts w:ascii="Symbol" w:hAnsi="Symbol" w:hint="default"/>
      </w:rPr>
    </w:lvl>
    <w:lvl w:ilvl="1" w:tplc="9F7A8B0A">
      <w:start w:val="32"/>
      <w:numFmt w:val="bullet"/>
      <w:lvlText w:val="-"/>
      <w:lvlJc w:val="left"/>
      <w:pPr>
        <w:tabs>
          <w:tab w:val="num" w:pos="1440"/>
        </w:tabs>
        <w:ind w:left="1440" w:hanging="360"/>
      </w:pPr>
      <w:rPr>
        <w:rFonts w:ascii="Arial" w:hAnsi="Arial" w:hint="default"/>
      </w:rPr>
    </w:lvl>
    <w:lvl w:ilvl="2" w:tplc="A7E0CFF8" w:tentative="1">
      <w:start w:val="1"/>
      <w:numFmt w:val="bullet"/>
      <w:lvlText w:val="•"/>
      <w:lvlJc w:val="left"/>
      <w:pPr>
        <w:tabs>
          <w:tab w:val="num" w:pos="2160"/>
        </w:tabs>
        <w:ind w:left="2160" w:hanging="360"/>
      </w:pPr>
      <w:rPr>
        <w:rFonts w:ascii="Arial" w:hAnsi="Arial" w:hint="default"/>
      </w:rPr>
    </w:lvl>
    <w:lvl w:ilvl="3" w:tplc="12FA70A4" w:tentative="1">
      <w:start w:val="1"/>
      <w:numFmt w:val="bullet"/>
      <w:lvlText w:val="•"/>
      <w:lvlJc w:val="left"/>
      <w:pPr>
        <w:tabs>
          <w:tab w:val="num" w:pos="2880"/>
        </w:tabs>
        <w:ind w:left="2880" w:hanging="360"/>
      </w:pPr>
      <w:rPr>
        <w:rFonts w:ascii="Arial" w:hAnsi="Arial" w:hint="default"/>
      </w:rPr>
    </w:lvl>
    <w:lvl w:ilvl="4" w:tplc="A4A496AC" w:tentative="1">
      <w:start w:val="1"/>
      <w:numFmt w:val="bullet"/>
      <w:lvlText w:val="•"/>
      <w:lvlJc w:val="left"/>
      <w:pPr>
        <w:tabs>
          <w:tab w:val="num" w:pos="3600"/>
        </w:tabs>
        <w:ind w:left="3600" w:hanging="360"/>
      </w:pPr>
      <w:rPr>
        <w:rFonts w:ascii="Arial" w:hAnsi="Arial" w:hint="default"/>
      </w:rPr>
    </w:lvl>
    <w:lvl w:ilvl="5" w:tplc="EA64A492" w:tentative="1">
      <w:start w:val="1"/>
      <w:numFmt w:val="bullet"/>
      <w:lvlText w:val="•"/>
      <w:lvlJc w:val="left"/>
      <w:pPr>
        <w:tabs>
          <w:tab w:val="num" w:pos="4320"/>
        </w:tabs>
        <w:ind w:left="4320" w:hanging="360"/>
      </w:pPr>
      <w:rPr>
        <w:rFonts w:ascii="Arial" w:hAnsi="Arial" w:hint="default"/>
      </w:rPr>
    </w:lvl>
    <w:lvl w:ilvl="6" w:tplc="1DEC3740" w:tentative="1">
      <w:start w:val="1"/>
      <w:numFmt w:val="bullet"/>
      <w:lvlText w:val="•"/>
      <w:lvlJc w:val="left"/>
      <w:pPr>
        <w:tabs>
          <w:tab w:val="num" w:pos="5040"/>
        </w:tabs>
        <w:ind w:left="5040" w:hanging="360"/>
      </w:pPr>
      <w:rPr>
        <w:rFonts w:ascii="Arial" w:hAnsi="Arial" w:hint="default"/>
      </w:rPr>
    </w:lvl>
    <w:lvl w:ilvl="7" w:tplc="EA847D08" w:tentative="1">
      <w:start w:val="1"/>
      <w:numFmt w:val="bullet"/>
      <w:lvlText w:val="•"/>
      <w:lvlJc w:val="left"/>
      <w:pPr>
        <w:tabs>
          <w:tab w:val="num" w:pos="5760"/>
        </w:tabs>
        <w:ind w:left="5760" w:hanging="360"/>
      </w:pPr>
      <w:rPr>
        <w:rFonts w:ascii="Arial" w:hAnsi="Arial" w:hint="default"/>
      </w:rPr>
    </w:lvl>
    <w:lvl w:ilvl="8" w:tplc="FA32D9AC" w:tentative="1">
      <w:start w:val="1"/>
      <w:numFmt w:val="bullet"/>
      <w:lvlText w:val="•"/>
      <w:lvlJc w:val="left"/>
      <w:pPr>
        <w:tabs>
          <w:tab w:val="num" w:pos="6480"/>
        </w:tabs>
        <w:ind w:left="6480" w:hanging="360"/>
      </w:pPr>
      <w:rPr>
        <w:rFonts w:ascii="Arial" w:hAnsi="Arial" w:hint="default"/>
      </w:rPr>
    </w:lvl>
  </w:abstractNum>
  <w:abstractNum w:abstractNumId="1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nsid w:val="25D811CF"/>
    <w:multiLevelType w:val="hybridMultilevel"/>
    <w:tmpl w:val="E3F4B2B2"/>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2">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1">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2">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2"/>
  </w:num>
  <w:num w:numId="3">
    <w:abstractNumId w:val="15"/>
  </w:num>
  <w:num w:numId="4">
    <w:abstractNumId w:val="3"/>
  </w:num>
  <w:num w:numId="5">
    <w:abstractNumId w:val="20"/>
  </w:num>
  <w:num w:numId="6">
    <w:abstractNumId w:val="17"/>
  </w:num>
  <w:num w:numId="7">
    <w:abstractNumId w:val="7"/>
  </w:num>
  <w:num w:numId="8">
    <w:abstractNumId w:val="16"/>
  </w:num>
  <w:num w:numId="9">
    <w:abstractNumId w:val="6"/>
  </w:num>
  <w:num w:numId="10">
    <w:abstractNumId w:val="5"/>
  </w:num>
  <w:num w:numId="11">
    <w:abstractNumId w:val="10"/>
  </w:num>
  <w:num w:numId="12">
    <w:abstractNumId w:val="12"/>
  </w:num>
  <w:num w:numId="13">
    <w:abstractNumId w:val="4"/>
  </w:num>
  <w:num w:numId="14">
    <w:abstractNumId w:val="18"/>
  </w:num>
  <w:num w:numId="15">
    <w:abstractNumId w:val="21"/>
  </w:num>
  <w:num w:numId="16">
    <w:abstractNumId w:val="14"/>
  </w:num>
  <w:num w:numId="17">
    <w:abstractNumId w:val="22"/>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9"/>
  </w:num>
  <w:num w:numId="21">
    <w:abstractNumId w:val="8"/>
  </w:num>
  <w:num w:numId="22">
    <w:abstractNumId w:val="11"/>
  </w:num>
  <w:num w:numId="2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Superannuation roadmap"/>
    <w:docVar w:name="ShortReportTitle" w:val="Superannuation roadmap"/>
  </w:docVars>
  <w:rsids>
    <w:rsidRoot w:val="003740DA"/>
    <w:rsid w:val="000063F5"/>
    <w:rsid w:val="000227D5"/>
    <w:rsid w:val="00024390"/>
    <w:rsid w:val="000245AA"/>
    <w:rsid w:val="0003664B"/>
    <w:rsid w:val="0003764B"/>
    <w:rsid w:val="0004094B"/>
    <w:rsid w:val="0004111F"/>
    <w:rsid w:val="00055077"/>
    <w:rsid w:val="000565B3"/>
    <w:rsid w:val="0007150B"/>
    <w:rsid w:val="00085631"/>
    <w:rsid w:val="00087E64"/>
    <w:rsid w:val="000938F5"/>
    <w:rsid w:val="00094C0F"/>
    <w:rsid w:val="00095663"/>
    <w:rsid w:val="00096E55"/>
    <w:rsid w:val="0009783E"/>
    <w:rsid w:val="000B1022"/>
    <w:rsid w:val="000B601B"/>
    <w:rsid w:val="000C207E"/>
    <w:rsid w:val="000D41E9"/>
    <w:rsid w:val="000D6D20"/>
    <w:rsid w:val="000F0035"/>
    <w:rsid w:val="000F04E7"/>
    <w:rsid w:val="000F060A"/>
    <w:rsid w:val="000F420B"/>
    <w:rsid w:val="000F539C"/>
    <w:rsid w:val="000F7377"/>
    <w:rsid w:val="00110116"/>
    <w:rsid w:val="00110EB0"/>
    <w:rsid w:val="00115B17"/>
    <w:rsid w:val="001179C7"/>
    <w:rsid w:val="00120072"/>
    <w:rsid w:val="00126EB8"/>
    <w:rsid w:val="001274D4"/>
    <w:rsid w:val="001363AA"/>
    <w:rsid w:val="0013739A"/>
    <w:rsid w:val="00142165"/>
    <w:rsid w:val="001443F6"/>
    <w:rsid w:val="00146530"/>
    <w:rsid w:val="00162434"/>
    <w:rsid w:val="0017645B"/>
    <w:rsid w:val="00183E82"/>
    <w:rsid w:val="001878BB"/>
    <w:rsid w:val="00191AE0"/>
    <w:rsid w:val="0019293B"/>
    <w:rsid w:val="0019426B"/>
    <w:rsid w:val="001A4538"/>
    <w:rsid w:val="001A6A4B"/>
    <w:rsid w:val="001C0865"/>
    <w:rsid w:val="001C0AED"/>
    <w:rsid w:val="001C3ABA"/>
    <w:rsid w:val="001C5111"/>
    <w:rsid w:val="001C5DE8"/>
    <w:rsid w:val="001C79C9"/>
    <w:rsid w:val="001D3360"/>
    <w:rsid w:val="001E1014"/>
    <w:rsid w:val="001E4F60"/>
    <w:rsid w:val="001E7BE8"/>
    <w:rsid w:val="001F0248"/>
    <w:rsid w:val="001F3EB3"/>
    <w:rsid w:val="001F4F86"/>
    <w:rsid w:val="00202C2C"/>
    <w:rsid w:val="00203050"/>
    <w:rsid w:val="00203064"/>
    <w:rsid w:val="00203B2E"/>
    <w:rsid w:val="002135AB"/>
    <w:rsid w:val="002144BE"/>
    <w:rsid w:val="002320B8"/>
    <w:rsid w:val="00242279"/>
    <w:rsid w:val="00243997"/>
    <w:rsid w:val="0024516C"/>
    <w:rsid w:val="00245C82"/>
    <w:rsid w:val="0024766C"/>
    <w:rsid w:val="00251A4D"/>
    <w:rsid w:val="00264FC9"/>
    <w:rsid w:val="002724BA"/>
    <w:rsid w:val="00291B40"/>
    <w:rsid w:val="002B4008"/>
    <w:rsid w:val="002B628F"/>
    <w:rsid w:val="002C439F"/>
    <w:rsid w:val="002C5A8C"/>
    <w:rsid w:val="002C6BBC"/>
    <w:rsid w:val="002D0C42"/>
    <w:rsid w:val="002D0E8E"/>
    <w:rsid w:val="002D17B9"/>
    <w:rsid w:val="002D28D1"/>
    <w:rsid w:val="002D2EA0"/>
    <w:rsid w:val="002E4561"/>
    <w:rsid w:val="002F0301"/>
    <w:rsid w:val="002F23A8"/>
    <w:rsid w:val="00301189"/>
    <w:rsid w:val="00301E4A"/>
    <w:rsid w:val="00305D5F"/>
    <w:rsid w:val="0031466C"/>
    <w:rsid w:val="003168B8"/>
    <w:rsid w:val="00322D64"/>
    <w:rsid w:val="00323E09"/>
    <w:rsid w:val="003329EB"/>
    <w:rsid w:val="00333932"/>
    <w:rsid w:val="003518AA"/>
    <w:rsid w:val="00352165"/>
    <w:rsid w:val="00353182"/>
    <w:rsid w:val="003565D9"/>
    <w:rsid w:val="003602E1"/>
    <w:rsid w:val="00364919"/>
    <w:rsid w:val="0037026F"/>
    <w:rsid w:val="00371240"/>
    <w:rsid w:val="003740DA"/>
    <w:rsid w:val="00374731"/>
    <w:rsid w:val="00376E59"/>
    <w:rsid w:val="00377EC1"/>
    <w:rsid w:val="00380340"/>
    <w:rsid w:val="003919F9"/>
    <w:rsid w:val="003920CF"/>
    <w:rsid w:val="003A248A"/>
    <w:rsid w:val="003A6DB9"/>
    <w:rsid w:val="003B23C2"/>
    <w:rsid w:val="003C0E32"/>
    <w:rsid w:val="003C38B5"/>
    <w:rsid w:val="003C5D99"/>
    <w:rsid w:val="003D1087"/>
    <w:rsid w:val="003E2F59"/>
    <w:rsid w:val="003E48AB"/>
    <w:rsid w:val="003E746B"/>
    <w:rsid w:val="003F0789"/>
    <w:rsid w:val="003F6ACE"/>
    <w:rsid w:val="00401882"/>
    <w:rsid w:val="004100C8"/>
    <w:rsid w:val="00411DBD"/>
    <w:rsid w:val="00412ACE"/>
    <w:rsid w:val="004145D2"/>
    <w:rsid w:val="00425128"/>
    <w:rsid w:val="00425A83"/>
    <w:rsid w:val="00426CB4"/>
    <w:rsid w:val="00431249"/>
    <w:rsid w:val="00434C19"/>
    <w:rsid w:val="00437E28"/>
    <w:rsid w:val="00450810"/>
    <w:rsid w:val="0046001C"/>
    <w:rsid w:val="00460F20"/>
    <w:rsid w:val="00462C59"/>
    <w:rsid w:val="004649E2"/>
    <w:rsid w:val="00470737"/>
    <w:rsid w:val="00477144"/>
    <w:rsid w:val="00491380"/>
    <w:rsid w:val="0049459F"/>
    <w:rsid w:val="004A38DD"/>
    <w:rsid w:val="004B43AE"/>
    <w:rsid w:val="004C30ED"/>
    <w:rsid w:val="004D5675"/>
    <w:rsid w:val="004E3FEF"/>
    <w:rsid w:val="005050D7"/>
    <w:rsid w:val="0051306E"/>
    <w:rsid w:val="005172FA"/>
    <w:rsid w:val="00517795"/>
    <w:rsid w:val="00523639"/>
    <w:rsid w:val="00531FE5"/>
    <w:rsid w:val="00535BA1"/>
    <w:rsid w:val="005402FA"/>
    <w:rsid w:val="00541E1A"/>
    <w:rsid w:val="00546106"/>
    <w:rsid w:val="0057098F"/>
    <w:rsid w:val="005729BD"/>
    <w:rsid w:val="00573437"/>
    <w:rsid w:val="00573BE3"/>
    <w:rsid w:val="00580154"/>
    <w:rsid w:val="00583C39"/>
    <w:rsid w:val="00586A90"/>
    <w:rsid w:val="00586CE7"/>
    <w:rsid w:val="00587F28"/>
    <w:rsid w:val="005909CF"/>
    <w:rsid w:val="00591E71"/>
    <w:rsid w:val="005A0D41"/>
    <w:rsid w:val="005A7D19"/>
    <w:rsid w:val="005C0B98"/>
    <w:rsid w:val="005C3150"/>
    <w:rsid w:val="005D329F"/>
    <w:rsid w:val="005F48ED"/>
    <w:rsid w:val="0060324F"/>
    <w:rsid w:val="00606E78"/>
    <w:rsid w:val="00607BF1"/>
    <w:rsid w:val="00615C54"/>
    <w:rsid w:val="0061753A"/>
    <w:rsid w:val="00630D4D"/>
    <w:rsid w:val="00632A74"/>
    <w:rsid w:val="0064694C"/>
    <w:rsid w:val="00654D42"/>
    <w:rsid w:val="00666E02"/>
    <w:rsid w:val="006966E5"/>
    <w:rsid w:val="006A4655"/>
    <w:rsid w:val="006B2B3C"/>
    <w:rsid w:val="006B75F9"/>
    <w:rsid w:val="006C0CF7"/>
    <w:rsid w:val="006C1D81"/>
    <w:rsid w:val="006C7038"/>
    <w:rsid w:val="006D4080"/>
    <w:rsid w:val="006E5630"/>
    <w:rsid w:val="006E73EF"/>
    <w:rsid w:val="007079C9"/>
    <w:rsid w:val="00714D4D"/>
    <w:rsid w:val="007266D3"/>
    <w:rsid w:val="00730360"/>
    <w:rsid w:val="00732029"/>
    <w:rsid w:val="007425B4"/>
    <w:rsid w:val="00752DBB"/>
    <w:rsid w:val="00757294"/>
    <w:rsid w:val="007604BB"/>
    <w:rsid w:val="00772909"/>
    <w:rsid w:val="00776D59"/>
    <w:rsid w:val="007801F8"/>
    <w:rsid w:val="00785232"/>
    <w:rsid w:val="0079701E"/>
    <w:rsid w:val="007A21EB"/>
    <w:rsid w:val="007B1A93"/>
    <w:rsid w:val="007C36C9"/>
    <w:rsid w:val="007D6401"/>
    <w:rsid w:val="007E01E4"/>
    <w:rsid w:val="007E15CD"/>
    <w:rsid w:val="007E5939"/>
    <w:rsid w:val="007E78A9"/>
    <w:rsid w:val="007E7A12"/>
    <w:rsid w:val="007F49EA"/>
    <w:rsid w:val="007F4C88"/>
    <w:rsid w:val="007F7107"/>
    <w:rsid w:val="00800D4C"/>
    <w:rsid w:val="0081030F"/>
    <w:rsid w:val="00812F4A"/>
    <w:rsid w:val="0082087D"/>
    <w:rsid w:val="00835771"/>
    <w:rsid w:val="00841E2B"/>
    <w:rsid w:val="00842933"/>
    <w:rsid w:val="008554D4"/>
    <w:rsid w:val="0086082C"/>
    <w:rsid w:val="00864ADC"/>
    <w:rsid w:val="00875B4A"/>
    <w:rsid w:val="00880153"/>
    <w:rsid w:val="00880F97"/>
    <w:rsid w:val="0088133A"/>
    <w:rsid w:val="0089285E"/>
    <w:rsid w:val="0089436C"/>
    <w:rsid w:val="00896CA6"/>
    <w:rsid w:val="008A57F3"/>
    <w:rsid w:val="008C1D34"/>
    <w:rsid w:val="008D2351"/>
    <w:rsid w:val="008D365C"/>
    <w:rsid w:val="008D74FA"/>
    <w:rsid w:val="008D7622"/>
    <w:rsid w:val="008E375A"/>
    <w:rsid w:val="008E7584"/>
    <w:rsid w:val="008F03F4"/>
    <w:rsid w:val="009021A6"/>
    <w:rsid w:val="009030BF"/>
    <w:rsid w:val="00903B52"/>
    <w:rsid w:val="0091032F"/>
    <w:rsid w:val="00914368"/>
    <w:rsid w:val="00931076"/>
    <w:rsid w:val="00933779"/>
    <w:rsid w:val="009345D9"/>
    <w:rsid w:val="00934B15"/>
    <w:rsid w:val="00940C87"/>
    <w:rsid w:val="00942B62"/>
    <w:rsid w:val="0095323B"/>
    <w:rsid w:val="00956A0C"/>
    <w:rsid w:val="00956BD9"/>
    <w:rsid w:val="00962489"/>
    <w:rsid w:val="00962DD8"/>
    <w:rsid w:val="00967CD3"/>
    <w:rsid w:val="00983AA6"/>
    <w:rsid w:val="009875E9"/>
    <w:rsid w:val="00990C2C"/>
    <w:rsid w:val="009A4B5E"/>
    <w:rsid w:val="009A5171"/>
    <w:rsid w:val="009B2F08"/>
    <w:rsid w:val="009E0CE3"/>
    <w:rsid w:val="009E1844"/>
    <w:rsid w:val="009E279F"/>
    <w:rsid w:val="009F0D1B"/>
    <w:rsid w:val="009F53DD"/>
    <w:rsid w:val="009F5BBD"/>
    <w:rsid w:val="009F696D"/>
    <w:rsid w:val="009F6BC6"/>
    <w:rsid w:val="009F74EF"/>
    <w:rsid w:val="00A02826"/>
    <w:rsid w:val="00A15D5A"/>
    <w:rsid w:val="00A169D6"/>
    <w:rsid w:val="00A17328"/>
    <w:rsid w:val="00A20145"/>
    <w:rsid w:val="00A23A20"/>
    <w:rsid w:val="00A24443"/>
    <w:rsid w:val="00A268B9"/>
    <w:rsid w:val="00A2703A"/>
    <w:rsid w:val="00A31F91"/>
    <w:rsid w:val="00A33DFF"/>
    <w:rsid w:val="00A35115"/>
    <w:rsid w:val="00A36D9A"/>
    <w:rsid w:val="00A451DC"/>
    <w:rsid w:val="00A554AB"/>
    <w:rsid w:val="00A57062"/>
    <w:rsid w:val="00A67781"/>
    <w:rsid w:val="00A761F9"/>
    <w:rsid w:val="00A90167"/>
    <w:rsid w:val="00A92B53"/>
    <w:rsid w:val="00A93A52"/>
    <w:rsid w:val="00A94FA6"/>
    <w:rsid w:val="00A97571"/>
    <w:rsid w:val="00AA49A0"/>
    <w:rsid w:val="00AA6710"/>
    <w:rsid w:val="00AB0681"/>
    <w:rsid w:val="00AB7CE5"/>
    <w:rsid w:val="00AC3A15"/>
    <w:rsid w:val="00AD520B"/>
    <w:rsid w:val="00AE3BCC"/>
    <w:rsid w:val="00AF4A99"/>
    <w:rsid w:val="00B04D21"/>
    <w:rsid w:val="00B13991"/>
    <w:rsid w:val="00B26A59"/>
    <w:rsid w:val="00B425C3"/>
    <w:rsid w:val="00B43027"/>
    <w:rsid w:val="00B4373D"/>
    <w:rsid w:val="00B440AD"/>
    <w:rsid w:val="00B479BB"/>
    <w:rsid w:val="00B53E7E"/>
    <w:rsid w:val="00B6342E"/>
    <w:rsid w:val="00B65603"/>
    <w:rsid w:val="00B7113F"/>
    <w:rsid w:val="00B718DC"/>
    <w:rsid w:val="00B73E2F"/>
    <w:rsid w:val="00B94F35"/>
    <w:rsid w:val="00BA2BCF"/>
    <w:rsid w:val="00BA4B07"/>
    <w:rsid w:val="00BA5B14"/>
    <w:rsid w:val="00BA73B6"/>
    <w:rsid w:val="00BA7E27"/>
    <w:rsid w:val="00BB2603"/>
    <w:rsid w:val="00BB4FCD"/>
    <w:rsid w:val="00BC04E9"/>
    <w:rsid w:val="00BD13EA"/>
    <w:rsid w:val="00BD1B4D"/>
    <w:rsid w:val="00BE3808"/>
    <w:rsid w:val="00BF25D3"/>
    <w:rsid w:val="00C0001B"/>
    <w:rsid w:val="00C03B88"/>
    <w:rsid w:val="00C062E9"/>
    <w:rsid w:val="00C069AA"/>
    <w:rsid w:val="00C07B64"/>
    <w:rsid w:val="00C12038"/>
    <w:rsid w:val="00C13721"/>
    <w:rsid w:val="00C14FE4"/>
    <w:rsid w:val="00C3066D"/>
    <w:rsid w:val="00C522E7"/>
    <w:rsid w:val="00C52416"/>
    <w:rsid w:val="00C543F4"/>
    <w:rsid w:val="00C6291C"/>
    <w:rsid w:val="00C633CB"/>
    <w:rsid w:val="00C6368F"/>
    <w:rsid w:val="00C664CD"/>
    <w:rsid w:val="00C736B7"/>
    <w:rsid w:val="00C81D4A"/>
    <w:rsid w:val="00C8762C"/>
    <w:rsid w:val="00C950C1"/>
    <w:rsid w:val="00CA00F9"/>
    <w:rsid w:val="00CA2961"/>
    <w:rsid w:val="00CB4745"/>
    <w:rsid w:val="00CB50D7"/>
    <w:rsid w:val="00CB7177"/>
    <w:rsid w:val="00CB7CED"/>
    <w:rsid w:val="00CC070F"/>
    <w:rsid w:val="00CC1998"/>
    <w:rsid w:val="00CC3066"/>
    <w:rsid w:val="00CC30C8"/>
    <w:rsid w:val="00CC3E36"/>
    <w:rsid w:val="00CC4946"/>
    <w:rsid w:val="00CC64A1"/>
    <w:rsid w:val="00CD7106"/>
    <w:rsid w:val="00CF3B11"/>
    <w:rsid w:val="00CF47F6"/>
    <w:rsid w:val="00CF5F65"/>
    <w:rsid w:val="00D07177"/>
    <w:rsid w:val="00D270A4"/>
    <w:rsid w:val="00D31FE9"/>
    <w:rsid w:val="00D34E1B"/>
    <w:rsid w:val="00D376BA"/>
    <w:rsid w:val="00D434A0"/>
    <w:rsid w:val="00D45634"/>
    <w:rsid w:val="00D552AC"/>
    <w:rsid w:val="00D5568A"/>
    <w:rsid w:val="00D63D73"/>
    <w:rsid w:val="00D64452"/>
    <w:rsid w:val="00D66E1E"/>
    <w:rsid w:val="00D70696"/>
    <w:rsid w:val="00D75722"/>
    <w:rsid w:val="00D80CF5"/>
    <w:rsid w:val="00D91BDA"/>
    <w:rsid w:val="00D9232C"/>
    <w:rsid w:val="00DA5BBA"/>
    <w:rsid w:val="00DB26D2"/>
    <w:rsid w:val="00DB3C95"/>
    <w:rsid w:val="00DB67C9"/>
    <w:rsid w:val="00DC0C95"/>
    <w:rsid w:val="00DC4F0B"/>
    <w:rsid w:val="00DC5B72"/>
    <w:rsid w:val="00DD6580"/>
    <w:rsid w:val="00DF109C"/>
    <w:rsid w:val="00E01D7F"/>
    <w:rsid w:val="00E03588"/>
    <w:rsid w:val="00E03DCB"/>
    <w:rsid w:val="00E05C03"/>
    <w:rsid w:val="00E17C72"/>
    <w:rsid w:val="00E21FC6"/>
    <w:rsid w:val="00E431A9"/>
    <w:rsid w:val="00E45C48"/>
    <w:rsid w:val="00E47733"/>
    <w:rsid w:val="00E47E1E"/>
    <w:rsid w:val="00E63363"/>
    <w:rsid w:val="00E64ACF"/>
    <w:rsid w:val="00E669E2"/>
    <w:rsid w:val="00E76135"/>
    <w:rsid w:val="00E82F4F"/>
    <w:rsid w:val="00E853E7"/>
    <w:rsid w:val="00E864DF"/>
    <w:rsid w:val="00EA5179"/>
    <w:rsid w:val="00EB2CC3"/>
    <w:rsid w:val="00EC2844"/>
    <w:rsid w:val="00EC5500"/>
    <w:rsid w:val="00EC6319"/>
    <w:rsid w:val="00ED18F8"/>
    <w:rsid w:val="00ED1B60"/>
    <w:rsid w:val="00EE6EDA"/>
    <w:rsid w:val="00EE778E"/>
    <w:rsid w:val="00EF47D4"/>
    <w:rsid w:val="00EF6719"/>
    <w:rsid w:val="00EF6C6C"/>
    <w:rsid w:val="00EF6F6E"/>
    <w:rsid w:val="00F056FC"/>
    <w:rsid w:val="00F0632F"/>
    <w:rsid w:val="00F069AE"/>
    <w:rsid w:val="00F10476"/>
    <w:rsid w:val="00F135D8"/>
    <w:rsid w:val="00F21744"/>
    <w:rsid w:val="00F31299"/>
    <w:rsid w:val="00F3534A"/>
    <w:rsid w:val="00F35BFB"/>
    <w:rsid w:val="00F35FC1"/>
    <w:rsid w:val="00F36ACC"/>
    <w:rsid w:val="00F51609"/>
    <w:rsid w:val="00F529CC"/>
    <w:rsid w:val="00F54AAE"/>
    <w:rsid w:val="00F55C25"/>
    <w:rsid w:val="00F73727"/>
    <w:rsid w:val="00F766A7"/>
    <w:rsid w:val="00F77AD5"/>
    <w:rsid w:val="00F81006"/>
    <w:rsid w:val="00F845B0"/>
    <w:rsid w:val="00F85325"/>
    <w:rsid w:val="00FB4169"/>
    <w:rsid w:val="00FC744B"/>
    <w:rsid w:val="00FD1DD1"/>
    <w:rsid w:val="00FD22B1"/>
    <w:rsid w:val="00FD33F1"/>
    <w:rsid w:val="00FD3566"/>
    <w:rsid w:val="00FD72C6"/>
    <w:rsid w:val="00FE1379"/>
    <w:rsid w:val="00FE21D0"/>
    <w:rsid w:val="00FE3C7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765857C0-1164-460B-8942-9041A658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40DA"/>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uiPriority w:val="99"/>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qForma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uiPriority w:val="99"/>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BoxChar">
    <w:name w:val="Box Char"/>
    <w:basedOn w:val="DefaultParagraphFont"/>
    <w:link w:val="Box"/>
    <w:locked/>
    <w:rsid w:val="003740DA"/>
    <w:rPr>
      <w:rFonts w:ascii="Arial" w:hAnsi="Arial"/>
    </w:rPr>
  </w:style>
  <w:style w:type="character" w:customStyle="1" w:styleId="BoxListBulletChar">
    <w:name w:val="Box List Bullet Char"/>
    <w:basedOn w:val="DefaultParagraphFont"/>
    <w:link w:val="BoxListBullet"/>
    <w:locked/>
    <w:rsid w:val="003740D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853879">
      <w:bodyDiv w:val="1"/>
      <w:marLeft w:val="0"/>
      <w:marRight w:val="0"/>
      <w:marTop w:val="0"/>
      <w:marBottom w:val="0"/>
      <w:divBdr>
        <w:top w:val="none" w:sz="0" w:space="0" w:color="auto"/>
        <w:left w:val="none" w:sz="0" w:space="0" w:color="auto"/>
        <w:bottom w:val="none" w:sz="0" w:space="0" w:color="auto"/>
        <w:right w:val="none" w:sz="0" w:space="0" w:color="auto"/>
      </w:divBdr>
    </w:div>
    <w:div w:id="1570068076">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28AEB-3D95-474D-8A75-31FC1216A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5029</Words>
  <Characters>28115</Characters>
  <Application>Microsoft Office Word</Application>
  <DocSecurity>0</DocSecurity>
  <Lines>2342</Lines>
  <Paragraphs>1506</Paragraphs>
  <ScaleCrop>false</ScaleCrop>
  <HeadingPairs>
    <vt:vector size="2" baseType="variant">
      <vt:variant>
        <vt:lpstr>Title</vt:lpstr>
      </vt:variant>
      <vt:variant>
        <vt:i4>1</vt:i4>
      </vt:variant>
    </vt:vector>
  </HeadingPairs>
  <TitlesOfParts>
    <vt:vector size="1" baseType="lpstr">
      <vt:lpstr>A roadmap to our super report</vt:lpstr>
    </vt:vector>
  </TitlesOfParts>
  <Company/>
  <LinksUpToDate>false</LinksUpToDate>
  <CharactersWithSpaces>31638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roadmap to our super report</dc:title>
  <dc:subject/>
  <dc:creator>Productivity Commission</dc:creator>
  <cp:keywords/>
  <dc:description/>
  <cp:lastModifiedBy>Cross, Michelle</cp:lastModifiedBy>
  <cp:revision>2</cp:revision>
  <dcterms:created xsi:type="dcterms:W3CDTF">2018-05-24T02:57:00Z</dcterms:created>
  <dcterms:modified xsi:type="dcterms:W3CDTF">2018-05-27T23:35:00Z</dcterms:modified>
</cp:coreProperties>
</file>