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853B5" w14:textId="77777777" w:rsidR="00987D0E" w:rsidRPr="00BF4CB4" w:rsidRDefault="00987D0E" w:rsidP="001C4EF5">
      <w:pPr>
        <w:pStyle w:val="Addressee"/>
      </w:pPr>
      <w:bookmarkStart w:id="0" w:name="_GoBack"/>
      <w:bookmarkEnd w:id="0"/>
    </w:p>
    <w:p w14:paraId="041014D5" w14:textId="77777777" w:rsidR="00987D0E" w:rsidRPr="00BF4CB4" w:rsidRDefault="00803221" w:rsidP="001C4EF5">
      <w:pPr>
        <w:pStyle w:val="Addressee"/>
      </w:pPr>
      <w:r w:rsidRPr="00BF4CB4">
        <w:rPr>
          <w:b/>
        </w:rPr>
        <w:t>Superannuation</w:t>
      </w:r>
    </w:p>
    <w:p w14:paraId="77FBED31" w14:textId="77777777" w:rsidR="00987D0E" w:rsidRPr="00BF4CB4" w:rsidRDefault="00803221" w:rsidP="001C4EF5">
      <w:pPr>
        <w:pStyle w:val="Addressee"/>
      </w:pPr>
      <w:r w:rsidRPr="00BF4CB4">
        <w:t>Productivity Commission</w:t>
      </w:r>
    </w:p>
    <w:p w14:paraId="16C76B63" w14:textId="77777777" w:rsidR="00987D0E" w:rsidRPr="00BF4CB4" w:rsidRDefault="00987D0E" w:rsidP="001C4EF5">
      <w:pPr>
        <w:pStyle w:val="Addressee"/>
      </w:pPr>
      <w:r w:rsidRPr="00BF4CB4">
        <w:t>L</w:t>
      </w:r>
      <w:r w:rsidR="00803221" w:rsidRPr="00BF4CB4">
        <w:t xml:space="preserve">ocked Bag 2, Collins Street East </w:t>
      </w:r>
    </w:p>
    <w:p w14:paraId="7B6F6EBB" w14:textId="77777777" w:rsidR="00D552DA" w:rsidRPr="00BF4CB4" w:rsidRDefault="00803221">
      <w:pPr>
        <w:pStyle w:val="Addressee"/>
        <w:rPr>
          <w:rFonts w:cs="Arial"/>
          <w:szCs w:val="22"/>
        </w:rPr>
      </w:pPr>
      <w:r w:rsidRPr="00BF4CB4">
        <w:t>MELBOURNE VIC 8003</w:t>
      </w:r>
    </w:p>
    <w:p w14:paraId="7CF7FDDB" w14:textId="77777777" w:rsidR="00D552DA" w:rsidRPr="00BF4CB4" w:rsidRDefault="00D552DA">
      <w:pPr>
        <w:pStyle w:val="Addressee"/>
      </w:pPr>
    </w:p>
    <w:p w14:paraId="50D2B990" w14:textId="77777777" w:rsidR="00987D0E" w:rsidRPr="00BF4CB4" w:rsidRDefault="00987D0E">
      <w:pPr>
        <w:pStyle w:val="Addressee"/>
      </w:pPr>
    </w:p>
    <w:p w14:paraId="3F259EA8" w14:textId="77777777" w:rsidR="00D552DA" w:rsidRPr="00BF4CB4" w:rsidRDefault="00D552DA">
      <w:pPr>
        <w:pStyle w:val="Addressee"/>
        <w:sectPr w:rsidR="00D552DA" w:rsidRPr="00BF4CB4" w:rsidSect="00F81376">
          <w:headerReference w:type="default" r:id="rId8"/>
          <w:headerReference w:type="first" r:id="rId9"/>
          <w:footerReference w:type="first" r:id="rId10"/>
          <w:endnotePr>
            <w:numFmt w:val="decimal"/>
          </w:endnotePr>
          <w:type w:val="continuous"/>
          <w:pgSz w:w="11906" w:h="16838" w:code="9"/>
          <w:pgMar w:top="2977" w:right="1416" w:bottom="1701" w:left="1418" w:header="0" w:footer="743" w:gutter="0"/>
          <w:cols w:space="720"/>
          <w:noEndnote/>
          <w:titlePg/>
        </w:sectPr>
      </w:pPr>
    </w:p>
    <w:bookmarkStart w:id="1" w:name="Date"/>
    <w:bookmarkEnd w:id="1"/>
    <w:p w14:paraId="2144689A" w14:textId="77777777" w:rsidR="00FA387F" w:rsidRPr="00BF4CB4" w:rsidRDefault="001137EC">
      <w:pPr>
        <w:pStyle w:val="Addressee"/>
      </w:pPr>
      <w:r w:rsidRPr="00BF4CB4">
        <w:fldChar w:fldCharType="begin"/>
      </w:r>
      <w:r w:rsidR="0025047E" w:rsidRPr="00BF4CB4">
        <w:instrText xml:space="preserve"> MACROBUTTON  AcceptAllChangesInDoc </w:instrText>
      </w:r>
      <w:r w:rsidRPr="00BF4CB4">
        <w:fldChar w:fldCharType="end"/>
      </w:r>
      <w:r w:rsidR="00AE1125">
        <w:t>13 July 2018</w:t>
      </w:r>
    </w:p>
    <w:p w14:paraId="586DA00E" w14:textId="77777777" w:rsidR="00930C0F" w:rsidRDefault="00930C0F">
      <w:pPr>
        <w:pStyle w:val="Addressee"/>
      </w:pPr>
    </w:p>
    <w:p w14:paraId="00A21733" w14:textId="77777777" w:rsidR="008B6041" w:rsidRPr="00BF4CB4" w:rsidRDefault="008B6041">
      <w:pPr>
        <w:pStyle w:val="Addressee"/>
      </w:pPr>
    </w:p>
    <w:p w14:paraId="6560B865" w14:textId="77777777" w:rsidR="0025047E" w:rsidRDefault="004C5B7D">
      <w:pPr>
        <w:pStyle w:val="Addressee"/>
      </w:pPr>
      <w:r>
        <w:t xml:space="preserve">Dear </w:t>
      </w:r>
      <w:r w:rsidR="00AE1125">
        <w:t>Commissioners</w:t>
      </w:r>
      <w:r>
        <w:t>,</w:t>
      </w:r>
    </w:p>
    <w:p w14:paraId="4A8EF5B9" w14:textId="77777777" w:rsidR="004C5B7D" w:rsidRPr="00BF4CB4" w:rsidRDefault="004C5B7D">
      <w:pPr>
        <w:pStyle w:val="Addressee"/>
      </w:pPr>
    </w:p>
    <w:p w14:paraId="6975A940" w14:textId="77777777" w:rsidR="00D552DA" w:rsidRPr="00BF4CB4" w:rsidRDefault="00D552DA" w:rsidP="001C4EF5">
      <w:pPr>
        <w:pStyle w:val="QNormal"/>
        <w:sectPr w:rsidR="00D552DA" w:rsidRPr="00BF4CB4" w:rsidSect="00F81376">
          <w:endnotePr>
            <w:numFmt w:val="decimal"/>
          </w:endnotePr>
          <w:type w:val="continuous"/>
          <w:pgSz w:w="11906" w:h="16838" w:code="9"/>
          <w:pgMar w:top="3402" w:right="1416" w:bottom="1701" w:left="1418" w:header="0" w:footer="743" w:gutter="0"/>
          <w:cols w:space="720"/>
          <w:formProt w:val="0"/>
          <w:noEndnote/>
          <w:titlePg/>
        </w:sectPr>
      </w:pPr>
    </w:p>
    <w:p w14:paraId="61EADD6E" w14:textId="77777777" w:rsidR="00987D0E" w:rsidRPr="00BF4CB4" w:rsidRDefault="00987D0E">
      <w:pPr>
        <w:pStyle w:val="QNormal"/>
      </w:pPr>
      <w:bookmarkStart w:id="2" w:name="RE"/>
      <w:bookmarkStart w:id="3" w:name="BodyText"/>
      <w:bookmarkEnd w:id="2"/>
      <w:bookmarkEnd w:id="3"/>
      <w:r w:rsidRPr="00BF4CB4">
        <w:t xml:space="preserve">Thank you for the opportunity to provide feedback on the </w:t>
      </w:r>
      <w:r w:rsidR="00803221" w:rsidRPr="00BF4CB4">
        <w:t xml:space="preserve">Productivity Commission </w:t>
      </w:r>
      <w:r w:rsidR="00AE1125">
        <w:t xml:space="preserve">draft report </w:t>
      </w:r>
      <w:r w:rsidR="00803221" w:rsidRPr="00BF4CB4">
        <w:t xml:space="preserve">titled </w:t>
      </w:r>
      <w:r w:rsidR="00D5096E" w:rsidRPr="00BF4CB4">
        <w:t>‘</w:t>
      </w:r>
      <w:r w:rsidR="00803221" w:rsidRPr="00BF4CB4">
        <w:t>Superannuation: Assessing Competitiveness and Efficiency</w:t>
      </w:r>
      <w:r w:rsidR="00D5096E" w:rsidRPr="00BF4CB4">
        <w:t>’</w:t>
      </w:r>
      <w:r w:rsidR="00803221" w:rsidRPr="00BF4CB4">
        <w:t xml:space="preserve">. QSuper </w:t>
      </w:r>
      <w:r w:rsidR="00680BAF">
        <w:t xml:space="preserve">would </w:t>
      </w:r>
      <w:r w:rsidR="0062367A">
        <w:t xml:space="preserve">again </w:t>
      </w:r>
      <w:r w:rsidR="00680BAF">
        <w:t>like to thank the Commissioner</w:t>
      </w:r>
      <w:r w:rsidR="0062367A">
        <w:t>s</w:t>
      </w:r>
      <w:r w:rsidR="00680BAF">
        <w:t xml:space="preserve"> for the opportunity to appear at a public hearing in Brisbane on 22 June 2018 and </w:t>
      </w:r>
      <w:r w:rsidR="00AE1125">
        <w:t xml:space="preserve">is pleased to </w:t>
      </w:r>
      <w:r w:rsidR="00803221" w:rsidRPr="00BF4CB4">
        <w:t>provide th</w:t>
      </w:r>
      <w:r w:rsidR="00152FEC">
        <w:t>is</w:t>
      </w:r>
      <w:r w:rsidR="00803221" w:rsidRPr="00BF4CB4">
        <w:t xml:space="preserve"> submission </w:t>
      </w:r>
      <w:r w:rsidR="00680BAF">
        <w:t xml:space="preserve">as part of our ongoing engagement with the Commission </w:t>
      </w:r>
      <w:r w:rsidR="0062367A">
        <w:t>during its assessment of the efficiency and competitiveness of Australia’s superannuation system.</w:t>
      </w:r>
      <w:r w:rsidR="00803221" w:rsidRPr="00BF4CB4">
        <w:t xml:space="preserve"> </w:t>
      </w:r>
    </w:p>
    <w:p w14:paraId="0A3DB55B" w14:textId="77777777" w:rsidR="006D483D" w:rsidRDefault="00152FEC" w:rsidP="00803221">
      <w:pPr>
        <w:spacing w:after="240" w:line="260" w:lineRule="atLeast"/>
        <w:jc w:val="both"/>
      </w:pPr>
      <w:r w:rsidRPr="00152FEC">
        <w:t>For over 100 years, QSuper has been the default superannuation fund of the Queensland Government, helping current and former public-sector employees and their spouses create a financially secure future. QSuper is one of the country’s largest and most respected superannuation funds, with more than $78 billion in Funds Under Management. On 1 July 2017, QSuper became a public offer fund, opening our doors for all Australians to join.</w:t>
      </w:r>
    </w:p>
    <w:p w14:paraId="7C632937" w14:textId="77777777" w:rsidR="00F54641" w:rsidRDefault="00F54641" w:rsidP="007B20A0">
      <w:pPr>
        <w:pStyle w:val="QNormal"/>
      </w:pPr>
      <w:r>
        <w:t>QSuper congratulates the Commission on the considered and comprehensive nature of the dr</w:t>
      </w:r>
      <w:r w:rsidR="007B20A0">
        <w:t>aft report</w:t>
      </w:r>
      <w:r>
        <w:t xml:space="preserve"> which contains </w:t>
      </w:r>
      <w:r w:rsidR="00920F95">
        <w:t xml:space="preserve">many </w:t>
      </w:r>
      <w:r>
        <w:t>recommendations that</w:t>
      </w:r>
      <w:r w:rsidR="00AE4403">
        <w:t xml:space="preserve">, </w:t>
      </w:r>
      <w:r>
        <w:t>in our opinion</w:t>
      </w:r>
      <w:r w:rsidR="00AE4403">
        <w:t>,</w:t>
      </w:r>
      <w:r>
        <w:t xml:space="preserve"> have the potential to drive </w:t>
      </w:r>
      <w:r w:rsidR="00920F95">
        <w:t xml:space="preserve">some </w:t>
      </w:r>
      <w:r w:rsidR="0071190F">
        <w:t xml:space="preserve">of the </w:t>
      </w:r>
      <w:r>
        <w:t>most significant change</w:t>
      </w:r>
      <w:r w:rsidR="0071190F">
        <w:t>s</w:t>
      </w:r>
      <w:r>
        <w:t xml:space="preserve"> in the industry</w:t>
      </w:r>
      <w:r w:rsidR="001C4E51">
        <w:t>'s</w:t>
      </w:r>
      <w:r>
        <w:t xml:space="preserve"> </w:t>
      </w:r>
      <w:r w:rsidR="0071190F">
        <w:t xml:space="preserve">history. </w:t>
      </w:r>
    </w:p>
    <w:p w14:paraId="033115ED" w14:textId="77777777" w:rsidR="007B20A0" w:rsidRDefault="00F54641" w:rsidP="007B20A0">
      <w:pPr>
        <w:pStyle w:val="QNormal"/>
      </w:pPr>
      <w:r>
        <w:t xml:space="preserve">In compiling this submission, QSuper has chosen to respond to the </w:t>
      </w:r>
      <w:r w:rsidR="00AE4403">
        <w:t xml:space="preserve">information requests, findings and recommendations where we believe we can provide the most value to the Commission in its completion of </w:t>
      </w:r>
      <w:r w:rsidR="00360ABA">
        <w:t>the</w:t>
      </w:r>
      <w:r w:rsidR="00AE4403">
        <w:t xml:space="preserve"> final report.</w:t>
      </w:r>
    </w:p>
    <w:p w14:paraId="0D22CACA" w14:textId="77777777" w:rsidR="00AE4403" w:rsidRDefault="00AE4403" w:rsidP="007B20A0">
      <w:pPr>
        <w:pStyle w:val="QNormal"/>
      </w:pPr>
      <w:r>
        <w:t>In particular, QSuper contends in our submission that</w:t>
      </w:r>
      <w:r w:rsidR="00881723">
        <w:t>:</w:t>
      </w:r>
    </w:p>
    <w:p w14:paraId="0ACA68E0" w14:textId="77777777" w:rsidR="00D148F2" w:rsidRPr="006F26D3" w:rsidRDefault="000E4993" w:rsidP="000B4943">
      <w:pPr>
        <w:pStyle w:val="QNormal"/>
        <w:numPr>
          <w:ilvl w:val="0"/>
          <w:numId w:val="12"/>
        </w:numPr>
      </w:pPr>
      <w:r>
        <w:t>o</w:t>
      </w:r>
      <w:r w:rsidR="00CF385C">
        <w:t>pportunity cost exists in all default investment options, and QSuper believe</w:t>
      </w:r>
      <w:r w:rsidR="00644410">
        <w:t>s</w:t>
      </w:r>
      <w:r w:rsidR="00CF385C">
        <w:t xml:space="preserve"> that </w:t>
      </w:r>
      <w:r w:rsidR="00F109C5">
        <w:t>second-generation</w:t>
      </w:r>
      <w:r w:rsidR="00CF385C">
        <w:t xml:space="preserve"> life cycle products using more than one cohort factor do not forego returns across a member’s working life</w:t>
      </w:r>
      <w:r w:rsidR="000B4943">
        <w:t>. F</w:t>
      </w:r>
      <w:r w:rsidR="008C3E33">
        <w:t>or this reason, l</w:t>
      </w:r>
      <w:r w:rsidR="00AE4403" w:rsidRPr="006F26D3">
        <w:t>ife</w:t>
      </w:r>
      <w:r w:rsidR="00B02056" w:rsidRPr="006F26D3">
        <w:t xml:space="preserve"> c</w:t>
      </w:r>
      <w:r w:rsidR="00AE4403" w:rsidRPr="006F26D3">
        <w:t xml:space="preserve">ycle products are appropriate </w:t>
      </w:r>
      <w:r w:rsidR="00D148F2" w:rsidRPr="006F26D3">
        <w:t xml:space="preserve">MySuper </w:t>
      </w:r>
      <w:r w:rsidR="00AB5A7E">
        <w:t xml:space="preserve">and Default fund </w:t>
      </w:r>
      <w:r w:rsidR="00D148F2" w:rsidRPr="006F26D3">
        <w:t>products</w:t>
      </w:r>
      <w:r w:rsidR="00CF385C">
        <w:t>;</w:t>
      </w:r>
    </w:p>
    <w:p w14:paraId="12261A68" w14:textId="77777777" w:rsidR="00B16FEA" w:rsidRPr="006F26D3" w:rsidRDefault="00302ACC" w:rsidP="005961A0">
      <w:pPr>
        <w:pStyle w:val="QNormal"/>
        <w:numPr>
          <w:ilvl w:val="0"/>
          <w:numId w:val="12"/>
        </w:numPr>
      </w:pPr>
      <w:r>
        <w:t>t</w:t>
      </w:r>
      <w:r w:rsidR="00BC5D44" w:rsidRPr="006F26D3">
        <w:t>he measurement of returns to establish top performers needs to take into account the likelihood of consistently producing high net risk-adjusted returns</w:t>
      </w:r>
      <w:r w:rsidR="00881723">
        <w:t xml:space="preserve">; </w:t>
      </w:r>
      <w:r w:rsidR="00BC5D44" w:rsidRPr="006F26D3">
        <w:t xml:space="preserve"> </w:t>
      </w:r>
    </w:p>
    <w:p w14:paraId="5ACFC579" w14:textId="77777777" w:rsidR="00881723" w:rsidRDefault="00302ACC">
      <w:pPr>
        <w:pStyle w:val="QNormal"/>
        <w:numPr>
          <w:ilvl w:val="0"/>
          <w:numId w:val="18"/>
        </w:numPr>
        <w:ind w:left="709" w:hanging="283"/>
      </w:pPr>
      <w:r>
        <w:t>i</w:t>
      </w:r>
      <w:r w:rsidR="008E558C" w:rsidRPr="0046404A">
        <w:t xml:space="preserve">nsurance provided </w:t>
      </w:r>
      <w:r w:rsidR="00B406C8" w:rsidRPr="0046404A">
        <w:t>via superannuation is critical in supporting retirement adequacy</w:t>
      </w:r>
      <w:r w:rsidR="00881723">
        <w:t>;</w:t>
      </w:r>
      <w:r w:rsidR="00B406C8" w:rsidRPr="0046404A">
        <w:t xml:space="preserve"> and</w:t>
      </w:r>
      <w:r w:rsidR="006D2A45">
        <w:t>,</w:t>
      </w:r>
      <w:r w:rsidR="00B406C8" w:rsidRPr="0046404A">
        <w:t xml:space="preserve"> </w:t>
      </w:r>
    </w:p>
    <w:p w14:paraId="6FD7A705" w14:textId="77777777" w:rsidR="00AE4403" w:rsidRPr="0046404A" w:rsidRDefault="00302ACC" w:rsidP="005961A0">
      <w:pPr>
        <w:pStyle w:val="QNormal"/>
        <w:numPr>
          <w:ilvl w:val="0"/>
          <w:numId w:val="18"/>
        </w:numPr>
        <w:ind w:left="709" w:hanging="283"/>
      </w:pPr>
      <w:r>
        <w:lastRenderedPageBreak/>
        <w:t>t</w:t>
      </w:r>
      <w:r w:rsidR="00B406C8" w:rsidRPr="0046404A">
        <w:t xml:space="preserve">rustees </w:t>
      </w:r>
      <w:r w:rsidR="00CF385C" w:rsidRPr="0046404A">
        <w:t>must</w:t>
      </w:r>
      <w:r w:rsidR="00B406C8" w:rsidRPr="0046404A">
        <w:t xml:space="preserve"> have </w:t>
      </w:r>
      <w:r w:rsidR="00CF385C" w:rsidRPr="0046404A">
        <w:t xml:space="preserve">the </w:t>
      </w:r>
      <w:r w:rsidR="00B406C8" w:rsidRPr="0046404A">
        <w:t xml:space="preserve">flexibility </w:t>
      </w:r>
      <w:r w:rsidR="00CF385C" w:rsidRPr="0046404A">
        <w:t xml:space="preserve">to consider individual member's circumstances </w:t>
      </w:r>
      <w:r w:rsidR="008C3E33">
        <w:t xml:space="preserve">in </w:t>
      </w:r>
      <w:r w:rsidR="006C57D8">
        <w:t xml:space="preserve">developing </w:t>
      </w:r>
      <w:r w:rsidR="008C3E33">
        <w:t xml:space="preserve">products and services </w:t>
      </w:r>
      <w:r w:rsidR="00CF385C" w:rsidRPr="0046404A">
        <w:t xml:space="preserve">and </w:t>
      </w:r>
      <w:r w:rsidR="00FF09D0">
        <w:t xml:space="preserve">must at all times </w:t>
      </w:r>
      <w:r w:rsidR="00B406C8" w:rsidRPr="0046404A">
        <w:t xml:space="preserve">act in </w:t>
      </w:r>
      <w:r w:rsidR="008C3E33">
        <w:t xml:space="preserve">members’ </w:t>
      </w:r>
      <w:r w:rsidR="00B406C8" w:rsidRPr="0046404A">
        <w:t>best interests.</w:t>
      </w:r>
    </w:p>
    <w:p w14:paraId="3F2F5284" w14:textId="77777777" w:rsidR="008059D5" w:rsidRDefault="00920F95" w:rsidP="007B20A0">
      <w:pPr>
        <w:pStyle w:val="QNormal"/>
      </w:pPr>
      <w:r>
        <w:t xml:space="preserve">I </w:t>
      </w:r>
      <w:r w:rsidR="007B20A0" w:rsidRPr="00BF4CB4">
        <w:t>trust this feedback will be beneficial</w:t>
      </w:r>
      <w:r w:rsidR="00904DBD">
        <w:t xml:space="preserve"> to your considerations</w:t>
      </w:r>
      <w:r>
        <w:t xml:space="preserve"> and </w:t>
      </w:r>
      <w:r w:rsidR="007B20A0" w:rsidRPr="00BF4CB4">
        <w:t xml:space="preserve">would welcome </w:t>
      </w:r>
      <w:r>
        <w:t xml:space="preserve">the </w:t>
      </w:r>
      <w:r w:rsidR="007B20A0" w:rsidRPr="00BF4CB4">
        <w:t>opportunity to discuss our submission in further detail</w:t>
      </w:r>
      <w:r>
        <w:t xml:space="preserve">.  We </w:t>
      </w:r>
      <w:r w:rsidR="008059D5">
        <w:t xml:space="preserve">would </w:t>
      </w:r>
      <w:r>
        <w:t xml:space="preserve">also </w:t>
      </w:r>
      <w:r w:rsidR="008059D5">
        <w:t xml:space="preserve">be pleased to </w:t>
      </w:r>
      <w:r w:rsidR="00FF09D0">
        <w:t xml:space="preserve">share our detailed analysis and </w:t>
      </w:r>
      <w:r w:rsidR="008059D5">
        <w:t xml:space="preserve">modelling </w:t>
      </w:r>
      <w:r w:rsidR="00881723">
        <w:t>with regard to life cycle funds.</w:t>
      </w:r>
    </w:p>
    <w:p w14:paraId="09DC028E" w14:textId="77777777" w:rsidR="007B20A0" w:rsidRPr="00BF4CB4" w:rsidRDefault="007B20A0" w:rsidP="007B20A0">
      <w:pPr>
        <w:pStyle w:val="QNormal"/>
        <w:spacing w:after="0"/>
      </w:pPr>
      <w:r w:rsidRPr="00BF4CB4">
        <w:t>Yours faithfully</w:t>
      </w:r>
    </w:p>
    <w:p w14:paraId="585AC864" w14:textId="77777777" w:rsidR="007B20A0" w:rsidRPr="00BF4CB4" w:rsidRDefault="007B20A0" w:rsidP="007B20A0">
      <w:pPr>
        <w:pStyle w:val="QNormal"/>
        <w:spacing w:after="0"/>
      </w:pPr>
    </w:p>
    <w:p w14:paraId="2DC6971F" w14:textId="77777777" w:rsidR="007B20A0" w:rsidRPr="00BF4CB4" w:rsidRDefault="007B20A0" w:rsidP="007B20A0">
      <w:pPr>
        <w:pStyle w:val="QNormal"/>
        <w:spacing w:after="0"/>
      </w:pPr>
    </w:p>
    <w:p w14:paraId="36A03E3A" w14:textId="77777777" w:rsidR="007B20A0" w:rsidRPr="00BF4CB4" w:rsidRDefault="007B20A0" w:rsidP="007B20A0">
      <w:pPr>
        <w:pStyle w:val="QNormal"/>
        <w:spacing w:after="0"/>
      </w:pPr>
    </w:p>
    <w:p w14:paraId="3C80193A" w14:textId="77777777" w:rsidR="007B20A0" w:rsidRPr="00BF4CB4" w:rsidRDefault="007B20A0" w:rsidP="007B20A0">
      <w:pPr>
        <w:pStyle w:val="QNormal"/>
        <w:spacing w:after="0"/>
      </w:pPr>
    </w:p>
    <w:p w14:paraId="19549DF7" w14:textId="77777777" w:rsidR="008059D5" w:rsidRPr="005961A0" w:rsidRDefault="007B20A0" w:rsidP="007B20A0">
      <w:pPr>
        <w:pStyle w:val="QNormal"/>
        <w:spacing w:after="0"/>
      </w:pPr>
      <w:r w:rsidRPr="005961A0">
        <w:t>M</w:t>
      </w:r>
      <w:r w:rsidR="008059D5" w:rsidRPr="005961A0">
        <w:t xml:space="preserve">ichael </w:t>
      </w:r>
      <w:r w:rsidRPr="005961A0">
        <w:t>P</w:t>
      </w:r>
      <w:r w:rsidR="008059D5" w:rsidRPr="005961A0">
        <w:t xml:space="preserve">ennisi </w:t>
      </w:r>
    </w:p>
    <w:p w14:paraId="1AAC6960" w14:textId="77777777" w:rsidR="00E1383A" w:rsidRPr="00E1383A" w:rsidRDefault="008059D5" w:rsidP="007B20A0">
      <w:pPr>
        <w:pStyle w:val="QNormal"/>
        <w:spacing w:after="0"/>
        <w:rPr>
          <w:b/>
        </w:rPr>
      </w:pPr>
      <w:r w:rsidRPr="00E1383A">
        <w:rPr>
          <w:b/>
        </w:rPr>
        <w:t>Chief Executive Officer</w:t>
      </w:r>
    </w:p>
    <w:p w14:paraId="5E3CC2AD" w14:textId="55A3E8FF" w:rsidR="007B20A0" w:rsidRPr="00E1383A" w:rsidRDefault="00E1383A" w:rsidP="007B20A0">
      <w:pPr>
        <w:pStyle w:val="QNormal"/>
        <w:spacing w:after="0"/>
        <w:rPr>
          <w:b/>
        </w:rPr>
      </w:pPr>
      <w:r w:rsidRPr="00E1383A">
        <w:rPr>
          <w:b/>
        </w:rPr>
        <w:t>QSuper</w:t>
      </w:r>
      <w:r w:rsidR="008059D5" w:rsidRPr="00E1383A">
        <w:rPr>
          <w:b/>
        </w:rPr>
        <w:t xml:space="preserve"> </w:t>
      </w:r>
      <w:r w:rsidR="007B20A0" w:rsidRPr="00E1383A">
        <w:rPr>
          <w:b/>
        </w:rPr>
        <w:t xml:space="preserve"> </w:t>
      </w:r>
    </w:p>
    <w:p w14:paraId="5C055EA8" w14:textId="77777777" w:rsidR="007B20A0" w:rsidRPr="00195D4A" w:rsidRDefault="007B20A0" w:rsidP="007B20A0">
      <w:pPr>
        <w:pStyle w:val="QNormal"/>
        <w:spacing w:after="0"/>
      </w:pPr>
    </w:p>
    <w:p w14:paraId="550D3DE1" w14:textId="77777777" w:rsidR="00F9656D" w:rsidRDefault="00F9656D">
      <w:pPr>
        <w:rPr>
          <w:rFonts w:cs="Arial"/>
          <w:szCs w:val="22"/>
          <w:u w:val="single"/>
          <w:lang w:eastAsia="en-AU"/>
        </w:rPr>
      </w:pPr>
      <w:r>
        <w:rPr>
          <w:rFonts w:cs="Arial"/>
          <w:szCs w:val="22"/>
          <w:u w:val="single"/>
          <w:lang w:eastAsia="en-AU"/>
        </w:rPr>
        <w:br w:type="page"/>
      </w:r>
    </w:p>
    <w:p w14:paraId="780BBB53" w14:textId="4D1A1425" w:rsidR="002E3754" w:rsidRDefault="00D66C2A" w:rsidP="005961A0">
      <w:pPr>
        <w:jc w:val="both"/>
        <w:rPr>
          <w:rFonts w:cs="Arial"/>
          <w:b/>
          <w:szCs w:val="22"/>
          <w:lang w:eastAsia="en-AU"/>
        </w:rPr>
      </w:pPr>
      <w:r w:rsidRPr="00D66C2A">
        <w:rPr>
          <w:b/>
          <w:noProof/>
          <w:lang w:eastAsia="en-AU"/>
        </w:rPr>
        <w:lastRenderedPageBreak/>
        <mc:AlternateContent>
          <mc:Choice Requires="wps">
            <w:drawing>
              <wp:anchor distT="45720" distB="45720" distL="114300" distR="114300" simplePos="0" relativeHeight="251659264" behindDoc="0" locked="0" layoutInCell="1" allowOverlap="1" wp14:anchorId="70583FD6" wp14:editId="2AC97F65">
                <wp:simplePos x="0" y="0"/>
                <wp:positionH relativeFrom="margin">
                  <wp:align>left</wp:align>
                </wp:positionH>
                <wp:positionV relativeFrom="paragraph">
                  <wp:posOffset>357505</wp:posOffset>
                </wp:positionV>
                <wp:extent cx="5708650" cy="1404620"/>
                <wp:effectExtent l="0" t="0" r="2540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chemeClr val="bg1">
                            <a:lumMod val="95000"/>
                          </a:schemeClr>
                        </a:solidFill>
                        <a:ln w="9525">
                          <a:solidFill>
                            <a:srgbClr val="000000"/>
                          </a:solidFill>
                          <a:miter lim="800000"/>
                          <a:headEnd/>
                          <a:tailEnd/>
                        </a:ln>
                      </wps:spPr>
                      <wps:txbx>
                        <w:txbxContent>
                          <w:p w14:paraId="046165B4" w14:textId="77777777" w:rsidR="00127153" w:rsidRPr="0037143D" w:rsidRDefault="00127153" w:rsidP="0037143D">
                            <w:pPr>
                              <w:rPr>
                                <w:u w:val="single"/>
                              </w:rPr>
                            </w:pPr>
                            <w:r>
                              <w:rPr>
                                <w:u w:val="single"/>
                              </w:rPr>
                              <w:t xml:space="preserve">Recommendation 1: </w:t>
                            </w:r>
                            <w:r w:rsidRPr="0037143D">
                              <w:rPr>
                                <w:u w:val="single"/>
                              </w:rPr>
                              <w:t>Defaulting Only Once For New Workforce Entrants</w:t>
                            </w:r>
                          </w:p>
                          <w:p w14:paraId="27874F7B" w14:textId="77777777" w:rsidR="00127153" w:rsidRPr="00265641" w:rsidRDefault="00127153" w:rsidP="0037143D">
                            <w:pPr>
                              <w:rPr>
                                <w:i/>
                              </w:rPr>
                            </w:pPr>
                            <w:r w:rsidRPr="00265641">
                              <w:rPr>
                                <w:i/>
                              </w:rPr>
                              <w:t>Default superannuation accounts should only be created for members who are new to the workforce or do not already have a superannuation account (and do not nominate a fund of their own).</w:t>
                            </w:r>
                          </w:p>
                          <w:p w14:paraId="0D00F827" w14:textId="77777777" w:rsidR="00127153" w:rsidRPr="00265641" w:rsidRDefault="00127153" w:rsidP="0037143D">
                            <w:pPr>
                              <w:rPr>
                                <w:i/>
                              </w:rPr>
                            </w:pPr>
                            <w:r w:rsidRPr="00265641">
                              <w:rPr>
                                <w:i/>
                              </w:rPr>
                              <w:t xml:space="preserve">To facilitate this, the Australian Government and the ATO should continue work towards establishing a centralised online service for members, employers and the Government that builds on the existing functionality of myGov and Single Touch Payroll. The service should: </w:t>
                            </w:r>
                          </w:p>
                          <w:p w14:paraId="793CBB2B" w14:textId="77777777" w:rsidR="00127153" w:rsidRPr="00265641" w:rsidRDefault="00127153" w:rsidP="0037143D">
                            <w:pPr>
                              <w:rPr>
                                <w:i/>
                              </w:rPr>
                            </w:pPr>
                            <w:r w:rsidRPr="00265641">
                              <w:rPr>
                                <w:i/>
                              </w:rPr>
                              <w:t xml:space="preserve">• allow members to register online their choice to open, close or consolidate accounts when they are submitting their Tax File Number when starting a new job </w:t>
                            </w:r>
                          </w:p>
                          <w:p w14:paraId="29E55A02" w14:textId="77777777" w:rsidR="00127153" w:rsidRPr="00265641" w:rsidRDefault="00127153" w:rsidP="0037143D">
                            <w:pPr>
                              <w:rPr>
                                <w:i/>
                              </w:rPr>
                            </w:pPr>
                            <w:r w:rsidRPr="00265641">
                              <w:rPr>
                                <w:i/>
                              </w:rPr>
                              <w:t xml:space="preserve">• facilitate the carryover of existing member accounts when members change jobs </w:t>
                            </w:r>
                          </w:p>
                          <w:p w14:paraId="5EBABC17" w14:textId="77777777" w:rsidR="00127153" w:rsidRPr="00265641" w:rsidRDefault="00127153" w:rsidP="0037143D">
                            <w:pPr>
                              <w:rPr>
                                <w:i/>
                              </w:rPr>
                            </w:pPr>
                            <w:r w:rsidRPr="00265641">
                              <w:rPr>
                                <w:i/>
                              </w:rPr>
                              <w:t xml:space="preserve">• collect information about member choices (including on whether they are electing to open a default account) for the Government. </w:t>
                            </w:r>
                          </w:p>
                          <w:p w14:paraId="3CCEB57E" w14:textId="77777777" w:rsidR="00127153" w:rsidRDefault="00127153" w:rsidP="0037143D">
                            <w:r w:rsidRPr="00265641">
                              <w:rPr>
                                <w:i/>
                              </w:rPr>
                              <w:t xml:space="preserve">There should be universal participation in this process by employees and </w:t>
                            </w:r>
                            <w:r w:rsidRPr="001F7201">
                              <w:rPr>
                                <w:i/>
                              </w:rPr>
                              <w:t>employers</w:t>
                            </w:r>
                            <w:r w:rsidRPr="00D8205B">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583FD6" id="_x0000_t202" coordsize="21600,21600" o:spt="202" path="m,l,21600r21600,l21600,xe">
                <v:stroke joinstyle="miter"/>
                <v:path gradientshapeok="t" o:connecttype="rect"/>
              </v:shapetype>
              <v:shape id="Text Box 2" o:spid="_x0000_s1026" type="#_x0000_t202" style="position:absolute;left:0;text-align:left;margin-left:0;margin-top:28.15pt;width:449.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NdAOAIAAGgEAAAOAAAAZHJzL2Uyb0RvYy54bWysVNuO0zAQfUfiHyy/06RR291GTVdLlyKk&#10;ZUHa5QMmjtNY+IbtNilfz9hpSxfeEC+W7RmfOXNmxqu7QUly4M4Loys6neSUcM1MI/Suot9etu9u&#10;KfEBdAPSaF7RI/f0bv32zaq3JS9MZ2TDHUEQ7cveVrQLwZZZ5lnHFfiJsVyjsTVOQcCj22WNgx7R&#10;lcyKPF9kvXGNdYZx7/H2YTTSdcJvW87Cl7b1PBBZUeQW0urSWsc1W6+g3DmwnWAnGvAPLBQIjUEv&#10;UA8QgOyd+AtKCeaMN22YMKMy07aC8ZQDZjPN/8jmuQPLUy4ojrcXmfz/g2VPh6+OiKaiBSUaFJbo&#10;hQ+BvDcDKaI6vfUlOj1bdAsDXmOVU6bePhr23RNtNh3oHb93zvQdhwbZTePL7OrpiOMjSN1/Ng2G&#10;gX0wCWhonYrSoRgE0bFKx0tlIhWGl/Ob/HYxRxND23SWzxZFql0G5fm5dT585EaRuKmow9IneDg8&#10;+hDpQHl2idG8kaLZCinTIbYb30hHDoCNUu/GFOVeIdfxbjnP83PI1J3RPaG+QpKa9BVdzov5KNKr&#10;KG5XX2Ig2hXgtZsSAUdCClXR24sTlFHaD7pJDRtAyHGPWUl90jrKOwodhno41a42zRFVd2ZsfRxV&#10;3HTG/aSkx7avqP+xB8cpkZ80Vm45nc3inKTDbH6DMhN3bamvLaAZQlU0UDJuNyHNVtLU3mOFtyJp&#10;H1thZHLiiu2cxDuNXpyX63Py+v1BrH8BAAD//wMAUEsDBBQABgAIAAAAIQB4cw/X3QAAAAcBAAAP&#10;AAAAZHJzL2Rvd25yZXYueG1sTI/BTsMwEETvSPyDtUjcqEOqNm2IUyEEtx6alHJ24yWJiNeR7baB&#10;r2d7guPsrGbeFJvJDuKMPvSOFDzOEhBIjTM9tQre928PKxAhajJ6cIQKvjHApry9KXRu3IUqPNex&#10;FRxCIdcKuhjHXMrQdGh1mLkRib1P562OLH0rjdcXDreDTJNkKa3uiRs6PeJLh81XfbLce/A/WaiT&#10;Q2o/5vuqqra712yr1P3d9PwEIuIU/57his/oUDLT0Z3IBDEo4CFRwWI5B8Huar3mw1FBmmULkGUh&#10;//OXvwAAAP//AwBQSwECLQAUAAYACAAAACEAtoM4kv4AAADhAQAAEwAAAAAAAAAAAAAAAAAAAAAA&#10;W0NvbnRlbnRfVHlwZXNdLnhtbFBLAQItABQABgAIAAAAIQA4/SH/1gAAAJQBAAALAAAAAAAAAAAA&#10;AAAAAC8BAABfcmVscy8ucmVsc1BLAQItABQABgAIAAAAIQD2cNdAOAIAAGgEAAAOAAAAAAAAAAAA&#10;AAAAAC4CAABkcnMvZTJvRG9jLnhtbFBLAQItABQABgAIAAAAIQB4cw/X3QAAAAcBAAAPAAAAAAAA&#10;AAAAAAAAAJIEAABkcnMvZG93bnJldi54bWxQSwUGAAAAAAQABADzAAAAnAUAAAAA&#10;" fillcolor="#f2f2f2 [3052]">
                <v:textbox style="mso-fit-shape-to-text:t">
                  <w:txbxContent>
                    <w:p w14:paraId="046165B4" w14:textId="77777777" w:rsidR="00127153" w:rsidRPr="0037143D" w:rsidRDefault="00127153" w:rsidP="0037143D">
                      <w:pPr>
                        <w:rPr>
                          <w:u w:val="single"/>
                        </w:rPr>
                      </w:pPr>
                      <w:r>
                        <w:rPr>
                          <w:u w:val="single"/>
                        </w:rPr>
                        <w:t xml:space="preserve">Recommendation 1: </w:t>
                      </w:r>
                      <w:r w:rsidRPr="0037143D">
                        <w:rPr>
                          <w:u w:val="single"/>
                        </w:rPr>
                        <w:t xml:space="preserve">Defaulting Only Once </w:t>
                      </w:r>
                      <w:proofErr w:type="gramStart"/>
                      <w:r w:rsidRPr="0037143D">
                        <w:rPr>
                          <w:u w:val="single"/>
                        </w:rPr>
                        <w:t>For</w:t>
                      </w:r>
                      <w:proofErr w:type="gramEnd"/>
                      <w:r w:rsidRPr="0037143D">
                        <w:rPr>
                          <w:u w:val="single"/>
                        </w:rPr>
                        <w:t xml:space="preserve"> New Workforce Entrants</w:t>
                      </w:r>
                    </w:p>
                    <w:p w14:paraId="27874F7B" w14:textId="77777777" w:rsidR="00127153" w:rsidRPr="00265641" w:rsidRDefault="00127153" w:rsidP="0037143D">
                      <w:pPr>
                        <w:rPr>
                          <w:i/>
                        </w:rPr>
                      </w:pPr>
                      <w:r w:rsidRPr="00265641">
                        <w:rPr>
                          <w:i/>
                        </w:rPr>
                        <w:t>Default superannuation accounts should only be created for members who are new to the workforce or do not already have a superannuation account (and do not nominate a fund of their own).</w:t>
                      </w:r>
                    </w:p>
                    <w:p w14:paraId="0D00F827" w14:textId="77777777" w:rsidR="00127153" w:rsidRPr="00265641" w:rsidRDefault="00127153" w:rsidP="0037143D">
                      <w:pPr>
                        <w:rPr>
                          <w:i/>
                        </w:rPr>
                      </w:pPr>
                      <w:r w:rsidRPr="00265641">
                        <w:rPr>
                          <w:i/>
                        </w:rPr>
                        <w:t xml:space="preserve">To facilitate this, the Australian Government and the ATO should continue work towards establishing a centralised online service for members, employers and the Government that builds on the existing functionality of </w:t>
                      </w:r>
                      <w:proofErr w:type="spellStart"/>
                      <w:r w:rsidRPr="00265641">
                        <w:rPr>
                          <w:i/>
                        </w:rPr>
                        <w:t>myGov</w:t>
                      </w:r>
                      <w:proofErr w:type="spellEnd"/>
                      <w:r w:rsidRPr="00265641">
                        <w:rPr>
                          <w:i/>
                        </w:rPr>
                        <w:t xml:space="preserve"> and Single Touch Payroll. The service should: </w:t>
                      </w:r>
                    </w:p>
                    <w:p w14:paraId="793CBB2B" w14:textId="77777777" w:rsidR="00127153" w:rsidRPr="00265641" w:rsidRDefault="00127153" w:rsidP="0037143D">
                      <w:pPr>
                        <w:rPr>
                          <w:i/>
                        </w:rPr>
                      </w:pPr>
                      <w:r w:rsidRPr="00265641">
                        <w:rPr>
                          <w:i/>
                        </w:rPr>
                        <w:t xml:space="preserve">• allow members to register online their choice to open, close or consolidate accounts when they are submitting their Tax File Number when starting a new job </w:t>
                      </w:r>
                    </w:p>
                    <w:p w14:paraId="29E55A02" w14:textId="77777777" w:rsidR="00127153" w:rsidRPr="00265641" w:rsidRDefault="00127153" w:rsidP="0037143D">
                      <w:pPr>
                        <w:rPr>
                          <w:i/>
                        </w:rPr>
                      </w:pPr>
                      <w:r w:rsidRPr="00265641">
                        <w:rPr>
                          <w:i/>
                        </w:rPr>
                        <w:t xml:space="preserve">• facilitate the carryover of existing member accounts when members change jobs </w:t>
                      </w:r>
                    </w:p>
                    <w:p w14:paraId="5EBABC17" w14:textId="77777777" w:rsidR="00127153" w:rsidRPr="00265641" w:rsidRDefault="00127153" w:rsidP="0037143D">
                      <w:pPr>
                        <w:rPr>
                          <w:i/>
                        </w:rPr>
                      </w:pPr>
                      <w:r w:rsidRPr="00265641">
                        <w:rPr>
                          <w:i/>
                        </w:rPr>
                        <w:t xml:space="preserve">• collect information about member choices (including on whether they are electing to open a default account) for the Government. </w:t>
                      </w:r>
                    </w:p>
                    <w:p w14:paraId="3CCEB57E" w14:textId="77777777" w:rsidR="00127153" w:rsidRDefault="00127153" w:rsidP="0037143D">
                      <w:r w:rsidRPr="00265641">
                        <w:rPr>
                          <w:i/>
                        </w:rPr>
                        <w:t xml:space="preserve">There should be universal participation in this process by employees and </w:t>
                      </w:r>
                      <w:r w:rsidRPr="001F7201">
                        <w:rPr>
                          <w:i/>
                        </w:rPr>
                        <w:t>employers</w:t>
                      </w:r>
                      <w:r w:rsidRPr="00D8205B">
                        <w:t>.</w:t>
                      </w:r>
                    </w:p>
                  </w:txbxContent>
                </v:textbox>
                <w10:wrap type="square" anchorx="margin"/>
              </v:shape>
            </w:pict>
          </mc:Fallback>
        </mc:AlternateContent>
      </w:r>
      <w:r w:rsidR="005847CC" w:rsidRPr="00D66C2A">
        <w:rPr>
          <w:rFonts w:cs="Arial"/>
          <w:b/>
          <w:szCs w:val="22"/>
          <w:lang w:eastAsia="en-AU"/>
        </w:rPr>
        <w:t>QSuper Response</w:t>
      </w:r>
    </w:p>
    <w:p w14:paraId="65BA1E01" w14:textId="4D00E669" w:rsidR="00D66C2A" w:rsidRPr="00D66C2A" w:rsidRDefault="00D66C2A" w:rsidP="005961A0">
      <w:pPr>
        <w:jc w:val="both"/>
        <w:rPr>
          <w:rFonts w:cs="Arial"/>
          <w:b/>
          <w:szCs w:val="22"/>
          <w:lang w:eastAsia="en-AU"/>
        </w:rPr>
      </w:pPr>
    </w:p>
    <w:p w14:paraId="751E5024" w14:textId="130114C1" w:rsidR="00043E50" w:rsidRDefault="00171864" w:rsidP="005961A0">
      <w:pPr>
        <w:jc w:val="both"/>
        <w:rPr>
          <w:rFonts w:cs="Arial"/>
          <w:szCs w:val="22"/>
          <w:lang w:eastAsia="en-AU"/>
        </w:rPr>
      </w:pPr>
      <w:r w:rsidRPr="008A2546">
        <w:rPr>
          <w:rFonts w:cs="Arial"/>
          <w:szCs w:val="22"/>
          <w:lang w:eastAsia="en-AU"/>
        </w:rPr>
        <w:t xml:space="preserve">QSuper </w:t>
      </w:r>
      <w:r w:rsidR="00FF09D0">
        <w:rPr>
          <w:rFonts w:cs="Arial"/>
          <w:szCs w:val="22"/>
          <w:lang w:eastAsia="en-AU"/>
        </w:rPr>
        <w:t xml:space="preserve">acknowledges </w:t>
      </w:r>
      <w:r w:rsidRPr="008A2546">
        <w:rPr>
          <w:rFonts w:cs="Arial"/>
          <w:szCs w:val="22"/>
          <w:lang w:eastAsia="en-AU"/>
        </w:rPr>
        <w:t xml:space="preserve">the </w:t>
      </w:r>
      <w:r w:rsidR="00FF09D0">
        <w:rPr>
          <w:rFonts w:cs="Arial"/>
          <w:szCs w:val="22"/>
          <w:lang w:eastAsia="en-AU"/>
        </w:rPr>
        <w:t xml:space="preserve">negative </w:t>
      </w:r>
      <w:r w:rsidRPr="008A2546">
        <w:rPr>
          <w:rFonts w:cs="Arial"/>
          <w:szCs w:val="22"/>
          <w:lang w:eastAsia="en-AU"/>
        </w:rPr>
        <w:t xml:space="preserve">effect that unnecessary multiple accounts </w:t>
      </w:r>
      <w:r w:rsidR="00946D48">
        <w:rPr>
          <w:rFonts w:cs="Arial"/>
          <w:szCs w:val="22"/>
          <w:lang w:eastAsia="en-AU"/>
        </w:rPr>
        <w:t xml:space="preserve">may </w:t>
      </w:r>
      <w:r w:rsidRPr="008A2546">
        <w:rPr>
          <w:rFonts w:cs="Arial"/>
          <w:szCs w:val="22"/>
          <w:lang w:eastAsia="en-AU"/>
        </w:rPr>
        <w:t>ha</w:t>
      </w:r>
      <w:r w:rsidR="00233B32" w:rsidRPr="008A2546">
        <w:rPr>
          <w:rFonts w:cs="Arial"/>
          <w:szCs w:val="22"/>
          <w:lang w:eastAsia="en-AU"/>
        </w:rPr>
        <w:t>ve</w:t>
      </w:r>
      <w:r w:rsidRPr="008A2546">
        <w:rPr>
          <w:rFonts w:cs="Arial"/>
          <w:szCs w:val="22"/>
          <w:lang w:eastAsia="en-AU"/>
        </w:rPr>
        <w:t xml:space="preserve"> on the </w:t>
      </w:r>
      <w:r w:rsidR="00233B32" w:rsidRPr="008A2546">
        <w:rPr>
          <w:rFonts w:cs="Arial"/>
          <w:szCs w:val="22"/>
          <w:lang w:eastAsia="en-AU"/>
        </w:rPr>
        <w:t>retirement balance of members</w:t>
      </w:r>
      <w:r w:rsidR="00881723">
        <w:rPr>
          <w:rFonts w:cs="Arial"/>
          <w:szCs w:val="22"/>
          <w:lang w:eastAsia="en-AU"/>
        </w:rPr>
        <w:t xml:space="preserve"> and </w:t>
      </w:r>
      <w:r w:rsidR="00B35803">
        <w:rPr>
          <w:rFonts w:cs="Arial"/>
          <w:szCs w:val="22"/>
          <w:lang w:eastAsia="en-AU"/>
        </w:rPr>
        <w:t>supports the intent of the Commission</w:t>
      </w:r>
      <w:r w:rsidR="00856AA9">
        <w:rPr>
          <w:rFonts w:cs="Arial"/>
          <w:szCs w:val="22"/>
          <w:lang w:eastAsia="en-AU"/>
        </w:rPr>
        <w:t>,</w:t>
      </w:r>
      <w:r w:rsidR="00B35803">
        <w:rPr>
          <w:rFonts w:cs="Arial"/>
          <w:szCs w:val="22"/>
          <w:lang w:eastAsia="en-AU"/>
        </w:rPr>
        <w:t xml:space="preserve"> as well as</w:t>
      </w:r>
      <w:r w:rsidR="00881723">
        <w:rPr>
          <w:rFonts w:cs="Arial"/>
          <w:szCs w:val="22"/>
          <w:lang w:eastAsia="en-AU"/>
        </w:rPr>
        <w:t xml:space="preserve"> </w:t>
      </w:r>
      <w:r w:rsidR="00952C94">
        <w:rPr>
          <w:rFonts w:cs="Arial"/>
          <w:szCs w:val="22"/>
          <w:lang w:eastAsia="en-AU"/>
        </w:rPr>
        <w:t>Government and industry</w:t>
      </w:r>
      <w:r w:rsidR="00856AA9">
        <w:rPr>
          <w:rFonts w:cs="Arial"/>
          <w:szCs w:val="22"/>
          <w:lang w:eastAsia="en-AU"/>
        </w:rPr>
        <w:t>,</w:t>
      </w:r>
      <w:r w:rsidR="00952C94">
        <w:rPr>
          <w:rFonts w:cs="Arial"/>
          <w:szCs w:val="22"/>
          <w:lang w:eastAsia="en-AU"/>
        </w:rPr>
        <w:t xml:space="preserve"> </w:t>
      </w:r>
      <w:r w:rsidR="00B35803">
        <w:rPr>
          <w:rFonts w:cs="Arial"/>
          <w:szCs w:val="22"/>
          <w:lang w:eastAsia="en-AU"/>
        </w:rPr>
        <w:t>to reduce the number of duplicate accounts</w:t>
      </w:r>
      <w:r w:rsidR="00881723">
        <w:rPr>
          <w:rFonts w:cs="Arial"/>
          <w:szCs w:val="22"/>
          <w:lang w:eastAsia="en-AU"/>
        </w:rPr>
        <w:t>.</w:t>
      </w:r>
      <w:r w:rsidR="00DE158B">
        <w:rPr>
          <w:rFonts w:cs="Arial"/>
          <w:szCs w:val="22"/>
          <w:lang w:eastAsia="en-AU"/>
        </w:rPr>
        <w:t xml:space="preserve"> </w:t>
      </w:r>
    </w:p>
    <w:p w14:paraId="26F571FC" w14:textId="5FF0969A" w:rsidR="00827989" w:rsidRDefault="00827989" w:rsidP="00501163">
      <w:pPr>
        <w:pStyle w:val="ListParagraph"/>
        <w:ind w:left="0"/>
        <w:rPr>
          <w:rFonts w:cs="Arial"/>
          <w:szCs w:val="22"/>
          <w:u w:val="single"/>
          <w:lang w:eastAsia="en-AU"/>
        </w:rPr>
      </w:pPr>
    </w:p>
    <w:p w14:paraId="3122A298" w14:textId="2B513F5E" w:rsidR="007A17A5" w:rsidRPr="008A2546" w:rsidRDefault="007A17A5" w:rsidP="005961A0">
      <w:pPr>
        <w:jc w:val="both"/>
        <w:rPr>
          <w:rFonts w:cs="Arial"/>
          <w:szCs w:val="22"/>
          <w:lang w:eastAsia="en-AU"/>
        </w:rPr>
      </w:pPr>
      <w:r>
        <w:rPr>
          <w:rFonts w:cs="Arial"/>
          <w:szCs w:val="22"/>
          <w:lang w:eastAsia="en-AU"/>
        </w:rPr>
        <w:t>QSuper believe</w:t>
      </w:r>
      <w:r w:rsidR="00FB60CF">
        <w:rPr>
          <w:rFonts w:cs="Arial"/>
          <w:szCs w:val="22"/>
          <w:lang w:eastAsia="en-AU"/>
        </w:rPr>
        <w:t>s that</w:t>
      </w:r>
      <w:r>
        <w:rPr>
          <w:rFonts w:cs="Arial"/>
          <w:szCs w:val="22"/>
          <w:lang w:eastAsia="en-AU"/>
        </w:rPr>
        <w:t xml:space="preserve"> any changes to the </w:t>
      </w:r>
      <w:r w:rsidR="00FF09D0">
        <w:rPr>
          <w:rFonts w:cs="Arial"/>
          <w:szCs w:val="22"/>
          <w:lang w:eastAsia="en-AU"/>
        </w:rPr>
        <w:t xml:space="preserve">current </w:t>
      </w:r>
      <w:r>
        <w:rPr>
          <w:rFonts w:cs="Arial"/>
          <w:szCs w:val="22"/>
          <w:lang w:eastAsia="en-AU"/>
        </w:rPr>
        <w:t xml:space="preserve">system must overcome </w:t>
      </w:r>
      <w:r w:rsidR="008436AC">
        <w:rPr>
          <w:rFonts w:cs="Arial"/>
          <w:szCs w:val="22"/>
          <w:lang w:eastAsia="en-AU"/>
        </w:rPr>
        <w:t xml:space="preserve">the </w:t>
      </w:r>
      <w:r w:rsidR="00FF09D0">
        <w:rPr>
          <w:rFonts w:cs="Arial"/>
          <w:szCs w:val="22"/>
          <w:lang w:eastAsia="en-AU"/>
        </w:rPr>
        <w:t xml:space="preserve">negative </w:t>
      </w:r>
      <w:r w:rsidR="008436AC">
        <w:rPr>
          <w:rFonts w:cs="Arial"/>
          <w:szCs w:val="22"/>
          <w:lang w:eastAsia="en-AU"/>
        </w:rPr>
        <w:t xml:space="preserve">implications of </w:t>
      </w:r>
      <w:r>
        <w:rPr>
          <w:rFonts w:cs="Arial"/>
          <w:szCs w:val="22"/>
          <w:lang w:eastAsia="en-AU"/>
        </w:rPr>
        <w:t xml:space="preserve">members continuing </w:t>
      </w:r>
      <w:r w:rsidR="0089166E">
        <w:rPr>
          <w:rFonts w:cs="Arial"/>
          <w:szCs w:val="22"/>
          <w:lang w:eastAsia="en-AU"/>
        </w:rPr>
        <w:t xml:space="preserve">in </w:t>
      </w:r>
      <w:r>
        <w:rPr>
          <w:rFonts w:cs="Arial"/>
          <w:szCs w:val="22"/>
          <w:lang w:eastAsia="en-AU"/>
        </w:rPr>
        <w:t xml:space="preserve">an inappropriate </w:t>
      </w:r>
      <w:r w:rsidR="0089166E">
        <w:rPr>
          <w:rFonts w:cs="Arial"/>
          <w:szCs w:val="22"/>
          <w:lang w:eastAsia="en-AU"/>
        </w:rPr>
        <w:t>fund on the basis of a lack of engagement with their fund or superannuation in general.  Not all funds are able to meet the needs of members at all stages of their life and a fund or product that was appropriate at one time</w:t>
      </w:r>
      <w:r w:rsidR="00946D48">
        <w:rPr>
          <w:rFonts w:cs="Arial"/>
          <w:szCs w:val="22"/>
          <w:lang w:eastAsia="en-AU"/>
        </w:rPr>
        <w:t>,</w:t>
      </w:r>
      <w:r w:rsidR="0089166E">
        <w:rPr>
          <w:rFonts w:cs="Arial"/>
          <w:szCs w:val="22"/>
          <w:lang w:eastAsia="en-AU"/>
        </w:rPr>
        <w:t xml:space="preserve"> may not necessarily </w:t>
      </w:r>
      <w:r w:rsidR="003B7A31">
        <w:rPr>
          <w:rFonts w:cs="Arial"/>
          <w:szCs w:val="22"/>
          <w:lang w:eastAsia="en-AU"/>
        </w:rPr>
        <w:t xml:space="preserve">always </w:t>
      </w:r>
      <w:r w:rsidR="0089166E">
        <w:rPr>
          <w:rFonts w:cs="Arial"/>
          <w:szCs w:val="22"/>
          <w:lang w:eastAsia="en-AU"/>
        </w:rPr>
        <w:t xml:space="preserve">be the </w:t>
      </w:r>
      <w:r w:rsidR="00946D48">
        <w:rPr>
          <w:rFonts w:cs="Arial"/>
          <w:szCs w:val="22"/>
          <w:lang w:eastAsia="en-AU"/>
        </w:rPr>
        <w:t xml:space="preserve">best fund </w:t>
      </w:r>
      <w:r w:rsidR="0089166E">
        <w:rPr>
          <w:rFonts w:cs="Arial"/>
          <w:szCs w:val="22"/>
          <w:lang w:eastAsia="en-AU"/>
        </w:rPr>
        <w:t>where a member’s circumstances change.</w:t>
      </w:r>
      <w:r w:rsidR="00FB60CF">
        <w:rPr>
          <w:rFonts w:cs="Arial"/>
          <w:szCs w:val="22"/>
          <w:lang w:eastAsia="en-AU"/>
        </w:rPr>
        <w:t xml:space="preserve">  </w:t>
      </w:r>
      <w:r w:rsidR="008436AC">
        <w:rPr>
          <w:rFonts w:cs="Arial"/>
          <w:szCs w:val="22"/>
          <w:lang w:eastAsia="en-AU"/>
        </w:rPr>
        <w:t xml:space="preserve"> </w:t>
      </w:r>
      <w:r w:rsidR="008436AC" w:rsidRPr="008A2546">
        <w:rPr>
          <w:rFonts w:cs="Arial"/>
          <w:szCs w:val="22"/>
          <w:lang w:eastAsia="en-AU"/>
        </w:rPr>
        <w:t xml:space="preserve"> </w:t>
      </w:r>
    </w:p>
    <w:p w14:paraId="18C47717" w14:textId="2DF81695" w:rsidR="008F1819" w:rsidRPr="008A2546" w:rsidRDefault="008F1819" w:rsidP="005961A0">
      <w:pPr>
        <w:jc w:val="both"/>
        <w:rPr>
          <w:rFonts w:cs="Arial"/>
          <w:szCs w:val="22"/>
          <w:lang w:eastAsia="en-AU"/>
        </w:rPr>
      </w:pPr>
    </w:p>
    <w:p w14:paraId="441966FA" w14:textId="7EB8364C" w:rsidR="00603B08" w:rsidRDefault="008436AC" w:rsidP="00603B08">
      <w:pPr>
        <w:jc w:val="both"/>
        <w:rPr>
          <w:rFonts w:cs="Arial"/>
          <w:szCs w:val="22"/>
          <w:lang w:eastAsia="en-AU"/>
        </w:rPr>
      </w:pPr>
      <w:r>
        <w:rPr>
          <w:rFonts w:cs="Arial"/>
          <w:szCs w:val="22"/>
          <w:lang w:eastAsia="en-AU"/>
        </w:rPr>
        <w:t xml:space="preserve">This can be overcome by ensuring that </w:t>
      </w:r>
      <w:r w:rsidR="008F1819" w:rsidRPr="008A2546">
        <w:rPr>
          <w:rFonts w:cs="Arial"/>
          <w:szCs w:val="22"/>
          <w:lang w:eastAsia="en-AU"/>
        </w:rPr>
        <w:t xml:space="preserve">product characteristics of default funds are able to respond to </w:t>
      </w:r>
      <w:r w:rsidR="004D14E5">
        <w:rPr>
          <w:rFonts w:cs="Arial"/>
          <w:szCs w:val="22"/>
          <w:lang w:eastAsia="en-AU"/>
        </w:rPr>
        <w:t xml:space="preserve">a member's individual circumstances </w:t>
      </w:r>
      <w:r w:rsidR="003B7A31">
        <w:rPr>
          <w:rFonts w:cs="Arial"/>
          <w:szCs w:val="22"/>
          <w:lang w:eastAsia="en-AU"/>
        </w:rPr>
        <w:t>rather than</w:t>
      </w:r>
      <w:r w:rsidR="00920F95">
        <w:rPr>
          <w:rFonts w:cs="Arial"/>
          <w:szCs w:val="22"/>
          <w:lang w:eastAsia="en-AU"/>
        </w:rPr>
        <w:t xml:space="preserve"> simply </w:t>
      </w:r>
      <w:r w:rsidR="003B7A31">
        <w:rPr>
          <w:rFonts w:cs="Arial"/>
          <w:szCs w:val="22"/>
          <w:lang w:eastAsia="en-AU"/>
        </w:rPr>
        <w:t>a</w:t>
      </w:r>
      <w:r w:rsidR="008F1819" w:rsidRPr="008A2546">
        <w:rPr>
          <w:rFonts w:cs="Arial"/>
          <w:szCs w:val="22"/>
          <w:lang w:eastAsia="en-AU"/>
        </w:rPr>
        <w:t xml:space="preserve"> </w:t>
      </w:r>
      <w:r w:rsidR="00A0067F">
        <w:rPr>
          <w:rFonts w:cs="Arial"/>
          <w:szCs w:val="22"/>
          <w:lang w:eastAsia="en-AU"/>
        </w:rPr>
        <w:t>‘</w:t>
      </w:r>
      <w:r w:rsidR="008F1819" w:rsidRPr="008A2546">
        <w:rPr>
          <w:rFonts w:cs="Arial"/>
          <w:szCs w:val="22"/>
          <w:lang w:eastAsia="en-AU"/>
        </w:rPr>
        <w:t>one-size-fits-all</w:t>
      </w:r>
      <w:r w:rsidR="00A0067F">
        <w:rPr>
          <w:rFonts w:cs="Arial"/>
          <w:szCs w:val="22"/>
          <w:lang w:eastAsia="en-AU"/>
        </w:rPr>
        <w:t>’</w:t>
      </w:r>
      <w:r w:rsidR="00920F95">
        <w:rPr>
          <w:rFonts w:cs="Arial"/>
          <w:szCs w:val="22"/>
          <w:lang w:eastAsia="en-AU"/>
        </w:rPr>
        <w:t xml:space="preserve"> solution</w:t>
      </w:r>
      <w:r>
        <w:rPr>
          <w:rFonts w:cs="Arial"/>
          <w:szCs w:val="22"/>
          <w:lang w:eastAsia="en-AU"/>
        </w:rPr>
        <w:t>.</w:t>
      </w:r>
      <w:r w:rsidR="006B5B69" w:rsidRPr="008A2546">
        <w:rPr>
          <w:rFonts w:cs="Arial"/>
          <w:szCs w:val="22"/>
          <w:lang w:eastAsia="en-AU"/>
        </w:rPr>
        <w:t xml:space="preserve"> </w:t>
      </w:r>
      <w:r w:rsidR="0089166E">
        <w:rPr>
          <w:rFonts w:cs="Arial"/>
          <w:szCs w:val="22"/>
          <w:lang w:eastAsia="en-AU"/>
        </w:rPr>
        <w:t>This</w:t>
      </w:r>
      <w:r w:rsidR="00920F95">
        <w:rPr>
          <w:rFonts w:cs="Arial"/>
          <w:szCs w:val="22"/>
          <w:lang w:eastAsia="en-AU"/>
        </w:rPr>
        <w:t>,</w:t>
      </w:r>
      <w:r w:rsidR="0089166E">
        <w:rPr>
          <w:rFonts w:cs="Arial"/>
          <w:szCs w:val="22"/>
          <w:lang w:eastAsia="en-AU"/>
        </w:rPr>
        <w:t xml:space="preserve"> </w:t>
      </w:r>
      <w:r w:rsidR="003B7A31">
        <w:rPr>
          <w:rFonts w:cs="Arial"/>
          <w:szCs w:val="22"/>
          <w:lang w:eastAsia="en-AU"/>
        </w:rPr>
        <w:t>of course</w:t>
      </w:r>
      <w:r w:rsidR="00920F95">
        <w:rPr>
          <w:rFonts w:cs="Arial"/>
          <w:szCs w:val="22"/>
          <w:lang w:eastAsia="en-AU"/>
        </w:rPr>
        <w:t>,</w:t>
      </w:r>
      <w:r w:rsidR="003B7A31">
        <w:rPr>
          <w:rFonts w:cs="Arial"/>
          <w:szCs w:val="22"/>
          <w:lang w:eastAsia="en-AU"/>
        </w:rPr>
        <w:t xml:space="preserve"> </w:t>
      </w:r>
      <w:r w:rsidR="0089166E">
        <w:rPr>
          <w:rFonts w:cs="Arial"/>
          <w:szCs w:val="22"/>
          <w:lang w:eastAsia="en-AU"/>
        </w:rPr>
        <w:t>raise</w:t>
      </w:r>
      <w:r w:rsidR="00CC4992">
        <w:rPr>
          <w:rFonts w:cs="Arial"/>
          <w:szCs w:val="22"/>
          <w:lang w:eastAsia="en-AU"/>
        </w:rPr>
        <w:t>s</w:t>
      </w:r>
      <w:r w:rsidR="0089166E">
        <w:rPr>
          <w:rFonts w:cs="Arial"/>
          <w:szCs w:val="22"/>
          <w:lang w:eastAsia="en-AU"/>
        </w:rPr>
        <w:t xml:space="preserve"> the</w:t>
      </w:r>
      <w:r w:rsidR="00CC4992">
        <w:rPr>
          <w:rFonts w:cs="Arial"/>
          <w:szCs w:val="22"/>
          <w:lang w:eastAsia="en-AU"/>
        </w:rPr>
        <w:t xml:space="preserve"> responsibility of </w:t>
      </w:r>
      <w:r w:rsidR="003B7A31">
        <w:rPr>
          <w:rFonts w:cs="Arial"/>
          <w:szCs w:val="22"/>
          <w:lang w:eastAsia="en-AU"/>
        </w:rPr>
        <w:t xml:space="preserve">fund </w:t>
      </w:r>
      <w:r w:rsidR="00302ACC">
        <w:rPr>
          <w:rFonts w:cs="Arial"/>
          <w:szCs w:val="22"/>
          <w:lang w:eastAsia="en-AU"/>
        </w:rPr>
        <w:t>t</w:t>
      </w:r>
      <w:r w:rsidR="00CC4992">
        <w:rPr>
          <w:rFonts w:cs="Arial"/>
          <w:szCs w:val="22"/>
          <w:lang w:eastAsia="en-AU"/>
        </w:rPr>
        <w:t xml:space="preserve">rustees </w:t>
      </w:r>
      <w:r w:rsidR="00920F95">
        <w:rPr>
          <w:rFonts w:cs="Arial"/>
          <w:szCs w:val="22"/>
          <w:lang w:eastAsia="en-AU"/>
        </w:rPr>
        <w:t xml:space="preserve">and would require </w:t>
      </w:r>
      <w:r w:rsidR="00FD314A">
        <w:rPr>
          <w:rFonts w:cs="Arial"/>
          <w:szCs w:val="22"/>
          <w:lang w:eastAsia="en-AU"/>
        </w:rPr>
        <w:t>t</w:t>
      </w:r>
      <w:r w:rsidR="00920F95">
        <w:rPr>
          <w:rFonts w:cs="Arial"/>
          <w:szCs w:val="22"/>
          <w:lang w:eastAsia="en-AU"/>
        </w:rPr>
        <w:t xml:space="preserve">rustees to </w:t>
      </w:r>
      <w:r w:rsidR="00CC4992">
        <w:rPr>
          <w:rFonts w:cs="Arial"/>
          <w:szCs w:val="22"/>
          <w:lang w:eastAsia="en-AU"/>
        </w:rPr>
        <w:t xml:space="preserve">consider the makeup of their membership and </w:t>
      </w:r>
      <w:r w:rsidR="00920F95">
        <w:rPr>
          <w:rFonts w:cs="Arial"/>
          <w:szCs w:val="22"/>
          <w:lang w:eastAsia="en-AU"/>
        </w:rPr>
        <w:t xml:space="preserve">use data they have on their members </w:t>
      </w:r>
      <w:r w:rsidR="00CC4992">
        <w:rPr>
          <w:rFonts w:cs="Arial"/>
          <w:szCs w:val="22"/>
          <w:lang w:eastAsia="en-AU"/>
        </w:rPr>
        <w:t>to determine the</w:t>
      </w:r>
      <w:r w:rsidR="00920F95">
        <w:rPr>
          <w:rFonts w:cs="Arial"/>
          <w:szCs w:val="22"/>
          <w:lang w:eastAsia="en-AU"/>
        </w:rPr>
        <w:t xml:space="preserve"> appropriateness of their</w:t>
      </w:r>
      <w:r w:rsidR="00CC4992">
        <w:rPr>
          <w:rFonts w:cs="Arial"/>
          <w:szCs w:val="22"/>
          <w:lang w:eastAsia="en-AU"/>
        </w:rPr>
        <w:t xml:space="preserve"> products and services </w:t>
      </w:r>
      <w:r w:rsidR="00A642E0">
        <w:rPr>
          <w:rFonts w:cs="Arial"/>
          <w:szCs w:val="22"/>
          <w:lang w:eastAsia="en-AU"/>
        </w:rPr>
        <w:t xml:space="preserve">across </w:t>
      </w:r>
      <w:r w:rsidR="00920F95">
        <w:rPr>
          <w:rFonts w:cs="Arial"/>
          <w:szCs w:val="22"/>
          <w:lang w:eastAsia="en-AU"/>
        </w:rPr>
        <w:t xml:space="preserve">members’ </w:t>
      </w:r>
      <w:r w:rsidR="00A642E0">
        <w:rPr>
          <w:rFonts w:cs="Arial"/>
          <w:szCs w:val="22"/>
          <w:lang w:eastAsia="en-AU"/>
        </w:rPr>
        <w:t>lifetime</w:t>
      </w:r>
      <w:r w:rsidR="00920F95">
        <w:rPr>
          <w:rFonts w:cs="Arial"/>
          <w:szCs w:val="22"/>
          <w:lang w:eastAsia="en-AU"/>
        </w:rPr>
        <w:t xml:space="preserve">s. </w:t>
      </w:r>
      <w:r w:rsidR="00A642E0">
        <w:rPr>
          <w:rFonts w:cs="Arial"/>
          <w:szCs w:val="22"/>
          <w:lang w:eastAsia="en-AU"/>
        </w:rPr>
        <w:t xml:space="preserve"> </w:t>
      </w:r>
    </w:p>
    <w:p w14:paraId="1D905273" w14:textId="41CD02EA" w:rsidR="00603B08" w:rsidRDefault="00603B08" w:rsidP="00603B08">
      <w:pPr>
        <w:jc w:val="both"/>
        <w:rPr>
          <w:rFonts w:cs="Arial"/>
          <w:szCs w:val="22"/>
          <w:lang w:eastAsia="en-AU"/>
        </w:rPr>
      </w:pPr>
    </w:p>
    <w:p w14:paraId="44B7C026" w14:textId="77777777" w:rsidR="00A642E0" w:rsidRDefault="00A642E0" w:rsidP="00603B08">
      <w:pPr>
        <w:jc w:val="both"/>
        <w:rPr>
          <w:rFonts w:cs="Arial"/>
          <w:szCs w:val="22"/>
          <w:lang w:eastAsia="en-AU"/>
        </w:rPr>
      </w:pPr>
      <w:r>
        <w:rPr>
          <w:rFonts w:cs="Arial"/>
          <w:szCs w:val="22"/>
          <w:lang w:eastAsia="en-AU"/>
        </w:rPr>
        <w:t xml:space="preserve">Such an approach </w:t>
      </w:r>
      <w:r w:rsidR="00946D48">
        <w:rPr>
          <w:rFonts w:cs="Arial"/>
          <w:szCs w:val="22"/>
          <w:lang w:eastAsia="en-AU"/>
        </w:rPr>
        <w:t xml:space="preserve">would </w:t>
      </w:r>
      <w:r w:rsidR="00420E81">
        <w:rPr>
          <w:rFonts w:cs="Arial"/>
          <w:szCs w:val="22"/>
          <w:lang w:eastAsia="en-AU"/>
        </w:rPr>
        <w:t xml:space="preserve">support the Commission’s </w:t>
      </w:r>
      <w:r>
        <w:rPr>
          <w:rFonts w:cs="Arial"/>
          <w:szCs w:val="22"/>
          <w:lang w:eastAsia="en-AU"/>
        </w:rPr>
        <w:t xml:space="preserve">recommendation </w:t>
      </w:r>
      <w:r w:rsidR="00420E81">
        <w:rPr>
          <w:rFonts w:cs="Arial"/>
          <w:szCs w:val="22"/>
          <w:lang w:eastAsia="en-AU"/>
        </w:rPr>
        <w:t xml:space="preserve">that default funds should be </w:t>
      </w:r>
      <w:r>
        <w:rPr>
          <w:rFonts w:cs="Arial"/>
          <w:szCs w:val="22"/>
          <w:lang w:eastAsia="en-AU"/>
        </w:rPr>
        <w:t xml:space="preserve">designed with the intent that, unless an individual makes an informed choice, the default fund will remain the member’s superannuation fund across their lifetime. This further elevates the importance of the default fund selection mechanism. </w:t>
      </w:r>
    </w:p>
    <w:p w14:paraId="58533863" w14:textId="77777777" w:rsidR="00A642E0" w:rsidRDefault="00A642E0" w:rsidP="00603B08">
      <w:pPr>
        <w:jc w:val="both"/>
        <w:rPr>
          <w:rFonts w:cs="Arial"/>
          <w:szCs w:val="22"/>
          <w:lang w:eastAsia="en-AU"/>
        </w:rPr>
      </w:pPr>
    </w:p>
    <w:p w14:paraId="0BA70BDA" w14:textId="77777777" w:rsidR="0028180C" w:rsidRDefault="00AA3267" w:rsidP="00603B08">
      <w:pPr>
        <w:jc w:val="both"/>
        <w:rPr>
          <w:lang w:eastAsia="en-AU"/>
        </w:rPr>
      </w:pPr>
      <w:r>
        <w:rPr>
          <w:rFonts w:cs="Arial"/>
          <w:szCs w:val="22"/>
          <w:lang w:eastAsia="en-AU"/>
        </w:rPr>
        <w:t xml:space="preserve">The Commission is aware that </w:t>
      </w:r>
      <w:r w:rsidR="002F711A">
        <w:rPr>
          <w:rFonts w:cs="Arial"/>
          <w:szCs w:val="22"/>
          <w:lang w:eastAsia="en-AU"/>
        </w:rPr>
        <w:t>QSuper</w:t>
      </w:r>
      <w:r w:rsidR="006B5B69" w:rsidRPr="008A2546">
        <w:rPr>
          <w:rFonts w:cs="Arial"/>
          <w:szCs w:val="22"/>
          <w:lang w:eastAsia="en-AU"/>
        </w:rPr>
        <w:t xml:space="preserve"> </w:t>
      </w:r>
      <w:r>
        <w:rPr>
          <w:rFonts w:cs="Arial"/>
          <w:szCs w:val="22"/>
          <w:lang w:eastAsia="en-AU"/>
        </w:rPr>
        <w:t xml:space="preserve">is a strong advocate for innovation and in terms of default funds, second generation life cycle funds.  We have expanded on our views on </w:t>
      </w:r>
      <w:r w:rsidR="002C0701">
        <w:rPr>
          <w:rFonts w:cs="Arial"/>
          <w:szCs w:val="22"/>
          <w:lang w:eastAsia="en-AU"/>
        </w:rPr>
        <w:t>th</w:t>
      </w:r>
      <w:r w:rsidR="003B7A31">
        <w:rPr>
          <w:rFonts w:cs="Arial"/>
          <w:szCs w:val="22"/>
          <w:lang w:eastAsia="en-AU"/>
        </w:rPr>
        <w:t xml:space="preserve">is point </w:t>
      </w:r>
      <w:r w:rsidR="002C0701">
        <w:rPr>
          <w:rFonts w:cs="Arial"/>
          <w:szCs w:val="22"/>
          <w:lang w:eastAsia="en-AU"/>
        </w:rPr>
        <w:t xml:space="preserve">and </w:t>
      </w:r>
      <w:r w:rsidR="003B7A31">
        <w:rPr>
          <w:rFonts w:cs="Arial"/>
          <w:szCs w:val="22"/>
          <w:lang w:eastAsia="en-AU"/>
        </w:rPr>
        <w:t xml:space="preserve">the </w:t>
      </w:r>
      <w:r w:rsidR="002C0701">
        <w:rPr>
          <w:rFonts w:cs="Arial"/>
          <w:szCs w:val="22"/>
          <w:lang w:eastAsia="en-AU"/>
        </w:rPr>
        <w:t xml:space="preserve">importance of tailored insurance solutions in </w:t>
      </w:r>
      <w:r>
        <w:rPr>
          <w:rFonts w:cs="Arial"/>
          <w:szCs w:val="22"/>
          <w:lang w:eastAsia="en-AU"/>
        </w:rPr>
        <w:t>this submission</w:t>
      </w:r>
      <w:r w:rsidR="009B7D06">
        <w:rPr>
          <w:rFonts w:cs="Arial"/>
          <w:szCs w:val="22"/>
          <w:lang w:eastAsia="en-AU"/>
        </w:rPr>
        <w:t>.</w:t>
      </w:r>
      <w:r>
        <w:rPr>
          <w:rFonts w:cs="Arial"/>
          <w:szCs w:val="22"/>
          <w:lang w:eastAsia="en-AU"/>
        </w:rPr>
        <w:t xml:space="preserve"> </w:t>
      </w:r>
    </w:p>
    <w:p w14:paraId="227E7487" w14:textId="77777777" w:rsidR="0028180C" w:rsidRDefault="0028180C" w:rsidP="00603B08">
      <w:pPr>
        <w:jc w:val="both"/>
        <w:rPr>
          <w:lang w:eastAsia="en-AU"/>
        </w:rPr>
      </w:pPr>
    </w:p>
    <w:p w14:paraId="684919B6" w14:textId="77777777" w:rsidR="00F83939" w:rsidRDefault="00F83939" w:rsidP="001C590E">
      <w:pPr>
        <w:rPr>
          <w:rFonts w:cs="Arial"/>
          <w:szCs w:val="22"/>
          <w:highlight w:val="yellow"/>
          <w:u w:val="single"/>
          <w:lang w:eastAsia="en-AU"/>
        </w:rPr>
      </w:pPr>
      <w:r w:rsidRPr="00265641">
        <w:rPr>
          <w:rFonts w:cs="Arial"/>
          <w:szCs w:val="22"/>
          <w:u w:val="single"/>
          <w:lang w:eastAsia="en-AU"/>
        </w:rPr>
        <w:t xml:space="preserve">Balance Transfer </w:t>
      </w:r>
      <w:r w:rsidR="0037143D" w:rsidRPr="00265641">
        <w:rPr>
          <w:rFonts w:cs="Arial"/>
          <w:szCs w:val="22"/>
          <w:u w:val="single"/>
          <w:lang w:eastAsia="en-AU"/>
        </w:rPr>
        <w:t>Model</w:t>
      </w:r>
    </w:p>
    <w:p w14:paraId="576C3D92" w14:textId="77777777" w:rsidR="00C23AA2" w:rsidRDefault="00C23AA2" w:rsidP="001C590E">
      <w:pPr>
        <w:rPr>
          <w:rFonts w:cs="Arial"/>
          <w:szCs w:val="22"/>
          <w:u w:val="single"/>
          <w:lang w:eastAsia="en-AU"/>
        </w:rPr>
      </w:pPr>
    </w:p>
    <w:p w14:paraId="6E82FDCD" w14:textId="355C47AA" w:rsidR="00770000" w:rsidRDefault="00770000" w:rsidP="005961A0">
      <w:pPr>
        <w:jc w:val="both"/>
        <w:rPr>
          <w:rFonts w:cs="Arial"/>
          <w:szCs w:val="22"/>
          <w:lang w:eastAsia="en-AU"/>
        </w:rPr>
      </w:pPr>
      <w:r w:rsidRPr="008A2546">
        <w:rPr>
          <w:rFonts w:cs="Arial"/>
          <w:szCs w:val="22"/>
          <w:lang w:eastAsia="en-AU"/>
        </w:rPr>
        <w:t xml:space="preserve">In response to a request </w:t>
      </w:r>
      <w:r w:rsidR="0030774A" w:rsidRPr="008A2546">
        <w:rPr>
          <w:rFonts w:cs="Arial"/>
          <w:szCs w:val="22"/>
          <w:lang w:eastAsia="en-AU"/>
        </w:rPr>
        <w:t xml:space="preserve">from </w:t>
      </w:r>
      <w:r w:rsidR="00BD39B3" w:rsidRPr="008A2546">
        <w:rPr>
          <w:rFonts w:cs="Arial"/>
          <w:szCs w:val="22"/>
          <w:lang w:eastAsia="en-AU"/>
        </w:rPr>
        <w:t xml:space="preserve">Deputy Chair </w:t>
      </w:r>
      <w:r w:rsidR="0030774A" w:rsidRPr="008A2546">
        <w:rPr>
          <w:rFonts w:cs="Arial"/>
          <w:szCs w:val="22"/>
          <w:lang w:eastAsia="en-AU"/>
        </w:rPr>
        <w:t xml:space="preserve">Chester </w:t>
      </w:r>
      <w:r w:rsidRPr="008A2546">
        <w:rPr>
          <w:rFonts w:cs="Arial"/>
          <w:szCs w:val="22"/>
          <w:lang w:eastAsia="en-AU"/>
        </w:rPr>
        <w:t xml:space="preserve">during QSuper’s appearance at the </w:t>
      </w:r>
      <w:r w:rsidR="00DE009E">
        <w:rPr>
          <w:rFonts w:cs="Arial"/>
          <w:szCs w:val="22"/>
          <w:lang w:eastAsia="en-AU"/>
        </w:rPr>
        <w:t xml:space="preserve">Brisbane </w:t>
      </w:r>
      <w:r w:rsidRPr="008A2546">
        <w:rPr>
          <w:rFonts w:cs="Arial"/>
          <w:szCs w:val="22"/>
          <w:lang w:eastAsia="en-AU"/>
        </w:rPr>
        <w:t xml:space="preserve">public hearing, we have </w:t>
      </w:r>
      <w:r w:rsidR="000177C3">
        <w:rPr>
          <w:rFonts w:cs="Arial"/>
          <w:szCs w:val="22"/>
          <w:lang w:eastAsia="en-AU"/>
        </w:rPr>
        <w:t xml:space="preserve">given </w:t>
      </w:r>
      <w:r w:rsidRPr="008A2546">
        <w:rPr>
          <w:rFonts w:cs="Arial"/>
          <w:szCs w:val="22"/>
          <w:lang w:eastAsia="en-AU"/>
        </w:rPr>
        <w:t>consider</w:t>
      </w:r>
      <w:r w:rsidR="000177C3">
        <w:rPr>
          <w:rFonts w:cs="Arial"/>
          <w:szCs w:val="22"/>
          <w:lang w:eastAsia="en-AU"/>
        </w:rPr>
        <w:t>ation to</w:t>
      </w:r>
      <w:r w:rsidRPr="008A2546">
        <w:rPr>
          <w:rFonts w:cs="Arial"/>
          <w:szCs w:val="22"/>
          <w:lang w:eastAsia="en-AU"/>
        </w:rPr>
        <w:t xml:space="preserve"> a </w:t>
      </w:r>
      <w:r w:rsidR="00A0067F">
        <w:rPr>
          <w:rFonts w:cs="Arial"/>
          <w:szCs w:val="22"/>
          <w:lang w:eastAsia="en-AU"/>
        </w:rPr>
        <w:t>‘</w:t>
      </w:r>
      <w:r w:rsidRPr="008A2546">
        <w:rPr>
          <w:rFonts w:cs="Arial"/>
          <w:szCs w:val="22"/>
          <w:lang w:eastAsia="en-AU"/>
        </w:rPr>
        <w:t>balance transfer model</w:t>
      </w:r>
      <w:r w:rsidR="00A0067F">
        <w:rPr>
          <w:rFonts w:cs="Arial"/>
          <w:szCs w:val="22"/>
          <w:lang w:eastAsia="en-AU"/>
        </w:rPr>
        <w:t>’</w:t>
      </w:r>
      <w:r w:rsidRPr="008A2546">
        <w:rPr>
          <w:rFonts w:cs="Arial"/>
          <w:szCs w:val="22"/>
          <w:lang w:eastAsia="en-AU"/>
        </w:rPr>
        <w:t xml:space="preserve"> for a default for life system. </w:t>
      </w:r>
    </w:p>
    <w:p w14:paraId="324F93AA" w14:textId="77777777" w:rsidR="00EA7826" w:rsidRDefault="00EA7826" w:rsidP="005961A0">
      <w:pPr>
        <w:jc w:val="both"/>
        <w:rPr>
          <w:rFonts w:cs="Arial"/>
          <w:szCs w:val="22"/>
          <w:lang w:eastAsia="en-AU"/>
        </w:rPr>
      </w:pPr>
    </w:p>
    <w:p w14:paraId="31E0B3B4" w14:textId="246C45D9" w:rsidR="00C35E2C" w:rsidRDefault="00C35E2C" w:rsidP="005961A0">
      <w:pPr>
        <w:jc w:val="both"/>
        <w:rPr>
          <w:rFonts w:cs="Arial"/>
          <w:szCs w:val="22"/>
          <w:lang w:eastAsia="en-AU"/>
        </w:rPr>
      </w:pPr>
      <w:r>
        <w:rPr>
          <w:rFonts w:cs="Arial"/>
          <w:szCs w:val="22"/>
          <w:lang w:eastAsia="en-AU"/>
        </w:rPr>
        <w:t xml:space="preserve">In commenting on this model, our understanding is that a </w:t>
      </w:r>
      <w:r w:rsidR="00A0067F">
        <w:rPr>
          <w:rFonts w:cs="Arial"/>
          <w:szCs w:val="22"/>
          <w:lang w:eastAsia="en-AU"/>
        </w:rPr>
        <w:t>‘</w:t>
      </w:r>
      <w:r>
        <w:rPr>
          <w:rFonts w:cs="Arial"/>
          <w:szCs w:val="22"/>
          <w:lang w:eastAsia="en-AU"/>
        </w:rPr>
        <w:t>balance transfer model</w:t>
      </w:r>
      <w:r w:rsidR="00A0067F">
        <w:rPr>
          <w:rFonts w:cs="Arial"/>
          <w:szCs w:val="22"/>
          <w:lang w:eastAsia="en-AU"/>
        </w:rPr>
        <w:t>’</w:t>
      </w:r>
      <w:r>
        <w:rPr>
          <w:rFonts w:cs="Arial"/>
          <w:szCs w:val="22"/>
          <w:lang w:eastAsia="en-AU"/>
        </w:rPr>
        <w:t xml:space="preserve"> would </w:t>
      </w:r>
      <w:r w:rsidR="00EE7D2C">
        <w:rPr>
          <w:rFonts w:cs="Arial"/>
          <w:szCs w:val="22"/>
          <w:lang w:eastAsia="en-AU"/>
        </w:rPr>
        <w:t xml:space="preserve">result in </w:t>
      </w:r>
      <w:r>
        <w:rPr>
          <w:rFonts w:cs="Arial"/>
          <w:szCs w:val="22"/>
          <w:lang w:eastAsia="en-AU"/>
        </w:rPr>
        <w:t>an individual’s superannuation balance automatically transfe</w:t>
      </w:r>
      <w:r w:rsidR="00F0616E">
        <w:rPr>
          <w:rFonts w:cs="Arial"/>
          <w:szCs w:val="22"/>
          <w:lang w:eastAsia="en-AU"/>
        </w:rPr>
        <w:t>r</w:t>
      </w:r>
      <w:r>
        <w:rPr>
          <w:rFonts w:cs="Arial"/>
          <w:szCs w:val="22"/>
          <w:lang w:eastAsia="en-AU"/>
        </w:rPr>
        <w:t>r</w:t>
      </w:r>
      <w:r w:rsidR="00EE7D2C">
        <w:rPr>
          <w:rFonts w:cs="Arial"/>
          <w:szCs w:val="22"/>
          <w:lang w:eastAsia="en-AU"/>
        </w:rPr>
        <w:t>ing</w:t>
      </w:r>
      <w:r>
        <w:rPr>
          <w:rFonts w:cs="Arial"/>
          <w:szCs w:val="22"/>
          <w:lang w:eastAsia="en-AU"/>
        </w:rPr>
        <w:t xml:space="preserve"> to a new fund when the individual changes employment </w:t>
      </w:r>
      <w:r w:rsidR="00EE7D2C">
        <w:rPr>
          <w:rFonts w:cs="Arial"/>
          <w:szCs w:val="22"/>
          <w:lang w:eastAsia="en-AU"/>
        </w:rPr>
        <w:t>(</w:t>
      </w:r>
      <w:r>
        <w:rPr>
          <w:rFonts w:cs="Arial"/>
          <w:szCs w:val="22"/>
          <w:lang w:eastAsia="en-AU"/>
        </w:rPr>
        <w:t>therefore join</w:t>
      </w:r>
      <w:r w:rsidR="00EE7D2C">
        <w:rPr>
          <w:rFonts w:cs="Arial"/>
          <w:szCs w:val="22"/>
          <w:lang w:eastAsia="en-AU"/>
        </w:rPr>
        <w:t>ing</w:t>
      </w:r>
      <w:r>
        <w:rPr>
          <w:rFonts w:cs="Arial"/>
          <w:szCs w:val="22"/>
          <w:lang w:eastAsia="en-AU"/>
        </w:rPr>
        <w:t xml:space="preserve"> a new default fund</w:t>
      </w:r>
      <w:r w:rsidR="00EE7D2C">
        <w:rPr>
          <w:rFonts w:cs="Arial"/>
          <w:szCs w:val="22"/>
          <w:lang w:eastAsia="en-AU"/>
        </w:rPr>
        <w:t>)</w:t>
      </w:r>
      <w:r>
        <w:rPr>
          <w:rFonts w:cs="Arial"/>
          <w:szCs w:val="22"/>
          <w:lang w:eastAsia="en-AU"/>
        </w:rPr>
        <w:t xml:space="preserve">.  </w:t>
      </w:r>
    </w:p>
    <w:p w14:paraId="145ADD28" w14:textId="77777777" w:rsidR="00C35E2C" w:rsidRDefault="00C35E2C" w:rsidP="005961A0">
      <w:pPr>
        <w:jc w:val="both"/>
        <w:rPr>
          <w:rFonts w:cs="Arial"/>
          <w:szCs w:val="22"/>
          <w:lang w:eastAsia="en-AU"/>
        </w:rPr>
      </w:pPr>
    </w:p>
    <w:p w14:paraId="7CE2F60F" w14:textId="77777777" w:rsidR="00C35E2C" w:rsidRDefault="00C35E2C" w:rsidP="005961A0">
      <w:pPr>
        <w:jc w:val="both"/>
        <w:rPr>
          <w:rFonts w:cs="Arial"/>
          <w:szCs w:val="22"/>
          <w:lang w:eastAsia="en-AU"/>
        </w:rPr>
      </w:pPr>
      <w:r>
        <w:rPr>
          <w:rFonts w:cs="Arial"/>
          <w:szCs w:val="22"/>
          <w:lang w:eastAsia="en-AU"/>
        </w:rPr>
        <w:t>In summary</w:t>
      </w:r>
      <w:r w:rsidR="00EE7D2C">
        <w:rPr>
          <w:rFonts w:cs="Arial"/>
          <w:szCs w:val="22"/>
          <w:lang w:eastAsia="en-AU"/>
        </w:rPr>
        <w:t>,</w:t>
      </w:r>
      <w:r>
        <w:rPr>
          <w:rFonts w:cs="Arial"/>
          <w:szCs w:val="22"/>
          <w:lang w:eastAsia="en-AU"/>
        </w:rPr>
        <w:t xml:space="preserve"> QSuper question</w:t>
      </w:r>
      <w:r w:rsidR="00227578">
        <w:rPr>
          <w:rFonts w:cs="Arial"/>
          <w:szCs w:val="22"/>
          <w:lang w:eastAsia="en-AU"/>
        </w:rPr>
        <w:t>s</w:t>
      </w:r>
      <w:r>
        <w:rPr>
          <w:rFonts w:cs="Arial"/>
          <w:szCs w:val="22"/>
          <w:lang w:eastAsia="en-AU"/>
        </w:rPr>
        <w:t xml:space="preserve"> the benefits of such a model on the basis that:</w:t>
      </w:r>
    </w:p>
    <w:p w14:paraId="2A0695F0" w14:textId="77777777" w:rsidR="00C35E2C" w:rsidRDefault="00C35E2C" w:rsidP="005961A0">
      <w:pPr>
        <w:jc w:val="both"/>
        <w:rPr>
          <w:rFonts w:cs="Arial"/>
          <w:szCs w:val="22"/>
          <w:lang w:eastAsia="en-AU"/>
        </w:rPr>
      </w:pPr>
    </w:p>
    <w:p w14:paraId="59B2CEA9" w14:textId="77777777" w:rsidR="00DB657F" w:rsidRPr="00227578" w:rsidRDefault="00C35E2C" w:rsidP="009B7D06">
      <w:pPr>
        <w:pStyle w:val="ListParagraph"/>
        <w:numPr>
          <w:ilvl w:val="0"/>
          <w:numId w:val="25"/>
        </w:numPr>
        <w:jc w:val="both"/>
        <w:rPr>
          <w:rFonts w:cs="Arial"/>
          <w:szCs w:val="22"/>
          <w:lang w:eastAsia="en-AU"/>
        </w:rPr>
      </w:pPr>
      <w:r w:rsidRPr="00227578">
        <w:rPr>
          <w:rFonts w:cs="Arial"/>
          <w:szCs w:val="22"/>
          <w:lang w:eastAsia="en-AU"/>
        </w:rPr>
        <w:t xml:space="preserve">such a model would likely </w:t>
      </w:r>
      <w:r w:rsidR="00EA7826" w:rsidRPr="00C9501B">
        <w:rPr>
          <w:rFonts w:cs="Arial"/>
          <w:szCs w:val="22"/>
          <w:lang w:eastAsia="en-AU"/>
        </w:rPr>
        <w:t xml:space="preserve">further entrench disengagement </w:t>
      </w:r>
      <w:r w:rsidR="00D103CD" w:rsidRPr="00C9501B">
        <w:rPr>
          <w:rFonts w:cs="Arial"/>
          <w:szCs w:val="22"/>
          <w:lang w:eastAsia="en-AU"/>
        </w:rPr>
        <w:t xml:space="preserve">towards superannuation </w:t>
      </w:r>
      <w:r w:rsidRPr="00C9501B">
        <w:rPr>
          <w:rFonts w:cs="Arial"/>
          <w:szCs w:val="22"/>
          <w:lang w:eastAsia="en-AU"/>
        </w:rPr>
        <w:t xml:space="preserve">as the automatic transfer to a new fund when employment changes could </w:t>
      </w:r>
      <w:r w:rsidR="00227578">
        <w:rPr>
          <w:rFonts w:cs="Arial"/>
          <w:szCs w:val="22"/>
          <w:lang w:eastAsia="en-AU"/>
        </w:rPr>
        <w:t xml:space="preserve">be </w:t>
      </w:r>
      <w:r w:rsidRPr="00227578">
        <w:rPr>
          <w:rFonts w:cs="Arial"/>
          <w:szCs w:val="22"/>
          <w:lang w:eastAsia="en-AU"/>
        </w:rPr>
        <w:t xml:space="preserve">further seen as disempowering individuals from </w:t>
      </w:r>
      <w:r w:rsidR="00227578">
        <w:rPr>
          <w:rFonts w:cs="Arial"/>
          <w:szCs w:val="22"/>
          <w:lang w:eastAsia="en-AU"/>
        </w:rPr>
        <w:t xml:space="preserve">having </w:t>
      </w:r>
      <w:r w:rsidR="00DB657F" w:rsidRPr="00227578">
        <w:rPr>
          <w:rFonts w:cs="Arial"/>
          <w:szCs w:val="22"/>
          <w:lang w:eastAsia="en-AU"/>
        </w:rPr>
        <w:t xml:space="preserve">an active role in their </w:t>
      </w:r>
      <w:r w:rsidRPr="00227578">
        <w:rPr>
          <w:rFonts w:cs="Arial"/>
          <w:szCs w:val="22"/>
          <w:lang w:eastAsia="en-AU"/>
        </w:rPr>
        <w:t>superannuation</w:t>
      </w:r>
      <w:r w:rsidR="00DB657F" w:rsidRPr="00227578">
        <w:rPr>
          <w:rFonts w:cs="Arial"/>
          <w:szCs w:val="22"/>
          <w:lang w:eastAsia="en-AU"/>
        </w:rPr>
        <w:t>;</w:t>
      </w:r>
    </w:p>
    <w:p w14:paraId="3BAF0542" w14:textId="77777777" w:rsidR="00DB657F" w:rsidRDefault="00DB657F" w:rsidP="005961A0">
      <w:pPr>
        <w:jc w:val="both"/>
        <w:rPr>
          <w:rFonts w:cs="Arial"/>
          <w:szCs w:val="22"/>
          <w:lang w:eastAsia="en-AU"/>
        </w:rPr>
      </w:pPr>
    </w:p>
    <w:p w14:paraId="446982FA" w14:textId="77777777" w:rsidR="00603B08" w:rsidRPr="00C9501B" w:rsidRDefault="00DB657F" w:rsidP="009B7D06">
      <w:pPr>
        <w:pStyle w:val="ListParagraph"/>
        <w:numPr>
          <w:ilvl w:val="0"/>
          <w:numId w:val="25"/>
        </w:numPr>
        <w:jc w:val="both"/>
        <w:rPr>
          <w:rFonts w:cs="Arial"/>
          <w:szCs w:val="22"/>
          <w:lang w:eastAsia="en-AU"/>
        </w:rPr>
      </w:pPr>
      <w:r w:rsidRPr="00227578">
        <w:rPr>
          <w:rFonts w:cs="Arial"/>
          <w:szCs w:val="22"/>
          <w:lang w:eastAsia="en-AU"/>
        </w:rPr>
        <w:t xml:space="preserve">is likely to result in confusion for individuals as superannuation </w:t>
      </w:r>
      <w:r w:rsidR="00EE7D2C">
        <w:rPr>
          <w:rFonts w:cs="Arial"/>
          <w:szCs w:val="22"/>
          <w:lang w:eastAsia="en-AU"/>
        </w:rPr>
        <w:t xml:space="preserve">fund </w:t>
      </w:r>
      <w:r w:rsidRPr="00227578">
        <w:rPr>
          <w:rFonts w:cs="Arial"/>
          <w:szCs w:val="22"/>
          <w:lang w:eastAsia="en-AU"/>
        </w:rPr>
        <w:t xml:space="preserve">membership </w:t>
      </w:r>
      <w:r w:rsidR="00EE7D2C">
        <w:rPr>
          <w:rFonts w:cs="Arial"/>
          <w:szCs w:val="22"/>
          <w:lang w:eastAsia="en-AU"/>
        </w:rPr>
        <w:t xml:space="preserve">could change quite regularly for some </w:t>
      </w:r>
      <w:r w:rsidR="00227578">
        <w:rPr>
          <w:rFonts w:cs="Arial"/>
          <w:szCs w:val="22"/>
          <w:lang w:eastAsia="en-AU"/>
        </w:rPr>
        <w:t xml:space="preserve">given </w:t>
      </w:r>
      <w:r w:rsidRPr="00227578">
        <w:rPr>
          <w:rFonts w:cs="Arial"/>
          <w:szCs w:val="22"/>
          <w:lang w:eastAsia="en-AU"/>
        </w:rPr>
        <w:t>average job tenure in Australia is three years and four months</w:t>
      </w:r>
      <w:r>
        <w:rPr>
          <w:rStyle w:val="FootnoteReference"/>
          <w:rFonts w:cs="Arial"/>
          <w:szCs w:val="22"/>
          <w:lang w:eastAsia="en-AU"/>
        </w:rPr>
        <w:footnoteReference w:id="1"/>
      </w:r>
      <w:r w:rsidR="00227578">
        <w:rPr>
          <w:rFonts w:cs="Arial"/>
          <w:szCs w:val="22"/>
          <w:lang w:eastAsia="en-AU"/>
        </w:rPr>
        <w:t>;</w:t>
      </w:r>
      <w:r w:rsidRPr="00227578">
        <w:rPr>
          <w:rFonts w:cs="Arial"/>
          <w:szCs w:val="22"/>
          <w:lang w:eastAsia="en-AU"/>
        </w:rPr>
        <w:t xml:space="preserve"> </w:t>
      </w:r>
    </w:p>
    <w:p w14:paraId="1ED28E09" w14:textId="77777777" w:rsidR="00DB657F" w:rsidRDefault="00DB657F" w:rsidP="005961A0">
      <w:pPr>
        <w:jc w:val="both"/>
        <w:rPr>
          <w:rFonts w:cs="Arial"/>
          <w:szCs w:val="22"/>
          <w:lang w:eastAsia="en-AU"/>
        </w:rPr>
      </w:pPr>
    </w:p>
    <w:p w14:paraId="0E9FA140" w14:textId="77777777" w:rsidR="00DB657F" w:rsidRPr="00227578" w:rsidRDefault="00DB657F" w:rsidP="009B7D06">
      <w:pPr>
        <w:pStyle w:val="ListParagraph"/>
        <w:numPr>
          <w:ilvl w:val="0"/>
          <w:numId w:val="25"/>
        </w:numPr>
        <w:jc w:val="both"/>
        <w:rPr>
          <w:rFonts w:cs="Arial"/>
          <w:szCs w:val="22"/>
          <w:lang w:eastAsia="en-AU"/>
        </w:rPr>
      </w:pPr>
      <w:r w:rsidRPr="00227578">
        <w:rPr>
          <w:rFonts w:cs="Arial"/>
          <w:szCs w:val="22"/>
          <w:lang w:eastAsia="en-AU"/>
        </w:rPr>
        <w:t>there may be unintended insurance outcomes which can be dependent on a member’s individual circumstances</w:t>
      </w:r>
      <w:r w:rsidR="00227578">
        <w:rPr>
          <w:rFonts w:cs="Arial"/>
          <w:szCs w:val="22"/>
          <w:lang w:eastAsia="en-AU"/>
        </w:rPr>
        <w:t>;</w:t>
      </w:r>
      <w:r w:rsidRPr="00227578">
        <w:rPr>
          <w:rFonts w:cs="Arial"/>
          <w:szCs w:val="22"/>
          <w:lang w:eastAsia="en-AU"/>
        </w:rPr>
        <w:t xml:space="preserve"> </w:t>
      </w:r>
    </w:p>
    <w:p w14:paraId="1CF9CDA6" w14:textId="77777777" w:rsidR="00D103CD" w:rsidRPr="009B7D06" w:rsidRDefault="00D103CD" w:rsidP="0080674C">
      <w:pPr>
        <w:pStyle w:val="ListParagraph"/>
        <w:jc w:val="both"/>
        <w:rPr>
          <w:rFonts w:cs="Arial"/>
          <w:szCs w:val="22"/>
          <w:lang w:eastAsia="en-AU"/>
        </w:rPr>
      </w:pPr>
    </w:p>
    <w:p w14:paraId="36531207" w14:textId="77777777" w:rsidR="000C4C08" w:rsidRPr="00C9501B" w:rsidRDefault="00A355B4" w:rsidP="009B7D06">
      <w:pPr>
        <w:pStyle w:val="ListParagraph"/>
        <w:numPr>
          <w:ilvl w:val="0"/>
          <w:numId w:val="25"/>
        </w:numPr>
        <w:jc w:val="both"/>
        <w:rPr>
          <w:rFonts w:cs="Arial"/>
          <w:szCs w:val="22"/>
          <w:lang w:eastAsia="en-AU"/>
        </w:rPr>
      </w:pPr>
      <w:r w:rsidRPr="009B7D06">
        <w:rPr>
          <w:rFonts w:cs="Arial"/>
          <w:szCs w:val="22"/>
          <w:lang w:eastAsia="en-AU"/>
        </w:rPr>
        <w:t>transition</w:t>
      </w:r>
      <w:r w:rsidR="00DB657F" w:rsidRPr="009B7D06">
        <w:rPr>
          <w:rFonts w:cs="Arial"/>
          <w:szCs w:val="22"/>
          <w:lang w:eastAsia="en-AU"/>
        </w:rPr>
        <w:t>ing</w:t>
      </w:r>
      <w:r w:rsidRPr="009B7D06">
        <w:rPr>
          <w:rFonts w:cs="Arial"/>
          <w:szCs w:val="22"/>
          <w:lang w:eastAsia="en-AU"/>
        </w:rPr>
        <w:t xml:space="preserve"> between two funds that provide </w:t>
      </w:r>
      <w:r w:rsidR="00DB657F" w:rsidRPr="009B7D06">
        <w:rPr>
          <w:rFonts w:cs="Arial"/>
          <w:szCs w:val="22"/>
          <w:lang w:eastAsia="en-AU"/>
        </w:rPr>
        <w:t xml:space="preserve">a similar </w:t>
      </w:r>
      <w:r w:rsidRPr="009B7D06">
        <w:rPr>
          <w:rFonts w:cs="Arial"/>
          <w:szCs w:val="22"/>
          <w:lang w:eastAsia="en-AU"/>
        </w:rPr>
        <w:t>one-size-fits all proposition</w:t>
      </w:r>
      <w:r w:rsidR="00DB657F" w:rsidRPr="009B7D06">
        <w:rPr>
          <w:rFonts w:cs="Arial"/>
          <w:szCs w:val="22"/>
          <w:lang w:eastAsia="en-AU"/>
        </w:rPr>
        <w:t xml:space="preserve"> </w:t>
      </w:r>
      <w:r w:rsidR="00C34F27" w:rsidRPr="009B7D06">
        <w:rPr>
          <w:rFonts w:cs="Arial"/>
          <w:szCs w:val="22"/>
          <w:lang w:eastAsia="en-AU"/>
        </w:rPr>
        <w:t xml:space="preserve">may not deliver any </w:t>
      </w:r>
      <w:r w:rsidRPr="009B7D06">
        <w:rPr>
          <w:rFonts w:cs="Arial"/>
          <w:szCs w:val="22"/>
          <w:lang w:eastAsia="en-AU"/>
        </w:rPr>
        <w:t>additional benefit to the member</w:t>
      </w:r>
      <w:r w:rsidR="00C34F27" w:rsidRPr="009B7D06">
        <w:rPr>
          <w:rFonts w:cs="Arial"/>
          <w:szCs w:val="22"/>
          <w:lang w:eastAsia="en-AU"/>
        </w:rPr>
        <w:t xml:space="preserve"> </w:t>
      </w:r>
      <w:r w:rsidR="00C9501B">
        <w:rPr>
          <w:rFonts w:cs="Arial"/>
          <w:szCs w:val="22"/>
          <w:lang w:eastAsia="en-AU"/>
        </w:rPr>
        <w:t xml:space="preserve">and therefore would not </w:t>
      </w:r>
      <w:r w:rsidR="00C34F27" w:rsidRPr="00C9501B">
        <w:rPr>
          <w:rFonts w:cs="Arial"/>
          <w:szCs w:val="22"/>
          <w:lang w:eastAsia="en-AU"/>
        </w:rPr>
        <w:t>outweigh the issues raised above</w:t>
      </w:r>
      <w:r w:rsidR="00227578">
        <w:rPr>
          <w:rFonts w:cs="Arial"/>
          <w:szCs w:val="22"/>
          <w:lang w:eastAsia="en-AU"/>
        </w:rPr>
        <w:t>;</w:t>
      </w:r>
    </w:p>
    <w:p w14:paraId="2BE75D47" w14:textId="77777777" w:rsidR="00B13591" w:rsidRPr="008A2546" w:rsidRDefault="00B13591" w:rsidP="005961A0">
      <w:pPr>
        <w:jc w:val="both"/>
        <w:rPr>
          <w:rFonts w:cs="Arial"/>
          <w:szCs w:val="22"/>
          <w:lang w:eastAsia="en-AU"/>
        </w:rPr>
      </w:pPr>
    </w:p>
    <w:p w14:paraId="65F23240" w14:textId="77777777" w:rsidR="000C4C08" w:rsidRPr="00C9501B" w:rsidRDefault="00C34F27" w:rsidP="009B7D06">
      <w:pPr>
        <w:pStyle w:val="ListParagraph"/>
        <w:numPr>
          <w:ilvl w:val="0"/>
          <w:numId w:val="25"/>
        </w:numPr>
        <w:jc w:val="both"/>
        <w:rPr>
          <w:rFonts w:cs="Arial"/>
          <w:szCs w:val="22"/>
          <w:lang w:eastAsia="en-AU"/>
        </w:rPr>
      </w:pPr>
      <w:r w:rsidRPr="00227578">
        <w:rPr>
          <w:rFonts w:cs="Arial"/>
          <w:szCs w:val="22"/>
          <w:lang w:eastAsia="en-AU"/>
        </w:rPr>
        <w:t xml:space="preserve">fund transaction costs would increase to facilitate the </w:t>
      </w:r>
      <w:r w:rsidR="00C9501B">
        <w:rPr>
          <w:rFonts w:cs="Arial"/>
          <w:szCs w:val="22"/>
          <w:lang w:eastAsia="en-AU"/>
        </w:rPr>
        <w:t xml:space="preserve">ongoing </w:t>
      </w:r>
      <w:r w:rsidRPr="00227578">
        <w:rPr>
          <w:rFonts w:cs="Arial"/>
          <w:szCs w:val="22"/>
          <w:lang w:eastAsia="en-AU"/>
        </w:rPr>
        <w:t xml:space="preserve">transfers, with the costs borne by remaining members; </w:t>
      </w:r>
    </w:p>
    <w:p w14:paraId="177EA9B4" w14:textId="77777777" w:rsidR="0030774A" w:rsidRPr="008A2546" w:rsidRDefault="0030774A" w:rsidP="005961A0">
      <w:pPr>
        <w:jc w:val="both"/>
        <w:rPr>
          <w:rFonts w:cs="Arial"/>
          <w:szCs w:val="22"/>
          <w:lang w:eastAsia="en-AU"/>
        </w:rPr>
      </w:pPr>
    </w:p>
    <w:p w14:paraId="714119CE" w14:textId="03082E45" w:rsidR="00BB6F30" w:rsidRPr="00227578" w:rsidRDefault="00C34F27" w:rsidP="009B7D06">
      <w:pPr>
        <w:pStyle w:val="ListParagraph"/>
        <w:numPr>
          <w:ilvl w:val="0"/>
          <w:numId w:val="25"/>
        </w:numPr>
        <w:jc w:val="both"/>
        <w:rPr>
          <w:rFonts w:cs="Arial"/>
          <w:sz w:val="24"/>
          <w:szCs w:val="22"/>
          <w:u w:val="single"/>
          <w:lang w:eastAsia="en-AU"/>
        </w:rPr>
      </w:pPr>
      <w:r w:rsidRPr="00227578">
        <w:rPr>
          <w:rFonts w:cs="Arial"/>
          <w:szCs w:val="22"/>
          <w:lang w:eastAsia="en-AU"/>
        </w:rPr>
        <w:t>f</w:t>
      </w:r>
      <w:r w:rsidR="00AF65A1" w:rsidRPr="00227578">
        <w:rPr>
          <w:rFonts w:cs="Arial"/>
          <w:szCs w:val="22"/>
          <w:lang w:eastAsia="en-AU"/>
        </w:rPr>
        <w:t>inally</w:t>
      </w:r>
      <w:r w:rsidR="0030774A" w:rsidRPr="00C9501B">
        <w:rPr>
          <w:rFonts w:cs="Arial"/>
          <w:szCs w:val="22"/>
          <w:lang w:eastAsia="en-AU"/>
        </w:rPr>
        <w:t xml:space="preserve">, </w:t>
      </w:r>
      <w:r w:rsidR="00D103CD" w:rsidRPr="00C9501B">
        <w:rPr>
          <w:rFonts w:cs="Arial"/>
          <w:szCs w:val="22"/>
          <w:lang w:eastAsia="en-AU"/>
        </w:rPr>
        <w:t>s</w:t>
      </w:r>
      <w:r w:rsidR="006D6E1D" w:rsidRPr="009B7D06">
        <w:rPr>
          <w:color w:val="000000"/>
        </w:rPr>
        <w:t xml:space="preserve">ome funds such as QSuper, return the tax provisioned </w:t>
      </w:r>
      <w:r w:rsidR="00355C20" w:rsidRPr="009B7D06">
        <w:rPr>
          <w:color w:val="000000"/>
        </w:rPr>
        <w:t xml:space="preserve">during the accumulation phase to members </w:t>
      </w:r>
      <w:r w:rsidR="006D6E1D" w:rsidRPr="009B7D06">
        <w:rPr>
          <w:color w:val="000000"/>
        </w:rPr>
        <w:t xml:space="preserve">when they commence </w:t>
      </w:r>
      <w:r w:rsidR="00355C20" w:rsidRPr="009B7D06">
        <w:rPr>
          <w:color w:val="000000"/>
        </w:rPr>
        <w:t xml:space="preserve">a Pension </w:t>
      </w:r>
      <w:r w:rsidR="006D6E1D" w:rsidRPr="009B7D06">
        <w:rPr>
          <w:color w:val="000000"/>
        </w:rPr>
        <w:t>account.</w:t>
      </w:r>
      <w:r w:rsidR="00355C20" w:rsidRPr="009B7D06">
        <w:rPr>
          <w:color w:val="000000"/>
        </w:rPr>
        <w:t xml:space="preserve"> In QSuper's case</w:t>
      </w:r>
      <w:r w:rsidR="00EE7D2C">
        <w:rPr>
          <w:color w:val="000000"/>
        </w:rPr>
        <w:t>,</w:t>
      </w:r>
      <w:r w:rsidR="00355C20" w:rsidRPr="009B7D06">
        <w:rPr>
          <w:color w:val="000000"/>
        </w:rPr>
        <w:t xml:space="preserve"> this is called the Income Account Transfer Bonus.</w:t>
      </w:r>
      <w:r w:rsidR="006D6E1D" w:rsidRPr="009B7D06">
        <w:rPr>
          <w:color w:val="000000"/>
        </w:rPr>
        <w:t xml:space="preserve"> The amount returned will typically depend on the length of time the member has </w:t>
      </w:r>
      <w:r w:rsidRPr="009B7D06">
        <w:rPr>
          <w:color w:val="000000"/>
        </w:rPr>
        <w:t xml:space="preserve">been with </w:t>
      </w:r>
      <w:r w:rsidR="006D6E1D" w:rsidRPr="009B7D06">
        <w:rPr>
          <w:color w:val="000000"/>
        </w:rPr>
        <w:t xml:space="preserve">the fund and the performance of growth assets within the fund. </w:t>
      </w:r>
      <w:r w:rsidRPr="009B7D06">
        <w:rPr>
          <w:color w:val="000000"/>
        </w:rPr>
        <w:t>I</w:t>
      </w:r>
      <w:r w:rsidR="000E72D4" w:rsidRPr="009B7D06">
        <w:rPr>
          <w:color w:val="000000"/>
        </w:rPr>
        <w:t xml:space="preserve">n a </w:t>
      </w:r>
      <w:r w:rsidR="00A0067F">
        <w:rPr>
          <w:color w:val="000000"/>
        </w:rPr>
        <w:t>‘</w:t>
      </w:r>
      <w:r w:rsidR="009F0DF7" w:rsidRPr="009B7D06">
        <w:rPr>
          <w:color w:val="000000"/>
        </w:rPr>
        <w:t>balance transfer default</w:t>
      </w:r>
      <w:r w:rsidR="00A0067F">
        <w:rPr>
          <w:color w:val="000000"/>
        </w:rPr>
        <w:t>’</w:t>
      </w:r>
      <w:r w:rsidR="009F0DF7" w:rsidRPr="009B7D06">
        <w:rPr>
          <w:color w:val="000000"/>
        </w:rPr>
        <w:t xml:space="preserve"> system </w:t>
      </w:r>
      <w:r w:rsidR="000E72D4" w:rsidRPr="009B7D06">
        <w:rPr>
          <w:color w:val="000000"/>
        </w:rPr>
        <w:t xml:space="preserve">access to such a facility may be </w:t>
      </w:r>
      <w:r w:rsidR="00C9501B">
        <w:rPr>
          <w:color w:val="000000"/>
        </w:rPr>
        <w:t xml:space="preserve">significantly </w:t>
      </w:r>
      <w:r w:rsidR="000E72D4" w:rsidRPr="009B7D06">
        <w:rPr>
          <w:color w:val="000000"/>
        </w:rPr>
        <w:t xml:space="preserve">impacted where </w:t>
      </w:r>
      <w:r w:rsidR="009F0DF7" w:rsidRPr="009B7D06">
        <w:rPr>
          <w:color w:val="000000"/>
        </w:rPr>
        <w:t>a member</w:t>
      </w:r>
      <w:r w:rsidR="00AF65A1" w:rsidRPr="009B7D06">
        <w:rPr>
          <w:color w:val="000000"/>
        </w:rPr>
        <w:t>’</w:t>
      </w:r>
      <w:r w:rsidR="009F0DF7" w:rsidRPr="009B7D06">
        <w:rPr>
          <w:color w:val="000000"/>
        </w:rPr>
        <w:t xml:space="preserve">s </w:t>
      </w:r>
      <w:r w:rsidR="006D6E1D" w:rsidRPr="009B7D06">
        <w:rPr>
          <w:color w:val="000000"/>
        </w:rPr>
        <w:t xml:space="preserve">superannuation balance is transferred to </w:t>
      </w:r>
      <w:r w:rsidR="000E72D4" w:rsidRPr="009B7D06">
        <w:rPr>
          <w:color w:val="000000"/>
        </w:rPr>
        <w:t>a fund that does not provide such a benefit</w:t>
      </w:r>
      <w:r w:rsidR="00EE7D2C">
        <w:rPr>
          <w:color w:val="000000"/>
        </w:rPr>
        <w:t>,</w:t>
      </w:r>
      <w:r w:rsidR="000E72D4" w:rsidRPr="009B7D06">
        <w:rPr>
          <w:color w:val="000000"/>
        </w:rPr>
        <w:t xml:space="preserve"> or where the member</w:t>
      </w:r>
      <w:r w:rsidR="00C9501B">
        <w:rPr>
          <w:color w:val="000000"/>
        </w:rPr>
        <w:t>’</w:t>
      </w:r>
      <w:r w:rsidR="000E72D4" w:rsidRPr="009B7D06">
        <w:rPr>
          <w:color w:val="000000"/>
        </w:rPr>
        <w:t>s balance within the fund in question is only recent</w:t>
      </w:r>
      <w:r w:rsidR="00EE7D2C">
        <w:rPr>
          <w:color w:val="000000"/>
        </w:rPr>
        <w:t>,</w:t>
      </w:r>
      <w:r w:rsidR="000E72D4" w:rsidRPr="009B7D06">
        <w:rPr>
          <w:color w:val="000000"/>
        </w:rPr>
        <w:t xml:space="preserve"> the potential </w:t>
      </w:r>
      <w:r w:rsidR="00A0067F">
        <w:rPr>
          <w:color w:val="000000"/>
        </w:rPr>
        <w:t>‘</w:t>
      </w:r>
      <w:r w:rsidR="000E72D4" w:rsidRPr="009B7D06">
        <w:rPr>
          <w:color w:val="000000"/>
        </w:rPr>
        <w:t>tax refund</w:t>
      </w:r>
      <w:r w:rsidR="00A0067F">
        <w:rPr>
          <w:color w:val="000000"/>
        </w:rPr>
        <w:t>’</w:t>
      </w:r>
      <w:r w:rsidR="000E72D4" w:rsidRPr="009B7D06">
        <w:rPr>
          <w:color w:val="000000"/>
        </w:rPr>
        <w:t xml:space="preserve"> to the pension account</w:t>
      </w:r>
      <w:r w:rsidR="00EE7D2C">
        <w:rPr>
          <w:color w:val="000000"/>
        </w:rPr>
        <w:t xml:space="preserve"> would be </w:t>
      </w:r>
      <w:r w:rsidR="000E72D4" w:rsidRPr="009B7D06">
        <w:rPr>
          <w:color w:val="000000"/>
        </w:rPr>
        <w:t xml:space="preserve">quite small. </w:t>
      </w:r>
    </w:p>
    <w:p w14:paraId="6987F59C" w14:textId="77777777" w:rsidR="00BB6F30" w:rsidRDefault="00BB6F30">
      <w:pPr>
        <w:jc w:val="both"/>
        <w:rPr>
          <w:rFonts w:cs="Arial"/>
          <w:sz w:val="24"/>
          <w:szCs w:val="22"/>
          <w:u w:val="single"/>
          <w:lang w:eastAsia="en-AU"/>
        </w:rPr>
      </w:pPr>
    </w:p>
    <w:p w14:paraId="1FE65297" w14:textId="18A3E599" w:rsidR="00770000" w:rsidRPr="00EA7826" w:rsidRDefault="00BB6F30" w:rsidP="005961A0">
      <w:pPr>
        <w:jc w:val="both"/>
        <w:rPr>
          <w:rFonts w:cs="Arial"/>
          <w:sz w:val="24"/>
          <w:szCs w:val="22"/>
          <w:lang w:eastAsia="en-AU"/>
        </w:rPr>
      </w:pPr>
      <w:r w:rsidRPr="00EA7826">
        <w:rPr>
          <w:rFonts w:cs="Arial"/>
          <w:szCs w:val="22"/>
          <w:lang w:eastAsia="en-AU"/>
        </w:rPr>
        <w:t xml:space="preserve">For these reasons, QSuper does not support a </w:t>
      </w:r>
      <w:r w:rsidR="00A0067F">
        <w:rPr>
          <w:rFonts w:cs="Arial"/>
          <w:szCs w:val="22"/>
          <w:lang w:eastAsia="en-AU"/>
        </w:rPr>
        <w:t>‘</w:t>
      </w:r>
      <w:r w:rsidRPr="00EA7826">
        <w:rPr>
          <w:rFonts w:cs="Arial"/>
          <w:szCs w:val="22"/>
          <w:lang w:eastAsia="en-AU"/>
        </w:rPr>
        <w:t>balance transfer</w:t>
      </w:r>
      <w:r w:rsidR="00A0067F">
        <w:rPr>
          <w:rFonts w:cs="Arial"/>
          <w:szCs w:val="22"/>
          <w:lang w:eastAsia="en-AU"/>
        </w:rPr>
        <w:t>’</w:t>
      </w:r>
      <w:r w:rsidRPr="00EA7826">
        <w:rPr>
          <w:rFonts w:cs="Arial"/>
          <w:szCs w:val="22"/>
          <w:lang w:eastAsia="en-AU"/>
        </w:rPr>
        <w:t xml:space="preserve"> model.</w:t>
      </w:r>
      <w:r w:rsidR="000C4C08" w:rsidRPr="00EA7826">
        <w:rPr>
          <w:rFonts w:cs="Arial"/>
          <w:szCs w:val="22"/>
          <w:lang w:eastAsia="en-AU"/>
        </w:rPr>
        <w:t xml:space="preserve">  </w:t>
      </w:r>
      <w:r w:rsidR="00770000" w:rsidRPr="00EA7826">
        <w:rPr>
          <w:rFonts w:cs="Arial"/>
          <w:szCs w:val="22"/>
          <w:lang w:eastAsia="en-AU"/>
        </w:rPr>
        <w:t xml:space="preserve">      </w:t>
      </w:r>
    </w:p>
    <w:p w14:paraId="61FB3A6D" w14:textId="77777777" w:rsidR="002B1E86" w:rsidRDefault="0037143D" w:rsidP="00F83939">
      <w:pPr>
        <w:rPr>
          <w:rFonts w:cs="Arial"/>
          <w:szCs w:val="22"/>
          <w:u w:val="single"/>
          <w:lang w:eastAsia="en-AU"/>
        </w:rPr>
      </w:pPr>
      <w:r>
        <w:rPr>
          <w:noProof/>
          <w:lang w:eastAsia="en-AU"/>
        </w:rPr>
        <mc:AlternateContent>
          <mc:Choice Requires="wps">
            <w:drawing>
              <wp:anchor distT="45720" distB="45720" distL="114300" distR="114300" simplePos="0" relativeHeight="251661312" behindDoc="0" locked="0" layoutInCell="1" allowOverlap="1" wp14:anchorId="07A09C90" wp14:editId="37A30566">
                <wp:simplePos x="0" y="0"/>
                <wp:positionH relativeFrom="margin">
                  <wp:posOffset>0</wp:posOffset>
                </wp:positionH>
                <wp:positionV relativeFrom="paragraph">
                  <wp:posOffset>205105</wp:posOffset>
                </wp:positionV>
                <wp:extent cx="5708650" cy="1404620"/>
                <wp:effectExtent l="0" t="0" r="25400" b="266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ysClr val="window" lastClr="FFFFFF">
                            <a:lumMod val="95000"/>
                          </a:sysClr>
                        </a:solidFill>
                        <a:ln w="9525">
                          <a:solidFill>
                            <a:srgbClr val="000000"/>
                          </a:solidFill>
                          <a:miter lim="800000"/>
                          <a:headEnd/>
                          <a:tailEnd/>
                        </a:ln>
                      </wps:spPr>
                      <wps:txbx>
                        <w:txbxContent>
                          <w:p w14:paraId="0F40B162" w14:textId="366ECC0B" w:rsidR="00127153" w:rsidRPr="0037143D" w:rsidRDefault="00127153" w:rsidP="0037143D">
                            <w:pPr>
                              <w:rPr>
                                <w:u w:val="single"/>
                              </w:rPr>
                            </w:pPr>
                            <w:r>
                              <w:rPr>
                                <w:u w:val="single"/>
                              </w:rPr>
                              <w:t xml:space="preserve">Recommendation 2: </w:t>
                            </w:r>
                            <w:r w:rsidRPr="0037143D">
                              <w:rPr>
                                <w:u w:val="single"/>
                              </w:rPr>
                              <w:t>‘</w:t>
                            </w:r>
                            <w:r>
                              <w:rPr>
                                <w:u w:val="single"/>
                              </w:rPr>
                              <w:t>Best-in-show</w:t>
                            </w:r>
                            <w:r w:rsidRPr="0037143D">
                              <w:rPr>
                                <w:u w:val="single"/>
                              </w:rPr>
                              <w:t>’ Shortlist For New Members</w:t>
                            </w:r>
                          </w:p>
                          <w:p w14:paraId="3FE1C3DC" w14:textId="77777777" w:rsidR="00127153" w:rsidRPr="00D1756F" w:rsidRDefault="00127153" w:rsidP="0037143D">
                            <w:pPr>
                              <w:rPr>
                                <w:i/>
                              </w:rPr>
                            </w:pPr>
                            <w:r w:rsidRPr="00D1756F">
                              <w:rPr>
                                <w:i/>
                              </w:rPr>
                              <w:t>A single shortlist of up to 10 superannuation products should be presented to all members who are new to the workforce (or do not have a superannuation account), from which they can choose a product. Clear and comparable information on the key features of each shortlisted product should also be presented. Members should not be prevented from choosing any other fund (including an SMSF).</w:t>
                            </w:r>
                          </w:p>
                          <w:p w14:paraId="53239ECB" w14:textId="77777777" w:rsidR="00127153" w:rsidRPr="00D1756F" w:rsidRDefault="00127153" w:rsidP="0037143D">
                            <w:pPr>
                              <w:rPr>
                                <w:i/>
                              </w:rPr>
                            </w:pPr>
                            <w:r w:rsidRPr="00D1756F">
                              <w:rPr>
                                <w:i/>
                              </w:rPr>
                              <w:t>Any member who fails to make a choice within 60 days should be defaulted to one of the products on the shortlist, selected via sequential allocation.</w:t>
                            </w:r>
                          </w:p>
                          <w:p w14:paraId="188FC3B7" w14:textId="77777777" w:rsidR="00127153" w:rsidRDefault="00127153" w:rsidP="0037143D">
                            <w:r w:rsidRPr="00D1756F">
                              <w:rPr>
                                <w:i/>
                              </w:rPr>
                              <w:t>The ATO should embed the shortlist and accompanying information into the centralised online service.</w:t>
                            </w:r>
                            <w:r w:rsidRPr="00265641">
                              <w:rPr>
                                <w:i/>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A09C90" id="Text Box 3" o:spid="_x0000_s1027" type="#_x0000_t202" style="position:absolute;margin-left:0;margin-top:16.15pt;width:449.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hBMRAIAAH0EAAAOAAAAZHJzL2Uyb0RvYy54bWysVMtu2zAQvBfoPxC8N5IdO3GEyEGa1EWB&#10;9AEk/YA1RVlESS5L0pbcr++SchynvRX1QSC5y9nZGa6vbwaj2U76oNDWfHJWciatwEbZTc2/P63e&#10;LTgLEWwDGq2s+V4GfrN8++a6d5WcYoe6kZ4RiA1V72rexeiqogiikwbCGTppKdiiNxBp6zdF46En&#10;dKOLaVleFD36xnkUMgQ6vR+DfJnx21aK+LVtg4xM15y4xfz1+btO32J5DdXGg+uUONCAf2BhQFkq&#10;eoS6hwhs69VfUEYJjwHbeCbQFNi2SsjcA3UzKf/o5rEDJ3MvJE5wR5nC/4MVX3bfPFNNzc85s2DI&#10;oic5RPYeB3ae1OldqCjp0VFaHOiYXM6dBveA4kdgFu86sBt56z32nYSG2E3SzeLk6ogTEsi6/4wN&#10;lYFtxAw0tN4k6UgMRujk0v7oTKIi6HB+WS4u5hQSFJvMytnFNHtXQPV83fkQP0o0LC1q7sn6DA+7&#10;hxATHaieU1K1gFo1K6V13uzDnfZsB/RK6HE12HOmIUQ6rPkq/zKW3hoiP+ZdzcvymUPI93ONV7ja&#10;sr7mV/PpfJTsVU2/WR+LEtQJ2mmaUZEGRCtT88UxCaok9Afb5OcbQelxTT1qe1A+iT3KHof1kC3O&#10;tiRX1tjsyQqP4zzQ/NKiQ/+Ls55moebh5xa8JBE+WbLzajKbpeHJm9n8krRn/jSyPo2AFQRV88jZ&#10;uLyLeeCy0O6WbF+pbMgLkwNleuNZw8M8piE63eesl3+N5W8AAAD//wMAUEsDBBQABgAIAAAAIQCo&#10;8Ess2wAAAAcBAAAPAAAAZHJzL2Rvd25yZXYueG1sTI/BTsMwEETvSPyDtUhcEHWa0KoJcaqAgHsK&#10;H+DGSxKw11HspuHvWU70uDOjmbflfnFWzDiFwZOC9SoBgdR6M1Cn4OP99X4HIkRNRltPqOAHA+yr&#10;66tSF8afqcH5EDvBJRQKraCPcSykDG2PToeVH5HY+/ST05HPqZNm0mcud1amSbKVTg/EC70e8bnH&#10;9vtwcgrGly+Zv92RNXXdbPHBPq3nuVHq9mapH0FEXOJ/GP7wGR0qZjr6E5kgrAJ+JCrI0gwEu7s8&#10;Z+GoIN1kG5BVKS/5q18AAAD//wMAUEsBAi0AFAAGAAgAAAAhALaDOJL+AAAA4QEAABMAAAAAAAAA&#10;AAAAAAAAAAAAAFtDb250ZW50X1R5cGVzXS54bWxQSwECLQAUAAYACAAAACEAOP0h/9YAAACUAQAA&#10;CwAAAAAAAAAAAAAAAAAvAQAAX3JlbHMvLnJlbHNQSwECLQAUAAYACAAAACEAcWoQTEQCAAB9BAAA&#10;DgAAAAAAAAAAAAAAAAAuAgAAZHJzL2Uyb0RvYy54bWxQSwECLQAUAAYACAAAACEAqPBLLNsAAAAH&#10;AQAADwAAAAAAAAAAAAAAAACeBAAAZHJzL2Rvd25yZXYueG1sUEsFBgAAAAAEAAQA8wAAAKYFAAAA&#10;AA==&#10;" fillcolor="#f2f2f2">
                <v:textbox style="mso-fit-shape-to-text:t">
                  <w:txbxContent>
                    <w:p w14:paraId="0F40B162" w14:textId="366ECC0B" w:rsidR="00127153" w:rsidRPr="0037143D" w:rsidRDefault="00127153" w:rsidP="0037143D">
                      <w:pPr>
                        <w:rPr>
                          <w:u w:val="single"/>
                        </w:rPr>
                      </w:pPr>
                      <w:r>
                        <w:rPr>
                          <w:u w:val="single"/>
                        </w:rPr>
                        <w:t xml:space="preserve">Recommendation 2: </w:t>
                      </w:r>
                      <w:r w:rsidRPr="0037143D">
                        <w:rPr>
                          <w:u w:val="single"/>
                        </w:rPr>
                        <w:t>‘</w:t>
                      </w:r>
                      <w:r>
                        <w:rPr>
                          <w:u w:val="single"/>
                        </w:rPr>
                        <w:t>Best-in-show</w:t>
                      </w:r>
                      <w:r w:rsidRPr="0037143D">
                        <w:rPr>
                          <w:u w:val="single"/>
                        </w:rPr>
                        <w:t xml:space="preserve">’ Shortlist </w:t>
                      </w:r>
                      <w:proofErr w:type="gramStart"/>
                      <w:r w:rsidRPr="0037143D">
                        <w:rPr>
                          <w:u w:val="single"/>
                        </w:rPr>
                        <w:t>For</w:t>
                      </w:r>
                      <w:proofErr w:type="gramEnd"/>
                      <w:r w:rsidRPr="0037143D">
                        <w:rPr>
                          <w:u w:val="single"/>
                        </w:rPr>
                        <w:t xml:space="preserve"> New Members</w:t>
                      </w:r>
                    </w:p>
                    <w:p w14:paraId="3FE1C3DC" w14:textId="77777777" w:rsidR="00127153" w:rsidRPr="00D1756F" w:rsidRDefault="00127153" w:rsidP="0037143D">
                      <w:pPr>
                        <w:rPr>
                          <w:i/>
                        </w:rPr>
                      </w:pPr>
                      <w:r w:rsidRPr="00D1756F">
                        <w:rPr>
                          <w:i/>
                        </w:rPr>
                        <w:t>A single shortlist of up to 10 superannuation products should be presented to all members who are new to the workforce (or do not have a superannuation account), from which they can choose a product. Clear and comparable information on the key features of each shortlisted product should also be presented. Members should not be prevented from choosing any other fund (including an SMSF).</w:t>
                      </w:r>
                    </w:p>
                    <w:p w14:paraId="53239ECB" w14:textId="77777777" w:rsidR="00127153" w:rsidRPr="00D1756F" w:rsidRDefault="00127153" w:rsidP="0037143D">
                      <w:pPr>
                        <w:rPr>
                          <w:i/>
                        </w:rPr>
                      </w:pPr>
                      <w:r w:rsidRPr="00D1756F">
                        <w:rPr>
                          <w:i/>
                        </w:rPr>
                        <w:t>Any member who fails to make a choice within 60 days should be defaulted to one of the products on the shortlist, selected via sequential allocation.</w:t>
                      </w:r>
                    </w:p>
                    <w:p w14:paraId="188FC3B7" w14:textId="77777777" w:rsidR="00127153" w:rsidRDefault="00127153" w:rsidP="0037143D">
                      <w:r w:rsidRPr="00D1756F">
                        <w:rPr>
                          <w:i/>
                        </w:rPr>
                        <w:t>The ATO should embed the shortlist and accompanying information into the centralised online service.</w:t>
                      </w:r>
                      <w:r w:rsidRPr="00265641">
                        <w:rPr>
                          <w:i/>
                        </w:rPr>
                        <w:t xml:space="preserve"> </w:t>
                      </w:r>
                    </w:p>
                  </w:txbxContent>
                </v:textbox>
                <w10:wrap type="square" anchorx="margin"/>
              </v:shape>
            </w:pict>
          </mc:Fallback>
        </mc:AlternateContent>
      </w:r>
    </w:p>
    <w:p w14:paraId="7DFD640D" w14:textId="77777777" w:rsidR="008816C6" w:rsidRDefault="00D77034" w:rsidP="005961A0">
      <w:pPr>
        <w:jc w:val="both"/>
        <w:rPr>
          <w:rFonts w:cs="Arial"/>
          <w:szCs w:val="22"/>
          <w:lang w:eastAsia="en-AU"/>
        </w:rPr>
      </w:pPr>
      <w:r w:rsidRPr="00D77034">
        <w:rPr>
          <w:rFonts w:cs="Arial"/>
          <w:szCs w:val="22"/>
          <w:lang w:eastAsia="en-AU"/>
        </w:rPr>
        <w:t>QSuper supports the Commission’s intent to lift the standard of default products and contends that a range of factors contribute to improving members</w:t>
      </w:r>
      <w:r w:rsidR="00BB6F30">
        <w:rPr>
          <w:rFonts w:cs="Arial"/>
          <w:szCs w:val="22"/>
          <w:lang w:eastAsia="en-AU"/>
        </w:rPr>
        <w:t>’</w:t>
      </w:r>
      <w:r w:rsidRPr="00D77034">
        <w:rPr>
          <w:rFonts w:cs="Arial"/>
          <w:szCs w:val="22"/>
          <w:lang w:eastAsia="en-AU"/>
        </w:rPr>
        <w:t xml:space="preserve"> retirement outcomes.  QSuper therefore endorses a holistic approach to the default selection process - one that recognises overall member value as the primary goal and supports a diverse range of measures being used in fund assessment. </w:t>
      </w:r>
    </w:p>
    <w:p w14:paraId="7CF43B9B" w14:textId="77777777" w:rsidR="008816C6" w:rsidRDefault="008816C6" w:rsidP="005961A0">
      <w:pPr>
        <w:jc w:val="both"/>
        <w:rPr>
          <w:rFonts w:cs="Arial"/>
          <w:szCs w:val="22"/>
          <w:lang w:eastAsia="en-AU"/>
        </w:rPr>
      </w:pPr>
    </w:p>
    <w:p w14:paraId="409FB74C" w14:textId="77777777" w:rsidR="00D77034" w:rsidRPr="00D77034" w:rsidRDefault="00D77034" w:rsidP="005961A0">
      <w:pPr>
        <w:jc w:val="both"/>
        <w:rPr>
          <w:rFonts w:cs="Arial"/>
          <w:szCs w:val="22"/>
          <w:lang w:eastAsia="en-AU"/>
        </w:rPr>
      </w:pPr>
      <w:r w:rsidRPr="00D77034">
        <w:rPr>
          <w:rFonts w:cs="Arial"/>
          <w:szCs w:val="22"/>
          <w:lang w:eastAsia="en-AU"/>
        </w:rPr>
        <w:t xml:space="preserve">In particular, QSuper </w:t>
      </w:r>
      <w:r w:rsidR="00C01426">
        <w:rPr>
          <w:rFonts w:cs="Arial"/>
          <w:szCs w:val="22"/>
          <w:lang w:eastAsia="en-AU"/>
        </w:rPr>
        <w:t>supports</w:t>
      </w:r>
      <w:r w:rsidR="00C01426" w:rsidRPr="00D77034">
        <w:rPr>
          <w:rFonts w:cs="Arial"/>
          <w:szCs w:val="22"/>
          <w:lang w:eastAsia="en-AU"/>
        </w:rPr>
        <w:t xml:space="preserve"> </w:t>
      </w:r>
      <w:r w:rsidRPr="00D77034">
        <w:rPr>
          <w:rFonts w:cs="Arial"/>
          <w:szCs w:val="22"/>
          <w:lang w:eastAsia="en-AU"/>
        </w:rPr>
        <w:t xml:space="preserve">the Commission's position to include member engagement and intra-fund advice provision in any selection criteria. </w:t>
      </w:r>
      <w:r w:rsidR="00C01426">
        <w:rPr>
          <w:rFonts w:cs="Arial"/>
          <w:szCs w:val="22"/>
          <w:lang w:eastAsia="en-AU"/>
        </w:rPr>
        <w:t>Over</w:t>
      </w:r>
      <w:r w:rsidR="00C01426" w:rsidRPr="00D77034">
        <w:rPr>
          <w:rFonts w:cs="Arial"/>
          <w:szCs w:val="22"/>
          <w:lang w:eastAsia="en-AU"/>
        </w:rPr>
        <w:t xml:space="preserve"> </w:t>
      </w:r>
      <w:r w:rsidR="005556B4">
        <w:rPr>
          <w:rFonts w:cs="Arial"/>
          <w:szCs w:val="22"/>
          <w:lang w:eastAsia="en-AU"/>
        </w:rPr>
        <w:t>6</w:t>
      </w:r>
      <w:r w:rsidRPr="00D77034">
        <w:rPr>
          <w:rFonts w:cs="Arial"/>
          <w:szCs w:val="22"/>
          <w:lang w:eastAsia="en-AU"/>
        </w:rPr>
        <w:t xml:space="preserve">% </w:t>
      </w:r>
      <w:r w:rsidR="00C01426">
        <w:rPr>
          <w:rFonts w:cs="Arial"/>
          <w:szCs w:val="22"/>
          <w:lang w:eastAsia="en-AU"/>
        </w:rPr>
        <w:t xml:space="preserve">(approximately </w:t>
      </w:r>
      <w:r w:rsidR="005556B4">
        <w:rPr>
          <w:rFonts w:cs="Arial"/>
          <w:szCs w:val="22"/>
          <w:lang w:eastAsia="en-AU"/>
        </w:rPr>
        <w:t>35</w:t>
      </w:r>
      <w:r w:rsidR="00C01426">
        <w:rPr>
          <w:rFonts w:cs="Arial"/>
          <w:szCs w:val="22"/>
          <w:lang w:eastAsia="en-AU"/>
        </w:rPr>
        <w:t xml:space="preserve">,000 members) </w:t>
      </w:r>
      <w:r w:rsidRPr="00D77034">
        <w:rPr>
          <w:rFonts w:cs="Arial"/>
          <w:szCs w:val="22"/>
          <w:lang w:eastAsia="en-AU"/>
        </w:rPr>
        <w:t xml:space="preserve">of QSuper membership attended one of the </w:t>
      </w:r>
      <w:r w:rsidR="00BB6F30">
        <w:rPr>
          <w:rFonts w:cs="Arial"/>
          <w:szCs w:val="22"/>
          <w:lang w:eastAsia="en-AU"/>
        </w:rPr>
        <w:t>F</w:t>
      </w:r>
      <w:r w:rsidR="007209BE">
        <w:rPr>
          <w:rFonts w:cs="Arial"/>
          <w:szCs w:val="22"/>
          <w:lang w:eastAsia="en-AU"/>
        </w:rPr>
        <w:t xml:space="preserve">und's </w:t>
      </w:r>
      <w:r w:rsidRPr="00D77034">
        <w:rPr>
          <w:rFonts w:cs="Arial"/>
          <w:szCs w:val="22"/>
          <w:lang w:eastAsia="en-AU"/>
        </w:rPr>
        <w:t xml:space="preserve">seminars in </w:t>
      </w:r>
      <w:r w:rsidR="00E37A5F">
        <w:rPr>
          <w:rFonts w:cs="Arial"/>
          <w:szCs w:val="22"/>
          <w:lang w:eastAsia="en-AU"/>
        </w:rPr>
        <w:t>2016/</w:t>
      </w:r>
      <w:r w:rsidRPr="00D77034">
        <w:rPr>
          <w:rFonts w:cs="Arial"/>
          <w:szCs w:val="22"/>
          <w:lang w:eastAsia="en-AU"/>
        </w:rPr>
        <w:t>2017</w:t>
      </w:r>
      <w:r w:rsidR="00BB6F30">
        <w:rPr>
          <w:rFonts w:cs="Arial"/>
          <w:szCs w:val="22"/>
          <w:lang w:eastAsia="en-AU"/>
        </w:rPr>
        <w:t>,</w:t>
      </w:r>
      <w:r w:rsidR="007209BE">
        <w:rPr>
          <w:rFonts w:cs="Arial"/>
          <w:szCs w:val="22"/>
          <w:lang w:eastAsia="en-AU"/>
        </w:rPr>
        <w:t xml:space="preserve"> </w:t>
      </w:r>
      <w:r w:rsidRPr="00D77034">
        <w:rPr>
          <w:rFonts w:cs="Arial"/>
          <w:szCs w:val="22"/>
          <w:lang w:eastAsia="en-AU"/>
        </w:rPr>
        <w:t xml:space="preserve">with approximately </w:t>
      </w:r>
      <w:r w:rsidR="00C01426">
        <w:rPr>
          <w:rFonts w:cs="Arial"/>
          <w:szCs w:val="22"/>
          <w:lang w:eastAsia="en-AU"/>
        </w:rPr>
        <w:t>4</w:t>
      </w:r>
      <w:r w:rsidRPr="00D77034">
        <w:rPr>
          <w:rFonts w:cs="Arial"/>
          <w:szCs w:val="22"/>
          <w:lang w:eastAsia="en-AU"/>
        </w:rPr>
        <w:t xml:space="preserve">% </w:t>
      </w:r>
      <w:r w:rsidR="00C01426">
        <w:rPr>
          <w:rFonts w:cs="Arial"/>
          <w:szCs w:val="22"/>
          <w:lang w:eastAsia="en-AU"/>
        </w:rPr>
        <w:t xml:space="preserve">(more than 20,000 members) </w:t>
      </w:r>
      <w:r w:rsidRPr="00D77034">
        <w:rPr>
          <w:rFonts w:cs="Arial"/>
          <w:szCs w:val="22"/>
          <w:lang w:eastAsia="en-AU"/>
        </w:rPr>
        <w:t xml:space="preserve">receiving personal or intra-fund advice. These numbers clearly indicate that </w:t>
      </w:r>
      <w:r w:rsidR="00C01426">
        <w:rPr>
          <w:rFonts w:cs="Arial"/>
          <w:szCs w:val="22"/>
          <w:lang w:eastAsia="en-AU"/>
        </w:rPr>
        <w:t xml:space="preserve">the complete range of </w:t>
      </w:r>
      <w:r w:rsidRPr="00D77034">
        <w:rPr>
          <w:rFonts w:cs="Arial"/>
          <w:szCs w:val="22"/>
          <w:lang w:eastAsia="en-AU"/>
        </w:rPr>
        <w:t>education and advice services are valued by members</w:t>
      </w:r>
      <w:r w:rsidR="00BB6F30">
        <w:rPr>
          <w:rFonts w:cs="Arial"/>
          <w:szCs w:val="22"/>
          <w:lang w:eastAsia="en-AU"/>
        </w:rPr>
        <w:t xml:space="preserve">.  QSuper </w:t>
      </w:r>
      <w:r w:rsidRPr="00D77034">
        <w:rPr>
          <w:rFonts w:cs="Arial"/>
          <w:szCs w:val="22"/>
          <w:lang w:eastAsia="en-AU"/>
        </w:rPr>
        <w:t>contend</w:t>
      </w:r>
      <w:r w:rsidR="00BB6F30">
        <w:rPr>
          <w:rFonts w:cs="Arial"/>
          <w:szCs w:val="22"/>
          <w:lang w:eastAsia="en-AU"/>
        </w:rPr>
        <w:t>s</w:t>
      </w:r>
      <w:r w:rsidRPr="00D77034">
        <w:rPr>
          <w:rFonts w:cs="Arial"/>
          <w:szCs w:val="22"/>
          <w:lang w:eastAsia="en-AU"/>
        </w:rPr>
        <w:t xml:space="preserve"> that these services allow members to get the most out of their retirement savings.</w:t>
      </w:r>
    </w:p>
    <w:p w14:paraId="4A47C08A" w14:textId="77777777" w:rsidR="00D77034" w:rsidRPr="00D77034" w:rsidRDefault="00D77034" w:rsidP="005961A0">
      <w:pPr>
        <w:jc w:val="both"/>
        <w:rPr>
          <w:rFonts w:cs="Arial"/>
          <w:szCs w:val="22"/>
          <w:lang w:eastAsia="en-AU"/>
        </w:rPr>
      </w:pPr>
    </w:p>
    <w:p w14:paraId="3DB2577C" w14:textId="73008523" w:rsidR="00D77034" w:rsidRPr="00D77034" w:rsidRDefault="007209BE" w:rsidP="009B7D06">
      <w:pPr>
        <w:jc w:val="both"/>
        <w:rPr>
          <w:rFonts w:cs="Arial"/>
          <w:szCs w:val="22"/>
          <w:lang w:eastAsia="en-AU"/>
        </w:rPr>
      </w:pPr>
      <w:r>
        <w:rPr>
          <w:rFonts w:cs="Arial"/>
          <w:szCs w:val="22"/>
          <w:lang w:eastAsia="en-AU"/>
        </w:rPr>
        <w:t>Importantly, t</w:t>
      </w:r>
      <w:r w:rsidR="00D77034" w:rsidRPr="00D77034">
        <w:rPr>
          <w:rFonts w:cs="Arial"/>
          <w:szCs w:val="22"/>
          <w:lang w:eastAsia="en-AU"/>
        </w:rPr>
        <w:t>he se</w:t>
      </w:r>
      <w:r>
        <w:rPr>
          <w:rFonts w:cs="Arial"/>
          <w:szCs w:val="22"/>
          <w:lang w:eastAsia="en-AU"/>
        </w:rPr>
        <w:t>lection</w:t>
      </w:r>
      <w:r w:rsidR="00D77034" w:rsidRPr="00D77034">
        <w:rPr>
          <w:rFonts w:cs="Arial"/>
          <w:szCs w:val="22"/>
          <w:lang w:eastAsia="en-AU"/>
        </w:rPr>
        <w:t xml:space="preserve"> </w:t>
      </w:r>
      <w:r w:rsidR="00920F95">
        <w:rPr>
          <w:rFonts w:cs="Arial"/>
          <w:szCs w:val="22"/>
          <w:lang w:eastAsia="en-AU"/>
        </w:rPr>
        <w:t xml:space="preserve">process </w:t>
      </w:r>
      <w:r w:rsidR="009F5FED">
        <w:rPr>
          <w:rFonts w:cs="Arial"/>
          <w:szCs w:val="22"/>
          <w:lang w:eastAsia="en-AU"/>
        </w:rPr>
        <w:t xml:space="preserve">by default </w:t>
      </w:r>
      <w:r w:rsidR="00D77034" w:rsidRPr="00D77034">
        <w:rPr>
          <w:rFonts w:cs="Arial"/>
          <w:szCs w:val="22"/>
          <w:lang w:eastAsia="en-AU"/>
        </w:rPr>
        <w:t xml:space="preserve">will define industry best practice and set the design of the industry's </w:t>
      </w:r>
      <w:r>
        <w:rPr>
          <w:rFonts w:cs="Arial"/>
          <w:szCs w:val="22"/>
          <w:lang w:eastAsia="en-AU"/>
        </w:rPr>
        <w:t xml:space="preserve">future </w:t>
      </w:r>
      <w:r w:rsidR="00D77034" w:rsidRPr="00D77034">
        <w:rPr>
          <w:rFonts w:cs="Arial"/>
          <w:szCs w:val="22"/>
          <w:lang w:eastAsia="en-AU"/>
        </w:rPr>
        <w:t xml:space="preserve">products and services. Consequently, the qualities and features of funds selected as </w:t>
      </w:r>
      <w:r w:rsidR="00A0067F">
        <w:rPr>
          <w:rFonts w:cs="Arial"/>
          <w:szCs w:val="22"/>
          <w:lang w:eastAsia="en-AU"/>
        </w:rPr>
        <w:t>‘</w:t>
      </w:r>
      <w:r w:rsidR="00A23196">
        <w:rPr>
          <w:rFonts w:cs="Arial"/>
          <w:szCs w:val="22"/>
          <w:lang w:eastAsia="en-AU"/>
        </w:rPr>
        <w:t>best-in-show</w:t>
      </w:r>
      <w:r w:rsidR="00A0067F">
        <w:rPr>
          <w:rFonts w:cs="Arial"/>
          <w:szCs w:val="22"/>
          <w:lang w:eastAsia="en-AU"/>
        </w:rPr>
        <w:t>’</w:t>
      </w:r>
      <w:r w:rsidR="00D77034" w:rsidRPr="00D77034">
        <w:rPr>
          <w:rFonts w:cs="Arial"/>
          <w:szCs w:val="22"/>
          <w:lang w:eastAsia="en-AU"/>
        </w:rPr>
        <w:t xml:space="preserve"> will be seen as the benchmark for all funds to manage towards. </w:t>
      </w:r>
      <w:r w:rsidR="000E72D4">
        <w:rPr>
          <w:rFonts w:cs="Arial"/>
          <w:szCs w:val="22"/>
          <w:lang w:eastAsia="en-AU"/>
        </w:rPr>
        <w:t xml:space="preserve">QSuper contends that any </w:t>
      </w:r>
      <w:r w:rsidR="00D77034" w:rsidRPr="00D77034">
        <w:rPr>
          <w:rFonts w:cs="Arial"/>
          <w:szCs w:val="22"/>
          <w:lang w:eastAsia="en-AU"/>
        </w:rPr>
        <w:t xml:space="preserve">selection </w:t>
      </w:r>
      <w:r w:rsidR="009F5FED">
        <w:rPr>
          <w:rFonts w:cs="Arial"/>
          <w:szCs w:val="22"/>
          <w:lang w:eastAsia="en-AU"/>
        </w:rPr>
        <w:t xml:space="preserve">process </w:t>
      </w:r>
      <w:r w:rsidR="00D77034" w:rsidRPr="00D77034">
        <w:rPr>
          <w:rFonts w:cs="Arial"/>
          <w:szCs w:val="22"/>
          <w:lang w:eastAsia="en-AU"/>
        </w:rPr>
        <w:t xml:space="preserve">must </w:t>
      </w:r>
      <w:r w:rsidR="00686E99">
        <w:rPr>
          <w:rFonts w:cs="Arial"/>
          <w:szCs w:val="22"/>
          <w:lang w:eastAsia="en-AU"/>
        </w:rPr>
        <w:t xml:space="preserve">take care to </w:t>
      </w:r>
      <w:r w:rsidR="00D77034" w:rsidRPr="00D77034">
        <w:rPr>
          <w:rFonts w:cs="Arial"/>
          <w:szCs w:val="22"/>
          <w:lang w:eastAsia="en-AU"/>
        </w:rPr>
        <w:t xml:space="preserve">avoid </w:t>
      </w:r>
      <w:r w:rsidR="00686E99">
        <w:rPr>
          <w:rFonts w:cs="Arial"/>
          <w:szCs w:val="22"/>
          <w:lang w:eastAsia="en-AU"/>
        </w:rPr>
        <w:t xml:space="preserve">inadvertently stifling </w:t>
      </w:r>
      <w:r w:rsidR="00D77034" w:rsidRPr="00D77034">
        <w:rPr>
          <w:rFonts w:cs="Arial"/>
          <w:szCs w:val="22"/>
          <w:lang w:eastAsia="en-AU"/>
        </w:rPr>
        <w:t xml:space="preserve">industry </w:t>
      </w:r>
      <w:r w:rsidR="004D59C4">
        <w:rPr>
          <w:rFonts w:cs="Arial"/>
          <w:szCs w:val="22"/>
          <w:lang w:eastAsia="en-AU"/>
        </w:rPr>
        <w:t xml:space="preserve">innovation </w:t>
      </w:r>
      <w:r w:rsidR="00686E99">
        <w:rPr>
          <w:rFonts w:cs="Arial"/>
          <w:szCs w:val="22"/>
          <w:lang w:eastAsia="en-AU"/>
        </w:rPr>
        <w:t xml:space="preserve">through a homogenous selection, as </w:t>
      </w:r>
      <w:r w:rsidR="00D77034" w:rsidRPr="00D77034">
        <w:rPr>
          <w:rFonts w:cs="Arial"/>
          <w:szCs w:val="22"/>
          <w:lang w:eastAsia="en-AU"/>
        </w:rPr>
        <w:t xml:space="preserve">all funds manage/design products to be competitive with </w:t>
      </w:r>
      <w:r w:rsidR="004D59C4">
        <w:rPr>
          <w:rFonts w:cs="Arial"/>
          <w:szCs w:val="22"/>
          <w:lang w:eastAsia="en-AU"/>
        </w:rPr>
        <w:t xml:space="preserve">a </w:t>
      </w:r>
      <w:r w:rsidR="00A0067F">
        <w:rPr>
          <w:rFonts w:cs="Arial"/>
          <w:szCs w:val="22"/>
          <w:lang w:eastAsia="en-AU"/>
        </w:rPr>
        <w:t>‘</w:t>
      </w:r>
      <w:r w:rsidR="00A23196">
        <w:rPr>
          <w:rFonts w:cs="Arial"/>
          <w:szCs w:val="22"/>
          <w:lang w:eastAsia="en-AU"/>
        </w:rPr>
        <w:t>best-in-show</w:t>
      </w:r>
      <w:r w:rsidR="00A0067F">
        <w:rPr>
          <w:rFonts w:cs="Arial"/>
          <w:szCs w:val="22"/>
          <w:lang w:eastAsia="en-AU"/>
        </w:rPr>
        <w:t>’</w:t>
      </w:r>
      <w:r w:rsidR="004D59C4">
        <w:rPr>
          <w:rFonts w:cs="Arial"/>
          <w:szCs w:val="22"/>
          <w:lang w:eastAsia="en-AU"/>
        </w:rPr>
        <w:t xml:space="preserve"> criteria</w:t>
      </w:r>
      <w:r w:rsidR="00D77034" w:rsidRPr="00D77034">
        <w:rPr>
          <w:rFonts w:cs="Arial"/>
          <w:szCs w:val="22"/>
          <w:lang w:eastAsia="en-AU"/>
        </w:rPr>
        <w:t xml:space="preserve">.  </w:t>
      </w:r>
    </w:p>
    <w:p w14:paraId="7DD2F25B" w14:textId="77777777" w:rsidR="00D77034" w:rsidRPr="00D77034" w:rsidRDefault="00D77034" w:rsidP="005961A0">
      <w:pPr>
        <w:jc w:val="both"/>
        <w:rPr>
          <w:rFonts w:cs="Arial"/>
          <w:szCs w:val="22"/>
          <w:lang w:eastAsia="en-AU"/>
        </w:rPr>
      </w:pPr>
    </w:p>
    <w:p w14:paraId="20A883BF" w14:textId="635F26A0" w:rsidR="00E64321" w:rsidRDefault="00D77034" w:rsidP="005961A0">
      <w:pPr>
        <w:jc w:val="both"/>
        <w:rPr>
          <w:rFonts w:cs="Arial"/>
          <w:szCs w:val="22"/>
          <w:lang w:eastAsia="en-AU"/>
        </w:rPr>
      </w:pPr>
      <w:r w:rsidRPr="00D77034">
        <w:rPr>
          <w:rFonts w:cs="Arial"/>
          <w:szCs w:val="22"/>
          <w:lang w:eastAsia="en-AU"/>
        </w:rPr>
        <w:t xml:space="preserve">QSuper contends the criteria should set a high standard that will elevate members’ best interests and while comparability is important it should not be simplified or come at a cost to member outcomes. There will be many ways for member outcomes to be achieved and therefore any </w:t>
      </w:r>
      <w:r w:rsidR="00A0067F">
        <w:rPr>
          <w:rFonts w:cs="Arial"/>
          <w:szCs w:val="22"/>
          <w:lang w:eastAsia="en-AU"/>
        </w:rPr>
        <w:t>‘</w:t>
      </w:r>
      <w:r w:rsidR="00A23196">
        <w:rPr>
          <w:rFonts w:cs="Arial"/>
          <w:szCs w:val="22"/>
          <w:lang w:eastAsia="en-AU"/>
        </w:rPr>
        <w:t>best-in-show</w:t>
      </w:r>
      <w:r w:rsidR="00A0067F">
        <w:rPr>
          <w:rFonts w:cs="Arial"/>
          <w:szCs w:val="22"/>
          <w:lang w:eastAsia="en-AU"/>
        </w:rPr>
        <w:t>’</w:t>
      </w:r>
      <w:r w:rsidRPr="00D77034">
        <w:rPr>
          <w:rFonts w:cs="Arial"/>
          <w:szCs w:val="22"/>
          <w:lang w:eastAsia="en-AU"/>
        </w:rPr>
        <w:t xml:space="preserve"> </w:t>
      </w:r>
      <w:r w:rsidR="004A3AB9">
        <w:rPr>
          <w:rFonts w:cs="Arial"/>
          <w:szCs w:val="22"/>
          <w:lang w:eastAsia="en-AU"/>
        </w:rPr>
        <w:t xml:space="preserve">suite of funds </w:t>
      </w:r>
      <w:r w:rsidRPr="00D77034">
        <w:rPr>
          <w:rFonts w:cs="Arial"/>
          <w:szCs w:val="22"/>
          <w:lang w:eastAsia="en-AU"/>
        </w:rPr>
        <w:t xml:space="preserve">should include a diversity of product designs and features as opposed to a </w:t>
      </w:r>
      <w:r w:rsidR="00686E99" w:rsidRPr="00D77034">
        <w:rPr>
          <w:rFonts w:cs="Arial"/>
          <w:szCs w:val="22"/>
          <w:lang w:eastAsia="en-AU"/>
        </w:rPr>
        <w:t>similar</w:t>
      </w:r>
      <w:r w:rsidRPr="00D77034">
        <w:rPr>
          <w:rFonts w:cs="Arial"/>
          <w:szCs w:val="22"/>
          <w:lang w:eastAsia="en-AU"/>
        </w:rPr>
        <w:t xml:space="preserve"> group of </w:t>
      </w:r>
      <w:r w:rsidR="00686E99">
        <w:rPr>
          <w:rFonts w:cs="Arial"/>
          <w:szCs w:val="22"/>
          <w:lang w:eastAsia="en-AU"/>
        </w:rPr>
        <w:t>options from different funds</w:t>
      </w:r>
      <w:r w:rsidRPr="00D77034">
        <w:rPr>
          <w:rFonts w:cs="Arial"/>
          <w:szCs w:val="22"/>
          <w:lang w:eastAsia="en-AU"/>
        </w:rPr>
        <w:t>.</w:t>
      </w:r>
    </w:p>
    <w:p w14:paraId="7BD3056F" w14:textId="77777777" w:rsidR="00D77034" w:rsidRDefault="00D77034" w:rsidP="005961A0">
      <w:pPr>
        <w:jc w:val="both"/>
        <w:rPr>
          <w:rFonts w:cs="Arial"/>
          <w:szCs w:val="22"/>
          <w:lang w:eastAsia="en-AU"/>
        </w:rPr>
      </w:pPr>
    </w:p>
    <w:p w14:paraId="6984655D" w14:textId="77777777" w:rsidR="00827989" w:rsidRPr="006F26D3" w:rsidRDefault="00850F14">
      <w:pPr>
        <w:spacing w:after="200" w:line="276" w:lineRule="auto"/>
        <w:jc w:val="both"/>
        <w:rPr>
          <w:rFonts w:eastAsiaTheme="minorHAnsi" w:cstheme="minorBidi"/>
          <w:szCs w:val="22"/>
          <w:u w:val="single"/>
        </w:rPr>
      </w:pPr>
      <w:bookmarkStart w:id="4" w:name="_Hlk518985592"/>
      <w:r>
        <w:rPr>
          <w:rFonts w:eastAsiaTheme="minorHAnsi" w:cstheme="minorBidi"/>
          <w:szCs w:val="22"/>
          <w:u w:val="single"/>
        </w:rPr>
        <w:t>Consistency o</w:t>
      </w:r>
      <w:r w:rsidR="00827989" w:rsidRPr="006F26D3">
        <w:rPr>
          <w:rFonts w:eastAsiaTheme="minorHAnsi" w:cstheme="minorBidi"/>
          <w:szCs w:val="22"/>
          <w:u w:val="single"/>
        </w:rPr>
        <w:t xml:space="preserve">f Returns Is Critical </w:t>
      </w:r>
    </w:p>
    <w:bookmarkEnd w:id="4"/>
    <w:p w14:paraId="17318C4F" w14:textId="76007CF5" w:rsidR="00D90778" w:rsidRDefault="003A2066">
      <w:pPr>
        <w:spacing w:after="200"/>
        <w:jc w:val="both"/>
        <w:rPr>
          <w:rFonts w:eastAsiaTheme="minorHAnsi" w:cstheme="minorBidi"/>
          <w:szCs w:val="22"/>
        </w:rPr>
      </w:pPr>
      <w:r>
        <w:t xml:space="preserve">QSuper </w:t>
      </w:r>
      <w:r w:rsidR="00686E99">
        <w:t xml:space="preserve">considers </w:t>
      </w:r>
      <w:r>
        <w:t xml:space="preserve">the proposed criteria </w:t>
      </w:r>
      <w:r w:rsidR="00686E99">
        <w:t>as reasonable</w:t>
      </w:r>
      <w:r w:rsidR="002F3CB6">
        <w:rPr>
          <w:rFonts w:eastAsiaTheme="minorHAnsi" w:cstheme="minorBidi"/>
          <w:szCs w:val="22"/>
        </w:rPr>
        <w:t xml:space="preserve">, however </w:t>
      </w:r>
      <w:r w:rsidR="00686E99">
        <w:rPr>
          <w:rFonts w:eastAsiaTheme="minorHAnsi" w:cstheme="minorBidi"/>
          <w:szCs w:val="22"/>
        </w:rPr>
        <w:t xml:space="preserve">recommends expanding some elements further </w:t>
      </w:r>
      <w:r w:rsidR="002F3CB6">
        <w:rPr>
          <w:rFonts w:eastAsiaTheme="minorHAnsi" w:cstheme="minorBidi"/>
          <w:szCs w:val="22"/>
        </w:rPr>
        <w:t xml:space="preserve">to ensure a member who </w:t>
      </w:r>
      <w:r w:rsidR="00D90778">
        <w:rPr>
          <w:rFonts w:eastAsiaTheme="minorHAnsi" w:cstheme="minorBidi"/>
          <w:szCs w:val="22"/>
        </w:rPr>
        <w:t xml:space="preserve">joins </w:t>
      </w:r>
      <w:r w:rsidR="002F3CB6">
        <w:rPr>
          <w:rFonts w:eastAsiaTheme="minorHAnsi" w:cstheme="minorBidi"/>
          <w:szCs w:val="22"/>
        </w:rPr>
        <w:t xml:space="preserve">a </w:t>
      </w:r>
      <w:r w:rsidR="00A0067F">
        <w:rPr>
          <w:rFonts w:eastAsiaTheme="minorHAnsi" w:cstheme="minorBidi"/>
          <w:szCs w:val="22"/>
        </w:rPr>
        <w:t>‘</w:t>
      </w:r>
      <w:r w:rsidR="00A23196">
        <w:rPr>
          <w:rFonts w:eastAsiaTheme="minorHAnsi" w:cstheme="minorBidi"/>
          <w:szCs w:val="22"/>
        </w:rPr>
        <w:t>best-in-show</w:t>
      </w:r>
      <w:r w:rsidR="00A0067F">
        <w:rPr>
          <w:rFonts w:eastAsiaTheme="minorHAnsi" w:cstheme="minorBidi"/>
          <w:szCs w:val="22"/>
        </w:rPr>
        <w:t>’</w:t>
      </w:r>
      <w:r w:rsidR="002F3CB6">
        <w:rPr>
          <w:rFonts w:eastAsiaTheme="minorHAnsi" w:cstheme="minorBidi"/>
          <w:szCs w:val="22"/>
        </w:rPr>
        <w:t xml:space="preserve"> fund can </w:t>
      </w:r>
      <w:r w:rsidR="00D90778">
        <w:rPr>
          <w:rFonts w:eastAsiaTheme="minorHAnsi" w:cstheme="minorBidi"/>
          <w:szCs w:val="22"/>
        </w:rPr>
        <w:t xml:space="preserve">have </w:t>
      </w:r>
      <w:r w:rsidR="00765D96">
        <w:rPr>
          <w:rFonts w:eastAsiaTheme="minorHAnsi" w:cstheme="minorBidi"/>
          <w:szCs w:val="22"/>
        </w:rPr>
        <w:t xml:space="preserve">confidence </w:t>
      </w:r>
      <w:r w:rsidR="00D90778">
        <w:rPr>
          <w:rFonts w:eastAsiaTheme="minorHAnsi" w:cstheme="minorBidi"/>
          <w:szCs w:val="22"/>
        </w:rPr>
        <w:t>in that fund being of high quality.</w:t>
      </w:r>
    </w:p>
    <w:p w14:paraId="62E07F46" w14:textId="59B42D31" w:rsidR="00827989" w:rsidRPr="00827989" w:rsidRDefault="00827989">
      <w:pPr>
        <w:spacing w:after="200"/>
        <w:jc w:val="both"/>
        <w:rPr>
          <w:rFonts w:eastAsiaTheme="minorHAnsi" w:cstheme="minorBidi"/>
          <w:szCs w:val="22"/>
        </w:rPr>
      </w:pPr>
      <w:r w:rsidRPr="00827989">
        <w:rPr>
          <w:rFonts w:eastAsiaTheme="minorHAnsi" w:cstheme="minorBidi"/>
          <w:szCs w:val="22"/>
        </w:rPr>
        <w:t xml:space="preserve">An extract from the draft report states: </w:t>
      </w:r>
      <w:r w:rsidR="00A0067F">
        <w:rPr>
          <w:rFonts w:eastAsiaTheme="minorHAnsi" w:cstheme="minorBidi"/>
          <w:i/>
          <w:szCs w:val="22"/>
        </w:rPr>
        <w:t>“</w:t>
      </w:r>
      <w:r w:rsidRPr="00827989">
        <w:rPr>
          <w:rFonts w:eastAsiaTheme="minorHAnsi" w:cstheme="minorBidi"/>
          <w:i/>
          <w:szCs w:val="22"/>
        </w:rPr>
        <w:t xml:space="preserve">the key focus of the selection process should be on a fund’s </w:t>
      </w:r>
      <w:r w:rsidRPr="006F26D3">
        <w:rPr>
          <w:rFonts w:eastAsiaTheme="minorHAnsi" w:cstheme="minorBidi"/>
          <w:i/>
          <w:szCs w:val="22"/>
        </w:rPr>
        <w:t>likelihood of producing high net returns for members</w:t>
      </w:r>
      <w:r w:rsidR="00A0067F">
        <w:rPr>
          <w:rFonts w:eastAsiaTheme="minorHAnsi" w:cstheme="minorBidi"/>
          <w:i/>
          <w:szCs w:val="22"/>
        </w:rPr>
        <w:t>”</w:t>
      </w:r>
      <w:r w:rsidRPr="00827989">
        <w:rPr>
          <w:rFonts w:eastAsiaTheme="minorHAnsi" w:cstheme="minorBidi"/>
          <w:szCs w:val="22"/>
        </w:rPr>
        <w:t xml:space="preserve">.  QSuper believes this should be expanded to read: </w:t>
      </w:r>
      <w:r w:rsidR="00A0067F">
        <w:rPr>
          <w:rFonts w:eastAsiaTheme="minorHAnsi" w:cstheme="minorBidi"/>
          <w:szCs w:val="22"/>
        </w:rPr>
        <w:t>‘</w:t>
      </w:r>
      <w:r w:rsidRPr="00827989">
        <w:rPr>
          <w:rFonts w:eastAsiaTheme="minorHAnsi" w:cstheme="minorBidi"/>
          <w:i/>
          <w:szCs w:val="22"/>
        </w:rPr>
        <w:t xml:space="preserve">likelihood of </w:t>
      </w:r>
      <w:r w:rsidRPr="00827989">
        <w:rPr>
          <w:rFonts w:eastAsiaTheme="minorHAnsi" w:cstheme="minorBidi"/>
          <w:i/>
          <w:szCs w:val="22"/>
          <w:u w:val="single"/>
        </w:rPr>
        <w:t>consistently</w:t>
      </w:r>
      <w:r w:rsidRPr="00827989">
        <w:rPr>
          <w:rFonts w:eastAsiaTheme="minorHAnsi" w:cstheme="minorBidi"/>
          <w:i/>
          <w:szCs w:val="22"/>
        </w:rPr>
        <w:t xml:space="preserve"> producing high net </w:t>
      </w:r>
      <w:r w:rsidRPr="005961A0">
        <w:rPr>
          <w:rFonts w:eastAsiaTheme="minorHAnsi" w:cstheme="minorBidi"/>
          <w:i/>
          <w:szCs w:val="22"/>
          <w:u w:val="single"/>
        </w:rPr>
        <w:t>risk-adjusted</w:t>
      </w:r>
      <w:r w:rsidRPr="00827989">
        <w:rPr>
          <w:rFonts w:eastAsiaTheme="minorHAnsi" w:cstheme="minorBidi"/>
          <w:i/>
          <w:szCs w:val="22"/>
        </w:rPr>
        <w:t xml:space="preserve"> returns for members</w:t>
      </w:r>
      <w:r w:rsidR="00A0067F">
        <w:rPr>
          <w:rFonts w:eastAsiaTheme="minorHAnsi" w:cstheme="minorBidi"/>
          <w:i/>
          <w:szCs w:val="22"/>
        </w:rPr>
        <w:t>’</w:t>
      </w:r>
      <w:r w:rsidRPr="00827989">
        <w:rPr>
          <w:rFonts w:eastAsiaTheme="minorHAnsi" w:cstheme="minorBidi"/>
          <w:i/>
          <w:szCs w:val="22"/>
        </w:rPr>
        <w:t>.</w:t>
      </w:r>
    </w:p>
    <w:p w14:paraId="597F92B2" w14:textId="77777777" w:rsidR="00612084" w:rsidRDefault="00612084">
      <w:pPr>
        <w:spacing w:after="200"/>
        <w:jc w:val="both"/>
        <w:rPr>
          <w:rFonts w:eastAsiaTheme="minorHAnsi" w:cstheme="minorBidi"/>
          <w:szCs w:val="22"/>
        </w:rPr>
      </w:pPr>
      <w:r>
        <w:rPr>
          <w:rFonts w:eastAsiaTheme="minorHAnsi" w:cstheme="minorBidi"/>
          <w:szCs w:val="22"/>
        </w:rPr>
        <w:t xml:space="preserve">Because funds do not know exactly when a </w:t>
      </w:r>
      <w:r w:rsidR="00765D96">
        <w:rPr>
          <w:rFonts w:eastAsiaTheme="minorHAnsi" w:cstheme="minorBidi"/>
          <w:szCs w:val="22"/>
        </w:rPr>
        <w:t xml:space="preserve">default </w:t>
      </w:r>
      <w:r>
        <w:rPr>
          <w:rFonts w:eastAsiaTheme="minorHAnsi" w:cstheme="minorBidi"/>
          <w:szCs w:val="22"/>
        </w:rPr>
        <w:t xml:space="preserve">member is going to retire </w:t>
      </w:r>
      <w:r w:rsidR="007209BE">
        <w:rPr>
          <w:rFonts w:eastAsiaTheme="minorHAnsi" w:cstheme="minorBidi"/>
          <w:szCs w:val="22"/>
        </w:rPr>
        <w:t xml:space="preserve">or change funds, </w:t>
      </w:r>
      <w:r>
        <w:rPr>
          <w:rFonts w:eastAsiaTheme="minorHAnsi" w:cstheme="minorBidi"/>
          <w:szCs w:val="22"/>
        </w:rPr>
        <w:t>s</w:t>
      </w:r>
      <w:r w:rsidRPr="00612084">
        <w:rPr>
          <w:rFonts w:eastAsiaTheme="minorHAnsi" w:cstheme="minorBidi"/>
          <w:szCs w:val="22"/>
        </w:rPr>
        <w:t>equencing risk matters</w:t>
      </w:r>
      <w:r>
        <w:rPr>
          <w:rFonts w:eastAsiaTheme="minorHAnsi" w:cstheme="minorBidi"/>
          <w:szCs w:val="22"/>
        </w:rPr>
        <w:t xml:space="preserve">. </w:t>
      </w:r>
      <w:r w:rsidR="009F4D3F">
        <w:rPr>
          <w:rFonts w:eastAsiaTheme="minorHAnsi" w:cstheme="minorBidi"/>
          <w:szCs w:val="22"/>
        </w:rPr>
        <w:t xml:space="preserve">QSuper argues that measuring consistency of delivering high </w:t>
      </w:r>
      <w:r w:rsidR="008C0E1E">
        <w:rPr>
          <w:rFonts w:eastAsiaTheme="minorHAnsi" w:cstheme="minorBidi"/>
          <w:szCs w:val="22"/>
        </w:rPr>
        <w:t xml:space="preserve">net risk-adjusted </w:t>
      </w:r>
      <w:r w:rsidR="009F4D3F">
        <w:rPr>
          <w:rFonts w:eastAsiaTheme="minorHAnsi" w:cstheme="minorBidi"/>
          <w:szCs w:val="22"/>
        </w:rPr>
        <w:t xml:space="preserve">returns will encourage funds to </w:t>
      </w:r>
      <w:r>
        <w:rPr>
          <w:rFonts w:eastAsiaTheme="minorHAnsi" w:cstheme="minorBidi"/>
          <w:szCs w:val="22"/>
        </w:rPr>
        <w:t xml:space="preserve">deliver </w:t>
      </w:r>
      <w:r w:rsidRPr="00612084">
        <w:rPr>
          <w:rFonts w:eastAsiaTheme="minorHAnsi" w:cstheme="minorBidi"/>
          <w:szCs w:val="22"/>
        </w:rPr>
        <w:t>more consistent set</w:t>
      </w:r>
      <w:r>
        <w:rPr>
          <w:rFonts w:eastAsiaTheme="minorHAnsi" w:cstheme="minorBidi"/>
          <w:szCs w:val="22"/>
        </w:rPr>
        <w:t>s</w:t>
      </w:r>
      <w:r w:rsidRPr="00612084">
        <w:rPr>
          <w:rFonts w:eastAsiaTheme="minorHAnsi" w:cstheme="minorBidi"/>
          <w:szCs w:val="22"/>
        </w:rPr>
        <w:t xml:space="preserve"> of results</w:t>
      </w:r>
      <w:r w:rsidR="009F4D3F">
        <w:rPr>
          <w:rFonts w:eastAsiaTheme="minorHAnsi" w:cstheme="minorBidi"/>
          <w:szCs w:val="22"/>
        </w:rPr>
        <w:t xml:space="preserve">, thereby minimising </w:t>
      </w:r>
      <w:r w:rsidRPr="00612084">
        <w:rPr>
          <w:rFonts w:eastAsiaTheme="minorHAnsi" w:cstheme="minorBidi"/>
          <w:szCs w:val="22"/>
        </w:rPr>
        <w:t>sequenc</w:t>
      </w:r>
      <w:r w:rsidR="00765D96">
        <w:rPr>
          <w:rFonts w:eastAsiaTheme="minorHAnsi" w:cstheme="minorBidi"/>
          <w:szCs w:val="22"/>
        </w:rPr>
        <w:t>ing</w:t>
      </w:r>
      <w:r w:rsidRPr="00612084">
        <w:rPr>
          <w:rFonts w:eastAsiaTheme="minorHAnsi" w:cstheme="minorBidi"/>
          <w:szCs w:val="22"/>
        </w:rPr>
        <w:t xml:space="preserve"> risk at the point of retirement </w:t>
      </w:r>
      <w:r w:rsidR="009F4D3F">
        <w:rPr>
          <w:rFonts w:eastAsiaTheme="minorHAnsi" w:cstheme="minorBidi"/>
          <w:szCs w:val="22"/>
        </w:rPr>
        <w:t xml:space="preserve">and </w:t>
      </w:r>
      <w:r w:rsidRPr="00612084">
        <w:rPr>
          <w:rFonts w:eastAsiaTheme="minorHAnsi" w:cstheme="minorBidi"/>
          <w:szCs w:val="22"/>
        </w:rPr>
        <w:t>deliver</w:t>
      </w:r>
      <w:r w:rsidR="009F4D3F">
        <w:rPr>
          <w:rFonts w:eastAsiaTheme="minorHAnsi" w:cstheme="minorBidi"/>
          <w:szCs w:val="22"/>
        </w:rPr>
        <w:t>ing</w:t>
      </w:r>
      <w:r w:rsidRPr="00612084">
        <w:rPr>
          <w:rFonts w:eastAsiaTheme="minorHAnsi" w:cstheme="minorBidi"/>
          <w:szCs w:val="22"/>
        </w:rPr>
        <w:t xml:space="preserve"> similar experiences/outcomes to similar (age, balance, gender) members over time.</w:t>
      </w:r>
    </w:p>
    <w:p w14:paraId="0E2B9095" w14:textId="77777777" w:rsidR="00612084" w:rsidRDefault="009F4D3F">
      <w:pPr>
        <w:spacing w:after="200"/>
        <w:jc w:val="both"/>
        <w:rPr>
          <w:rFonts w:eastAsiaTheme="minorHAnsi" w:cstheme="minorBidi"/>
          <w:szCs w:val="22"/>
        </w:rPr>
      </w:pPr>
      <w:r>
        <w:rPr>
          <w:rFonts w:eastAsiaTheme="minorHAnsi" w:cstheme="minorBidi"/>
          <w:szCs w:val="22"/>
        </w:rPr>
        <w:t xml:space="preserve">Further, consistency of results </w:t>
      </w:r>
      <w:r w:rsidR="00483560">
        <w:rPr>
          <w:rFonts w:eastAsiaTheme="minorHAnsi" w:cstheme="minorBidi"/>
          <w:szCs w:val="22"/>
        </w:rPr>
        <w:t xml:space="preserve">provides </w:t>
      </w:r>
      <w:r w:rsidR="00483560" w:rsidRPr="00483560">
        <w:rPr>
          <w:rFonts w:eastAsiaTheme="minorHAnsi" w:cstheme="minorBidi"/>
          <w:szCs w:val="22"/>
        </w:rPr>
        <w:t>confidence in asset outcomes</w:t>
      </w:r>
      <w:r w:rsidR="00765D96">
        <w:rPr>
          <w:rFonts w:eastAsiaTheme="minorHAnsi" w:cstheme="minorBidi"/>
          <w:szCs w:val="22"/>
        </w:rPr>
        <w:t>,</w:t>
      </w:r>
      <w:r w:rsidR="00483560" w:rsidRPr="00483560">
        <w:rPr>
          <w:rFonts w:eastAsiaTheme="minorHAnsi" w:cstheme="minorBidi"/>
          <w:szCs w:val="22"/>
        </w:rPr>
        <w:t xml:space="preserve"> allow</w:t>
      </w:r>
      <w:r w:rsidR="00483560">
        <w:rPr>
          <w:rFonts w:eastAsiaTheme="minorHAnsi" w:cstheme="minorBidi"/>
          <w:szCs w:val="22"/>
        </w:rPr>
        <w:t xml:space="preserve">ing </w:t>
      </w:r>
      <w:r w:rsidR="00483560" w:rsidRPr="00483560">
        <w:rPr>
          <w:rFonts w:eastAsiaTheme="minorHAnsi" w:cstheme="minorBidi"/>
          <w:szCs w:val="22"/>
        </w:rPr>
        <w:t xml:space="preserve">members to plan </w:t>
      </w:r>
      <w:r w:rsidR="00483560">
        <w:rPr>
          <w:rFonts w:eastAsiaTheme="minorHAnsi" w:cstheme="minorBidi"/>
          <w:szCs w:val="22"/>
        </w:rPr>
        <w:t xml:space="preserve">their retirement income and </w:t>
      </w:r>
      <w:r w:rsidR="008C0E1E">
        <w:rPr>
          <w:rFonts w:eastAsiaTheme="minorHAnsi" w:cstheme="minorBidi"/>
          <w:szCs w:val="22"/>
        </w:rPr>
        <w:t>s</w:t>
      </w:r>
      <w:r w:rsidR="00483560">
        <w:rPr>
          <w:rFonts w:eastAsiaTheme="minorHAnsi" w:cstheme="minorBidi"/>
          <w:szCs w:val="22"/>
        </w:rPr>
        <w:t xml:space="preserve">tructure </w:t>
      </w:r>
      <w:r w:rsidR="00483560" w:rsidRPr="00483560">
        <w:rPr>
          <w:rFonts w:eastAsiaTheme="minorHAnsi" w:cstheme="minorBidi"/>
          <w:szCs w:val="22"/>
        </w:rPr>
        <w:t xml:space="preserve">their </w:t>
      </w:r>
      <w:r w:rsidR="008C0E1E" w:rsidRPr="00483560">
        <w:rPr>
          <w:rFonts w:eastAsiaTheme="minorHAnsi" w:cstheme="minorBidi"/>
          <w:szCs w:val="22"/>
        </w:rPr>
        <w:t xml:space="preserve">post-retirement </w:t>
      </w:r>
      <w:r w:rsidR="00483560" w:rsidRPr="00483560">
        <w:rPr>
          <w:rFonts w:eastAsiaTheme="minorHAnsi" w:cstheme="minorBidi"/>
          <w:szCs w:val="22"/>
        </w:rPr>
        <w:t>spending capacity</w:t>
      </w:r>
      <w:r w:rsidR="00DD3723" w:rsidRPr="00DD3723">
        <w:rPr>
          <w:rFonts w:eastAsiaTheme="minorHAnsi" w:cstheme="minorBidi"/>
          <w:szCs w:val="22"/>
        </w:rPr>
        <w:t xml:space="preserve"> </w:t>
      </w:r>
      <w:r w:rsidR="00DD3723">
        <w:rPr>
          <w:rFonts w:eastAsiaTheme="minorHAnsi" w:cstheme="minorBidi"/>
          <w:szCs w:val="22"/>
        </w:rPr>
        <w:t xml:space="preserve">with </w:t>
      </w:r>
      <w:r w:rsidR="00765D96">
        <w:rPr>
          <w:rFonts w:eastAsiaTheme="minorHAnsi" w:cstheme="minorBidi"/>
          <w:szCs w:val="22"/>
        </w:rPr>
        <w:t xml:space="preserve">more </w:t>
      </w:r>
      <w:r w:rsidR="00DD3723">
        <w:rPr>
          <w:rFonts w:eastAsiaTheme="minorHAnsi" w:cstheme="minorBidi"/>
          <w:szCs w:val="22"/>
        </w:rPr>
        <w:t>certainty</w:t>
      </w:r>
      <w:r w:rsidR="00483560">
        <w:rPr>
          <w:rFonts w:eastAsiaTheme="minorHAnsi" w:cstheme="minorBidi"/>
          <w:szCs w:val="22"/>
        </w:rPr>
        <w:t>.</w:t>
      </w:r>
    </w:p>
    <w:p w14:paraId="38565668" w14:textId="77777777" w:rsidR="00827989" w:rsidRPr="00827989" w:rsidRDefault="00827989">
      <w:pPr>
        <w:spacing w:after="200"/>
        <w:jc w:val="both"/>
        <w:rPr>
          <w:rFonts w:eastAsiaTheme="minorHAnsi" w:cstheme="minorBidi"/>
          <w:szCs w:val="22"/>
        </w:rPr>
      </w:pPr>
      <w:r w:rsidRPr="00827989">
        <w:rPr>
          <w:rFonts w:eastAsiaTheme="minorHAnsi" w:cstheme="minorBidi"/>
          <w:szCs w:val="22"/>
        </w:rPr>
        <w:t>Time-weighted returns is the correct measure for asset manager performance as asset managers do not have control over external cash flows.  However, members do not experience rolling time</w:t>
      </w:r>
      <w:r w:rsidR="00765D96">
        <w:rPr>
          <w:rFonts w:eastAsiaTheme="minorHAnsi" w:cstheme="minorBidi"/>
          <w:szCs w:val="22"/>
        </w:rPr>
        <w:t>-</w:t>
      </w:r>
      <w:r w:rsidRPr="00827989">
        <w:rPr>
          <w:rFonts w:eastAsiaTheme="minorHAnsi" w:cstheme="minorBidi"/>
          <w:szCs w:val="22"/>
        </w:rPr>
        <w:t>weighted returns, which is the suggested measure for assessing the likelihood of producing high net returns for members.  Instead, members experience money-weighted (dollar-weighted) outcomes where ongoing contributions are made</w:t>
      </w:r>
      <w:r w:rsidR="00765D96">
        <w:rPr>
          <w:rFonts w:eastAsiaTheme="minorHAnsi" w:cstheme="minorBidi"/>
          <w:szCs w:val="22"/>
        </w:rPr>
        <w:t>,</w:t>
      </w:r>
      <w:r w:rsidRPr="00827989">
        <w:rPr>
          <w:rFonts w:eastAsiaTheme="minorHAnsi" w:cstheme="minorBidi"/>
          <w:szCs w:val="22"/>
        </w:rPr>
        <w:t xml:space="preserve"> as opposed to single lump sum investments.  Therefore, the</w:t>
      </w:r>
      <w:r w:rsidR="00765D96">
        <w:rPr>
          <w:rFonts w:eastAsiaTheme="minorHAnsi" w:cstheme="minorBidi"/>
          <w:szCs w:val="22"/>
        </w:rPr>
        <w:t xml:space="preserve"> adopted</w:t>
      </w:r>
      <w:r w:rsidRPr="00827989">
        <w:rPr>
          <w:rFonts w:eastAsiaTheme="minorHAnsi" w:cstheme="minorBidi"/>
          <w:szCs w:val="22"/>
        </w:rPr>
        <w:t xml:space="preserve"> measure needs to allow for actual member experiences.</w:t>
      </w:r>
    </w:p>
    <w:p w14:paraId="6527FEB8" w14:textId="77777777" w:rsidR="00A23196" w:rsidRDefault="00827989">
      <w:pPr>
        <w:spacing w:after="200"/>
        <w:jc w:val="both"/>
        <w:rPr>
          <w:rFonts w:eastAsiaTheme="minorHAnsi" w:cstheme="minorBidi"/>
          <w:szCs w:val="22"/>
        </w:rPr>
      </w:pPr>
      <w:r w:rsidRPr="00827989">
        <w:rPr>
          <w:rFonts w:eastAsiaTheme="minorHAnsi" w:cstheme="minorBidi"/>
          <w:szCs w:val="22"/>
        </w:rPr>
        <w:t>Asset</w:t>
      </w:r>
      <w:r w:rsidR="00765D96">
        <w:rPr>
          <w:rFonts w:eastAsiaTheme="minorHAnsi" w:cstheme="minorBidi"/>
          <w:szCs w:val="22"/>
        </w:rPr>
        <w:t>-</w:t>
      </w:r>
      <w:r w:rsidRPr="00827989">
        <w:rPr>
          <w:rFonts w:eastAsiaTheme="minorHAnsi" w:cstheme="minorBidi"/>
          <w:szCs w:val="22"/>
        </w:rPr>
        <w:t xml:space="preserve">only measures, such as time-weighted returns over a rolling 10-year period, </w:t>
      </w:r>
      <w:r w:rsidR="0011289F">
        <w:rPr>
          <w:rFonts w:eastAsiaTheme="minorHAnsi" w:cstheme="minorBidi"/>
          <w:szCs w:val="22"/>
        </w:rPr>
        <w:t>may</w:t>
      </w:r>
      <w:r w:rsidRPr="00827989">
        <w:rPr>
          <w:rFonts w:eastAsiaTheme="minorHAnsi" w:cstheme="minorBidi"/>
          <w:szCs w:val="22"/>
        </w:rPr>
        <w:t xml:space="preserve"> result in unintended consequences as explained in QSuper’s response to Information Request 4.1.  </w:t>
      </w:r>
    </w:p>
    <w:p w14:paraId="6F3AA4B1" w14:textId="77777777" w:rsidR="00A23196" w:rsidRDefault="00A23196">
      <w:pPr>
        <w:spacing w:after="200"/>
        <w:jc w:val="both"/>
        <w:rPr>
          <w:rFonts w:eastAsiaTheme="minorHAnsi" w:cstheme="minorBidi"/>
          <w:szCs w:val="22"/>
        </w:rPr>
      </w:pPr>
    </w:p>
    <w:p w14:paraId="633DA90C" w14:textId="4A63BC46" w:rsidR="00827989" w:rsidRPr="00827989" w:rsidRDefault="00827989">
      <w:pPr>
        <w:spacing w:after="200"/>
        <w:jc w:val="both"/>
        <w:rPr>
          <w:rFonts w:eastAsiaTheme="minorHAnsi" w:cstheme="minorBidi"/>
          <w:szCs w:val="22"/>
        </w:rPr>
      </w:pPr>
      <w:r w:rsidRPr="00827989">
        <w:rPr>
          <w:rFonts w:eastAsiaTheme="minorHAnsi" w:cstheme="minorBidi"/>
          <w:szCs w:val="22"/>
        </w:rPr>
        <w:t>Examples of such unintended consequences are as follows:</w:t>
      </w:r>
    </w:p>
    <w:p w14:paraId="4F8B2652" w14:textId="0BC6BCEA" w:rsidR="00827989" w:rsidRDefault="00827989" w:rsidP="00501163">
      <w:pPr>
        <w:numPr>
          <w:ilvl w:val="0"/>
          <w:numId w:val="17"/>
        </w:numPr>
        <w:spacing w:after="200"/>
        <w:contextualSpacing/>
        <w:jc w:val="both"/>
        <w:rPr>
          <w:rFonts w:eastAsiaTheme="minorHAnsi" w:cstheme="minorBidi"/>
          <w:szCs w:val="22"/>
        </w:rPr>
      </w:pPr>
      <w:r w:rsidRPr="00827989">
        <w:rPr>
          <w:rFonts w:eastAsiaTheme="minorHAnsi" w:cstheme="minorBidi"/>
          <w:szCs w:val="22"/>
        </w:rPr>
        <w:t xml:space="preserve">Where a fund had a single good performance year over the last </w:t>
      </w:r>
      <w:r w:rsidR="00765D96">
        <w:rPr>
          <w:rFonts w:eastAsiaTheme="minorHAnsi" w:cstheme="minorBidi"/>
          <w:szCs w:val="22"/>
        </w:rPr>
        <w:t>10</w:t>
      </w:r>
      <w:r w:rsidR="00765D96" w:rsidRPr="00827989">
        <w:rPr>
          <w:rFonts w:eastAsiaTheme="minorHAnsi" w:cstheme="minorBidi"/>
          <w:szCs w:val="22"/>
        </w:rPr>
        <w:t xml:space="preserve"> </w:t>
      </w:r>
      <w:r w:rsidRPr="00827989">
        <w:rPr>
          <w:rFonts w:eastAsiaTheme="minorHAnsi" w:cstheme="minorBidi"/>
          <w:szCs w:val="22"/>
        </w:rPr>
        <w:t xml:space="preserve">years, that single performance year will remain in a rolling 10-year measure for 10 years.  This is evidenced by certain funds currently in the rolling </w:t>
      </w:r>
      <w:r w:rsidR="00A0067F">
        <w:rPr>
          <w:rFonts w:eastAsiaTheme="minorHAnsi" w:cstheme="minorBidi"/>
          <w:szCs w:val="22"/>
        </w:rPr>
        <w:t>‘</w:t>
      </w:r>
      <w:r w:rsidRPr="00827989">
        <w:rPr>
          <w:rFonts w:eastAsiaTheme="minorHAnsi" w:cstheme="minorBidi"/>
          <w:szCs w:val="22"/>
        </w:rPr>
        <w:t>top</w:t>
      </w:r>
      <w:r w:rsidR="00A0067F">
        <w:rPr>
          <w:rFonts w:eastAsiaTheme="minorHAnsi" w:cstheme="minorBidi"/>
          <w:szCs w:val="22"/>
        </w:rPr>
        <w:t>-</w:t>
      </w:r>
      <w:r w:rsidRPr="00827989">
        <w:rPr>
          <w:rFonts w:eastAsiaTheme="minorHAnsi" w:cstheme="minorBidi"/>
          <w:szCs w:val="22"/>
        </w:rPr>
        <w:t>10</w:t>
      </w:r>
      <w:r w:rsidR="00A0067F">
        <w:rPr>
          <w:rFonts w:eastAsiaTheme="minorHAnsi" w:cstheme="minorBidi"/>
          <w:szCs w:val="22"/>
        </w:rPr>
        <w:t>’</w:t>
      </w:r>
      <w:r w:rsidRPr="00827989">
        <w:rPr>
          <w:rFonts w:eastAsiaTheme="minorHAnsi" w:cstheme="minorBidi"/>
          <w:szCs w:val="22"/>
        </w:rPr>
        <w:t xml:space="preserve"> performing funds</w:t>
      </w:r>
      <w:r w:rsidR="00765D96">
        <w:rPr>
          <w:rFonts w:eastAsiaTheme="minorHAnsi" w:cstheme="minorBidi"/>
          <w:szCs w:val="22"/>
        </w:rPr>
        <w:t xml:space="preserve"> over 10-years</w:t>
      </w:r>
      <w:r w:rsidRPr="00827989">
        <w:rPr>
          <w:rFonts w:eastAsiaTheme="minorHAnsi" w:cstheme="minorBidi"/>
          <w:szCs w:val="22"/>
        </w:rPr>
        <w:t xml:space="preserve">, </w:t>
      </w:r>
      <w:r w:rsidR="00765D96">
        <w:rPr>
          <w:rFonts w:eastAsiaTheme="minorHAnsi" w:cstheme="minorBidi"/>
          <w:szCs w:val="22"/>
        </w:rPr>
        <w:t xml:space="preserve">despite </w:t>
      </w:r>
      <w:r w:rsidRPr="00827989">
        <w:rPr>
          <w:rFonts w:eastAsiaTheme="minorHAnsi" w:cstheme="minorBidi"/>
          <w:szCs w:val="22"/>
        </w:rPr>
        <w:t xml:space="preserve">having </w:t>
      </w:r>
      <w:r w:rsidR="00765D96">
        <w:rPr>
          <w:rFonts w:eastAsiaTheme="minorHAnsi" w:cstheme="minorBidi"/>
          <w:szCs w:val="22"/>
        </w:rPr>
        <w:t xml:space="preserve">only </w:t>
      </w:r>
      <w:r w:rsidRPr="00827989">
        <w:rPr>
          <w:rFonts w:eastAsiaTheme="minorHAnsi" w:cstheme="minorBidi"/>
          <w:szCs w:val="22"/>
        </w:rPr>
        <w:t xml:space="preserve">had one year in which they significantly outperformed peers.  However, the other nine years’ performance may have been relatively poor compared to peers.  </w:t>
      </w:r>
    </w:p>
    <w:p w14:paraId="284A0663" w14:textId="77777777" w:rsidR="0011289F" w:rsidRPr="00827989" w:rsidRDefault="0011289F" w:rsidP="009B7D06">
      <w:pPr>
        <w:spacing w:after="200"/>
        <w:ind w:left="720"/>
        <w:contextualSpacing/>
        <w:jc w:val="both"/>
        <w:rPr>
          <w:rFonts w:eastAsiaTheme="minorHAnsi" w:cstheme="minorBidi"/>
          <w:szCs w:val="22"/>
        </w:rPr>
      </w:pPr>
    </w:p>
    <w:p w14:paraId="3AE3BB56" w14:textId="624A24DD" w:rsidR="00827989" w:rsidRDefault="00827989" w:rsidP="00501163">
      <w:pPr>
        <w:numPr>
          <w:ilvl w:val="0"/>
          <w:numId w:val="17"/>
        </w:numPr>
        <w:spacing w:after="200"/>
        <w:contextualSpacing/>
        <w:jc w:val="both"/>
        <w:rPr>
          <w:rFonts w:eastAsiaTheme="minorHAnsi" w:cstheme="minorBidi"/>
          <w:szCs w:val="22"/>
        </w:rPr>
      </w:pPr>
      <w:r w:rsidRPr="00827989">
        <w:rPr>
          <w:rFonts w:eastAsiaTheme="minorHAnsi" w:cstheme="minorBidi"/>
          <w:szCs w:val="22"/>
        </w:rPr>
        <w:t xml:space="preserve">Funds just outside the </w:t>
      </w:r>
      <w:r w:rsidR="00A0067F">
        <w:rPr>
          <w:rFonts w:eastAsiaTheme="minorHAnsi" w:cstheme="minorBidi"/>
          <w:szCs w:val="22"/>
        </w:rPr>
        <w:t>‘</w:t>
      </w:r>
      <w:r w:rsidR="00A23196">
        <w:rPr>
          <w:rFonts w:eastAsiaTheme="minorHAnsi" w:cstheme="minorBidi"/>
          <w:szCs w:val="22"/>
        </w:rPr>
        <w:t>best-in-show</w:t>
      </w:r>
      <w:r w:rsidR="00A0067F">
        <w:rPr>
          <w:rFonts w:eastAsiaTheme="minorHAnsi" w:cstheme="minorBidi"/>
          <w:szCs w:val="22"/>
        </w:rPr>
        <w:t>’</w:t>
      </w:r>
      <w:r w:rsidR="003D1EC4">
        <w:rPr>
          <w:rFonts w:eastAsiaTheme="minorHAnsi" w:cstheme="minorBidi"/>
          <w:szCs w:val="22"/>
        </w:rPr>
        <w:t xml:space="preserve"> </w:t>
      </w:r>
      <w:r w:rsidRPr="00827989">
        <w:rPr>
          <w:rFonts w:eastAsiaTheme="minorHAnsi" w:cstheme="minorBidi"/>
          <w:szCs w:val="22"/>
        </w:rPr>
        <w:t xml:space="preserve">list may take large risks to get into the </w:t>
      </w:r>
      <w:r w:rsidR="00A0067F">
        <w:rPr>
          <w:rFonts w:eastAsiaTheme="minorHAnsi" w:cstheme="minorBidi"/>
          <w:szCs w:val="22"/>
        </w:rPr>
        <w:t>‘</w:t>
      </w:r>
      <w:r w:rsidRPr="00827989">
        <w:rPr>
          <w:rFonts w:eastAsiaTheme="minorHAnsi" w:cstheme="minorBidi"/>
          <w:szCs w:val="22"/>
        </w:rPr>
        <w:t>top 10</w:t>
      </w:r>
      <w:r w:rsidR="00A0067F">
        <w:rPr>
          <w:rFonts w:eastAsiaTheme="minorHAnsi" w:cstheme="minorBidi"/>
          <w:szCs w:val="22"/>
        </w:rPr>
        <w:t>’</w:t>
      </w:r>
      <w:r w:rsidRPr="00827989">
        <w:rPr>
          <w:rFonts w:eastAsiaTheme="minorHAnsi" w:cstheme="minorBidi"/>
          <w:szCs w:val="22"/>
        </w:rPr>
        <w:t xml:space="preserve"> at the expense of members </w:t>
      </w:r>
      <w:r w:rsidR="00765D96">
        <w:rPr>
          <w:rFonts w:eastAsiaTheme="minorHAnsi" w:cstheme="minorBidi"/>
          <w:szCs w:val="22"/>
        </w:rPr>
        <w:t>should this create an adverse result</w:t>
      </w:r>
      <w:r w:rsidRPr="00827989">
        <w:rPr>
          <w:rFonts w:eastAsiaTheme="minorHAnsi" w:cstheme="minorBidi"/>
          <w:szCs w:val="22"/>
        </w:rPr>
        <w:t xml:space="preserve">.  This may also mean that funds in the </w:t>
      </w:r>
      <w:r w:rsidR="00A0067F">
        <w:rPr>
          <w:rFonts w:eastAsiaTheme="minorHAnsi" w:cstheme="minorBidi"/>
          <w:szCs w:val="22"/>
        </w:rPr>
        <w:t>‘</w:t>
      </w:r>
      <w:r w:rsidR="00D90778">
        <w:rPr>
          <w:rFonts w:eastAsiaTheme="minorHAnsi" w:cstheme="minorBidi"/>
          <w:szCs w:val="22"/>
        </w:rPr>
        <w:t>t</w:t>
      </w:r>
      <w:r w:rsidRPr="00827989">
        <w:rPr>
          <w:rFonts w:eastAsiaTheme="minorHAnsi" w:cstheme="minorBidi"/>
          <w:szCs w:val="22"/>
        </w:rPr>
        <w:t>op</w:t>
      </w:r>
      <w:r w:rsidR="00A0067F">
        <w:rPr>
          <w:rFonts w:eastAsiaTheme="minorHAnsi" w:cstheme="minorBidi"/>
          <w:szCs w:val="22"/>
        </w:rPr>
        <w:t>-</w:t>
      </w:r>
      <w:r w:rsidRPr="00827989">
        <w:rPr>
          <w:rFonts w:eastAsiaTheme="minorHAnsi" w:cstheme="minorBidi"/>
          <w:szCs w:val="22"/>
        </w:rPr>
        <w:t>10</w:t>
      </w:r>
      <w:r w:rsidR="00A0067F">
        <w:rPr>
          <w:rFonts w:eastAsiaTheme="minorHAnsi" w:cstheme="minorBidi"/>
          <w:szCs w:val="22"/>
        </w:rPr>
        <w:t>’</w:t>
      </w:r>
      <w:r w:rsidRPr="00827989">
        <w:rPr>
          <w:rFonts w:eastAsiaTheme="minorHAnsi" w:cstheme="minorBidi"/>
          <w:szCs w:val="22"/>
        </w:rPr>
        <w:t xml:space="preserve"> alter their asset allocation to mitigate peer risk (and improve their chances of staying in the </w:t>
      </w:r>
      <w:r w:rsidR="003D1EC4">
        <w:rPr>
          <w:rFonts w:eastAsiaTheme="minorHAnsi" w:cstheme="minorBidi"/>
          <w:szCs w:val="22"/>
        </w:rPr>
        <w:t>t</w:t>
      </w:r>
      <w:r w:rsidRPr="00827989">
        <w:rPr>
          <w:rFonts w:eastAsiaTheme="minorHAnsi" w:cstheme="minorBidi"/>
          <w:szCs w:val="22"/>
        </w:rPr>
        <w:t>op 10) just before the quadrennial review</w:t>
      </w:r>
      <w:r w:rsidR="00132ED9">
        <w:rPr>
          <w:rFonts w:eastAsiaTheme="minorHAnsi" w:cstheme="minorBidi"/>
          <w:szCs w:val="22"/>
        </w:rPr>
        <w:t>.</w:t>
      </w:r>
      <w:r w:rsidR="001303CC">
        <w:rPr>
          <w:rFonts w:eastAsiaTheme="minorHAnsi" w:cstheme="minorBidi"/>
          <w:szCs w:val="22"/>
        </w:rPr>
        <w:t xml:space="preserve"> N</w:t>
      </w:r>
      <w:r w:rsidRPr="00827989">
        <w:rPr>
          <w:rFonts w:eastAsiaTheme="minorHAnsi" w:cstheme="minorBidi"/>
          <w:szCs w:val="22"/>
        </w:rPr>
        <w:t>either outcome is based upon providing the best outcome for members.</w:t>
      </w:r>
    </w:p>
    <w:p w14:paraId="4D96B4FF" w14:textId="77777777" w:rsidR="0011289F" w:rsidRPr="00827989" w:rsidRDefault="0011289F" w:rsidP="009B7D06">
      <w:pPr>
        <w:spacing w:after="200"/>
        <w:ind w:left="720"/>
        <w:contextualSpacing/>
        <w:jc w:val="both"/>
        <w:rPr>
          <w:rFonts w:eastAsiaTheme="minorHAnsi" w:cstheme="minorBidi"/>
          <w:szCs w:val="22"/>
        </w:rPr>
      </w:pPr>
    </w:p>
    <w:p w14:paraId="29AA83EA" w14:textId="77777777" w:rsidR="00827989" w:rsidRDefault="00827989" w:rsidP="00501163">
      <w:pPr>
        <w:numPr>
          <w:ilvl w:val="0"/>
          <w:numId w:val="17"/>
        </w:numPr>
        <w:spacing w:after="200"/>
        <w:contextualSpacing/>
        <w:jc w:val="both"/>
        <w:rPr>
          <w:rFonts w:eastAsiaTheme="minorHAnsi" w:cstheme="minorBidi"/>
          <w:szCs w:val="22"/>
        </w:rPr>
      </w:pPr>
      <w:r w:rsidRPr="00827989">
        <w:rPr>
          <w:rFonts w:eastAsiaTheme="minorHAnsi" w:cstheme="minorBidi"/>
          <w:szCs w:val="22"/>
        </w:rPr>
        <w:t xml:space="preserve">Since the Global Financial Crisis (GFC), returns have been extraordinary and well above expectations.  As such, most investment risks paid off.  However, during the GFC, only those funds who appropriately managed investment risks achieved reasonable returns.  Again, using a simple measure such as time-weighted rolling returns over the last 10-year period will result in the GFC performance figures rolling out and returns </w:t>
      </w:r>
      <w:r w:rsidR="0011289F">
        <w:rPr>
          <w:rFonts w:eastAsiaTheme="minorHAnsi" w:cstheme="minorBidi"/>
          <w:szCs w:val="22"/>
        </w:rPr>
        <w:t xml:space="preserve">increasing </w:t>
      </w:r>
      <w:r w:rsidRPr="00827989">
        <w:rPr>
          <w:rFonts w:eastAsiaTheme="minorHAnsi" w:cstheme="minorBidi"/>
          <w:szCs w:val="22"/>
        </w:rPr>
        <w:t xml:space="preserve">for funds, especially for those funds </w:t>
      </w:r>
      <w:r w:rsidR="0011289F">
        <w:rPr>
          <w:rFonts w:eastAsiaTheme="minorHAnsi" w:cstheme="minorBidi"/>
          <w:szCs w:val="22"/>
        </w:rPr>
        <w:t xml:space="preserve">that </w:t>
      </w:r>
      <w:r w:rsidRPr="00827989">
        <w:rPr>
          <w:rFonts w:eastAsiaTheme="minorHAnsi" w:cstheme="minorBidi"/>
          <w:szCs w:val="22"/>
        </w:rPr>
        <w:t xml:space="preserve">did not manage </w:t>
      </w:r>
      <w:r w:rsidR="003249D5">
        <w:rPr>
          <w:rFonts w:eastAsiaTheme="minorHAnsi" w:cstheme="minorBidi"/>
          <w:szCs w:val="22"/>
        </w:rPr>
        <w:t xml:space="preserve">investment </w:t>
      </w:r>
      <w:r w:rsidRPr="00827989">
        <w:rPr>
          <w:rFonts w:eastAsiaTheme="minorHAnsi" w:cstheme="minorBidi"/>
          <w:szCs w:val="22"/>
        </w:rPr>
        <w:t>risks well</w:t>
      </w:r>
      <w:r w:rsidR="003249D5">
        <w:rPr>
          <w:rFonts w:eastAsiaTheme="minorHAnsi" w:cstheme="minorBidi"/>
          <w:szCs w:val="22"/>
        </w:rPr>
        <w:t xml:space="preserve"> during the GFC</w:t>
      </w:r>
      <w:r w:rsidRPr="00827989">
        <w:rPr>
          <w:rFonts w:eastAsiaTheme="minorHAnsi" w:cstheme="minorBidi"/>
          <w:szCs w:val="22"/>
        </w:rPr>
        <w:t xml:space="preserve">.  As such, a 10-year return measure should be any 10-year period, not just </w:t>
      </w:r>
      <w:r w:rsidR="003249D5" w:rsidRPr="00827989">
        <w:rPr>
          <w:rFonts w:eastAsiaTheme="minorHAnsi" w:cstheme="minorBidi"/>
          <w:szCs w:val="22"/>
        </w:rPr>
        <w:t>the</w:t>
      </w:r>
      <w:r w:rsidRPr="00827989">
        <w:rPr>
          <w:rFonts w:eastAsiaTheme="minorHAnsi" w:cstheme="minorBidi"/>
          <w:szCs w:val="22"/>
        </w:rPr>
        <w:t xml:space="preserve"> last 10 years.</w:t>
      </w:r>
    </w:p>
    <w:p w14:paraId="0D93635B" w14:textId="77777777" w:rsidR="0011289F" w:rsidRPr="00827989" w:rsidRDefault="0011289F" w:rsidP="009B7D06">
      <w:pPr>
        <w:spacing w:after="200"/>
        <w:ind w:left="720"/>
        <w:contextualSpacing/>
        <w:jc w:val="both"/>
        <w:rPr>
          <w:rFonts w:eastAsiaTheme="minorHAnsi" w:cstheme="minorBidi"/>
          <w:szCs w:val="22"/>
        </w:rPr>
      </w:pPr>
    </w:p>
    <w:p w14:paraId="6A574823" w14:textId="77777777" w:rsidR="00827989" w:rsidRPr="00827989" w:rsidRDefault="00827989">
      <w:pPr>
        <w:numPr>
          <w:ilvl w:val="0"/>
          <w:numId w:val="17"/>
        </w:numPr>
        <w:spacing w:after="200"/>
        <w:contextualSpacing/>
        <w:jc w:val="both"/>
        <w:rPr>
          <w:rFonts w:eastAsiaTheme="minorHAnsi" w:cstheme="minorBidi"/>
          <w:szCs w:val="22"/>
        </w:rPr>
      </w:pPr>
      <w:r w:rsidRPr="00827989">
        <w:rPr>
          <w:rFonts w:eastAsiaTheme="minorHAnsi" w:cstheme="minorBidi"/>
          <w:szCs w:val="22"/>
        </w:rPr>
        <w:t xml:space="preserve">Rankings for </w:t>
      </w:r>
      <w:r w:rsidR="0060378D">
        <w:rPr>
          <w:rFonts w:eastAsiaTheme="minorHAnsi" w:cstheme="minorBidi"/>
          <w:szCs w:val="22"/>
        </w:rPr>
        <w:t>one</w:t>
      </w:r>
      <w:r w:rsidRPr="00827989">
        <w:rPr>
          <w:rFonts w:eastAsiaTheme="minorHAnsi" w:cstheme="minorBidi"/>
          <w:szCs w:val="22"/>
        </w:rPr>
        <w:t xml:space="preserve">, </w:t>
      </w:r>
      <w:r w:rsidR="0060378D">
        <w:rPr>
          <w:rFonts w:eastAsiaTheme="minorHAnsi" w:cstheme="minorBidi"/>
          <w:szCs w:val="22"/>
        </w:rPr>
        <w:t>three</w:t>
      </w:r>
      <w:r w:rsidRPr="00827989">
        <w:rPr>
          <w:rFonts w:eastAsiaTheme="minorHAnsi" w:cstheme="minorBidi"/>
          <w:szCs w:val="22"/>
        </w:rPr>
        <w:t xml:space="preserve">, </w:t>
      </w:r>
      <w:r w:rsidR="0060378D">
        <w:rPr>
          <w:rFonts w:eastAsiaTheme="minorHAnsi" w:cstheme="minorBidi"/>
          <w:szCs w:val="22"/>
        </w:rPr>
        <w:t>five</w:t>
      </w:r>
      <w:r w:rsidRPr="00827989">
        <w:rPr>
          <w:rFonts w:eastAsiaTheme="minorHAnsi" w:cstheme="minorBidi"/>
          <w:szCs w:val="22"/>
        </w:rPr>
        <w:t>, and 10-year rolling returns are dominated by the last year’s return and all include the return from the most recent period.</w:t>
      </w:r>
    </w:p>
    <w:p w14:paraId="31775BC1" w14:textId="77777777" w:rsidR="00827989" w:rsidRPr="00827989" w:rsidRDefault="00827989">
      <w:pPr>
        <w:jc w:val="both"/>
        <w:rPr>
          <w:rFonts w:eastAsiaTheme="minorHAnsi" w:cstheme="minorBidi"/>
          <w:szCs w:val="22"/>
        </w:rPr>
      </w:pPr>
    </w:p>
    <w:p w14:paraId="4B07CA50" w14:textId="77777777" w:rsidR="00827989" w:rsidRPr="00827989" w:rsidRDefault="00827989">
      <w:pPr>
        <w:spacing w:after="200"/>
        <w:jc w:val="both"/>
        <w:rPr>
          <w:rFonts w:eastAsiaTheme="minorHAnsi" w:cstheme="minorBidi"/>
          <w:szCs w:val="22"/>
        </w:rPr>
      </w:pPr>
      <w:r w:rsidRPr="00827989">
        <w:rPr>
          <w:rFonts w:eastAsiaTheme="minorHAnsi" w:cstheme="minorBidi"/>
          <w:szCs w:val="22"/>
        </w:rPr>
        <w:t xml:space="preserve">The assessment should rather be done on a risk-adjusted basis.  Using a </w:t>
      </w:r>
      <w:r w:rsidR="0060378D">
        <w:rPr>
          <w:rFonts w:eastAsiaTheme="minorHAnsi" w:cstheme="minorBidi"/>
          <w:szCs w:val="22"/>
        </w:rPr>
        <w:t>S</w:t>
      </w:r>
      <w:r w:rsidRPr="00827989">
        <w:rPr>
          <w:rFonts w:eastAsiaTheme="minorHAnsi" w:cstheme="minorBidi"/>
          <w:szCs w:val="22"/>
        </w:rPr>
        <w:t>harpe Ratio is an example of a risk-adjusted measure.  However, it is not an ideal measure as it only considers one type of risk (asset volatility).  As such, Sharpe ratios can mask the riskiness of an investment vehicle or strategy during periods of subdued market volatility.</w:t>
      </w:r>
    </w:p>
    <w:p w14:paraId="04E938AE" w14:textId="77777777" w:rsidR="00827989" w:rsidRPr="00827989" w:rsidRDefault="00827989">
      <w:pPr>
        <w:spacing w:after="200"/>
        <w:jc w:val="both"/>
        <w:rPr>
          <w:rFonts w:eastAsiaTheme="minorHAnsi" w:cstheme="minorBidi"/>
          <w:szCs w:val="22"/>
        </w:rPr>
      </w:pPr>
      <w:r w:rsidRPr="00827989">
        <w:rPr>
          <w:rFonts w:eastAsiaTheme="minorHAnsi" w:cstheme="minorBidi"/>
          <w:szCs w:val="22"/>
        </w:rPr>
        <w:t xml:space="preserve">An alternative approach would be to use a measure of </w:t>
      </w:r>
      <w:r w:rsidRPr="00827989">
        <w:rPr>
          <w:rFonts w:eastAsiaTheme="minorHAnsi" w:cstheme="minorBidi"/>
          <w:i/>
          <w:szCs w:val="22"/>
          <w:u w:val="single"/>
        </w:rPr>
        <w:t>persistency</w:t>
      </w:r>
      <w:r w:rsidRPr="00827989">
        <w:rPr>
          <w:rFonts w:eastAsiaTheme="minorHAnsi" w:cstheme="minorBidi"/>
          <w:szCs w:val="22"/>
        </w:rPr>
        <w:t xml:space="preserve"> (i.e. consistency).</w:t>
      </w:r>
    </w:p>
    <w:p w14:paraId="023027FB" w14:textId="77777777" w:rsidR="00827989" w:rsidRPr="00827989" w:rsidRDefault="00827989">
      <w:pPr>
        <w:spacing w:after="200"/>
        <w:jc w:val="both"/>
        <w:rPr>
          <w:rFonts w:eastAsiaTheme="minorHAnsi" w:cstheme="minorBidi"/>
          <w:szCs w:val="22"/>
        </w:rPr>
      </w:pPr>
      <w:r w:rsidRPr="00827989">
        <w:rPr>
          <w:rFonts w:eastAsiaTheme="minorHAnsi" w:cstheme="minorBidi"/>
          <w:szCs w:val="22"/>
        </w:rPr>
        <w:t xml:space="preserve">Persistency generally means the ability for an investment vehicle or strategy to provide consistent returns over a long run time horizon (we suggest </w:t>
      </w:r>
      <w:r w:rsidR="0060378D">
        <w:rPr>
          <w:rFonts w:eastAsiaTheme="minorHAnsi" w:cstheme="minorBidi"/>
          <w:szCs w:val="22"/>
        </w:rPr>
        <w:t>seven</w:t>
      </w:r>
      <w:r w:rsidR="0060378D" w:rsidRPr="00827989">
        <w:rPr>
          <w:rFonts w:eastAsiaTheme="minorHAnsi" w:cstheme="minorBidi"/>
          <w:szCs w:val="22"/>
        </w:rPr>
        <w:t xml:space="preserve"> </w:t>
      </w:r>
      <w:r w:rsidRPr="00827989">
        <w:rPr>
          <w:rFonts w:eastAsiaTheme="minorHAnsi" w:cstheme="minorBidi"/>
          <w:szCs w:val="22"/>
        </w:rPr>
        <w:t>or 10 years)</w:t>
      </w:r>
      <w:r w:rsidR="0060378D">
        <w:rPr>
          <w:rFonts w:eastAsiaTheme="minorHAnsi" w:cstheme="minorBidi"/>
          <w:szCs w:val="22"/>
        </w:rPr>
        <w:t>,</w:t>
      </w:r>
      <w:r w:rsidRPr="00827989">
        <w:rPr>
          <w:rFonts w:eastAsiaTheme="minorHAnsi" w:cstheme="minorBidi"/>
          <w:szCs w:val="22"/>
        </w:rPr>
        <w:t xml:space="preserve"> with no individual return dominating the overall compounded return. There are many ways to measure persistency from simple metrics to complicated mathematical inferences, each of which has its own limitations, as illustrated by the examples below:</w:t>
      </w:r>
    </w:p>
    <w:p w14:paraId="0C7A8794" w14:textId="77777777" w:rsidR="00827989" w:rsidRPr="00827989" w:rsidRDefault="00827989">
      <w:pPr>
        <w:spacing w:after="200"/>
        <w:jc w:val="both"/>
        <w:rPr>
          <w:rFonts w:eastAsiaTheme="minorHAnsi" w:cstheme="minorBidi"/>
          <w:szCs w:val="22"/>
        </w:rPr>
      </w:pPr>
      <w:r w:rsidRPr="00827989">
        <w:rPr>
          <w:rFonts w:eastAsiaTheme="minorHAnsi" w:cstheme="minorBidi"/>
          <w:szCs w:val="22"/>
        </w:rPr>
        <w:t xml:space="preserve">The persistency example calculations </w:t>
      </w:r>
      <w:r w:rsidR="008816C6">
        <w:rPr>
          <w:rFonts w:eastAsiaTheme="minorHAnsi" w:cstheme="minorBidi"/>
          <w:szCs w:val="22"/>
        </w:rPr>
        <w:t xml:space="preserve">over the page </w:t>
      </w:r>
      <w:r w:rsidRPr="00827989">
        <w:rPr>
          <w:rFonts w:eastAsiaTheme="minorHAnsi" w:cstheme="minorBidi"/>
          <w:szCs w:val="22"/>
        </w:rPr>
        <w:t>have been performed using data from SuperRatings and Bloomberg</w:t>
      </w:r>
      <w:r w:rsidR="0087389F">
        <w:rPr>
          <w:rFonts w:eastAsiaTheme="minorHAnsi" w:cstheme="minorBidi"/>
          <w:szCs w:val="22"/>
        </w:rPr>
        <w:t>,</w:t>
      </w:r>
      <w:r w:rsidRPr="00827989">
        <w:rPr>
          <w:rFonts w:eastAsiaTheme="minorHAnsi" w:cstheme="minorBidi"/>
          <w:szCs w:val="22"/>
        </w:rPr>
        <w:t xml:space="preserve"> and use annual periods ending June 30 each year from 2011 to 2017. </w:t>
      </w:r>
    </w:p>
    <w:p w14:paraId="53AFDF81" w14:textId="77777777" w:rsidR="00827989" w:rsidRPr="00827989" w:rsidRDefault="00827989">
      <w:pPr>
        <w:spacing w:after="200"/>
        <w:jc w:val="both"/>
        <w:rPr>
          <w:rFonts w:eastAsiaTheme="minorHAnsi" w:cstheme="minorBidi"/>
          <w:szCs w:val="22"/>
        </w:rPr>
      </w:pPr>
      <w:r w:rsidRPr="00827989">
        <w:rPr>
          <w:rFonts w:eastAsiaTheme="minorHAnsi" w:cstheme="minorBidi"/>
          <w:szCs w:val="22"/>
        </w:rPr>
        <w:t xml:space="preserve">The SR50 Balanced Index and QSuper – Balanced returns are provided by SuperRatings with a proxy for the Equities market returns using a 50/50 split between Australian and Global Equities calculated from market index returns available on Bloomberg. </w:t>
      </w:r>
    </w:p>
    <w:p w14:paraId="1D1E452D" w14:textId="77777777" w:rsidR="00614F1B" w:rsidRPr="00827989" w:rsidRDefault="00614F1B" w:rsidP="00614F1B">
      <w:pPr>
        <w:jc w:val="both"/>
        <w:rPr>
          <w:rFonts w:eastAsiaTheme="minorHAnsi" w:cstheme="minorBidi"/>
          <w:szCs w:val="22"/>
        </w:rPr>
      </w:pPr>
      <w:r>
        <w:rPr>
          <w:rFonts w:eastAsiaTheme="minorHAnsi" w:cstheme="minorBidi"/>
          <w:szCs w:val="22"/>
        </w:rPr>
        <w:t>For illustrative purposes, t</w:t>
      </w:r>
      <w:r w:rsidR="00827989" w:rsidRPr="00827989">
        <w:rPr>
          <w:rFonts w:eastAsiaTheme="minorHAnsi" w:cstheme="minorBidi"/>
          <w:szCs w:val="22"/>
        </w:rPr>
        <w:t xml:space="preserve">wo hypothetical portfolios </w:t>
      </w:r>
      <w:r w:rsidRPr="00614F1B">
        <w:rPr>
          <w:rFonts w:eastAsiaTheme="minorHAnsi" w:cstheme="minorBidi"/>
          <w:szCs w:val="22"/>
        </w:rPr>
        <w:t xml:space="preserve">that match the QSuper return stream </w:t>
      </w:r>
      <w:r>
        <w:rPr>
          <w:rFonts w:eastAsiaTheme="minorHAnsi" w:cstheme="minorBidi"/>
          <w:szCs w:val="22"/>
        </w:rPr>
        <w:t xml:space="preserve"> - one showing ‘</w:t>
      </w:r>
      <w:r w:rsidRPr="00614F1B">
        <w:rPr>
          <w:rFonts w:eastAsiaTheme="minorHAnsi" w:cstheme="minorBidi"/>
          <w:szCs w:val="22"/>
        </w:rPr>
        <w:t>perfect</w:t>
      </w:r>
      <w:r>
        <w:rPr>
          <w:rFonts w:eastAsiaTheme="minorHAnsi" w:cstheme="minorBidi"/>
          <w:szCs w:val="22"/>
        </w:rPr>
        <w:t>’</w:t>
      </w:r>
      <w:r w:rsidRPr="00614F1B">
        <w:rPr>
          <w:rFonts w:eastAsiaTheme="minorHAnsi" w:cstheme="minorBidi"/>
          <w:szCs w:val="22"/>
        </w:rPr>
        <w:t xml:space="preserve"> persistency and </w:t>
      </w:r>
      <w:r>
        <w:rPr>
          <w:rFonts w:eastAsiaTheme="minorHAnsi" w:cstheme="minorBidi"/>
          <w:szCs w:val="22"/>
        </w:rPr>
        <w:t>the other ‘</w:t>
      </w:r>
      <w:r w:rsidRPr="00614F1B">
        <w:rPr>
          <w:rFonts w:eastAsiaTheme="minorHAnsi" w:cstheme="minorBidi"/>
          <w:szCs w:val="22"/>
        </w:rPr>
        <w:t>poor</w:t>
      </w:r>
      <w:r>
        <w:rPr>
          <w:rFonts w:eastAsiaTheme="minorHAnsi" w:cstheme="minorBidi"/>
          <w:szCs w:val="22"/>
        </w:rPr>
        <w:t>’</w:t>
      </w:r>
      <w:r w:rsidRPr="00614F1B">
        <w:rPr>
          <w:rFonts w:eastAsiaTheme="minorHAnsi" w:cstheme="minorBidi"/>
          <w:szCs w:val="22"/>
        </w:rPr>
        <w:t xml:space="preserve"> persistency </w:t>
      </w:r>
      <w:r>
        <w:rPr>
          <w:rFonts w:eastAsiaTheme="minorHAnsi" w:cstheme="minorBidi"/>
          <w:szCs w:val="22"/>
        </w:rPr>
        <w:t>have been included.</w:t>
      </w:r>
    </w:p>
    <w:p w14:paraId="2D509A6D" w14:textId="77777777" w:rsidR="00827989" w:rsidRPr="00827989" w:rsidRDefault="00827989" w:rsidP="00614F1B">
      <w:pPr>
        <w:spacing w:after="200"/>
        <w:jc w:val="both"/>
        <w:rPr>
          <w:rFonts w:eastAsiaTheme="minorHAnsi" w:cstheme="minorBidi"/>
          <w:szCs w:val="22"/>
        </w:rPr>
      </w:pPr>
    </w:p>
    <w:p w14:paraId="08412197" w14:textId="77777777" w:rsidR="00827989" w:rsidRPr="00827989" w:rsidRDefault="00827989">
      <w:pPr>
        <w:jc w:val="both"/>
        <w:rPr>
          <w:rFonts w:eastAsiaTheme="minorHAnsi" w:cstheme="minorBidi"/>
          <w:szCs w:val="22"/>
        </w:rPr>
      </w:pPr>
      <w:r w:rsidRPr="00827989">
        <w:rPr>
          <w:rFonts w:eastAsiaTheme="minorHAnsi" w:cstheme="minorBidi"/>
          <w:noProof/>
          <w:szCs w:val="22"/>
          <w:lang w:eastAsia="en-AU"/>
        </w:rPr>
        <w:lastRenderedPageBreak/>
        <w:drawing>
          <wp:anchor distT="0" distB="0" distL="114300" distR="114300" simplePos="0" relativeHeight="251677696" behindDoc="0" locked="0" layoutInCell="1" allowOverlap="1" wp14:anchorId="0412DFAB" wp14:editId="631B4CC8">
            <wp:simplePos x="0" y="0"/>
            <wp:positionH relativeFrom="margin">
              <wp:align>center</wp:align>
            </wp:positionH>
            <wp:positionV relativeFrom="paragraph">
              <wp:posOffset>236855</wp:posOffset>
            </wp:positionV>
            <wp:extent cx="4321810" cy="1926590"/>
            <wp:effectExtent l="0" t="0" r="254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21810" cy="1926590"/>
                    </a:xfrm>
                    <a:prstGeom prst="rect">
                      <a:avLst/>
                    </a:prstGeom>
                    <a:noFill/>
                    <a:ln>
                      <a:noFill/>
                    </a:ln>
                  </pic:spPr>
                </pic:pic>
              </a:graphicData>
            </a:graphic>
          </wp:anchor>
        </w:drawing>
      </w:r>
      <w:r w:rsidRPr="00827989">
        <w:rPr>
          <w:rFonts w:eastAsiaTheme="minorHAnsi" w:cstheme="minorBidi"/>
          <w:szCs w:val="22"/>
        </w:rPr>
        <w:t>Performance numbers:</w:t>
      </w:r>
    </w:p>
    <w:p w14:paraId="45B2571A" w14:textId="77777777" w:rsidR="00827989" w:rsidRPr="00827989" w:rsidRDefault="00827989">
      <w:pPr>
        <w:spacing w:after="200"/>
        <w:jc w:val="both"/>
        <w:rPr>
          <w:rFonts w:eastAsiaTheme="minorHAnsi" w:cstheme="minorBidi"/>
          <w:szCs w:val="22"/>
        </w:rPr>
      </w:pPr>
    </w:p>
    <w:p w14:paraId="65C45197" w14:textId="77777777" w:rsidR="00827989" w:rsidRPr="00827989" w:rsidRDefault="00827989">
      <w:pPr>
        <w:spacing w:after="200"/>
        <w:jc w:val="both"/>
        <w:rPr>
          <w:rFonts w:eastAsiaTheme="minorHAnsi" w:cstheme="minorBidi"/>
          <w:szCs w:val="22"/>
        </w:rPr>
      </w:pPr>
      <w:r w:rsidRPr="00827989">
        <w:rPr>
          <w:rFonts w:eastAsiaTheme="minorHAnsi" w:cstheme="minorBidi"/>
          <w:szCs w:val="22"/>
        </w:rPr>
        <w:t xml:space="preserve">In FYE 2011, the Poor portfolio would be at the top of the league tables, based upon </w:t>
      </w:r>
      <w:r w:rsidR="0060378D">
        <w:rPr>
          <w:rFonts w:eastAsiaTheme="minorHAnsi" w:cstheme="minorBidi"/>
          <w:szCs w:val="22"/>
        </w:rPr>
        <w:t>one</w:t>
      </w:r>
      <w:r w:rsidRPr="00827989">
        <w:rPr>
          <w:rFonts w:eastAsiaTheme="minorHAnsi" w:cstheme="minorBidi"/>
          <w:szCs w:val="22"/>
        </w:rPr>
        <w:t xml:space="preserve">-year returns, followed by the Equities strategy. Over the long run, Equities is the top performer with QSuper, Perfect and Poor all tied with 9.42% p.a. </w:t>
      </w:r>
    </w:p>
    <w:p w14:paraId="377B0332" w14:textId="77777777" w:rsidR="00827989" w:rsidRPr="00827989" w:rsidRDefault="00827989">
      <w:pPr>
        <w:spacing w:after="200"/>
        <w:jc w:val="both"/>
        <w:rPr>
          <w:rFonts w:eastAsiaTheme="minorHAnsi" w:cstheme="minorBidi"/>
          <w:szCs w:val="22"/>
        </w:rPr>
      </w:pPr>
      <w:r w:rsidRPr="00827989">
        <w:rPr>
          <w:rFonts w:eastAsiaTheme="minorHAnsi" w:cstheme="minorBidi"/>
          <w:szCs w:val="22"/>
        </w:rPr>
        <w:t>However, this only tells one part of the story – how persistent / consistent were the investment vehicles in generating these returns? Considering each of the metrics outlined below illustrates the impact on the results, together with commentary on the strengths and weaknesses of each approach.</w:t>
      </w:r>
    </w:p>
    <w:p w14:paraId="053659E1" w14:textId="77777777" w:rsidR="00827989" w:rsidRPr="00827989" w:rsidRDefault="00827989">
      <w:pPr>
        <w:spacing w:after="200"/>
        <w:jc w:val="both"/>
        <w:rPr>
          <w:rFonts w:eastAsiaTheme="minorHAnsi" w:cstheme="minorBidi"/>
          <w:b/>
          <w:szCs w:val="22"/>
        </w:rPr>
      </w:pPr>
      <w:r w:rsidRPr="00827989">
        <w:rPr>
          <w:rFonts w:eastAsiaTheme="minorHAnsi" w:cstheme="minorBidi"/>
          <w:b/>
          <w:szCs w:val="22"/>
        </w:rPr>
        <w:t>Metric 1 (Count of meeting objective):</w:t>
      </w:r>
    </w:p>
    <w:p w14:paraId="1122AF82" w14:textId="77777777" w:rsidR="00827989" w:rsidRPr="00827989" w:rsidRDefault="00827989">
      <w:pPr>
        <w:spacing w:after="200"/>
        <w:jc w:val="both"/>
        <w:rPr>
          <w:rFonts w:eastAsiaTheme="minorHAnsi" w:cstheme="minorBidi"/>
          <w:szCs w:val="22"/>
        </w:rPr>
      </w:pPr>
      <w:r w:rsidRPr="00827989">
        <w:rPr>
          <w:rFonts w:eastAsiaTheme="minorHAnsi" w:cstheme="minorBidi"/>
          <w:szCs w:val="22"/>
        </w:rPr>
        <w:t xml:space="preserve">The simplest metric would be to count the number of times an investment vehicle met its absolute (CPI + return) objective in any given period. For example, a vehicle might exceed its absolute return objectives in </w:t>
      </w:r>
      <w:r w:rsidR="0060378D">
        <w:rPr>
          <w:rFonts w:eastAsiaTheme="minorHAnsi" w:cstheme="minorBidi"/>
          <w:szCs w:val="22"/>
        </w:rPr>
        <w:t>eight</w:t>
      </w:r>
      <w:r w:rsidR="0060378D" w:rsidRPr="00827989">
        <w:rPr>
          <w:rFonts w:eastAsiaTheme="minorHAnsi" w:cstheme="minorBidi"/>
          <w:szCs w:val="22"/>
        </w:rPr>
        <w:t xml:space="preserve"> </w:t>
      </w:r>
      <w:r w:rsidRPr="00827989">
        <w:rPr>
          <w:rFonts w:eastAsiaTheme="minorHAnsi" w:cstheme="minorBidi"/>
          <w:szCs w:val="22"/>
        </w:rPr>
        <w:t>years out of the past 10 years.</w:t>
      </w:r>
    </w:p>
    <w:p w14:paraId="7AB3CC7D" w14:textId="77777777" w:rsidR="00827989" w:rsidRPr="00827989" w:rsidRDefault="00827989">
      <w:pPr>
        <w:spacing w:after="200"/>
        <w:jc w:val="both"/>
        <w:rPr>
          <w:rFonts w:eastAsiaTheme="minorHAnsi" w:cstheme="minorBidi"/>
          <w:szCs w:val="22"/>
        </w:rPr>
      </w:pPr>
      <w:r w:rsidRPr="00827989">
        <w:rPr>
          <w:rFonts w:eastAsiaTheme="minorHAnsi" w:cstheme="minorBidi"/>
          <w:szCs w:val="22"/>
        </w:rPr>
        <w:t xml:space="preserve">Under an assumed 6% p.a. objective regime, the SR50 Balanced Index, Equities and the Poor portfolio would score </w:t>
      </w:r>
      <w:r w:rsidR="00CE20A1">
        <w:rPr>
          <w:rFonts w:eastAsiaTheme="minorHAnsi" w:cstheme="minorBidi"/>
          <w:szCs w:val="22"/>
        </w:rPr>
        <w:t>five</w:t>
      </w:r>
      <w:r w:rsidR="00CE20A1" w:rsidRPr="00827989">
        <w:rPr>
          <w:rFonts w:eastAsiaTheme="minorHAnsi" w:cstheme="minorBidi"/>
          <w:szCs w:val="22"/>
        </w:rPr>
        <w:t xml:space="preserve"> </w:t>
      </w:r>
      <w:r w:rsidRPr="00827989">
        <w:rPr>
          <w:rFonts w:eastAsiaTheme="minorHAnsi" w:cstheme="minorBidi"/>
          <w:szCs w:val="22"/>
        </w:rPr>
        <w:t xml:space="preserve">out of </w:t>
      </w:r>
      <w:r w:rsidR="00CE20A1">
        <w:rPr>
          <w:rFonts w:eastAsiaTheme="minorHAnsi" w:cstheme="minorBidi"/>
          <w:szCs w:val="22"/>
        </w:rPr>
        <w:t>seven,</w:t>
      </w:r>
      <w:r w:rsidR="00CE20A1" w:rsidRPr="00827989">
        <w:rPr>
          <w:rFonts w:eastAsiaTheme="minorHAnsi" w:cstheme="minorBidi"/>
          <w:szCs w:val="22"/>
        </w:rPr>
        <w:t xml:space="preserve"> </w:t>
      </w:r>
      <w:r w:rsidRPr="00827989">
        <w:rPr>
          <w:rFonts w:eastAsiaTheme="minorHAnsi" w:cstheme="minorBidi"/>
          <w:szCs w:val="22"/>
        </w:rPr>
        <w:t xml:space="preserve">with QSuper and the Perfect portfolio scoring </w:t>
      </w:r>
      <w:r w:rsidR="00CE20A1">
        <w:rPr>
          <w:rFonts w:eastAsiaTheme="minorHAnsi" w:cstheme="minorBidi"/>
          <w:szCs w:val="22"/>
        </w:rPr>
        <w:t>seven</w:t>
      </w:r>
      <w:r w:rsidR="00CE20A1" w:rsidRPr="00827989">
        <w:rPr>
          <w:rFonts w:eastAsiaTheme="minorHAnsi" w:cstheme="minorBidi"/>
          <w:szCs w:val="22"/>
        </w:rPr>
        <w:t xml:space="preserve"> </w:t>
      </w:r>
      <w:r w:rsidRPr="00827989">
        <w:rPr>
          <w:rFonts w:eastAsiaTheme="minorHAnsi" w:cstheme="minorBidi"/>
          <w:szCs w:val="22"/>
        </w:rPr>
        <w:t xml:space="preserve">out of </w:t>
      </w:r>
      <w:r w:rsidR="00CE20A1">
        <w:rPr>
          <w:rFonts w:eastAsiaTheme="minorHAnsi" w:cstheme="minorBidi"/>
          <w:szCs w:val="22"/>
        </w:rPr>
        <w:t>seven</w:t>
      </w:r>
      <w:r w:rsidRPr="00827989">
        <w:rPr>
          <w:rFonts w:eastAsiaTheme="minorHAnsi" w:cstheme="minorBidi"/>
          <w:szCs w:val="22"/>
        </w:rPr>
        <w:t xml:space="preserve">. </w:t>
      </w:r>
    </w:p>
    <w:p w14:paraId="5EB8D570" w14:textId="77777777" w:rsidR="00827989" w:rsidRPr="00827989" w:rsidRDefault="00827989">
      <w:pPr>
        <w:spacing w:after="200"/>
        <w:jc w:val="both"/>
        <w:rPr>
          <w:rFonts w:eastAsiaTheme="minorHAnsi" w:cstheme="minorBidi"/>
          <w:szCs w:val="22"/>
        </w:rPr>
      </w:pPr>
      <w:r w:rsidRPr="00827989">
        <w:rPr>
          <w:rFonts w:eastAsiaTheme="minorHAnsi" w:cstheme="minorBidi"/>
          <w:szCs w:val="22"/>
        </w:rPr>
        <w:t>While this metric is very easy to calculate it does mask very poor years when members would have suffered significant drawdowns in wealth. Another point to note is that a fund return</w:t>
      </w:r>
      <w:r w:rsidR="00CE20A1">
        <w:rPr>
          <w:rFonts w:eastAsiaTheme="minorHAnsi" w:cstheme="minorBidi"/>
          <w:szCs w:val="22"/>
        </w:rPr>
        <w:t>ing</w:t>
      </w:r>
      <w:r w:rsidRPr="00827989">
        <w:rPr>
          <w:rFonts w:eastAsiaTheme="minorHAnsi" w:cstheme="minorBidi"/>
          <w:szCs w:val="22"/>
        </w:rPr>
        <w:t xml:space="preserve"> 5.99% p.a. each year for </w:t>
      </w:r>
      <w:r w:rsidR="00CE20A1">
        <w:rPr>
          <w:rFonts w:eastAsiaTheme="minorHAnsi" w:cstheme="minorBidi"/>
          <w:szCs w:val="22"/>
        </w:rPr>
        <w:t>seven</w:t>
      </w:r>
      <w:r w:rsidR="00CE20A1" w:rsidRPr="00827989">
        <w:rPr>
          <w:rFonts w:eastAsiaTheme="minorHAnsi" w:cstheme="minorBidi"/>
          <w:szCs w:val="22"/>
        </w:rPr>
        <w:t xml:space="preserve"> </w:t>
      </w:r>
      <w:r w:rsidRPr="00827989">
        <w:rPr>
          <w:rFonts w:eastAsiaTheme="minorHAnsi" w:cstheme="minorBidi"/>
          <w:szCs w:val="22"/>
        </w:rPr>
        <w:t>years would be a great generator of long term wealth but would score a 0 under this metric.</w:t>
      </w:r>
    </w:p>
    <w:p w14:paraId="73E1179B" w14:textId="77777777" w:rsidR="00827989" w:rsidRPr="00827989" w:rsidRDefault="00827989" w:rsidP="00131D5C">
      <w:pPr>
        <w:spacing w:after="200"/>
        <w:rPr>
          <w:rFonts w:eastAsiaTheme="minorHAnsi" w:cstheme="minorBidi"/>
          <w:b/>
          <w:szCs w:val="22"/>
        </w:rPr>
      </w:pPr>
      <w:r w:rsidRPr="00827989">
        <w:rPr>
          <w:rFonts w:eastAsiaTheme="minorHAnsi" w:cstheme="minorBidi"/>
          <w:b/>
          <w:szCs w:val="22"/>
        </w:rPr>
        <w:t>Metric 2 (Distance from objective):</w:t>
      </w:r>
    </w:p>
    <w:p w14:paraId="1D53810F" w14:textId="37CCFD48" w:rsidR="00827989" w:rsidRPr="00827989" w:rsidRDefault="00827989">
      <w:pPr>
        <w:spacing w:after="200"/>
        <w:jc w:val="both"/>
        <w:rPr>
          <w:rFonts w:eastAsiaTheme="minorHAnsi" w:cstheme="minorBidi"/>
          <w:szCs w:val="22"/>
        </w:rPr>
      </w:pPr>
      <w:r w:rsidRPr="00827989">
        <w:rPr>
          <w:rFonts w:eastAsiaTheme="minorHAnsi" w:cstheme="minorBidi"/>
          <w:szCs w:val="22"/>
        </w:rPr>
        <w:t>Another straightforward persistency metric would be to look at the difference between the vehicle returns and the absolute return objective and then calculate the distance between these results.</w:t>
      </w:r>
    </w:p>
    <w:p w14:paraId="278AD7B8" w14:textId="77777777" w:rsidR="00827989" w:rsidRPr="00827989" w:rsidRDefault="00827989">
      <w:pPr>
        <w:spacing w:after="200"/>
        <w:jc w:val="both"/>
        <w:rPr>
          <w:rFonts w:eastAsiaTheme="minorHAnsi" w:cstheme="minorBidi"/>
          <w:szCs w:val="22"/>
        </w:rPr>
      </w:pPr>
      <w:r w:rsidRPr="00827989">
        <w:rPr>
          <w:rFonts w:eastAsiaTheme="minorHAnsi" w:cstheme="minorBidi"/>
          <w:szCs w:val="22"/>
        </w:rPr>
        <w:t xml:space="preserve">Continuing with a 6% p.a. objective regime the distance can be calculated between each annual return and the objective using the following formula </w:t>
      </w:r>
      <w:r w:rsidRPr="00D8205B">
        <w:rPr>
          <w:rFonts w:eastAsiaTheme="minorHAnsi" w:cstheme="minorBidi"/>
          <w:b/>
          <w:i/>
          <w:szCs w:val="22"/>
        </w:rPr>
        <w:t>(annual return – objective)</w:t>
      </w:r>
      <w:r w:rsidRPr="00D8205B">
        <w:rPr>
          <w:rFonts w:eastAsiaTheme="minorHAnsi" w:cstheme="minorBidi"/>
          <w:b/>
          <w:i/>
          <w:szCs w:val="22"/>
          <w:vertAlign w:val="superscript"/>
        </w:rPr>
        <w:t>2</w:t>
      </w:r>
      <w:r w:rsidRPr="005961A0">
        <w:rPr>
          <w:rFonts w:eastAsiaTheme="minorHAnsi" w:cstheme="minorBidi"/>
          <w:szCs w:val="22"/>
        </w:rPr>
        <w:t>.</w:t>
      </w:r>
      <w:r w:rsidRPr="00827989">
        <w:rPr>
          <w:rFonts w:eastAsiaTheme="minorHAnsi" w:cstheme="minorBidi"/>
          <w:szCs w:val="22"/>
        </w:rPr>
        <w:t xml:space="preserve"> These distances are then summed across the </w:t>
      </w:r>
      <w:r w:rsidR="00CE20A1">
        <w:rPr>
          <w:rFonts w:eastAsiaTheme="minorHAnsi" w:cstheme="minorBidi"/>
          <w:szCs w:val="22"/>
        </w:rPr>
        <w:t>seven</w:t>
      </w:r>
      <w:r w:rsidR="00CE20A1" w:rsidRPr="00827989">
        <w:rPr>
          <w:rFonts w:eastAsiaTheme="minorHAnsi" w:cstheme="minorBidi"/>
          <w:szCs w:val="22"/>
        </w:rPr>
        <w:t xml:space="preserve"> </w:t>
      </w:r>
      <w:r w:rsidRPr="00827989">
        <w:rPr>
          <w:rFonts w:eastAsiaTheme="minorHAnsi" w:cstheme="minorBidi"/>
          <w:szCs w:val="22"/>
        </w:rPr>
        <w:t>years to arrive at a total distance.</w:t>
      </w:r>
    </w:p>
    <w:p w14:paraId="14827B53" w14:textId="77777777" w:rsidR="00827989" w:rsidRPr="00827989" w:rsidRDefault="00827989">
      <w:pPr>
        <w:spacing w:after="200"/>
        <w:jc w:val="both"/>
        <w:rPr>
          <w:rFonts w:eastAsiaTheme="minorHAnsi" w:cstheme="minorBidi"/>
          <w:szCs w:val="22"/>
        </w:rPr>
      </w:pPr>
      <w:r w:rsidRPr="00827989">
        <w:rPr>
          <w:rFonts w:eastAsiaTheme="minorHAnsi" w:cstheme="minorBidi"/>
          <w:noProof/>
          <w:szCs w:val="22"/>
          <w:lang w:eastAsia="en-AU"/>
        </w:rPr>
        <w:lastRenderedPageBreak/>
        <w:drawing>
          <wp:anchor distT="0" distB="0" distL="114300" distR="114300" simplePos="0" relativeHeight="251674624" behindDoc="0" locked="0" layoutInCell="1" allowOverlap="1" wp14:anchorId="295D6E33" wp14:editId="00595054">
            <wp:simplePos x="0" y="0"/>
            <wp:positionH relativeFrom="margin">
              <wp:align>center</wp:align>
            </wp:positionH>
            <wp:positionV relativeFrom="paragraph">
              <wp:posOffset>28575</wp:posOffset>
            </wp:positionV>
            <wp:extent cx="4277995" cy="1926590"/>
            <wp:effectExtent l="0" t="0" r="8255"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77995" cy="1926590"/>
                    </a:xfrm>
                    <a:prstGeom prst="rect">
                      <a:avLst/>
                    </a:prstGeom>
                    <a:noFill/>
                    <a:ln>
                      <a:noFill/>
                    </a:ln>
                  </pic:spPr>
                </pic:pic>
              </a:graphicData>
            </a:graphic>
          </wp:anchor>
        </w:drawing>
      </w:r>
    </w:p>
    <w:p w14:paraId="6CC1CB95" w14:textId="77777777" w:rsidR="00827989" w:rsidRPr="00827989" w:rsidRDefault="00827989">
      <w:pPr>
        <w:spacing w:after="200"/>
        <w:jc w:val="both"/>
        <w:rPr>
          <w:rFonts w:eastAsiaTheme="minorHAnsi" w:cstheme="minorBidi"/>
          <w:szCs w:val="22"/>
        </w:rPr>
      </w:pPr>
      <w:r w:rsidRPr="00827989">
        <w:rPr>
          <w:rFonts w:eastAsiaTheme="minorHAnsi" w:cstheme="minorBidi"/>
          <w:szCs w:val="22"/>
        </w:rPr>
        <w:t>A lower distance number is a more persistent return series when compared to the objective. While this metric is straightforward to calculate it does have a major drawback in that returns above the objective are treated the same way as returns below the objective. For example, a positive 25% return is just as distant as a -1</w:t>
      </w:r>
      <w:r w:rsidR="00806440">
        <w:rPr>
          <w:rFonts w:eastAsiaTheme="minorHAnsi" w:cstheme="minorBidi"/>
          <w:szCs w:val="22"/>
        </w:rPr>
        <w:t>3</w:t>
      </w:r>
      <w:r w:rsidRPr="00827989">
        <w:rPr>
          <w:rFonts w:eastAsiaTheme="minorHAnsi" w:cstheme="minorBidi"/>
          <w:szCs w:val="22"/>
        </w:rPr>
        <w:t>% return when compared to a 6% return objective.</w:t>
      </w:r>
    </w:p>
    <w:p w14:paraId="61AC0851" w14:textId="77777777" w:rsidR="00827989" w:rsidRPr="00827989" w:rsidRDefault="00827989">
      <w:pPr>
        <w:spacing w:after="200"/>
        <w:jc w:val="both"/>
        <w:rPr>
          <w:rFonts w:eastAsiaTheme="minorHAnsi" w:cstheme="minorBidi"/>
          <w:szCs w:val="22"/>
        </w:rPr>
      </w:pPr>
      <w:r w:rsidRPr="00827989">
        <w:rPr>
          <w:rFonts w:eastAsiaTheme="minorHAnsi" w:cstheme="minorBidi"/>
          <w:szCs w:val="22"/>
        </w:rPr>
        <w:t xml:space="preserve">There is very little difference in this metric between the QSuper and Perfect portfolios, but the Poor portfolio has a large distance even though each vehicle returned the same annualised return over the </w:t>
      </w:r>
      <w:r w:rsidR="00CE20A1">
        <w:rPr>
          <w:rFonts w:eastAsiaTheme="minorHAnsi" w:cstheme="minorBidi"/>
          <w:szCs w:val="22"/>
        </w:rPr>
        <w:t>seven</w:t>
      </w:r>
      <w:r w:rsidRPr="00827989">
        <w:rPr>
          <w:rFonts w:eastAsiaTheme="minorHAnsi" w:cstheme="minorBidi"/>
          <w:szCs w:val="22"/>
        </w:rPr>
        <w:t>-year period.</w:t>
      </w:r>
    </w:p>
    <w:p w14:paraId="1FC7E890" w14:textId="77777777" w:rsidR="00827989" w:rsidRPr="00827989" w:rsidRDefault="00827989">
      <w:pPr>
        <w:spacing w:after="200"/>
        <w:jc w:val="both"/>
        <w:rPr>
          <w:rFonts w:eastAsiaTheme="minorHAnsi" w:cstheme="minorBidi"/>
          <w:szCs w:val="22"/>
        </w:rPr>
      </w:pPr>
      <w:r w:rsidRPr="00827989">
        <w:rPr>
          <w:rFonts w:eastAsiaTheme="minorHAnsi" w:cstheme="minorBidi"/>
          <w:b/>
          <w:szCs w:val="22"/>
        </w:rPr>
        <w:t>Metric 3 (Approximating time-weighted returns to money-weighted returns):</w:t>
      </w:r>
    </w:p>
    <w:p w14:paraId="5331ADAF" w14:textId="77777777" w:rsidR="00BB3DBB" w:rsidRPr="00827989" w:rsidRDefault="00827989">
      <w:pPr>
        <w:spacing w:after="200"/>
        <w:jc w:val="both"/>
        <w:rPr>
          <w:rFonts w:eastAsiaTheme="minorHAnsi" w:cstheme="minorBidi"/>
          <w:szCs w:val="22"/>
        </w:rPr>
      </w:pPr>
      <w:r w:rsidRPr="00827989">
        <w:rPr>
          <w:rFonts w:eastAsiaTheme="minorHAnsi" w:cstheme="minorBidi"/>
          <w:szCs w:val="22"/>
        </w:rPr>
        <w:t>A more technical approach would be to use a decaying weighted average approach</w:t>
      </w:r>
      <w:r w:rsidR="00CE20A1">
        <w:rPr>
          <w:rFonts w:eastAsiaTheme="minorHAnsi" w:cstheme="minorBidi"/>
          <w:szCs w:val="22"/>
        </w:rPr>
        <w:t xml:space="preserve">, where </w:t>
      </w:r>
      <w:r w:rsidRPr="00827989">
        <w:rPr>
          <w:rFonts w:eastAsiaTheme="minorHAnsi" w:cstheme="minorBidi"/>
          <w:szCs w:val="22"/>
        </w:rPr>
        <w:t>the most recent returns are provided with a higher weighting and older returns have less weighting – this is a crude approximation of the member experience on a money-weighted basis since the last return is upweighted due to the impact it has on the balance including contributions.</w:t>
      </w:r>
    </w:p>
    <w:p w14:paraId="33E0F674" w14:textId="77777777" w:rsidR="00827989" w:rsidRPr="00827989" w:rsidRDefault="00BB3DBB">
      <w:pPr>
        <w:spacing w:after="200"/>
        <w:jc w:val="both"/>
        <w:rPr>
          <w:rFonts w:eastAsiaTheme="minorHAnsi" w:cstheme="minorBidi"/>
          <w:szCs w:val="22"/>
        </w:rPr>
      </w:pPr>
      <w:r w:rsidRPr="00827989">
        <w:rPr>
          <w:rFonts w:eastAsiaTheme="minorHAnsi" w:cstheme="minorBidi"/>
          <w:noProof/>
          <w:szCs w:val="22"/>
          <w:lang w:eastAsia="en-AU"/>
        </w:rPr>
        <w:drawing>
          <wp:anchor distT="0" distB="0" distL="114300" distR="114300" simplePos="0" relativeHeight="251673600" behindDoc="0" locked="0" layoutInCell="1" allowOverlap="1" wp14:anchorId="7D6B6A06" wp14:editId="1CCF5B46">
            <wp:simplePos x="0" y="0"/>
            <wp:positionH relativeFrom="margin">
              <wp:posOffset>745547</wp:posOffset>
            </wp:positionH>
            <wp:positionV relativeFrom="paragraph">
              <wp:posOffset>739948</wp:posOffset>
            </wp:positionV>
            <wp:extent cx="4321810" cy="1926590"/>
            <wp:effectExtent l="0" t="0" r="254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21810" cy="1926590"/>
                    </a:xfrm>
                    <a:prstGeom prst="rect">
                      <a:avLst/>
                    </a:prstGeom>
                    <a:noFill/>
                    <a:ln>
                      <a:noFill/>
                    </a:ln>
                  </pic:spPr>
                </pic:pic>
              </a:graphicData>
            </a:graphic>
          </wp:anchor>
        </w:drawing>
      </w:r>
      <w:r>
        <w:rPr>
          <w:rFonts w:eastAsiaTheme="minorHAnsi" w:cstheme="minorBidi"/>
          <w:szCs w:val="22"/>
        </w:rPr>
        <w:t>T</w:t>
      </w:r>
      <w:r w:rsidR="00827989" w:rsidRPr="00827989">
        <w:rPr>
          <w:rFonts w:eastAsiaTheme="minorHAnsi" w:cstheme="minorBidi"/>
          <w:szCs w:val="22"/>
        </w:rPr>
        <w:t>his approach seeks to approximate a move from time</w:t>
      </w:r>
      <w:r w:rsidR="00CE20A1">
        <w:rPr>
          <w:rFonts w:eastAsiaTheme="minorHAnsi" w:cstheme="minorBidi"/>
          <w:szCs w:val="22"/>
        </w:rPr>
        <w:t>-</w:t>
      </w:r>
      <w:r w:rsidR="00827989" w:rsidRPr="00827989">
        <w:rPr>
          <w:rFonts w:eastAsiaTheme="minorHAnsi" w:cstheme="minorBidi"/>
          <w:szCs w:val="22"/>
        </w:rPr>
        <w:t>weighted returns to money</w:t>
      </w:r>
      <w:r w:rsidR="00CE20A1">
        <w:rPr>
          <w:rFonts w:eastAsiaTheme="minorHAnsi" w:cstheme="minorBidi"/>
          <w:szCs w:val="22"/>
        </w:rPr>
        <w:t>-</w:t>
      </w:r>
      <w:r w:rsidR="00827989" w:rsidRPr="00827989">
        <w:rPr>
          <w:rFonts w:eastAsiaTheme="minorHAnsi" w:cstheme="minorBidi"/>
          <w:szCs w:val="22"/>
        </w:rPr>
        <w:t xml:space="preserve">weighted returns using a simplified approach. The final performance year will take its full return with each subsequent return indexed by a factor of </w:t>
      </w:r>
      <w:r w:rsidR="00827989" w:rsidRPr="005961A0">
        <w:rPr>
          <w:rFonts w:eastAsiaTheme="minorHAnsi" w:cstheme="minorBidi"/>
          <w:szCs w:val="22"/>
        </w:rPr>
        <w:t>0.9.</w:t>
      </w:r>
      <w:r w:rsidR="00827989" w:rsidRPr="00827989">
        <w:rPr>
          <w:rFonts w:eastAsiaTheme="minorHAnsi" w:cstheme="minorBidi"/>
          <w:szCs w:val="22"/>
        </w:rPr>
        <w:t xml:space="preserve"> The results are shown below:</w:t>
      </w:r>
    </w:p>
    <w:p w14:paraId="585B9ED9" w14:textId="77777777" w:rsidR="00BB3DBB" w:rsidRDefault="00BB3DBB" w:rsidP="00DF4041">
      <w:pPr>
        <w:spacing w:after="200"/>
        <w:jc w:val="both"/>
        <w:rPr>
          <w:rFonts w:eastAsiaTheme="minorHAnsi" w:cstheme="minorBidi"/>
          <w:szCs w:val="22"/>
        </w:rPr>
      </w:pPr>
    </w:p>
    <w:p w14:paraId="4DE9DB73" w14:textId="77777777" w:rsidR="00827989" w:rsidRPr="00827989" w:rsidRDefault="00827989">
      <w:pPr>
        <w:spacing w:after="200"/>
        <w:jc w:val="both"/>
        <w:rPr>
          <w:rFonts w:eastAsiaTheme="minorHAnsi" w:cstheme="minorBidi"/>
          <w:szCs w:val="22"/>
        </w:rPr>
      </w:pPr>
      <w:r w:rsidRPr="00827989">
        <w:rPr>
          <w:rFonts w:eastAsiaTheme="minorHAnsi" w:cstheme="minorBidi"/>
          <w:szCs w:val="22"/>
        </w:rPr>
        <w:t xml:space="preserve">The main advantage to this metric is that returns in the past receive less weight to account for an assumed lower account balance (member in accumulation stage) – drawdowns in the past are also less of an impact than drawdowns that happened following significant wealth build up. </w:t>
      </w:r>
      <w:r w:rsidRPr="00827989">
        <w:rPr>
          <w:rFonts w:eastAsiaTheme="minorHAnsi" w:cstheme="minorBidi"/>
          <w:szCs w:val="22"/>
        </w:rPr>
        <w:lastRenderedPageBreak/>
        <w:t>The biggest drawback is the difficulty in interpreting the decayed performance number – apart from the final year none of these numbers are observable in the Ratings Agency databases.</w:t>
      </w:r>
    </w:p>
    <w:p w14:paraId="1F94A4D8" w14:textId="77777777" w:rsidR="00827989" w:rsidRPr="00827989" w:rsidRDefault="00827989">
      <w:pPr>
        <w:spacing w:after="200"/>
        <w:jc w:val="both"/>
        <w:rPr>
          <w:rFonts w:eastAsiaTheme="minorHAnsi" w:cstheme="minorBidi"/>
          <w:szCs w:val="22"/>
        </w:rPr>
      </w:pPr>
      <w:r w:rsidRPr="00827989">
        <w:rPr>
          <w:rFonts w:eastAsiaTheme="minorHAnsi" w:cstheme="minorBidi"/>
          <w:b/>
          <w:szCs w:val="22"/>
        </w:rPr>
        <w:t>Metric 4 (Calculating the persistency via a contribution to return decomposition):</w:t>
      </w:r>
    </w:p>
    <w:p w14:paraId="2484B2AF" w14:textId="77777777" w:rsidR="00827989" w:rsidRPr="00827989" w:rsidRDefault="00827989">
      <w:pPr>
        <w:spacing w:after="200"/>
        <w:jc w:val="both"/>
        <w:rPr>
          <w:rFonts w:eastAsiaTheme="minorHAnsi" w:cstheme="minorBidi"/>
          <w:szCs w:val="22"/>
        </w:rPr>
      </w:pPr>
      <w:r w:rsidRPr="00827989">
        <w:rPr>
          <w:rFonts w:eastAsiaTheme="minorHAnsi" w:cstheme="minorBidi"/>
          <w:szCs w:val="22"/>
        </w:rPr>
        <w:t>A very detailed and technical approach would be to measure persistency by looking at each period’s contribution to the annualised return over the long run time horizon and then calculating the standard deviation of these period contributions. For example, an investment vehicle that generated 9.0% p.a. returns by generating 9.0% each year would have a persistency score of 10 (perfect persistency) whilst a fund that generated this return with large returns in some years but no or negative returns in others would have a persistency score that was much lower (poor persistency).</w:t>
      </w:r>
    </w:p>
    <w:p w14:paraId="11C7B09B" w14:textId="77777777" w:rsidR="00CE20A1" w:rsidRPr="00827989" w:rsidRDefault="00827989" w:rsidP="00CE20A1">
      <w:pPr>
        <w:spacing w:after="200"/>
        <w:jc w:val="both"/>
        <w:rPr>
          <w:rFonts w:eastAsiaTheme="minorHAnsi" w:cstheme="minorBidi"/>
          <w:szCs w:val="22"/>
        </w:rPr>
      </w:pPr>
      <w:r w:rsidRPr="00827989">
        <w:rPr>
          <w:rFonts w:eastAsiaTheme="minorHAnsi" w:cstheme="minorBidi"/>
          <w:szCs w:val="22"/>
        </w:rPr>
        <w:t xml:space="preserve">This is the most complicated approach to the calculation and involves a geometric decomposition of the contribution of return through time. Noting that the standardised persistency score (0 to 10) is easy to understand, however the mathematics required to determine the score is complicated. </w:t>
      </w:r>
      <w:r w:rsidR="00CE20A1">
        <w:rPr>
          <w:rFonts w:eastAsiaTheme="minorHAnsi" w:cstheme="minorBidi"/>
          <w:szCs w:val="22"/>
        </w:rPr>
        <w:t xml:space="preserve"> </w:t>
      </w:r>
      <w:r w:rsidR="00CE20A1" w:rsidRPr="00827989">
        <w:rPr>
          <w:rFonts w:eastAsiaTheme="minorHAnsi" w:cstheme="minorBidi"/>
          <w:szCs w:val="22"/>
        </w:rPr>
        <w:t>This approach is mathematically precise but requires the score and the annualised performance to be read in conjunction to ensure the correct conclusions are drawn.</w:t>
      </w:r>
      <w:r w:rsidR="00CE20A1">
        <w:rPr>
          <w:rFonts w:eastAsiaTheme="minorHAnsi" w:cstheme="minorBidi"/>
          <w:szCs w:val="22"/>
        </w:rPr>
        <w:t xml:space="preserve"> </w:t>
      </w:r>
      <w:r w:rsidR="00CE20A1" w:rsidRPr="00827989">
        <w:rPr>
          <w:rFonts w:eastAsiaTheme="minorHAnsi" w:cstheme="minorBidi"/>
          <w:szCs w:val="22"/>
        </w:rPr>
        <w:t>All information calculated comes from readily available performance data</w:t>
      </w:r>
      <w:r w:rsidR="00365F58">
        <w:rPr>
          <w:rFonts w:eastAsiaTheme="minorHAnsi" w:cstheme="minorBidi"/>
          <w:szCs w:val="22"/>
        </w:rPr>
        <w:t>,</w:t>
      </w:r>
      <w:r w:rsidR="00CE20A1" w:rsidRPr="00827989">
        <w:rPr>
          <w:rFonts w:eastAsiaTheme="minorHAnsi" w:cstheme="minorBidi"/>
          <w:szCs w:val="22"/>
        </w:rPr>
        <w:t xml:space="preserve"> with no assumptions required. The only drawback is the understanding of the decomposition calculations which is mathematically consistent but complex.</w:t>
      </w:r>
    </w:p>
    <w:p w14:paraId="34CED34C" w14:textId="77777777" w:rsidR="00BB3DBB" w:rsidRPr="00827989" w:rsidRDefault="00BB3DBB">
      <w:pPr>
        <w:spacing w:after="200"/>
        <w:jc w:val="both"/>
        <w:rPr>
          <w:rFonts w:eastAsiaTheme="minorHAnsi" w:cstheme="minorBidi"/>
          <w:szCs w:val="22"/>
        </w:rPr>
      </w:pPr>
    </w:p>
    <w:p w14:paraId="7D8CCBCB" w14:textId="77777777" w:rsidR="00827989" w:rsidRPr="00827989" w:rsidRDefault="00827989" w:rsidP="005961A0">
      <w:pPr>
        <w:spacing w:after="200"/>
        <w:jc w:val="both"/>
        <w:rPr>
          <w:rFonts w:eastAsiaTheme="minorHAnsi" w:cstheme="minorBidi"/>
          <w:szCs w:val="22"/>
        </w:rPr>
      </w:pPr>
      <w:r w:rsidRPr="00827989">
        <w:rPr>
          <w:rFonts w:eastAsiaTheme="minorHAnsi" w:cstheme="minorBidi"/>
          <w:noProof/>
          <w:szCs w:val="22"/>
          <w:lang w:eastAsia="en-AU"/>
        </w:rPr>
        <w:drawing>
          <wp:anchor distT="0" distB="0" distL="114300" distR="114300" simplePos="0" relativeHeight="251675648" behindDoc="0" locked="0" layoutInCell="1" allowOverlap="1" wp14:anchorId="59ED4E4A" wp14:editId="7FE1601E">
            <wp:simplePos x="0" y="0"/>
            <wp:positionH relativeFrom="margin">
              <wp:align>center</wp:align>
            </wp:positionH>
            <wp:positionV relativeFrom="paragraph">
              <wp:posOffset>312420</wp:posOffset>
            </wp:positionV>
            <wp:extent cx="4321810" cy="2329815"/>
            <wp:effectExtent l="0" t="0" r="254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21810" cy="2329815"/>
                    </a:xfrm>
                    <a:prstGeom prst="rect">
                      <a:avLst/>
                    </a:prstGeom>
                    <a:noFill/>
                    <a:ln>
                      <a:noFill/>
                    </a:ln>
                  </pic:spPr>
                </pic:pic>
              </a:graphicData>
            </a:graphic>
          </wp:anchor>
        </w:drawing>
      </w:r>
      <w:r w:rsidRPr="00827989">
        <w:rPr>
          <w:rFonts w:eastAsiaTheme="minorHAnsi" w:cstheme="minorBidi"/>
          <w:szCs w:val="22"/>
        </w:rPr>
        <w:t>Performance contributions and Persistency results:</w:t>
      </w:r>
    </w:p>
    <w:p w14:paraId="1D732C00" w14:textId="77777777" w:rsidR="00827989" w:rsidRPr="00827989" w:rsidRDefault="00827989">
      <w:pPr>
        <w:spacing w:after="200"/>
        <w:jc w:val="both"/>
        <w:rPr>
          <w:rFonts w:eastAsiaTheme="minorHAnsi" w:cstheme="minorBidi"/>
          <w:szCs w:val="22"/>
        </w:rPr>
      </w:pPr>
    </w:p>
    <w:p w14:paraId="666BBC36" w14:textId="77777777" w:rsidR="00827989" w:rsidRPr="00827989" w:rsidRDefault="00827989">
      <w:pPr>
        <w:spacing w:after="200"/>
        <w:jc w:val="both"/>
        <w:rPr>
          <w:rFonts w:eastAsiaTheme="minorHAnsi" w:cstheme="minorBidi"/>
          <w:szCs w:val="22"/>
        </w:rPr>
      </w:pPr>
      <w:r w:rsidRPr="00827989">
        <w:rPr>
          <w:rFonts w:eastAsiaTheme="minorHAnsi" w:cstheme="minorBidi"/>
          <w:b/>
          <w:szCs w:val="22"/>
        </w:rPr>
        <w:t>Metric free alternative</w:t>
      </w:r>
    </w:p>
    <w:p w14:paraId="4E205702" w14:textId="77777777" w:rsidR="00827989" w:rsidRPr="00827989" w:rsidRDefault="00827989">
      <w:pPr>
        <w:spacing w:after="200"/>
        <w:jc w:val="both"/>
        <w:rPr>
          <w:rFonts w:eastAsiaTheme="minorHAnsi" w:cstheme="minorBidi"/>
          <w:szCs w:val="22"/>
        </w:rPr>
      </w:pPr>
      <w:r w:rsidRPr="00827989">
        <w:rPr>
          <w:rFonts w:eastAsiaTheme="minorHAnsi" w:cstheme="minorBidi"/>
          <w:szCs w:val="22"/>
        </w:rPr>
        <w:t>A final and metric</w:t>
      </w:r>
      <w:r w:rsidR="00365F58">
        <w:rPr>
          <w:rFonts w:eastAsiaTheme="minorHAnsi" w:cstheme="minorBidi"/>
          <w:szCs w:val="22"/>
        </w:rPr>
        <w:t>-</w:t>
      </w:r>
      <w:r w:rsidRPr="00827989">
        <w:rPr>
          <w:rFonts w:eastAsiaTheme="minorHAnsi" w:cstheme="minorBidi"/>
          <w:szCs w:val="22"/>
        </w:rPr>
        <w:t>free alternative approach looks at the sequencing risk of investment vehicles with similar returns, but different levels of persistency. In this example, each vehicle begins with $100,000 at the beginning of the FYE 2011 – the graph below shows the difference between each investment vehicle and the perfect one.</w:t>
      </w:r>
    </w:p>
    <w:p w14:paraId="49B6B713" w14:textId="77777777" w:rsidR="00827989" w:rsidRPr="00827989" w:rsidRDefault="00827989">
      <w:pPr>
        <w:spacing w:after="200"/>
        <w:jc w:val="both"/>
        <w:rPr>
          <w:rFonts w:eastAsiaTheme="minorHAnsi" w:cstheme="minorBidi"/>
          <w:szCs w:val="22"/>
        </w:rPr>
      </w:pPr>
      <w:r w:rsidRPr="00827989">
        <w:rPr>
          <w:rFonts w:eastAsiaTheme="minorHAnsi" w:cstheme="minorBidi"/>
          <w:noProof/>
          <w:szCs w:val="22"/>
          <w:lang w:eastAsia="en-AU"/>
        </w:rPr>
        <w:lastRenderedPageBreak/>
        <w:drawing>
          <wp:anchor distT="0" distB="0" distL="114300" distR="114300" simplePos="0" relativeHeight="251676672" behindDoc="0" locked="0" layoutInCell="1" allowOverlap="1" wp14:anchorId="04316D0B" wp14:editId="7730E222">
            <wp:simplePos x="0" y="0"/>
            <wp:positionH relativeFrom="margin">
              <wp:align>center</wp:align>
            </wp:positionH>
            <wp:positionV relativeFrom="paragraph">
              <wp:posOffset>219075</wp:posOffset>
            </wp:positionV>
            <wp:extent cx="5436224" cy="3820886"/>
            <wp:effectExtent l="0" t="0" r="0" b="8255"/>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36224" cy="3820886"/>
                    </a:xfrm>
                    <a:prstGeom prst="rect">
                      <a:avLst/>
                    </a:prstGeom>
                    <a:noFill/>
                  </pic:spPr>
                </pic:pic>
              </a:graphicData>
            </a:graphic>
          </wp:anchor>
        </w:drawing>
      </w:r>
    </w:p>
    <w:p w14:paraId="019A3B75" w14:textId="77777777" w:rsidR="00827989" w:rsidRPr="00827989" w:rsidRDefault="00827989">
      <w:pPr>
        <w:spacing w:after="200"/>
        <w:jc w:val="both"/>
        <w:rPr>
          <w:rFonts w:eastAsiaTheme="minorHAnsi" w:cstheme="minorBidi"/>
          <w:szCs w:val="22"/>
        </w:rPr>
      </w:pPr>
    </w:p>
    <w:p w14:paraId="14E7AC08" w14:textId="77777777" w:rsidR="00827989" w:rsidRPr="00827989" w:rsidRDefault="00827989">
      <w:pPr>
        <w:spacing w:after="200"/>
        <w:jc w:val="both"/>
        <w:rPr>
          <w:rFonts w:eastAsiaTheme="minorHAnsi" w:cstheme="minorBidi"/>
          <w:szCs w:val="22"/>
        </w:rPr>
      </w:pPr>
      <w:r w:rsidRPr="00827989">
        <w:rPr>
          <w:rFonts w:eastAsiaTheme="minorHAnsi" w:cstheme="minorBidi"/>
          <w:szCs w:val="22"/>
        </w:rPr>
        <w:t xml:space="preserve">QSuper acknowledges potential challenges around communications and understanding of measures.  However, this should not take precedence over better member outcomes. </w:t>
      </w:r>
    </w:p>
    <w:p w14:paraId="16BF6F0D" w14:textId="278B295B" w:rsidR="00827989" w:rsidRPr="00827989" w:rsidRDefault="00827989">
      <w:pPr>
        <w:spacing w:after="200"/>
        <w:jc w:val="both"/>
        <w:rPr>
          <w:rFonts w:eastAsiaTheme="minorHAnsi" w:cstheme="minorBidi"/>
          <w:szCs w:val="22"/>
        </w:rPr>
      </w:pPr>
      <w:r w:rsidRPr="00827989">
        <w:rPr>
          <w:rFonts w:eastAsiaTheme="minorHAnsi" w:cstheme="minorBidi"/>
          <w:szCs w:val="22"/>
        </w:rPr>
        <w:t xml:space="preserve">QSuper does not support a framework that ranks funds.  Rather, selection criteria </w:t>
      </w:r>
      <w:r w:rsidR="00365F58">
        <w:rPr>
          <w:rFonts w:eastAsiaTheme="minorHAnsi" w:cstheme="minorBidi"/>
          <w:szCs w:val="22"/>
        </w:rPr>
        <w:t xml:space="preserve">and subsequent communication of the </w:t>
      </w:r>
      <w:r w:rsidR="00A0067F">
        <w:rPr>
          <w:rFonts w:eastAsiaTheme="minorHAnsi" w:cstheme="minorBidi"/>
          <w:szCs w:val="22"/>
        </w:rPr>
        <w:t>‘</w:t>
      </w:r>
      <w:r w:rsidR="00A23196">
        <w:rPr>
          <w:rFonts w:eastAsiaTheme="minorHAnsi" w:cstheme="minorBidi"/>
          <w:szCs w:val="22"/>
        </w:rPr>
        <w:t>best-in-show</w:t>
      </w:r>
      <w:r w:rsidR="00A0067F">
        <w:rPr>
          <w:rFonts w:eastAsiaTheme="minorHAnsi" w:cstheme="minorBidi"/>
          <w:szCs w:val="22"/>
        </w:rPr>
        <w:t>’</w:t>
      </w:r>
      <w:r w:rsidR="00365F58">
        <w:rPr>
          <w:rFonts w:eastAsiaTheme="minorHAnsi" w:cstheme="minorBidi"/>
          <w:szCs w:val="22"/>
        </w:rPr>
        <w:t xml:space="preserve"> </w:t>
      </w:r>
      <w:r w:rsidRPr="00827989">
        <w:rPr>
          <w:rFonts w:eastAsiaTheme="minorHAnsi" w:cstheme="minorBidi"/>
          <w:szCs w:val="22"/>
        </w:rPr>
        <w:t xml:space="preserve">should seek to identify a number of funds that comply with the highest standards of governance.  Every new entrant to the workforce should feel comfortable to choose any one of the funds on a </w:t>
      </w:r>
      <w:r w:rsidR="00A0067F">
        <w:rPr>
          <w:rFonts w:eastAsiaTheme="minorHAnsi" w:cstheme="minorBidi"/>
          <w:szCs w:val="22"/>
        </w:rPr>
        <w:t>‘</w:t>
      </w:r>
      <w:r w:rsidR="00A23196">
        <w:rPr>
          <w:rFonts w:eastAsiaTheme="minorHAnsi" w:cstheme="minorBidi"/>
          <w:szCs w:val="22"/>
        </w:rPr>
        <w:t>best-in-show</w:t>
      </w:r>
      <w:r w:rsidR="00A0067F">
        <w:rPr>
          <w:rFonts w:eastAsiaTheme="minorHAnsi" w:cstheme="minorBidi"/>
          <w:szCs w:val="22"/>
        </w:rPr>
        <w:t>’</w:t>
      </w:r>
      <w:r w:rsidRPr="00827989">
        <w:rPr>
          <w:rFonts w:eastAsiaTheme="minorHAnsi" w:cstheme="minorBidi"/>
          <w:szCs w:val="22"/>
        </w:rPr>
        <w:t xml:space="preserve"> list</w:t>
      </w:r>
      <w:r w:rsidR="00365F58">
        <w:rPr>
          <w:rFonts w:eastAsiaTheme="minorHAnsi" w:cstheme="minorBidi"/>
          <w:szCs w:val="22"/>
        </w:rPr>
        <w:t>, without any inference that #1 is 'better’ than #8.</w:t>
      </w:r>
      <w:r w:rsidRPr="00827989">
        <w:rPr>
          <w:rFonts w:eastAsiaTheme="minorHAnsi" w:cstheme="minorBidi"/>
          <w:szCs w:val="22"/>
        </w:rPr>
        <w:t xml:space="preserve">  QSuper’s response to Information Request 4.1 is relevant in this regard.</w:t>
      </w:r>
    </w:p>
    <w:p w14:paraId="4913F0EB" w14:textId="3DEA7DD6" w:rsidR="00827989" w:rsidRPr="00827989" w:rsidRDefault="00827989">
      <w:pPr>
        <w:spacing w:after="200"/>
        <w:jc w:val="both"/>
        <w:rPr>
          <w:rFonts w:eastAsiaTheme="minorHAnsi" w:cstheme="minorBidi"/>
          <w:szCs w:val="22"/>
        </w:rPr>
      </w:pPr>
      <w:r w:rsidRPr="00827989">
        <w:rPr>
          <w:rFonts w:eastAsiaTheme="minorHAnsi" w:cstheme="minorBidi"/>
          <w:szCs w:val="22"/>
        </w:rPr>
        <w:t>In conclusion, QSuper believes that there is no single metric that can be used in isolation to determine which funds are consistently high performing and have a high degree of persistency in their returns.  QSuper would be happy to work with the Productiv</w:t>
      </w:r>
      <w:r w:rsidR="00915BE9">
        <w:rPr>
          <w:rFonts w:eastAsiaTheme="minorHAnsi" w:cstheme="minorBidi"/>
          <w:szCs w:val="22"/>
        </w:rPr>
        <w:t>ity</w:t>
      </w:r>
      <w:r w:rsidRPr="00827989">
        <w:rPr>
          <w:rFonts w:eastAsiaTheme="minorHAnsi" w:cstheme="minorBidi"/>
          <w:szCs w:val="22"/>
        </w:rPr>
        <w:t xml:space="preserve"> Commission to develop appropriate metrics to capture the various considerations required to appropriately assess member outcomes as part of developing </w:t>
      </w:r>
      <w:r w:rsidR="00A0067F">
        <w:rPr>
          <w:rFonts w:eastAsiaTheme="minorHAnsi" w:cstheme="minorBidi"/>
          <w:szCs w:val="22"/>
        </w:rPr>
        <w:t>‘</w:t>
      </w:r>
      <w:r w:rsidR="00A23196">
        <w:rPr>
          <w:rFonts w:eastAsiaTheme="minorHAnsi" w:cstheme="minorBidi"/>
          <w:szCs w:val="22"/>
        </w:rPr>
        <w:t>best-in-show</w:t>
      </w:r>
      <w:r w:rsidR="00A0067F">
        <w:rPr>
          <w:rFonts w:eastAsiaTheme="minorHAnsi" w:cstheme="minorBidi"/>
          <w:szCs w:val="22"/>
        </w:rPr>
        <w:t>’</w:t>
      </w:r>
      <w:r w:rsidRPr="00827989">
        <w:rPr>
          <w:rFonts w:eastAsiaTheme="minorHAnsi" w:cstheme="minorBidi"/>
          <w:szCs w:val="22"/>
        </w:rPr>
        <w:t xml:space="preserve"> criteria.</w:t>
      </w:r>
      <w:r w:rsidR="00C1339B">
        <w:rPr>
          <w:rFonts w:eastAsiaTheme="minorHAnsi" w:cstheme="minorBidi"/>
          <w:szCs w:val="22"/>
        </w:rPr>
        <w:t xml:space="preserve"> </w:t>
      </w:r>
    </w:p>
    <w:p w14:paraId="1D0E497E" w14:textId="77777777" w:rsidR="00D1756F" w:rsidRDefault="00D1756F" w:rsidP="006F55D1">
      <w:pPr>
        <w:ind w:left="720"/>
        <w:rPr>
          <w:rFonts w:cs="Arial"/>
          <w:szCs w:val="22"/>
          <w:highlight w:val="yellow"/>
          <w:u w:val="single"/>
          <w:lang w:eastAsia="en-AU"/>
        </w:rPr>
      </w:pPr>
      <w:r>
        <w:rPr>
          <w:noProof/>
          <w:lang w:eastAsia="en-AU"/>
        </w:rPr>
        <w:lastRenderedPageBreak/>
        <mc:AlternateContent>
          <mc:Choice Requires="wps">
            <w:drawing>
              <wp:anchor distT="45720" distB="45720" distL="114300" distR="114300" simplePos="0" relativeHeight="251663360" behindDoc="0" locked="0" layoutInCell="1" allowOverlap="1" wp14:anchorId="296039D3" wp14:editId="6B9716B6">
                <wp:simplePos x="0" y="0"/>
                <wp:positionH relativeFrom="margin">
                  <wp:posOffset>0</wp:posOffset>
                </wp:positionH>
                <wp:positionV relativeFrom="paragraph">
                  <wp:posOffset>205105</wp:posOffset>
                </wp:positionV>
                <wp:extent cx="5708650" cy="1404620"/>
                <wp:effectExtent l="0" t="0" r="25400" b="2667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chemeClr val="bg1">
                            <a:lumMod val="95000"/>
                          </a:schemeClr>
                        </a:solidFill>
                        <a:ln w="9525">
                          <a:solidFill>
                            <a:srgbClr val="000000"/>
                          </a:solidFill>
                          <a:miter lim="800000"/>
                          <a:headEnd/>
                          <a:tailEnd/>
                        </a:ln>
                      </wps:spPr>
                      <wps:txbx>
                        <w:txbxContent>
                          <w:p w14:paraId="57CB3471" w14:textId="77777777" w:rsidR="00127153" w:rsidRPr="004C79AA" w:rsidRDefault="00127153" w:rsidP="00D1756F">
                            <w:pPr>
                              <w:rPr>
                                <w:u w:val="single"/>
                              </w:rPr>
                            </w:pPr>
                            <w:r>
                              <w:rPr>
                                <w:u w:val="single"/>
                              </w:rPr>
                              <w:t>Draft F</w:t>
                            </w:r>
                            <w:r w:rsidRPr="004C79AA">
                              <w:rPr>
                                <w:u w:val="single"/>
                              </w:rPr>
                              <w:t>inding</w:t>
                            </w:r>
                            <w:r>
                              <w:rPr>
                                <w:u w:val="single"/>
                              </w:rPr>
                              <w:t xml:space="preserve"> 4.1:</w:t>
                            </w:r>
                          </w:p>
                          <w:p w14:paraId="29A7A6D3" w14:textId="77777777" w:rsidR="00127153" w:rsidRDefault="00127153" w:rsidP="00D1756F">
                            <w:r>
                              <w:rPr>
                                <w:i/>
                                <w:iCs/>
                              </w:rPr>
                              <w:t>The inclusion in MySuper of life cycle products is questionable given the foregone returns they pose for many members’ balances (with some foregoing higher returns by adjusting asset allocation as early as 30 years of age). Life cycle products comprise around 30 per cent of all MySuper accounts, but are mostly suited to members who want to ‘lock in’ a lump sum for some immediate purchase after retirement. For other members, maintaining a balanced portfolio before and after retirement would maximise retirement and lifetime income. Life cycle products are better suited to the choice segment.</w:t>
                            </w:r>
                          </w:p>
                          <w:p w14:paraId="1FB7A2FA" w14:textId="77777777" w:rsidR="00127153" w:rsidRDefault="00127153" w:rsidP="00D1756F"/>
                          <w:p w14:paraId="62F41EBE" w14:textId="77777777" w:rsidR="00127153" w:rsidRPr="000B6B48" w:rsidRDefault="00127153" w:rsidP="00D1756F">
                            <w:pPr>
                              <w:rPr>
                                <w:u w:val="single"/>
                              </w:rPr>
                            </w:pPr>
                            <w:r w:rsidRPr="000B6B48">
                              <w:rPr>
                                <w:u w:val="single"/>
                              </w:rPr>
                              <w:t>Information Request 4.1:</w:t>
                            </w:r>
                          </w:p>
                          <w:p w14:paraId="4A4C5BA1" w14:textId="77777777" w:rsidR="00127153" w:rsidRDefault="00127153" w:rsidP="00D1756F">
                            <w:r w:rsidRPr="000B6B48">
                              <w:rPr>
                                <w:i/>
                                <w:iCs/>
                              </w:rPr>
                              <w:t xml:space="preserve">Should </w:t>
                            </w:r>
                            <w:r>
                              <w:rPr>
                                <w:i/>
                                <w:iCs/>
                              </w:rPr>
                              <w:t>life cycle</w:t>
                            </w:r>
                            <w:r w:rsidRPr="000B6B48">
                              <w:rPr>
                                <w:i/>
                                <w:iCs/>
                              </w:rPr>
                              <w:t xml:space="preserve"> products continue to be allowed as part of MySuper? If so, do they require re-design to better cater for the varying circumstances of members nearing retirement, and how should this be achieved? What information is needed on members to develop a product better suited to managing sequencing risk?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6039D3" id="Text Box 6" o:spid="_x0000_s1028" type="#_x0000_t202" style="position:absolute;left:0;text-align:left;margin-left:0;margin-top:16.15pt;width:449.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7C3OwIAAG8EAAAOAAAAZHJzL2Uyb0RvYy54bWysVMGO2yAQvVfqPyDujZ0oyW6sOKtttqkq&#10;bbeVdvsBGGMbFRgKJHb69R1wkmbbW9ULAmZ4M/PeDOu7QStyEM5LMCWdTnJKhOFQS9OW9NvL7t0t&#10;JT4wUzMFRpT0KDy927x9s+5tIWbQgaqFIwhifNHbknYh2CLLPO+EZn4CVhg0NuA0C3h0bVY71iO6&#10;Vtksz5dZD662DrjwHm8fRiPdJPymETx8aRovAlElxdxCWl1aq7hmmzUrWsdsJ/kpDfYPWWgmDQa9&#10;QD2wwMjeyb+gtOQOPDRhwkFn0DSSi1QDVjPN/6jmuWNWpFqQHG8vNPn/B8ufDl8dkXVJl5QYplGi&#10;FzEE8h4Gsozs9NYX6PRs0S0MeI0qp0q9fQT+3RMD246ZVtw7B30nWI3ZTePL7OrpiOMjSNV/hhrD&#10;sH2ABDQ0TkfqkAyC6KjS8aJMTIXj5eImv10u0MTRNp3n8+UsaZex4vzcOh8+CtAkbkrqUPoEzw6P&#10;PsR0WHF2idE8KFnvpFLpENtNbJUjB4aNUrVjiWqvMdfxbrXI83PI1J3RPaG+QlKG9CVdLWaLkaRX&#10;UVxbXWIg2hXgtZuWAUdCSV3S24sTKyK1H0ydGjYwqcY9VqXMietI70h0GKohiTo7S1hBfUTyHYwT&#10;gBOLmw7cT0p67P6S+h975gQl6pNBAVfT+TyOSzrMFzfINnHXlurawgxHqJIGSsbtNqQRS9TaexR6&#10;J5MEsSPGTE4pY1cnDk8TGMfm+py8fv8Tm18AAAD//wMAUEsDBBQABgAIAAAAIQCgW9Fa3QAAAAcB&#10;AAAPAAAAZHJzL2Rvd25yZXYueG1sTI/BTsMwEETvSPyDtUjcqEOi0jbEqRCCWw8kpZzdeJtEjdeR&#10;7baBr2c5lePsrGbeFOvJDuKMPvSOFDzOEhBIjTM9tQo+t+8PSxAhajJ6cIQKvjHAury9KXRu3IUq&#10;PNexFRxCIdcKuhjHXMrQdGh1mLkRib2D81ZHlr6VxusLh9tBpknyJK3uiRs6PeJrh82xPlnu3fmf&#10;RaiTXWq/sm1VVZuPt8VGqfu76eUZRMQpXp/hD5/RoWSmvTuRCWJQwEOigizNQLC7XK34sFeQzrM5&#10;yLKQ//nLXwAAAP//AwBQSwECLQAUAAYACAAAACEAtoM4kv4AAADhAQAAEwAAAAAAAAAAAAAAAAAA&#10;AAAAW0NvbnRlbnRfVHlwZXNdLnhtbFBLAQItABQABgAIAAAAIQA4/SH/1gAAAJQBAAALAAAAAAAA&#10;AAAAAAAAAC8BAABfcmVscy8ucmVsc1BLAQItABQABgAIAAAAIQDuT7C3OwIAAG8EAAAOAAAAAAAA&#10;AAAAAAAAAC4CAABkcnMvZTJvRG9jLnhtbFBLAQItABQABgAIAAAAIQCgW9Fa3QAAAAcBAAAPAAAA&#10;AAAAAAAAAAAAAJUEAABkcnMvZG93bnJldi54bWxQSwUGAAAAAAQABADzAAAAnwUAAAAA&#10;" fillcolor="#f2f2f2 [3052]">
                <v:textbox style="mso-fit-shape-to-text:t">
                  <w:txbxContent>
                    <w:p w14:paraId="57CB3471" w14:textId="77777777" w:rsidR="00127153" w:rsidRPr="004C79AA" w:rsidRDefault="00127153" w:rsidP="00D1756F">
                      <w:pPr>
                        <w:rPr>
                          <w:u w:val="single"/>
                        </w:rPr>
                      </w:pPr>
                      <w:r>
                        <w:rPr>
                          <w:u w:val="single"/>
                        </w:rPr>
                        <w:t>Draft F</w:t>
                      </w:r>
                      <w:r w:rsidRPr="004C79AA">
                        <w:rPr>
                          <w:u w:val="single"/>
                        </w:rPr>
                        <w:t>inding</w:t>
                      </w:r>
                      <w:r>
                        <w:rPr>
                          <w:u w:val="single"/>
                        </w:rPr>
                        <w:t xml:space="preserve"> 4.1:</w:t>
                      </w:r>
                    </w:p>
                    <w:p w14:paraId="29A7A6D3" w14:textId="77777777" w:rsidR="00127153" w:rsidRDefault="00127153" w:rsidP="00D1756F">
                      <w:r>
                        <w:rPr>
                          <w:i/>
                          <w:iCs/>
                        </w:rPr>
                        <w:t xml:space="preserve">The inclusion in </w:t>
                      </w:r>
                      <w:proofErr w:type="spellStart"/>
                      <w:r>
                        <w:rPr>
                          <w:i/>
                          <w:iCs/>
                        </w:rPr>
                        <w:t>MySuper</w:t>
                      </w:r>
                      <w:proofErr w:type="spellEnd"/>
                      <w:r>
                        <w:rPr>
                          <w:i/>
                          <w:iCs/>
                        </w:rPr>
                        <w:t xml:space="preserve"> of life cycle products is questionable given the foregone returns they pose for many members’ balances (with some foregoing higher returns by adjusting asset allocation as early as 30 years of age). Life cycle products comprise around 30 per cent of all </w:t>
                      </w:r>
                      <w:proofErr w:type="spellStart"/>
                      <w:r>
                        <w:rPr>
                          <w:i/>
                          <w:iCs/>
                        </w:rPr>
                        <w:t>MySuper</w:t>
                      </w:r>
                      <w:proofErr w:type="spellEnd"/>
                      <w:r>
                        <w:rPr>
                          <w:i/>
                          <w:iCs/>
                        </w:rPr>
                        <w:t xml:space="preserve"> </w:t>
                      </w:r>
                      <w:proofErr w:type="gramStart"/>
                      <w:r>
                        <w:rPr>
                          <w:i/>
                          <w:iCs/>
                        </w:rPr>
                        <w:t>accounts, but</w:t>
                      </w:r>
                      <w:proofErr w:type="gramEnd"/>
                      <w:r>
                        <w:rPr>
                          <w:i/>
                          <w:iCs/>
                        </w:rPr>
                        <w:t xml:space="preserve"> are mostly suited to members who want to ‘lock in’ a lump sum for some immediate purchase after retirement. For other members, maintaining a balanced portfolio before and after retirement would maximise retirement and lifetime income. Life cycle products are better suited to the choice segment.</w:t>
                      </w:r>
                    </w:p>
                    <w:p w14:paraId="1FB7A2FA" w14:textId="77777777" w:rsidR="00127153" w:rsidRDefault="00127153" w:rsidP="00D1756F"/>
                    <w:p w14:paraId="62F41EBE" w14:textId="77777777" w:rsidR="00127153" w:rsidRPr="000B6B48" w:rsidRDefault="00127153" w:rsidP="00D1756F">
                      <w:pPr>
                        <w:rPr>
                          <w:u w:val="single"/>
                        </w:rPr>
                      </w:pPr>
                      <w:r w:rsidRPr="000B6B48">
                        <w:rPr>
                          <w:u w:val="single"/>
                        </w:rPr>
                        <w:t>Information Request 4.1:</w:t>
                      </w:r>
                    </w:p>
                    <w:p w14:paraId="4A4C5BA1" w14:textId="77777777" w:rsidR="00127153" w:rsidRDefault="00127153" w:rsidP="00D1756F">
                      <w:r w:rsidRPr="000B6B48">
                        <w:rPr>
                          <w:i/>
                          <w:iCs/>
                        </w:rPr>
                        <w:t xml:space="preserve">Should </w:t>
                      </w:r>
                      <w:r>
                        <w:rPr>
                          <w:i/>
                          <w:iCs/>
                        </w:rPr>
                        <w:t>life cycle</w:t>
                      </w:r>
                      <w:r w:rsidRPr="000B6B48">
                        <w:rPr>
                          <w:i/>
                          <w:iCs/>
                        </w:rPr>
                        <w:t xml:space="preserve"> products continue to be allowed as part of </w:t>
                      </w:r>
                      <w:proofErr w:type="spellStart"/>
                      <w:r w:rsidRPr="000B6B48">
                        <w:rPr>
                          <w:i/>
                          <w:iCs/>
                        </w:rPr>
                        <w:t>MySuper</w:t>
                      </w:r>
                      <w:proofErr w:type="spellEnd"/>
                      <w:r w:rsidRPr="000B6B48">
                        <w:rPr>
                          <w:i/>
                          <w:iCs/>
                        </w:rPr>
                        <w:t>? If so, do they require re-design to better cater for the varying circumstances of members nearing retirement, and how should this be achieved? What information is needed on members to develop a product better suited to managing sequencing risk?</w:t>
                      </w:r>
                    </w:p>
                  </w:txbxContent>
                </v:textbox>
                <w10:wrap type="square" anchorx="margin"/>
              </v:shape>
            </w:pict>
          </mc:Fallback>
        </mc:AlternateContent>
      </w:r>
    </w:p>
    <w:p w14:paraId="482627F6" w14:textId="77777777" w:rsidR="00D1756F" w:rsidRPr="006F26D3" w:rsidRDefault="00D1756F" w:rsidP="00D1756F">
      <w:pPr>
        <w:pStyle w:val="QNormal"/>
        <w:rPr>
          <w:b/>
          <w:i/>
        </w:rPr>
      </w:pPr>
      <w:r w:rsidRPr="006F26D3">
        <w:rPr>
          <w:b/>
          <w:i/>
        </w:rPr>
        <w:t xml:space="preserve">Should </w:t>
      </w:r>
      <w:r w:rsidR="00F95F0A" w:rsidRPr="006F26D3">
        <w:rPr>
          <w:b/>
          <w:i/>
        </w:rPr>
        <w:t>life cycle</w:t>
      </w:r>
      <w:r w:rsidRPr="006F26D3">
        <w:rPr>
          <w:b/>
          <w:i/>
        </w:rPr>
        <w:t xml:space="preserve"> products continue to be allowed as part of MySuper?</w:t>
      </w:r>
    </w:p>
    <w:p w14:paraId="7AD7E340" w14:textId="77777777" w:rsidR="00D1756F" w:rsidRPr="006F26D3" w:rsidRDefault="00D1756F" w:rsidP="00D1756F">
      <w:pPr>
        <w:pStyle w:val="QNormal"/>
        <w:rPr>
          <w:b/>
          <w:i/>
        </w:rPr>
      </w:pPr>
      <w:r w:rsidRPr="006F26D3">
        <w:rPr>
          <w:i/>
        </w:rPr>
        <w:t>QSuper strongly endorse</w:t>
      </w:r>
      <w:r w:rsidR="00BA6075">
        <w:rPr>
          <w:i/>
        </w:rPr>
        <w:t>s</w:t>
      </w:r>
      <w:r w:rsidRPr="006F26D3">
        <w:rPr>
          <w:i/>
        </w:rPr>
        <w:t xml:space="preserve"> the use of fit-for-purpose second-generation </w:t>
      </w:r>
      <w:r w:rsidR="00F95F0A" w:rsidRPr="006F26D3">
        <w:rPr>
          <w:i/>
        </w:rPr>
        <w:t>life cycle</w:t>
      </w:r>
      <w:r w:rsidRPr="006F26D3">
        <w:rPr>
          <w:i/>
        </w:rPr>
        <w:t xml:space="preserve"> products as part of MySuper.  </w:t>
      </w:r>
      <w:r w:rsidR="00F95F0A" w:rsidRPr="006F26D3">
        <w:rPr>
          <w:i/>
        </w:rPr>
        <w:t>Life cycle</w:t>
      </w:r>
      <w:r w:rsidRPr="006F26D3">
        <w:rPr>
          <w:i/>
        </w:rPr>
        <w:t xml:space="preserve"> strategies provide the means through which </w:t>
      </w:r>
      <w:r w:rsidR="00BA6075">
        <w:rPr>
          <w:i/>
        </w:rPr>
        <w:t>t</w:t>
      </w:r>
      <w:r w:rsidRPr="006F26D3">
        <w:rPr>
          <w:i/>
        </w:rPr>
        <w:t>rustees in Australia can exercise their fiduciary duty to act on behalf of default members.</w:t>
      </w:r>
    </w:p>
    <w:p w14:paraId="47361B1D" w14:textId="77777777" w:rsidR="00D1756F" w:rsidRPr="00EA143C" w:rsidRDefault="00D1756F" w:rsidP="00D1756F">
      <w:pPr>
        <w:pStyle w:val="QNormal"/>
        <w:rPr>
          <w:b/>
          <w:u w:val="single"/>
        </w:rPr>
      </w:pPr>
      <w:r w:rsidRPr="00EA143C">
        <w:rPr>
          <w:u w:val="single"/>
        </w:rPr>
        <w:t xml:space="preserve">Clarification of </w:t>
      </w:r>
      <w:r w:rsidR="00F95F0A">
        <w:rPr>
          <w:u w:val="single"/>
        </w:rPr>
        <w:t>life cycle</w:t>
      </w:r>
      <w:r w:rsidRPr="00EA143C">
        <w:rPr>
          <w:u w:val="single"/>
        </w:rPr>
        <w:t xml:space="preserve"> funds</w:t>
      </w:r>
    </w:p>
    <w:p w14:paraId="01BB13F6" w14:textId="77777777" w:rsidR="00D1756F" w:rsidRPr="002C495A" w:rsidRDefault="00D1756F" w:rsidP="00D1756F">
      <w:pPr>
        <w:pStyle w:val="QNormal"/>
        <w:rPr>
          <w:b/>
        </w:rPr>
      </w:pPr>
      <w:r w:rsidRPr="002C495A">
        <w:t>The</w:t>
      </w:r>
      <w:r>
        <w:t xml:space="preserve"> Commission</w:t>
      </w:r>
      <w:r w:rsidR="00BA6075">
        <w:t>’</w:t>
      </w:r>
      <w:r>
        <w:t>s</w:t>
      </w:r>
      <w:r w:rsidRPr="002C495A">
        <w:t xml:space="preserve"> assertions</w:t>
      </w:r>
      <w:r>
        <w:t xml:space="preserve"> regarding opportunity cost</w:t>
      </w:r>
      <w:r w:rsidRPr="002C495A">
        <w:t xml:space="preserve"> relate to</w:t>
      </w:r>
      <w:r>
        <w:t xml:space="preserve"> first generation</w:t>
      </w:r>
      <w:r w:rsidRPr="002C495A">
        <w:t xml:space="preserve"> </w:t>
      </w:r>
      <w:r>
        <w:t>(</w:t>
      </w:r>
      <w:r w:rsidRPr="002C495A">
        <w:t>traditional</w:t>
      </w:r>
      <w:r>
        <w:t>)</w:t>
      </w:r>
      <w:r w:rsidRPr="002C495A">
        <w:t xml:space="preserve"> </w:t>
      </w:r>
      <w:r w:rsidR="00F95F0A">
        <w:t>life cycle</w:t>
      </w:r>
      <w:r w:rsidRPr="002C495A">
        <w:t xml:space="preserve"> funds</w:t>
      </w:r>
      <w:r>
        <w:t xml:space="preserve"> and is</w:t>
      </w:r>
      <w:r w:rsidRPr="002C495A">
        <w:t xml:space="preserve"> constructed on two premises:</w:t>
      </w:r>
    </w:p>
    <w:p w14:paraId="00F9717A" w14:textId="46285C16" w:rsidR="00D1756F" w:rsidRPr="0017612A" w:rsidRDefault="00D1756F" w:rsidP="0017612A">
      <w:pPr>
        <w:pStyle w:val="ListParagraph"/>
        <w:numPr>
          <w:ilvl w:val="0"/>
          <w:numId w:val="25"/>
        </w:numPr>
        <w:jc w:val="both"/>
        <w:rPr>
          <w:rFonts w:cs="Arial"/>
          <w:szCs w:val="22"/>
          <w:lang w:eastAsia="en-AU"/>
        </w:rPr>
      </w:pPr>
      <w:r w:rsidRPr="0017612A">
        <w:rPr>
          <w:rFonts w:cs="Arial"/>
          <w:szCs w:val="22"/>
          <w:lang w:eastAsia="en-AU"/>
        </w:rPr>
        <w:t xml:space="preserve">Investment risk levels commence at standard levels of Balanced </w:t>
      </w:r>
      <w:r w:rsidR="00A23196">
        <w:rPr>
          <w:rFonts w:cs="Arial"/>
          <w:szCs w:val="22"/>
          <w:lang w:eastAsia="en-AU"/>
        </w:rPr>
        <w:t>fu</w:t>
      </w:r>
      <w:r w:rsidRPr="0017612A">
        <w:rPr>
          <w:rFonts w:cs="Arial"/>
          <w:szCs w:val="22"/>
          <w:lang w:eastAsia="en-AU"/>
        </w:rPr>
        <w:t>nds and decline with age to reach a minimum around retirement age.</w:t>
      </w:r>
    </w:p>
    <w:p w14:paraId="7C831622" w14:textId="77777777" w:rsidR="006D2A45" w:rsidRPr="0017612A" w:rsidRDefault="006D2A45" w:rsidP="0017612A">
      <w:pPr>
        <w:pStyle w:val="ListParagraph"/>
        <w:jc w:val="both"/>
        <w:rPr>
          <w:rFonts w:cs="Arial"/>
          <w:szCs w:val="22"/>
          <w:lang w:eastAsia="en-AU"/>
        </w:rPr>
      </w:pPr>
    </w:p>
    <w:p w14:paraId="4BF50BC2" w14:textId="77777777" w:rsidR="00D1756F" w:rsidRDefault="00D1756F" w:rsidP="0017612A">
      <w:pPr>
        <w:pStyle w:val="ListParagraph"/>
        <w:numPr>
          <w:ilvl w:val="0"/>
          <w:numId w:val="25"/>
        </w:numPr>
        <w:jc w:val="both"/>
        <w:rPr>
          <w:rFonts w:cs="Arial"/>
          <w:szCs w:val="22"/>
          <w:lang w:eastAsia="en-AU"/>
        </w:rPr>
      </w:pPr>
      <w:r w:rsidRPr="0017612A">
        <w:rPr>
          <w:rFonts w:cs="Arial"/>
          <w:szCs w:val="22"/>
          <w:lang w:eastAsia="en-AU"/>
        </w:rPr>
        <w:t>Age is the only factor used to vary investment strategy.</w:t>
      </w:r>
    </w:p>
    <w:p w14:paraId="12D0F06A" w14:textId="77777777" w:rsidR="00A2458D" w:rsidRPr="007A7884" w:rsidRDefault="00A2458D" w:rsidP="00756873">
      <w:pPr>
        <w:pStyle w:val="ListParagraph"/>
        <w:rPr>
          <w:rFonts w:cs="Arial"/>
          <w:szCs w:val="22"/>
          <w:lang w:eastAsia="en-AU"/>
        </w:rPr>
      </w:pPr>
    </w:p>
    <w:p w14:paraId="74A3CB4D" w14:textId="77777777" w:rsidR="00D1756F" w:rsidRDefault="00D1756F" w:rsidP="00D1756F">
      <w:pPr>
        <w:pStyle w:val="QNormal"/>
        <w:rPr>
          <w:b/>
        </w:rPr>
      </w:pPr>
      <w:r w:rsidRPr="002C495A">
        <w:t xml:space="preserve">QSuper </w:t>
      </w:r>
      <w:r w:rsidR="00BA6075">
        <w:t>does</w:t>
      </w:r>
      <w:r w:rsidR="00BA6075" w:rsidRPr="002C495A">
        <w:t xml:space="preserve"> </w:t>
      </w:r>
      <w:r w:rsidRPr="002C495A">
        <w:t xml:space="preserve">not advocate this first-generation de-risking </w:t>
      </w:r>
      <w:r w:rsidR="00F95F0A">
        <w:t>life cycle</w:t>
      </w:r>
      <w:r w:rsidRPr="002C495A">
        <w:t xml:space="preserve"> as a default.  However, there are more advanced </w:t>
      </w:r>
      <w:r w:rsidR="00F95F0A">
        <w:t>life cycle</w:t>
      </w:r>
      <w:r w:rsidRPr="002C495A">
        <w:t xml:space="preserve"> funds</w:t>
      </w:r>
      <w:r>
        <w:t>, which QSuper has adopted and would recommend as best practice for designing default defined contribution solutions.</w:t>
      </w:r>
    </w:p>
    <w:p w14:paraId="4ABB3D09" w14:textId="77777777" w:rsidR="00D1756F" w:rsidRPr="00EA143C" w:rsidRDefault="00D1756F" w:rsidP="00D1756F">
      <w:pPr>
        <w:pStyle w:val="QNormal"/>
        <w:rPr>
          <w:b/>
          <w:u w:val="single"/>
        </w:rPr>
      </w:pPr>
      <w:r w:rsidRPr="00EA143C">
        <w:rPr>
          <w:u w:val="single"/>
        </w:rPr>
        <w:t>Opportunity cost</w:t>
      </w:r>
    </w:p>
    <w:p w14:paraId="0C216A0C" w14:textId="59C5B9D4" w:rsidR="00D1756F" w:rsidRDefault="00D1756F" w:rsidP="00D1756F">
      <w:pPr>
        <w:pStyle w:val="QNormal"/>
        <w:rPr>
          <w:b/>
        </w:rPr>
      </w:pPr>
      <w:r>
        <w:t>It is important to point out that o</w:t>
      </w:r>
      <w:r w:rsidRPr="000C51D1">
        <w:t xml:space="preserve">pportunity costs exist in everything, even a Balanced </w:t>
      </w:r>
      <w:r w:rsidR="00A23196">
        <w:t>f</w:t>
      </w:r>
      <w:r w:rsidRPr="000C51D1">
        <w:t xml:space="preserve">und.  With hindsight, </w:t>
      </w:r>
      <w:r>
        <w:t xml:space="preserve">a </w:t>
      </w:r>
      <w:r w:rsidRPr="000C51D1">
        <w:t>Balanced</w:t>
      </w:r>
      <w:r w:rsidR="00A23196">
        <w:t xml:space="preserve"> f</w:t>
      </w:r>
      <w:r>
        <w:t>und</w:t>
      </w:r>
      <w:r w:rsidRPr="000C51D1">
        <w:t xml:space="preserve"> has been a relatively poor outcome</w:t>
      </w:r>
      <w:r w:rsidR="00BA6075">
        <w:t xml:space="preserve"> over the last </w:t>
      </w:r>
      <w:r w:rsidR="007B4C3B">
        <w:t>five</w:t>
      </w:r>
      <w:r w:rsidR="00C1339B" w:rsidRPr="00663988">
        <w:t xml:space="preserve"> </w:t>
      </w:r>
      <w:r w:rsidR="00BA6075">
        <w:t>years</w:t>
      </w:r>
      <w:r w:rsidRPr="000C51D1">
        <w:t xml:space="preserve">.  </w:t>
      </w:r>
      <w:r>
        <w:t>Instead</w:t>
      </w:r>
      <w:r w:rsidR="007156DD">
        <w:t>,</w:t>
      </w:r>
      <w:r>
        <w:t xml:space="preserve"> funds s</w:t>
      </w:r>
      <w:r w:rsidRPr="000C51D1">
        <w:t xml:space="preserve">hould have been invested in very high-risk assets.  </w:t>
      </w:r>
      <w:r>
        <w:t>This raises the question w</w:t>
      </w:r>
      <w:r w:rsidRPr="000C51D1">
        <w:t>hy a</w:t>
      </w:r>
      <w:r>
        <w:t xml:space="preserve"> 70/30</w:t>
      </w:r>
      <w:r w:rsidRPr="000C51D1">
        <w:t xml:space="preserve"> Balanced Fund</w:t>
      </w:r>
      <w:r>
        <w:t xml:space="preserve"> has been adopted for comparing the performance of </w:t>
      </w:r>
      <w:r w:rsidR="00F95F0A">
        <w:t>life cycle</w:t>
      </w:r>
      <w:r>
        <w:t xml:space="preserve"> funds</w:t>
      </w:r>
      <w:r w:rsidRPr="000C51D1">
        <w:t xml:space="preserve"> rather than</w:t>
      </w:r>
      <w:r>
        <w:t xml:space="preserve"> a</w:t>
      </w:r>
      <w:r w:rsidRPr="000C51D1">
        <w:t xml:space="preserve"> 100/0</w:t>
      </w:r>
      <w:r>
        <w:t xml:space="preserve"> full growth exposure fund, as </w:t>
      </w:r>
      <w:r w:rsidRPr="000C51D1">
        <w:t>this would have derived the best asset-based return</w:t>
      </w:r>
      <w:r>
        <w:t xml:space="preserve">.  </w:t>
      </w:r>
    </w:p>
    <w:p w14:paraId="78EE17C9" w14:textId="516AFD5F" w:rsidR="00D1756F" w:rsidRDefault="00D1756F" w:rsidP="00D1756F">
      <w:pPr>
        <w:pStyle w:val="QNormal"/>
      </w:pPr>
      <w:r>
        <w:t>Rather than accepting a single one-size-fits-all risk level, strategies should</w:t>
      </w:r>
      <w:r w:rsidRPr="000C51D1">
        <w:t xml:space="preserve"> be more targeted and accept lower risk for only those</w:t>
      </w:r>
      <w:r>
        <w:t xml:space="preserve"> members</w:t>
      </w:r>
      <w:r w:rsidRPr="000C51D1">
        <w:t xml:space="preserve"> that warrant it.</w:t>
      </w:r>
      <w:r>
        <w:t xml:space="preserve">  </w:t>
      </w:r>
      <w:r w:rsidRPr="000C51D1">
        <w:t>Th</w:t>
      </w:r>
      <w:r>
        <w:t>e</w:t>
      </w:r>
      <w:r w:rsidRPr="000C51D1">
        <w:t xml:space="preserve"> </w:t>
      </w:r>
      <w:r w:rsidR="00A0067F">
        <w:t>‘</w:t>
      </w:r>
      <w:r w:rsidRPr="000C51D1">
        <w:t>de-risking</w:t>
      </w:r>
      <w:r w:rsidR="00A0067F">
        <w:t>’</w:t>
      </w:r>
      <w:r w:rsidRPr="000C51D1">
        <w:t xml:space="preserve"> opportunity cost thesis does not apply to more advanced </w:t>
      </w:r>
      <w:r w:rsidR="00F95F0A">
        <w:t>life cycle</w:t>
      </w:r>
      <w:r w:rsidRPr="000C51D1">
        <w:t xml:space="preserve"> funds</w:t>
      </w:r>
      <w:r>
        <w:t xml:space="preserve"> where risk-adjusted outcomes are targeted</w:t>
      </w:r>
      <w:r w:rsidRPr="000C51D1">
        <w:t xml:space="preserve">.  </w:t>
      </w:r>
      <w:r>
        <w:t>The majority of</w:t>
      </w:r>
      <w:r w:rsidRPr="000C51D1">
        <w:t xml:space="preserve"> QSuper Lifetime</w:t>
      </w:r>
      <w:r>
        <w:t xml:space="preserve"> (MySuper)</w:t>
      </w:r>
      <w:r w:rsidRPr="000C51D1">
        <w:t xml:space="preserve"> members below age 50 have 100% growth assets.</w:t>
      </w:r>
    </w:p>
    <w:p w14:paraId="61137A85" w14:textId="77777777" w:rsidR="00D1756F" w:rsidRDefault="00D1756F" w:rsidP="005961A0">
      <w:pPr>
        <w:rPr>
          <w:u w:val="single"/>
        </w:rPr>
      </w:pPr>
      <w:r w:rsidRPr="00EA143C">
        <w:rPr>
          <w:u w:val="single"/>
        </w:rPr>
        <w:lastRenderedPageBreak/>
        <w:t>Evidence on returns</w:t>
      </w:r>
    </w:p>
    <w:p w14:paraId="43502DF0" w14:textId="77777777" w:rsidR="00A2458D" w:rsidRPr="00EA143C" w:rsidRDefault="00A2458D" w:rsidP="005961A0">
      <w:pPr>
        <w:rPr>
          <w:b/>
          <w:u w:val="single"/>
        </w:rPr>
      </w:pPr>
    </w:p>
    <w:p w14:paraId="75FF200F" w14:textId="77777777" w:rsidR="00D1756F" w:rsidRDefault="00D1756F" w:rsidP="00D1756F">
      <w:pPr>
        <w:pStyle w:val="QNormal"/>
        <w:rPr>
          <w:b/>
        </w:rPr>
      </w:pPr>
      <w:r>
        <w:t xml:space="preserve">QSuper’s </w:t>
      </w:r>
      <w:r w:rsidR="00F109C5">
        <w:t>second-generation</w:t>
      </w:r>
      <w:r>
        <w:t xml:space="preserve"> (advanced) </w:t>
      </w:r>
      <w:r w:rsidR="00F95F0A">
        <w:t>life cycle</w:t>
      </w:r>
      <w:r>
        <w:t xml:space="preserve"> approach resulted in </w:t>
      </w:r>
      <w:r w:rsidRPr="00DA0C0E">
        <w:t xml:space="preserve">77% of </w:t>
      </w:r>
      <w:r>
        <w:t xml:space="preserve">QSuper Lifetime </w:t>
      </w:r>
      <w:r w:rsidRPr="00DA0C0E">
        <w:t>members accru</w:t>
      </w:r>
      <w:r>
        <w:t>ing</w:t>
      </w:r>
      <w:r w:rsidRPr="00DA0C0E">
        <w:t xml:space="preserve"> higher or equivalent (within 1% pa of </w:t>
      </w:r>
      <w:r>
        <w:t xml:space="preserve">the </w:t>
      </w:r>
      <w:r w:rsidRPr="00DA0C0E">
        <w:t>Balanced</w:t>
      </w:r>
      <w:r>
        <w:t xml:space="preserve"> Fund</w:t>
      </w:r>
      <w:r w:rsidRPr="00DA0C0E">
        <w:t>) returns</w:t>
      </w:r>
      <w:r>
        <w:t xml:space="preserve"> for the period since inception</w:t>
      </w:r>
      <w:r w:rsidRPr="00DA0C0E">
        <w:t>.</w:t>
      </w:r>
      <w:r>
        <w:t xml:space="preserve">  This</w:t>
      </w:r>
      <w:r w:rsidRPr="00DA0C0E">
        <w:t xml:space="preserve"> has been an exceptional period in markets </w:t>
      </w:r>
      <w:r>
        <w:t>and r</w:t>
      </w:r>
      <w:r w:rsidRPr="00DA0C0E">
        <w:t>eturns have been high, well above equilibrium expectations.</w:t>
      </w:r>
      <w:r>
        <w:t xml:space="preserve"> </w:t>
      </w:r>
      <w:r w:rsidRPr="00DA0C0E">
        <w:t xml:space="preserve"> At the same time, volatility has been quite low. This reflects the importance of raising asset risk for members with a plausible tolerance (asset/liability funding basis)</w:t>
      </w:r>
      <w:r w:rsidR="00BA6075">
        <w:t>,</w:t>
      </w:r>
      <w:r w:rsidRPr="00DA0C0E">
        <w:t xml:space="preserve"> rather than simply lowering asset risk as members age as many simple </w:t>
      </w:r>
      <w:r w:rsidR="00F95F0A">
        <w:t>life cycle</w:t>
      </w:r>
      <w:r w:rsidRPr="00DA0C0E">
        <w:t xml:space="preserve"> funds do.</w:t>
      </w:r>
      <w:r>
        <w:t xml:space="preserve">  </w:t>
      </w:r>
    </w:p>
    <w:p w14:paraId="577DD16A" w14:textId="77777777" w:rsidR="00D1756F" w:rsidRDefault="00D1756F" w:rsidP="00D1756F">
      <w:pPr>
        <w:pStyle w:val="QNormal"/>
      </w:pPr>
      <w:r w:rsidRPr="00357E3D">
        <w:t>The other 23%</w:t>
      </w:r>
      <w:r>
        <w:t xml:space="preserve"> of QSuper’s Lifetime members</w:t>
      </w:r>
      <w:r w:rsidRPr="00357E3D">
        <w:t xml:space="preserve"> had outcomes which, by design, managed risks of </w:t>
      </w:r>
      <w:r w:rsidR="00BA6075">
        <w:t xml:space="preserve">transition to </w:t>
      </w:r>
      <w:r w:rsidRPr="00357E3D">
        <w:t>retirement income close to retirement.  This is key</w:t>
      </w:r>
      <w:r>
        <w:t xml:space="preserve">, resulting in </w:t>
      </w:r>
      <w:r w:rsidRPr="00357E3D">
        <w:t xml:space="preserve">proper risk setting early and around retirement across the </w:t>
      </w:r>
      <w:r w:rsidR="00F95F0A">
        <w:t>life cycle</w:t>
      </w:r>
      <w:r w:rsidRPr="00357E3D">
        <w:t xml:space="preserve">. </w:t>
      </w:r>
      <w:r>
        <w:t xml:space="preserve"> </w:t>
      </w:r>
      <w:r w:rsidRPr="00357E3D">
        <w:t xml:space="preserve">On a risk-adjusted basis, Sharpe ratios </w:t>
      </w:r>
      <w:r>
        <w:t>we</w:t>
      </w:r>
      <w:r w:rsidRPr="00357E3D">
        <w:t>re exceptionally high compared to</w:t>
      </w:r>
      <w:r>
        <w:t xml:space="preserve"> the</w:t>
      </w:r>
      <w:r w:rsidRPr="00357E3D">
        <w:t xml:space="preserve"> Balanced</w:t>
      </w:r>
      <w:r>
        <w:t xml:space="preserve"> Fund for all QSuper Lifetime members</w:t>
      </w:r>
      <w:r w:rsidRPr="00357E3D">
        <w:t>.</w:t>
      </w:r>
    </w:p>
    <w:p w14:paraId="10D7B3FD" w14:textId="77777777" w:rsidR="007209BE" w:rsidRDefault="007209BE" w:rsidP="00D1756F">
      <w:pPr>
        <w:pStyle w:val="QNormal"/>
      </w:pPr>
      <w:r>
        <w:t xml:space="preserve">QSuper would welcome the opportunity </w:t>
      </w:r>
      <w:r w:rsidR="00F041A8">
        <w:t>to further demonstrate our advanced modelling and analysis with regard to life cycle funds.</w:t>
      </w:r>
    </w:p>
    <w:p w14:paraId="3E20BAA4" w14:textId="77777777" w:rsidR="00D1756F" w:rsidRPr="00EA143C" w:rsidRDefault="00D1756F" w:rsidP="00D1756F">
      <w:pPr>
        <w:pStyle w:val="QNormal"/>
        <w:rPr>
          <w:b/>
          <w:u w:val="single"/>
        </w:rPr>
      </w:pPr>
      <w:r w:rsidRPr="00EA143C">
        <w:rPr>
          <w:u w:val="single"/>
        </w:rPr>
        <w:t>Purpose of superannuation</w:t>
      </w:r>
    </w:p>
    <w:p w14:paraId="08A4F53B" w14:textId="153C8F44" w:rsidR="00D1756F" w:rsidRDefault="00D1756F" w:rsidP="00D1756F">
      <w:pPr>
        <w:pStyle w:val="QNormal"/>
        <w:rPr>
          <w:b/>
        </w:rPr>
      </w:pPr>
      <w:bookmarkStart w:id="5" w:name="_Hlk518648279"/>
      <w:r>
        <w:t xml:space="preserve">The (draft legislated) purpose of the superannuation system is to provide an income in retirement to support or supplement the age pension entitlements.  It is this point that often gets overlooked when assessing </w:t>
      </w:r>
      <w:r w:rsidR="00F95F0A">
        <w:t>life cycle</w:t>
      </w:r>
      <w:r>
        <w:t xml:space="preserve"> performance on an asset only basis.  </w:t>
      </w:r>
    </w:p>
    <w:bookmarkEnd w:id="5"/>
    <w:p w14:paraId="3B608F22" w14:textId="77777777" w:rsidR="00D1756F" w:rsidRDefault="00D1756F" w:rsidP="00D1756F">
      <w:pPr>
        <w:pStyle w:val="QNormal"/>
        <w:rPr>
          <w:b/>
        </w:rPr>
      </w:pPr>
      <w:r w:rsidRPr="00F657F5">
        <w:t xml:space="preserve">The best basis for comparison </w:t>
      </w:r>
      <w:r>
        <w:t xml:space="preserve">of strategies </w:t>
      </w:r>
      <w:r w:rsidRPr="00F657F5">
        <w:t>is members’ prospective wellbeing (income and the ability to fund their liabilities).</w:t>
      </w:r>
      <w:r>
        <w:t xml:space="preserve"> </w:t>
      </w:r>
      <w:r w:rsidRPr="00F657F5">
        <w:t xml:space="preserve"> Many things influence this as much</w:t>
      </w:r>
      <w:r w:rsidR="0045564A">
        <w:t>,</w:t>
      </w:r>
      <w:r w:rsidRPr="00F657F5">
        <w:t xml:space="preserve"> or more</w:t>
      </w:r>
      <w:r w:rsidR="0045564A">
        <w:t>,</w:t>
      </w:r>
      <w:r w:rsidRPr="00F657F5">
        <w:t xml:space="preserve"> than asset returns</w:t>
      </w:r>
      <w:r>
        <w:t xml:space="preserve"> and any measure for the value proposition of </w:t>
      </w:r>
      <w:r w:rsidR="00F95F0A">
        <w:t>life cycle</w:t>
      </w:r>
      <w:r>
        <w:t xml:space="preserve"> strategies need to allow for this</w:t>
      </w:r>
      <w:r w:rsidRPr="00F657F5">
        <w:t>.</w:t>
      </w:r>
    </w:p>
    <w:p w14:paraId="025FD5C2" w14:textId="77777777" w:rsidR="00D1756F" w:rsidRPr="006F26D3" w:rsidRDefault="00D1756F" w:rsidP="00D1756F">
      <w:pPr>
        <w:pStyle w:val="QNormal"/>
        <w:rPr>
          <w:b/>
          <w:i/>
        </w:rPr>
      </w:pPr>
      <w:r w:rsidRPr="006F26D3">
        <w:rPr>
          <w:b/>
          <w:i/>
        </w:rPr>
        <w:t>If so, do they require re-design to better cater for the varying circumstances of members nearing retirement, and how should this be achieved?</w:t>
      </w:r>
    </w:p>
    <w:p w14:paraId="3198351D" w14:textId="77777777" w:rsidR="00D1756F" w:rsidRPr="00663988" w:rsidRDefault="00D1756F" w:rsidP="00D1756F">
      <w:pPr>
        <w:pStyle w:val="QNormal"/>
        <w:rPr>
          <w:b/>
          <w:i/>
        </w:rPr>
      </w:pPr>
      <w:r w:rsidRPr="00663988">
        <w:rPr>
          <w:i/>
        </w:rPr>
        <w:t xml:space="preserve">Offering tailored investment solutions for default members through advanced </w:t>
      </w:r>
      <w:r w:rsidR="00F95F0A" w:rsidRPr="00663988">
        <w:rPr>
          <w:i/>
        </w:rPr>
        <w:t>life cycle</w:t>
      </w:r>
      <w:r w:rsidRPr="00663988">
        <w:rPr>
          <w:i/>
        </w:rPr>
        <w:t xml:space="preserve"> strategies provide</w:t>
      </w:r>
      <w:r w:rsidR="00B21BA6" w:rsidRPr="00663988">
        <w:rPr>
          <w:i/>
        </w:rPr>
        <w:t>s</w:t>
      </w:r>
      <w:r w:rsidRPr="00663988">
        <w:rPr>
          <w:i/>
        </w:rPr>
        <w:t xml:space="preserve"> a sound way for funds to manage the default members’ best interest.  Using improvements in member data and technology, larger better resourced funds can be challenged to create improved, more individualised solutions.  </w:t>
      </w:r>
    </w:p>
    <w:p w14:paraId="373A77E0" w14:textId="1176D774" w:rsidR="00D1756F" w:rsidRPr="00663988" w:rsidRDefault="00D1756F" w:rsidP="00D1756F">
      <w:pPr>
        <w:pStyle w:val="QNormal"/>
        <w:rPr>
          <w:b/>
          <w:i/>
        </w:rPr>
      </w:pPr>
      <w:r w:rsidRPr="00663988">
        <w:rPr>
          <w:i/>
        </w:rPr>
        <w:t>Life</w:t>
      </w:r>
      <w:r w:rsidR="00F95F0A" w:rsidRPr="00663988">
        <w:rPr>
          <w:i/>
        </w:rPr>
        <w:t xml:space="preserve"> </w:t>
      </w:r>
      <w:r w:rsidRPr="00663988">
        <w:rPr>
          <w:i/>
        </w:rPr>
        <w:t xml:space="preserve">cycle is more suited to default because it empowers </w:t>
      </w:r>
      <w:r w:rsidR="000B53DF">
        <w:rPr>
          <w:i/>
        </w:rPr>
        <w:t>t</w:t>
      </w:r>
      <w:r w:rsidRPr="00663988">
        <w:rPr>
          <w:i/>
        </w:rPr>
        <w:t xml:space="preserve">rustees to act.  Trustees should be challenged to do the right thing for members, based on sound principles.  Comparability should be a secondary consideration.  QSuper is doing this and </w:t>
      </w:r>
      <w:r w:rsidR="009F5FED">
        <w:rPr>
          <w:i/>
        </w:rPr>
        <w:t xml:space="preserve">is seeking to </w:t>
      </w:r>
      <w:r w:rsidRPr="00663988">
        <w:rPr>
          <w:i/>
        </w:rPr>
        <w:t>improv</w:t>
      </w:r>
      <w:r w:rsidR="009F5FED">
        <w:rPr>
          <w:i/>
        </w:rPr>
        <w:t>e</w:t>
      </w:r>
      <w:r w:rsidRPr="00663988">
        <w:rPr>
          <w:i/>
        </w:rPr>
        <w:t xml:space="preserve"> on it continuously.</w:t>
      </w:r>
    </w:p>
    <w:p w14:paraId="59158ACA" w14:textId="77777777" w:rsidR="00D1756F" w:rsidRPr="00EA143C" w:rsidRDefault="00D1756F" w:rsidP="00D1756F">
      <w:pPr>
        <w:pStyle w:val="QNormal"/>
        <w:rPr>
          <w:b/>
          <w:u w:val="single"/>
        </w:rPr>
      </w:pPr>
      <w:r w:rsidRPr="00EA143C">
        <w:rPr>
          <w:u w:val="single"/>
        </w:rPr>
        <w:t xml:space="preserve">Considering </w:t>
      </w:r>
      <w:r w:rsidR="00AC2B48">
        <w:rPr>
          <w:u w:val="single"/>
        </w:rPr>
        <w:t>l</w:t>
      </w:r>
      <w:r w:rsidR="00F95F0A">
        <w:rPr>
          <w:u w:val="single"/>
        </w:rPr>
        <w:t>ife cycle</w:t>
      </w:r>
      <w:r w:rsidRPr="00EA143C">
        <w:rPr>
          <w:u w:val="single"/>
        </w:rPr>
        <w:t xml:space="preserve"> investing in its </w:t>
      </w:r>
      <w:r w:rsidR="00AC2B48">
        <w:rPr>
          <w:u w:val="single"/>
        </w:rPr>
        <w:t>s</w:t>
      </w:r>
      <w:r w:rsidRPr="00EA143C">
        <w:rPr>
          <w:u w:val="single"/>
        </w:rPr>
        <w:t>econd-</w:t>
      </w:r>
      <w:r w:rsidR="00AC2B48">
        <w:rPr>
          <w:u w:val="single"/>
        </w:rPr>
        <w:t>g</w:t>
      </w:r>
      <w:r w:rsidRPr="00EA143C">
        <w:rPr>
          <w:u w:val="single"/>
        </w:rPr>
        <w:t xml:space="preserve">eneration (and beyond) </w:t>
      </w:r>
    </w:p>
    <w:p w14:paraId="2A7A4CFD" w14:textId="77777777" w:rsidR="00D1756F" w:rsidRDefault="00D1756F" w:rsidP="00D1756F">
      <w:pPr>
        <w:pStyle w:val="QNormal"/>
        <w:rPr>
          <w:b/>
        </w:rPr>
      </w:pPr>
      <w:r w:rsidRPr="006E098B">
        <w:t>The standard analysis frames risk in terms of asset returns and account balances only (asset volatility). Wealth maximisation at an assumed retirement age is not aligned with the superannuation system objective of providing income streams in retirement to substitute or supplement the Age Pension</w:t>
      </w:r>
      <w:r>
        <w:t>.</w:t>
      </w:r>
    </w:p>
    <w:p w14:paraId="30E84513" w14:textId="77777777" w:rsidR="00D1756F" w:rsidRPr="003D2BF3" w:rsidRDefault="00D1756F" w:rsidP="00D1756F">
      <w:pPr>
        <w:pStyle w:val="QNormal"/>
        <w:rPr>
          <w:b/>
        </w:rPr>
      </w:pPr>
      <w:r w:rsidRPr="003D2BF3">
        <w:t>There is rich literature regarding the use of life</w:t>
      </w:r>
      <w:r w:rsidR="001070C1">
        <w:t xml:space="preserve"> </w:t>
      </w:r>
      <w:r w:rsidRPr="003D2BF3">
        <w:t xml:space="preserve">cycle strategies.  The generic </w:t>
      </w:r>
      <w:r w:rsidR="00F95F0A">
        <w:t>life cycle</w:t>
      </w:r>
      <w:r w:rsidRPr="003D2BF3">
        <w:t xml:space="preserve"> approach varies investment strategy by reducing investment risk by age.  However, a growing number of philosophies and strategies fall under the broad ‘</w:t>
      </w:r>
      <w:r w:rsidR="00F95F0A">
        <w:t>life cycle</w:t>
      </w:r>
      <w:r w:rsidRPr="003D2BF3">
        <w:t>’ terminology, including ‘goals-based investing’.  This next wave of thinking draws on these premises:</w:t>
      </w:r>
    </w:p>
    <w:p w14:paraId="59AEC876" w14:textId="77777777" w:rsidR="0017612A" w:rsidRDefault="00D1756F" w:rsidP="0017612A">
      <w:pPr>
        <w:pStyle w:val="ListParagraph"/>
        <w:numPr>
          <w:ilvl w:val="0"/>
          <w:numId w:val="25"/>
        </w:numPr>
        <w:jc w:val="both"/>
        <w:rPr>
          <w:rFonts w:cs="Arial"/>
          <w:szCs w:val="22"/>
          <w:lang w:eastAsia="en-AU"/>
        </w:rPr>
      </w:pPr>
      <w:r w:rsidRPr="003D2BF3">
        <w:lastRenderedPageBreak/>
        <w:t>T</w:t>
      </w:r>
      <w:r w:rsidRPr="0017612A">
        <w:rPr>
          <w:rFonts w:cs="Arial"/>
          <w:szCs w:val="22"/>
          <w:lang w:eastAsia="en-AU"/>
        </w:rPr>
        <w:t xml:space="preserve">he objective of advanced </w:t>
      </w:r>
      <w:r w:rsidR="00F95F0A" w:rsidRPr="0017612A">
        <w:rPr>
          <w:rFonts w:cs="Arial"/>
          <w:szCs w:val="22"/>
          <w:lang w:eastAsia="en-AU"/>
        </w:rPr>
        <w:t>life cycle</w:t>
      </w:r>
      <w:r w:rsidRPr="0017612A">
        <w:rPr>
          <w:rFonts w:cs="Arial"/>
          <w:szCs w:val="22"/>
          <w:lang w:eastAsia="en-AU"/>
        </w:rPr>
        <w:t xml:space="preserve"> funds is to maximise risk-adjusted returns across the </w:t>
      </w:r>
      <w:r w:rsidR="009C0086" w:rsidRPr="0017612A">
        <w:rPr>
          <w:rFonts w:cs="Arial"/>
          <w:szCs w:val="22"/>
          <w:lang w:eastAsia="en-AU"/>
        </w:rPr>
        <w:t>life cycle</w:t>
      </w:r>
      <w:r w:rsidRPr="0017612A">
        <w:rPr>
          <w:rFonts w:cs="Arial"/>
          <w:szCs w:val="22"/>
          <w:lang w:eastAsia="en-AU"/>
        </w:rPr>
        <w:t xml:space="preserve">, not simply reduce risk. </w:t>
      </w:r>
    </w:p>
    <w:p w14:paraId="214D398D" w14:textId="77777777" w:rsidR="00D1756F" w:rsidRPr="0017612A" w:rsidRDefault="00D1756F" w:rsidP="0017612A">
      <w:pPr>
        <w:pStyle w:val="ListParagraph"/>
        <w:jc w:val="both"/>
        <w:rPr>
          <w:rFonts w:cs="Arial"/>
          <w:szCs w:val="22"/>
          <w:lang w:eastAsia="en-AU"/>
        </w:rPr>
      </w:pPr>
      <w:r w:rsidRPr="0017612A">
        <w:rPr>
          <w:rFonts w:cs="Arial"/>
          <w:szCs w:val="22"/>
          <w:lang w:eastAsia="en-AU"/>
        </w:rPr>
        <w:t xml:space="preserve"> </w:t>
      </w:r>
    </w:p>
    <w:p w14:paraId="2AA5922B" w14:textId="77777777" w:rsidR="0017612A" w:rsidRDefault="00D1756F" w:rsidP="0017612A">
      <w:pPr>
        <w:pStyle w:val="ListParagraph"/>
        <w:numPr>
          <w:ilvl w:val="0"/>
          <w:numId w:val="25"/>
        </w:numPr>
        <w:jc w:val="both"/>
        <w:rPr>
          <w:rFonts w:cs="Arial"/>
          <w:szCs w:val="22"/>
          <w:lang w:eastAsia="en-AU"/>
        </w:rPr>
      </w:pPr>
      <w:r w:rsidRPr="0017612A">
        <w:rPr>
          <w:rFonts w:cs="Arial"/>
          <w:szCs w:val="22"/>
          <w:lang w:eastAsia="en-AU"/>
        </w:rPr>
        <w:t xml:space="preserve">Members face a range of different risks throughout their accumulation lifetime.  The behavioural literature reveals evidence that a member’s risk appetite and tolerance also change over time. </w:t>
      </w:r>
    </w:p>
    <w:p w14:paraId="2CE53B16" w14:textId="77777777" w:rsidR="00D1756F" w:rsidRPr="0017612A" w:rsidRDefault="00D1756F" w:rsidP="0017612A">
      <w:pPr>
        <w:pStyle w:val="ListParagraph"/>
        <w:jc w:val="both"/>
        <w:rPr>
          <w:rFonts w:cs="Arial"/>
          <w:szCs w:val="22"/>
          <w:lang w:eastAsia="en-AU"/>
        </w:rPr>
      </w:pPr>
      <w:r w:rsidRPr="0017612A">
        <w:rPr>
          <w:rFonts w:cs="Arial"/>
          <w:szCs w:val="22"/>
          <w:lang w:eastAsia="en-AU"/>
        </w:rPr>
        <w:t xml:space="preserve"> </w:t>
      </w:r>
    </w:p>
    <w:p w14:paraId="71188F0F" w14:textId="77777777" w:rsidR="00D1756F" w:rsidRDefault="00D1756F" w:rsidP="0017612A">
      <w:pPr>
        <w:pStyle w:val="ListParagraph"/>
        <w:numPr>
          <w:ilvl w:val="0"/>
          <w:numId w:val="25"/>
        </w:numPr>
        <w:jc w:val="both"/>
        <w:rPr>
          <w:rFonts w:cs="Arial"/>
          <w:szCs w:val="22"/>
          <w:lang w:eastAsia="en-AU"/>
        </w:rPr>
      </w:pPr>
      <w:r w:rsidRPr="0017612A">
        <w:rPr>
          <w:rFonts w:cs="Arial"/>
          <w:szCs w:val="22"/>
          <w:lang w:eastAsia="en-AU"/>
        </w:rPr>
        <w:t>Members’ risk tolerances, which behavioural research establishes as strongly asymmetric to loss, increasing at later ages when balances and engagement levels are high, and more so for women than men.</w:t>
      </w:r>
    </w:p>
    <w:p w14:paraId="56352B02" w14:textId="77777777" w:rsidR="0017612A" w:rsidRPr="0017612A" w:rsidRDefault="0017612A" w:rsidP="0017612A">
      <w:pPr>
        <w:pStyle w:val="ListParagraph"/>
        <w:jc w:val="both"/>
        <w:rPr>
          <w:rFonts w:cs="Arial"/>
          <w:szCs w:val="22"/>
          <w:lang w:eastAsia="en-AU"/>
        </w:rPr>
      </w:pPr>
    </w:p>
    <w:p w14:paraId="50BFCF9B" w14:textId="77777777" w:rsidR="00D1756F" w:rsidRDefault="00D1756F" w:rsidP="0017612A">
      <w:pPr>
        <w:pStyle w:val="ListParagraph"/>
        <w:numPr>
          <w:ilvl w:val="0"/>
          <w:numId w:val="25"/>
        </w:numPr>
        <w:jc w:val="both"/>
        <w:rPr>
          <w:rFonts w:cs="Arial"/>
          <w:szCs w:val="22"/>
          <w:lang w:eastAsia="en-AU"/>
        </w:rPr>
      </w:pPr>
      <w:r w:rsidRPr="0017612A">
        <w:rPr>
          <w:rFonts w:cs="Arial"/>
          <w:szCs w:val="22"/>
          <w:lang w:eastAsia="en-AU"/>
        </w:rPr>
        <w:t>As risks change, so too should strategy.  This is not restricted to asset price sequence risk and is influenced by a number of different factors, of which age is only one.  Other risks are inflation, real rates (i.e. cost of income), asset volatility, outcome certainty, Age Pension, longevity.</w:t>
      </w:r>
    </w:p>
    <w:p w14:paraId="698C4C04" w14:textId="77777777" w:rsidR="0017612A" w:rsidRPr="0017612A" w:rsidRDefault="0017612A" w:rsidP="0017612A">
      <w:pPr>
        <w:pStyle w:val="ListParagraph"/>
        <w:jc w:val="both"/>
        <w:rPr>
          <w:rFonts w:cs="Arial"/>
          <w:szCs w:val="22"/>
          <w:lang w:eastAsia="en-AU"/>
        </w:rPr>
      </w:pPr>
    </w:p>
    <w:p w14:paraId="464D2612" w14:textId="77777777" w:rsidR="00D1756F" w:rsidRDefault="00F95F0A" w:rsidP="0017612A">
      <w:pPr>
        <w:pStyle w:val="ListParagraph"/>
        <w:numPr>
          <w:ilvl w:val="0"/>
          <w:numId w:val="25"/>
        </w:numPr>
        <w:jc w:val="both"/>
        <w:rPr>
          <w:rFonts w:cs="Arial"/>
          <w:szCs w:val="22"/>
          <w:lang w:eastAsia="en-AU"/>
        </w:rPr>
      </w:pPr>
      <w:r w:rsidRPr="0017612A">
        <w:rPr>
          <w:rFonts w:cs="Arial"/>
          <w:szCs w:val="22"/>
          <w:lang w:eastAsia="en-AU"/>
        </w:rPr>
        <w:t>Life cycle</w:t>
      </w:r>
      <w:r w:rsidR="00D1756F" w:rsidRPr="0017612A">
        <w:rPr>
          <w:rFonts w:cs="Arial"/>
          <w:szCs w:val="22"/>
          <w:lang w:eastAsia="en-AU"/>
        </w:rPr>
        <w:t xml:space="preserve"> investing should be seen as a risk management tool and not a risk reduction strategy.  It is as important to analyse where risk levels should rise as well as fall.</w:t>
      </w:r>
    </w:p>
    <w:p w14:paraId="18BA5A9B" w14:textId="77777777" w:rsidR="0017612A" w:rsidRPr="0017612A" w:rsidRDefault="0017612A" w:rsidP="0017612A">
      <w:pPr>
        <w:pStyle w:val="ListParagraph"/>
        <w:jc w:val="both"/>
        <w:rPr>
          <w:rFonts w:cs="Arial"/>
          <w:szCs w:val="22"/>
          <w:lang w:eastAsia="en-AU"/>
        </w:rPr>
      </w:pPr>
    </w:p>
    <w:p w14:paraId="4032AC86" w14:textId="77777777" w:rsidR="00D1756F" w:rsidRDefault="00F95F0A" w:rsidP="0017612A">
      <w:pPr>
        <w:pStyle w:val="ListParagraph"/>
        <w:numPr>
          <w:ilvl w:val="0"/>
          <w:numId w:val="25"/>
        </w:numPr>
        <w:jc w:val="both"/>
        <w:rPr>
          <w:rFonts w:cs="Arial"/>
          <w:szCs w:val="22"/>
          <w:lang w:eastAsia="en-AU"/>
        </w:rPr>
      </w:pPr>
      <w:r w:rsidRPr="0017612A">
        <w:rPr>
          <w:rFonts w:cs="Arial"/>
          <w:szCs w:val="22"/>
          <w:lang w:eastAsia="en-AU"/>
        </w:rPr>
        <w:t>Life cycle</w:t>
      </w:r>
      <w:r w:rsidR="00D1756F" w:rsidRPr="0017612A">
        <w:rPr>
          <w:rFonts w:cs="Arial"/>
          <w:szCs w:val="22"/>
          <w:lang w:eastAsia="en-AU"/>
        </w:rPr>
        <w:t>s should be responsive to risks changing as members age and accumulate more wealth and these tolerances differ between genders.</w:t>
      </w:r>
    </w:p>
    <w:p w14:paraId="73115DB4" w14:textId="77777777" w:rsidR="0017612A" w:rsidRPr="0017612A" w:rsidRDefault="0017612A" w:rsidP="0017612A">
      <w:pPr>
        <w:pStyle w:val="ListParagraph"/>
        <w:jc w:val="both"/>
        <w:rPr>
          <w:rFonts w:cs="Arial"/>
          <w:szCs w:val="22"/>
          <w:lang w:eastAsia="en-AU"/>
        </w:rPr>
      </w:pPr>
    </w:p>
    <w:p w14:paraId="7C44B81A" w14:textId="77777777" w:rsidR="0017612A" w:rsidRDefault="00D1756F" w:rsidP="0017612A">
      <w:pPr>
        <w:pStyle w:val="ListParagraph"/>
        <w:numPr>
          <w:ilvl w:val="0"/>
          <w:numId w:val="25"/>
        </w:numPr>
        <w:jc w:val="both"/>
        <w:rPr>
          <w:rFonts w:cs="Arial"/>
          <w:szCs w:val="22"/>
          <w:lang w:eastAsia="en-AU"/>
        </w:rPr>
      </w:pPr>
      <w:r w:rsidRPr="0017612A">
        <w:rPr>
          <w:rFonts w:cs="Arial"/>
          <w:szCs w:val="22"/>
          <w:lang w:eastAsia="en-AU"/>
        </w:rPr>
        <w:t>Heterogeneity amongst members demands individualisation.</w:t>
      </w:r>
    </w:p>
    <w:p w14:paraId="7357A511" w14:textId="77777777" w:rsidR="00D1756F" w:rsidRPr="0017612A" w:rsidRDefault="00D1756F" w:rsidP="0017612A">
      <w:pPr>
        <w:pStyle w:val="ListParagraph"/>
        <w:jc w:val="both"/>
        <w:rPr>
          <w:rFonts w:cs="Arial"/>
          <w:szCs w:val="22"/>
          <w:lang w:eastAsia="en-AU"/>
        </w:rPr>
      </w:pPr>
      <w:r w:rsidRPr="0017612A">
        <w:rPr>
          <w:rFonts w:cs="Arial"/>
          <w:szCs w:val="22"/>
          <w:lang w:eastAsia="en-AU"/>
        </w:rPr>
        <w:t xml:space="preserve">  </w:t>
      </w:r>
    </w:p>
    <w:p w14:paraId="04648579" w14:textId="77777777" w:rsidR="00D1756F" w:rsidRPr="003D2BF3" w:rsidRDefault="00D1756F" w:rsidP="00D1756F">
      <w:pPr>
        <w:pStyle w:val="QNormal"/>
        <w:rPr>
          <w:b/>
        </w:rPr>
      </w:pPr>
      <w:r w:rsidRPr="003D2BF3">
        <w:t>Australia has been at the forefront of taking up this emerging, richer analysis</w:t>
      </w:r>
      <w:r w:rsidR="00B21BA6">
        <w:t>.</w:t>
      </w:r>
    </w:p>
    <w:p w14:paraId="1F613605" w14:textId="77777777" w:rsidR="00D1756F" w:rsidRDefault="00D1756F" w:rsidP="00D1756F">
      <w:pPr>
        <w:pStyle w:val="QNormal"/>
        <w:rPr>
          <w:b/>
        </w:rPr>
      </w:pPr>
      <w:r w:rsidRPr="003D2BF3">
        <w:t>The S</w:t>
      </w:r>
      <w:r w:rsidR="009555AF">
        <w:t xml:space="preserve">uperannuation </w:t>
      </w:r>
      <w:r w:rsidRPr="003D2BF3">
        <w:t>I</w:t>
      </w:r>
      <w:r w:rsidR="009555AF">
        <w:t xml:space="preserve">ndustry </w:t>
      </w:r>
      <w:r w:rsidRPr="003D2BF3">
        <w:t>S</w:t>
      </w:r>
      <w:r w:rsidR="009555AF">
        <w:t xml:space="preserve">upervision </w:t>
      </w:r>
      <w:r w:rsidRPr="003D2BF3">
        <w:t xml:space="preserve">Act </w:t>
      </w:r>
      <w:r w:rsidR="009555AF">
        <w:t xml:space="preserve">(SIS Act) </w:t>
      </w:r>
      <w:r w:rsidRPr="003D2BF3">
        <w:t>and the</w:t>
      </w:r>
      <w:r>
        <w:t xml:space="preserve"> current</w:t>
      </w:r>
      <w:r w:rsidRPr="003D2BF3">
        <w:t xml:space="preserve"> MySuper legislation contain </w:t>
      </w:r>
      <w:r>
        <w:t>the</w:t>
      </w:r>
      <w:r w:rsidRPr="003D2BF3">
        <w:t xml:space="preserve"> ‘</w:t>
      </w:r>
      <w:r w:rsidR="00F95F0A">
        <w:t>life cycle</w:t>
      </w:r>
      <w:r w:rsidRPr="003D2BF3">
        <w:t xml:space="preserve"> exemption</w:t>
      </w:r>
      <w:r>
        <w:t>’</w:t>
      </w:r>
      <w:r w:rsidRPr="003D2BF3">
        <w:t xml:space="preserve"> for a superannuation default investment option and prescribe five factors in addition to the single traditional one of age</w:t>
      </w:r>
      <w:r>
        <w:t>.  These allowable prescribed factors are</w:t>
      </w:r>
      <w:r w:rsidRPr="003D2BF3">
        <w:t xml:space="preserve"> account balance, contribution rate, salary, gender and time to retirement.  </w:t>
      </w:r>
    </w:p>
    <w:p w14:paraId="6F622718" w14:textId="4B226D93" w:rsidR="00D1756F" w:rsidRDefault="00D1756F" w:rsidP="00D1756F">
      <w:pPr>
        <w:pStyle w:val="QNormal"/>
        <w:rPr>
          <w:b/>
        </w:rPr>
      </w:pPr>
      <w:r>
        <w:t xml:space="preserve">MySuper legislation </w:t>
      </w:r>
      <w:r w:rsidRPr="003D2BF3">
        <w:t xml:space="preserve">correctly challenges </w:t>
      </w:r>
      <w:r w:rsidR="000B53DF">
        <w:t>t</w:t>
      </w:r>
      <w:r w:rsidRPr="003D2BF3">
        <w:t xml:space="preserve">rustees to consider the impact of these factors on a member’s retirement outcome.  It makes accountability more complex, however it provides greater flexibility for </w:t>
      </w:r>
      <w:r w:rsidR="000B53DF">
        <w:t>t</w:t>
      </w:r>
      <w:r w:rsidRPr="003D2BF3">
        <w:t>rustees to act where they consider it appropriate for their members.</w:t>
      </w:r>
    </w:p>
    <w:p w14:paraId="2382B649" w14:textId="77777777" w:rsidR="00D1756F" w:rsidRPr="00803F73" w:rsidRDefault="00D1756F" w:rsidP="00D1756F">
      <w:pPr>
        <w:pStyle w:val="QNormal"/>
        <w:rPr>
          <w:b/>
          <w:u w:val="single"/>
        </w:rPr>
      </w:pPr>
      <w:r w:rsidRPr="00803F73">
        <w:rPr>
          <w:u w:val="single"/>
        </w:rPr>
        <w:t>QSuper’s approach to</w:t>
      </w:r>
      <w:r>
        <w:rPr>
          <w:u w:val="single"/>
        </w:rPr>
        <w:t xml:space="preserve"> </w:t>
      </w:r>
      <w:r w:rsidR="00AC2B48">
        <w:rPr>
          <w:u w:val="single"/>
        </w:rPr>
        <w:t>s</w:t>
      </w:r>
      <w:r>
        <w:rPr>
          <w:u w:val="single"/>
        </w:rPr>
        <w:t>econd-</w:t>
      </w:r>
      <w:r w:rsidR="00AC2B48">
        <w:rPr>
          <w:u w:val="single"/>
        </w:rPr>
        <w:t>g</w:t>
      </w:r>
      <w:r>
        <w:rPr>
          <w:u w:val="single"/>
        </w:rPr>
        <w:t>eneration</w:t>
      </w:r>
      <w:r w:rsidRPr="00803F73">
        <w:rPr>
          <w:u w:val="single"/>
        </w:rPr>
        <w:t xml:space="preserve"> </w:t>
      </w:r>
      <w:r w:rsidR="00F95F0A">
        <w:rPr>
          <w:u w:val="single"/>
        </w:rPr>
        <w:t>life cycle</w:t>
      </w:r>
      <w:r w:rsidRPr="00803F73">
        <w:rPr>
          <w:u w:val="single"/>
        </w:rPr>
        <w:t xml:space="preserve"> investing</w:t>
      </w:r>
    </w:p>
    <w:p w14:paraId="5254D432" w14:textId="77777777" w:rsidR="00D1756F" w:rsidRDefault="00D1756F" w:rsidP="00D1756F">
      <w:pPr>
        <w:pStyle w:val="QNormal"/>
        <w:rPr>
          <w:b/>
        </w:rPr>
      </w:pPr>
      <w:r w:rsidRPr="00424B42">
        <w:t>Offering tailored solution</w:t>
      </w:r>
      <w:r>
        <w:t>s</w:t>
      </w:r>
      <w:r w:rsidRPr="00424B42">
        <w:t xml:space="preserve"> for members provides a sound way of managing default members’ best interest</w:t>
      </w:r>
      <w:r>
        <w:t xml:space="preserve">. </w:t>
      </w:r>
      <w:r w:rsidRPr="006E098B">
        <w:t xml:space="preserve"> </w:t>
      </w:r>
      <w:r w:rsidRPr="00424B42">
        <w:t xml:space="preserve">Using improvements in member data and technology, larger better resourced funds can be challenged to create improved, more individualised solutions.  </w:t>
      </w:r>
    </w:p>
    <w:p w14:paraId="1B5D696B" w14:textId="02D2809D" w:rsidR="00D1756F" w:rsidRPr="000469A3" w:rsidRDefault="00D1756F" w:rsidP="00D1756F">
      <w:pPr>
        <w:pStyle w:val="QNormal"/>
        <w:rPr>
          <w:b/>
        </w:rPr>
      </w:pPr>
      <w:r w:rsidRPr="000469A3">
        <w:t xml:space="preserve">The weakness </w:t>
      </w:r>
      <w:r w:rsidR="00D007F0">
        <w:t xml:space="preserve">that </w:t>
      </w:r>
      <w:r w:rsidRPr="000469A3">
        <w:t xml:space="preserve">advanced </w:t>
      </w:r>
      <w:r w:rsidR="00F95F0A">
        <w:t>life cycle</w:t>
      </w:r>
      <w:r w:rsidRPr="000469A3">
        <w:t>s address is a single investment strategy across the life</w:t>
      </w:r>
      <w:r w:rsidR="0059262E">
        <w:t xml:space="preserve"> </w:t>
      </w:r>
      <w:r w:rsidRPr="000469A3">
        <w:t xml:space="preserve">cycle </w:t>
      </w:r>
      <w:r w:rsidR="00D007F0">
        <w:t>being</w:t>
      </w:r>
      <w:r w:rsidRPr="000469A3">
        <w:t xml:space="preserve"> pitched at one level, best suited to all on average; but none specifically.  How is this selected?  Australia defaults to a Balanced risk level but why is that the suitable level for investors with long and shorter horizons?  This is no longer necessary in modern superannuation funds with advanced technology (investment, data, communication and administration) capabilities.  Some examples of how modern </w:t>
      </w:r>
      <w:r w:rsidR="00F95F0A">
        <w:t>life cycle</w:t>
      </w:r>
      <w:r w:rsidRPr="000469A3">
        <w:t xml:space="preserve"> strategies empower </w:t>
      </w:r>
      <w:r w:rsidR="000B53DF">
        <w:t>t</w:t>
      </w:r>
      <w:r w:rsidRPr="000469A3">
        <w:t>rustees beyond this is:</w:t>
      </w:r>
    </w:p>
    <w:p w14:paraId="69A1ECE2" w14:textId="77777777" w:rsidR="0017612A" w:rsidRDefault="00D1756F" w:rsidP="0017612A">
      <w:pPr>
        <w:pStyle w:val="ListParagraph"/>
        <w:numPr>
          <w:ilvl w:val="0"/>
          <w:numId w:val="25"/>
        </w:numPr>
        <w:jc w:val="both"/>
        <w:rPr>
          <w:rFonts w:cs="Arial"/>
          <w:szCs w:val="22"/>
          <w:lang w:eastAsia="en-AU"/>
        </w:rPr>
      </w:pPr>
      <w:r w:rsidRPr="0017612A">
        <w:rPr>
          <w:rFonts w:cs="Arial"/>
          <w:szCs w:val="22"/>
          <w:lang w:eastAsia="en-AU"/>
        </w:rPr>
        <w:t>Investment risk can be materially elevated for younger members with lower balances and longer investing horizons.</w:t>
      </w:r>
    </w:p>
    <w:p w14:paraId="04099117" w14:textId="77777777" w:rsidR="00D1756F" w:rsidRPr="0017612A" w:rsidRDefault="00D1756F" w:rsidP="0017612A">
      <w:pPr>
        <w:pStyle w:val="ListParagraph"/>
        <w:jc w:val="both"/>
        <w:rPr>
          <w:rFonts w:cs="Arial"/>
          <w:szCs w:val="22"/>
          <w:lang w:eastAsia="en-AU"/>
        </w:rPr>
      </w:pPr>
      <w:r w:rsidRPr="0017612A">
        <w:rPr>
          <w:rFonts w:cs="Arial"/>
          <w:szCs w:val="22"/>
          <w:lang w:eastAsia="en-AU"/>
        </w:rPr>
        <w:t xml:space="preserve">  </w:t>
      </w:r>
    </w:p>
    <w:p w14:paraId="7E0FE3E9" w14:textId="77777777" w:rsidR="00D1756F" w:rsidRDefault="00D1756F" w:rsidP="0017612A">
      <w:pPr>
        <w:pStyle w:val="ListParagraph"/>
        <w:numPr>
          <w:ilvl w:val="0"/>
          <w:numId w:val="25"/>
        </w:numPr>
        <w:jc w:val="both"/>
        <w:rPr>
          <w:rFonts w:cs="Arial"/>
          <w:szCs w:val="22"/>
          <w:lang w:eastAsia="en-AU"/>
        </w:rPr>
      </w:pPr>
      <w:r w:rsidRPr="0017612A">
        <w:rPr>
          <w:rFonts w:cs="Arial"/>
          <w:szCs w:val="22"/>
          <w:lang w:eastAsia="en-AU"/>
        </w:rPr>
        <w:lastRenderedPageBreak/>
        <w:t xml:space="preserve">Members who achieve high account balances (and consequent lower retirement risk) can remain at risk levels well above Balanced or average throughout their </w:t>
      </w:r>
      <w:r w:rsidR="00F95F0A" w:rsidRPr="0017612A">
        <w:rPr>
          <w:rFonts w:cs="Arial"/>
          <w:szCs w:val="22"/>
          <w:lang w:eastAsia="en-AU"/>
        </w:rPr>
        <w:t>life cycle</w:t>
      </w:r>
      <w:r w:rsidRPr="0017612A">
        <w:rPr>
          <w:rFonts w:cs="Arial"/>
          <w:szCs w:val="22"/>
          <w:lang w:eastAsia="en-AU"/>
        </w:rPr>
        <w:t xml:space="preserve"> because they can legitimately absorb sequence risk.</w:t>
      </w:r>
    </w:p>
    <w:p w14:paraId="42A76991" w14:textId="77777777" w:rsidR="0017612A" w:rsidRPr="0017612A" w:rsidRDefault="0017612A" w:rsidP="0017612A">
      <w:pPr>
        <w:pStyle w:val="ListParagraph"/>
        <w:jc w:val="both"/>
        <w:rPr>
          <w:rFonts w:cs="Arial"/>
          <w:szCs w:val="22"/>
          <w:lang w:eastAsia="en-AU"/>
        </w:rPr>
      </w:pPr>
    </w:p>
    <w:p w14:paraId="2B89A656" w14:textId="77777777" w:rsidR="00D1756F" w:rsidRDefault="00D1756F" w:rsidP="0017612A">
      <w:pPr>
        <w:pStyle w:val="ListParagraph"/>
        <w:numPr>
          <w:ilvl w:val="0"/>
          <w:numId w:val="25"/>
        </w:numPr>
        <w:jc w:val="both"/>
        <w:rPr>
          <w:rFonts w:cs="Arial"/>
          <w:szCs w:val="22"/>
          <w:lang w:eastAsia="en-AU"/>
        </w:rPr>
      </w:pPr>
      <w:r w:rsidRPr="0017612A">
        <w:rPr>
          <w:rFonts w:cs="Arial"/>
          <w:szCs w:val="22"/>
          <w:lang w:eastAsia="en-AU"/>
        </w:rPr>
        <w:t>Members with normal incomes who accrue solid but not high balances can receive some protection from sequence risk later in life.  Trustees can also adapt strategy in the knowledge that the means</w:t>
      </w:r>
      <w:r w:rsidR="00D007F0" w:rsidRPr="0017612A">
        <w:rPr>
          <w:rFonts w:cs="Arial"/>
          <w:szCs w:val="22"/>
          <w:lang w:eastAsia="en-AU"/>
        </w:rPr>
        <w:t>-</w:t>
      </w:r>
      <w:r w:rsidRPr="0017612A">
        <w:rPr>
          <w:rFonts w:cs="Arial"/>
          <w:szCs w:val="22"/>
          <w:lang w:eastAsia="en-AU"/>
        </w:rPr>
        <w:t xml:space="preserve">tested </w:t>
      </w:r>
      <w:r w:rsidR="00D007F0" w:rsidRPr="0017612A">
        <w:rPr>
          <w:rFonts w:cs="Arial"/>
          <w:szCs w:val="22"/>
          <w:lang w:eastAsia="en-AU"/>
        </w:rPr>
        <w:t>A</w:t>
      </w:r>
      <w:r w:rsidRPr="0017612A">
        <w:rPr>
          <w:rFonts w:cs="Arial"/>
          <w:szCs w:val="22"/>
          <w:lang w:eastAsia="en-AU"/>
        </w:rPr>
        <w:t xml:space="preserve">ge </w:t>
      </w:r>
      <w:r w:rsidR="00D007F0" w:rsidRPr="0017612A">
        <w:rPr>
          <w:rFonts w:cs="Arial"/>
          <w:szCs w:val="22"/>
          <w:lang w:eastAsia="en-AU"/>
        </w:rPr>
        <w:t>P</w:t>
      </w:r>
      <w:r w:rsidRPr="0017612A">
        <w:rPr>
          <w:rFonts w:cs="Arial"/>
          <w:szCs w:val="22"/>
          <w:lang w:eastAsia="en-AU"/>
        </w:rPr>
        <w:t>ension impacts the future retirement incomes of these members (a tax on investment returns and a call option on income) and adjust accordingly.</w:t>
      </w:r>
    </w:p>
    <w:p w14:paraId="5ABEEFBB" w14:textId="77777777" w:rsidR="0017612A" w:rsidRPr="0017612A" w:rsidRDefault="0017612A" w:rsidP="0017612A">
      <w:pPr>
        <w:pStyle w:val="ListParagraph"/>
        <w:jc w:val="both"/>
        <w:rPr>
          <w:rFonts w:cs="Arial"/>
          <w:szCs w:val="22"/>
          <w:lang w:eastAsia="en-AU"/>
        </w:rPr>
      </w:pPr>
    </w:p>
    <w:p w14:paraId="69FFC581" w14:textId="609CC333" w:rsidR="00D1756F" w:rsidRDefault="00D1756F" w:rsidP="0017612A">
      <w:pPr>
        <w:pStyle w:val="ListParagraph"/>
        <w:numPr>
          <w:ilvl w:val="0"/>
          <w:numId w:val="25"/>
        </w:numPr>
        <w:jc w:val="both"/>
        <w:rPr>
          <w:rFonts w:cs="Arial"/>
          <w:szCs w:val="22"/>
          <w:lang w:eastAsia="en-AU"/>
        </w:rPr>
      </w:pPr>
      <w:r w:rsidRPr="0017612A">
        <w:rPr>
          <w:rFonts w:cs="Arial"/>
          <w:szCs w:val="22"/>
          <w:lang w:eastAsia="en-AU"/>
        </w:rPr>
        <w:t xml:space="preserve">Women with equivalent account balances to men face effectively lower retirement incomes because of longer life-expectancy.  </w:t>
      </w:r>
      <w:r w:rsidR="00F95F0A" w:rsidRPr="0017612A">
        <w:rPr>
          <w:rFonts w:cs="Arial"/>
          <w:szCs w:val="22"/>
          <w:lang w:eastAsia="en-AU"/>
        </w:rPr>
        <w:t>Life cycle</w:t>
      </w:r>
      <w:r w:rsidRPr="0017612A">
        <w:rPr>
          <w:rFonts w:cs="Arial"/>
          <w:szCs w:val="22"/>
          <w:lang w:eastAsia="en-AU"/>
        </w:rPr>
        <w:t xml:space="preserve"> strategies enable </w:t>
      </w:r>
      <w:r w:rsidR="000B53DF">
        <w:rPr>
          <w:rFonts w:cs="Arial"/>
          <w:szCs w:val="22"/>
          <w:lang w:eastAsia="en-AU"/>
        </w:rPr>
        <w:t>t</w:t>
      </w:r>
      <w:r w:rsidRPr="0017612A">
        <w:rPr>
          <w:rFonts w:cs="Arial"/>
          <w:szCs w:val="22"/>
          <w:lang w:eastAsia="en-AU"/>
        </w:rPr>
        <w:t>rustees to tailor strategies to compensate for that.</w:t>
      </w:r>
    </w:p>
    <w:p w14:paraId="1448C746" w14:textId="77777777" w:rsidR="0017612A" w:rsidRPr="0017612A" w:rsidRDefault="0017612A" w:rsidP="0017612A">
      <w:pPr>
        <w:pStyle w:val="ListParagraph"/>
        <w:jc w:val="both"/>
        <w:rPr>
          <w:rFonts w:cs="Arial"/>
          <w:szCs w:val="22"/>
          <w:lang w:eastAsia="en-AU"/>
        </w:rPr>
      </w:pPr>
    </w:p>
    <w:p w14:paraId="1FC5DE36" w14:textId="6314F79E" w:rsidR="0017612A" w:rsidRDefault="0017612A">
      <w:pPr>
        <w:rPr>
          <w:u w:val="single"/>
        </w:rPr>
      </w:pPr>
    </w:p>
    <w:p w14:paraId="04EA7B96" w14:textId="78F97642" w:rsidR="00D1756F" w:rsidRDefault="00D1756F" w:rsidP="00D1756F">
      <w:pPr>
        <w:pStyle w:val="QNormal"/>
        <w:rPr>
          <w:b/>
          <w:u w:val="single"/>
        </w:rPr>
      </w:pPr>
      <w:r w:rsidRPr="0012399B">
        <w:rPr>
          <w:u w:val="single"/>
        </w:rPr>
        <w:t>Link to ‘</w:t>
      </w:r>
      <w:r w:rsidR="00A23196">
        <w:rPr>
          <w:u w:val="single"/>
        </w:rPr>
        <w:t>best-in-show</w:t>
      </w:r>
      <w:r w:rsidRPr="0012399B">
        <w:rPr>
          <w:u w:val="single"/>
        </w:rPr>
        <w:t>’ selection criteria</w:t>
      </w:r>
    </w:p>
    <w:p w14:paraId="3293E549" w14:textId="67FE6241" w:rsidR="00D1756F" w:rsidRPr="00E220ED" w:rsidRDefault="00D1756F" w:rsidP="00D1756F">
      <w:pPr>
        <w:pStyle w:val="QNormal"/>
        <w:rPr>
          <w:b/>
        </w:rPr>
      </w:pPr>
      <w:r w:rsidRPr="00E220ED">
        <w:t xml:space="preserve">The Commission is proposing a selection process to identify </w:t>
      </w:r>
      <w:r w:rsidR="00A0067F">
        <w:t>‘</w:t>
      </w:r>
      <w:r w:rsidR="00A23196">
        <w:t>best-in-show</w:t>
      </w:r>
      <w:r w:rsidR="00A0067F">
        <w:t>’</w:t>
      </w:r>
      <w:r w:rsidR="00915BE9">
        <w:t xml:space="preserve"> funds</w:t>
      </w:r>
      <w:r w:rsidRPr="00E220ED">
        <w:t xml:space="preserve">.  One of the criteria canvassed in the </w:t>
      </w:r>
      <w:r w:rsidR="009C0086">
        <w:t>draft r</w:t>
      </w:r>
      <w:r w:rsidRPr="00E220ED">
        <w:t xml:space="preserve">eport is </w:t>
      </w:r>
      <w:r w:rsidR="00A0067F">
        <w:t>‘</w:t>
      </w:r>
      <w:r w:rsidRPr="00E220ED">
        <w:t>identifying and meeting member needs</w:t>
      </w:r>
      <w:r w:rsidR="00A0067F">
        <w:t>’</w:t>
      </w:r>
      <w:r w:rsidRPr="00E220ED">
        <w:t xml:space="preserve">. </w:t>
      </w:r>
      <w:r w:rsidR="009C0086">
        <w:t>H</w:t>
      </w:r>
      <w:r w:rsidRPr="00E220ED">
        <w:t xml:space="preserve">olding basic member data is fundamental to this.  </w:t>
      </w:r>
      <w:r>
        <w:t>QSuper believes</w:t>
      </w:r>
      <w:r w:rsidRPr="00E220ED">
        <w:t xml:space="preserve"> </w:t>
      </w:r>
      <w:r w:rsidR="009C0086">
        <w:t xml:space="preserve">it </w:t>
      </w:r>
      <w:r w:rsidRPr="00E220ED">
        <w:t>would be easy to include appropriate life</w:t>
      </w:r>
      <w:r w:rsidR="009C0086">
        <w:t xml:space="preserve"> </w:t>
      </w:r>
      <w:r w:rsidRPr="00E220ED">
        <w:t>cycle qualifying data in any future selection criteria.</w:t>
      </w:r>
      <w:r>
        <w:t xml:space="preserve">  Funds will </w:t>
      </w:r>
      <w:r w:rsidR="00915BE9">
        <w:t xml:space="preserve">therefore </w:t>
      </w:r>
      <w:r>
        <w:t xml:space="preserve">need to demonstrate how member information and data is used.  This will not relate </w:t>
      </w:r>
      <w:r w:rsidR="002A00BC">
        <w:t xml:space="preserve">exclusively </w:t>
      </w:r>
      <w:r>
        <w:t xml:space="preserve">to investment strategies, although investment is a key determinant of ultimate outcomes.  It </w:t>
      </w:r>
      <w:r w:rsidR="002A00BC">
        <w:t xml:space="preserve">should </w:t>
      </w:r>
      <w:r>
        <w:t>also extend to matters such as personalising insurance and engagement activities.</w:t>
      </w:r>
    </w:p>
    <w:p w14:paraId="6ECFF968" w14:textId="77777777" w:rsidR="00D1756F" w:rsidRPr="00EA143C" w:rsidRDefault="00D1756F" w:rsidP="00D1756F">
      <w:pPr>
        <w:pStyle w:val="QNormal"/>
        <w:rPr>
          <w:b/>
          <w:u w:val="single"/>
        </w:rPr>
      </w:pPr>
      <w:r w:rsidRPr="00EA143C">
        <w:rPr>
          <w:u w:val="single"/>
        </w:rPr>
        <w:t>QSuper Lifetime as a</w:t>
      </w:r>
      <w:r w:rsidR="009C0086">
        <w:rPr>
          <w:u w:val="single"/>
        </w:rPr>
        <w:t>n</w:t>
      </w:r>
      <w:r w:rsidRPr="00EA143C">
        <w:rPr>
          <w:u w:val="single"/>
        </w:rPr>
        <w:t xml:space="preserve"> Example</w:t>
      </w:r>
    </w:p>
    <w:p w14:paraId="3BA00D75" w14:textId="0AF307FB" w:rsidR="00D1756F" w:rsidRDefault="00D1756F" w:rsidP="00D1756F">
      <w:pPr>
        <w:pStyle w:val="QNormal"/>
        <w:rPr>
          <w:b/>
        </w:rPr>
      </w:pPr>
      <w:r w:rsidRPr="00664B0F">
        <w:t xml:space="preserve">Within Australia, QSuper is leading the adoption of advanced </w:t>
      </w:r>
      <w:r w:rsidR="00F95F0A">
        <w:t>life cycle</w:t>
      </w:r>
      <w:r w:rsidRPr="00664B0F">
        <w:t xml:space="preserve"> funds and provides a</w:t>
      </w:r>
      <w:r w:rsidR="009C0086">
        <w:t>n</w:t>
      </w:r>
      <w:r w:rsidRPr="00664B0F">
        <w:t xml:space="preserve"> example of what is possible if </w:t>
      </w:r>
      <w:r w:rsidR="000B53DF">
        <w:t>t</w:t>
      </w:r>
      <w:r w:rsidRPr="00664B0F">
        <w:t>rustees accept the challenge of managing these multiple risks.</w:t>
      </w:r>
      <w:r>
        <w:t xml:space="preserve">  </w:t>
      </w:r>
      <w:r w:rsidRPr="000469A3">
        <w:rPr>
          <w:i/>
        </w:rPr>
        <w:t>QSuper Lifetime</w:t>
      </w:r>
      <w:r w:rsidRPr="00664B0F">
        <w:t xml:space="preserve"> commenced in 2013 and is a continuously improving</w:t>
      </w:r>
      <w:r w:rsidR="002A00BC">
        <w:t>,</w:t>
      </w:r>
      <w:r w:rsidRPr="00664B0F">
        <w:t xml:space="preserve"> progressive philosophy </w:t>
      </w:r>
      <w:r w:rsidR="002A00BC">
        <w:t>that</w:t>
      </w:r>
      <w:r w:rsidR="002A00BC" w:rsidRPr="00664B0F">
        <w:t xml:space="preserve"> </w:t>
      </w:r>
      <w:r w:rsidRPr="00664B0F">
        <w:t>takes into account</w:t>
      </w:r>
      <w:r>
        <w:t xml:space="preserve"> other factors in addition to age, namely</w:t>
      </w:r>
      <w:r w:rsidRPr="00664B0F">
        <w:t>:</w:t>
      </w:r>
    </w:p>
    <w:p w14:paraId="063112F4" w14:textId="77777777" w:rsidR="00D1756F" w:rsidRDefault="00D1756F" w:rsidP="0017612A">
      <w:pPr>
        <w:pStyle w:val="ListParagraph"/>
        <w:numPr>
          <w:ilvl w:val="0"/>
          <w:numId w:val="25"/>
        </w:numPr>
        <w:jc w:val="both"/>
        <w:rPr>
          <w:rFonts w:cs="Arial"/>
          <w:szCs w:val="22"/>
          <w:lang w:eastAsia="en-AU"/>
        </w:rPr>
      </w:pPr>
      <w:r w:rsidRPr="0017612A">
        <w:rPr>
          <w:rFonts w:cs="Arial"/>
          <w:szCs w:val="22"/>
          <w:lang w:eastAsia="en-AU"/>
        </w:rPr>
        <w:t>Account balance – The means tested Age Pension may form a material part of a member’s retirement outcome and therefore impacts the extent to which the various risks in retirement fall on the member</w:t>
      </w:r>
      <w:r w:rsidR="002A00BC" w:rsidRPr="0017612A">
        <w:rPr>
          <w:rFonts w:cs="Arial"/>
          <w:szCs w:val="22"/>
          <w:lang w:eastAsia="en-AU"/>
        </w:rPr>
        <w:t>,</w:t>
      </w:r>
      <w:r w:rsidRPr="0017612A">
        <w:rPr>
          <w:rFonts w:cs="Arial"/>
          <w:szCs w:val="22"/>
          <w:lang w:eastAsia="en-AU"/>
        </w:rPr>
        <w:t xml:space="preserve"> and the extent to which the member is rewarded for taking investment risk.</w:t>
      </w:r>
    </w:p>
    <w:p w14:paraId="23B0DF21" w14:textId="77777777" w:rsidR="0017612A" w:rsidRPr="0017612A" w:rsidRDefault="0017612A" w:rsidP="0017612A">
      <w:pPr>
        <w:pStyle w:val="ListParagraph"/>
        <w:jc w:val="both"/>
        <w:rPr>
          <w:rFonts w:cs="Arial"/>
          <w:szCs w:val="22"/>
          <w:lang w:eastAsia="en-AU"/>
        </w:rPr>
      </w:pPr>
    </w:p>
    <w:p w14:paraId="536CA936" w14:textId="77777777" w:rsidR="00D1756F" w:rsidRDefault="00D1756F" w:rsidP="0017612A">
      <w:pPr>
        <w:pStyle w:val="ListParagraph"/>
        <w:numPr>
          <w:ilvl w:val="0"/>
          <w:numId w:val="25"/>
        </w:numPr>
        <w:jc w:val="both"/>
        <w:rPr>
          <w:rFonts w:cs="Arial"/>
          <w:szCs w:val="22"/>
          <w:lang w:eastAsia="en-AU"/>
        </w:rPr>
      </w:pPr>
      <w:r w:rsidRPr="0017612A">
        <w:rPr>
          <w:rFonts w:cs="Arial"/>
          <w:szCs w:val="22"/>
          <w:lang w:eastAsia="en-AU"/>
        </w:rPr>
        <w:t xml:space="preserve">Gender – To date, account balance has been used as a proxy for some factors.  However, we have evidence that, within QSuper, males and females accumulate their superannuation balances differently; driven by time out of the workforce and lower salary profiles for females relative to males.  In addition, females need higher retirement balances to cater for longer life expectancies compared to males. </w:t>
      </w:r>
    </w:p>
    <w:p w14:paraId="0AA46D9D" w14:textId="77777777" w:rsidR="0017612A" w:rsidRPr="0017612A" w:rsidRDefault="0017612A" w:rsidP="0017612A">
      <w:pPr>
        <w:pStyle w:val="ListParagraph"/>
        <w:jc w:val="both"/>
        <w:rPr>
          <w:rFonts w:cs="Arial"/>
          <w:szCs w:val="22"/>
          <w:lang w:eastAsia="en-AU"/>
        </w:rPr>
      </w:pPr>
    </w:p>
    <w:p w14:paraId="610DD036" w14:textId="77777777" w:rsidR="00D1756F" w:rsidRDefault="00D1756F" w:rsidP="0017612A">
      <w:pPr>
        <w:pStyle w:val="ListParagraph"/>
        <w:numPr>
          <w:ilvl w:val="0"/>
          <w:numId w:val="25"/>
        </w:numPr>
        <w:jc w:val="both"/>
        <w:rPr>
          <w:rFonts w:cs="Arial"/>
          <w:szCs w:val="22"/>
          <w:lang w:eastAsia="en-AU"/>
        </w:rPr>
      </w:pPr>
      <w:r w:rsidRPr="0017612A">
        <w:rPr>
          <w:rFonts w:cs="Arial"/>
          <w:szCs w:val="22"/>
          <w:lang w:eastAsia="en-AU"/>
        </w:rPr>
        <w:t xml:space="preserve">Investment markets – There is scope to adapt all strategies depending on actual performance of investment markets. </w:t>
      </w:r>
    </w:p>
    <w:p w14:paraId="69F99FF3" w14:textId="77777777" w:rsidR="0017612A" w:rsidRPr="0017612A" w:rsidRDefault="0017612A" w:rsidP="0017612A">
      <w:pPr>
        <w:pStyle w:val="ListParagraph"/>
        <w:jc w:val="both"/>
        <w:rPr>
          <w:rFonts w:cs="Arial"/>
          <w:szCs w:val="22"/>
          <w:lang w:eastAsia="en-AU"/>
        </w:rPr>
      </w:pPr>
    </w:p>
    <w:p w14:paraId="287A228B" w14:textId="637DF685" w:rsidR="00D1756F" w:rsidRDefault="00D1756F" w:rsidP="00D1756F">
      <w:pPr>
        <w:pStyle w:val="QNormal"/>
        <w:rPr>
          <w:b/>
        </w:rPr>
      </w:pPr>
      <w:r>
        <w:t xml:space="preserve">QSuper’s </w:t>
      </w:r>
      <w:r w:rsidR="00F95F0A">
        <w:t>life cycle</w:t>
      </w:r>
      <w:r>
        <w:t xml:space="preserve"> product</w:t>
      </w:r>
      <w:r w:rsidRPr="00664B0F">
        <w:t xml:space="preserve"> does not </w:t>
      </w:r>
      <w:r w:rsidR="00A0067F">
        <w:t>‘</w:t>
      </w:r>
      <w:r w:rsidRPr="00664B0F">
        <w:t>de-risk</w:t>
      </w:r>
      <w:r w:rsidR="00A0067F">
        <w:t>’</w:t>
      </w:r>
      <w:r w:rsidRPr="00664B0F">
        <w:t xml:space="preserve">.  All members under 50 (long horizons) have essentially 100% growth assets.  Risk is elevated </w:t>
      </w:r>
      <w:r w:rsidR="002A00BC">
        <w:t xml:space="preserve">appropriately </w:t>
      </w:r>
      <w:r w:rsidRPr="00664B0F">
        <w:t>and in future it will become progressively more granular.</w:t>
      </w:r>
      <w:r>
        <w:t xml:space="preserve">  </w:t>
      </w:r>
    </w:p>
    <w:p w14:paraId="708BEC3C" w14:textId="77777777" w:rsidR="00D1756F" w:rsidRPr="00D13516" w:rsidRDefault="00D1756F" w:rsidP="00D1756F">
      <w:pPr>
        <w:pStyle w:val="QNormal"/>
        <w:rPr>
          <w:b/>
          <w:u w:val="single"/>
        </w:rPr>
      </w:pPr>
      <w:r w:rsidRPr="00D13516">
        <w:rPr>
          <w:u w:val="single"/>
        </w:rPr>
        <w:t>Recognition</w:t>
      </w:r>
    </w:p>
    <w:p w14:paraId="42F2AD69" w14:textId="7F23452B" w:rsidR="00D1756F" w:rsidRDefault="00D1756F" w:rsidP="00D1756F">
      <w:pPr>
        <w:pStyle w:val="QNormal"/>
        <w:rPr>
          <w:b/>
        </w:rPr>
      </w:pPr>
      <w:r w:rsidRPr="00D13516">
        <w:lastRenderedPageBreak/>
        <w:t>In 2014 QSuper was presented with the Pensions and Investment Magazine (USA) Global Innovation Award for</w:t>
      </w:r>
      <w:r>
        <w:t xml:space="preserve"> designing a new product (</w:t>
      </w:r>
      <w:r w:rsidRPr="00D13516">
        <w:rPr>
          <w:i/>
        </w:rPr>
        <w:t>QSuper Lifetime</w:t>
      </w:r>
      <w:r>
        <w:t xml:space="preserve">) that </w:t>
      </w:r>
      <w:r w:rsidR="00A0067F">
        <w:t>‘</w:t>
      </w:r>
      <w:r>
        <w:t>incorporated an innovative, tailored investment strategy</w:t>
      </w:r>
      <w:r w:rsidR="00A0067F">
        <w:t>’</w:t>
      </w:r>
      <w:r>
        <w:t xml:space="preserve">.  The fund has been nominated for various industry innovation awards for its </w:t>
      </w:r>
      <w:r w:rsidR="00F95F0A">
        <w:t>life cycle</w:t>
      </w:r>
      <w:r>
        <w:t xml:space="preserve"> strategy.  </w:t>
      </w:r>
      <w:r w:rsidRPr="008756AF">
        <w:rPr>
          <w:i/>
        </w:rPr>
        <w:t>QSuper Lifetime</w:t>
      </w:r>
      <w:r>
        <w:t xml:space="preserve"> was recognised by SuperRatings as the MySuper Product of the Year 2016 and 2017.</w:t>
      </w:r>
    </w:p>
    <w:p w14:paraId="72F37979" w14:textId="77777777" w:rsidR="00D1756F" w:rsidRPr="00265641" w:rsidRDefault="00D1756F" w:rsidP="00D1756F">
      <w:pPr>
        <w:pStyle w:val="QNormal"/>
        <w:rPr>
          <w:b/>
          <w:i/>
        </w:rPr>
      </w:pPr>
      <w:r w:rsidRPr="00265641">
        <w:rPr>
          <w:b/>
          <w:i/>
        </w:rPr>
        <w:t>What information is needed on members to develop a product better suited to managing sequencing risk?</w:t>
      </w:r>
    </w:p>
    <w:p w14:paraId="0187F91E" w14:textId="77777777" w:rsidR="00D1756F" w:rsidRPr="00663988" w:rsidRDefault="00D1756F" w:rsidP="00D1756F">
      <w:pPr>
        <w:pStyle w:val="QNormal"/>
        <w:rPr>
          <w:b/>
          <w:i/>
        </w:rPr>
      </w:pPr>
      <w:r w:rsidRPr="00663988">
        <w:rPr>
          <w:i/>
        </w:rPr>
        <w:t xml:space="preserve">QSuper accesses all available sources of information when analysing membership to set default investment strategies.  This includes behaviours and transactions observed on the administration system and financial planning questionnaires.  To operationalise the </w:t>
      </w:r>
      <w:r w:rsidR="00F95F0A" w:rsidRPr="00663988">
        <w:rPr>
          <w:i/>
        </w:rPr>
        <w:t>life cycle</w:t>
      </w:r>
      <w:r w:rsidRPr="00663988">
        <w:rPr>
          <w:i/>
        </w:rPr>
        <w:t xml:space="preserve"> strategy, currently two data points are used: age and account balance, which is data that should be available to all funds.</w:t>
      </w:r>
    </w:p>
    <w:p w14:paraId="586CA593" w14:textId="77777777" w:rsidR="00F041A8" w:rsidRDefault="00F041A8">
      <w:pPr>
        <w:rPr>
          <w:u w:val="single"/>
        </w:rPr>
      </w:pPr>
    </w:p>
    <w:p w14:paraId="5B18E2A7" w14:textId="77777777" w:rsidR="00D1756F" w:rsidRPr="00EA143C" w:rsidRDefault="00D1756F" w:rsidP="00D1756F">
      <w:pPr>
        <w:pStyle w:val="QNormal"/>
        <w:rPr>
          <w:b/>
          <w:u w:val="single"/>
        </w:rPr>
      </w:pPr>
      <w:r w:rsidRPr="00EA143C">
        <w:rPr>
          <w:u w:val="single"/>
        </w:rPr>
        <w:t>What member data is needed?</w:t>
      </w:r>
    </w:p>
    <w:p w14:paraId="64BBF556" w14:textId="77777777" w:rsidR="00D1756F" w:rsidRPr="000469A3" w:rsidRDefault="00D1756F" w:rsidP="00D1756F">
      <w:pPr>
        <w:pStyle w:val="QNormal"/>
        <w:rPr>
          <w:b/>
        </w:rPr>
      </w:pPr>
      <w:r>
        <w:t xml:space="preserve">QSuper’s </w:t>
      </w:r>
      <w:r w:rsidR="00F95F0A">
        <w:t>life cycle</w:t>
      </w:r>
      <w:r>
        <w:t xml:space="preserve"> approach enables the setting of investment strategies to manage multiple risks, and not just sequencing risk.  QSuper uses the following data to </w:t>
      </w:r>
      <w:r w:rsidR="002A00BC">
        <w:t xml:space="preserve">enable </w:t>
      </w:r>
      <w:r>
        <w:t>this, which most funds should have access to on their members:</w:t>
      </w:r>
    </w:p>
    <w:p w14:paraId="19BFC7D3" w14:textId="77777777" w:rsidR="00D1756F" w:rsidRPr="0017612A" w:rsidRDefault="00D1756F" w:rsidP="0017612A">
      <w:pPr>
        <w:pStyle w:val="ListParagraph"/>
        <w:numPr>
          <w:ilvl w:val="0"/>
          <w:numId w:val="25"/>
        </w:numPr>
        <w:jc w:val="both"/>
        <w:rPr>
          <w:rFonts w:cs="Arial"/>
          <w:szCs w:val="22"/>
          <w:lang w:eastAsia="en-AU"/>
        </w:rPr>
      </w:pPr>
      <w:r w:rsidRPr="0017612A">
        <w:rPr>
          <w:rFonts w:cs="Arial"/>
          <w:szCs w:val="22"/>
          <w:lang w:eastAsia="en-AU"/>
        </w:rPr>
        <w:t>Age</w:t>
      </w:r>
      <w:r w:rsidR="00B42C8D" w:rsidRPr="0017612A">
        <w:rPr>
          <w:rFonts w:cs="Arial"/>
          <w:szCs w:val="22"/>
          <w:lang w:eastAsia="en-AU"/>
        </w:rPr>
        <w:t xml:space="preserve"> - </w:t>
      </w:r>
      <w:r w:rsidRPr="0017612A">
        <w:rPr>
          <w:rFonts w:cs="Arial"/>
          <w:szCs w:val="22"/>
          <w:lang w:eastAsia="en-AU"/>
        </w:rPr>
        <w:t>as a result QSuper can infer time to retirement from wider member data.  This gives QSuper a time horizon for setting investment strategies.</w:t>
      </w:r>
    </w:p>
    <w:p w14:paraId="6D61AC7C" w14:textId="77777777" w:rsidR="00915BE9" w:rsidRPr="0017612A" w:rsidRDefault="00915BE9" w:rsidP="0017612A">
      <w:pPr>
        <w:pStyle w:val="ListParagraph"/>
        <w:jc w:val="both"/>
        <w:rPr>
          <w:rFonts w:cs="Arial"/>
          <w:szCs w:val="22"/>
          <w:lang w:eastAsia="en-AU"/>
        </w:rPr>
      </w:pPr>
    </w:p>
    <w:p w14:paraId="57231226" w14:textId="77777777" w:rsidR="00D1756F" w:rsidRPr="0017612A" w:rsidRDefault="00D1756F" w:rsidP="0017612A">
      <w:pPr>
        <w:pStyle w:val="ListParagraph"/>
        <w:numPr>
          <w:ilvl w:val="0"/>
          <w:numId w:val="25"/>
        </w:numPr>
        <w:jc w:val="both"/>
        <w:rPr>
          <w:rFonts w:cs="Arial"/>
          <w:szCs w:val="22"/>
          <w:lang w:eastAsia="en-AU"/>
        </w:rPr>
      </w:pPr>
      <w:r w:rsidRPr="0017612A">
        <w:rPr>
          <w:rFonts w:cs="Arial"/>
          <w:szCs w:val="22"/>
          <w:lang w:eastAsia="en-AU"/>
        </w:rPr>
        <w:t>Account balance</w:t>
      </w:r>
      <w:r w:rsidR="00B42C8D" w:rsidRPr="0017612A">
        <w:rPr>
          <w:rFonts w:cs="Arial"/>
          <w:szCs w:val="22"/>
          <w:lang w:eastAsia="en-AU"/>
        </w:rPr>
        <w:t xml:space="preserve"> - </w:t>
      </w:r>
      <w:r w:rsidRPr="0017612A">
        <w:rPr>
          <w:rFonts w:cs="Arial"/>
          <w:szCs w:val="22"/>
          <w:lang w:eastAsia="en-AU"/>
        </w:rPr>
        <w:t xml:space="preserve"> allows QSuper to project estimated balances at retirement using sensible assumptions about future contributions and investment returns (this is very important for differentiating males and females with interrupted work patterns).</w:t>
      </w:r>
    </w:p>
    <w:p w14:paraId="777C1471" w14:textId="77777777" w:rsidR="00915BE9" w:rsidRPr="0017612A" w:rsidRDefault="00915BE9" w:rsidP="0017612A">
      <w:pPr>
        <w:pStyle w:val="ListParagraph"/>
        <w:jc w:val="both"/>
        <w:rPr>
          <w:rFonts w:cs="Arial"/>
          <w:szCs w:val="22"/>
          <w:lang w:eastAsia="en-AU"/>
        </w:rPr>
      </w:pPr>
    </w:p>
    <w:p w14:paraId="6E292EAE" w14:textId="77777777" w:rsidR="00D1756F" w:rsidRDefault="00D1756F" w:rsidP="0017612A">
      <w:pPr>
        <w:pStyle w:val="ListParagraph"/>
        <w:numPr>
          <w:ilvl w:val="0"/>
          <w:numId w:val="25"/>
        </w:numPr>
        <w:jc w:val="both"/>
        <w:rPr>
          <w:rFonts w:cs="Arial"/>
          <w:szCs w:val="22"/>
          <w:lang w:eastAsia="en-AU"/>
        </w:rPr>
      </w:pPr>
      <w:r w:rsidRPr="0017612A">
        <w:rPr>
          <w:rFonts w:cs="Arial"/>
          <w:szCs w:val="22"/>
          <w:lang w:eastAsia="en-AU"/>
        </w:rPr>
        <w:t>Gender – males and females have different retirement challenges and risk tolerances as well as different lifetime accumulation patterns.</w:t>
      </w:r>
    </w:p>
    <w:p w14:paraId="3CF0BE53" w14:textId="77777777" w:rsidR="0017612A" w:rsidRPr="0017612A" w:rsidRDefault="0017612A" w:rsidP="0017612A">
      <w:pPr>
        <w:pStyle w:val="ListParagraph"/>
        <w:rPr>
          <w:rFonts w:cs="Arial"/>
          <w:szCs w:val="22"/>
          <w:lang w:eastAsia="en-AU"/>
        </w:rPr>
      </w:pPr>
    </w:p>
    <w:p w14:paraId="7AC24C64" w14:textId="77777777" w:rsidR="00D1756F" w:rsidRPr="00E01D4E" w:rsidRDefault="00D1756F" w:rsidP="00D1756F">
      <w:pPr>
        <w:pStyle w:val="QNormal"/>
        <w:rPr>
          <w:b/>
          <w:u w:val="single"/>
        </w:rPr>
      </w:pPr>
      <w:r w:rsidRPr="00E01D4E">
        <w:rPr>
          <w:u w:val="single"/>
        </w:rPr>
        <w:t>QSuper’s approach to data</w:t>
      </w:r>
      <w:r>
        <w:rPr>
          <w:u w:val="single"/>
        </w:rPr>
        <w:t xml:space="preserve"> and assumptions</w:t>
      </w:r>
    </w:p>
    <w:p w14:paraId="0AF99B28" w14:textId="77777777" w:rsidR="00D1756F" w:rsidRPr="0005280E" w:rsidRDefault="00D1756F" w:rsidP="00D1756F">
      <w:pPr>
        <w:spacing w:before="120" w:after="120" w:line="276" w:lineRule="auto"/>
        <w:ind w:left="3"/>
        <w:jc w:val="both"/>
      </w:pPr>
      <w:r w:rsidRPr="0005280E">
        <w:t xml:space="preserve">In developing </w:t>
      </w:r>
      <w:r w:rsidRPr="005F1EA0">
        <w:rPr>
          <w:i/>
        </w:rPr>
        <w:t>QSuper Lifetime</w:t>
      </w:r>
      <w:r w:rsidRPr="0005280E">
        <w:t xml:space="preserve"> a </w:t>
      </w:r>
      <w:r w:rsidR="002A00BC">
        <w:t>d</w:t>
      </w:r>
      <w:r w:rsidRPr="0005280E">
        <w:t xml:space="preserve">ata </w:t>
      </w:r>
      <w:r w:rsidR="002A00BC">
        <w:t>s</w:t>
      </w:r>
      <w:r w:rsidRPr="0005280E">
        <w:t xml:space="preserve">cientist </w:t>
      </w:r>
      <w:r>
        <w:t xml:space="preserve">was </w:t>
      </w:r>
      <w:r w:rsidRPr="0005280E">
        <w:t xml:space="preserve">appointed in the Investments </w:t>
      </w:r>
      <w:r w:rsidR="002A00BC">
        <w:t>t</w:t>
      </w:r>
      <w:r w:rsidRPr="0005280E">
        <w:t xml:space="preserve">eam </w:t>
      </w:r>
      <w:r w:rsidR="002A00BC">
        <w:t>to</w:t>
      </w:r>
      <w:r w:rsidR="002A00BC" w:rsidRPr="0005280E">
        <w:t xml:space="preserve"> </w:t>
      </w:r>
      <w:r w:rsidRPr="0005280E">
        <w:t>analyse:</w:t>
      </w:r>
    </w:p>
    <w:p w14:paraId="24C206B4" w14:textId="77777777" w:rsidR="00D1756F" w:rsidRPr="0017612A" w:rsidRDefault="00D1756F" w:rsidP="0017612A">
      <w:pPr>
        <w:pStyle w:val="ListParagraph"/>
        <w:numPr>
          <w:ilvl w:val="0"/>
          <w:numId w:val="25"/>
        </w:numPr>
        <w:jc w:val="both"/>
        <w:rPr>
          <w:rFonts w:cs="Arial"/>
          <w:szCs w:val="22"/>
          <w:lang w:eastAsia="en-AU"/>
        </w:rPr>
      </w:pPr>
      <w:r w:rsidRPr="0017612A">
        <w:rPr>
          <w:rFonts w:cs="Arial"/>
          <w:szCs w:val="22"/>
          <w:lang w:eastAsia="en-AU"/>
        </w:rPr>
        <w:t xml:space="preserve">More than 20,000 </w:t>
      </w:r>
      <w:r w:rsidR="00945FE2" w:rsidRPr="0017612A">
        <w:rPr>
          <w:rFonts w:cs="Arial"/>
          <w:szCs w:val="22"/>
          <w:lang w:eastAsia="en-AU"/>
        </w:rPr>
        <w:t>f</w:t>
      </w:r>
      <w:r w:rsidRPr="0017612A">
        <w:rPr>
          <w:rFonts w:cs="Arial"/>
          <w:szCs w:val="22"/>
          <w:lang w:eastAsia="en-AU"/>
        </w:rPr>
        <w:t>inancial planning questionnaires and interviews about assets and debts outside super, household position, activities, risk tolerances, desires, goals and actions by members.</w:t>
      </w:r>
    </w:p>
    <w:p w14:paraId="4287F192" w14:textId="77777777" w:rsidR="00915BE9" w:rsidRPr="0017612A" w:rsidRDefault="00915BE9" w:rsidP="0017612A">
      <w:pPr>
        <w:pStyle w:val="ListParagraph"/>
        <w:jc w:val="both"/>
        <w:rPr>
          <w:rFonts w:cs="Arial"/>
          <w:szCs w:val="22"/>
          <w:lang w:eastAsia="en-AU"/>
        </w:rPr>
      </w:pPr>
    </w:p>
    <w:p w14:paraId="744B4122" w14:textId="74935DF1" w:rsidR="00D1756F" w:rsidRPr="0017612A" w:rsidRDefault="00D1756F" w:rsidP="0017612A">
      <w:pPr>
        <w:pStyle w:val="ListParagraph"/>
        <w:numPr>
          <w:ilvl w:val="0"/>
          <w:numId w:val="25"/>
        </w:numPr>
        <w:jc w:val="both"/>
        <w:rPr>
          <w:rFonts w:cs="Arial"/>
          <w:szCs w:val="22"/>
          <w:lang w:eastAsia="en-AU"/>
        </w:rPr>
      </w:pPr>
      <w:r w:rsidRPr="0017612A">
        <w:rPr>
          <w:rFonts w:cs="Arial"/>
          <w:szCs w:val="22"/>
          <w:lang w:eastAsia="en-AU"/>
        </w:rPr>
        <w:t xml:space="preserve">Activities of members from the administration system in regard to retirement income, retirement age, lump sum and regular withdrawals, </w:t>
      </w:r>
      <w:r w:rsidR="00F041A8" w:rsidRPr="0017612A">
        <w:rPr>
          <w:rFonts w:cs="Arial"/>
          <w:szCs w:val="22"/>
          <w:lang w:eastAsia="en-AU"/>
        </w:rPr>
        <w:t xml:space="preserve">propensity to commence income stream, make </w:t>
      </w:r>
      <w:r w:rsidRPr="0017612A">
        <w:rPr>
          <w:rFonts w:cs="Arial"/>
          <w:szCs w:val="22"/>
          <w:lang w:eastAsia="en-AU"/>
        </w:rPr>
        <w:t>contributions etc by various member cohorts and gender</w:t>
      </w:r>
      <w:r w:rsidR="00F041A8" w:rsidRPr="0017612A">
        <w:rPr>
          <w:rFonts w:cs="Arial"/>
          <w:szCs w:val="22"/>
          <w:lang w:eastAsia="en-AU"/>
        </w:rPr>
        <w:t xml:space="preserve"> </w:t>
      </w:r>
      <w:r w:rsidR="00915BE9" w:rsidRPr="0017612A">
        <w:rPr>
          <w:rFonts w:cs="Arial"/>
          <w:szCs w:val="22"/>
          <w:lang w:eastAsia="en-AU"/>
        </w:rPr>
        <w:t>.</w:t>
      </w:r>
    </w:p>
    <w:p w14:paraId="060EA00E" w14:textId="77777777" w:rsidR="00915BE9" w:rsidRPr="0017612A" w:rsidRDefault="00915BE9" w:rsidP="0017612A">
      <w:pPr>
        <w:pStyle w:val="ListParagraph"/>
        <w:jc w:val="both"/>
        <w:rPr>
          <w:rFonts w:cs="Arial"/>
          <w:szCs w:val="22"/>
          <w:lang w:eastAsia="en-AU"/>
        </w:rPr>
      </w:pPr>
    </w:p>
    <w:p w14:paraId="7A1EDF5F" w14:textId="77777777" w:rsidR="00D1756F" w:rsidRDefault="00D1756F" w:rsidP="0017612A">
      <w:pPr>
        <w:pStyle w:val="ListParagraph"/>
        <w:numPr>
          <w:ilvl w:val="0"/>
          <w:numId w:val="25"/>
        </w:numPr>
        <w:jc w:val="both"/>
        <w:rPr>
          <w:rFonts w:cs="Arial"/>
          <w:szCs w:val="22"/>
          <w:lang w:eastAsia="en-AU"/>
        </w:rPr>
      </w:pPr>
      <w:r w:rsidRPr="0017612A">
        <w:rPr>
          <w:rFonts w:cs="Arial"/>
          <w:szCs w:val="22"/>
          <w:lang w:eastAsia="en-AU"/>
        </w:rPr>
        <w:t>Actions by choice members in regard to market risk events and switches.</w:t>
      </w:r>
    </w:p>
    <w:p w14:paraId="0D6C38C0" w14:textId="77777777" w:rsidR="0017612A" w:rsidRPr="0017612A" w:rsidRDefault="0017612A" w:rsidP="0017612A">
      <w:pPr>
        <w:pStyle w:val="ListParagraph"/>
        <w:jc w:val="both"/>
        <w:rPr>
          <w:rFonts w:cs="Arial"/>
          <w:szCs w:val="22"/>
          <w:lang w:eastAsia="en-AU"/>
        </w:rPr>
      </w:pPr>
    </w:p>
    <w:p w14:paraId="67D0E8D2" w14:textId="77777777" w:rsidR="00D1756F" w:rsidRPr="0005280E" w:rsidRDefault="00D1756F" w:rsidP="006F26D3">
      <w:pPr>
        <w:pStyle w:val="QNormal"/>
        <w:spacing w:line="240" w:lineRule="auto"/>
        <w:rPr>
          <w:b/>
        </w:rPr>
      </w:pPr>
      <w:r w:rsidRPr="0005280E">
        <w:t>Actions taken</w:t>
      </w:r>
      <w:r>
        <w:t xml:space="preserve"> as a result of the analysis include:</w:t>
      </w:r>
    </w:p>
    <w:p w14:paraId="5480B0E8" w14:textId="77777777" w:rsidR="00D1756F" w:rsidRPr="0017612A" w:rsidRDefault="00D1756F" w:rsidP="0017612A">
      <w:pPr>
        <w:pStyle w:val="ListParagraph"/>
        <w:numPr>
          <w:ilvl w:val="0"/>
          <w:numId w:val="25"/>
        </w:numPr>
        <w:jc w:val="both"/>
        <w:rPr>
          <w:rFonts w:cs="Arial"/>
          <w:szCs w:val="22"/>
          <w:lang w:eastAsia="en-AU"/>
        </w:rPr>
      </w:pPr>
      <w:r w:rsidRPr="0017612A">
        <w:rPr>
          <w:rFonts w:cs="Arial"/>
          <w:szCs w:val="22"/>
          <w:lang w:eastAsia="en-AU"/>
        </w:rPr>
        <w:t>Use the information known about members (e.g. age, account balance, salary, contributions, gender)</w:t>
      </w:r>
      <w:r w:rsidR="00F109C5" w:rsidRPr="0017612A">
        <w:rPr>
          <w:rFonts w:cs="Arial"/>
          <w:szCs w:val="22"/>
          <w:lang w:eastAsia="en-AU"/>
        </w:rPr>
        <w:t xml:space="preserve"> to assist in setting investment strategies</w:t>
      </w:r>
      <w:r w:rsidRPr="0017612A">
        <w:rPr>
          <w:rFonts w:cs="Arial"/>
          <w:szCs w:val="22"/>
          <w:lang w:eastAsia="en-AU"/>
        </w:rPr>
        <w:t>.</w:t>
      </w:r>
    </w:p>
    <w:p w14:paraId="680F8E58" w14:textId="77777777" w:rsidR="00542EAE" w:rsidRPr="0017612A" w:rsidRDefault="00542EAE" w:rsidP="0017612A">
      <w:pPr>
        <w:pStyle w:val="ListParagraph"/>
        <w:jc w:val="both"/>
        <w:rPr>
          <w:rFonts w:cs="Arial"/>
          <w:szCs w:val="22"/>
          <w:lang w:eastAsia="en-AU"/>
        </w:rPr>
      </w:pPr>
    </w:p>
    <w:p w14:paraId="37D4AC8C" w14:textId="77777777" w:rsidR="00D1756F" w:rsidRPr="0017612A" w:rsidRDefault="00D1756F" w:rsidP="0017612A">
      <w:pPr>
        <w:pStyle w:val="ListParagraph"/>
        <w:numPr>
          <w:ilvl w:val="0"/>
          <w:numId w:val="25"/>
        </w:numPr>
        <w:jc w:val="both"/>
        <w:rPr>
          <w:rFonts w:cs="Arial"/>
          <w:szCs w:val="22"/>
          <w:lang w:eastAsia="en-AU"/>
        </w:rPr>
      </w:pPr>
      <w:r w:rsidRPr="0017612A">
        <w:rPr>
          <w:rFonts w:cs="Arial"/>
          <w:szCs w:val="22"/>
          <w:lang w:eastAsia="en-AU"/>
        </w:rPr>
        <w:lastRenderedPageBreak/>
        <w:t>Make informed judgement and assumptions about other information for default members.</w:t>
      </w:r>
    </w:p>
    <w:p w14:paraId="74EC43E2" w14:textId="77777777" w:rsidR="0017612A" w:rsidRDefault="0017612A" w:rsidP="0017612A">
      <w:pPr>
        <w:pStyle w:val="ListParagraph"/>
        <w:jc w:val="both"/>
        <w:rPr>
          <w:rFonts w:cs="Arial"/>
          <w:szCs w:val="22"/>
          <w:lang w:eastAsia="en-AU"/>
        </w:rPr>
      </w:pPr>
    </w:p>
    <w:p w14:paraId="26F52AD1" w14:textId="77777777" w:rsidR="00D1756F" w:rsidRPr="0017612A" w:rsidRDefault="00D1756F" w:rsidP="0017612A">
      <w:pPr>
        <w:pStyle w:val="ListParagraph"/>
        <w:numPr>
          <w:ilvl w:val="0"/>
          <w:numId w:val="25"/>
        </w:numPr>
        <w:jc w:val="both"/>
        <w:rPr>
          <w:rFonts w:cs="Arial"/>
          <w:szCs w:val="22"/>
          <w:lang w:eastAsia="en-AU"/>
        </w:rPr>
      </w:pPr>
      <w:r w:rsidRPr="0017612A">
        <w:rPr>
          <w:rFonts w:cs="Arial"/>
          <w:szCs w:val="22"/>
          <w:lang w:eastAsia="en-AU"/>
        </w:rPr>
        <w:t>Decide when to start adjusting risk profiles.</w:t>
      </w:r>
    </w:p>
    <w:p w14:paraId="26785531" w14:textId="77777777" w:rsidR="00542EAE" w:rsidRPr="0017612A" w:rsidRDefault="00542EAE" w:rsidP="0017612A">
      <w:pPr>
        <w:pStyle w:val="ListParagraph"/>
        <w:jc w:val="both"/>
        <w:rPr>
          <w:rFonts w:cs="Arial"/>
          <w:szCs w:val="22"/>
          <w:lang w:eastAsia="en-AU"/>
        </w:rPr>
      </w:pPr>
    </w:p>
    <w:p w14:paraId="7168F44B" w14:textId="77777777" w:rsidR="00D1756F" w:rsidRPr="0017612A" w:rsidRDefault="00D1756F" w:rsidP="0017612A">
      <w:pPr>
        <w:pStyle w:val="ListParagraph"/>
        <w:numPr>
          <w:ilvl w:val="0"/>
          <w:numId w:val="25"/>
        </w:numPr>
        <w:jc w:val="both"/>
        <w:rPr>
          <w:rFonts w:cs="Arial"/>
          <w:szCs w:val="22"/>
          <w:lang w:eastAsia="en-AU"/>
        </w:rPr>
      </w:pPr>
      <w:r w:rsidRPr="0017612A">
        <w:rPr>
          <w:rFonts w:cs="Arial"/>
          <w:szCs w:val="22"/>
          <w:lang w:eastAsia="en-AU"/>
        </w:rPr>
        <w:t xml:space="preserve">Establish whether to have different risk paths for </w:t>
      </w:r>
      <w:r w:rsidR="002A00BC" w:rsidRPr="0017612A">
        <w:rPr>
          <w:rFonts w:cs="Arial"/>
          <w:szCs w:val="22"/>
          <w:lang w:eastAsia="en-AU"/>
        </w:rPr>
        <w:t xml:space="preserve">women </w:t>
      </w:r>
      <w:r w:rsidRPr="0017612A">
        <w:rPr>
          <w:rFonts w:cs="Arial"/>
          <w:szCs w:val="22"/>
          <w:lang w:eastAsia="en-AU"/>
        </w:rPr>
        <w:t xml:space="preserve">vs </w:t>
      </w:r>
      <w:r w:rsidR="002A00BC" w:rsidRPr="0017612A">
        <w:rPr>
          <w:rFonts w:cs="Arial"/>
          <w:szCs w:val="22"/>
          <w:lang w:eastAsia="en-AU"/>
        </w:rPr>
        <w:t>men</w:t>
      </w:r>
      <w:r w:rsidRPr="0017612A">
        <w:rPr>
          <w:rFonts w:cs="Arial"/>
          <w:szCs w:val="22"/>
          <w:lang w:eastAsia="en-AU"/>
        </w:rPr>
        <w:t>.</w:t>
      </w:r>
    </w:p>
    <w:p w14:paraId="6270C3A0" w14:textId="77777777" w:rsidR="00542EAE" w:rsidRPr="0017612A" w:rsidRDefault="00542EAE" w:rsidP="0017612A">
      <w:pPr>
        <w:pStyle w:val="ListParagraph"/>
        <w:jc w:val="both"/>
        <w:rPr>
          <w:rFonts w:cs="Arial"/>
          <w:szCs w:val="22"/>
          <w:lang w:eastAsia="en-AU"/>
        </w:rPr>
      </w:pPr>
    </w:p>
    <w:p w14:paraId="1B0DBE00" w14:textId="77777777" w:rsidR="00D1756F" w:rsidRPr="0017612A" w:rsidRDefault="00D1756F" w:rsidP="0017612A">
      <w:pPr>
        <w:pStyle w:val="ListParagraph"/>
        <w:numPr>
          <w:ilvl w:val="0"/>
          <w:numId w:val="25"/>
        </w:numPr>
        <w:jc w:val="both"/>
        <w:rPr>
          <w:rFonts w:cs="Arial"/>
          <w:szCs w:val="22"/>
          <w:lang w:eastAsia="en-AU"/>
        </w:rPr>
      </w:pPr>
      <w:r w:rsidRPr="0017612A">
        <w:rPr>
          <w:rFonts w:cs="Arial"/>
          <w:szCs w:val="22"/>
          <w:lang w:eastAsia="en-AU"/>
        </w:rPr>
        <w:t>Consider what risk levels members gravitated to themselves, or when advised by planners to set cohort risk levels.</w:t>
      </w:r>
    </w:p>
    <w:p w14:paraId="793EB68D" w14:textId="77777777" w:rsidR="00542EAE" w:rsidRPr="0017612A" w:rsidRDefault="00542EAE" w:rsidP="0017612A">
      <w:pPr>
        <w:pStyle w:val="ListParagraph"/>
        <w:jc w:val="both"/>
        <w:rPr>
          <w:rFonts w:cs="Arial"/>
          <w:szCs w:val="22"/>
          <w:lang w:eastAsia="en-AU"/>
        </w:rPr>
      </w:pPr>
    </w:p>
    <w:p w14:paraId="75EE3408" w14:textId="77777777" w:rsidR="00D1756F" w:rsidRPr="0017612A" w:rsidRDefault="00D1756F" w:rsidP="0017612A">
      <w:pPr>
        <w:pStyle w:val="ListParagraph"/>
        <w:numPr>
          <w:ilvl w:val="0"/>
          <w:numId w:val="25"/>
        </w:numPr>
        <w:jc w:val="both"/>
        <w:rPr>
          <w:rFonts w:cs="Arial"/>
          <w:szCs w:val="22"/>
          <w:lang w:eastAsia="en-AU"/>
        </w:rPr>
      </w:pPr>
      <w:r w:rsidRPr="0017612A">
        <w:rPr>
          <w:rFonts w:cs="Arial"/>
          <w:szCs w:val="22"/>
          <w:lang w:eastAsia="en-AU"/>
        </w:rPr>
        <w:t xml:space="preserve">Allow for </w:t>
      </w:r>
      <w:r w:rsidR="00DC216F" w:rsidRPr="0017612A">
        <w:rPr>
          <w:rFonts w:cs="Arial"/>
          <w:szCs w:val="22"/>
          <w:lang w:eastAsia="en-AU"/>
        </w:rPr>
        <w:t>various decision</w:t>
      </w:r>
      <w:r w:rsidR="005556B4" w:rsidRPr="0017612A">
        <w:rPr>
          <w:rFonts w:cs="Arial"/>
          <w:szCs w:val="22"/>
          <w:lang w:eastAsia="en-AU"/>
        </w:rPr>
        <w:t>s</w:t>
      </w:r>
      <w:r w:rsidR="00DC216F" w:rsidRPr="0017612A">
        <w:rPr>
          <w:rFonts w:cs="Arial"/>
          <w:szCs w:val="22"/>
          <w:lang w:eastAsia="en-AU"/>
        </w:rPr>
        <w:t xml:space="preserve"> members make around retirement, including when they retire and whether they will draw down a lump sum or an income, </w:t>
      </w:r>
      <w:r w:rsidRPr="0017612A">
        <w:rPr>
          <w:rFonts w:cs="Arial"/>
          <w:szCs w:val="22"/>
          <w:lang w:eastAsia="en-AU"/>
        </w:rPr>
        <w:t xml:space="preserve">which gives the basis for default </w:t>
      </w:r>
      <w:r w:rsidR="00CF4E74" w:rsidRPr="0017612A">
        <w:rPr>
          <w:rFonts w:cs="Arial"/>
          <w:szCs w:val="22"/>
          <w:lang w:eastAsia="en-AU"/>
        </w:rPr>
        <w:t xml:space="preserve">accumulation </w:t>
      </w:r>
      <w:r w:rsidRPr="0017612A">
        <w:rPr>
          <w:rFonts w:cs="Arial"/>
          <w:szCs w:val="22"/>
          <w:lang w:eastAsia="en-AU"/>
        </w:rPr>
        <w:t>strategies linking to these</w:t>
      </w:r>
      <w:r w:rsidR="00CF4E74" w:rsidRPr="0017612A">
        <w:rPr>
          <w:rFonts w:cs="Arial"/>
          <w:szCs w:val="22"/>
          <w:lang w:eastAsia="en-AU"/>
        </w:rPr>
        <w:t xml:space="preserve"> behaviours</w:t>
      </w:r>
      <w:r w:rsidRPr="0017612A">
        <w:rPr>
          <w:rFonts w:cs="Arial"/>
          <w:szCs w:val="22"/>
          <w:lang w:eastAsia="en-AU"/>
        </w:rPr>
        <w:t>.</w:t>
      </w:r>
    </w:p>
    <w:p w14:paraId="4E4F1E00" w14:textId="77777777" w:rsidR="00F041A8" w:rsidRDefault="00F041A8" w:rsidP="006F26D3">
      <w:pPr>
        <w:pStyle w:val="QNormal"/>
        <w:spacing w:line="240" w:lineRule="auto"/>
      </w:pPr>
      <w:bookmarkStart w:id="6" w:name="_Hlk518549561"/>
    </w:p>
    <w:p w14:paraId="4C3ED305" w14:textId="77777777" w:rsidR="00D1756F" w:rsidRPr="00D21CBF" w:rsidRDefault="00D1756F" w:rsidP="006F26D3">
      <w:pPr>
        <w:pStyle w:val="QNormal"/>
        <w:spacing w:line="240" w:lineRule="auto"/>
        <w:rPr>
          <w:b/>
        </w:rPr>
      </w:pPr>
      <w:r w:rsidRPr="000469A3">
        <w:t xml:space="preserve">QSuper does </w:t>
      </w:r>
      <w:r w:rsidRPr="00D21CBF">
        <w:t>not have access to the following data:</w:t>
      </w:r>
    </w:p>
    <w:p w14:paraId="21324BAC" w14:textId="2885DBE3" w:rsidR="00D1756F" w:rsidRPr="0017612A" w:rsidRDefault="00D1756F" w:rsidP="0017612A">
      <w:pPr>
        <w:pStyle w:val="ListParagraph"/>
        <w:numPr>
          <w:ilvl w:val="0"/>
          <w:numId w:val="25"/>
        </w:numPr>
        <w:jc w:val="both"/>
        <w:rPr>
          <w:rFonts w:cs="Arial"/>
          <w:szCs w:val="22"/>
          <w:lang w:eastAsia="en-AU"/>
        </w:rPr>
      </w:pPr>
      <w:r w:rsidRPr="0017612A">
        <w:rPr>
          <w:rFonts w:cs="Arial"/>
          <w:szCs w:val="22"/>
          <w:lang w:eastAsia="en-AU"/>
        </w:rPr>
        <w:t>Members’ risk tolerances.  However, QSuper ha</w:t>
      </w:r>
      <w:r w:rsidR="0077667A" w:rsidRPr="0017612A">
        <w:rPr>
          <w:rFonts w:cs="Arial"/>
          <w:szCs w:val="22"/>
          <w:lang w:eastAsia="en-AU"/>
        </w:rPr>
        <w:t>s</w:t>
      </w:r>
      <w:r w:rsidRPr="0017612A">
        <w:rPr>
          <w:rFonts w:cs="Arial"/>
          <w:szCs w:val="22"/>
          <w:lang w:eastAsia="en-AU"/>
        </w:rPr>
        <w:t xml:space="preserve"> developed rational models through which </w:t>
      </w:r>
      <w:r w:rsidR="000B53DF">
        <w:rPr>
          <w:rFonts w:cs="Arial"/>
          <w:szCs w:val="22"/>
          <w:lang w:eastAsia="en-AU"/>
        </w:rPr>
        <w:t>t</w:t>
      </w:r>
      <w:r w:rsidRPr="0017612A">
        <w:rPr>
          <w:rFonts w:cs="Arial"/>
          <w:szCs w:val="22"/>
          <w:lang w:eastAsia="en-AU"/>
        </w:rPr>
        <w:t>rustee</w:t>
      </w:r>
      <w:r w:rsidR="00246D48" w:rsidRPr="0017612A">
        <w:rPr>
          <w:rFonts w:cs="Arial"/>
          <w:szCs w:val="22"/>
          <w:lang w:eastAsia="en-AU"/>
        </w:rPr>
        <w:t>s</w:t>
      </w:r>
      <w:r w:rsidRPr="0017612A">
        <w:rPr>
          <w:rFonts w:cs="Arial"/>
          <w:szCs w:val="22"/>
          <w:lang w:eastAsia="en-AU"/>
        </w:rPr>
        <w:t xml:space="preserve"> make decisions about quantifying risk.  QSuper supplements this with behavioural research and with focus group and survey feedback from members to get a better understanding of risk tolerances.</w:t>
      </w:r>
    </w:p>
    <w:p w14:paraId="218DCBB2" w14:textId="77777777" w:rsidR="00542EAE" w:rsidRPr="0017612A" w:rsidRDefault="00542EAE" w:rsidP="0017612A">
      <w:pPr>
        <w:pStyle w:val="ListParagraph"/>
        <w:jc w:val="both"/>
        <w:rPr>
          <w:rFonts w:cs="Arial"/>
          <w:szCs w:val="22"/>
          <w:lang w:eastAsia="en-AU"/>
        </w:rPr>
      </w:pPr>
    </w:p>
    <w:p w14:paraId="57CC26B5" w14:textId="77777777" w:rsidR="00D1756F" w:rsidRPr="0017612A" w:rsidRDefault="00D10085" w:rsidP="0017612A">
      <w:pPr>
        <w:pStyle w:val="ListParagraph"/>
        <w:numPr>
          <w:ilvl w:val="0"/>
          <w:numId w:val="25"/>
        </w:numPr>
        <w:jc w:val="both"/>
        <w:rPr>
          <w:rFonts w:cs="Arial"/>
          <w:szCs w:val="22"/>
          <w:lang w:eastAsia="en-AU"/>
        </w:rPr>
      </w:pPr>
      <w:r w:rsidRPr="0017612A">
        <w:rPr>
          <w:rFonts w:cs="Arial"/>
          <w:szCs w:val="22"/>
          <w:lang w:eastAsia="en-AU"/>
        </w:rPr>
        <w:t>Members’ non-superannuation</w:t>
      </w:r>
      <w:r w:rsidR="00D1756F" w:rsidRPr="0017612A">
        <w:rPr>
          <w:rFonts w:cs="Arial"/>
          <w:szCs w:val="22"/>
          <w:lang w:eastAsia="en-AU"/>
        </w:rPr>
        <w:t xml:space="preserve"> assets.  QSuper can infer from industry and member research and make sensible assumptions.</w:t>
      </w:r>
    </w:p>
    <w:p w14:paraId="4DF5CCB0" w14:textId="77777777" w:rsidR="00542EAE" w:rsidRPr="0017612A" w:rsidRDefault="00542EAE" w:rsidP="0017612A">
      <w:pPr>
        <w:pStyle w:val="ListParagraph"/>
        <w:jc w:val="both"/>
        <w:rPr>
          <w:rFonts w:cs="Arial"/>
          <w:szCs w:val="22"/>
          <w:lang w:eastAsia="en-AU"/>
        </w:rPr>
      </w:pPr>
    </w:p>
    <w:p w14:paraId="69BA5B18" w14:textId="77777777" w:rsidR="00D1756F" w:rsidRPr="0017612A" w:rsidRDefault="00D1756F" w:rsidP="0017612A">
      <w:pPr>
        <w:pStyle w:val="ListParagraph"/>
        <w:numPr>
          <w:ilvl w:val="0"/>
          <w:numId w:val="25"/>
        </w:numPr>
        <w:jc w:val="both"/>
        <w:rPr>
          <w:rFonts w:cs="Arial"/>
          <w:szCs w:val="22"/>
          <w:lang w:eastAsia="en-AU"/>
        </w:rPr>
      </w:pPr>
      <w:r w:rsidRPr="0017612A">
        <w:rPr>
          <w:rFonts w:cs="Arial"/>
          <w:szCs w:val="22"/>
          <w:lang w:eastAsia="en-AU"/>
        </w:rPr>
        <w:t>Age pension eligibility.  Through making informed assumptions about the future QSuper estimates the potential impact of Age Pension benefits across given account balances.  This has a very material impact.</w:t>
      </w:r>
    </w:p>
    <w:p w14:paraId="2D459BC9" w14:textId="77777777" w:rsidR="00542EAE" w:rsidRPr="005F1EA0" w:rsidRDefault="00542EAE" w:rsidP="009B7D06">
      <w:pPr>
        <w:pStyle w:val="ListParagraph"/>
        <w:spacing w:after="120"/>
        <w:ind w:left="360"/>
        <w:contextualSpacing w:val="0"/>
        <w:jc w:val="both"/>
      </w:pPr>
    </w:p>
    <w:bookmarkEnd w:id="6"/>
    <w:p w14:paraId="62762F5B" w14:textId="6FBA3DAC" w:rsidR="00D1756F" w:rsidRDefault="00D1756F" w:rsidP="00D1756F">
      <w:pPr>
        <w:pStyle w:val="QNormal"/>
        <w:rPr>
          <w:b/>
        </w:rPr>
      </w:pPr>
      <w:r w:rsidRPr="000469A3">
        <w:t xml:space="preserve">QSuper advocates using all the knowledge available and engaging with members using technology to find more. </w:t>
      </w:r>
      <w:r w:rsidR="0025747E">
        <w:t xml:space="preserve">It is not necessary therefore to have a financial planning business to access information to make informed decisions about members - it helps but </w:t>
      </w:r>
      <w:r w:rsidR="00CD2BE4">
        <w:t xml:space="preserve">it is </w:t>
      </w:r>
      <w:r w:rsidR="0025747E">
        <w:t>not mandatory.</w:t>
      </w:r>
      <w:r w:rsidRPr="000469A3">
        <w:t xml:space="preserve"> A modern </w:t>
      </w:r>
      <w:r w:rsidR="00F95F0A">
        <w:t>life cycle</w:t>
      </w:r>
      <w:r w:rsidRPr="000469A3">
        <w:t xml:space="preserve"> fund allows the </w:t>
      </w:r>
      <w:r w:rsidR="000B53DF">
        <w:t>t</w:t>
      </w:r>
      <w:r w:rsidRPr="000469A3">
        <w:t xml:space="preserve">rustee to use that extra information as part of a continuous improvement process.  </w:t>
      </w:r>
    </w:p>
    <w:p w14:paraId="6B039EE2" w14:textId="7112B0A7" w:rsidR="00D1756F" w:rsidRPr="000469A3" w:rsidRDefault="00D1756F" w:rsidP="00D1756F">
      <w:pPr>
        <w:pStyle w:val="QNormal"/>
        <w:rPr>
          <w:b/>
        </w:rPr>
      </w:pPr>
      <w:r w:rsidRPr="000469A3">
        <w:t xml:space="preserve">The aim </w:t>
      </w:r>
      <w:r>
        <w:t xml:space="preserve">of </w:t>
      </w:r>
      <w:r w:rsidR="00E03F1D">
        <w:t xml:space="preserve">reform </w:t>
      </w:r>
      <w:r w:rsidRPr="000469A3">
        <w:t xml:space="preserve">should be to encourage </w:t>
      </w:r>
      <w:r w:rsidR="000B53DF">
        <w:t>t</w:t>
      </w:r>
      <w:r w:rsidRPr="000469A3">
        <w:t xml:space="preserve">rustees to gather information and understand their members in order to set strategy for them in defaults, which will raise the standards and quality of </w:t>
      </w:r>
      <w:r w:rsidR="00F95F0A">
        <w:t>life cycle</w:t>
      </w:r>
      <w:r w:rsidRPr="000469A3">
        <w:t xml:space="preserve"> funds.  If default strategies are fixed</w:t>
      </w:r>
      <w:r>
        <w:t>,</w:t>
      </w:r>
      <w:r w:rsidRPr="000469A3">
        <w:t xml:space="preserve"> why do </w:t>
      </w:r>
      <w:r w:rsidR="000B53DF">
        <w:t>t</w:t>
      </w:r>
      <w:r w:rsidRPr="000469A3">
        <w:t>rustees need to know anything about their members?  QSuper believes that it is indefensible to know a lot about members and not use any of it to differentiate strategies.</w:t>
      </w:r>
    </w:p>
    <w:p w14:paraId="04F3225E" w14:textId="77777777" w:rsidR="00B151B3" w:rsidRDefault="0077261A" w:rsidP="00B151B3">
      <w:pPr>
        <w:rPr>
          <w:rFonts w:cs="Arial"/>
          <w:szCs w:val="22"/>
          <w:lang w:eastAsia="en-AU"/>
        </w:rPr>
      </w:pPr>
      <w:r>
        <w:rPr>
          <w:noProof/>
          <w:lang w:eastAsia="en-AU"/>
        </w:rPr>
        <w:lastRenderedPageBreak/>
        <mc:AlternateContent>
          <mc:Choice Requires="wps">
            <w:drawing>
              <wp:anchor distT="45720" distB="45720" distL="114300" distR="114300" simplePos="0" relativeHeight="251665408" behindDoc="0" locked="0" layoutInCell="1" allowOverlap="1" wp14:anchorId="78AFE973" wp14:editId="0F9BD332">
                <wp:simplePos x="0" y="0"/>
                <wp:positionH relativeFrom="margin">
                  <wp:posOffset>0</wp:posOffset>
                </wp:positionH>
                <wp:positionV relativeFrom="paragraph">
                  <wp:posOffset>205105</wp:posOffset>
                </wp:positionV>
                <wp:extent cx="5708650" cy="1404620"/>
                <wp:effectExtent l="0" t="0" r="25400" b="2667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ysClr val="window" lastClr="FFFFFF">
                            <a:lumMod val="95000"/>
                          </a:sysClr>
                        </a:solidFill>
                        <a:ln w="9525">
                          <a:solidFill>
                            <a:srgbClr val="000000"/>
                          </a:solidFill>
                          <a:miter lim="800000"/>
                          <a:headEnd/>
                          <a:tailEnd/>
                        </a:ln>
                      </wps:spPr>
                      <wps:txbx>
                        <w:txbxContent>
                          <w:p w14:paraId="0F2B48AA" w14:textId="77777777" w:rsidR="00127153" w:rsidRDefault="00127153" w:rsidP="0077261A">
                            <w:pPr>
                              <w:rPr>
                                <w:u w:val="single"/>
                              </w:rPr>
                            </w:pPr>
                            <w:r>
                              <w:rPr>
                                <w:u w:val="single"/>
                              </w:rPr>
                              <w:t xml:space="preserve">Draft Finding </w:t>
                            </w:r>
                            <w:r w:rsidRPr="0077261A">
                              <w:rPr>
                                <w:u w:val="single"/>
                              </w:rPr>
                              <w:t>8.1</w:t>
                            </w:r>
                            <w:r>
                              <w:rPr>
                                <w:u w:val="single"/>
                              </w:rPr>
                              <w:t>:</w:t>
                            </w:r>
                          </w:p>
                          <w:p w14:paraId="0A8F5E14" w14:textId="77777777" w:rsidR="00127153" w:rsidRPr="00265641" w:rsidRDefault="00127153" w:rsidP="0077261A">
                            <w:pPr>
                              <w:rPr>
                                <w:i/>
                              </w:rPr>
                            </w:pPr>
                            <w:r w:rsidRPr="00265641">
                              <w:rPr>
                                <w:i/>
                              </w:rPr>
                              <w:t>The deduction of insurance premiums can have a material impact on member balances at retirement. This balance erosion is highly regressive in its impact — it is more costly to members with low incomes. It also has a larger impact on members with intermittent attachment to the labour force, and those with multiple superannuation accounts with insurance (the latter comprise about 17 per cent of members).</w:t>
                            </w:r>
                          </w:p>
                          <w:p w14:paraId="3918E136" w14:textId="77777777" w:rsidR="00127153" w:rsidRPr="00265641" w:rsidRDefault="00127153" w:rsidP="0077261A">
                            <w:pPr>
                              <w:rPr>
                                <w:i/>
                              </w:rPr>
                            </w:pPr>
                            <w:r w:rsidRPr="00265641">
                              <w:rPr>
                                <w:i/>
                              </w:rPr>
                              <w:t>Balance erosion for low income members due to insurance could reach a projected 14 per cent of retirement balances in many cases, and in extreme cases (for low income members with intermittent work patterns and with multiple income protection policies) could be well over a quarter of a member’s retirement balance.</w:t>
                            </w:r>
                          </w:p>
                          <w:p w14:paraId="0A849416" w14:textId="77777777" w:rsidR="00127153" w:rsidRDefault="00127153" w:rsidP="0077261A"/>
                          <w:p w14:paraId="1B31BDB3" w14:textId="77777777" w:rsidR="00127153" w:rsidRPr="000B6B48" w:rsidRDefault="00127153" w:rsidP="0077261A">
                            <w:pPr>
                              <w:rPr>
                                <w:u w:val="single"/>
                              </w:rPr>
                            </w:pPr>
                            <w:r w:rsidRPr="000B6B48">
                              <w:rPr>
                                <w:u w:val="single"/>
                              </w:rPr>
                              <w:t xml:space="preserve">Information Request </w:t>
                            </w:r>
                            <w:r>
                              <w:rPr>
                                <w:u w:val="single"/>
                              </w:rPr>
                              <w:t>8</w:t>
                            </w:r>
                            <w:r w:rsidRPr="000B6B48">
                              <w:rPr>
                                <w:u w:val="single"/>
                              </w:rPr>
                              <w:t>.1:</w:t>
                            </w:r>
                          </w:p>
                          <w:p w14:paraId="5E474E39" w14:textId="77777777" w:rsidR="00127153" w:rsidRDefault="00127153" w:rsidP="0077261A">
                            <w:r w:rsidRPr="0077261A">
                              <w:rPr>
                                <w:i/>
                                <w:iCs/>
                              </w:rPr>
                              <w:t>What is the case for bundling life and total and permanent disability insurance together, as is done by some superannuation funds? Are there funds that offer these separately, and if so, do many members of these funds elect to have one type of cover but not the other?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AFE973" id="Text Box 8" o:spid="_x0000_s1029" type="#_x0000_t202" style="position:absolute;margin-left:0;margin-top:16.15pt;width:449.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5JFRAIAAH0EAAAOAAAAZHJzL2Uyb0RvYy54bWysVNtu2zAMfR+wfxD0vtrJkjY16hRduwwD&#10;ugvQ7gMYWY6FSaImKbGzrx8lJ1m6vQ3zgyCJ1CF5Dumb28FotpM+KLQ1n1yUnEkrsFF2U/Nvz6s3&#10;C85CBNuARitrvpeB3y5fv7rpXSWn2KFupGcEYkPVu5p3MbqqKILopIFwgU5aMrboDUQ6+k3ReOgJ&#10;3ehiWpaXRY++cR6FDIFuH0YjX2b8tpUifmnbICPTNafcYl59XtdpLZY3UG08uE6JQxrwD1kYUJaC&#10;nqAeIALbevUXlFHCY8A2Xgg0BbatEjLXQNVMyj+qeerAyVwLkRPciabw/2DF591Xz1RTcxLKgiGJ&#10;nuUQ2Tsc2CKx07tQkdOTI7c40DWpnCsN7hHF98As3ndgN/LOe+w7CQ1lN0kvi7OnI05IIOv+EzYU&#10;BrYRM9DQepOoIzIYoZNK+5MyKRVBl/OrcnE5J5Mg22RWzi6nWbsCquNz50P8INGwtKm5J+kzPOwe&#10;Q0zpQHV0SdECatWslNb5sA/32rMdUJdQczXYc6YhRLqs+Sp/GUtvDSU/+l3Py/KYQ8jvc4wXuNqy&#10;vubX8+l8pOxFTL9Zn4IS1BnauZtRkQZEK0MKnZygSkS/t01u3whKj3uqUdsD84nskfY4rIcs8duj&#10;oGts9iSFx3EeaH5p06H/yVlPs1Dz8GMLXhIJHy3JeT2ZzdLw5MNsfkXcM39uWZ9bwAqCqnnkbNze&#10;xzxwmWh3R7KvVBYk9ceYySFl6vHM4WEe0xCdn7PX77/G8hcAAAD//wMAUEsDBBQABgAIAAAAIQCo&#10;8Ess2wAAAAcBAAAPAAAAZHJzL2Rvd25yZXYueG1sTI/BTsMwEETvSPyDtUhcEHWa0KoJcaqAgHsK&#10;H+DGSxKw11HspuHvWU70uDOjmbflfnFWzDiFwZOC9SoBgdR6M1Cn4OP99X4HIkRNRltPqOAHA+yr&#10;66tSF8afqcH5EDvBJRQKraCPcSykDG2PToeVH5HY+/ST05HPqZNm0mcud1amSbKVTg/EC70e8bnH&#10;9vtwcgrGly+Zv92RNXXdbPHBPq3nuVHq9mapH0FEXOJ/GP7wGR0qZjr6E5kgrAJ+JCrI0gwEu7s8&#10;Z+GoIN1kG5BVKS/5q18AAAD//wMAUEsBAi0AFAAGAAgAAAAhALaDOJL+AAAA4QEAABMAAAAAAAAA&#10;AAAAAAAAAAAAAFtDb250ZW50X1R5cGVzXS54bWxQSwECLQAUAAYACAAAACEAOP0h/9YAAACUAQAA&#10;CwAAAAAAAAAAAAAAAAAvAQAAX3JlbHMvLnJlbHNQSwECLQAUAAYACAAAACEAQ9OSRUQCAAB9BAAA&#10;DgAAAAAAAAAAAAAAAAAuAgAAZHJzL2Uyb0RvYy54bWxQSwECLQAUAAYACAAAACEAqPBLLNsAAAAH&#10;AQAADwAAAAAAAAAAAAAAAACeBAAAZHJzL2Rvd25yZXYueG1sUEsFBgAAAAAEAAQA8wAAAKYFAAAA&#10;AA==&#10;" fillcolor="#f2f2f2">
                <v:textbox style="mso-fit-shape-to-text:t">
                  <w:txbxContent>
                    <w:p w14:paraId="0F2B48AA" w14:textId="77777777" w:rsidR="00127153" w:rsidRDefault="00127153" w:rsidP="0077261A">
                      <w:pPr>
                        <w:rPr>
                          <w:u w:val="single"/>
                        </w:rPr>
                      </w:pPr>
                      <w:r>
                        <w:rPr>
                          <w:u w:val="single"/>
                        </w:rPr>
                        <w:t xml:space="preserve">Draft Finding </w:t>
                      </w:r>
                      <w:r w:rsidRPr="0077261A">
                        <w:rPr>
                          <w:u w:val="single"/>
                        </w:rPr>
                        <w:t>8.1</w:t>
                      </w:r>
                      <w:r>
                        <w:rPr>
                          <w:u w:val="single"/>
                        </w:rPr>
                        <w:t>:</w:t>
                      </w:r>
                    </w:p>
                    <w:p w14:paraId="0A8F5E14" w14:textId="77777777" w:rsidR="00127153" w:rsidRPr="00265641" w:rsidRDefault="00127153" w:rsidP="0077261A">
                      <w:pPr>
                        <w:rPr>
                          <w:i/>
                        </w:rPr>
                      </w:pPr>
                      <w:r w:rsidRPr="00265641">
                        <w:rPr>
                          <w:i/>
                        </w:rPr>
                        <w:t xml:space="preserve">The deduction of insurance premiums can have a material impact on member balances at retirement. This balance erosion is highly regressive in its impact — it is </w:t>
                      </w:r>
                      <w:proofErr w:type="gramStart"/>
                      <w:r w:rsidRPr="00265641">
                        <w:rPr>
                          <w:i/>
                        </w:rPr>
                        <w:t>more costly</w:t>
                      </w:r>
                      <w:proofErr w:type="gramEnd"/>
                      <w:r w:rsidRPr="00265641">
                        <w:rPr>
                          <w:i/>
                        </w:rPr>
                        <w:t xml:space="preserve"> to members with low incomes. It also has a larger impact on members with intermittent attachment to the labour force, and those with multiple superannuation accounts with insurance (the latter comprise about 17 per cent of members).</w:t>
                      </w:r>
                    </w:p>
                    <w:p w14:paraId="3918E136" w14:textId="77777777" w:rsidR="00127153" w:rsidRPr="00265641" w:rsidRDefault="00127153" w:rsidP="0077261A">
                      <w:pPr>
                        <w:rPr>
                          <w:i/>
                        </w:rPr>
                      </w:pPr>
                      <w:r w:rsidRPr="00265641">
                        <w:rPr>
                          <w:i/>
                        </w:rPr>
                        <w:t>Balance erosion for low income members due to insurance could reach a projected 14 per cent of retirement balances in many cases, and in extreme cases (for low income members with intermittent work patterns and with multiple income protection policies) could be well over a quarter of a member’s retirement balance.</w:t>
                      </w:r>
                    </w:p>
                    <w:p w14:paraId="0A849416" w14:textId="77777777" w:rsidR="00127153" w:rsidRDefault="00127153" w:rsidP="0077261A"/>
                    <w:p w14:paraId="1B31BDB3" w14:textId="77777777" w:rsidR="00127153" w:rsidRPr="000B6B48" w:rsidRDefault="00127153" w:rsidP="0077261A">
                      <w:pPr>
                        <w:rPr>
                          <w:u w:val="single"/>
                        </w:rPr>
                      </w:pPr>
                      <w:r w:rsidRPr="000B6B48">
                        <w:rPr>
                          <w:u w:val="single"/>
                        </w:rPr>
                        <w:t xml:space="preserve">Information Request </w:t>
                      </w:r>
                      <w:r>
                        <w:rPr>
                          <w:u w:val="single"/>
                        </w:rPr>
                        <w:t>8</w:t>
                      </w:r>
                      <w:r w:rsidRPr="000B6B48">
                        <w:rPr>
                          <w:u w:val="single"/>
                        </w:rPr>
                        <w:t>.1:</w:t>
                      </w:r>
                    </w:p>
                    <w:p w14:paraId="5E474E39" w14:textId="77777777" w:rsidR="00127153" w:rsidRDefault="00127153" w:rsidP="0077261A">
                      <w:r w:rsidRPr="0077261A">
                        <w:rPr>
                          <w:i/>
                          <w:iCs/>
                        </w:rPr>
                        <w:t>What is the case for bundling life and total and permanent disability insurance together, as is done by some superannuation funds? Are there funds that offer these separately, and if so, do many members of these funds elect to have one type of cover but not the other?</w:t>
                      </w:r>
                    </w:p>
                  </w:txbxContent>
                </v:textbox>
                <w10:wrap type="square" anchorx="margin"/>
              </v:shape>
            </w:pict>
          </mc:Fallback>
        </mc:AlternateContent>
      </w:r>
    </w:p>
    <w:p w14:paraId="7E7A10BD" w14:textId="77777777" w:rsidR="00B151B3" w:rsidRPr="00B151B3" w:rsidRDefault="00B151B3" w:rsidP="006F26D3">
      <w:pPr>
        <w:jc w:val="both"/>
        <w:rPr>
          <w:rFonts w:cs="Arial"/>
          <w:szCs w:val="22"/>
          <w:lang w:eastAsia="en-AU"/>
        </w:rPr>
      </w:pPr>
      <w:r w:rsidRPr="00B151B3">
        <w:rPr>
          <w:rFonts w:cs="Arial"/>
          <w:szCs w:val="22"/>
          <w:lang w:eastAsia="en-AU"/>
        </w:rPr>
        <w:t xml:space="preserve">The 2013 Stronger Super reforms required that </w:t>
      </w:r>
      <w:r w:rsidR="009A66B6">
        <w:rPr>
          <w:rFonts w:cs="Arial"/>
          <w:szCs w:val="22"/>
          <w:lang w:eastAsia="en-AU"/>
        </w:rPr>
        <w:t>D</w:t>
      </w:r>
      <w:r w:rsidRPr="00B151B3">
        <w:rPr>
          <w:rFonts w:cs="Arial"/>
          <w:szCs w:val="22"/>
          <w:lang w:eastAsia="en-AU"/>
        </w:rPr>
        <w:t>eath and T</w:t>
      </w:r>
      <w:r w:rsidR="009A66B6">
        <w:rPr>
          <w:rFonts w:cs="Arial"/>
          <w:szCs w:val="22"/>
          <w:lang w:eastAsia="en-AU"/>
        </w:rPr>
        <w:t xml:space="preserve">otal and </w:t>
      </w:r>
      <w:r w:rsidRPr="00B151B3">
        <w:rPr>
          <w:rFonts w:cs="Arial"/>
          <w:szCs w:val="22"/>
          <w:lang w:eastAsia="en-AU"/>
        </w:rPr>
        <w:t>P</w:t>
      </w:r>
      <w:r w:rsidR="009A66B6">
        <w:rPr>
          <w:rFonts w:cs="Arial"/>
          <w:szCs w:val="22"/>
          <w:lang w:eastAsia="en-AU"/>
        </w:rPr>
        <w:t xml:space="preserve">ermanent </w:t>
      </w:r>
      <w:r w:rsidRPr="00B151B3">
        <w:rPr>
          <w:rFonts w:cs="Arial"/>
          <w:szCs w:val="22"/>
          <w:lang w:eastAsia="en-AU"/>
        </w:rPr>
        <w:t>D</w:t>
      </w:r>
      <w:r w:rsidR="009A66B6">
        <w:rPr>
          <w:rFonts w:cs="Arial"/>
          <w:szCs w:val="22"/>
          <w:lang w:eastAsia="en-AU"/>
        </w:rPr>
        <w:t>isability(TPD)</w:t>
      </w:r>
      <w:r w:rsidRPr="00B151B3">
        <w:rPr>
          <w:rFonts w:cs="Arial"/>
          <w:szCs w:val="22"/>
          <w:lang w:eastAsia="en-AU"/>
        </w:rPr>
        <w:t xml:space="preserve"> cover be provided on an opt out basis to all MySuper members. </w:t>
      </w:r>
    </w:p>
    <w:p w14:paraId="2BE12363" w14:textId="77777777" w:rsidR="00B151B3" w:rsidRDefault="00B151B3" w:rsidP="006F26D3">
      <w:pPr>
        <w:jc w:val="both"/>
        <w:rPr>
          <w:rFonts w:cs="Arial"/>
          <w:szCs w:val="22"/>
          <w:lang w:eastAsia="en-AU"/>
        </w:rPr>
      </w:pPr>
    </w:p>
    <w:p w14:paraId="77176933" w14:textId="77777777" w:rsidR="00B151B3" w:rsidRPr="00B151B3" w:rsidRDefault="00F4503A" w:rsidP="006F26D3">
      <w:pPr>
        <w:jc w:val="both"/>
        <w:rPr>
          <w:rFonts w:cs="Arial"/>
          <w:szCs w:val="22"/>
          <w:lang w:eastAsia="en-AU"/>
        </w:rPr>
      </w:pPr>
      <w:r>
        <w:rPr>
          <w:rFonts w:cs="Arial"/>
          <w:szCs w:val="22"/>
          <w:lang w:eastAsia="en-AU"/>
        </w:rPr>
        <w:t>In QSuper’s view</w:t>
      </w:r>
      <w:r w:rsidR="00542EAE">
        <w:rPr>
          <w:rFonts w:cs="Arial"/>
          <w:szCs w:val="22"/>
          <w:lang w:eastAsia="en-AU"/>
        </w:rPr>
        <w:t>,</w:t>
      </w:r>
      <w:r>
        <w:rPr>
          <w:rFonts w:cs="Arial"/>
          <w:szCs w:val="22"/>
          <w:lang w:eastAsia="en-AU"/>
        </w:rPr>
        <w:t xml:space="preserve"> t</w:t>
      </w:r>
      <w:r w:rsidR="00B151B3" w:rsidRPr="00B151B3">
        <w:rPr>
          <w:rFonts w:cs="Arial"/>
          <w:szCs w:val="22"/>
          <w:lang w:eastAsia="en-AU"/>
        </w:rPr>
        <w:t xml:space="preserve">hese products provide valuable benefits to members, including replacing income to the member (upon permanent disablement) or their dependants (upon death). </w:t>
      </w:r>
      <w:r w:rsidR="003013DA">
        <w:rPr>
          <w:rFonts w:cs="Arial"/>
          <w:szCs w:val="22"/>
          <w:lang w:eastAsia="en-AU"/>
        </w:rPr>
        <w:t xml:space="preserve">Our </w:t>
      </w:r>
      <w:r w:rsidR="00B151B3" w:rsidRPr="00B151B3">
        <w:rPr>
          <w:rFonts w:cs="Arial"/>
          <w:szCs w:val="22"/>
          <w:lang w:eastAsia="en-AU"/>
        </w:rPr>
        <w:t xml:space="preserve">default benefit design </w:t>
      </w:r>
      <w:r w:rsidR="002803CD">
        <w:rPr>
          <w:rFonts w:cs="Arial"/>
          <w:szCs w:val="22"/>
          <w:lang w:eastAsia="en-AU"/>
        </w:rPr>
        <w:t>is</w:t>
      </w:r>
      <w:r w:rsidR="00B151B3" w:rsidRPr="00B151B3">
        <w:rPr>
          <w:rFonts w:cs="Arial"/>
          <w:szCs w:val="22"/>
          <w:lang w:eastAsia="en-AU"/>
        </w:rPr>
        <w:t xml:space="preserve"> structured in a way </w:t>
      </w:r>
      <w:r w:rsidR="00CD2BE4">
        <w:rPr>
          <w:rFonts w:cs="Arial"/>
          <w:szCs w:val="22"/>
          <w:lang w:eastAsia="en-AU"/>
        </w:rPr>
        <w:t>that</w:t>
      </w:r>
      <w:r w:rsidR="00CD2BE4" w:rsidRPr="00B151B3">
        <w:rPr>
          <w:rFonts w:cs="Arial"/>
          <w:szCs w:val="22"/>
          <w:lang w:eastAsia="en-AU"/>
        </w:rPr>
        <w:t xml:space="preserve"> </w:t>
      </w:r>
      <w:r w:rsidR="00B151B3" w:rsidRPr="00B151B3">
        <w:rPr>
          <w:rFonts w:cs="Arial"/>
          <w:szCs w:val="22"/>
          <w:lang w:eastAsia="en-AU"/>
        </w:rPr>
        <w:t>broadly reflect</w:t>
      </w:r>
      <w:r w:rsidR="00CD2BE4">
        <w:rPr>
          <w:rFonts w:cs="Arial"/>
          <w:szCs w:val="22"/>
          <w:lang w:eastAsia="en-AU"/>
        </w:rPr>
        <w:t>s</w:t>
      </w:r>
      <w:r w:rsidR="00B151B3" w:rsidRPr="00B151B3">
        <w:rPr>
          <w:rFonts w:cs="Arial"/>
          <w:szCs w:val="22"/>
          <w:lang w:eastAsia="en-AU"/>
        </w:rPr>
        <w:t xml:space="preserve"> the needs of the average member, and to limit the overall cost of insurance.</w:t>
      </w:r>
    </w:p>
    <w:p w14:paraId="582BBA5E" w14:textId="77777777" w:rsidR="00B151B3" w:rsidRDefault="00B151B3" w:rsidP="006F26D3">
      <w:pPr>
        <w:jc w:val="both"/>
        <w:rPr>
          <w:rFonts w:cs="Arial"/>
          <w:szCs w:val="22"/>
          <w:lang w:eastAsia="en-AU"/>
        </w:rPr>
      </w:pPr>
    </w:p>
    <w:p w14:paraId="20999745" w14:textId="77777777" w:rsidR="00B151B3" w:rsidRPr="00B151B3" w:rsidRDefault="00B151B3" w:rsidP="006F26D3">
      <w:pPr>
        <w:jc w:val="both"/>
        <w:rPr>
          <w:rFonts w:cs="Arial"/>
          <w:szCs w:val="22"/>
          <w:lang w:eastAsia="en-AU"/>
        </w:rPr>
      </w:pPr>
      <w:r w:rsidRPr="00B151B3">
        <w:rPr>
          <w:rFonts w:cs="Arial"/>
          <w:szCs w:val="22"/>
          <w:lang w:eastAsia="en-AU"/>
        </w:rPr>
        <w:t xml:space="preserve">QSuper provides default death and TPD cover automatically to all members upon joining the fund </w:t>
      </w:r>
      <w:r>
        <w:rPr>
          <w:rFonts w:cs="Arial"/>
          <w:szCs w:val="22"/>
          <w:lang w:eastAsia="en-AU"/>
        </w:rPr>
        <w:t>under the reasoning of</w:t>
      </w:r>
      <w:r w:rsidR="00DE6F74">
        <w:rPr>
          <w:rFonts w:cs="Arial"/>
          <w:szCs w:val="22"/>
          <w:lang w:eastAsia="en-AU"/>
        </w:rPr>
        <w:t>:</w:t>
      </w:r>
    </w:p>
    <w:p w14:paraId="3F4CF3DB" w14:textId="77777777" w:rsidR="00755550" w:rsidRDefault="00755550" w:rsidP="006F26D3">
      <w:pPr>
        <w:ind w:left="720"/>
        <w:jc w:val="both"/>
        <w:rPr>
          <w:rFonts w:cs="Arial"/>
          <w:szCs w:val="22"/>
          <w:lang w:eastAsia="en-AU"/>
        </w:rPr>
      </w:pPr>
    </w:p>
    <w:p w14:paraId="0633DE78" w14:textId="77777777" w:rsidR="00B151B3" w:rsidRPr="00542EAE" w:rsidRDefault="00B151B3" w:rsidP="009B7D06">
      <w:pPr>
        <w:pStyle w:val="ListParagraph"/>
        <w:numPr>
          <w:ilvl w:val="0"/>
          <w:numId w:val="21"/>
        </w:numPr>
        <w:jc w:val="both"/>
        <w:rPr>
          <w:rFonts w:cs="Arial"/>
          <w:szCs w:val="22"/>
          <w:lang w:eastAsia="en-AU"/>
        </w:rPr>
      </w:pPr>
      <w:r w:rsidRPr="00542EAE">
        <w:rPr>
          <w:rFonts w:cs="Arial"/>
          <w:szCs w:val="22"/>
          <w:lang w:eastAsia="en-AU"/>
        </w:rPr>
        <w:t>on joining the fund, insufficient data is available to know every member’s individual situation and determine what cover would be appropriate for their needs;</w:t>
      </w:r>
    </w:p>
    <w:p w14:paraId="0EEA6721" w14:textId="77777777" w:rsidR="00542EAE" w:rsidRPr="00542EAE" w:rsidRDefault="00542EAE" w:rsidP="009B7D06">
      <w:pPr>
        <w:pStyle w:val="ListParagraph"/>
        <w:ind w:left="1080"/>
        <w:jc w:val="both"/>
        <w:rPr>
          <w:rFonts w:cs="Arial"/>
          <w:szCs w:val="22"/>
          <w:lang w:eastAsia="en-AU"/>
        </w:rPr>
      </w:pPr>
    </w:p>
    <w:p w14:paraId="5183260B" w14:textId="77777777" w:rsidR="00B151B3" w:rsidRPr="00542EAE" w:rsidRDefault="00B151B3" w:rsidP="009B7D06">
      <w:pPr>
        <w:pStyle w:val="ListParagraph"/>
        <w:numPr>
          <w:ilvl w:val="0"/>
          <w:numId w:val="21"/>
        </w:numPr>
        <w:jc w:val="both"/>
        <w:rPr>
          <w:rFonts w:cs="Arial"/>
          <w:szCs w:val="22"/>
          <w:lang w:eastAsia="en-AU"/>
        </w:rPr>
      </w:pPr>
      <w:r w:rsidRPr="00542EAE">
        <w:rPr>
          <w:rFonts w:cs="Arial"/>
          <w:szCs w:val="22"/>
          <w:lang w:eastAsia="en-AU"/>
        </w:rPr>
        <w:t>TPD provides a valuable benefit to members of all ages, as it supports the member’s financial wellbeing in the event of their inability to work again</w:t>
      </w:r>
      <w:r w:rsidR="002803CD" w:rsidRPr="00542EAE">
        <w:rPr>
          <w:rFonts w:cs="Arial"/>
          <w:szCs w:val="22"/>
          <w:lang w:eastAsia="en-AU"/>
        </w:rPr>
        <w:t>,</w:t>
      </w:r>
      <w:r w:rsidRPr="00542EAE">
        <w:rPr>
          <w:rFonts w:cs="Arial"/>
          <w:szCs w:val="22"/>
          <w:lang w:eastAsia="en-AU"/>
        </w:rPr>
        <w:t xml:space="preserve"> and</w:t>
      </w:r>
      <w:r w:rsidR="002803CD" w:rsidRPr="00542EAE">
        <w:rPr>
          <w:rFonts w:cs="Arial"/>
          <w:szCs w:val="22"/>
          <w:lang w:eastAsia="en-AU"/>
        </w:rPr>
        <w:t>;</w:t>
      </w:r>
    </w:p>
    <w:p w14:paraId="2F5751A8" w14:textId="77777777" w:rsidR="00542EAE" w:rsidRPr="00542EAE" w:rsidRDefault="00542EAE" w:rsidP="009B7D06">
      <w:pPr>
        <w:pStyle w:val="ListParagraph"/>
        <w:ind w:left="1080"/>
        <w:jc w:val="both"/>
        <w:rPr>
          <w:rFonts w:cs="Arial"/>
          <w:szCs w:val="22"/>
          <w:lang w:eastAsia="en-AU"/>
        </w:rPr>
      </w:pPr>
    </w:p>
    <w:p w14:paraId="43E475D2" w14:textId="77777777" w:rsidR="00B151B3" w:rsidRPr="00B151B3" w:rsidRDefault="00B151B3" w:rsidP="00006FCC">
      <w:pPr>
        <w:pStyle w:val="ListParagraph"/>
        <w:numPr>
          <w:ilvl w:val="0"/>
          <w:numId w:val="21"/>
        </w:numPr>
        <w:jc w:val="both"/>
        <w:rPr>
          <w:rFonts w:cs="Arial"/>
          <w:szCs w:val="22"/>
          <w:lang w:eastAsia="en-AU"/>
        </w:rPr>
      </w:pPr>
      <w:r w:rsidRPr="00B151B3">
        <w:rPr>
          <w:rFonts w:cs="Arial"/>
          <w:szCs w:val="22"/>
          <w:lang w:eastAsia="en-AU"/>
        </w:rPr>
        <w:t>death benefits provide dependants with a capital sum to make up for the loss of the member’s future income.</w:t>
      </w:r>
    </w:p>
    <w:p w14:paraId="2E88C053" w14:textId="77777777" w:rsidR="00B151B3" w:rsidRDefault="00B151B3" w:rsidP="006F26D3">
      <w:pPr>
        <w:jc w:val="both"/>
        <w:rPr>
          <w:rFonts w:cs="Arial"/>
          <w:szCs w:val="22"/>
          <w:lang w:eastAsia="en-AU"/>
        </w:rPr>
      </w:pPr>
    </w:p>
    <w:p w14:paraId="4F46EB1F" w14:textId="77777777" w:rsidR="00B151B3" w:rsidRPr="00B151B3" w:rsidRDefault="00422D7C" w:rsidP="006F26D3">
      <w:pPr>
        <w:jc w:val="both"/>
        <w:rPr>
          <w:rFonts w:cs="Arial"/>
          <w:szCs w:val="22"/>
          <w:lang w:eastAsia="en-AU"/>
        </w:rPr>
      </w:pPr>
      <w:r>
        <w:rPr>
          <w:rFonts w:cs="Arial"/>
          <w:szCs w:val="22"/>
          <w:lang w:eastAsia="en-AU"/>
        </w:rPr>
        <w:t xml:space="preserve">QSuper </w:t>
      </w:r>
      <w:r w:rsidR="00B151B3" w:rsidRPr="00B151B3">
        <w:rPr>
          <w:rFonts w:cs="Arial"/>
          <w:szCs w:val="22"/>
          <w:lang w:eastAsia="en-AU"/>
        </w:rPr>
        <w:t xml:space="preserve">recognises that younger members are unlikely to require a high level of death cover (as there will be limited dependency at the younger ages) and provides a lower level of death cover than TPD cover to members under age 21. Default death cover increases automatically and without the need for underwriting at age 21. </w:t>
      </w:r>
    </w:p>
    <w:p w14:paraId="6EB6DC3A" w14:textId="77777777" w:rsidR="00B151B3" w:rsidRDefault="00B151B3" w:rsidP="00B151B3">
      <w:pPr>
        <w:rPr>
          <w:rFonts w:cs="Arial"/>
          <w:szCs w:val="22"/>
          <w:lang w:eastAsia="en-AU"/>
        </w:rPr>
      </w:pPr>
    </w:p>
    <w:p w14:paraId="782B8059" w14:textId="77777777" w:rsidR="00B151B3" w:rsidRPr="00B151B3" w:rsidRDefault="00422D7C" w:rsidP="006F26D3">
      <w:pPr>
        <w:jc w:val="both"/>
        <w:rPr>
          <w:rFonts w:cs="Arial"/>
          <w:szCs w:val="22"/>
          <w:lang w:eastAsia="en-AU"/>
        </w:rPr>
      </w:pPr>
      <w:r>
        <w:rPr>
          <w:rFonts w:cs="Arial"/>
          <w:szCs w:val="22"/>
          <w:lang w:eastAsia="en-AU"/>
        </w:rPr>
        <w:t>We acknowledge</w:t>
      </w:r>
      <w:r w:rsidR="00B151B3" w:rsidRPr="00B151B3">
        <w:rPr>
          <w:rFonts w:cs="Arial"/>
          <w:szCs w:val="22"/>
          <w:lang w:eastAsia="en-AU"/>
        </w:rPr>
        <w:t xml:space="preserve"> that younger members with dependants have a higher need for both lump sum death and TPD cover than older members given the longer duration of family dependency in the event of death or permanent disablement. However, data is not currently available to support further segmentation of the default design to provide </w:t>
      </w:r>
      <w:r w:rsidR="00233539" w:rsidRPr="00B151B3">
        <w:rPr>
          <w:rFonts w:cs="Arial"/>
          <w:szCs w:val="22"/>
          <w:lang w:eastAsia="en-AU"/>
        </w:rPr>
        <w:t xml:space="preserve">different levels of cover </w:t>
      </w:r>
      <w:r w:rsidR="00233539">
        <w:rPr>
          <w:rFonts w:cs="Arial"/>
          <w:szCs w:val="22"/>
          <w:lang w:eastAsia="en-AU"/>
        </w:rPr>
        <w:t xml:space="preserve">to </w:t>
      </w:r>
      <w:r w:rsidR="00B151B3" w:rsidRPr="00B151B3">
        <w:rPr>
          <w:rFonts w:cs="Arial"/>
          <w:szCs w:val="22"/>
          <w:lang w:eastAsia="en-AU"/>
        </w:rPr>
        <w:t xml:space="preserve">younger members with dependants.   </w:t>
      </w:r>
    </w:p>
    <w:p w14:paraId="37E7CA19" w14:textId="77777777" w:rsidR="00B151B3" w:rsidRDefault="00B151B3" w:rsidP="006F26D3">
      <w:pPr>
        <w:jc w:val="both"/>
        <w:rPr>
          <w:rFonts w:cs="Arial"/>
          <w:szCs w:val="22"/>
          <w:lang w:eastAsia="en-AU"/>
        </w:rPr>
      </w:pPr>
    </w:p>
    <w:p w14:paraId="5240ECFC" w14:textId="77777777" w:rsidR="00B151B3" w:rsidRPr="00B151B3" w:rsidRDefault="00422D7C" w:rsidP="006F26D3">
      <w:pPr>
        <w:jc w:val="both"/>
        <w:rPr>
          <w:rFonts w:cs="Arial"/>
          <w:szCs w:val="22"/>
          <w:lang w:eastAsia="en-AU"/>
        </w:rPr>
      </w:pPr>
      <w:r>
        <w:rPr>
          <w:rFonts w:cs="Arial"/>
          <w:szCs w:val="22"/>
          <w:lang w:eastAsia="en-AU"/>
        </w:rPr>
        <w:t xml:space="preserve">Consistent with our </w:t>
      </w:r>
      <w:r w:rsidR="0026512B">
        <w:rPr>
          <w:rFonts w:cs="Arial"/>
          <w:szCs w:val="22"/>
          <w:lang w:eastAsia="en-AU"/>
        </w:rPr>
        <w:t xml:space="preserve">philosophy of </w:t>
      </w:r>
      <w:r>
        <w:rPr>
          <w:rFonts w:cs="Arial"/>
          <w:szCs w:val="22"/>
          <w:lang w:eastAsia="en-AU"/>
        </w:rPr>
        <w:t xml:space="preserve">recognising </w:t>
      </w:r>
      <w:r w:rsidR="0026512B">
        <w:rPr>
          <w:rFonts w:cs="Arial"/>
          <w:szCs w:val="22"/>
          <w:lang w:eastAsia="en-AU"/>
        </w:rPr>
        <w:t xml:space="preserve">the </w:t>
      </w:r>
      <w:r w:rsidR="00B151B3" w:rsidRPr="00B151B3">
        <w:rPr>
          <w:rFonts w:cs="Arial"/>
          <w:szCs w:val="22"/>
          <w:lang w:eastAsia="en-AU"/>
        </w:rPr>
        <w:t xml:space="preserve">changing needs of members throughout their lifetime, </w:t>
      </w:r>
      <w:r w:rsidR="0026512B">
        <w:rPr>
          <w:rFonts w:cs="Arial"/>
          <w:szCs w:val="22"/>
          <w:lang w:eastAsia="en-AU"/>
        </w:rPr>
        <w:t xml:space="preserve">we </w:t>
      </w:r>
      <w:r w:rsidR="00B151B3" w:rsidRPr="00B151B3">
        <w:rPr>
          <w:rFonts w:cs="Arial"/>
          <w:szCs w:val="22"/>
          <w:lang w:eastAsia="en-AU"/>
        </w:rPr>
        <w:t>change</w:t>
      </w:r>
      <w:r w:rsidR="0026512B">
        <w:rPr>
          <w:rFonts w:cs="Arial"/>
          <w:szCs w:val="22"/>
          <w:lang w:eastAsia="en-AU"/>
        </w:rPr>
        <w:t xml:space="preserve"> </w:t>
      </w:r>
      <w:r w:rsidR="00B151B3" w:rsidRPr="00B151B3">
        <w:rPr>
          <w:rFonts w:cs="Arial"/>
          <w:szCs w:val="22"/>
          <w:lang w:eastAsia="en-AU"/>
        </w:rPr>
        <w:t xml:space="preserve">the level of default death and TPD cover with age.  </w:t>
      </w:r>
    </w:p>
    <w:p w14:paraId="1FD05977" w14:textId="77777777" w:rsidR="00B151B3" w:rsidRDefault="00B151B3" w:rsidP="006F26D3">
      <w:pPr>
        <w:jc w:val="both"/>
        <w:rPr>
          <w:rFonts w:cs="Arial"/>
          <w:szCs w:val="22"/>
          <w:lang w:eastAsia="en-AU"/>
        </w:rPr>
      </w:pPr>
    </w:p>
    <w:p w14:paraId="1704DC83" w14:textId="77777777" w:rsidR="00B151B3" w:rsidRPr="00233539" w:rsidRDefault="00B151B3" w:rsidP="006F26D3">
      <w:pPr>
        <w:jc w:val="both"/>
        <w:rPr>
          <w:rFonts w:cs="Arial"/>
          <w:szCs w:val="22"/>
          <w:lang w:eastAsia="en-AU"/>
        </w:rPr>
      </w:pPr>
      <w:r w:rsidRPr="00B151B3">
        <w:rPr>
          <w:rFonts w:cs="Arial"/>
          <w:szCs w:val="22"/>
          <w:lang w:eastAsia="en-AU"/>
        </w:rPr>
        <w:t>It should be noted that QSuper allows members to personalise their insurance cover and a member can elect to unbundle death and TPD cover and hold death only, TPD only or any combination of death and TPD cover.</w:t>
      </w:r>
    </w:p>
    <w:p w14:paraId="308C3C7F" w14:textId="77777777" w:rsidR="0077261A" w:rsidRDefault="0077261A" w:rsidP="00233539">
      <w:pPr>
        <w:rPr>
          <w:rFonts w:cs="Arial"/>
          <w:i/>
          <w:szCs w:val="22"/>
          <w:highlight w:val="yellow"/>
          <w:u w:val="single"/>
          <w:lang w:eastAsia="en-AU"/>
        </w:rPr>
      </w:pPr>
      <w:r>
        <w:rPr>
          <w:noProof/>
          <w:lang w:eastAsia="en-AU"/>
        </w:rPr>
        <mc:AlternateContent>
          <mc:Choice Requires="wps">
            <w:drawing>
              <wp:anchor distT="45720" distB="45720" distL="114300" distR="114300" simplePos="0" relativeHeight="251667456" behindDoc="0" locked="0" layoutInCell="1" allowOverlap="1" wp14:anchorId="6801E6B9" wp14:editId="2BFD44F0">
                <wp:simplePos x="0" y="0"/>
                <wp:positionH relativeFrom="margin">
                  <wp:posOffset>0</wp:posOffset>
                </wp:positionH>
                <wp:positionV relativeFrom="paragraph">
                  <wp:posOffset>205740</wp:posOffset>
                </wp:positionV>
                <wp:extent cx="5708650" cy="1404620"/>
                <wp:effectExtent l="0" t="0" r="25400" b="2667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ysClr val="window" lastClr="FFFFFF">
                            <a:lumMod val="95000"/>
                          </a:sysClr>
                        </a:solidFill>
                        <a:ln w="9525">
                          <a:solidFill>
                            <a:srgbClr val="000000"/>
                          </a:solidFill>
                          <a:miter lim="800000"/>
                          <a:headEnd/>
                          <a:tailEnd/>
                        </a:ln>
                      </wps:spPr>
                      <wps:txbx>
                        <w:txbxContent>
                          <w:p w14:paraId="7CCFAD54" w14:textId="77777777" w:rsidR="00127153" w:rsidRPr="004C79AA" w:rsidRDefault="00127153" w:rsidP="0077261A">
                            <w:pPr>
                              <w:rPr>
                                <w:u w:val="single"/>
                              </w:rPr>
                            </w:pPr>
                            <w:r>
                              <w:rPr>
                                <w:u w:val="single"/>
                              </w:rPr>
                              <w:t>Draft F</w:t>
                            </w:r>
                            <w:r w:rsidRPr="004C79AA">
                              <w:rPr>
                                <w:u w:val="single"/>
                              </w:rPr>
                              <w:t>inding</w:t>
                            </w:r>
                            <w:r>
                              <w:rPr>
                                <w:u w:val="single"/>
                              </w:rPr>
                              <w:t xml:space="preserve"> 8.2:</w:t>
                            </w:r>
                          </w:p>
                          <w:p w14:paraId="46396454" w14:textId="77777777" w:rsidR="00127153" w:rsidRPr="004E487C" w:rsidRDefault="00127153" w:rsidP="004E487C">
                            <w:pPr>
                              <w:rPr>
                                <w:i/>
                                <w:iCs/>
                              </w:rPr>
                            </w:pPr>
                            <w:r w:rsidRPr="004E487C">
                              <w:rPr>
                                <w:i/>
                                <w:iCs/>
                              </w:rPr>
                              <w:t>In terms of premiums paid, default insurance in superannuation offers good value for many, but not for al</w:t>
                            </w:r>
                            <w:r>
                              <w:rPr>
                                <w:i/>
                                <w:iCs/>
                              </w:rPr>
                              <w:t>l</w:t>
                            </w:r>
                            <w:r w:rsidRPr="004E487C">
                              <w:rPr>
                                <w:i/>
                                <w:iCs/>
                              </w:rPr>
                              <w:t xml:space="preserve"> members. For some members, insurance in superannuation is of little or no value — either because it is ill suited to their needs or because they are not able to claim against the policy. Income protection insurance and unintended multiple insurance policies are the main culprits for policies of low or no value to members.</w:t>
                            </w:r>
                          </w:p>
                          <w:p w14:paraId="22CACB40" w14:textId="77777777" w:rsidR="00127153" w:rsidRDefault="00127153" w:rsidP="0077261A">
                            <w:pPr>
                              <w:rPr>
                                <w:i/>
                                <w:iCs/>
                              </w:rPr>
                            </w:pPr>
                            <w:r w:rsidRPr="004E487C">
                              <w:rPr>
                                <w:i/>
                                <w:iCs/>
                              </w:rPr>
                              <w:t>Younger members and those with intermittent labour force attachment — groups which commonly have lower incomes — are more likely to have policies of low or no value to them.</w:t>
                            </w:r>
                          </w:p>
                          <w:p w14:paraId="58E41CD5" w14:textId="77777777" w:rsidR="00127153" w:rsidRDefault="00127153" w:rsidP="0077261A"/>
                          <w:p w14:paraId="4232F544" w14:textId="77777777" w:rsidR="00127153" w:rsidRPr="000B6B48" w:rsidRDefault="00127153" w:rsidP="0077261A">
                            <w:pPr>
                              <w:rPr>
                                <w:u w:val="single"/>
                              </w:rPr>
                            </w:pPr>
                            <w:r w:rsidRPr="000B6B48">
                              <w:rPr>
                                <w:u w:val="single"/>
                              </w:rPr>
                              <w:t>Information Request</w:t>
                            </w:r>
                            <w:r>
                              <w:rPr>
                                <w:u w:val="single"/>
                              </w:rPr>
                              <w:t xml:space="preserve"> 8.2</w:t>
                            </w:r>
                            <w:r w:rsidRPr="000B6B48">
                              <w:rPr>
                                <w:u w:val="single"/>
                              </w:rPr>
                              <w:t>:</w:t>
                            </w:r>
                          </w:p>
                          <w:p w14:paraId="37F7FC08" w14:textId="77777777" w:rsidR="00127153" w:rsidRDefault="00127153" w:rsidP="004E487C">
                            <w:r w:rsidRPr="004E487C">
                              <w:rPr>
                                <w:i/>
                                <w:iCs/>
                              </w:rPr>
                              <w:t>What is the value for money case for income protection insurance being provided on an opt out basis in MySuper products?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01E6B9" id="Text Box 9" o:spid="_x0000_s1030" type="#_x0000_t202" style="position:absolute;margin-left:0;margin-top:16.2pt;width:449.5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osYQwIAAH0EAAAOAAAAZHJzL2Uyb0RvYy54bWysVMFu2zAMvQ/YPwi6r3aCpG2MOkXXLsOA&#10;rhvQ7gMYWY6FSaImKbGzrx8lJ1m63Yb5IEgi9Ui+R/rmdjCa7aQPCm3NJxclZ9IKbJTd1Pzby+rd&#10;NWchgm1Ao5U138vAb5dv39z0rpJT7FA30jMCsaHqXc27GF1VFEF00kC4QCctGVv0BiId/aZoPPSE&#10;bnQxLcvLokffOI9ChkC3D6ORLzN+20oRv7RtkJHpmlNuMa8+r+u0FssbqDYeXKfEIQ34hywMKEtB&#10;T1APEIFtvfoLyijhMWAbLwSaAttWCZlroGom5R/VPHfgZK6FyAnuRFP4f7DiaffVM9XUfMGZBUMS&#10;vcghsvc4sEVip3ehIqdnR25xoGtSOVca3COK74FZvO/AbuSd99h3EhrKbpJeFmdPR5yQQNb9Z2wo&#10;DGwjZqCh9SZRR2QwQieV9idlUiqCLudX5fXlnEyCbJNZObucZu0KqI7PnQ/xo0TD0qbmnqTP8LB7&#10;DDGlA9XRJUULqFWzUlrnwz7ca892QF1CzdVgz5mGEOmy5qv8ZSy9NZT86LeYl+Uxh5Df5xivcLVl&#10;PTE7n85Hyl7F9Jv1KShBnaGduxkVaUC0MjW/PjlBlYj+YJvcvhGUHvdUo7YH5hPZI+1xWA9Z4tlR&#10;0DU2e5LC4zgPNL+06dD/5KynWah5+LEFL4mET5bkXExmszQ8+TCbXxH3zJ9b1ucWsIKgah45G7f3&#10;MQ9cJtrdkewrlQVJ/TFmckiZejxzeJjHNETn5+z1+6+x/AUAAP//AwBQSwMEFAAGAAgAAAAhAN4f&#10;L7vbAAAABwEAAA8AAABkcnMvZG93bnJldi54bWxMj8FOwzAQRO9I/IO1SFwQdZqWqAnZVAEB9xQ+&#10;wI2XJGCvo9hNw99jTvS4M6OZt+V+sUbMNPnBMcJ6lYAgbp0euEP4eH+934HwQbFWxjEh/JCHfXV9&#10;VapCuzM3NB9CJ2IJ+0Ih9CGMhZS+7ckqv3IjcfQ+3WRViOfUST2pcyy3RqZJkkmrBo4LvRrpuaf2&#10;+3CyCOPLl8zf7tjoum4y2pqn9Tw3iLc3S/0IItAS/sPwhx/RoYpMR3di7YVBiI8EhE26BRHdXZ5H&#10;4YiQPmwykFUpL/mrXwAAAP//AwBQSwECLQAUAAYACAAAACEAtoM4kv4AAADhAQAAEwAAAAAAAAAA&#10;AAAAAAAAAAAAW0NvbnRlbnRfVHlwZXNdLnhtbFBLAQItABQABgAIAAAAIQA4/SH/1gAAAJQBAAAL&#10;AAAAAAAAAAAAAAAAAC8BAABfcmVscy8ucmVsc1BLAQItABQABgAIAAAAIQBgJosYQwIAAH0EAAAO&#10;AAAAAAAAAAAAAAAAAC4CAABkcnMvZTJvRG9jLnhtbFBLAQItABQABgAIAAAAIQDeHy+72wAAAAcB&#10;AAAPAAAAAAAAAAAAAAAAAJ0EAABkcnMvZG93bnJldi54bWxQSwUGAAAAAAQABADzAAAApQUAAAAA&#10;" fillcolor="#f2f2f2">
                <v:textbox style="mso-fit-shape-to-text:t">
                  <w:txbxContent>
                    <w:p w14:paraId="7CCFAD54" w14:textId="77777777" w:rsidR="00127153" w:rsidRPr="004C79AA" w:rsidRDefault="00127153" w:rsidP="0077261A">
                      <w:pPr>
                        <w:rPr>
                          <w:u w:val="single"/>
                        </w:rPr>
                      </w:pPr>
                      <w:r>
                        <w:rPr>
                          <w:u w:val="single"/>
                        </w:rPr>
                        <w:t>Draft F</w:t>
                      </w:r>
                      <w:r w:rsidRPr="004C79AA">
                        <w:rPr>
                          <w:u w:val="single"/>
                        </w:rPr>
                        <w:t>inding</w:t>
                      </w:r>
                      <w:r>
                        <w:rPr>
                          <w:u w:val="single"/>
                        </w:rPr>
                        <w:t xml:space="preserve"> 8.2:</w:t>
                      </w:r>
                    </w:p>
                    <w:p w14:paraId="46396454" w14:textId="77777777" w:rsidR="00127153" w:rsidRPr="004E487C" w:rsidRDefault="00127153" w:rsidP="004E487C">
                      <w:pPr>
                        <w:rPr>
                          <w:i/>
                          <w:iCs/>
                        </w:rPr>
                      </w:pPr>
                      <w:r w:rsidRPr="004E487C">
                        <w:rPr>
                          <w:i/>
                          <w:iCs/>
                        </w:rPr>
                        <w:t>In terms of premiums paid, default insurance in superannuation offers good value for many, but not for al</w:t>
                      </w:r>
                      <w:r>
                        <w:rPr>
                          <w:i/>
                          <w:iCs/>
                        </w:rPr>
                        <w:t>l</w:t>
                      </w:r>
                      <w:r w:rsidRPr="004E487C">
                        <w:rPr>
                          <w:i/>
                          <w:iCs/>
                        </w:rPr>
                        <w:t xml:space="preserve"> members. For some members, insurance in superannuation is of little or no value — either because it is ill suited to their needs or because they are not able to claim against the policy. Income protection insurance and unintended multiple insurance policies are the main culprits for policies of low or no value to members.</w:t>
                      </w:r>
                    </w:p>
                    <w:p w14:paraId="22CACB40" w14:textId="77777777" w:rsidR="00127153" w:rsidRDefault="00127153" w:rsidP="0077261A">
                      <w:pPr>
                        <w:rPr>
                          <w:i/>
                          <w:iCs/>
                        </w:rPr>
                      </w:pPr>
                      <w:r w:rsidRPr="004E487C">
                        <w:rPr>
                          <w:i/>
                          <w:iCs/>
                        </w:rPr>
                        <w:t>Younger members and those with intermittent labour force attachment — groups which commonly have lower incomes — are more likely to have policies of low or no value to them.</w:t>
                      </w:r>
                    </w:p>
                    <w:p w14:paraId="58E41CD5" w14:textId="77777777" w:rsidR="00127153" w:rsidRDefault="00127153" w:rsidP="0077261A"/>
                    <w:p w14:paraId="4232F544" w14:textId="77777777" w:rsidR="00127153" w:rsidRPr="000B6B48" w:rsidRDefault="00127153" w:rsidP="0077261A">
                      <w:pPr>
                        <w:rPr>
                          <w:u w:val="single"/>
                        </w:rPr>
                      </w:pPr>
                      <w:r w:rsidRPr="000B6B48">
                        <w:rPr>
                          <w:u w:val="single"/>
                        </w:rPr>
                        <w:t>Information Request</w:t>
                      </w:r>
                      <w:r>
                        <w:rPr>
                          <w:u w:val="single"/>
                        </w:rPr>
                        <w:t xml:space="preserve"> 8.2</w:t>
                      </w:r>
                      <w:r w:rsidRPr="000B6B48">
                        <w:rPr>
                          <w:u w:val="single"/>
                        </w:rPr>
                        <w:t>:</w:t>
                      </w:r>
                    </w:p>
                    <w:p w14:paraId="37F7FC08" w14:textId="77777777" w:rsidR="00127153" w:rsidRDefault="00127153" w:rsidP="004E487C">
                      <w:r w:rsidRPr="004E487C">
                        <w:rPr>
                          <w:i/>
                          <w:iCs/>
                        </w:rPr>
                        <w:t xml:space="preserve">What is the value for money case for income protection insurance being provided on an opt out basis in </w:t>
                      </w:r>
                      <w:proofErr w:type="spellStart"/>
                      <w:r w:rsidRPr="004E487C">
                        <w:rPr>
                          <w:i/>
                          <w:iCs/>
                        </w:rPr>
                        <w:t>MySuper</w:t>
                      </w:r>
                      <w:proofErr w:type="spellEnd"/>
                      <w:r w:rsidRPr="004E487C">
                        <w:rPr>
                          <w:i/>
                          <w:iCs/>
                        </w:rPr>
                        <w:t xml:space="preserve"> products?</w:t>
                      </w:r>
                    </w:p>
                  </w:txbxContent>
                </v:textbox>
                <w10:wrap type="square" anchorx="margin"/>
              </v:shape>
            </w:pict>
          </mc:Fallback>
        </mc:AlternateContent>
      </w:r>
    </w:p>
    <w:p w14:paraId="0EF9A2BD" w14:textId="77777777" w:rsidR="00233539" w:rsidRPr="008A2546" w:rsidRDefault="0026512B" w:rsidP="006F26D3">
      <w:pPr>
        <w:jc w:val="both"/>
        <w:rPr>
          <w:rFonts w:cs="Arial"/>
          <w:szCs w:val="22"/>
          <w:lang w:eastAsia="en-AU"/>
        </w:rPr>
      </w:pPr>
      <w:r>
        <w:rPr>
          <w:rFonts w:cs="Arial"/>
          <w:szCs w:val="22"/>
          <w:lang w:eastAsia="en-AU"/>
        </w:rPr>
        <w:t xml:space="preserve">QSuper recognises the </w:t>
      </w:r>
      <w:r w:rsidRPr="003E2ACB">
        <w:rPr>
          <w:rFonts w:cs="Arial"/>
          <w:szCs w:val="22"/>
          <w:lang w:eastAsia="en-AU"/>
        </w:rPr>
        <w:t>benefits</w:t>
      </w:r>
      <w:r w:rsidRPr="0026512B">
        <w:rPr>
          <w:rFonts w:cs="Arial"/>
          <w:szCs w:val="22"/>
          <w:lang w:eastAsia="en-AU"/>
        </w:rPr>
        <w:t xml:space="preserve"> </w:t>
      </w:r>
      <w:r>
        <w:rPr>
          <w:rFonts w:cs="Arial"/>
          <w:szCs w:val="22"/>
          <w:lang w:eastAsia="en-AU"/>
        </w:rPr>
        <w:t xml:space="preserve">of </w:t>
      </w:r>
      <w:r w:rsidR="009A66B6">
        <w:rPr>
          <w:rFonts w:cs="Arial"/>
          <w:szCs w:val="22"/>
          <w:lang w:eastAsia="en-AU"/>
        </w:rPr>
        <w:t>I</w:t>
      </w:r>
      <w:r w:rsidR="00233539" w:rsidRPr="008A2546">
        <w:rPr>
          <w:rFonts w:cs="Arial"/>
          <w:szCs w:val="22"/>
          <w:lang w:eastAsia="en-AU"/>
        </w:rPr>
        <w:t xml:space="preserve">ncome </w:t>
      </w:r>
      <w:r w:rsidR="009A66B6">
        <w:rPr>
          <w:rFonts w:cs="Arial"/>
          <w:szCs w:val="22"/>
          <w:lang w:eastAsia="en-AU"/>
        </w:rPr>
        <w:t>P</w:t>
      </w:r>
      <w:r w:rsidR="00233539" w:rsidRPr="008A2546">
        <w:rPr>
          <w:rFonts w:cs="Arial"/>
          <w:szCs w:val="22"/>
          <w:lang w:eastAsia="en-AU"/>
        </w:rPr>
        <w:t>rotection</w:t>
      </w:r>
      <w:r w:rsidR="009A66B6">
        <w:rPr>
          <w:rFonts w:cs="Arial"/>
          <w:szCs w:val="22"/>
          <w:lang w:eastAsia="en-AU"/>
        </w:rPr>
        <w:t xml:space="preserve"> (IP)</w:t>
      </w:r>
      <w:r w:rsidR="00233539" w:rsidRPr="008A2546">
        <w:rPr>
          <w:rFonts w:cs="Arial"/>
          <w:szCs w:val="22"/>
          <w:lang w:eastAsia="en-AU"/>
        </w:rPr>
        <w:t xml:space="preserve"> </w:t>
      </w:r>
      <w:r>
        <w:rPr>
          <w:rFonts w:cs="Arial"/>
          <w:szCs w:val="22"/>
          <w:lang w:eastAsia="en-AU"/>
        </w:rPr>
        <w:t xml:space="preserve">insurance </w:t>
      </w:r>
      <w:r w:rsidR="00233539" w:rsidRPr="008A2546">
        <w:rPr>
          <w:rFonts w:cs="Arial"/>
          <w:szCs w:val="22"/>
          <w:lang w:eastAsia="en-AU"/>
        </w:rPr>
        <w:t xml:space="preserve">within superannuation supporting members who have their work interrupted or ceased due to injury or illness. </w:t>
      </w:r>
    </w:p>
    <w:p w14:paraId="19E4F4E5" w14:textId="77777777" w:rsidR="00233539" w:rsidRPr="008A2546" w:rsidRDefault="00233539" w:rsidP="006F26D3">
      <w:pPr>
        <w:jc w:val="both"/>
        <w:rPr>
          <w:rFonts w:cs="Arial"/>
          <w:szCs w:val="22"/>
          <w:lang w:eastAsia="en-AU"/>
        </w:rPr>
      </w:pPr>
    </w:p>
    <w:p w14:paraId="7F93AC8F" w14:textId="77777777" w:rsidR="00233539" w:rsidRPr="008A2546" w:rsidRDefault="00233539" w:rsidP="006F26D3">
      <w:pPr>
        <w:jc w:val="both"/>
        <w:rPr>
          <w:rFonts w:cs="Arial"/>
          <w:szCs w:val="22"/>
          <w:lang w:eastAsia="en-AU"/>
        </w:rPr>
      </w:pPr>
      <w:r w:rsidRPr="008A2546">
        <w:rPr>
          <w:rFonts w:cs="Arial"/>
          <w:szCs w:val="22"/>
          <w:lang w:eastAsia="en-AU"/>
        </w:rPr>
        <w:t>Where a member is disabled as a result of injury or illness, the ability to meet living expenses and maintain retirement funding is interrupted.</w:t>
      </w:r>
    </w:p>
    <w:p w14:paraId="5F4FF311" w14:textId="77777777" w:rsidR="00233539" w:rsidRPr="008A2546" w:rsidRDefault="00233539" w:rsidP="006F26D3">
      <w:pPr>
        <w:jc w:val="both"/>
        <w:rPr>
          <w:rFonts w:cs="Arial"/>
          <w:szCs w:val="22"/>
          <w:lang w:eastAsia="en-AU"/>
        </w:rPr>
      </w:pPr>
    </w:p>
    <w:p w14:paraId="192CBC9A" w14:textId="77777777" w:rsidR="00233539" w:rsidRPr="008A2546" w:rsidRDefault="0026512B" w:rsidP="006F26D3">
      <w:pPr>
        <w:jc w:val="both"/>
        <w:rPr>
          <w:rFonts w:cs="Arial"/>
          <w:szCs w:val="22"/>
          <w:lang w:eastAsia="en-AU"/>
        </w:rPr>
      </w:pPr>
      <w:r>
        <w:rPr>
          <w:rFonts w:cs="Arial"/>
          <w:szCs w:val="22"/>
          <w:lang w:eastAsia="en-AU"/>
        </w:rPr>
        <w:t>However, t</w:t>
      </w:r>
      <w:r w:rsidR="00233539" w:rsidRPr="008A2546">
        <w:rPr>
          <w:rFonts w:cs="Arial"/>
          <w:szCs w:val="22"/>
          <w:lang w:eastAsia="en-AU"/>
        </w:rPr>
        <w:t xml:space="preserve">he social security system has limited capacity to provide income replacement due to injury or illness. Members on low incomes (eg. </w:t>
      </w:r>
      <w:r w:rsidR="00542EAE">
        <w:rPr>
          <w:rFonts w:cs="Arial"/>
          <w:szCs w:val="22"/>
          <w:lang w:eastAsia="en-AU"/>
        </w:rPr>
        <w:t>c</w:t>
      </w:r>
      <w:r w:rsidR="00233539" w:rsidRPr="008A2546">
        <w:rPr>
          <w:rFonts w:cs="Arial"/>
          <w:szCs w:val="22"/>
          <w:lang w:eastAsia="en-AU"/>
        </w:rPr>
        <w:t>asual/part-time) may often be precluded from entitlements where they have a partner who is also working</w:t>
      </w:r>
      <w:r w:rsidR="00B76BD3">
        <w:rPr>
          <w:rFonts w:cs="Arial"/>
          <w:szCs w:val="22"/>
          <w:lang w:eastAsia="en-AU"/>
        </w:rPr>
        <w:t xml:space="preserve">, despite the fact </w:t>
      </w:r>
      <w:r w:rsidR="00233539" w:rsidRPr="008A2546">
        <w:rPr>
          <w:rFonts w:cs="Arial"/>
          <w:szCs w:val="22"/>
          <w:lang w:eastAsia="en-AU"/>
        </w:rPr>
        <w:t>their income may be fundamental to the family unit</w:t>
      </w:r>
      <w:r w:rsidR="00CD2BE4">
        <w:rPr>
          <w:rFonts w:cs="Arial"/>
          <w:szCs w:val="22"/>
          <w:lang w:eastAsia="en-AU"/>
        </w:rPr>
        <w:t>’</w:t>
      </w:r>
      <w:r w:rsidR="00233539" w:rsidRPr="008A2546">
        <w:rPr>
          <w:rFonts w:cs="Arial"/>
          <w:szCs w:val="22"/>
          <w:lang w:eastAsia="en-AU"/>
        </w:rPr>
        <w:t>s financial wellbeing</w:t>
      </w:r>
      <w:r w:rsidR="00E60CBB">
        <w:rPr>
          <w:rFonts w:cs="Arial"/>
          <w:szCs w:val="22"/>
          <w:lang w:eastAsia="en-AU"/>
        </w:rPr>
        <w:t>.</w:t>
      </w:r>
    </w:p>
    <w:p w14:paraId="644C2939" w14:textId="77777777" w:rsidR="00233539" w:rsidRPr="008A2546" w:rsidRDefault="00233539" w:rsidP="006F26D3">
      <w:pPr>
        <w:jc w:val="both"/>
        <w:rPr>
          <w:rFonts w:cs="Arial"/>
          <w:szCs w:val="22"/>
          <w:lang w:eastAsia="en-AU"/>
        </w:rPr>
      </w:pPr>
    </w:p>
    <w:p w14:paraId="58D66245" w14:textId="77777777" w:rsidR="00233539" w:rsidRPr="008A2546" w:rsidRDefault="00233539" w:rsidP="006F26D3">
      <w:pPr>
        <w:jc w:val="both"/>
        <w:rPr>
          <w:rFonts w:cs="Arial"/>
          <w:szCs w:val="22"/>
          <w:lang w:eastAsia="en-AU"/>
        </w:rPr>
      </w:pPr>
      <w:r w:rsidRPr="008A2546">
        <w:rPr>
          <w:rFonts w:cs="Arial"/>
          <w:szCs w:val="22"/>
          <w:lang w:eastAsia="en-AU"/>
        </w:rPr>
        <w:t xml:space="preserve">Financial hardship </w:t>
      </w:r>
      <w:r w:rsidR="00B76BD3">
        <w:rPr>
          <w:rFonts w:cs="Arial"/>
          <w:szCs w:val="22"/>
          <w:lang w:eastAsia="en-AU"/>
        </w:rPr>
        <w:t xml:space="preserve">further </w:t>
      </w:r>
      <w:r w:rsidRPr="008A2546">
        <w:rPr>
          <w:rFonts w:cs="Arial"/>
          <w:szCs w:val="22"/>
          <w:lang w:eastAsia="en-AU"/>
        </w:rPr>
        <w:t xml:space="preserve">contributes to disability through increased anxiety/depression and other social impacts (marriage breakdowns etc) often impacting the ability for the member to recover, thereby </w:t>
      </w:r>
      <w:r w:rsidR="00CD2BE4">
        <w:rPr>
          <w:rFonts w:cs="Arial"/>
          <w:szCs w:val="22"/>
          <w:lang w:eastAsia="en-AU"/>
        </w:rPr>
        <w:t xml:space="preserve">further </w:t>
      </w:r>
      <w:r w:rsidRPr="008A2546">
        <w:rPr>
          <w:rFonts w:cs="Arial"/>
          <w:szCs w:val="22"/>
          <w:lang w:eastAsia="en-AU"/>
        </w:rPr>
        <w:t>impacting retirement funding and increasing the level of TPD incidence.</w:t>
      </w:r>
    </w:p>
    <w:p w14:paraId="3384E6DB" w14:textId="77777777" w:rsidR="00233539" w:rsidRPr="008A2546" w:rsidRDefault="00233539" w:rsidP="006F26D3">
      <w:pPr>
        <w:jc w:val="both"/>
        <w:rPr>
          <w:rFonts w:cs="Arial"/>
          <w:szCs w:val="22"/>
          <w:lang w:eastAsia="en-AU"/>
        </w:rPr>
      </w:pPr>
    </w:p>
    <w:p w14:paraId="0C9927B8" w14:textId="77777777" w:rsidR="00233539" w:rsidRPr="008A2546" w:rsidRDefault="00B76BD3" w:rsidP="006F26D3">
      <w:pPr>
        <w:jc w:val="both"/>
        <w:rPr>
          <w:rFonts w:cs="Arial"/>
          <w:szCs w:val="22"/>
          <w:lang w:eastAsia="en-AU"/>
        </w:rPr>
      </w:pPr>
      <w:r>
        <w:rPr>
          <w:rFonts w:cs="Arial"/>
          <w:szCs w:val="22"/>
          <w:lang w:eastAsia="en-AU"/>
        </w:rPr>
        <w:t>However, a</w:t>
      </w:r>
      <w:r w:rsidR="00233539" w:rsidRPr="008A2546">
        <w:rPr>
          <w:rFonts w:cs="Arial"/>
          <w:szCs w:val="22"/>
          <w:lang w:eastAsia="en-AU"/>
        </w:rPr>
        <w:t>ccess to adequate financial resources in the event of ill</w:t>
      </w:r>
      <w:r w:rsidR="00DC216F">
        <w:rPr>
          <w:rFonts w:cs="Arial"/>
          <w:szCs w:val="22"/>
          <w:lang w:eastAsia="en-AU"/>
        </w:rPr>
        <w:t>-</w:t>
      </w:r>
      <w:r w:rsidR="00233539" w:rsidRPr="008A2546">
        <w:rPr>
          <w:rFonts w:cs="Arial"/>
          <w:szCs w:val="22"/>
          <w:lang w:eastAsia="en-AU"/>
        </w:rPr>
        <w:t>health assists members to improve their wellbeing. Replacement of lost income can be used to fund medical treatment and other healthy lifestyle expenditure which speeds recovery and/or reduces the risk of further health deterioration.</w:t>
      </w:r>
    </w:p>
    <w:p w14:paraId="6A956E3F" w14:textId="77777777" w:rsidR="00233539" w:rsidRPr="008A2546" w:rsidRDefault="00233539" w:rsidP="006F26D3">
      <w:pPr>
        <w:jc w:val="both"/>
        <w:rPr>
          <w:rFonts w:cs="Arial"/>
          <w:szCs w:val="22"/>
          <w:lang w:eastAsia="en-AU"/>
        </w:rPr>
      </w:pPr>
    </w:p>
    <w:p w14:paraId="01B34DC4" w14:textId="77777777" w:rsidR="00233539" w:rsidRPr="008A2546" w:rsidRDefault="00B76BD3" w:rsidP="006F26D3">
      <w:pPr>
        <w:jc w:val="both"/>
        <w:rPr>
          <w:rFonts w:cs="Arial"/>
          <w:szCs w:val="22"/>
          <w:lang w:eastAsia="en-AU"/>
        </w:rPr>
      </w:pPr>
      <w:r>
        <w:rPr>
          <w:rFonts w:cs="Arial"/>
          <w:szCs w:val="22"/>
          <w:lang w:eastAsia="en-AU"/>
        </w:rPr>
        <w:t>In QSuper’s view</w:t>
      </w:r>
      <w:r w:rsidR="00542EAE">
        <w:rPr>
          <w:rFonts w:cs="Arial"/>
          <w:szCs w:val="22"/>
          <w:lang w:eastAsia="en-AU"/>
        </w:rPr>
        <w:t>,</w:t>
      </w:r>
      <w:r>
        <w:rPr>
          <w:rFonts w:cs="Arial"/>
          <w:szCs w:val="22"/>
          <w:lang w:eastAsia="en-AU"/>
        </w:rPr>
        <w:t xml:space="preserve"> </w:t>
      </w:r>
      <w:r w:rsidR="00CB0BB5">
        <w:rPr>
          <w:rFonts w:cs="Arial"/>
          <w:szCs w:val="22"/>
          <w:lang w:eastAsia="en-AU"/>
        </w:rPr>
        <w:t>IP</w:t>
      </w:r>
      <w:r w:rsidR="00233539" w:rsidRPr="008A2546">
        <w:rPr>
          <w:rFonts w:cs="Arial"/>
          <w:szCs w:val="22"/>
          <w:lang w:eastAsia="en-AU"/>
        </w:rPr>
        <w:t xml:space="preserve"> benefits can meet the need of both total but temporary disability and total and permanent disability (providing a replacement income stream) by payments to make up for lost income and </w:t>
      </w:r>
      <w:r>
        <w:rPr>
          <w:rFonts w:cs="Arial"/>
          <w:szCs w:val="22"/>
          <w:lang w:eastAsia="en-AU"/>
        </w:rPr>
        <w:t>b</w:t>
      </w:r>
      <w:r w:rsidR="00233539" w:rsidRPr="008A2546">
        <w:rPr>
          <w:rFonts w:cs="Arial"/>
          <w:szCs w:val="22"/>
          <w:lang w:eastAsia="en-AU"/>
        </w:rPr>
        <w:t>y making superannuation contributions to ensure long term savings continue to accrue.</w:t>
      </w:r>
    </w:p>
    <w:p w14:paraId="56BB1ABD" w14:textId="77777777" w:rsidR="00233539" w:rsidRPr="008A2546" w:rsidRDefault="00233539" w:rsidP="006F26D3">
      <w:pPr>
        <w:jc w:val="both"/>
        <w:rPr>
          <w:rFonts w:cs="Arial"/>
          <w:szCs w:val="22"/>
          <w:lang w:eastAsia="en-AU"/>
        </w:rPr>
      </w:pPr>
    </w:p>
    <w:p w14:paraId="62FDA9E4" w14:textId="77777777" w:rsidR="00233539" w:rsidRPr="008A2546" w:rsidRDefault="00B76BD3" w:rsidP="006F26D3">
      <w:pPr>
        <w:jc w:val="both"/>
        <w:rPr>
          <w:rFonts w:cs="Arial"/>
          <w:szCs w:val="22"/>
          <w:lang w:eastAsia="en-AU"/>
        </w:rPr>
      </w:pPr>
      <w:r>
        <w:rPr>
          <w:rFonts w:cs="Arial"/>
          <w:szCs w:val="22"/>
          <w:lang w:eastAsia="en-AU"/>
        </w:rPr>
        <w:t xml:space="preserve">Further, </w:t>
      </w:r>
      <w:r w:rsidR="000E15AE">
        <w:rPr>
          <w:rFonts w:cs="Arial"/>
          <w:szCs w:val="22"/>
          <w:lang w:eastAsia="en-AU"/>
        </w:rPr>
        <w:t>IP</w:t>
      </w:r>
      <w:r w:rsidR="00233539" w:rsidRPr="008A2546">
        <w:rPr>
          <w:rFonts w:cs="Arial"/>
          <w:szCs w:val="22"/>
          <w:lang w:eastAsia="en-AU"/>
        </w:rPr>
        <w:t xml:space="preserve"> provides the opportunity for early intervention to assist the member’s recovery while maintaining their retirement funding. It is widely recognised that early intervention significantly improves claim outcomes for returning a member to health and work and that a delay in intervention contributes to an increased likelihood of TPD. </w:t>
      </w:r>
    </w:p>
    <w:p w14:paraId="386B6985" w14:textId="77777777" w:rsidR="00B76BD3" w:rsidRDefault="00B76BD3" w:rsidP="006F26D3">
      <w:pPr>
        <w:jc w:val="both"/>
        <w:rPr>
          <w:rFonts w:cs="Arial"/>
          <w:szCs w:val="22"/>
          <w:lang w:eastAsia="en-AU"/>
        </w:rPr>
      </w:pPr>
    </w:p>
    <w:p w14:paraId="0BBBD70E" w14:textId="77777777" w:rsidR="00233539" w:rsidRPr="008A2546" w:rsidRDefault="00233539" w:rsidP="006F26D3">
      <w:pPr>
        <w:jc w:val="both"/>
        <w:rPr>
          <w:rFonts w:cs="Arial"/>
          <w:szCs w:val="22"/>
          <w:lang w:eastAsia="en-AU"/>
        </w:rPr>
      </w:pPr>
      <w:r w:rsidRPr="008A2546">
        <w:rPr>
          <w:rFonts w:cs="Arial"/>
          <w:szCs w:val="22"/>
          <w:lang w:eastAsia="en-AU"/>
        </w:rPr>
        <w:lastRenderedPageBreak/>
        <w:t xml:space="preserve">Members who return to work as a result of </w:t>
      </w:r>
      <w:r w:rsidR="000E15AE">
        <w:rPr>
          <w:rFonts w:cs="Arial"/>
          <w:szCs w:val="22"/>
          <w:lang w:eastAsia="en-AU"/>
        </w:rPr>
        <w:t>IP</w:t>
      </w:r>
      <w:r w:rsidRPr="008A2546">
        <w:rPr>
          <w:rFonts w:cs="Arial"/>
          <w:szCs w:val="22"/>
          <w:lang w:eastAsia="en-AU"/>
        </w:rPr>
        <w:t xml:space="preserve"> claims management support are able to continue independently funding their retirement. The additional retirement funding generated over the member’s working life is a benefit generated from </w:t>
      </w:r>
      <w:r w:rsidR="000E15AE">
        <w:rPr>
          <w:rFonts w:cs="Arial"/>
          <w:szCs w:val="22"/>
          <w:lang w:eastAsia="en-AU"/>
        </w:rPr>
        <w:t>IP</w:t>
      </w:r>
      <w:r w:rsidRPr="008A2546">
        <w:rPr>
          <w:rFonts w:cs="Arial"/>
          <w:szCs w:val="22"/>
          <w:lang w:eastAsia="en-AU"/>
        </w:rPr>
        <w:t xml:space="preserve"> cover in addition to the income protection payments made from the insurance.</w:t>
      </w:r>
    </w:p>
    <w:p w14:paraId="4035EF5B" w14:textId="77777777" w:rsidR="000816C9" w:rsidRPr="008A2546" w:rsidRDefault="000816C9" w:rsidP="006F26D3">
      <w:pPr>
        <w:jc w:val="both"/>
        <w:rPr>
          <w:rFonts w:cs="Arial"/>
          <w:szCs w:val="22"/>
          <w:lang w:eastAsia="en-AU"/>
        </w:rPr>
      </w:pPr>
    </w:p>
    <w:p w14:paraId="17E02911" w14:textId="77777777" w:rsidR="00233539" w:rsidRPr="008A2546" w:rsidRDefault="00233539" w:rsidP="006F26D3">
      <w:pPr>
        <w:jc w:val="both"/>
        <w:rPr>
          <w:rFonts w:cs="Arial"/>
          <w:szCs w:val="22"/>
          <w:lang w:eastAsia="en-AU"/>
        </w:rPr>
      </w:pPr>
      <w:r w:rsidRPr="008A2546">
        <w:rPr>
          <w:rFonts w:cs="Arial"/>
          <w:szCs w:val="22"/>
          <w:lang w:eastAsia="en-AU"/>
        </w:rPr>
        <w:t xml:space="preserve">QSuper’s </w:t>
      </w:r>
      <w:r w:rsidR="00BF3D31" w:rsidRPr="008A2546">
        <w:rPr>
          <w:rFonts w:cs="Arial"/>
          <w:szCs w:val="22"/>
          <w:lang w:eastAsia="en-AU"/>
        </w:rPr>
        <w:t xml:space="preserve">default product protects retirement adequacy through a combination of death cover, </w:t>
      </w:r>
      <w:r w:rsidR="000E15AE">
        <w:rPr>
          <w:rFonts w:cs="Arial"/>
          <w:szCs w:val="22"/>
          <w:lang w:eastAsia="en-AU"/>
        </w:rPr>
        <w:t>IP</w:t>
      </w:r>
      <w:r w:rsidR="00BF3D31" w:rsidRPr="008A2546">
        <w:rPr>
          <w:rFonts w:cs="Arial"/>
          <w:szCs w:val="22"/>
          <w:lang w:eastAsia="en-AU"/>
        </w:rPr>
        <w:t xml:space="preserve"> cover and TPD cover </w:t>
      </w:r>
      <w:r w:rsidR="00BF3D31">
        <w:rPr>
          <w:rFonts w:cs="Arial"/>
          <w:szCs w:val="22"/>
          <w:lang w:eastAsia="en-AU"/>
        </w:rPr>
        <w:t>while providing</w:t>
      </w:r>
      <w:r w:rsidRPr="008A2546">
        <w:rPr>
          <w:rFonts w:cs="Arial"/>
          <w:szCs w:val="22"/>
          <w:lang w:eastAsia="en-AU"/>
        </w:rPr>
        <w:t xml:space="preserve"> full flexibility for members to personalise cover to their own specific needs.</w:t>
      </w:r>
      <w:r w:rsidR="00342EC8">
        <w:rPr>
          <w:rFonts w:cs="Arial"/>
          <w:szCs w:val="22"/>
          <w:lang w:eastAsia="en-AU"/>
        </w:rPr>
        <w:t xml:space="preserve"> </w:t>
      </w:r>
      <w:r w:rsidR="00BF3D31">
        <w:rPr>
          <w:rFonts w:cs="Arial"/>
          <w:szCs w:val="22"/>
          <w:lang w:eastAsia="en-AU"/>
        </w:rPr>
        <w:t>I</w:t>
      </w:r>
      <w:r w:rsidRPr="008A2546">
        <w:rPr>
          <w:rFonts w:cs="Arial"/>
          <w:szCs w:val="22"/>
          <w:lang w:eastAsia="en-AU"/>
        </w:rPr>
        <w:t xml:space="preserve">ncome protection and TPD benefits </w:t>
      </w:r>
      <w:r w:rsidR="00BF3D31">
        <w:rPr>
          <w:rFonts w:cs="Arial"/>
          <w:szCs w:val="22"/>
          <w:lang w:eastAsia="en-AU"/>
        </w:rPr>
        <w:t xml:space="preserve">are integrated </w:t>
      </w:r>
      <w:r w:rsidRPr="008A2546">
        <w:rPr>
          <w:rFonts w:cs="Arial"/>
          <w:szCs w:val="22"/>
          <w:lang w:eastAsia="en-AU"/>
        </w:rPr>
        <w:t>with the default IP benefit ceasing in the event a member is paid a TPD benefit. The integrated model recognises that:</w:t>
      </w:r>
    </w:p>
    <w:p w14:paraId="0D9434D7" w14:textId="77777777" w:rsidR="00755550" w:rsidRDefault="00755550" w:rsidP="006F26D3">
      <w:pPr>
        <w:ind w:left="720"/>
        <w:jc w:val="both"/>
        <w:rPr>
          <w:rFonts w:cs="Arial"/>
          <w:szCs w:val="22"/>
          <w:lang w:eastAsia="en-AU"/>
        </w:rPr>
      </w:pPr>
    </w:p>
    <w:p w14:paraId="09BBD069" w14:textId="77777777" w:rsidR="00233539" w:rsidRPr="00946D48" w:rsidRDefault="00233539" w:rsidP="009B7D06">
      <w:pPr>
        <w:pStyle w:val="ListParagraph"/>
        <w:numPr>
          <w:ilvl w:val="0"/>
          <w:numId w:val="23"/>
        </w:numPr>
        <w:jc w:val="both"/>
        <w:rPr>
          <w:rFonts w:cs="Arial"/>
          <w:szCs w:val="22"/>
          <w:lang w:eastAsia="en-AU"/>
        </w:rPr>
      </w:pPr>
      <w:r w:rsidRPr="007D78DC">
        <w:rPr>
          <w:rFonts w:cs="Arial"/>
          <w:szCs w:val="22"/>
          <w:lang w:eastAsia="en-AU"/>
        </w:rPr>
        <w:t>determining whether a condition is total and permanent is often difficult and requires time for recovery, for the condition to be appropri</w:t>
      </w:r>
      <w:r w:rsidRPr="0038374C">
        <w:rPr>
          <w:rFonts w:cs="Arial"/>
          <w:szCs w:val="22"/>
          <w:lang w:eastAsia="en-AU"/>
        </w:rPr>
        <w:t xml:space="preserve">ately treated and return to work opportunities explored and supported; </w:t>
      </w:r>
    </w:p>
    <w:p w14:paraId="0536F762" w14:textId="77777777" w:rsidR="007D78DC" w:rsidRPr="00946D48" w:rsidRDefault="007D78DC" w:rsidP="009B7D06">
      <w:pPr>
        <w:pStyle w:val="ListParagraph"/>
        <w:ind w:left="1080"/>
        <w:jc w:val="both"/>
        <w:rPr>
          <w:rFonts w:cs="Arial"/>
          <w:szCs w:val="22"/>
          <w:lang w:eastAsia="en-AU"/>
        </w:rPr>
      </w:pPr>
    </w:p>
    <w:p w14:paraId="28BD16A9" w14:textId="77777777" w:rsidR="00233539" w:rsidRPr="009B7D06" w:rsidRDefault="00233539" w:rsidP="009B7D06">
      <w:pPr>
        <w:pStyle w:val="ListParagraph"/>
        <w:numPr>
          <w:ilvl w:val="0"/>
          <w:numId w:val="23"/>
        </w:numPr>
        <w:jc w:val="both"/>
        <w:rPr>
          <w:rFonts w:cs="Arial"/>
          <w:szCs w:val="22"/>
          <w:lang w:eastAsia="en-AU"/>
        </w:rPr>
      </w:pPr>
      <w:r w:rsidRPr="009B7D06">
        <w:rPr>
          <w:rFonts w:cs="Arial"/>
          <w:szCs w:val="22"/>
          <w:lang w:eastAsia="en-AU"/>
        </w:rPr>
        <w:t>financial stress is a significant contributor to poor return to health and work outcomes. I</w:t>
      </w:r>
      <w:r w:rsidR="001F4A44" w:rsidRPr="009B7D06">
        <w:rPr>
          <w:rFonts w:cs="Arial"/>
          <w:szCs w:val="22"/>
          <w:lang w:eastAsia="en-AU"/>
        </w:rPr>
        <w:t>P</w:t>
      </w:r>
      <w:r w:rsidRPr="009B7D06">
        <w:rPr>
          <w:rFonts w:cs="Arial"/>
          <w:szCs w:val="22"/>
          <w:lang w:eastAsia="en-AU"/>
        </w:rPr>
        <w:t xml:space="preserve"> supports members during their recovery reducing financial stress and continuing the retirement funding through payment of superannuation contributions;</w:t>
      </w:r>
    </w:p>
    <w:p w14:paraId="791B23BD" w14:textId="77777777" w:rsidR="007D78DC" w:rsidRPr="009B7D06" w:rsidRDefault="007D78DC" w:rsidP="009B7D06">
      <w:pPr>
        <w:jc w:val="both"/>
        <w:rPr>
          <w:rFonts w:cs="Arial"/>
          <w:szCs w:val="22"/>
          <w:lang w:eastAsia="en-AU"/>
        </w:rPr>
      </w:pPr>
    </w:p>
    <w:p w14:paraId="2136FB67" w14:textId="77777777" w:rsidR="00233539" w:rsidRPr="009B7D06" w:rsidRDefault="001F4A44" w:rsidP="009B7D06">
      <w:pPr>
        <w:pStyle w:val="ListParagraph"/>
        <w:numPr>
          <w:ilvl w:val="0"/>
          <w:numId w:val="23"/>
        </w:numPr>
        <w:jc w:val="both"/>
        <w:rPr>
          <w:rFonts w:cs="Arial"/>
          <w:szCs w:val="22"/>
          <w:lang w:eastAsia="en-AU"/>
        </w:rPr>
      </w:pPr>
      <w:r w:rsidRPr="009B7D06">
        <w:rPr>
          <w:rFonts w:cs="Arial"/>
          <w:szCs w:val="22"/>
          <w:lang w:eastAsia="en-AU"/>
        </w:rPr>
        <w:t>IP</w:t>
      </w:r>
      <w:r w:rsidR="00233539" w:rsidRPr="009B7D06">
        <w:rPr>
          <w:rFonts w:cs="Arial"/>
          <w:szCs w:val="22"/>
          <w:lang w:eastAsia="en-AU"/>
        </w:rPr>
        <w:t xml:space="preserve"> provides the opportunity to support return to work initiatives, enabling the insurer to support rehabilitation and retraining where appropriate to improve claims management outcomes, improving member self-funding of retirement benefits and reducing the incidence of TPD. There are other socio-economic benefits from returning members to health and work;</w:t>
      </w:r>
    </w:p>
    <w:p w14:paraId="55576E11" w14:textId="77777777" w:rsidR="007D78DC" w:rsidRPr="009B7D06" w:rsidRDefault="007D78DC" w:rsidP="009B7D06">
      <w:pPr>
        <w:pStyle w:val="ListParagraph"/>
        <w:ind w:left="1080"/>
        <w:jc w:val="both"/>
        <w:rPr>
          <w:rFonts w:cs="Arial"/>
          <w:szCs w:val="22"/>
          <w:lang w:eastAsia="en-AU"/>
        </w:rPr>
      </w:pPr>
    </w:p>
    <w:p w14:paraId="16265F3D" w14:textId="1DB8A098" w:rsidR="007D78DC" w:rsidRPr="009B7D06" w:rsidRDefault="00DE3362" w:rsidP="009B7D06">
      <w:pPr>
        <w:pStyle w:val="ListParagraph"/>
        <w:numPr>
          <w:ilvl w:val="0"/>
          <w:numId w:val="23"/>
        </w:numPr>
        <w:jc w:val="both"/>
        <w:rPr>
          <w:rFonts w:cs="Arial"/>
          <w:szCs w:val="22"/>
          <w:lang w:eastAsia="en-AU"/>
        </w:rPr>
      </w:pPr>
      <w:r w:rsidRPr="009B7D06">
        <w:rPr>
          <w:rFonts w:cs="Arial"/>
          <w:szCs w:val="22"/>
          <w:lang w:eastAsia="en-AU"/>
        </w:rPr>
        <w:t>i</w:t>
      </w:r>
      <w:r w:rsidR="00233539" w:rsidRPr="009B7D06">
        <w:rPr>
          <w:rFonts w:cs="Arial"/>
          <w:szCs w:val="22"/>
          <w:lang w:eastAsia="en-AU"/>
        </w:rPr>
        <w:t xml:space="preserve">n response to deteriorating TPD experience, on 1 July 2014 QSuper introduced an increased focus on return </w:t>
      </w:r>
      <w:r w:rsidR="00946993" w:rsidRPr="009B7D06">
        <w:rPr>
          <w:rFonts w:cs="Arial"/>
          <w:szCs w:val="22"/>
          <w:lang w:eastAsia="en-AU"/>
        </w:rPr>
        <w:t xml:space="preserve">to work </w:t>
      </w:r>
      <w:r w:rsidR="00233539" w:rsidRPr="009B7D06">
        <w:rPr>
          <w:rFonts w:cs="Arial"/>
          <w:szCs w:val="22"/>
          <w:lang w:eastAsia="en-AU"/>
        </w:rPr>
        <w:t xml:space="preserve">outcomes within </w:t>
      </w:r>
      <w:r w:rsidR="001F4A44" w:rsidRPr="009B7D06">
        <w:rPr>
          <w:rFonts w:cs="Arial"/>
          <w:szCs w:val="22"/>
          <w:lang w:eastAsia="en-AU"/>
        </w:rPr>
        <w:t>IP</w:t>
      </w:r>
      <w:r w:rsidR="00233539" w:rsidRPr="009B7D06">
        <w:rPr>
          <w:rFonts w:cs="Arial"/>
          <w:szCs w:val="22"/>
          <w:lang w:eastAsia="en-AU"/>
        </w:rPr>
        <w:t xml:space="preserve"> claims management. and</w:t>
      </w:r>
    </w:p>
    <w:p w14:paraId="59207190" w14:textId="77777777" w:rsidR="00233539" w:rsidRPr="009B7D06" w:rsidRDefault="00233539" w:rsidP="009B7D06">
      <w:pPr>
        <w:pStyle w:val="ListParagraph"/>
        <w:ind w:left="1080"/>
        <w:jc w:val="both"/>
        <w:rPr>
          <w:rFonts w:cs="Arial"/>
          <w:szCs w:val="22"/>
          <w:lang w:eastAsia="en-AU"/>
        </w:rPr>
      </w:pPr>
    </w:p>
    <w:p w14:paraId="4CB18950" w14:textId="77777777" w:rsidR="000816C9" w:rsidRPr="008A2546" w:rsidRDefault="00DE3362" w:rsidP="00006FCC">
      <w:pPr>
        <w:pStyle w:val="ListParagraph"/>
        <w:numPr>
          <w:ilvl w:val="0"/>
          <w:numId w:val="23"/>
        </w:numPr>
        <w:jc w:val="both"/>
        <w:rPr>
          <w:rFonts w:cs="Arial"/>
          <w:szCs w:val="22"/>
          <w:lang w:eastAsia="en-AU"/>
        </w:rPr>
      </w:pPr>
      <w:r>
        <w:rPr>
          <w:rFonts w:cs="Arial"/>
          <w:szCs w:val="22"/>
          <w:lang w:eastAsia="en-AU"/>
        </w:rPr>
        <w:t>w</w:t>
      </w:r>
      <w:r w:rsidR="00233539" w:rsidRPr="008A2546">
        <w:rPr>
          <w:rFonts w:cs="Arial"/>
          <w:szCs w:val="22"/>
          <w:lang w:eastAsia="en-AU"/>
        </w:rPr>
        <w:t xml:space="preserve">here a member is unsuccessful in returning to health and work, the </w:t>
      </w:r>
      <w:r w:rsidR="001F4A44">
        <w:rPr>
          <w:rFonts w:cs="Arial"/>
          <w:szCs w:val="22"/>
          <w:lang w:eastAsia="en-AU"/>
        </w:rPr>
        <w:t>IP</w:t>
      </w:r>
      <w:r w:rsidR="00233539" w:rsidRPr="008A2546">
        <w:rPr>
          <w:rFonts w:cs="Arial"/>
          <w:szCs w:val="22"/>
          <w:lang w:eastAsia="en-AU"/>
        </w:rPr>
        <w:t xml:space="preserve"> benefit has essentially provided a retirement benefit meeting living costs and additional retirement funding (additional superannuation contributions).</w:t>
      </w:r>
    </w:p>
    <w:p w14:paraId="425751AF" w14:textId="77777777" w:rsidR="00552132" w:rsidRDefault="00552132" w:rsidP="0077667A">
      <w:pPr>
        <w:jc w:val="both"/>
        <w:rPr>
          <w:rFonts w:cs="Arial"/>
          <w:szCs w:val="22"/>
          <w:lang w:eastAsia="en-AU"/>
        </w:rPr>
      </w:pPr>
    </w:p>
    <w:p w14:paraId="2AE58B48" w14:textId="3E734D51" w:rsidR="000816C9" w:rsidRPr="008A2546" w:rsidRDefault="00342EC8" w:rsidP="006F26D3">
      <w:pPr>
        <w:jc w:val="both"/>
        <w:rPr>
          <w:rFonts w:cs="Arial"/>
          <w:szCs w:val="22"/>
          <w:lang w:eastAsia="en-AU"/>
        </w:rPr>
      </w:pPr>
      <w:r>
        <w:rPr>
          <w:rFonts w:cs="Arial"/>
          <w:szCs w:val="22"/>
          <w:lang w:eastAsia="en-AU"/>
        </w:rPr>
        <w:t>To complement</w:t>
      </w:r>
      <w:r w:rsidR="000816C9" w:rsidRPr="008A2546">
        <w:rPr>
          <w:rFonts w:cs="Arial"/>
          <w:szCs w:val="22"/>
          <w:lang w:eastAsia="en-AU"/>
        </w:rPr>
        <w:t xml:space="preserve"> the return to work focus, </w:t>
      </w:r>
      <w:r>
        <w:rPr>
          <w:rFonts w:cs="Arial"/>
          <w:szCs w:val="22"/>
          <w:lang w:eastAsia="en-AU"/>
        </w:rPr>
        <w:t xml:space="preserve">QSuper commenced </w:t>
      </w:r>
      <w:r w:rsidR="000816C9" w:rsidRPr="008A2546">
        <w:rPr>
          <w:rFonts w:cs="Arial"/>
          <w:szCs w:val="22"/>
          <w:lang w:eastAsia="en-AU"/>
        </w:rPr>
        <w:t>holistic claims management during the second half of 2016</w:t>
      </w:r>
      <w:r>
        <w:rPr>
          <w:rFonts w:cs="Arial"/>
          <w:szCs w:val="22"/>
          <w:lang w:eastAsia="en-AU"/>
        </w:rPr>
        <w:t xml:space="preserve">. </w:t>
      </w:r>
      <w:r w:rsidR="000816C9" w:rsidRPr="008A2546">
        <w:rPr>
          <w:rFonts w:cs="Arial"/>
          <w:szCs w:val="22"/>
          <w:lang w:eastAsia="en-AU"/>
        </w:rPr>
        <w:t xml:space="preserve">This approach is characterised by early and ongoing engagement with the member, their employer and allied health professionals </w:t>
      </w:r>
      <w:r w:rsidR="00D97D2E">
        <w:rPr>
          <w:rFonts w:cs="Arial"/>
          <w:szCs w:val="22"/>
          <w:lang w:eastAsia="en-AU"/>
        </w:rPr>
        <w:t>and c</w:t>
      </w:r>
      <w:r w:rsidR="000816C9" w:rsidRPr="008A2546">
        <w:rPr>
          <w:rFonts w:cs="Arial"/>
          <w:szCs w:val="22"/>
          <w:lang w:eastAsia="en-AU"/>
        </w:rPr>
        <w:t>onsiders functional, biopsychosocial, occupational and medical factors to optimise member outcomes.</w:t>
      </w:r>
    </w:p>
    <w:p w14:paraId="6FB6C7BD" w14:textId="77777777" w:rsidR="0045351D" w:rsidRDefault="0045351D" w:rsidP="008A7DB2">
      <w:pPr>
        <w:pStyle w:val="QNormal"/>
        <w:rPr>
          <w:i/>
          <w:highlight w:val="yellow"/>
        </w:rPr>
      </w:pPr>
      <w:r>
        <w:rPr>
          <w:noProof/>
          <w:lang w:eastAsia="en-AU"/>
        </w:rPr>
        <mc:AlternateContent>
          <mc:Choice Requires="wps">
            <w:drawing>
              <wp:anchor distT="45720" distB="45720" distL="114300" distR="114300" simplePos="0" relativeHeight="251669504" behindDoc="0" locked="0" layoutInCell="1" allowOverlap="1" wp14:anchorId="6C9E51F5" wp14:editId="10BB1752">
                <wp:simplePos x="0" y="0"/>
                <wp:positionH relativeFrom="margin">
                  <wp:posOffset>0</wp:posOffset>
                </wp:positionH>
                <wp:positionV relativeFrom="paragraph">
                  <wp:posOffset>365125</wp:posOffset>
                </wp:positionV>
                <wp:extent cx="5708650" cy="1404620"/>
                <wp:effectExtent l="0" t="0" r="25400" b="2667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ysClr val="window" lastClr="FFFFFF">
                            <a:lumMod val="95000"/>
                          </a:sysClr>
                        </a:solidFill>
                        <a:ln w="9525">
                          <a:solidFill>
                            <a:srgbClr val="000000"/>
                          </a:solidFill>
                          <a:miter lim="800000"/>
                          <a:headEnd/>
                          <a:tailEnd/>
                        </a:ln>
                      </wps:spPr>
                      <wps:txbx>
                        <w:txbxContent>
                          <w:p w14:paraId="10E09CA5" w14:textId="77777777" w:rsidR="00127153" w:rsidRPr="0037143D" w:rsidRDefault="00127153" w:rsidP="0045351D">
                            <w:pPr>
                              <w:rPr>
                                <w:u w:val="single"/>
                              </w:rPr>
                            </w:pPr>
                            <w:r>
                              <w:rPr>
                                <w:u w:val="single"/>
                              </w:rPr>
                              <w:t xml:space="preserve">Recommendation 16: </w:t>
                            </w:r>
                            <w:r w:rsidRPr="0045351D">
                              <w:rPr>
                                <w:u w:val="single"/>
                              </w:rPr>
                              <w:t>Insurance Balance Erosion Trade Offs</w:t>
                            </w:r>
                          </w:p>
                          <w:p w14:paraId="13E63358" w14:textId="77777777" w:rsidR="00127153" w:rsidRPr="0045351D" w:rsidRDefault="00127153" w:rsidP="0045351D">
                            <w:pPr>
                              <w:rPr>
                                <w:i/>
                              </w:rPr>
                            </w:pPr>
                            <w:r w:rsidRPr="0045351D">
                              <w:rPr>
                                <w:i/>
                              </w:rPr>
                              <w:t>APRA should immediately require the trustees of all APRA regulated superannuation funds to articulate and quantify the balance erosion trade off determination they have made for their members in relation to group insurance, and make it available on their website annually.</w:t>
                            </w:r>
                          </w:p>
                          <w:p w14:paraId="014C82CD" w14:textId="77777777" w:rsidR="00127153" w:rsidRDefault="00127153" w:rsidP="0045351D">
                            <w:r w:rsidRPr="0045351D">
                              <w:rPr>
                                <w:i/>
                              </w:rPr>
                              <w:t>As part of this, trustees should clearly articulate in their annual report why the level of default insurance premiums and cover chosen are in members’ best interests. Trustees should also be required to provide on their websites a simple calculator that members can use to estimate how insurance premiums impact their balances at retirement.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9E51F5" id="Text Box 10" o:spid="_x0000_s1031" type="#_x0000_t202" style="position:absolute;left:0;text-align:left;margin-left:0;margin-top:28.75pt;width:449.5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I0QwIAAH8EAAAOAAAAZHJzL2Uyb0RvYy54bWysVNtu2zAMfR+wfxD0vtoJ4l6MOkXXLsOA&#10;3YB2H8DIcixMEjVJiZ19/Sg5ydLtbZgfBImkDg8PRd/ejUaznfRBoW347KLkTFqBrbKbhn97Xr25&#10;5ixEsC1otLLhexn43fL1q9vB1XKOPepWekYgNtSDa3gfo6uLIoheGggX6KQlZ4feQKSj3xSth4HQ&#10;jS7mZXlZDOhb51HIEMj6ODn5MuN3nRTxS9cFGZluOHGLefV5Xae1WN5CvfHgeiUONOAfWBhQlpKe&#10;oB4hAtt69ReUUcJjwC5eCDQFdp0SMtdA1czKP6p56sHJXAuJE9xJpvD/YMXn3VfPVEu9I3ksGOrR&#10;sxwje4sjIxPpM7hQU9iTo8A4kp1ic63BfUTxPTCLDz3Yjbz3HodeQkv8ZulmcXZ1wgkJZD18wpby&#10;wDZiBho7b5J4JAcjdCKyP/UmcRFkrK7K68uKXIJ8s0W5uJxndgXUx+vOh/heomFp03BPzc/wsPsY&#10;YqID9TEkZQuoVbtSWufDPjxoz3ZA74SeV4sDZxpCJGPDV/nLWHpriPwUd1OV5ZFDyPdzjhe42rKh&#10;4TfVvJoke5HTb9anpAR1hnYeZlSkEdHKNPz6FAR1EvqdbfMDjqD0tKcatT0on8SeZI/jesxNro4N&#10;XWO7p1Z4nCaCJpg2PfqfnA00DQ0PP7bgJYnwwVI7b2aLRRqffFhUV6Q98+ee9bkHrCCohkfOpu1D&#10;zCOXhXb31PaVyg1J72NicqBMrzxreJjINEbn5xz1+7+x/AUAAP//AwBQSwMEFAAGAAgAAAAhAIIt&#10;9JDbAAAABwEAAA8AAABkcnMvZG93bnJldi54bWxMj81OwzAQhO9IvIO1SFwQdVrR5oc4VUDAPYUH&#10;cOMlCdjrKHbT8PYsJ3rcmdHMt+V+cVbMOIXBk4L1KgGB1HozUKfg4/31PgMRoiajrSdU8IMB9tX1&#10;VakL48/U4HyIneASCoVW0Mc4FlKGtkenw8qPSOx9+snpyOfUSTPpM5c7KzdJspNOD8QLvR7xucf2&#10;+3ByCsaXL5m/3ZE1dd3s8ME+ree5Uer2ZqkfQURc4n8Y/vAZHSpmOvoTmSCsAn4kKtimWxDsZnnO&#10;wlHBJs1SkFUpL/mrXwAAAP//AwBQSwECLQAUAAYACAAAACEAtoM4kv4AAADhAQAAEwAAAAAAAAAA&#10;AAAAAAAAAAAAW0NvbnRlbnRfVHlwZXNdLnhtbFBLAQItABQABgAIAAAAIQA4/SH/1gAAAJQBAAAL&#10;AAAAAAAAAAAAAAAAAC8BAABfcmVscy8ucmVsc1BLAQItABQABgAIAAAAIQCas/I0QwIAAH8EAAAO&#10;AAAAAAAAAAAAAAAAAC4CAABkcnMvZTJvRG9jLnhtbFBLAQItABQABgAIAAAAIQCCLfSQ2wAAAAcB&#10;AAAPAAAAAAAAAAAAAAAAAJ0EAABkcnMvZG93bnJldi54bWxQSwUGAAAAAAQABADzAAAApQUAAAAA&#10;" fillcolor="#f2f2f2">
                <v:textbox style="mso-fit-shape-to-text:t">
                  <w:txbxContent>
                    <w:p w14:paraId="10E09CA5" w14:textId="77777777" w:rsidR="00127153" w:rsidRPr="0037143D" w:rsidRDefault="00127153" w:rsidP="0045351D">
                      <w:pPr>
                        <w:rPr>
                          <w:u w:val="single"/>
                        </w:rPr>
                      </w:pPr>
                      <w:r>
                        <w:rPr>
                          <w:u w:val="single"/>
                        </w:rPr>
                        <w:t xml:space="preserve">Recommendation 16: </w:t>
                      </w:r>
                      <w:r w:rsidRPr="0045351D">
                        <w:rPr>
                          <w:u w:val="single"/>
                        </w:rPr>
                        <w:t>Insurance Balance Erosion Trade Offs</w:t>
                      </w:r>
                    </w:p>
                    <w:p w14:paraId="13E63358" w14:textId="77777777" w:rsidR="00127153" w:rsidRPr="0045351D" w:rsidRDefault="00127153" w:rsidP="0045351D">
                      <w:pPr>
                        <w:rPr>
                          <w:i/>
                        </w:rPr>
                      </w:pPr>
                      <w:r w:rsidRPr="0045351D">
                        <w:rPr>
                          <w:i/>
                        </w:rPr>
                        <w:t xml:space="preserve">APRA should immediately require the trustees of all APRA regulated superannuation funds to articulate and quantify the balance erosion trade off determination they have made for their members in relation to group </w:t>
                      </w:r>
                      <w:proofErr w:type="gramStart"/>
                      <w:r w:rsidRPr="0045351D">
                        <w:rPr>
                          <w:i/>
                        </w:rPr>
                        <w:t>insurance, and</w:t>
                      </w:r>
                      <w:proofErr w:type="gramEnd"/>
                      <w:r w:rsidRPr="0045351D">
                        <w:rPr>
                          <w:i/>
                        </w:rPr>
                        <w:t xml:space="preserve"> make it available on their website annually.</w:t>
                      </w:r>
                    </w:p>
                    <w:p w14:paraId="014C82CD" w14:textId="77777777" w:rsidR="00127153" w:rsidRDefault="00127153" w:rsidP="0045351D">
                      <w:r w:rsidRPr="0045351D">
                        <w:rPr>
                          <w:i/>
                        </w:rPr>
                        <w:t>As part of this, trustees should clearly articulate in their annual report why the level of default insurance premiums and cover chosen are in members’ best interests. Trustees should also be required to provide on their websites a simple calculator that members can use to estimate how insurance premiums impact their balances at retirement.</w:t>
                      </w:r>
                    </w:p>
                  </w:txbxContent>
                </v:textbox>
                <w10:wrap type="square" anchorx="margin"/>
              </v:shape>
            </w:pict>
          </mc:Fallback>
        </mc:AlternateContent>
      </w:r>
    </w:p>
    <w:p w14:paraId="70819646" w14:textId="77777777" w:rsidR="00D8205B" w:rsidRDefault="00D8205B" w:rsidP="00131D5C">
      <w:pPr>
        <w:pStyle w:val="QNormal"/>
        <w:spacing w:after="120"/>
      </w:pPr>
    </w:p>
    <w:p w14:paraId="52199492" w14:textId="036FBBBB" w:rsidR="00437878" w:rsidRDefault="00437878" w:rsidP="0077667A">
      <w:pPr>
        <w:pStyle w:val="QNormal"/>
      </w:pPr>
      <w:r>
        <w:t xml:space="preserve">In relation to insurance provided via superannuation, QSuper restates our contention, made in </w:t>
      </w:r>
      <w:r w:rsidR="006439DF">
        <w:t>previous</w:t>
      </w:r>
      <w:r>
        <w:t xml:space="preserve"> submissions to the Commission</w:t>
      </w:r>
      <w:r w:rsidR="00C508B6">
        <w:t xml:space="preserve"> </w:t>
      </w:r>
      <w:r>
        <w:t>a</w:t>
      </w:r>
      <w:r w:rsidR="006439DF">
        <w:t xml:space="preserve">s well as </w:t>
      </w:r>
      <w:r>
        <w:t>Government and industry consultations that:</w:t>
      </w:r>
    </w:p>
    <w:p w14:paraId="3A658912" w14:textId="77777777" w:rsidR="00437878" w:rsidRDefault="00437878" w:rsidP="009B7D06">
      <w:pPr>
        <w:pStyle w:val="QNormal"/>
        <w:numPr>
          <w:ilvl w:val="0"/>
          <w:numId w:val="24"/>
        </w:numPr>
        <w:spacing w:after="0"/>
      </w:pPr>
      <w:r>
        <w:lastRenderedPageBreak/>
        <w:t xml:space="preserve">Life insurance remains key to supporting member retirement adequacy; </w:t>
      </w:r>
    </w:p>
    <w:p w14:paraId="64483DD2" w14:textId="77777777" w:rsidR="00900E0C" w:rsidRDefault="00900E0C" w:rsidP="009B7D06">
      <w:pPr>
        <w:pStyle w:val="QNormal"/>
        <w:spacing w:after="0"/>
        <w:ind w:left="1080"/>
      </w:pPr>
    </w:p>
    <w:p w14:paraId="427889AA" w14:textId="77777777" w:rsidR="00900E0C" w:rsidRDefault="00437878" w:rsidP="009B7D06">
      <w:pPr>
        <w:pStyle w:val="QNormal"/>
        <w:numPr>
          <w:ilvl w:val="0"/>
          <w:numId w:val="24"/>
        </w:numPr>
        <w:spacing w:after="0"/>
      </w:pPr>
      <w:r>
        <w:t>Default insurance under group arrangements within superannuation remains an efficient mechanism to provide insurance, at value, to a large number of Australians</w:t>
      </w:r>
      <w:r w:rsidR="00900E0C">
        <w:t>;</w:t>
      </w:r>
      <w:r>
        <w:t xml:space="preserve"> and</w:t>
      </w:r>
    </w:p>
    <w:p w14:paraId="25461993" w14:textId="77777777" w:rsidR="00437878" w:rsidRDefault="00437878" w:rsidP="009B7D06">
      <w:pPr>
        <w:pStyle w:val="QNormal"/>
        <w:spacing w:after="0"/>
      </w:pPr>
    </w:p>
    <w:p w14:paraId="0D4FD593" w14:textId="301CB50C" w:rsidR="00437878" w:rsidRDefault="00437878" w:rsidP="00006FCC">
      <w:pPr>
        <w:pStyle w:val="QNormal"/>
        <w:numPr>
          <w:ilvl w:val="0"/>
          <w:numId w:val="24"/>
        </w:numPr>
        <w:spacing w:after="0"/>
      </w:pPr>
      <w:r>
        <w:t xml:space="preserve">To meet the </w:t>
      </w:r>
      <w:r w:rsidR="000B53DF">
        <w:t>t</w:t>
      </w:r>
      <w:r>
        <w:t>rustee’s fiduciary duty to act in members’ best interest, a meaningful level of default cover is essential.</w:t>
      </w:r>
    </w:p>
    <w:p w14:paraId="4AC13295" w14:textId="77777777" w:rsidR="00AD2F27" w:rsidRDefault="00AD2F27" w:rsidP="0080674C">
      <w:pPr>
        <w:pStyle w:val="ListParagraph"/>
      </w:pPr>
    </w:p>
    <w:p w14:paraId="70BE5139" w14:textId="77777777" w:rsidR="00F67515" w:rsidRDefault="00F67515" w:rsidP="002803CD">
      <w:pPr>
        <w:pStyle w:val="QNormal"/>
      </w:pPr>
      <w:r>
        <w:t>QSuper’s purpose statement is ‘to make every member confident that, with QSuper, they can look forward to their best years’. Central to this purpose is ensuring members are adequately funded for retirement, which we believe must include not only growing members’ retirement balances, but also protecting them, and their dependents, against the risks that could impact their retirement saving capability. This includes protection against loss of income due to injury, early disability or death.</w:t>
      </w:r>
    </w:p>
    <w:p w14:paraId="503EE267" w14:textId="77777777" w:rsidR="00F67515" w:rsidRDefault="00F67515" w:rsidP="002803CD">
      <w:pPr>
        <w:pStyle w:val="QNormal"/>
      </w:pPr>
      <w:r>
        <w:t xml:space="preserve">In this context, QSuper believes life insurance plays an important role in bridging the gap between a member’s retirement account today and their retirement ‘estimated future value’. Central to this is the provision of </w:t>
      </w:r>
      <w:r w:rsidR="00CF4E74">
        <w:t>i</w:t>
      </w:r>
      <w:r>
        <w:t xml:space="preserve">ncome </w:t>
      </w:r>
      <w:r w:rsidR="00CF4E74">
        <w:t>r</w:t>
      </w:r>
      <w:r>
        <w:t xml:space="preserve">eplacement benefits as this ‘protects’ members for periods where they are not able to earn an income. </w:t>
      </w:r>
    </w:p>
    <w:p w14:paraId="17807C70" w14:textId="585A4E65" w:rsidR="00F67515" w:rsidRDefault="00F67515" w:rsidP="002803CD">
      <w:pPr>
        <w:pStyle w:val="QNormal"/>
      </w:pPr>
      <w:r>
        <w:t xml:space="preserve">By nature, </w:t>
      </w:r>
      <w:r w:rsidR="000B53DF">
        <w:t>t</w:t>
      </w:r>
      <w:r>
        <w:t xml:space="preserve">rustees must strike a balance between providing adequate levels of insurance cover and the costs of this cover. </w:t>
      </w:r>
    </w:p>
    <w:p w14:paraId="37328132" w14:textId="1B7E6C02" w:rsidR="00F67515" w:rsidRDefault="00F67515" w:rsidP="00C508B6">
      <w:pPr>
        <w:pStyle w:val="QNormal"/>
      </w:pPr>
      <w:r>
        <w:t xml:space="preserve">Trustees have a fiduciary duty to act in the best interests of their members. QSuper believes that if </w:t>
      </w:r>
      <w:r w:rsidR="000B53DF">
        <w:t>t</w:t>
      </w:r>
      <w:r>
        <w:t xml:space="preserve">rustees are discharging their ‘best interests’ duty correctly, the adequacy of cover provided is an essential consideration and should not be overshadowed by a focus on cost alone. </w:t>
      </w:r>
    </w:p>
    <w:p w14:paraId="279330F5" w14:textId="77777777" w:rsidR="00F67515" w:rsidRDefault="00F67515" w:rsidP="00617626">
      <w:pPr>
        <w:pStyle w:val="QNormal"/>
      </w:pPr>
      <w:r>
        <w:t xml:space="preserve">This approach is central to QSuper’s philosophy on insurance, which promotes the provision of meaningful levels of default cover for members, supported by sustainable premiums and with the ability and support to personalise cover to meet individual circumstances. </w:t>
      </w:r>
    </w:p>
    <w:p w14:paraId="54CA0005" w14:textId="77777777" w:rsidR="00F67515" w:rsidRPr="00265641" w:rsidRDefault="00F67515" w:rsidP="00CD683C">
      <w:pPr>
        <w:pStyle w:val="QNormal"/>
        <w:rPr>
          <w:u w:val="single"/>
        </w:rPr>
      </w:pPr>
      <w:r w:rsidRPr="00265641">
        <w:rPr>
          <w:u w:val="single"/>
        </w:rPr>
        <w:t>Balance Erosion Trade-Off</w:t>
      </w:r>
    </w:p>
    <w:p w14:paraId="646F9190" w14:textId="77777777" w:rsidR="0045351D" w:rsidRDefault="00F67515" w:rsidP="004D72EF">
      <w:pPr>
        <w:pStyle w:val="QNormal"/>
      </w:pPr>
      <w:r>
        <w:t>To guide the development of insurance products for QSuper, the QSuper Board has defined and approved eight design principles</w:t>
      </w:r>
      <w:r w:rsidR="00BC6A99">
        <w:t>, including adequacy and affordability</w:t>
      </w:r>
      <w:r>
        <w:t>. In making any changes to QSuper insurance benefit design, the design principles are considered in the context of QSuper’s membership profile and needs.</w:t>
      </w:r>
      <w:r w:rsidR="00BB0095">
        <w:t xml:space="preserve"> </w:t>
      </w:r>
      <w:r w:rsidR="008E50CA">
        <w:t xml:space="preserve">An explanation of the application of the adequacy and affordability design principles follows.  </w:t>
      </w:r>
    </w:p>
    <w:p w14:paraId="273021AC" w14:textId="77777777" w:rsidR="00F67515" w:rsidRDefault="00F67515" w:rsidP="004D72EF">
      <w:pPr>
        <w:pStyle w:val="QNormal"/>
      </w:pPr>
      <w:r w:rsidRPr="00265641">
        <w:rPr>
          <w:i/>
        </w:rPr>
        <w:t>Adequacy</w:t>
      </w:r>
    </w:p>
    <w:p w14:paraId="7C888D96" w14:textId="77777777" w:rsidR="00F67515" w:rsidRDefault="00F67515" w:rsidP="00E13C07">
      <w:pPr>
        <w:pStyle w:val="QNormal"/>
      </w:pPr>
      <w:r>
        <w:t xml:space="preserve">QSuper believes meaningful cover includes integrated protection (Death, Total and Permanent Disability (TPD) and Income Protection (IP)) that appropriately supports members’ ability to return to health where possible, while not inappropriately eroding retirement balances. </w:t>
      </w:r>
    </w:p>
    <w:p w14:paraId="1DACA5FC" w14:textId="77777777" w:rsidR="00F67515" w:rsidRDefault="00BC6A99" w:rsidP="008C064A">
      <w:pPr>
        <w:pStyle w:val="QNormal"/>
      </w:pPr>
      <w:r>
        <w:t>As discussed above, t</w:t>
      </w:r>
      <w:r w:rsidR="00F67515">
        <w:t>his has resulted in QSuper implementing tailored, age-based default levels which provide for lower levels of coverage for younger members, increasing in years when members are likely to have material commitments and responsibilities, before reducing in older ages. This benefit design is complemented by a focus on return to health and income generation</w:t>
      </w:r>
      <w:r>
        <w:t>.</w:t>
      </w:r>
      <w:r w:rsidR="00F67515">
        <w:t xml:space="preserve"> QSuper therefore believes that meaningful cover must have reference to the </w:t>
      </w:r>
      <w:r w:rsidR="00F67515">
        <w:lastRenderedPageBreak/>
        <w:t xml:space="preserve">quantum of default levels of cover, the type, terms and conditions of the cover provided, where ‘value’, not cost is paramount. </w:t>
      </w:r>
    </w:p>
    <w:p w14:paraId="03687D02" w14:textId="77777777" w:rsidR="00F67515" w:rsidRDefault="00F67515" w:rsidP="00DA668A">
      <w:pPr>
        <w:pStyle w:val="QNormal"/>
      </w:pPr>
      <w:r>
        <w:t xml:space="preserve">This view is supported by the member research undertaken when designing </w:t>
      </w:r>
      <w:r w:rsidR="00BC6A99">
        <w:t>our</w:t>
      </w:r>
      <w:r>
        <w:t xml:space="preserve"> 2016 product in which members affirmed that:</w:t>
      </w:r>
    </w:p>
    <w:p w14:paraId="5A905BA4" w14:textId="70AEBC94" w:rsidR="00F67515" w:rsidRDefault="00F67515" w:rsidP="0017612A">
      <w:pPr>
        <w:pStyle w:val="ListParagraph"/>
        <w:numPr>
          <w:ilvl w:val="0"/>
          <w:numId w:val="25"/>
        </w:numPr>
        <w:jc w:val="both"/>
        <w:rPr>
          <w:rFonts w:cs="Arial"/>
          <w:szCs w:val="22"/>
          <w:lang w:eastAsia="en-AU"/>
        </w:rPr>
      </w:pPr>
      <w:r w:rsidRPr="0017612A">
        <w:rPr>
          <w:rFonts w:cs="Arial"/>
          <w:szCs w:val="22"/>
          <w:lang w:eastAsia="en-AU"/>
        </w:rPr>
        <w:t>The Trustee should determine the appropriate safety net of default cover</w:t>
      </w:r>
      <w:r w:rsidR="00D8205B">
        <w:rPr>
          <w:rFonts w:cs="Arial"/>
          <w:szCs w:val="22"/>
          <w:lang w:eastAsia="en-AU"/>
        </w:rPr>
        <w:t>;</w:t>
      </w:r>
    </w:p>
    <w:p w14:paraId="6F1878F8" w14:textId="77777777" w:rsidR="0017612A" w:rsidRPr="0017612A" w:rsidRDefault="0017612A" w:rsidP="0017612A">
      <w:pPr>
        <w:pStyle w:val="ListParagraph"/>
        <w:jc w:val="both"/>
        <w:rPr>
          <w:rFonts w:cs="Arial"/>
          <w:szCs w:val="22"/>
          <w:lang w:eastAsia="en-AU"/>
        </w:rPr>
      </w:pPr>
    </w:p>
    <w:p w14:paraId="18E5AC7F" w14:textId="42F3A559" w:rsidR="00F67515" w:rsidRDefault="00F67515" w:rsidP="0017612A">
      <w:pPr>
        <w:pStyle w:val="ListParagraph"/>
        <w:numPr>
          <w:ilvl w:val="0"/>
          <w:numId w:val="25"/>
        </w:numPr>
        <w:jc w:val="both"/>
        <w:rPr>
          <w:rFonts w:cs="Arial"/>
          <w:szCs w:val="22"/>
          <w:lang w:eastAsia="en-AU"/>
        </w:rPr>
      </w:pPr>
      <w:r w:rsidRPr="0017612A">
        <w:rPr>
          <w:rFonts w:cs="Arial"/>
          <w:szCs w:val="22"/>
          <w:lang w:eastAsia="en-AU"/>
        </w:rPr>
        <w:t>Members should be able to personalise the cover to suit their needs</w:t>
      </w:r>
      <w:r w:rsidR="00D8205B">
        <w:rPr>
          <w:rFonts w:cs="Arial"/>
          <w:szCs w:val="22"/>
          <w:lang w:eastAsia="en-AU"/>
        </w:rPr>
        <w:t>; and</w:t>
      </w:r>
    </w:p>
    <w:p w14:paraId="3E1734EA" w14:textId="77777777" w:rsidR="0017612A" w:rsidRPr="0017612A" w:rsidRDefault="0017612A" w:rsidP="0017612A">
      <w:pPr>
        <w:pStyle w:val="ListParagraph"/>
        <w:jc w:val="both"/>
        <w:rPr>
          <w:rFonts w:cs="Arial"/>
          <w:szCs w:val="22"/>
          <w:lang w:eastAsia="en-AU"/>
        </w:rPr>
      </w:pPr>
    </w:p>
    <w:p w14:paraId="1B55D85E" w14:textId="77777777" w:rsidR="00F67515" w:rsidRPr="0017612A" w:rsidRDefault="00F67515" w:rsidP="0017612A">
      <w:pPr>
        <w:pStyle w:val="ListParagraph"/>
        <w:numPr>
          <w:ilvl w:val="0"/>
          <w:numId w:val="25"/>
        </w:numPr>
        <w:jc w:val="both"/>
        <w:rPr>
          <w:rFonts w:cs="Arial"/>
          <w:szCs w:val="22"/>
          <w:lang w:eastAsia="en-AU"/>
        </w:rPr>
      </w:pPr>
      <w:r w:rsidRPr="0017612A">
        <w:rPr>
          <w:rFonts w:cs="Arial"/>
          <w:szCs w:val="22"/>
          <w:lang w:eastAsia="en-AU"/>
        </w:rPr>
        <w:t>93% of members polled supported provision of IP benefits</w:t>
      </w:r>
      <w:r w:rsidR="00CF4E74" w:rsidRPr="0017612A">
        <w:rPr>
          <w:rFonts w:cs="Arial"/>
          <w:szCs w:val="22"/>
          <w:lang w:eastAsia="en-AU"/>
        </w:rPr>
        <w:t>.</w:t>
      </w:r>
    </w:p>
    <w:p w14:paraId="475A3C14" w14:textId="77777777" w:rsidR="00573A01" w:rsidRDefault="00573A01" w:rsidP="0080674C">
      <w:pPr>
        <w:pStyle w:val="QNormal"/>
        <w:spacing w:after="0"/>
        <w:ind w:left="360"/>
      </w:pPr>
    </w:p>
    <w:p w14:paraId="6BBFB25D" w14:textId="77777777" w:rsidR="00F67515" w:rsidRPr="00265641" w:rsidRDefault="00F67515" w:rsidP="00617626">
      <w:pPr>
        <w:pStyle w:val="QNormal"/>
        <w:rPr>
          <w:i/>
        </w:rPr>
      </w:pPr>
      <w:r w:rsidRPr="00265641">
        <w:rPr>
          <w:i/>
        </w:rPr>
        <w:t xml:space="preserve">Affordability </w:t>
      </w:r>
    </w:p>
    <w:p w14:paraId="342A9797" w14:textId="77777777" w:rsidR="00F67515" w:rsidRDefault="00F67515" w:rsidP="00CD683C">
      <w:pPr>
        <w:pStyle w:val="QNormal"/>
      </w:pPr>
      <w:r>
        <w:t>QSuper’s affordability principle tests the impact of premiums on the erosion of members’ benefits. This is formally considered when designing insurance benefits and must meet Board-approved levels</w:t>
      </w:r>
      <w:r w:rsidR="00263C4C">
        <w:t xml:space="preserve"> of appropriateness</w:t>
      </w:r>
      <w:r>
        <w:t xml:space="preserve">, taking into account unique member segment characteristics. </w:t>
      </w:r>
    </w:p>
    <w:p w14:paraId="610654CB" w14:textId="77777777" w:rsidR="00F67515" w:rsidRDefault="00F67515" w:rsidP="004D72EF">
      <w:pPr>
        <w:pStyle w:val="QNormal"/>
      </w:pPr>
      <w:r>
        <w:t>It should be noted that the affordability principle and test ha</w:t>
      </w:r>
      <w:r w:rsidR="00263C4C">
        <w:t>ve</w:t>
      </w:r>
      <w:r>
        <w:t xml:space="preserve"> resulted in the current default levels of cover being set below the levels the Board would consider appropriate</w:t>
      </w:r>
      <w:r w:rsidR="0038374C">
        <w:t xml:space="preserve"> if it was seeking </w:t>
      </w:r>
      <w:r>
        <w:t>to meet the retirement adequacy principle alone. This demonstrates the importance, interplay and tension between these two design principles.</w:t>
      </w:r>
    </w:p>
    <w:p w14:paraId="4AEFE0E3" w14:textId="77777777" w:rsidR="00F67515" w:rsidRDefault="00F67515" w:rsidP="00E13C07">
      <w:pPr>
        <w:pStyle w:val="QNormal"/>
      </w:pPr>
      <w:r>
        <w:t>Market research undertaken to inform the 2016 product design showed that funds were on average charging 17% of Superannuation Guarantee (SG) to provide default insurance benefits</w:t>
      </w:r>
      <w:r w:rsidR="008C0E1E">
        <w:t>.</w:t>
      </w:r>
    </w:p>
    <w:p w14:paraId="6F9348F1" w14:textId="77777777" w:rsidR="00F67515" w:rsidRDefault="00F67515" w:rsidP="008C064A">
      <w:pPr>
        <w:pStyle w:val="QNormal"/>
      </w:pPr>
      <w:r>
        <w:t>In common with most of the group insurance sector</w:t>
      </w:r>
      <w:r w:rsidR="00263C4C">
        <w:t xml:space="preserve"> and</w:t>
      </w:r>
      <w:r>
        <w:t xml:space="preserve"> prior to 2016, QSuper members had experienced significant premium increases, and the Board required that the 2016 design improve product sustainability of pricing.</w:t>
      </w:r>
    </w:p>
    <w:p w14:paraId="006235A6" w14:textId="77777777" w:rsidR="00F67515" w:rsidRDefault="00F67515" w:rsidP="00DA668A">
      <w:pPr>
        <w:pStyle w:val="QNormal"/>
      </w:pPr>
      <w:r>
        <w:t xml:space="preserve">Board approved tolerances were established to inform the product design </w:t>
      </w:r>
      <w:r w:rsidR="00DE6F74">
        <w:t>and</w:t>
      </w:r>
      <w:r>
        <w:t xml:space="preserve"> establish an appetite for average lifetime premium levels expressed as a percentage of employer contributions</w:t>
      </w:r>
      <w:r w:rsidR="00C446AA">
        <w:t>.</w:t>
      </w:r>
    </w:p>
    <w:p w14:paraId="52B0CA97" w14:textId="77777777" w:rsidR="00F67515" w:rsidRPr="00265641" w:rsidRDefault="00F67515" w:rsidP="00DA668A">
      <w:pPr>
        <w:pStyle w:val="QNormal"/>
        <w:rPr>
          <w:u w:val="single"/>
        </w:rPr>
      </w:pPr>
      <w:r w:rsidRPr="00265641">
        <w:rPr>
          <w:u w:val="single"/>
        </w:rPr>
        <w:t>Transparency</w:t>
      </w:r>
    </w:p>
    <w:p w14:paraId="6358DFEB" w14:textId="77777777" w:rsidR="0045351D" w:rsidRDefault="0045351D" w:rsidP="009A1D79">
      <w:pPr>
        <w:pStyle w:val="QNormal"/>
      </w:pPr>
      <w:r>
        <w:t xml:space="preserve">QSuper supports the Commission’s view that there should be increased transparency for members to better understand how funds have designed their default insurance package. However, it is important that both the cost of the cover and its potential benefits are highlighted to mitigate the risk of unintended consequences. Members should be assisted </w:t>
      </w:r>
      <w:r w:rsidR="006F1726">
        <w:t xml:space="preserve">by funds </w:t>
      </w:r>
      <w:r>
        <w:t>in understanding the factors they should consider before reducing or cancelling their cover purely on the basis of cost.  There is a risk that members will fail to recognise the value of their cover which will only become apparent in the event of a claim.</w:t>
      </w:r>
    </w:p>
    <w:p w14:paraId="63931329" w14:textId="77777777" w:rsidR="00B41583" w:rsidRDefault="00127163" w:rsidP="009A1D79">
      <w:pPr>
        <w:pStyle w:val="QNormal"/>
        <w:rPr>
          <w:u w:val="single"/>
        </w:rPr>
      </w:pPr>
      <w:r w:rsidRPr="00B41583">
        <w:rPr>
          <w:u w:val="single"/>
        </w:rPr>
        <w:t>Calculator</w:t>
      </w:r>
      <w:r w:rsidR="00B41583">
        <w:rPr>
          <w:u w:val="single"/>
        </w:rPr>
        <w:t xml:space="preserve"> </w:t>
      </w:r>
    </w:p>
    <w:p w14:paraId="1C52EF1A" w14:textId="77777777" w:rsidR="0045351D" w:rsidRDefault="00B41583" w:rsidP="009A1D79">
      <w:pPr>
        <w:pStyle w:val="QNormal"/>
      </w:pPr>
      <w:r>
        <w:t>A</w:t>
      </w:r>
      <w:r w:rsidR="0045351D">
        <w:t xml:space="preserve"> retirement impact calculator would present the member with information on the impact of insurance premiums on retirement funding, </w:t>
      </w:r>
      <w:r>
        <w:t xml:space="preserve">however </w:t>
      </w:r>
      <w:r w:rsidR="0045351D">
        <w:t xml:space="preserve">this only represents one side of the equation. It would be more challenging to develop a calculator that also takes into account the impact of loss of retirement funding in the event of temporary or permanent ill health. Both </w:t>
      </w:r>
      <w:r w:rsidR="0045351D">
        <w:lastRenderedPageBreak/>
        <w:t>factors need to be included in any calculation, and explained, for members to truly understand the impact of insurance on retirement adequacy both in the event of the member needing to claim, and should they never need to claim.</w:t>
      </w:r>
    </w:p>
    <w:p w14:paraId="34AB7ECE" w14:textId="1A7CAC4F" w:rsidR="0045351D" w:rsidRPr="00265641" w:rsidRDefault="00D8205B" w:rsidP="009A1D79">
      <w:pPr>
        <w:pStyle w:val="QNormal"/>
        <w:rPr>
          <w:highlight w:val="yellow"/>
        </w:rPr>
      </w:pPr>
      <w:r>
        <w:rPr>
          <w:noProof/>
          <w:lang w:eastAsia="en-AU"/>
        </w:rPr>
        <mc:AlternateContent>
          <mc:Choice Requires="wps">
            <w:drawing>
              <wp:anchor distT="45720" distB="45720" distL="114300" distR="114300" simplePos="0" relativeHeight="251671552" behindDoc="0" locked="0" layoutInCell="1" allowOverlap="1" wp14:anchorId="747A6D3E" wp14:editId="3BEB105E">
                <wp:simplePos x="0" y="0"/>
                <wp:positionH relativeFrom="margin">
                  <wp:align>left</wp:align>
                </wp:positionH>
                <wp:positionV relativeFrom="paragraph">
                  <wp:posOffset>670560</wp:posOffset>
                </wp:positionV>
                <wp:extent cx="5708650" cy="1404620"/>
                <wp:effectExtent l="0" t="0" r="25400" b="2730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ysClr val="window" lastClr="FFFFFF">
                            <a:lumMod val="95000"/>
                          </a:sysClr>
                        </a:solidFill>
                        <a:ln w="9525">
                          <a:solidFill>
                            <a:srgbClr val="000000"/>
                          </a:solidFill>
                          <a:miter lim="800000"/>
                          <a:headEnd/>
                          <a:tailEnd/>
                        </a:ln>
                      </wps:spPr>
                      <wps:txbx>
                        <w:txbxContent>
                          <w:p w14:paraId="69DCB8D9" w14:textId="77777777" w:rsidR="00127153" w:rsidRPr="00D10085" w:rsidRDefault="00127153" w:rsidP="00D10085">
                            <w:r>
                              <w:rPr>
                                <w:u w:val="single"/>
                              </w:rPr>
                              <w:t xml:space="preserve">Recommendation 17: </w:t>
                            </w:r>
                            <w:r w:rsidRPr="00D10085">
                              <w:t>Insurance Code To Be A My</w:t>
                            </w:r>
                            <w:r>
                              <w:t>S</w:t>
                            </w:r>
                            <w:r w:rsidRPr="00D10085">
                              <w:t>uper Condition</w:t>
                            </w:r>
                          </w:p>
                          <w:p w14:paraId="53AC3D44" w14:textId="77777777" w:rsidR="00127153" w:rsidRDefault="00127153" w:rsidP="00D10085">
                            <w:r w:rsidRPr="00D10085">
                              <w:rPr>
                                <w:i/>
                              </w:rPr>
                              <w:t>Adoption of the Insurance in Superannuation Voluntary Code of Practice should be a mandatory requirement of funds to obtain or retain MySuper authorisation</w:t>
                            </w:r>
                            <w:r w:rsidRPr="00D8205B">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7A6D3E" id="Text Box 11" o:spid="_x0000_s1032" type="#_x0000_t202" style="position:absolute;left:0;text-align:left;margin-left:0;margin-top:52.8pt;width:449.5pt;height:110.6pt;z-index:2516715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EdHRQIAAH8EAAAOAAAAZHJzL2Uyb0RvYy54bWysVMGO2yAQvVfqPyDujZ0oyW6sOKtttqkq&#10;bbeVdvsBGHCMCgwFEjv9+o5xknrbW9UcLGCGN2/eY7K+64wmR+mDAlvS6SSnRFoOQtl9Sb+97N7d&#10;UhIis4JpsLKkJxno3ebtm3XrCjmDBrSQniCIDUXrStrE6IosC7yRhoUJOGkxWIM3LOLW7zPhWYvo&#10;RmezPF9mLXjhPHAZAp4+DEG6Sfh1LXn8UtdBRqJLitxi+vr0rfpvtlmzYu+ZaxQ/02D/wMIwZbHo&#10;FeqBRUYOXv0FZRT3EKCOEw4mg7pWXKYesJtp/kc3zw1zMvWC4gR3lSn8P1j+dPzqiRLo3ZQSywx6&#10;9CK7SN5DR/AI9WldKDDt2WFi7PAcc1OvwT0C/x6IhW3D7F7eew9tI5lAfulmNro64IQepGo/g8A6&#10;7BAhAXW1N714KAdBdPTpdPWm58LxcHGT3y4XGOIYm87z+XKW3MtYcbnufIgfJRjSL0rq0fwEz46P&#10;IWIjmHpJ6asF0ErslNZpcwpb7cmR4TvB5yWgpUSzEPGwpLv0S1j6YJD8kLda5PmFQ0j3U41XuNqS&#10;tqSrxWwxSPaqpt9X16IINUIbpxkVcUS0MiW9vSaxohf6gxXpAUem9LDGHrVFGr3yvdiD7LGrumTy&#10;8mJoBeKEVngYJgInGBcN+J+UtDgNJQ0/DsxLFOGTRTtX0/m8H5+0mS9uUHvix5FqHGGWI1RJIyXD&#10;chvTyCWh3T3avlPJkJ7lwORMGV950vA8kf0Yjfcp6/f/xuYXAAAA//8DAFBLAwQUAAYACAAAACEA&#10;kmwVNNsAAAAIAQAADwAAAGRycy9kb3ducmV2LnhtbEyPwU7DMBBE70j8g7VIXBB1WiBK0jhVQMA9&#10;hQ9w420SsNdR7Kbh71lO9Lgzo9k35W5xVsw4hcGTgvUqAYHUejNQp+Dz4+0+AxGiJqOtJ1TwgwF2&#10;1fVVqQvjz9TgvI+d4BIKhVbQxzgWUoa2R6fDyo9I7B395HTkc+qkmfSZy52VmyRJpdMD8Ydej/jS&#10;Y/u9PzkF4+uXzN/vyJq6blJ8tM/reW6Uur1Z6i2IiEv8D8MfPqNDxUwHfyIThFXAQyKryVMKgu0s&#10;z1k5KHjYpBnIqpSXA6pfAAAA//8DAFBLAQItABQABgAIAAAAIQC2gziS/gAAAOEBAAATAAAAAAAA&#10;AAAAAAAAAAAAAABbQ29udGVudF9UeXBlc10ueG1sUEsBAi0AFAAGAAgAAAAhADj9If/WAAAAlAEA&#10;AAsAAAAAAAAAAAAAAAAALwEAAF9yZWxzLy5yZWxzUEsBAi0AFAAGAAgAAAAhAFBcR0dFAgAAfwQA&#10;AA4AAAAAAAAAAAAAAAAALgIAAGRycy9lMm9Eb2MueG1sUEsBAi0AFAAGAAgAAAAhAJJsFTTbAAAA&#10;CAEAAA8AAAAAAAAAAAAAAAAAnwQAAGRycy9kb3ducmV2LnhtbFBLBQYAAAAABAAEAPMAAACnBQAA&#10;AAA=&#10;" fillcolor="#f2f2f2">
                <v:textbox style="mso-fit-shape-to-text:t">
                  <w:txbxContent>
                    <w:p w14:paraId="69DCB8D9" w14:textId="77777777" w:rsidR="00127153" w:rsidRPr="00D10085" w:rsidRDefault="00127153" w:rsidP="00D10085">
                      <w:r>
                        <w:rPr>
                          <w:u w:val="single"/>
                        </w:rPr>
                        <w:t xml:space="preserve">Recommendation 17: </w:t>
                      </w:r>
                      <w:r w:rsidRPr="00D10085">
                        <w:t xml:space="preserve">Insurance Code </w:t>
                      </w:r>
                      <w:proofErr w:type="gramStart"/>
                      <w:r w:rsidRPr="00D10085">
                        <w:t>To</w:t>
                      </w:r>
                      <w:proofErr w:type="gramEnd"/>
                      <w:r w:rsidRPr="00D10085">
                        <w:t xml:space="preserve"> Be A </w:t>
                      </w:r>
                      <w:proofErr w:type="spellStart"/>
                      <w:r w:rsidRPr="00D10085">
                        <w:t>My</w:t>
                      </w:r>
                      <w:r>
                        <w:t>S</w:t>
                      </w:r>
                      <w:r w:rsidRPr="00D10085">
                        <w:t>uper</w:t>
                      </w:r>
                      <w:proofErr w:type="spellEnd"/>
                      <w:r w:rsidRPr="00D10085">
                        <w:t xml:space="preserve"> Condition</w:t>
                      </w:r>
                    </w:p>
                    <w:p w14:paraId="53AC3D44" w14:textId="77777777" w:rsidR="00127153" w:rsidRDefault="00127153" w:rsidP="00D10085">
                      <w:r w:rsidRPr="00D10085">
                        <w:rPr>
                          <w:i/>
                        </w:rPr>
                        <w:t xml:space="preserve">Adoption of the Insurance in Superannuation Voluntary Code of Practice should be a mandatory requirement of funds to obtain or retain </w:t>
                      </w:r>
                      <w:proofErr w:type="spellStart"/>
                      <w:r w:rsidRPr="00D10085">
                        <w:rPr>
                          <w:i/>
                        </w:rPr>
                        <w:t>MySuper</w:t>
                      </w:r>
                      <w:proofErr w:type="spellEnd"/>
                      <w:r w:rsidRPr="00D10085">
                        <w:rPr>
                          <w:i/>
                        </w:rPr>
                        <w:t xml:space="preserve"> authorisation</w:t>
                      </w:r>
                      <w:r w:rsidRPr="00D8205B">
                        <w:t>.</w:t>
                      </w:r>
                    </w:p>
                  </w:txbxContent>
                </v:textbox>
                <w10:wrap type="square" anchorx="margin"/>
              </v:shape>
            </w:pict>
          </mc:Fallback>
        </mc:AlternateContent>
      </w:r>
      <w:r w:rsidR="0045351D">
        <w:t xml:space="preserve">QSuper provides an insurance premium estimator on </w:t>
      </w:r>
      <w:r w:rsidR="0038374C">
        <w:t xml:space="preserve">its </w:t>
      </w:r>
      <w:r w:rsidR="0045351D">
        <w:t xml:space="preserve">public website to allow members to easily work out the cost of increasing or decreasing their cover. They can also obtain a personalised calculation and make the changes to their cover through Member Online.  </w:t>
      </w:r>
    </w:p>
    <w:p w14:paraId="76E6E055" w14:textId="77777777" w:rsidR="00D8205B" w:rsidRDefault="00D8205B" w:rsidP="00131D5C">
      <w:pPr>
        <w:pStyle w:val="QNormal"/>
        <w:spacing w:after="120"/>
      </w:pPr>
    </w:p>
    <w:p w14:paraId="322C6DD1" w14:textId="12391E0F" w:rsidR="001027C2" w:rsidRDefault="00465F62" w:rsidP="002574EF">
      <w:pPr>
        <w:pStyle w:val="QNormal"/>
      </w:pPr>
      <w:r>
        <w:t xml:space="preserve">QSuper </w:t>
      </w:r>
      <w:r w:rsidR="000267EF">
        <w:t xml:space="preserve">is broadly supportive of the Code and </w:t>
      </w:r>
      <w:r>
        <w:t>has announced an intention to adopt</w:t>
      </w:r>
      <w:r w:rsidR="005045AA">
        <w:t xml:space="preserve"> the code</w:t>
      </w:r>
      <w:r w:rsidR="001027C2">
        <w:t>, therefore we support Recommendation 17</w:t>
      </w:r>
      <w:r w:rsidR="005045AA">
        <w:t>.</w:t>
      </w:r>
    </w:p>
    <w:p w14:paraId="6D7DC19E" w14:textId="77777777" w:rsidR="008A7DB2" w:rsidRDefault="001027C2" w:rsidP="00746E6D">
      <w:pPr>
        <w:pStyle w:val="QNormal"/>
      </w:pPr>
      <w:r>
        <w:t xml:space="preserve">However, QSuper would recommend </w:t>
      </w:r>
      <w:r w:rsidR="00CA638F">
        <w:t xml:space="preserve">that </w:t>
      </w:r>
      <w:r>
        <w:t>the</w:t>
      </w:r>
      <w:r w:rsidR="00CA638F">
        <w:t xml:space="preserve"> current </w:t>
      </w:r>
      <w:r>
        <w:t xml:space="preserve">flexibility </w:t>
      </w:r>
      <w:r w:rsidR="00263C4C">
        <w:t>within the Code for</w:t>
      </w:r>
      <w:r w:rsidR="00CA638F">
        <w:t xml:space="preserve"> trustees t</w:t>
      </w:r>
      <w:r>
        <w:t>o</w:t>
      </w:r>
      <w:r w:rsidR="004D41CD">
        <w:t xml:space="preserve"> comply with </w:t>
      </w:r>
      <w:r w:rsidR="00CA638F">
        <w:t xml:space="preserve">measures </w:t>
      </w:r>
      <w:r w:rsidR="00263C4C">
        <w:t xml:space="preserve">where they </w:t>
      </w:r>
      <w:r w:rsidR="00CA638F">
        <w:t xml:space="preserve">are in the </w:t>
      </w:r>
      <w:r w:rsidR="004D41CD">
        <w:t>best interest of their members</w:t>
      </w:r>
      <w:r w:rsidR="00CA638F">
        <w:t xml:space="preserve"> is retained</w:t>
      </w:r>
      <w:r w:rsidR="00A2458D">
        <w:t>.</w:t>
      </w:r>
    </w:p>
    <w:p w14:paraId="0C79AA4F" w14:textId="77777777" w:rsidR="00CA638F" w:rsidRDefault="00CA638F" w:rsidP="00746E6D">
      <w:pPr>
        <w:pStyle w:val="QNormal"/>
      </w:pPr>
      <w:r>
        <w:t>In QSuper’s view</w:t>
      </w:r>
      <w:r w:rsidR="00C02626">
        <w:t>,</w:t>
      </w:r>
      <w:r>
        <w:t xml:space="preserve"> mandatory adoption of all measures within the Code will lead </w:t>
      </w:r>
      <w:r w:rsidR="00610634">
        <w:t xml:space="preserve">to </w:t>
      </w:r>
      <w:r w:rsidR="00EF5E5B">
        <w:t xml:space="preserve">a shift in the prioritisation of funds when designing insurance offerings i.e. </w:t>
      </w:r>
      <w:r w:rsidR="00EF5E5B" w:rsidRPr="00EF5E5B">
        <w:t>price</w:t>
      </w:r>
      <w:r w:rsidR="00EF5E5B">
        <w:t xml:space="preserve"> wi</w:t>
      </w:r>
      <w:r w:rsidR="00F109C5">
        <w:t>l</w:t>
      </w:r>
      <w:r w:rsidR="00EF5E5B">
        <w:t xml:space="preserve">l become the </w:t>
      </w:r>
      <w:r w:rsidR="00EF5E5B" w:rsidRPr="00EF5E5B">
        <w:t>primary driver of insurance cover, at the detriment of value</w:t>
      </w:r>
      <w:r w:rsidR="00EF5E5B">
        <w:t>.</w:t>
      </w:r>
    </w:p>
    <w:p w14:paraId="32875F5C" w14:textId="77777777" w:rsidR="004D41CD" w:rsidRDefault="004D41CD" w:rsidP="00746E6D">
      <w:pPr>
        <w:pStyle w:val="QNormal"/>
      </w:pPr>
      <w:r w:rsidRPr="002600C0">
        <w:t xml:space="preserve">Where trustees have sufficient information about their membership, they have an obligation to design insurance benefits that are appropriate for their members. </w:t>
      </w:r>
    </w:p>
    <w:p w14:paraId="0E620AEA" w14:textId="77777777" w:rsidR="008A7DB2" w:rsidRDefault="004D41CD" w:rsidP="00BF3D31">
      <w:pPr>
        <w:pStyle w:val="QNormal"/>
      </w:pPr>
      <w:r>
        <w:t xml:space="preserve">QSuper </w:t>
      </w:r>
      <w:r w:rsidR="008A7DB2">
        <w:t xml:space="preserve">contends that if trustees are discharging their ‘best interests’ duty correctly, then the adequacy of cover provided is an essential consideration and should not be overshadowed by a focus on cost alone. </w:t>
      </w:r>
    </w:p>
    <w:p w14:paraId="62497937" w14:textId="384BF572" w:rsidR="00671FF9" w:rsidRDefault="00671FF9" w:rsidP="00831216">
      <w:pPr>
        <w:pStyle w:val="QNormal"/>
        <w:spacing w:after="0"/>
      </w:pPr>
      <w:r>
        <w:t>QSuper’s insurance product was designed after extensive consultation with members and other stakeholders, including employers and unions, ensuring the needs of Queensland Government workers were considered. Our product design provides for the unique needs of emergency service workers. The flexibility required to cater for these and other high</w:t>
      </w:r>
      <w:r w:rsidR="00FE5E8D">
        <w:t>-</w:t>
      </w:r>
      <w:r>
        <w:t>risk occupations may</w:t>
      </w:r>
      <w:r w:rsidR="00FE5E8D">
        <w:t xml:space="preserve"> </w:t>
      </w:r>
      <w:r>
        <w:t>be eroded under a mandatory adoption of prescriptive measures</w:t>
      </w:r>
      <w:r w:rsidR="00B621E6">
        <w:t>.</w:t>
      </w:r>
      <w:r>
        <w:t xml:space="preserve">    </w:t>
      </w:r>
    </w:p>
    <w:p w14:paraId="37BC1463" w14:textId="71F5005E" w:rsidR="00A2458D" w:rsidRDefault="00A2458D"/>
    <w:p w14:paraId="0D0F302F" w14:textId="77777777" w:rsidR="008330A7" w:rsidRPr="00195D4A" w:rsidRDefault="008330A7" w:rsidP="00FB5CB2">
      <w:pPr>
        <w:pStyle w:val="QNormal"/>
      </w:pPr>
    </w:p>
    <w:sectPr w:rsidR="008330A7" w:rsidRPr="00195D4A" w:rsidSect="00987D0E">
      <w:headerReference w:type="default" r:id="rId16"/>
      <w:footerReference w:type="default" r:id="rId17"/>
      <w:endnotePr>
        <w:numFmt w:val="decimal"/>
      </w:endnotePr>
      <w:type w:val="continuous"/>
      <w:pgSz w:w="11906" w:h="16838" w:code="9"/>
      <w:pgMar w:top="1702" w:right="1416" w:bottom="1701" w:left="1418" w:header="993" w:footer="743" w:gutter="0"/>
      <w:cols w:space="720"/>
      <w:formProt w:val="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DBD47" w14:textId="77777777" w:rsidR="00127153" w:rsidRDefault="00127153">
      <w:r>
        <w:separator/>
      </w:r>
    </w:p>
  </w:endnote>
  <w:endnote w:type="continuationSeparator" w:id="0">
    <w:p w14:paraId="5A933009" w14:textId="77777777" w:rsidR="00127153" w:rsidRDefault="00127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utura ExtraBold">
    <w:altName w:val="Times New Roman"/>
    <w:panose1 w:val="00000000000000000000"/>
    <w:charset w:val="00"/>
    <w:family w:val="swiss"/>
    <w:notTrueType/>
    <w:pitch w:val="variable"/>
    <w:sig w:usb0="00000003" w:usb1="00000000" w:usb2="00000000" w:usb3="00000000" w:csb0="00000001" w:csb1="00000000"/>
  </w:font>
  <w:font w:name="Futura CondensedExtraBold">
    <w:altName w:val="Times New Roman"/>
    <w:panose1 w:val="00000000000000000000"/>
    <w:charset w:val="00"/>
    <w:family w:val="swiss"/>
    <w:notTrueType/>
    <w:pitch w:val="variable"/>
    <w:sig w:usb0="00000003" w:usb1="00000000" w:usb2="00000000" w:usb3="00000000" w:csb0="00000001" w:csb1="00000000"/>
  </w:font>
  <w:font w:name="Futura Condensed">
    <w:altName w:val="Courier New"/>
    <w:panose1 w:val="00000000000000000000"/>
    <w:charset w:val="00"/>
    <w:family w:val="swiss"/>
    <w:notTrueType/>
    <w:pitch w:val="variable"/>
    <w:sig w:usb0="00000003" w:usb1="00000000" w:usb2="00000000" w:usb3="00000000" w:csb0="00000001" w:csb1="00000000"/>
  </w:font>
  <w:font w:name="AGaramond">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6F7DE" w14:textId="77777777" w:rsidR="00127153" w:rsidRDefault="00127153">
    <w:pPr>
      <w:pStyle w:val="Footer"/>
      <w:tabs>
        <w:tab w:val="clear" w:pos="8306"/>
        <w:tab w:val="left" w:pos="1418"/>
        <w:tab w:val="right" w:pos="9072"/>
      </w:tabs>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7001D" w14:textId="3F1A65C6" w:rsidR="00127153" w:rsidRPr="00695444" w:rsidRDefault="00127153" w:rsidP="008868CF">
    <w:pPr>
      <w:pStyle w:val="Footer"/>
      <w:tabs>
        <w:tab w:val="clear" w:pos="8306"/>
        <w:tab w:val="left" w:pos="1418"/>
        <w:tab w:val="right" w:pos="9072"/>
      </w:tabs>
      <w:jc w:val="right"/>
      <w:rPr>
        <w:rFonts w:ascii="Arial" w:hAnsi="Arial" w:cs="Arial"/>
        <w:sz w:val="16"/>
      </w:rPr>
    </w:pPr>
  </w:p>
  <w:p w14:paraId="3F1C5CA2" w14:textId="77777777" w:rsidR="00127153" w:rsidRDefault="00127153">
    <w:pPr>
      <w:pStyle w:val="Footer"/>
    </w:pPr>
  </w:p>
  <w:p w14:paraId="3E1A95AF" w14:textId="77777777" w:rsidR="00127153" w:rsidRPr="00695444" w:rsidRDefault="00127153">
    <w:pPr>
      <w:pStyle w:val="Footer"/>
      <w:tabs>
        <w:tab w:val="clear" w:pos="8306"/>
        <w:tab w:val="right" w:pos="9072"/>
      </w:tabs>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0F25E" w14:textId="77777777" w:rsidR="00127153" w:rsidRDefault="00127153">
      <w:r>
        <w:separator/>
      </w:r>
    </w:p>
  </w:footnote>
  <w:footnote w:type="continuationSeparator" w:id="0">
    <w:p w14:paraId="70052914" w14:textId="77777777" w:rsidR="00127153" w:rsidRDefault="00127153">
      <w:r>
        <w:continuationSeparator/>
      </w:r>
    </w:p>
  </w:footnote>
  <w:footnote w:id="1">
    <w:p w14:paraId="5C7F8DA4" w14:textId="77777777" w:rsidR="00127153" w:rsidRPr="005961A0" w:rsidRDefault="00127153" w:rsidP="00DB657F">
      <w:pPr>
        <w:pStyle w:val="FootnoteText"/>
        <w:rPr>
          <w:sz w:val="16"/>
        </w:rPr>
      </w:pPr>
      <w:r w:rsidRPr="005961A0">
        <w:rPr>
          <w:rStyle w:val="FootnoteReference"/>
          <w:sz w:val="16"/>
        </w:rPr>
        <w:footnoteRef/>
      </w:r>
      <w:r w:rsidRPr="005961A0">
        <w:rPr>
          <w:sz w:val="16"/>
        </w:rPr>
        <w:t xml:space="preserve">Source: HILDA, Department of Employment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0FBAE" w14:textId="77777777" w:rsidR="00127153" w:rsidRDefault="00127153">
    <w:pPr>
      <w:pStyle w:val="Header"/>
    </w:pPr>
    <w:r>
      <w:tab/>
    </w:r>
    <w:r>
      <w:rPr>
        <w:snapToGrid w:val="0"/>
      </w:rPr>
      <w:t xml:space="preserve">- </w:t>
    </w:r>
    <w:r>
      <w:rPr>
        <w:snapToGrid w:val="0"/>
      </w:rPr>
      <w:fldChar w:fldCharType="begin"/>
    </w:r>
    <w:r>
      <w:rPr>
        <w:snapToGrid w:val="0"/>
      </w:rPr>
      <w:instrText xml:space="preserve"> PAGE </w:instrText>
    </w:r>
    <w:r>
      <w:rPr>
        <w:snapToGrid w:val="0"/>
      </w:rPr>
      <w:fldChar w:fldCharType="separate"/>
    </w:r>
    <w:r>
      <w:rPr>
        <w:noProof/>
        <w:snapToGrid w:val="0"/>
      </w:rPr>
      <w:t>5</w:t>
    </w:r>
    <w:r>
      <w:rPr>
        <w:snapToGrid w:val="0"/>
      </w:rPr>
      <w:fldChar w:fldCharType="end"/>
    </w:r>
    <w:r>
      <w:rPr>
        <w:snapToGrid w:val="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7CC04" w14:textId="77777777" w:rsidR="00127153" w:rsidRDefault="00127153" w:rsidP="00A11291">
    <w:pPr>
      <w:pStyle w:val="Header"/>
      <w:ind w:left="-1701"/>
    </w:pPr>
    <w:r>
      <w:rPr>
        <w:noProof/>
        <w:lang w:eastAsia="en-AU"/>
      </w:rPr>
      <w:drawing>
        <wp:anchor distT="0" distB="0" distL="114300" distR="114300" simplePos="0" relativeHeight="251659264" behindDoc="1" locked="0" layoutInCell="1" allowOverlap="1" wp14:anchorId="1844DB64" wp14:editId="24A1567C">
          <wp:simplePos x="0" y="0"/>
          <wp:positionH relativeFrom="page">
            <wp:posOffset>5278120</wp:posOffset>
          </wp:positionH>
          <wp:positionV relativeFrom="page">
            <wp:posOffset>0</wp:posOffset>
          </wp:positionV>
          <wp:extent cx="2286000" cy="2876550"/>
          <wp:effectExtent l="0" t="0" r="0" b="0"/>
          <wp:wrapNone/>
          <wp:docPr id="1" name="Picture 2" descr="N:\WIP\9933 Electronic Standard Letterhead (Word)\05 Creative\2. Assets\9933_QSuper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WIP\9933 Electronic Standard Letterhead (Word)\05 Creative\2. Assets\9933_QSuper Letterhe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2876550"/>
                  </a:xfrm>
                  <a:prstGeom prst="rect">
                    <a:avLst/>
                  </a:prstGeom>
                  <a:noFill/>
                  <a:ln>
                    <a:noFill/>
                  </a:ln>
                </pic:spPr>
              </pic:pic>
            </a:graphicData>
          </a:graphic>
          <wp14:sizeRelH relativeFrom="page">
            <wp14:pctWidth>0</wp14:pctWidth>
          </wp14:sizeRelH>
          <wp14:sizeRelV relativeFrom="page">
            <wp14:pctHeight>0</wp14:pctHeight>
          </wp14:sizeRelV>
        </wp:anchor>
      </w:drawing>
    </w:r>
    <w:r>
      <w:t>C</w:t>
    </w:r>
  </w:p>
  <w:p w14:paraId="4DEA7C7C" w14:textId="77777777" w:rsidR="00127153" w:rsidRDefault="00127153" w:rsidP="00A11291">
    <w:pPr>
      <w:pStyle w:val="Header"/>
      <w:ind w:left="-1701"/>
    </w:pPr>
  </w:p>
  <w:p w14:paraId="37B68261" w14:textId="77777777" w:rsidR="00127153" w:rsidRDefault="00127153" w:rsidP="00A11291">
    <w:pPr>
      <w:pStyle w:val="Header"/>
      <w:ind w:left="-1701"/>
    </w:pPr>
  </w:p>
  <w:p w14:paraId="6FB49B34" w14:textId="79EE1EA4" w:rsidR="00127153" w:rsidRPr="006330F3" w:rsidRDefault="00127153" w:rsidP="008868CF">
    <w:pPr>
      <w:pStyle w:val="QNormal"/>
      <w:jc w:val="center"/>
      <w:rPr>
        <w:rFonts w:cs="Arial"/>
        <w:b/>
        <w:szCs w:val="22"/>
      </w:rPr>
    </w:pPr>
  </w:p>
  <w:p w14:paraId="7EB2FD2B" w14:textId="77777777" w:rsidR="00127153" w:rsidRDefault="00127153" w:rsidP="00A11291">
    <w:pPr>
      <w:pStyle w:val="Header"/>
      <w:ind w:left="-170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090457"/>
      <w:docPartObj>
        <w:docPartGallery w:val="Page Numbers (Top of Page)"/>
        <w:docPartUnique/>
      </w:docPartObj>
    </w:sdtPr>
    <w:sdtEndPr>
      <w:rPr>
        <w:noProof/>
      </w:rPr>
    </w:sdtEndPr>
    <w:sdtContent>
      <w:p w14:paraId="221A41F4" w14:textId="77777777" w:rsidR="00127153" w:rsidRDefault="00127153">
        <w:pPr>
          <w:pStyle w:val="Header"/>
          <w:jc w:val="right"/>
        </w:pPr>
        <w:r>
          <w:fldChar w:fldCharType="begin"/>
        </w:r>
        <w:r>
          <w:instrText xml:space="preserve"> PAGE   \* MERGEFORMAT </w:instrText>
        </w:r>
        <w:r>
          <w:fldChar w:fldCharType="separate"/>
        </w:r>
        <w:r w:rsidR="00AF6087">
          <w:rPr>
            <w:noProof/>
          </w:rPr>
          <w:t>2</w:t>
        </w:r>
        <w:r>
          <w:rPr>
            <w:noProof/>
          </w:rPr>
          <w:fldChar w:fldCharType="end"/>
        </w:r>
      </w:p>
    </w:sdtContent>
  </w:sdt>
  <w:p w14:paraId="646102E8" w14:textId="77777777" w:rsidR="00127153" w:rsidRPr="00695444" w:rsidRDefault="00127153">
    <w:pPr>
      <w:pStyle w:val="Footer"/>
      <w:tabs>
        <w:tab w:val="left" w:pos="1418"/>
      </w:tabs>
      <w:rPr>
        <w:rFonts w:ascii="Arial" w:hAnsi="Arial" w:cs="Arial"/>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868FD"/>
    <w:multiLevelType w:val="hybridMultilevel"/>
    <w:tmpl w:val="0D8AB9E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2C43A1C"/>
    <w:multiLevelType w:val="hybridMultilevel"/>
    <w:tmpl w:val="AA44A0DE"/>
    <w:lvl w:ilvl="0" w:tplc="83F4C8F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3521049"/>
    <w:multiLevelType w:val="hybridMultilevel"/>
    <w:tmpl w:val="F1980242"/>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 w15:restartNumberingAfterBreak="0">
    <w:nsid w:val="0EDD63AF"/>
    <w:multiLevelType w:val="hybridMultilevel"/>
    <w:tmpl w:val="AE94F3A8"/>
    <w:lvl w:ilvl="0" w:tplc="70CE309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00732F"/>
    <w:multiLevelType w:val="hybridMultilevel"/>
    <w:tmpl w:val="43903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5D6459"/>
    <w:multiLevelType w:val="hybridMultilevel"/>
    <w:tmpl w:val="E910B8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8D97400"/>
    <w:multiLevelType w:val="hybridMultilevel"/>
    <w:tmpl w:val="4412B8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B360D81"/>
    <w:multiLevelType w:val="hybridMultilevel"/>
    <w:tmpl w:val="90F0CE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8B55E9D"/>
    <w:multiLevelType w:val="hybridMultilevel"/>
    <w:tmpl w:val="E8989C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C4107AC"/>
    <w:multiLevelType w:val="hybridMultilevel"/>
    <w:tmpl w:val="E81861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CAB5250"/>
    <w:multiLevelType w:val="multilevel"/>
    <w:tmpl w:val="39140F7E"/>
    <w:lvl w:ilvl="0">
      <w:start w:val="1"/>
      <w:numFmt w:val="bullet"/>
      <w:pStyle w:val="L1Bulletedlis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134EF8"/>
    <w:multiLevelType w:val="hybridMultilevel"/>
    <w:tmpl w:val="57D63590"/>
    <w:lvl w:ilvl="0" w:tplc="A1920E34">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E819CC"/>
    <w:multiLevelType w:val="hybridMultilevel"/>
    <w:tmpl w:val="052EEF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A4C1559"/>
    <w:multiLevelType w:val="hybridMultilevel"/>
    <w:tmpl w:val="17A45BAE"/>
    <w:lvl w:ilvl="0" w:tplc="0C090001">
      <w:start w:val="1"/>
      <w:numFmt w:val="bullet"/>
      <w:lvlText w:val=""/>
      <w:lvlJc w:val="left"/>
      <w:pPr>
        <w:ind w:left="720" w:hanging="360"/>
      </w:pPr>
      <w:rPr>
        <w:rFonts w:ascii="Symbol" w:hAnsi="Symbol" w:hint="default"/>
      </w:rPr>
    </w:lvl>
    <w:lvl w:ilvl="1" w:tplc="74B257DC">
      <w:start w:val="1"/>
      <w:numFmt w:val="bullet"/>
      <w:pStyle w:val="L2Bulletedlis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AC1913"/>
    <w:multiLevelType w:val="hybridMultilevel"/>
    <w:tmpl w:val="608C63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CEB6E7B"/>
    <w:multiLevelType w:val="hybridMultilevel"/>
    <w:tmpl w:val="74BE3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515249A"/>
    <w:multiLevelType w:val="hybridMultilevel"/>
    <w:tmpl w:val="9EFC95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197DF4"/>
    <w:multiLevelType w:val="hybridMultilevel"/>
    <w:tmpl w:val="EAD6A0C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74792790"/>
    <w:multiLevelType w:val="hybridMultilevel"/>
    <w:tmpl w:val="02F25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52E3C97"/>
    <w:multiLevelType w:val="hybridMultilevel"/>
    <w:tmpl w:val="0FF0BB40"/>
    <w:lvl w:ilvl="0" w:tplc="17AC8E2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75FD3822"/>
    <w:multiLevelType w:val="hybridMultilevel"/>
    <w:tmpl w:val="17A8E1CA"/>
    <w:lvl w:ilvl="0" w:tplc="A568F86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7A5E2BBA"/>
    <w:multiLevelType w:val="hybridMultilevel"/>
    <w:tmpl w:val="8B48C3C4"/>
    <w:lvl w:ilvl="0" w:tplc="4DC8786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0"/>
  </w:num>
  <w:num w:numId="2">
    <w:abstractNumId w:val="13"/>
  </w:num>
  <w:num w:numId="3">
    <w:abstractNumId w:val="10"/>
  </w:num>
  <w:num w:numId="4">
    <w:abstractNumId w:val="10"/>
  </w:num>
  <w:num w:numId="5">
    <w:abstractNumId w:val="10"/>
  </w:num>
  <w:num w:numId="6">
    <w:abstractNumId w:val="10"/>
  </w:num>
  <w:num w:numId="7">
    <w:abstractNumId w:val="8"/>
  </w:num>
  <w:num w:numId="8">
    <w:abstractNumId w:val="3"/>
  </w:num>
  <w:num w:numId="9">
    <w:abstractNumId w:val="6"/>
  </w:num>
  <w:num w:numId="10">
    <w:abstractNumId w:val="15"/>
  </w:num>
  <w:num w:numId="11">
    <w:abstractNumId w:val="0"/>
  </w:num>
  <w:num w:numId="12">
    <w:abstractNumId w:val="17"/>
  </w:num>
  <w:num w:numId="13">
    <w:abstractNumId w:val="16"/>
  </w:num>
  <w:num w:numId="14">
    <w:abstractNumId w:val="7"/>
  </w:num>
  <w:num w:numId="15">
    <w:abstractNumId w:val="9"/>
  </w:num>
  <w:num w:numId="16">
    <w:abstractNumId w:val="5"/>
  </w:num>
  <w:num w:numId="17">
    <w:abstractNumId w:val="11"/>
  </w:num>
  <w:num w:numId="18">
    <w:abstractNumId w:val="12"/>
  </w:num>
  <w:num w:numId="19">
    <w:abstractNumId w:val="4"/>
  </w:num>
  <w:num w:numId="20">
    <w:abstractNumId w:val="14"/>
  </w:num>
  <w:num w:numId="21">
    <w:abstractNumId w:val="20"/>
  </w:num>
  <w:num w:numId="22">
    <w:abstractNumId w:val="19"/>
  </w:num>
  <w:num w:numId="23">
    <w:abstractNumId w:val="1"/>
  </w:num>
  <w:num w:numId="24">
    <w:abstractNumId w:val="21"/>
  </w:num>
  <w:num w:numId="25">
    <w:abstractNumId w:val="18"/>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activeWritingStyle w:appName="MSWord" w:lang="en-AU" w:vendorID="64" w:dllVersion="5" w:nlCheck="1" w:checkStyle="1"/>
  <w:activeWritingStyle w:appName="MSWord" w:lang="en-US"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003"/>
    <w:rsid w:val="000007D3"/>
    <w:rsid w:val="0000349A"/>
    <w:rsid w:val="00006FCC"/>
    <w:rsid w:val="000177C3"/>
    <w:rsid w:val="000267EF"/>
    <w:rsid w:val="00043E50"/>
    <w:rsid w:val="00056A24"/>
    <w:rsid w:val="0006120E"/>
    <w:rsid w:val="00076EDF"/>
    <w:rsid w:val="000816C9"/>
    <w:rsid w:val="00086285"/>
    <w:rsid w:val="0009256F"/>
    <w:rsid w:val="0009413B"/>
    <w:rsid w:val="000A30E4"/>
    <w:rsid w:val="000A6AC6"/>
    <w:rsid w:val="000B4943"/>
    <w:rsid w:val="000B53DF"/>
    <w:rsid w:val="000C3928"/>
    <w:rsid w:val="000C42AE"/>
    <w:rsid w:val="000C4C08"/>
    <w:rsid w:val="000D07A2"/>
    <w:rsid w:val="000D323B"/>
    <w:rsid w:val="000E15AE"/>
    <w:rsid w:val="000E3205"/>
    <w:rsid w:val="000E4993"/>
    <w:rsid w:val="000E72D4"/>
    <w:rsid w:val="00101DA3"/>
    <w:rsid w:val="0010250B"/>
    <w:rsid w:val="001027C2"/>
    <w:rsid w:val="001070C1"/>
    <w:rsid w:val="0011289F"/>
    <w:rsid w:val="001137EC"/>
    <w:rsid w:val="00127153"/>
    <w:rsid w:val="00127163"/>
    <w:rsid w:val="001303CC"/>
    <w:rsid w:val="00130727"/>
    <w:rsid w:val="00131D5C"/>
    <w:rsid w:val="00132ED9"/>
    <w:rsid w:val="0014416C"/>
    <w:rsid w:val="00151B6C"/>
    <w:rsid w:val="00152FEC"/>
    <w:rsid w:val="0015722F"/>
    <w:rsid w:val="00157ED9"/>
    <w:rsid w:val="00163332"/>
    <w:rsid w:val="0016440B"/>
    <w:rsid w:val="00166B8C"/>
    <w:rsid w:val="00171864"/>
    <w:rsid w:val="0017493B"/>
    <w:rsid w:val="00174D50"/>
    <w:rsid w:val="0017612A"/>
    <w:rsid w:val="0018591A"/>
    <w:rsid w:val="00187278"/>
    <w:rsid w:val="00190272"/>
    <w:rsid w:val="00190914"/>
    <w:rsid w:val="00192445"/>
    <w:rsid w:val="00195D4A"/>
    <w:rsid w:val="001A2CC1"/>
    <w:rsid w:val="001B0E89"/>
    <w:rsid w:val="001B1290"/>
    <w:rsid w:val="001B2FBC"/>
    <w:rsid w:val="001B3A13"/>
    <w:rsid w:val="001C4E51"/>
    <w:rsid w:val="001C4EF5"/>
    <w:rsid w:val="001C590E"/>
    <w:rsid w:val="001C6986"/>
    <w:rsid w:val="001C7A7B"/>
    <w:rsid w:val="001D4535"/>
    <w:rsid w:val="001E3F35"/>
    <w:rsid w:val="001F4073"/>
    <w:rsid w:val="001F4A44"/>
    <w:rsid w:val="001F7201"/>
    <w:rsid w:val="002028B9"/>
    <w:rsid w:val="002158C2"/>
    <w:rsid w:val="00227578"/>
    <w:rsid w:val="00233539"/>
    <w:rsid w:val="00233B32"/>
    <w:rsid w:val="00240656"/>
    <w:rsid w:val="00240F3A"/>
    <w:rsid w:val="00243D47"/>
    <w:rsid w:val="00246D48"/>
    <w:rsid w:val="0025047E"/>
    <w:rsid w:val="00252DB9"/>
    <w:rsid w:val="0025747E"/>
    <w:rsid w:val="002574EF"/>
    <w:rsid w:val="002600C0"/>
    <w:rsid w:val="00260519"/>
    <w:rsid w:val="00261CE6"/>
    <w:rsid w:val="00263C4C"/>
    <w:rsid w:val="0026512B"/>
    <w:rsid w:val="00265641"/>
    <w:rsid w:val="00267EE5"/>
    <w:rsid w:val="00272610"/>
    <w:rsid w:val="002759A6"/>
    <w:rsid w:val="002803CD"/>
    <w:rsid w:val="0028180C"/>
    <w:rsid w:val="00281984"/>
    <w:rsid w:val="002A00BC"/>
    <w:rsid w:val="002B1E86"/>
    <w:rsid w:val="002C0701"/>
    <w:rsid w:val="002C54E1"/>
    <w:rsid w:val="002C7D64"/>
    <w:rsid w:val="002D0FF7"/>
    <w:rsid w:val="002D49BB"/>
    <w:rsid w:val="002D78B9"/>
    <w:rsid w:val="002E3754"/>
    <w:rsid w:val="002F3CB6"/>
    <w:rsid w:val="002F711A"/>
    <w:rsid w:val="003013DA"/>
    <w:rsid w:val="0030259F"/>
    <w:rsid w:val="00302ACC"/>
    <w:rsid w:val="003064A1"/>
    <w:rsid w:val="0030774A"/>
    <w:rsid w:val="00313962"/>
    <w:rsid w:val="003249D5"/>
    <w:rsid w:val="00333183"/>
    <w:rsid w:val="00342EC8"/>
    <w:rsid w:val="00343A82"/>
    <w:rsid w:val="00355C20"/>
    <w:rsid w:val="003575D1"/>
    <w:rsid w:val="00360ABA"/>
    <w:rsid w:val="00360B80"/>
    <w:rsid w:val="00365F58"/>
    <w:rsid w:val="0037143D"/>
    <w:rsid w:val="0038374C"/>
    <w:rsid w:val="00385F6A"/>
    <w:rsid w:val="003A101F"/>
    <w:rsid w:val="003A2066"/>
    <w:rsid w:val="003A5B5D"/>
    <w:rsid w:val="003B17EC"/>
    <w:rsid w:val="003B7A31"/>
    <w:rsid w:val="003D1EC4"/>
    <w:rsid w:val="003D4191"/>
    <w:rsid w:val="003E3957"/>
    <w:rsid w:val="003E41BD"/>
    <w:rsid w:val="003F1D36"/>
    <w:rsid w:val="004045AD"/>
    <w:rsid w:val="00420E81"/>
    <w:rsid w:val="00422D7C"/>
    <w:rsid w:val="00437878"/>
    <w:rsid w:val="00440071"/>
    <w:rsid w:val="00442DDF"/>
    <w:rsid w:val="0045169E"/>
    <w:rsid w:val="0045351D"/>
    <w:rsid w:val="0045564A"/>
    <w:rsid w:val="004572C7"/>
    <w:rsid w:val="004606AB"/>
    <w:rsid w:val="00461B78"/>
    <w:rsid w:val="0046404A"/>
    <w:rsid w:val="00464877"/>
    <w:rsid w:val="00465F62"/>
    <w:rsid w:val="00467327"/>
    <w:rsid w:val="00476EF4"/>
    <w:rsid w:val="00483560"/>
    <w:rsid w:val="00487421"/>
    <w:rsid w:val="00491E81"/>
    <w:rsid w:val="004971B9"/>
    <w:rsid w:val="004972A0"/>
    <w:rsid w:val="004A3AB9"/>
    <w:rsid w:val="004A58B1"/>
    <w:rsid w:val="004B4549"/>
    <w:rsid w:val="004B72EE"/>
    <w:rsid w:val="004C2739"/>
    <w:rsid w:val="004C4C83"/>
    <w:rsid w:val="004C4D62"/>
    <w:rsid w:val="004C5B7D"/>
    <w:rsid w:val="004C7089"/>
    <w:rsid w:val="004D149A"/>
    <w:rsid w:val="004D14E5"/>
    <w:rsid w:val="004D41CD"/>
    <w:rsid w:val="004D59C4"/>
    <w:rsid w:val="004D72EF"/>
    <w:rsid w:val="004E487C"/>
    <w:rsid w:val="004E52B0"/>
    <w:rsid w:val="004E5809"/>
    <w:rsid w:val="004E7315"/>
    <w:rsid w:val="004F0B2E"/>
    <w:rsid w:val="004F61AC"/>
    <w:rsid w:val="00501163"/>
    <w:rsid w:val="005045AA"/>
    <w:rsid w:val="00506A2E"/>
    <w:rsid w:val="00513E80"/>
    <w:rsid w:val="00517610"/>
    <w:rsid w:val="00521B11"/>
    <w:rsid w:val="00542EAE"/>
    <w:rsid w:val="00550D53"/>
    <w:rsid w:val="00552132"/>
    <w:rsid w:val="005556B4"/>
    <w:rsid w:val="005572F0"/>
    <w:rsid w:val="00557A2F"/>
    <w:rsid w:val="00570D4F"/>
    <w:rsid w:val="00573794"/>
    <w:rsid w:val="00573A01"/>
    <w:rsid w:val="005847CC"/>
    <w:rsid w:val="0059262E"/>
    <w:rsid w:val="005961A0"/>
    <w:rsid w:val="005961E4"/>
    <w:rsid w:val="005A170F"/>
    <w:rsid w:val="005C7F77"/>
    <w:rsid w:val="005E0AD1"/>
    <w:rsid w:val="005E2639"/>
    <w:rsid w:val="005F119F"/>
    <w:rsid w:val="0060378D"/>
    <w:rsid w:val="00603B08"/>
    <w:rsid w:val="00610634"/>
    <w:rsid w:val="00612084"/>
    <w:rsid w:val="00614F1B"/>
    <w:rsid w:val="00616BD8"/>
    <w:rsid w:val="00617626"/>
    <w:rsid w:val="0062367A"/>
    <w:rsid w:val="006436B4"/>
    <w:rsid w:val="006439DF"/>
    <w:rsid w:val="00644410"/>
    <w:rsid w:val="006522DB"/>
    <w:rsid w:val="00663988"/>
    <w:rsid w:val="0066478F"/>
    <w:rsid w:val="00671FF9"/>
    <w:rsid w:val="00674430"/>
    <w:rsid w:val="00680BAF"/>
    <w:rsid w:val="0068546B"/>
    <w:rsid w:val="00686E99"/>
    <w:rsid w:val="006939F2"/>
    <w:rsid w:val="00695444"/>
    <w:rsid w:val="006A1299"/>
    <w:rsid w:val="006B5B69"/>
    <w:rsid w:val="006C4D7F"/>
    <w:rsid w:val="006C57D8"/>
    <w:rsid w:val="006D2A45"/>
    <w:rsid w:val="006D34B7"/>
    <w:rsid w:val="006D483D"/>
    <w:rsid w:val="006D6E1D"/>
    <w:rsid w:val="006E39C5"/>
    <w:rsid w:val="006E5109"/>
    <w:rsid w:val="006F1726"/>
    <w:rsid w:val="006F1AE9"/>
    <w:rsid w:val="006F26D3"/>
    <w:rsid w:val="006F2958"/>
    <w:rsid w:val="006F55D1"/>
    <w:rsid w:val="0071190F"/>
    <w:rsid w:val="007156DD"/>
    <w:rsid w:val="007209BE"/>
    <w:rsid w:val="00724003"/>
    <w:rsid w:val="007303EC"/>
    <w:rsid w:val="007329BD"/>
    <w:rsid w:val="00746E6D"/>
    <w:rsid w:val="007537AF"/>
    <w:rsid w:val="00755550"/>
    <w:rsid w:val="00756873"/>
    <w:rsid w:val="007568F6"/>
    <w:rsid w:val="00765D96"/>
    <w:rsid w:val="00770000"/>
    <w:rsid w:val="00771E5E"/>
    <w:rsid w:val="0077261A"/>
    <w:rsid w:val="00774ACD"/>
    <w:rsid w:val="0077667A"/>
    <w:rsid w:val="00782416"/>
    <w:rsid w:val="00785F0A"/>
    <w:rsid w:val="00787179"/>
    <w:rsid w:val="00791C5D"/>
    <w:rsid w:val="007949B7"/>
    <w:rsid w:val="007A17A5"/>
    <w:rsid w:val="007A7884"/>
    <w:rsid w:val="007B20A0"/>
    <w:rsid w:val="007B4C3B"/>
    <w:rsid w:val="007C0880"/>
    <w:rsid w:val="007C3ACA"/>
    <w:rsid w:val="007C3BE8"/>
    <w:rsid w:val="007D78DC"/>
    <w:rsid w:val="007F4C49"/>
    <w:rsid w:val="00803221"/>
    <w:rsid w:val="008059D5"/>
    <w:rsid w:val="00806440"/>
    <w:rsid w:val="0080674C"/>
    <w:rsid w:val="008112BC"/>
    <w:rsid w:val="00815D54"/>
    <w:rsid w:val="00820435"/>
    <w:rsid w:val="00824559"/>
    <w:rsid w:val="008251AE"/>
    <w:rsid w:val="008258AA"/>
    <w:rsid w:val="00827989"/>
    <w:rsid w:val="00831216"/>
    <w:rsid w:val="0083133A"/>
    <w:rsid w:val="00832536"/>
    <w:rsid w:val="00832E7B"/>
    <w:rsid w:val="008330A7"/>
    <w:rsid w:val="008339A4"/>
    <w:rsid w:val="008436AC"/>
    <w:rsid w:val="008452D7"/>
    <w:rsid w:val="008461BD"/>
    <w:rsid w:val="0084640B"/>
    <w:rsid w:val="00850F14"/>
    <w:rsid w:val="00850F71"/>
    <w:rsid w:val="00853660"/>
    <w:rsid w:val="008538E9"/>
    <w:rsid w:val="008564A8"/>
    <w:rsid w:val="00856AA9"/>
    <w:rsid w:val="008718E1"/>
    <w:rsid w:val="0087389F"/>
    <w:rsid w:val="008749AA"/>
    <w:rsid w:val="008816C6"/>
    <w:rsid w:val="00881723"/>
    <w:rsid w:val="008868CF"/>
    <w:rsid w:val="0089166E"/>
    <w:rsid w:val="008A1EFB"/>
    <w:rsid w:val="008A2316"/>
    <w:rsid w:val="008A2546"/>
    <w:rsid w:val="008A2C9D"/>
    <w:rsid w:val="008A3CB5"/>
    <w:rsid w:val="008A414E"/>
    <w:rsid w:val="008A7DB2"/>
    <w:rsid w:val="008B6041"/>
    <w:rsid w:val="008C064A"/>
    <w:rsid w:val="008C0E1E"/>
    <w:rsid w:val="008C3E33"/>
    <w:rsid w:val="008E0B10"/>
    <w:rsid w:val="008E296C"/>
    <w:rsid w:val="008E50CA"/>
    <w:rsid w:val="008E558C"/>
    <w:rsid w:val="008E5C19"/>
    <w:rsid w:val="008F0610"/>
    <w:rsid w:val="008F1819"/>
    <w:rsid w:val="00900E0C"/>
    <w:rsid w:val="00904DBD"/>
    <w:rsid w:val="00915BE9"/>
    <w:rsid w:val="009161D7"/>
    <w:rsid w:val="00920F95"/>
    <w:rsid w:val="00922CC4"/>
    <w:rsid w:val="00927F87"/>
    <w:rsid w:val="00930C0F"/>
    <w:rsid w:val="00932DAC"/>
    <w:rsid w:val="00935EAF"/>
    <w:rsid w:val="00945FE2"/>
    <w:rsid w:val="00946993"/>
    <w:rsid w:val="00946D48"/>
    <w:rsid w:val="00952C94"/>
    <w:rsid w:val="009555AF"/>
    <w:rsid w:val="00963438"/>
    <w:rsid w:val="00987D0E"/>
    <w:rsid w:val="00990066"/>
    <w:rsid w:val="009A1D79"/>
    <w:rsid w:val="009A66B6"/>
    <w:rsid w:val="009A7ACE"/>
    <w:rsid w:val="009B0BD5"/>
    <w:rsid w:val="009B0E67"/>
    <w:rsid w:val="009B3060"/>
    <w:rsid w:val="009B7D06"/>
    <w:rsid w:val="009C0086"/>
    <w:rsid w:val="009D6015"/>
    <w:rsid w:val="009F0DF7"/>
    <w:rsid w:val="009F1B61"/>
    <w:rsid w:val="009F4D3F"/>
    <w:rsid w:val="009F5FED"/>
    <w:rsid w:val="00A0067F"/>
    <w:rsid w:val="00A06C04"/>
    <w:rsid w:val="00A11291"/>
    <w:rsid w:val="00A13F7F"/>
    <w:rsid w:val="00A16AE5"/>
    <w:rsid w:val="00A22071"/>
    <w:rsid w:val="00A23196"/>
    <w:rsid w:val="00A2458D"/>
    <w:rsid w:val="00A308A9"/>
    <w:rsid w:val="00A31AA5"/>
    <w:rsid w:val="00A351A9"/>
    <w:rsid w:val="00A355B4"/>
    <w:rsid w:val="00A35FCA"/>
    <w:rsid w:val="00A36F70"/>
    <w:rsid w:val="00A556F7"/>
    <w:rsid w:val="00A642E0"/>
    <w:rsid w:val="00A71D32"/>
    <w:rsid w:val="00A76D3F"/>
    <w:rsid w:val="00A8045D"/>
    <w:rsid w:val="00A93C83"/>
    <w:rsid w:val="00A96FE7"/>
    <w:rsid w:val="00AA3267"/>
    <w:rsid w:val="00AA3433"/>
    <w:rsid w:val="00AA3C91"/>
    <w:rsid w:val="00AA518C"/>
    <w:rsid w:val="00AB5A7E"/>
    <w:rsid w:val="00AB6BA1"/>
    <w:rsid w:val="00AC2B48"/>
    <w:rsid w:val="00AD2F27"/>
    <w:rsid w:val="00AE0528"/>
    <w:rsid w:val="00AE1125"/>
    <w:rsid w:val="00AE4403"/>
    <w:rsid w:val="00AF05F9"/>
    <w:rsid w:val="00AF0650"/>
    <w:rsid w:val="00AF6087"/>
    <w:rsid w:val="00AF65A1"/>
    <w:rsid w:val="00AF6D31"/>
    <w:rsid w:val="00B02056"/>
    <w:rsid w:val="00B13591"/>
    <w:rsid w:val="00B151B3"/>
    <w:rsid w:val="00B15B10"/>
    <w:rsid w:val="00B16FEA"/>
    <w:rsid w:val="00B21BA6"/>
    <w:rsid w:val="00B35803"/>
    <w:rsid w:val="00B406C8"/>
    <w:rsid w:val="00B41583"/>
    <w:rsid w:val="00B4199A"/>
    <w:rsid w:val="00B41D05"/>
    <w:rsid w:val="00B42C8D"/>
    <w:rsid w:val="00B621E6"/>
    <w:rsid w:val="00B6542D"/>
    <w:rsid w:val="00B661C4"/>
    <w:rsid w:val="00B76BD3"/>
    <w:rsid w:val="00B93B6B"/>
    <w:rsid w:val="00BA6075"/>
    <w:rsid w:val="00BA799F"/>
    <w:rsid w:val="00BB0095"/>
    <w:rsid w:val="00BB3DBB"/>
    <w:rsid w:val="00BB6F30"/>
    <w:rsid w:val="00BC2252"/>
    <w:rsid w:val="00BC3AFC"/>
    <w:rsid w:val="00BC5D44"/>
    <w:rsid w:val="00BC6A99"/>
    <w:rsid w:val="00BD39B3"/>
    <w:rsid w:val="00BF3D31"/>
    <w:rsid w:val="00BF4CB4"/>
    <w:rsid w:val="00BF7717"/>
    <w:rsid w:val="00C01426"/>
    <w:rsid w:val="00C016FD"/>
    <w:rsid w:val="00C02626"/>
    <w:rsid w:val="00C1339B"/>
    <w:rsid w:val="00C23AA2"/>
    <w:rsid w:val="00C302E6"/>
    <w:rsid w:val="00C32105"/>
    <w:rsid w:val="00C33767"/>
    <w:rsid w:val="00C34F27"/>
    <w:rsid w:val="00C351DB"/>
    <w:rsid w:val="00C35E2C"/>
    <w:rsid w:val="00C364F2"/>
    <w:rsid w:val="00C41CCC"/>
    <w:rsid w:val="00C433E8"/>
    <w:rsid w:val="00C44632"/>
    <w:rsid w:val="00C446AA"/>
    <w:rsid w:val="00C508B6"/>
    <w:rsid w:val="00C535CD"/>
    <w:rsid w:val="00C77957"/>
    <w:rsid w:val="00C8163B"/>
    <w:rsid w:val="00C9501B"/>
    <w:rsid w:val="00CA34A3"/>
    <w:rsid w:val="00CA638F"/>
    <w:rsid w:val="00CA701D"/>
    <w:rsid w:val="00CB0BB5"/>
    <w:rsid w:val="00CC4992"/>
    <w:rsid w:val="00CD2BE4"/>
    <w:rsid w:val="00CD5782"/>
    <w:rsid w:val="00CD683C"/>
    <w:rsid w:val="00CE20A1"/>
    <w:rsid w:val="00CF385C"/>
    <w:rsid w:val="00CF4E74"/>
    <w:rsid w:val="00D007F0"/>
    <w:rsid w:val="00D05074"/>
    <w:rsid w:val="00D10085"/>
    <w:rsid w:val="00D103CD"/>
    <w:rsid w:val="00D10E95"/>
    <w:rsid w:val="00D148F2"/>
    <w:rsid w:val="00D1756F"/>
    <w:rsid w:val="00D263C6"/>
    <w:rsid w:val="00D320BF"/>
    <w:rsid w:val="00D40E5B"/>
    <w:rsid w:val="00D5096E"/>
    <w:rsid w:val="00D552DA"/>
    <w:rsid w:val="00D631DB"/>
    <w:rsid w:val="00D64CEC"/>
    <w:rsid w:val="00D65315"/>
    <w:rsid w:val="00D66C2A"/>
    <w:rsid w:val="00D75E02"/>
    <w:rsid w:val="00D77034"/>
    <w:rsid w:val="00D80580"/>
    <w:rsid w:val="00D8205B"/>
    <w:rsid w:val="00D90778"/>
    <w:rsid w:val="00D91955"/>
    <w:rsid w:val="00D920BB"/>
    <w:rsid w:val="00D97D2E"/>
    <w:rsid w:val="00DA668A"/>
    <w:rsid w:val="00DB657F"/>
    <w:rsid w:val="00DC216F"/>
    <w:rsid w:val="00DC5EDA"/>
    <w:rsid w:val="00DC6F19"/>
    <w:rsid w:val="00DD0262"/>
    <w:rsid w:val="00DD19EC"/>
    <w:rsid w:val="00DD3723"/>
    <w:rsid w:val="00DE009E"/>
    <w:rsid w:val="00DE158B"/>
    <w:rsid w:val="00DE3362"/>
    <w:rsid w:val="00DE6F74"/>
    <w:rsid w:val="00DE7042"/>
    <w:rsid w:val="00DF32FA"/>
    <w:rsid w:val="00DF4041"/>
    <w:rsid w:val="00E03F1D"/>
    <w:rsid w:val="00E04BA2"/>
    <w:rsid w:val="00E10E40"/>
    <w:rsid w:val="00E1383A"/>
    <w:rsid w:val="00E13C07"/>
    <w:rsid w:val="00E20733"/>
    <w:rsid w:val="00E25D62"/>
    <w:rsid w:val="00E27B63"/>
    <w:rsid w:val="00E37A5F"/>
    <w:rsid w:val="00E46DC2"/>
    <w:rsid w:val="00E50A22"/>
    <w:rsid w:val="00E60CBB"/>
    <w:rsid w:val="00E64321"/>
    <w:rsid w:val="00E75CFA"/>
    <w:rsid w:val="00E7667C"/>
    <w:rsid w:val="00E77046"/>
    <w:rsid w:val="00E83B31"/>
    <w:rsid w:val="00E93BAE"/>
    <w:rsid w:val="00EA07EE"/>
    <w:rsid w:val="00EA7826"/>
    <w:rsid w:val="00EB09D9"/>
    <w:rsid w:val="00EB0DF2"/>
    <w:rsid w:val="00EB1FA2"/>
    <w:rsid w:val="00EB4A38"/>
    <w:rsid w:val="00EB65A2"/>
    <w:rsid w:val="00EB6E59"/>
    <w:rsid w:val="00EC23B7"/>
    <w:rsid w:val="00EE3DF6"/>
    <w:rsid w:val="00EE7D2C"/>
    <w:rsid w:val="00EF5E5B"/>
    <w:rsid w:val="00F041A8"/>
    <w:rsid w:val="00F0616E"/>
    <w:rsid w:val="00F06181"/>
    <w:rsid w:val="00F07F3C"/>
    <w:rsid w:val="00F109C5"/>
    <w:rsid w:val="00F112E9"/>
    <w:rsid w:val="00F11EF7"/>
    <w:rsid w:val="00F24C3E"/>
    <w:rsid w:val="00F33082"/>
    <w:rsid w:val="00F44251"/>
    <w:rsid w:val="00F4503A"/>
    <w:rsid w:val="00F54641"/>
    <w:rsid w:val="00F577FF"/>
    <w:rsid w:val="00F60D6A"/>
    <w:rsid w:val="00F668D4"/>
    <w:rsid w:val="00F67515"/>
    <w:rsid w:val="00F71B7F"/>
    <w:rsid w:val="00F81376"/>
    <w:rsid w:val="00F83939"/>
    <w:rsid w:val="00F94906"/>
    <w:rsid w:val="00F95F0A"/>
    <w:rsid w:val="00F9656D"/>
    <w:rsid w:val="00FA2EED"/>
    <w:rsid w:val="00FA387F"/>
    <w:rsid w:val="00FB1789"/>
    <w:rsid w:val="00FB5CB2"/>
    <w:rsid w:val="00FB60CF"/>
    <w:rsid w:val="00FC0085"/>
    <w:rsid w:val="00FC2DD7"/>
    <w:rsid w:val="00FC4114"/>
    <w:rsid w:val="00FD314A"/>
    <w:rsid w:val="00FD342F"/>
    <w:rsid w:val="00FE5E8D"/>
    <w:rsid w:val="00FF09D0"/>
    <w:rsid w:val="00FF55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FACFBDC"/>
  <w15:docId w15:val="{11172A1D-5142-4B93-80E2-41456EBF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nhideWhenUsed="1"/>
    <w:lsdException w:name="Normal Indent" w:semiHidden="1" w:uiPriority="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 w:unhideWhenUsed="1"/>
    <w:lsdException w:name="table of authorities" w:semiHidden="1" w:uiPriority="9" w:unhideWhenUsed="1"/>
    <w:lsdException w:name="toa heading" w:semiHidden="1" w:unhideWhenUsed="1"/>
    <w:lsdException w:name="List" w:semiHidden="1" w:uiPriority="9" w:unhideWhenUsed="1"/>
    <w:lsdException w:name="List Bullet" w:semiHidden="1" w:uiPriority="9" w:unhideWhenUsed="1"/>
    <w:lsdException w:name="List Number" w:semiHidden="1" w:uiPriority="9" w:unhideWhenUsed="1"/>
    <w:lsdException w:name="List 2" w:semiHidden="1" w:uiPriority="9" w:unhideWhenUsed="1"/>
    <w:lsdException w:name="List 3" w:semiHidden="1" w:uiPriority="9" w:unhideWhenUsed="1"/>
    <w:lsdException w:name="List 4" w:semiHidden="1" w:uiPriority="9" w:unhideWhenUsed="1"/>
    <w:lsdException w:name="List 5" w:semiHidden="1" w:uiPriority="9" w:unhideWhenUsed="1"/>
    <w:lsdException w:name="List Bullet 2" w:semiHidden="1" w:uiPriority="9" w:unhideWhenUsed="1"/>
    <w:lsdException w:name="List Bullet 3" w:semiHidden="1" w:uiPriority="9" w:unhideWhenUsed="1"/>
    <w:lsdException w:name="List Bullet 4" w:semiHidden="1" w:uiPriority="9" w:unhideWhenUsed="1"/>
    <w:lsdException w:name="List Bullet 5" w:semiHidden="1" w:uiPriority="9" w:unhideWhenUsed="1"/>
    <w:lsdException w:name="List Number 2" w:semiHidden="1" w:uiPriority="9" w:unhideWhenUsed="1"/>
    <w:lsdException w:name="List Number 3" w:semiHidden="1" w:uiPriority="9" w:unhideWhenUsed="1"/>
    <w:lsdException w:name="List Number 4" w:semiHidden="1" w:uiPriority="9" w:unhideWhenUsed="1"/>
    <w:lsdException w:name="List Number 5" w:semiHidden="1" w:uiPriority="9" w:unhideWhenUsed="1"/>
    <w:lsdException w:name="Title" w:qFormat="1"/>
    <w:lsdException w:name="Closing" w:semiHidden="1" w:uiPriority="9" w:unhideWhenUsed="1"/>
    <w:lsdException w:name="Signature" w:semiHidden="1" w:unhideWhenUsed="1"/>
    <w:lsdException w:name="Default Paragraph Font" w:semiHidden="1" w:unhideWhenUsed="1"/>
    <w:lsdException w:name="Body Text" w:semiHidden="1" w:uiPriority="9" w:unhideWhenUsed="1"/>
    <w:lsdException w:name="Body Text Indent" w:semiHidden="1" w:uiPriority="9" w:unhideWhenUsed="1"/>
    <w:lsdException w:name="List Continue" w:semiHidden="1" w:uiPriority="9" w:unhideWhenUsed="1"/>
    <w:lsdException w:name="List Continue 2" w:semiHidden="1" w:uiPriority="9" w:unhideWhenUsed="1"/>
    <w:lsdException w:name="List Continue 3" w:semiHidden="1" w:uiPriority="9" w:unhideWhenUsed="1"/>
    <w:lsdException w:name="List Continue 4" w:semiHidden="1" w:uiPriority="9" w:unhideWhenUsed="1"/>
    <w:lsdException w:name="List Continue 5" w:semiHidden="1" w:uiPriority="9" w:unhideWhenUsed="1"/>
    <w:lsdException w:name="Subtitle" w:qFormat="1"/>
    <w:lsdException w:name="Salutation" w:semiHidden="1" w:uiPriority="9" w:unhideWhenUsed="1"/>
    <w:lsdException w:name="Date" w:semiHidden="1" w:uiPriority="9" w:unhideWhenUsed="1"/>
    <w:lsdException w:name="Body Text First Indent" w:semiHidden="1" w:uiPriority="9" w:unhideWhenUsed="1"/>
    <w:lsdException w:name="Body Text First Indent 2" w:semiHidden="1" w:uiPriority="9" w:unhideWhenUsed="1"/>
    <w:lsdException w:name="Note Heading" w:semiHidden="1" w:uiPriority="9" w:unhideWhenUsed="1"/>
    <w:lsdException w:name="Body Text 2" w:semiHidden="1" w:uiPriority="9" w:unhideWhenUsed="1"/>
    <w:lsdException w:name="Body Text 3" w:semiHidden="1" w:uiPriority="9" w:unhideWhenUsed="1"/>
    <w:lsdException w:name="Body Text Indent 2" w:semiHidden="1" w:uiPriority="9" w:unhideWhenUsed="1"/>
    <w:lsdException w:name="Body Text Indent 3" w:semiHidden="1" w:uiPriority="9" w:unhideWhenUsed="1"/>
    <w:lsdException w:name="Block Text" w:semiHidden="1" w:uiPriority="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
    <w:unhideWhenUsed/>
    <w:qFormat/>
    <w:rsid w:val="000C42AE"/>
    <w:rPr>
      <w:rFonts w:ascii="Arial" w:hAnsi="Arial"/>
      <w:sz w:val="22"/>
      <w:lang w:eastAsia="en-US"/>
    </w:rPr>
  </w:style>
  <w:style w:type="paragraph" w:styleId="Heading1">
    <w:name w:val="heading 1"/>
    <w:basedOn w:val="Normal"/>
    <w:next w:val="Normal"/>
    <w:uiPriority w:val="9"/>
    <w:semiHidden/>
    <w:unhideWhenUsed/>
    <w:qFormat/>
    <w:rsid w:val="00832E7B"/>
    <w:pPr>
      <w:keepNext/>
      <w:spacing w:before="240" w:after="60"/>
      <w:outlineLvl w:val="0"/>
    </w:pPr>
    <w:rPr>
      <w:rFonts w:ascii="Futura ExtraBold" w:hAnsi="Futura ExtraBold" w:cs="Arial"/>
      <w:kern w:val="32"/>
      <w:sz w:val="32"/>
      <w:szCs w:val="32"/>
    </w:rPr>
  </w:style>
  <w:style w:type="paragraph" w:styleId="Heading2">
    <w:name w:val="heading 2"/>
    <w:basedOn w:val="Normal"/>
    <w:next w:val="Normal"/>
    <w:uiPriority w:val="9"/>
    <w:semiHidden/>
    <w:unhideWhenUsed/>
    <w:qFormat/>
    <w:rsid w:val="00832E7B"/>
    <w:pPr>
      <w:keepNext/>
      <w:spacing w:before="160" w:after="100"/>
      <w:outlineLvl w:val="1"/>
    </w:pPr>
    <w:rPr>
      <w:rFonts w:ascii="Futura ExtraBold" w:hAnsi="Futura ExtraBold" w:cs="Arial"/>
      <w:iCs/>
      <w:sz w:val="28"/>
      <w:szCs w:val="28"/>
    </w:rPr>
  </w:style>
  <w:style w:type="paragraph" w:styleId="Heading3">
    <w:name w:val="heading 3"/>
    <w:basedOn w:val="Normal"/>
    <w:next w:val="Normal"/>
    <w:uiPriority w:val="9"/>
    <w:semiHidden/>
    <w:unhideWhenUsed/>
    <w:qFormat/>
    <w:rsid w:val="00832E7B"/>
    <w:pPr>
      <w:keepNext/>
      <w:spacing w:before="100" w:after="60"/>
      <w:ind w:left="720"/>
      <w:outlineLvl w:val="2"/>
    </w:pPr>
    <w:rPr>
      <w:rFonts w:ascii="Futura ExtraBold" w:hAnsi="Futura ExtraBold"/>
      <w:sz w:val="26"/>
      <w:szCs w:val="26"/>
    </w:rPr>
  </w:style>
  <w:style w:type="paragraph" w:styleId="Heading4">
    <w:name w:val="heading 4"/>
    <w:basedOn w:val="Normal"/>
    <w:next w:val="Normal"/>
    <w:uiPriority w:val="9"/>
    <w:semiHidden/>
    <w:unhideWhenUsed/>
    <w:qFormat/>
    <w:rsid w:val="00832E7B"/>
    <w:pPr>
      <w:keepNext/>
      <w:spacing w:before="90" w:after="60"/>
      <w:ind w:left="1440"/>
      <w:outlineLvl w:val="3"/>
    </w:pPr>
    <w:rPr>
      <w:rFonts w:ascii="Futura CondensedExtraBold" w:hAnsi="Futura CondensedExtraBold"/>
      <w:sz w:val="28"/>
      <w:szCs w:val="28"/>
    </w:rPr>
  </w:style>
  <w:style w:type="paragraph" w:styleId="Heading5">
    <w:name w:val="heading 5"/>
    <w:basedOn w:val="Normal"/>
    <w:next w:val="Normal"/>
    <w:uiPriority w:val="9"/>
    <w:semiHidden/>
    <w:unhideWhenUsed/>
    <w:qFormat/>
    <w:rsid w:val="00832E7B"/>
    <w:pPr>
      <w:keepNext/>
      <w:spacing w:before="80" w:after="60"/>
      <w:ind w:left="2160"/>
      <w:outlineLvl w:val="4"/>
    </w:pPr>
    <w:rPr>
      <w:rFonts w:ascii="Futura CondensedExtraBold" w:hAnsi="Futura CondensedExtraBold"/>
      <w:iCs/>
      <w:sz w:val="26"/>
      <w:szCs w:val="26"/>
    </w:rPr>
  </w:style>
  <w:style w:type="paragraph" w:styleId="Heading6">
    <w:name w:val="heading 6"/>
    <w:basedOn w:val="Normal"/>
    <w:next w:val="Normal"/>
    <w:uiPriority w:val="9"/>
    <w:semiHidden/>
    <w:unhideWhenUsed/>
    <w:qFormat/>
    <w:rsid w:val="00832E7B"/>
    <w:pPr>
      <w:keepNext/>
      <w:spacing w:before="70" w:after="60"/>
      <w:ind w:left="2880"/>
      <w:outlineLvl w:val="5"/>
    </w:pPr>
    <w:rPr>
      <w:rFonts w:ascii="Futura CondensedExtraBold" w:hAnsi="Futura CondensedExtraBold"/>
      <w:bCs/>
      <w:sz w:val="24"/>
      <w:szCs w:val="22"/>
    </w:rPr>
  </w:style>
  <w:style w:type="paragraph" w:styleId="Heading7">
    <w:name w:val="heading 7"/>
    <w:basedOn w:val="Normal"/>
    <w:next w:val="Normal"/>
    <w:uiPriority w:val="9"/>
    <w:semiHidden/>
    <w:unhideWhenUsed/>
    <w:qFormat/>
    <w:rsid w:val="00832E7B"/>
    <w:pPr>
      <w:keepNext/>
      <w:spacing w:before="60" w:after="60"/>
      <w:ind w:left="3600"/>
      <w:outlineLvl w:val="6"/>
    </w:pPr>
    <w:rPr>
      <w:rFonts w:ascii="Futura Condensed" w:hAnsi="Futura Condensed"/>
      <w:b/>
      <w:sz w:val="24"/>
    </w:rPr>
  </w:style>
  <w:style w:type="paragraph" w:styleId="Heading8">
    <w:name w:val="heading 8"/>
    <w:basedOn w:val="Normal"/>
    <w:next w:val="Normal"/>
    <w:uiPriority w:val="9"/>
    <w:semiHidden/>
    <w:unhideWhenUsed/>
    <w:qFormat/>
    <w:rsid w:val="00832E7B"/>
    <w:pPr>
      <w:keepNext/>
      <w:spacing w:before="50" w:after="60"/>
      <w:ind w:left="4321"/>
      <w:outlineLvl w:val="7"/>
    </w:pPr>
    <w:rPr>
      <w:rFonts w:ascii="Futura Condensed" w:hAnsi="Futura Condensed"/>
      <w:b/>
      <w:iCs/>
    </w:rPr>
  </w:style>
  <w:style w:type="paragraph" w:styleId="Heading9">
    <w:name w:val="heading 9"/>
    <w:basedOn w:val="Normal"/>
    <w:next w:val="Normal"/>
    <w:uiPriority w:val="9"/>
    <w:semiHidden/>
    <w:unhideWhenUsed/>
    <w:qFormat/>
    <w:rsid w:val="00832E7B"/>
    <w:pPr>
      <w:keepNext/>
      <w:spacing w:before="40" w:after="60"/>
      <w:ind w:left="5041"/>
      <w:outlineLvl w:val="8"/>
    </w:pPr>
    <w:rPr>
      <w:rFonts w:ascii="Futura Condensed" w:hAnsi="Futura Condensed"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32E7B"/>
    <w:rPr>
      <w:rFonts w:ascii="Times New Roman" w:hAnsi="Times New Roman"/>
      <w:vertAlign w:val="superscript"/>
    </w:rPr>
  </w:style>
  <w:style w:type="character" w:styleId="CommentReference">
    <w:name w:val="annotation reference"/>
    <w:basedOn w:val="DefaultParagraphFont"/>
    <w:semiHidden/>
    <w:rsid w:val="00832E7B"/>
    <w:rPr>
      <w:rFonts w:ascii="AGaramond" w:hAnsi="AGaramond"/>
      <w:sz w:val="16"/>
      <w:szCs w:val="16"/>
    </w:rPr>
  </w:style>
  <w:style w:type="paragraph" w:styleId="DocumentMap">
    <w:name w:val="Document Map"/>
    <w:basedOn w:val="Normal"/>
    <w:semiHidden/>
    <w:rsid w:val="00832E7B"/>
    <w:pPr>
      <w:shd w:val="clear" w:color="auto" w:fill="000080"/>
    </w:pPr>
    <w:rPr>
      <w:rFonts w:ascii="Times New Roman" w:hAnsi="Times New Roman" w:cs="Tahoma"/>
      <w:sz w:val="24"/>
    </w:rPr>
  </w:style>
  <w:style w:type="character" w:styleId="Emphasis">
    <w:name w:val="Emphasis"/>
    <w:basedOn w:val="DefaultParagraphFont"/>
    <w:uiPriority w:val="9"/>
    <w:semiHidden/>
    <w:unhideWhenUsed/>
    <w:qFormat/>
    <w:rsid w:val="00832E7B"/>
    <w:rPr>
      <w:rFonts w:ascii="Times New Roman" w:hAnsi="Times New Roman"/>
      <w:iCs/>
    </w:rPr>
  </w:style>
  <w:style w:type="character" w:styleId="EndnoteReference">
    <w:name w:val="endnote reference"/>
    <w:basedOn w:val="DefaultParagraphFont"/>
    <w:semiHidden/>
    <w:rsid w:val="00832E7B"/>
    <w:rPr>
      <w:rFonts w:ascii="Times New Roman" w:hAnsi="Times New Roman"/>
      <w:vertAlign w:val="superscript"/>
    </w:rPr>
  </w:style>
  <w:style w:type="paragraph" w:styleId="EnvelopeAddress">
    <w:name w:val="envelope address"/>
    <w:basedOn w:val="Normal"/>
    <w:uiPriority w:val="9"/>
    <w:semiHidden/>
    <w:unhideWhenUsed/>
    <w:rsid w:val="00832E7B"/>
    <w:pPr>
      <w:framePr w:w="7920" w:h="1980" w:hRule="exact" w:hSpace="180" w:wrap="auto" w:hAnchor="page" w:xAlign="center" w:yAlign="bottom"/>
      <w:ind w:left="2880"/>
    </w:pPr>
    <w:rPr>
      <w:rFonts w:ascii="Times New Roman" w:hAnsi="Times New Roman" w:cs="Arial"/>
      <w:sz w:val="24"/>
    </w:rPr>
  </w:style>
  <w:style w:type="paragraph" w:styleId="EnvelopeReturn">
    <w:name w:val="envelope return"/>
    <w:basedOn w:val="Normal"/>
    <w:uiPriority w:val="9"/>
    <w:semiHidden/>
    <w:unhideWhenUsed/>
    <w:rsid w:val="00832E7B"/>
    <w:rPr>
      <w:rFonts w:ascii="Times New Roman" w:hAnsi="Times New Roman" w:cs="Arial"/>
    </w:rPr>
  </w:style>
  <w:style w:type="character" w:styleId="FollowedHyperlink">
    <w:name w:val="FollowedHyperlink"/>
    <w:basedOn w:val="DefaultParagraphFont"/>
    <w:uiPriority w:val="9"/>
    <w:semiHidden/>
    <w:unhideWhenUsed/>
    <w:rsid w:val="00832E7B"/>
    <w:rPr>
      <w:rFonts w:ascii="Times New Roman" w:hAnsi="Times New Roman"/>
      <w:color w:val="800080"/>
      <w:u w:val="single"/>
    </w:rPr>
  </w:style>
  <w:style w:type="paragraph" w:styleId="Footer">
    <w:name w:val="footer"/>
    <w:basedOn w:val="Normal"/>
    <w:link w:val="FooterChar"/>
    <w:uiPriority w:val="99"/>
    <w:unhideWhenUsed/>
    <w:rsid w:val="00832E7B"/>
    <w:pPr>
      <w:tabs>
        <w:tab w:val="center" w:pos="4153"/>
        <w:tab w:val="right" w:pos="8306"/>
      </w:tabs>
    </w:pPr>
    <w:rPr>
      <w:rFonts w:ascii="Times New Roman" w:hAnsi="Times New Roman"/>
      <w:sz w:val="24"/>
    </w:rPr>
  </w:style>
  <w:style w:type="paragraph" w:styleId="Header">
    <w:name w:val="header"/>
    <w:basedOn w:val="Normal"/>
    <w:link w:val="HeaderChar"/>
    <w:uiPriority w:val="99"/>
    <w:unhideWhenUsed/>
    <w:rsid w:val="00832E7B"/>
    <w:pPr>
      <w:tabs>
        <w:tab w:val="center" w:pos="4153"/>
        <w:tab w:val="right" w:pos="8306"/>
      </w:tabs>
    </w:pPr>
    <w:rPr>
      <w:rFonts w:ascii="Times New Roman" w:hAnsi="Times New Roman"/>
      <w:sz w:val="24"/>
    </w:rPr>
  </w:style>
  <w:style w:type="character" w:styleId="HTMLAcronym">
    <w:name w:val="HTML Acronym"/>
    <w:basedOn w:val="DefaultParagraphFont"/>
    <w:uiPriority w:val="9"/>
    <w:semiHidden/>
    <w:unhideWhenUsed/>
    <w:rsid w:val="00832E7B"/>
    <w:rPr>
      <w:rFonts w:ascii="Times New Roman" w:hAnsi="Times New Roman"/>
    </w:rPr>
  </w:style>
  <w:style w:type="character" w:styleId="HTMLCite">
    <w:name w:val="HTML Cite"/>
    <w:basedOn w:val="DefaultParagraphFont"/>
    <w:uiPriority w:val="9"/>
    <w:semiHidden/>
    <w:unhideWhenUsed/>
    <w:rsid w:val="00832E7B"/>
    <w:rPr>
      <w:rFonts w:ascii="Times New Roman" w:hAnsi="Times New Roman"/>
      <w:iCs/>
    </w:rPr>
  </w:style>
  <w:style w:type="character" w:styleId="HTMLCode">
    <w:name w:val="HTML Code"/>
    <w:basedOn w:val="DefaultParagraphFont"/>
    <w:uiPriority w:val="9"/>
    <w:semiHidden/>
    <w:unhideWhenUsed/>
    <w:rsid w:val="00832E7B"/>
    <w:rPr>
      <w:rFonts w:ascii="Times New Roman" w:hAnsi="Times New Roman"/>
      <w:sz w:val="20"/>
      <w:szCs w:val="20"/>
    </w:rPr>
  </w:style>
  <w:style w:type="character" w:styleId="HTMLDefinition">
    <w:name w:val="HTML Definition"/>
    <w:basedOn w:val="DefaultParagraphFont"/>
    <w:uiPriority w:val="9"/>
    <w:semiHidden/>
    <w:unhideWhenUsed/>
    <w:rsid w:val="00832E7B"/>
    <w:rPr>
      <w:rFonts w:ascii="Times New Roman" w:hAnsi="Times New Roman"/>
      <w:iCs/>
    </w:rPr>
  </w:style>
  <w:style w:type="character" w:styleId="HTMLKeyboard">
    <w:name w:val="HTML Keyboard"/>
    <w:basedOn w:val="DefaultParagraphFont"/>
    <w:uiPriority w:val="9"/>
    <w:semiHidden/>
    <w:unhideWhenUsed/>
    <w:rsid w:val="00832E7B"/>
    <w:rPr>
      <w:rFonts w:ascii="Times New Roman" w:hAnsi="Times New Roman"/>
      <w:sz w:val="20"/>
      <w:szCs w:val="20"/>
    </w:rPr>
  </w:style>
  <w:style w:type="paragraph" w:styleId="HTMLPreformatted">
    <w:name w:val="HTML Preformatted"/>
    <w:basedOn w:val="Normal"/>
    <w:uiPriority w:val="9"/>
    <w:semiHidden/>
    <w:unhideWhenUsed/>
    <w:rsid w:val="00832E7B"/>
    <w:rPr>
      <w:rFonts w:ascii="Times New Roman" w:hAnsi="Times New Roman" w:cs="Courier New"/>
    </w:rPr>
  </w:style>
  <w:style w:type="character" w:styleId="HTMLSample">
    <w:name w:val="HTML Sample"/>
    <w:basedOn w:val="DefaultParagraphFont"/>
    <w:uiPriority w:val="9"/>
    <w:semiHidden/>
    <w:unhideWhenUsed/>
    <w:rsid w:val="00832E7B"/>
    <w:rPr>
      <w:rFonts w:ascii="Times New Roman" w:hAnsi="Times New Roman"/>
    </w:rPr>
  </w:style>
  <w:style w:type="character" w:styleId="HTMLTypewriter">
    <w:name w:val="HTML Typewriter"/>
    <w:basedOn w:val="DefaultParagraphFont"/>
    <w:uiPriority w:val="9"/>
    <w:semiHidden/>
    <w:unhideWhenUsed/>
    <w:rsid w:val="00832E7B"/>
    <w:rPr>
      <w:rFonts w:ascii="Times New Roman" w:hAnsi="Times New Roman"/>
      <w:sz w:val="20"/>
      <w:szCs w:val="20"/>
    </w:rPr>
  </w:style>
  <w:style w:type="character" w:styleId="HTMLVariable">
    <w:name w:val="HTML Variable"/>
    <w:basedOn w:val="DefaultParagraphFont"/>
    <w:uiPriority w:val="9"/>
    <w:semiHidden/>
    <w:unhideWhenUsed/>
    <w:rsid w:val="00832E7B"/>
    <w:rPr>
      <w:rFonts w:ascii="Times New Roman" w:hAnsi="Times New Roman"/>
      <w:iCs/>
    </w:rPr>
  </w:style>
  <w:style w:type="character" w:styleId="Hyperlink">
    <w:name w:val="Hyperlink"/>
    <w:basedOn w:val="DefaultParagraphFont"/>
    <w:uiPriority w:val="9"/>
    <w:unhideWhenUsed/>
    <w:rsid w:val="00832E7B"/>
    <w:rPr>
      <w:rFonts w:ascii="Times New Roman" w:hAnsi="Times New Roman"/>
      <w:color w:val="0000FF"/>
      <w:u w:val="single"/>
    </w:rPr>
  </w:style>
  <w:style w:type="paragraph" w:styleId="Index1">
    <w:name w:val="index 1"/>
    <w:basedOn w:val="Normal"/>
    <w:next w:val="Normal"/>
    <w:autoRedefine/>
    <w:semiHidden/>
    <w:rsid w:val="00832E7B"/>
    <w:pPr>
      <w:ind w:left="240" w:hanging="240"/>
    </w:pPr>
    <w:rPr>
      <w:rFonts w:ascii="Times New Roman" w:hAnsi="Times New Roman"/>
      <w:sz w:val="24"/>
    </w:rPr>
  </w:style>
  <w:style w:type="paragraph" w:styleId="IndexHeading">
    <w:name w:val="index heading"/>
    <w:basedOn w:val="Normal"/>
    <w:next w:val="Index1"/>
    <w:semiHidden/>
    <w:rsid w:val="00832E7B"/>
    <w:rPr>
      <w:rFonts w:ascii="Times New Roman" w:hAnsi="Times New Roman" w:cs="Arial"/>
      <w:b/>
      <w:bCs/>
      <w:sz w:val="24"/>
    </w:rPr>
  </w:style>
  <w:style w:type="character" w:styleId="LineNumber">
    <w:name w:val="line number"/>
    <w:basedOn w:val="DefaultParagraphFont"/>
    <w:uiPriority w:val="9"/>
    <w:semiHidden/>
    <w:unhideWhenUsed/>
    <w:rsid w:val="00832E7B"/>
    <w:rPr>
      <w:rFonts w:ascii="Times New Roman" w:hAnsi="Times New Roman"/>
    </w:rPr>
  </w:style>
  <w:style w:type="paragraph" w:styleId="MacroText">
    <w:name w:val="macro"/>
    <w:semiHidden/>
    <w:rsid w:val="00832E7B"/>
    <w:pPr>
      <w:tabs>
        <w:tab w:val="left" w:pos="480"/>
        <w:tab w:val="left" w:pos="960"/>
        <w:tab w:val="left" w:pos="1440"/>
        <w:tab w:val="left" w:pos="1920"/>
        <w:tab w:val="left" w:pos="2400"/>
        <w:tab w:val="left" w:pos="2880"/>
        <w:tab w:val="left" w:pos="3360"/>
        <w:tab w:val="left" w:pos="3840"/>
        <w:tab w:val="left" w:pos="4320"/>
      </w:tabs>
    </w:pPr>
    <w:rPr>
      <w:rFonts w:cs="Courier New"/>
      <w:lang w:eastAsia="en-US"/>
    </w:rPr>
  </w:style>
  <w:style w:type="paragraph" w:styleId="MessageHeader">
    <w:name w:val="Message Header"/>
    <w:basedOn w:val="Normal"/>
    <w:uiPriority w:val="9"/>
    <w:semiHidden/>
    <w:unhideWhenUsed/>
    <w:rsid w:val="00832E7B"/>
    <w:pPr>
      <w:pBdr>
        <w:top w:val="single" w:sz="6" w:space="1" w:color="auto"/>
        <w:left w:val="single" w:sz="6" w:space="1" w:color="auto"/>
        <w:bottom w:val="single" w:sz="6" w:space="1" w:color="auto"/>
        <w:right w:val="single" w:sz="6" w:space="1" w:color="auto"/>
      </w:pBdr>
      <w:shd w:val="pct20" w:color="auto" w:fill="auto"/>
      <w:ind w:left="1134" w:hanging="1134"/>
    </w:pPr>
    <w:rPr>
      <w:rFonts w:ascii="Times New Roman" w:hAnsi="Times New Roman" w:cs="Arial"/>
      <w:sz w:val="24"/>
    </w:rPr>
  </w:style>
  <w:style w:type="paragraph" w:styleId="NormalWeb">
    <w:name w:val="Normal (Web)"/>
    <w:basedOn w:val="Normal"/>
    <w:uiPriority w:val="9"/>
    <w:semiHidden/>
    <w:unhideWhenUsed/>
    <w:rsid w:val="00832E7B"/>
    <w:rPr>
      <w:szCs w:val="24"/>
    </w:rPr>
  </w:style>
  <w:style w:type="character" w:styleId="PageNumber">
    <w:name w:val="page number"/>
    <w:basedOn w:val="DefaultParagraphFont"/>
    <w:uiPriority w:val="9"/>
    <w:semiHidden/>
    <w:unhideWhenUsed/>
    <w:rsid w:val="00832E7B"/>
    <w:rPr>
      <w:rFonts w:ascii="Times New Roman" w:hAnsi="Times New Roman"/>
    </w:rPr>
  </w:style>
  <w:style w:type="paragraph" w:styleId="PlainText">
    <w:name w:val="Plain Text"/>
    <w:basedOn w:val="Normal"/>
    <w:uiPriority w:val="9"/>
    <w:semiHidden/>
    <w:unhideWhenUsed/>
    <w:rsid w:val="00832E7B"/>
    <w:rPr>
      <w:rFonts w:cs="Courier New"/>
      <w:sz w:val="20"/>
    </w:rPr>
  </w:style>
  <w:style w:type="paragraph" w:customStyle="1" w:styleId="publishedBody">
    <w:name w:val="publishedBody"/>
    <w:uiPriority w:val="9"/>
    <w:semiHidden/>
    <w:unhideWhenUsed/>
    <w:rsid w:val="00832E7B"/>
    <w:rPr>
      <w:rFonts w:ascii="AGaramond" w:hAnsi="AGaramond"/>
      <w:sz w:val="24"/>
      <w:lang w:eastAsia="en-US"/>
    </w:rPr>
  </w:style>
  <w:style w:type="paragraph" w:styleId="Signature">
    <w:name w:val="Signature"/>
    <w:basedOn w:val="Normal"/>
    <w:uiPriority w:val="9"/>
    <w:semiHidden/>
    <w:rsid w:val="00832E7B"/>
    <w:pPr>
      <w:ind w:left="4252"/>
    </w:pPr>
  </w:style>
  <w:style w:type="character" w:styleId="Strong">
    <w:name w:val="Strong"/>
    <w:basedOn w:val="DefaultParagraphFont"/>
    <w:uiPriority w:val="9"/>
    <w:semiHidden/>
    <w:qFormat/>
    <w:rsid w:val="00832E7B"/>
    <w:rPr>
      <w:rFonts w:ascii="Times New Roman" w:hAnsi="Times New Roman"/>
      <w:b/>
      <w:bCs/>
    </w:rPr>
  </w:style>
  <w:style w:type="paragraph" w:styleId="Subtitle">
    <w:name w:val="Subtitle"/>
    <w:basedOn w:val="Normal"/>
    <w:uiPriority w:val="9"/>
    <w:semiHidden/>
    <w:qFormat/>
    <w:rsid w:val="00832E7B"/>
    <w:pPr>
      <w:spacing w:before="80" w:after="60"/>
      <w:jc w:val="center"/>
      <w:outlineLvl w:val="1"/>
    </w:pPr>
    <w:rPr>
      <w:rFonts w:ascii="Futura CondensedExtraBold" w:hAnsi="Futura CondensedExtraBold" w:cs="Arial"/>
      <w:bCs/>
      <w:sz w:val="36"/>
      <w:szCs w:val="24"/>
    </w:rPr>
  </w:style>
  <w:style w:type="paragraph" w:styleId="Title">
    <w:name w:val="Title"/>
    <w:basedOn w:val="Normal"/>
    <w:uiPriority w:val="9"/>
    <w:semiHidden/>
    <w:qFormat/>
    <w:rsid w:val="00832E7B"/>
    <w:pPr>
      <w:spacing w:before="240" w:after="60"/>
      <w:jc w:val="center"/>
      <w:outlineLvl w:val="0"/>
    </w:pPr>
    <w:rPr>
      <w:rFonts w:ascii="Futura ExtraBold" w:hAnsi="Futura ExtraBold" w:cs="Arial"/>
      <w:kern w:val="28"/>
      <w:sz w:val="40"/>
      <w:szCs w:val="32"/>
    </w:rPr>
  </w:style>
  <w:style w:type="paragraph" w:styleId="TOAHeading">
    <w:name w:val="toa heading"/>
    <w:basedOn w:val="Normal"/>
    <w:next w:val="Normal"/>
    <w:semiHidden/>
    <w:rsid w:val="00832E7B"/>
    <w:pPr>
      <w:spacing w:before="120"/>
    </w:pPr>
    <w:rPr>
      <w:rFonts w:cs="Arial"/>
      <w:b/>
      <w:bCs/>
      <w:szCs w:val="24"/>
    </w:rPr>
  </w:style>
  <w:style w:type="paragraph" w:styleId="TOC9">
    <w:name w:val="toc 9"/>
    <w:basedOn w:val="Normal"/>
    <w:next w:val="Normal"/>
    <w:autoRedefine/>
    <w:semiHidden/>
    <w:rsid w:val="00174D50"/>
    <w:pPr>
      <w:keepNext/>
      <w:keepLines/>
      <w:spacing w:line="260" w:lineRule="exact"/>
    </w:pPr>
  </w:style>
  <w:style w:type="paragraph" w:styleId="CommentText">
    <w:name w:val="annotation text"/>
    <w:basedOn w:val="Normal"/>
    <w:link w:val="CommentTextChar"/>
    <w:semiHidden/>
    <w:rsid w:val="00832E7B"/>
    <w:rPr>
      <w:sz w:val="20"/>
    </w:rPr>
  </w:style>
  <w:style w:type="paragraph" w:styleId="z-BottomofForm">
    <w:name w:val="HTML Bottom of Form"/>
    <w:basedOn w:val="Normal"/>
    <w:next w:val="Normal"/>
    <w:hidden/>
    <w:rsid w:val="00832E7B"/>
    <w:pPr>
      <w:pBdr>
        <w:top w:val="single" w:sz="6" w:space="1" w:color="auto"/>
      </w:pBdr>
      <w:jc w:val="center"/>
    </w:pPr>
    <w:rPr>
      <w:rFonts w:cs="Arial"/>
      <w:vanish/>
      <w:sz w:val="16"/>
      <w:szCs w:val="16"/>
    </w:rPr>
  </w:style>
  <w:style w:type="paragraph" w:styleId="z-TopofForm">
    <w:name w:val="HTML Top of Form"/>
    <w:basedOn w:val="Normal"/>
    <w:next w:val="Normal"/>
    <w:hidden/>
    <w:rsid w:val="00832E7B"/>
    <w:pPr>
      <w:pBdr>
        <w:bottom w:val="single" w:sz="6" w:space="1" w:color="auto"/>
      </w:pBdr>
      <w:jc w:val="center"/>
    </w:pPr>
    <w:rPr>
      <w:rFonts w:cs="Arial"/>
      <w:vanish/>
      <w:sz w:val="16"/>
      <w:szCs w:val="16"/>
    </w:rPr>
  </w:style>
  <w:style w:type="paragraph" w:customStyle="1" w:styleId="Footertext">
    <w:name w:val="Footertext"/>
    <w:basedOn w:val="Footer"/>
    <w:uiPriority w:val="9"/>
    <w:semiHidden/>
    <w:unhideWhenUsed/>
    <w:rsid w:val="00832E7B"/>
    <w:pPr>
      <w:tabs>
        <w:tab w:val="clear" w:pos="4153"/>
        <w:tab w:val="clear" w:pos="8306"/>
      </w:tabs>
    </w:pPr>
    <w:rPr>
      <w:sz w:val="16"/>
    </w:rPr>
  </w:style>
  <w:style w:type="paragraph" w:styleId="BalloonText">
    <w:name w:val="Balloon Text"/>
    <w:basedOn w:val="Normal"/>
    <w:semiHidden/>
    <w:rsid w:val="00D552DA"/>
    <w:rPr>
      <w:rFonts w:ascii="Tahoma" w:hAnsi="Tahoma" w:cs="Tahoma"/>
      <w:sz w:val="16"/>
      <w:szCs w:val="16"/>
    </w:rPr>
  </w:style>
  <w:style w:type="paragraph" w:customStyle="1" w:styleId="QNormal">
    <w:name w:val="Q Normal"/>
    <w:basedOn w:val="Normal"/>
    <w:link w:val="QNormalChar"/>
    <w:qFormat/>
    <w:rsid w:val="00FA387F"/>
    <w:pPr>
      <w:spacing w:after="240" w:line="260" w:lineRule="atLeast"/>
      <w:jc w:val="both"/>
    </w:pPr>
  </w:style>
  <w:style w:type="paragraph" w:customStyle="1" w:styleId="L1Bulletedlist">
    <w:name w:val="L1 Bulleted list"/>
    <w:basedOn w:val="QNormal"/>
    <w:link w:val="L1BulletedlistChar"/>
    <w:uiPriority w:val="9"/>
    <w:qFormat/>
    <w:rsid w:val="00521B11"/>
    <w:pPr>
      <w:numPr>
        <w:numId w:val="1"/>
      </w:numPr>
      <w:spacing w:after="120"/>
    </w:pPr>
    <w:rPr>
      <w:rFonts w:eastAsiaTheme="minorHAnsi" w:cstheme="minorBidi"/>
      <w:szCs w:val="22"/>
    </w:rPr>
  </w:style>
  <w:style w:type="character" w:customStyle="1" w:styleId="L1BulletedlistChar">
    <w:name w:val="L1 Bulleted list Char"/>
    <w:basedOn w:val="DefaultParagraphFont"/>
    <w:link w:val="L1Bulletedlist"/>
    <w:uiPriority w:val="9"/>
    <w:rsid w:val="00521B11"/>
    <w:rPr>
      <w:rFonts w:ascii="Arial" w:eastAsiaTheme="minorHAnsi" w:hAnsi="Arial" w:cstheme="minorBidi"/>
      <w:sz w:val="22"/>
      <w:szCs w:val="22"/>
      <w:lang w:eastAsia="en-US"/>
    </w:rPr>
  </w:style>
  <w:style w:type="paragraph" w:styleId="FootnoteText">
    <w:name w:val="footnote text"/>
    <w:basedOn w:val="Normal"/>
    <w:link w:val="FootnoteTextChar"/>
    <w:semiHidden/>
    <w:unhideWhenUsed/>
    <w:rsid w:val="00521B11"/>
    <w:rPr>
      <w:sz w:val="20"/>
      <w:lang w:eastAsia="en-AU"/>
    </w:rPr>
  </w:style>
  <w:style w:type="character" w:customStyle="1" w:styleId="FootnoteTextChar">
    <w:name w:val="Footnote Text Char"/>
    <w:basedOn w:val="DefaultParagraphFont"/>
    <w:link w:val="FootnoteText"/>
    <w:semiHidden/>
    <w:rsid w:val="00521B11"/>
    <w:rPr>
      <w:rFonts w:ascii="Arial" w:hAnsi="Arial"/>
    </w:rPr>
  </w:style>
  <w:style w:type="paragraph" w:customStyle="1" w:styleId="L2Bulletedlist">
    <w:name w:val="L2 Bulleted list"/>
    <w:basedOn w:val="Normal"/>
    <w:link w:val="L2BulletedlistChar"/>
    <w:uiPriority w:val="9"/>
    <w:qFormat/>
    <w:rsid w:val="00521B11"/>
    <w:pPr>
      <w:numPr>
        <w:ilvl w:val="1"/>
        <w:numId w:val="2"/>
      </w:numPr>
      <w:spacing w:after="120" w:line="260" w:lineRule="atLeast"/>
      <w:ind w:left="851" w:hanging="425"/>
      <w:jc w:val="both"/>
    </w:pPr>
    <w:rPr>
      <w:rFonts w:cs="Arial"/>
      <w:color w:val="000000"/>
      <w:szCs w:val="22"/>
      <w:lang w:eastAsia="en-AU"/>
    </w:rPr>
  </w:style>
  <w:style w:type="character" w:customStyle="1" w:styleId="L2BulletedlistChar">
    <w:name w:val="L2 Bulleted list Char"/>
    <w:basedOn w:val="DefaultParagraphFont"/>
    <w:link w:val="L2Bulletedlist"/>
    <w:uiPriority w:val="9"/>
    <w:rsid w:val="00521B11"/>
    <w:rPr>
      <w:rFonts w:ascii="Arial" w:hAnsi="Arial" w:cs="Arial"/>
      <w:color w:val="000000"/>
      <w:sz w:val="22"/>
      <w:szCs w:val="22"/>
    </w:rPr>
  </w:style>
  <w:style w:type="paragraph" w:customStyle="1" w:styleId="SubmissionHeading">
    <w:name w:val="Submission Heading"/>
    <w:basedOn w:val="QNormal"/>
    <w:link w:val="SubmissionHeadingChar"/>
    <w:uiPriority w:val="9"/>
    <w:qFormat/>
    <w:rsid w:val="00FA387F"/>
    <w:rPr>
      <w:b/>
    </w:rPr>
  </w:style>
  <w:style w:type="paragraph" w:customStyle="1" w:styleId="SubmissionSub-Heading">
    <w:name w:val="Submission Sub-Heading"/>
    <w:basedOn w:val="QNormal"/>
    <w:link w:val="SubmissionSub-HeadingChar"/>
    <w:uiPriority w:val="9"/>
    <w:qFormat/>
    <w:rsid w:val="00FA387F"/>
    <w:rPr>
      <w:u w:val="single"/>
    </w:rPr>
  </w:style>
  <w:style w:type="character" w:customStyle="1" w:styleId="QNormalChar">
    <w:name w:val="Q Normal Char"/>
    <w:basedOn w:val="DefaultParagraphFont"/>
    <w:link w:val="QNormal"/>
    <w:rsid w:val="00FA387F"/>
    <w:rPr>
      <w:rFonts w:ascii="Arial" w:hAnsi="Arial"/>
      <w:sz w:val="22"/>
      <w:lang w:eastAsia="en-US"/>
    </w:rPr>
  </w:style>
  <w:style w:type="character" w:customStyle="1" w:styleId="SubmissionHeadingChar">
    <w:name w:val="Submission Heading Char"/>
    <w:basedOn w:val="QNormalChar"/>
    <w:link w:val="SubmissionHeading"/>
    <w:uiPriority w:val="9"/>
    <w:rsid w:val="00FA387F"/>
    <w:rPr>
      <w:rFonts w:ascii="Arial" w:hAnsi="Arial"/>
      <w:b/>
      <w:sz w:val="22"/>
      <w:lang w:eastAsia="en-US"/>
    </w:rPr>
  </w:style>
  <w:style w:type="paragraph" w:customStyle="1" w:styleId="Addressee">
    <w:name w:val="Addressee"/>
    <w:basedOn w:val="QNormal"/>
    <w:link w:val="AddresseeChar"/>
    <w:uiPriority w:val="9"/>
    <w:qFormat/>
    <w:rsid w:val="00FA387F"/>
    <w:pPr>
      <w:spacing w:after="0"/>
    </w:pPr>
  </w:style>
  <w:style w:type="character" w:customStyle="1" w:styleId="SubmissionSub-HeadingChar">
    <w:name w:val="Submission Sub-Heading Char"/>
    <w:basedOn w:val="QNormalChar"/>
    <w:link w:val="SubmissionSub-Heading"/>
    <w:uiPriority w:val="9"/>
    <w:rsid w:val="00FA387F"/>
    <w:rPr>
      <w:rFonts w:ascii="Arial" w:hAnsi="Arial"/>
      <w:sz w:val="22"/>
      <w:u w:val="single"/>
      <w:lang w:eastAsia="en-US"/>
    </w:rPr>
  </w:style>
  <w:style w:type="character" w:customStyle="1" w:styleId="AddresseeChar">
    <w:name w:val="Addressee Char"/>
    <w:basedOn w:val="QNormalChar"/>
    <w:link w:val="Addressee"/>
    <w:uiPriority w:val="9"/>
    <w:rsid w:val="00FA387F"/>
    <w:rPr>
      <w:rFonts w:ascii="Arial" w:hAnsi="Arial"/>
      <w:sz w:val="22"/>
      <w:lang w:eastAsia="en-US"/>
    </w:rPr>
  </w:style>
  <w:style w:type="paragraph" w:styleId="ListParagraph">
    <w:name w:val="List Paragraph"/>
    <w:basedOn w:val="Normal"/>
    <w:uiPriority w:val="34"/>
    <w:qFormat/>
    <w:rsid w:val="00803221"/>
    <w:pPr>
      <w:ind w:left="720"/>
      <w:contextualSpacing/>
    </w:pPr>
  </w:style>
  <w:style w:type="character" w:customStyle="1" w:styleId="FooterChar">
    <w:name w:val="Footer Char"/>
    <w:basedOn w:val="DefaultParagraphFont"/>
    <w:link w:val="Footer"/>
    <w:uiPriority w:val="99"/>
    <w:rsid w:val="008868CF"/>
    <w:rPr>
      <w:sz w:val="24"/>
      <w:lang w:eastAsia="en-US"/>
    </w:rPr>
  </w:style>
  <w:style w:type="paragraph" w:styleId="CommentSubject">
    <w:name w:val="annotation subject"/>
    <w:basedOn w:val="CommentText"/>
    <w:next w:val="CommentText"/>
    <w:link w:val="CommentSubjectChar"/>
    <w:uiPriority w:val="9"/>
    <w:semiHidden/>
    <w:unhideWhenUsed/>
    <w:rsid w:val="006D6E1D"/>
    <w:rPr>
      <w:b/>
      <w:bCs/>
    </w:rPr>
  </w:style>
  <w:style w:type="character" w:customStyle="1" w:styleId="CommentTextChar">
    <w:name w:val="Comment Text Char"/>
    <w:basedOn w:val="DefaultParagraphFont"/>
    <w:link w:val="CommentText"/>
    <w:semiHidden/>
    <w:rsid w:val="006D6E1D"/>
    <w:rPr>
      <w:rFonts w:ascii="Arial" w:hAnsi="Arial"/>
      <w:lang w:eastAsia="en-US"/>
    </w:rPr>
  </w:style>
  <w:style w:type="character" w:customStyle="1" w:styleId="CommentSubjectChar">
    <w:name w:val="Comment Subject Char"/>
    <w:basedOn w:val="CommentTextChar"/>
    <w:link w:val="CommentSubject"/>
    <w:uiPriority w:val="9"/>
    <w:semiHidden/>
    <w:rsid w:val="006D6E1D"/>
    <w:rPr>
      <w:rFonts w:ascii="Arial" w:hAnsi="Arial"/>
      <w:b/>
      <w:bCs/>
      <w:lang w:eastAsia="en-US"/>
    </w:rPr>
  </w:style>
  <w:style w:type="character" w:customStyle="1" w:styleId="UnresolvedMention">
    <w:name w:val="Unresolved Mention"/>
    <w:basedOn w:val="DefaultParagraphFont"/>
    <w:uiPriority w:val="99"/>
    <w:semiHidden/>
    <w:unhideWhenUsed/>
    <w:rsid w:val="00487421"/>
    <w:rPr>
      <w:color w:val="808080"/>
      <w:shd w:val="clear" w:color="auto" w:fill="E6E6E6"/>
    </w:rPr>
  </w:style>
  <w:style w:type="character" w:customStyle="1" w:styleId="HeaderChar">
    <w:name w:val="Header Char"/>
    <w:basedOn w:val="DefaultParagraphFont"/>
    <w:link w:val="Header"/>
    <w:uiPriority w:val="99"/>
    <w:rsid w:val="00AB5A7E"/>
    <w:rPr>
      <w:sz w:val="24"/>
      <w:lang w:eastAsia="en-US"/>
    </w:rPr>
  </w:style>
  <w:style w:type="paragraph" w:styleId="Revision">
    <w:name w:val="Revision"/>
    <w:hidden/>
    <w:uiPriority w:val="99"/>
    <w:semiHidden/>
    <w:rsid w:val="00BB6F30"/>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59596">
      <w:bodyDiv w:val="1"/>
      <w:marLeft w:val="0"/>
      <w:marRight w:val="0"/>
      <w:marTop w:val="0"/>
      <w:marBottom w:val="0"/>
      <w:divBdr>
        <w:top w:val="none" w:sz="0" w:space="0" w:color="auto"/>
        <w:left w:val="none" w:sz="0" w:space="0" w:color="auto"/>
        <w:bottom w:val="none" w:sz="0" w:space="0" w:color="auto"/>
        <w:right w:val="none" w:sz="0" w:space="0" w:color="auto"/>
      </w:divBdr>
    </w:div>
    <w:div w:id="884947467">
      <w:bodyDiv w:val="1"/>
      <w:marLeft w:val="0"/>
      <w:marRight w:val="0"/>
      <w:marTop w:val="0"/>
      <w:marBottom w:val="0"/>
      <w:divBdr>
        <w:top w:val="none" w:sz="0" w:space="0" w:color="auto"/>
        <w:left w:val="none" w:sz="0" w:space="0" w:color="auto"/>
        <w:bottom w:val="none" w:sz="0" w:space="0" w:color="auto"/>
        <w:right w:val="none" w:sz="0" w:space="0" w:color="auto"/>
      </w:divBdr>
    </w:div>
    <w:div w:id="1366828289">
      <w:bodyDiv w:val="1"/>
      <w:marLeft w:val="0"/>
      <w:marRight w:val="0"/>
      <w:marTop w:val="0"/>
      <w:marBottom w:val="0"/>
      <w:divBdr>
        <w:top w:val="none" w:sz="0" w:space="0" w:color="auto"/>
        <w:left w:val="none" w:sz="0" w:space="0" w:color="auto"/>
        <w:bottom w:val="none" w:sz="0" w:space="0" w:color="auto"/>
        <w:right w:val="none" w:sz="0" w:space="0" w:color="auto"/>
      </w:divBdr>
    </w:div>
    <w:div w:id="189445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AE7E3-C5EC-4727-94D9-6BF212653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7472</Words>
  <Characters>41933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Submission DR168 - QSuper - Superannuation: Assessing Competitiveness and Efficiency - Public inquiry</vt:lpstr>
    </vt:vector>
  </TitlesOfParts>
  <Company>QSuper</Company>
  <LinksUpToDate>false</LinksUpToDate>
  <CharactersWithSpaces>49307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DR168 - QSuper - Superannuation: Assessing Competitiveness and Efficiency - Public inquiry</dc:title>
  <dc:creator>QSuper</dc:creator>
  <cp:lastModifiedBy>Pimperl, Mark</cp:lastModifiedBy>
  <cp:revision>3</cp:revision>
  <cp:lastPrinted>2018-07-13T06:46:00Z</cp:lastPrinted>
  <dcterms:created xsi:type="dcterms:W3CDTF">2018-07-13T06:51:00Z</dcterms:created>
  <dcterms:modified xsi:type="dcterms:W3CDTF">2018-07-18T22:42:00Z</dcterms:modified>
</cp:coreProperties>
</file>