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C52" w:rsidRPr="007D07FB" w:rsidRDefault="00F84C52" w:rsidP="00F84C52">
      <w:pPr>
        <w:rPr>
          <w:b/>
          <w:sz w:val="28"/>
          <w:szCs w:val="28"/>
          <w:lang w:val="en-US"/>
        </w:rPr>
      </w:pPr>
      <w:r w:rsidRPr="001A3BBD">
        <w:rPr>
          <w:b/>
          <w:sz w:val="28"/>
          <w:szCs w:val="28"/>
          <w:lang w:val="en-US"/>
        </w:rPr>
        <w:t>The Social and Economic Benefits of Improving Mental Health</w:t>
      </w:r>
      <w:r>
        <w:rPr>
          <w:b/>
          <w:sz w:val="28"/>
          <w:szCs w:val="28"/>
          <w:lang w:val="en-US"/>
        </w:rPr>
        <w:t xml:space="preserve">: </w:t>
      </w:r>
      <w:r w:rsidRPr="007D07FB">
        <w:rPr>
          <w:b/>
          <w:sz w:val="28"/>
          <w:szCs w:val="28"/>
          <w:lang w:val="en-US"/>
        </w:rPr>
        <w:t>Eating Disorders and Negative Body Image</w:t>
      </w:r>
    </w:p>
    <w:p w:rsidR="00F84C52" w:rsidRDefault="00F84C52" w:rsidP="00F84C52">
      <w:pPr>
        <w:rPr>
          <w:b/>
          <w:sz w:val="28"/>
          <w:szCs w:val="28"/>
          <w:lang w:val="en-US"/>
        </w:rPr>
      </w:pPr>
      <w:r w:rsidRPr="007D07FB">
        <w:rPr>
          <w:b/>
          <w:sz w:val="28"/>
          <w:szCs w:val="28"/>
          <w:lang w:val="en-US"/>
        </w:rPr>
        <w:t>•</w:t>
      </w:r>
      <w:r w:rsidRPr="007D07FB">
        <w:rPr>
          <w:b/>
          <w:sz w:val="28"/>
          <w:szCs w:val="28"/>
          <w:lang w:val="en-US"/>
        </w:rPr>
        <w:tab/>
      </w:r>
      <w:bookmarkStart w:id="0" w:name="_GoBack"/>
      <w:r>
        <w:rPr>
          <w:b/>
          <w:sz w:val="28"/>
          <w:szCs w:val="28"/>
          <w:lang w:val="en-US"/>
        </w:rPr>
        <w:t xml:space="preserve">Suicide and Suicide </w:t>
      </w:r>
      <w:r w:rsidRPr="007D07FB">
        <w:rPr>
          <w:b/>
          <w:sz w:val="28"/>
          <w:szCs w:val="28"/>
          <w:lang w:val="en-US"/>
        </w:rPr>
        <w:t>Prevention</w:t>
      </w:r>
    </w:p>
    <w:bookmarkEnd w:id="0"/>
    <w:p w:rsidR="00F84C52" w:rsidRPr="007D07FB" w:rsidRDefault="00F84C52" w:rsidP="00F84C52">
      <w:pPr>
        <w:jc w:val="right"/>
        <w:rPr>
          <w:i/>
          <w:sz w:val="28"/>
          <w:szCs w:val="28"/>
          <w:lang w:val="en-US"/>
        </w:rPr>
      </w:pPr>
      <w:r w:rsidRPr="007D07FB">
        <w:rPr>
          <w:i/>
          <w:sz w:val="28"/>
          <w:szCs w:val="28"/>
          <w:lang w:val="en-US"/>
        </w:rPr>
        <w:t>A submission by the Butterfly Foundation</w:t>
      </w:r>
    </w:p>
    <w:p w:rsidR="003A55AC" w:rsidRDefault="003A55AC" w:rsidP="003A55AC">
      <w:pPr>
        <w:pStyle w:val="NormalWeb"/>
        <w:rPr>
          <w:rFonts w:asciiTheme="minorHAnsi" w:hAnsiTheme="minorHAnsi" w:cstheme="minorHAnsi"/>
          <w:color w:val="000000"/>
        </w:rPr>
      </w:pPr>
      <w:r w:rsidRPr="003F5580">
        <w:rPr>
          <w:rStyle w:val="Strong"/>
          <w:rFonts w:asciiTheme="minorHAnsi" w:hAnsiTheme="minorHAnsi" w:cstheme="minorHAnsi"/>
          <w:b w:val="0"/>
          <w:color w:val="000000"/>
        </w:rPr>
        <w:t xml:space="preserve">The Butterfly Foundation represents all people affected by eating disorders and negative body image, individuals </w:t>
      </w:r>
      <w:r>
        <w:rPr>
          <w:rStyle w:val="Strong"/>
          <w:rFonts w:asciiTheme="minorHAnsi" w:hAnsiTheme="minorHAnsi" w:cstheme="minorHAnsi"/>
          <w:b w:val="0"/>
          <w:color w:val="000000"/>
        </w:rPr>
        <w:t xml:space="preserve">living </w:t>
      </w:r>
      <w:r w:rsidRPr="003F5580">
        <w:rPr>
          <w:rStyle w:val="Strong"/>
          <w:rFonts w:asciiTheme="minorHAnsi" w:hAnsiTheme="minorHAnsi" w:cstheme="minorHAnsi"/>
          <w:b w:val="0"/>
          <w:color w:val="000000"/>
        </w:rPr>
        <w:t>with th</w:t>
      </w:r>
      <w:r>
        <w:rPr>
          <w:rStyle w:val="Strong"/>
          <w:rFonts w:asciiTheme="minorHAnsi" w:hAnsiTheme="minorHAnsi" w:cstheme="minorHAnsi"/>
          <w:b w:val="0"/>
          <w:color w:val="000000"/>
        </w:rPr>
        <w:t>is</w:t>
      </w:r>
      <w:r w:rsidRPr="003F5580">
        <w:rPr>
          <w:rStyle w:val="Strong"/>
          <w:rFonts w:asciiTheme="minorHAnsi" w:hAnsiTheme="minorHAnsi" w:cstheme="minorHAnsi"/>
          <w:b w:val="0"/>
          <w:color w:val="000000"/>
        </w:rPr>
        <w:t xml:space="preserve"> </w:t>
      </w:r>
      <w:r>
        <w:rPr>
          <w:rStyle w:val="Strong"/>
          <w:rFonts w:asciiTheme="minorHAnsi" w:hAnsiTheme="minorHAnsi" w:cstheme="minorHAnsi"/>
          <w:b w:val="0"/>
          <w:color w:val="000000"/>
        </w:rPr>
        <w:t xml:space="preserve">mental </w:t>
      </w:r>
      <w:r w:rsidRPr="003F5580">
        <w:rPr>
          <w:rStyle w:val="Strong"/>
          <w:rFonts w:asciiTheme="minorHAnsi" w:hAnsiTheme="minorHAnsi" w:cstheme="minorHAnsi"/>
          <w:b w:val="0"/>
          <w:color w:val="000000"/>
        </w:rPr>
        <w:t>illness, their family and their friends.</w:t>
      </w:r>
      <w:r w:rsidRPr="003F5580">
        <w:rPr>
          <w:rFonts w:asciiTheme="minorHAnsi" w:hAnsiTheme="minorHAnsi" w:cstheme="minorHAnsi"/>
          <w:b/>
          <w:color w:val="000000"/>
        </w:rPr>
        <w:t xml:space="preserve"> </w:t>
      </w:r>
      <w:r w:rsidRPr="003F5580">
        <w:rPr>
          <w:rFonts w:asciiTheme="minorHAnsi" w:hAnsiTheme="minorHAnsi" w:cstheme="minorHAnsi"/>
          <w:color w:val="000000"/>
        </w:rPr>
        <w:t xml:space="preserve">As a leading national voice in supporting their needs, Butterfly highlights the realities of seeking treatment for recovery, and advocates for improved services from both government and independent sources. Throughout its work Butterfly also emphasises the critical importance of prevention and early intervention strategies in limiting the development of, and suffering from, body image </w:t>
      </w:r>
      <w:r>
        <w:rPr>
          <w:rFonts w:asciiTheme="minorHAnsi" w:hAnsiTheme="minorHAnsi" w:cstheme="minorHAnsi"/>
          <w:color w:val="000000"/>
        </w:rPr>
        <w:t xml:space="preserve">issues </w:t>
      </w:r>
      <w:r w:rsidRPr="003F5580">
        <w:rPr>
          <w:rFonts w:asciiTheme="minorHAnsi" w:hAnsiTheme="minorHAnsi" w:cstheme="minorHAnsi"/>
          <w:color w:val="000000"/>
        </w:rPr>
        <w:t>and eating disorders.</w:t>
      </w:r>
    </w:p>
    <w:p w:rsidR="00861087" w:rsidRDefault="003A55AC" w:rsidP="00DA6BF4">
      <w:pPr>
        <w:pStyle w:val="NormalWeb"/>
      </w:pPr>
      <w:r>
        <w:rPr>
          <w:rFonts w:asciiTheme="minorHAnsi" w:hAnsiTheme="minorHAnsi" w:cstheme="minorHAnsi"/>
          <w:color w:val="000000"/>
        </w:rPr>
        <w:t>Butterfly collaborates with many organisations within the eating disorder sector who are engaged in prevention or assistance to those working to improve the lives of those affected, and contributions to this report are acknowledged within the narrative. Butterfly has been appointed to co-ordinate the National Eating Disorder Collaboration ‘NEDC’ for the Australian Department of Health and Ageing and recognises the members of the NEDC for ongoing contributions to establishing evidence-based best practice guidelines for delivery of optimal care.</w:t>
      </w:r>
      <w:r w:rsidR="00DA6BF4">
        <w:t xml:space="preserve"> </w:t>
      </w:r>
    </w:p>
    <w:p w:rsidR="00DA544A" w:rsidRPr="00DA544A" w:rsidRDefault="00DA544A" w:rsidP="00DA544A">
      <w:pPr>
        <w:rPr>
          <w:rFonts w:eastAsia="Times New Roman" w:cstheme="minorHAnsi"/>
          <w:b/>
          <w:color w:val="000000"/>
          <w:sz w:val="24"/>
          <w:szCs w:val="24"/>
          <w:lang w:eastAsia="en-AU"/>
        </w:rPr>
      </w:pPr>
      <w:r w:rsidRPr="00DA544A">
        <w:rPr>
          <w:rFonts w:eastAsia="Times New Roman" w:cstheme="minorHAnsi"/>
          <w:b/>
          <w:color w:val="000000"/>
          <w:sz w:val="24"/>
          <w:szCs w:val="24"/>
          <w:lang w:eastAsia="en-AU"/>
        </w:rPr>
        <w:t>Mortality and Eating Disorders</w:t>
      </w:r>
    </w:p>
    <w:p w:rsidR="00DA544A" w:rsidRPr="00DA544A" w:rsidRDefault="00DA544A" w:rsidP="00DA544A">
      <w:pPr>
        <w:rPr>
          <w:rFonts w:eastAsia="Times New Roman" w:cstheme="minorHAnsi"/>
          <w:color w:val="000000"/>
          <w:sz w:val="24"/>
          <w:szCs w:val="24"/>
          <w:lang w:eastAsia="en-AU"/>
        </w:rPr>
      </w:pPr>
      <w:r w:rsidRPr="00DA544A">
        <w:rPr>
          <w:rFonts w:eastAsia="Times New Roman" w:cstheme="minorHAnsi"/>
          <w:color w:val="000000"/>
          <w:sz w:val="24"/>
          <w:szCs w:val="24"/>
          <w:lang w:eastAsia="en-AU"/>
        </w:rPr>
        <w:t>Eating disorders are recognised as severe mental illnesses that are associated with a variety of medical complications and elevated risk of mortality.</w:t>
      </w:r>
    </w:p>
    <w:p w:rsidR="00DA544A" w:rsidRDefault="00DA544A" w:rsidP="00DA544A">
      <w:pPr>
        <w:rPr>
          <w:rFonts w:eastAsia="Times New Roman" w:cstheme="minorHAnsi"/>
          <w:color w:val="000000"/>
          <w:sz w:val="24"/>
          <w:szCs w:val="24"/>
          <w:lang w:eastAsia="en-AU"/>
        </w:rPr>
      </w:pPr>
      <w:r>
        <w:rPr>
          <w:rFonts w:eastAsia="Times New Roman" w:cstheme="minorHAnsi"/>
          <w:color w:val="000000"/>
          <w:sz w:val="24"/>
          <w:szCs w:val="24"/>
          <w:lang w:eastAsia="en-AU"/>
        </w:rPr>
        <w:t xml:space="preserve">According </w:t>
      </w:r>
      <w:r w:rsidR="00BD1E5D">
        <w:rPr>
          <w:rFonts w:eastAsia="Times New Roman" w:cstheme="minorHAnsi"/>
          <w:color w:val="000000"/>
          <w:sz w:val="24"/>
          <w:szCs w:val="24"/>
          <w:lang w:eastAsia="en-AU"/>
        </w:rPr>
        <w:t xml:space="preserve">to </w:t>
      </w:r>
      <w:r>
        <w:rPr>
          <w:rFonts w:eastAsia="Times New Roman" w:cstheme="minorHAnsi"/>
          <w:color w:val="000000"/>
          <w:sz w:val="24"/>
          <w:szCs w:val="24"/>
          <w:lang w:eastAsia="en-AU"/>
        </w:rPr>
        <w:t xml:space="preserve">the Butterfly </w:t>
      </w:r>
      <w:r w:rsidRPr="00C96BFB">
        <w:rPr>
          <w:rFonts w:eastAsia="Times New Roman" w:cstheme="minorHAnsi"/>
          <w:i/>
          <w:color w:val="000000"/>
          <w:sz w:val="24"/>
          <w:szCs w:val="24"/>
          <w:lang w:eastAsia="en-AU"/>
        </w:rPr>
        <w:t>Insights in Recovery</w:t>
      </w:r>
      <w:r>
        <w:rPr>
          <w:rFonts w:eastAsia="Times New Roman" w:cstheme="minorHAnsi"/>
          <w:color w:val="000000"/>
          <w:sz w:val="24"/>
          <w:szCs w:val="24"/>
          <w:lang w:eastAsia="en-AU"/>
        </w:rPr>
        <w:t xml:space="preserve"> report (2016), eating disorders carry the highest mortality rate of all psychiatric illnesses (</w:t>
      </w:r>
      <w:proofErr w:type="spellStart"/>
      <w:r>
        <w:rPr>
          <w:rFonts w:eastAsia="Times New Roman" w:cstheme="minorHAnsi"/>
          <w:color w:val="000000"/>
          <w:sz w:val="24"/>
          <w:szCs w:val="24"/>
          <w:lang w:eastAsia="en-AU"/>
        </w:rPr>
        <w:t>Arcelus</w:t>
      </w:r>
      <w:proofErr w:type="spellEnd"/>
      <w:r>
        <w:rPr>
          <w:rFonts w:eastAsia="Times New Roman" w:cstheme="minorHAnsi"/>
          <w:color w:val="000000"/>
          <w:sz w:val="24"/>
          <w:szCs w:val="24"/>
          <w:lang w:eastAsia="en-AU"/>
        </w:rPr>
        <w:t>, Mitchel, Wales &amp; Nelson, 2011)</w:t>
      </w:r>
    </w:p>
    <w:p w:rsidR="00DA544A" w:rsidRPr="00DA544A" w:rsidRDefault="00DA544A" w:rsidP="00DA544A">
      <w:pPr>
        <w:rPr>
          <w:rFonts w:eastAsia="Times New Roman" w:cstheme="minorHAnsi"/>
          <w:color w:val="000000"/>
          <w:sz w:val="24"/>
          <w:szCs w:val="24"/>
          <w:lang w:eastAsia="en-AU"/>
        </w:rPr>
      </w:pPr>
      <w:r>
        <w:rPr>
          <w:rFonts w:eastAsia="Times New Roman" w:cstheme="minorHAnsi"/>
          <w:color w:val="000000"/>
          <w:sz w:val="24"/>
          <w:szCs w:val="24"/>
          <w:lang w:eastAsia="en-AU"/>
        </w:rPr>
        <w:t xml:space="preserve">In </w:t>
      </w:r>
      <w:r w:rsidRPr="00DA544A">
        <w:rPr>
          <w:rFonts w:eastAsia="Times New Roman" w:cstheme="minorHAnsi"/>
          <w:i/>
          <w:color w:val="000000"/>
          <w:sz w:val="24"/>
          <w:szCs w:val="24"/>
          <w:lang w:eastAsia="en-AU"/>
        </w:rPr>
        <w:t>The Reality of Eating Disorders in Australia</w:t>
      </w:r>
      <w:r w:rsidRPr="00DA544A">
        <w:rPr>
          <w:rFonts w:eastAsia="Times New Roman" w:cstheme="minorHAnsi"/>
          <w:color w:val="000000"/>
          <w:sz w:val="24"/>
          <w:szCs w:val="24"/>
          <w:lang w:eastAsia="en-AU"/>
        </w:rPr>
        <w:t xml:space="preserve"> </w:t>
      </w:r>
      <w:r>
        <w:rPr>
          <w:rFonts w:eastAsia="Times New Roman" w:cstheme="minorHAnsi"/>
          <w:color w:val="000000"/>
          <w:sz w:val="24"/>
          <w:szCs w:val="24"/>
          <w:lang w:eastAsia="en-AU"/>
        </w:rPr>
        <w:t>(</w:t>
      </w:r>
      <w:r w:rsidRPr="00DA544A">
        <w:rPr>
          <w:rFonts w:eastAsia="Times New Roman" w:cstheme="minorHAnsi"/>
          <w:color w:val="000000"/>
          <w:sz w:val="24"/>
          <w:szCs w:val="24"/>
          <w:lang w:eastAsia="en-AU"/>
        </w:rPr>
        <w:t>2017</w:t>
      </w:r>
      <w:r>
        <w:rPr>
          <w:rFonts w:eastAsia="Times New Roman" w:cstheme="minorHAnsi"/>
          <w:color w:val="000000"/>
          <w:sz w:val="24"/>
          <w:szCs w:val="24"/>
          <w:lang w:eastAsia="en-AU"/>
        </w:rPr>
        <w:t>) Butterfly reported that:</w:t>
      </w:r>
    </w:p>
    <w:p w:rsidR="00DA544A" w:rsidRPr="00DA544A" w:rsidRDefault="00DA544A" w:rsidP="00CE5C14">
      <w:pPr>
        <w:ind w:left="720" w:hanging="720"/>
        <w:rPr>
          <w:rFonts w:eastAsia="Times New Roman" w:cstheme="minorHAnsi"/>
          <w:color w:val="000000"/>
          <w:sz w:val="24"/>
          <w:szCs w:val="24"/>
          <w:lang w:eastAsia="en-AU"/>
        </w:rPr>
      </w:pPr>
      <w:r w:rsidRPr="00DA544A">
        <w:rPr>
          <w:rFonts w:eastAsia="Times New Roman" w:cstheme="minorHAnsi"/>
          <w:color w:val="000000"/>
          <w:sz w:val="24"/>
          <w:szCs w:val="24"/>
          <w:lang w:eastAsia="en-AU"/>
        </w:rPr>
        <w:t>•</w:t>
      </w:r>
      <w:r w:rsidRPr="00DA544A">
        <w:rPr>
          <w:rFonts w:eastAsia="Times New Roman" w:cstheme="minorHAnsi"/>
          <w:color w:val="000000"/>
          <w:sz w:val="24"/>
          <w:szCs w:val="24"/>
          <w:lang w:eastAsia="en-AU"/>
        </w:rPr>
        <w:tab/>
        <w:t>Mortality in eating disorders is higher than most</w:t>
      </w:r>
      <w:r w:rsidR="00CE5C14">
        <w:rPr>
          <w:rFonts w:eastAsia="Times New Roman" w:cstheme="minorHAnsi"/>
          <w:color w:val="000000"/>
          <w:sz w:val="24"/>
          <w:szCs w:val="24"/>
          <w:lang w:eastAsia="en-AU"/>
        </w:rPr>
        <w:t xml:space="preserve"> other psychiatric disorders (</w:t>
      </w:r>
      <w:r w:rsidR="00CE5C14" w:rsidRPr="00CE5C14">
        <w:rPr>
          <w:rFonts w:eastAsia="Times New Roman" w:cstheme="minorHAnsi"/>
          <w:color w:val="000000"/>
          <w:sz w:val="24"/>
          <w:szCs w:val="24"/>
          <w:lang w:eastAsia="en-AU"/>
        </w:rPr>
        <w:t xml:space="preserve">Chesney, Goodwin, </w:t>
      </w:r>
      <w:proofErr w:type="spellStart"/>
      <w:r w:rsidR="00CE5C14" w:rsidRPr="00CE5C14">
        <w:rPr>
          <w:rFonts w:eastAsia="Times New Roman" w:cstheme="minorHAnsi"/>
          <w:color w:val="000000"/>
          <w:sz w:val="24"/>
          <w:szCs w:val="24"/>
          <w:lang w:eastAsia="en-AU"/>
        </w:rPr>
        <w:t>Fazel</w:t>
      </w:r>
      <w:proofErr w:type="spellEnd"/>
      <w:r w:rsidR="00CE5C14">
        <w:rPr>
          <w:rFonts w:eastAsia="Times New Roman" w:cstheme="minorHAnsi"/>
          <w:color w:val="000000"/>
          <w:sz w:val="24"/>
          <w:szCs w:val="24"/>
          <w:lang w:eastAsia="en-AU"/>
        </w:rPr>
        <w:t>,</w:t>
      </w:r>
      <w:r w:rsidR="00CE5C14" w:rsidRPr="00CE5C14">
        <w:rPr>
          <w:rFonts w:eastAsia="Times New Roman" w:cstheme="minorHAnsi"/>
          <w:color w:val="000000"/>
          <w:sz w:val="24"/>
          <w:szCs w:val="24"/>
          <w:lang w:eastAsia="en-AU"/>
        </w:rPr>
        <w:t xml:space="preserve"> 2014</w:t>
      </w:r>
      <w:r w:rsidR="00CE5C14">
        <w:rPr>
          <w:rFonts w:eastAsia="Times New Roman" w:cstheme="minorHAnsi"/>
          <w:color w:val="000000"/>
          <w:sz w:val="24"/>
          <w:szCs w:val="24"/>
          <w:lang w:eastAsia="en-AU"/>
        </w:rPr>
        <w:t>)</w:t>
      </w:r>
      <w:r w:rsidRPr="00DA544A">
        <w:rPr>
          <w:rFonts w:eastAsia="Times New Roman" w:cstheme="minorHAnsi"/>
          <w:color w:val="000000"/>
          <w:sz w:val="24"/>
          <w:szCs w:val="24"/>
          <w:lang w:eastAsia="en-AU"/>
        </w:rPr>
        <w:t xml:space="preserve">. </w:t>
      </w:r>
    </w:p>
    <w:p w:rsidR="00CE5C14" w:rsidRPr="00CE5C14" w:rsidRDefault="00DA544A" w:rsidP="00CE5C14">
      <w:pPr>
        <w:ind w:left="720" w:hanging="720"/>
        <w:rPr>
          <w:rFonts w:eastAsia="Times New Roman" w:cstheme="minorHAnsi"/>
          <w:color w:val="000000"/>
          <w:sz w:val="24"/>
          <w:szCs w:val="24"/>
          <w:lang w:eastAsia="en-AU"/>
        </w:rPr>
      </w:pPr>
      <w:r w:rsidRPr="00DA544A">
        <w:rPr>
          <w:rFonts w:eastAsia="Times New Roman" w:cstheme="minorHAnsi"/>
          <w:color w:val="000000"/>
          <w:sz w:val="24"/>
          <w:szCs w:val="24"/>
          <w:lang w:eastAsia="en-AU"/>
        </w:rPr>
        <w:t>•</w:t>
      </w:r>
      <w:r w:rsidRPr="00DA544A">
        <w:rPr>
          <w:rFonts w:eastAsia="Times New Roman" w:cstheme="minorHAnsi"/>
          <w:color w:val="000000"/>
          <w:sz w:val="24"/>
          <w:szCs w:val="24"/>
          <w:lang w:eastAsia="en-AU"/>
        </w:rPr>
        <w:tab/>
        <w:t>Mortality in Anorexia Nervosa is among the highest o</w:t>
      </w:r>
      <w:r>
        <w:rPr>
          <w:rFonts w:eastAsia="Times New Roman" w:cstheme="minorHAnsi"/>
          <w:color w:val="000000"/>
          <w:sz w:val="24"/>
          <w:szCs w:val="24"/>
          <w:lang w:eastAsia="en-AU"/>
        </w:rPr>
        <w:t xml:space="preserve">f all mental disorders in young </w:t>
      </w:r>
      <w:r w:rsidRPr="00DA544A">
        <w:rPr>
          <w:rFonts w:eastAsia="Times New Roman" w:cstheme="minorHAnsi"/>
          <w:color w:val="000000"/>
          <w:sz w:val="24"/>
          <w:szCs w:val="24"/>
          <w:lang w:eastAsia="en-AU"/>
        </w:rPr>
        <w:t xml:space="preserve">and middle aged adults </w:t>
      </w:r>
      <w:r w:rsidR="00CE5C14">
        <w:rPr>
          <w:rFonts w:eastAsia="Times New Roman" w:cstheme="minorHAnsi"/>
          <w:color w:val="000000"/>
          <w:sz w:val="24"/>
          <w:szCs w:val="24"/>
          <w:lang w:eastAsia="en-AU"/>
        </w:rPr>
        <w:t>(</w:t>
      </w:r>
      <w:proofErr w:type="spellStart"/>
      <w:r w:rsidR="00CE5C14">
        <w:rPr>
          <w:rFonts w:eastAsia="Times New Roman" w:cstheme="minorHAnsi"/>
          <w:color w:val="000000"/>
          <w:sz w:val="24"/>
          <w:szCs w:val="24"/>
          <w:lang w:eastAsia="en-AU"/>
        </w:rPr>
        <w:t>Arcelus</w:t>
      </w:r>
      <w:proofErr w:type="spellEnd"/>
      <w:r w:rsidR="00CE5C14">
        <w:rPr>
          <w:rFonts w:eastAsia="Times New Roman" w:cstheme="minorHAnsi"/>
          <w:color w:val="000000"/>
          <w:sz w:val="24"/>
          <w:szCs w:val="24"/>
          <w:lang w:eastAsia="en-AU"/>
        </w:rPr>
        <w:t xml:space="preserve">, Mitchel, Wales &amp; Nelson, 2011; </w:t>
      </w:r>
      <w:proofErr w:type="spellStart"/>
      <w:r w:rsidR="00CE5C14" w:rsidRPr="00CE5C14">
        <w:rPr>
          <w:rFonts w:eastAsia="Times New Roman" w:cstheme="minorHAnsi"/>
          <w:color w:val="000000"/>
          <w:sz w:val="24"/>
          <w:szCs w:val="24"/>
          <w:lang w:eastAsia="en-AU"/>
        </w:rPr>
        <w:t>Jáuregui-Garrido</w:t>
      </w:r>
      <w:proofErr w:type="spellEnd"/>
      <w:r w:rsidR="00CE5C14" w:rsidRPr="00CE5C14">
        <w:rPr>
          <w:rFonts w:eastAsia="Times New Roman" w:cstheme="minorHAnsi"/>
          <w:color w:val="000000"/>
          <w:sz w:val="24"/>
          <w:szCs w:val="24"/>
          <w:lang w:eastAsia="en-AU"/>
        </w:rPr>
        <w:t>, 2012</w:t>
      </w:r>
      <w:r w:rsidR="00CE5C14">
        <w:rPr>
          <w:rFonts w:eastAsia="Times New Roman" w:cstheme="minorHAnsi"/>
          <w:color w:val="000000"/>
          <w:sz w:val="24"/>
          <w:szCs w:val="24"/>
          <w:lang w:eastAsia="en-AU"/>
        </w:rPr>
        <w:t>)</w:t>
      </w:r>
      <w:r w:rsidR="00CE5C14" w:rsidRPr="00CE5C14">
        <w:rPr>
          <w:rFonts w:eastAsia="Times New Roman" w:cstheme="minorHAnsi"/>
          <w:color w:val="000000"/>
          <w:sz w:val="24"/>
          <w:szCs w:val="24"/>
          <w:lang w:eastAsia="en-AU"/>
        </w:rPr>
        <w:t>.</w:t>
      </w:r>
    </w:p>
    <w:p w:rsidR="00DA544A" w:rsidRDefault="00DA544A" w:rsidP="00DA544A">
      <w:pPr>
        <w:ind w:left="720" w:hanging="720"/>
        <w:rPr>
          <w:rFonts w:eastAsia="Times New Roman" w:cstheme="minorHAnsi"/>
          <w:color w:val="000000"/>
          <w:sz w:val="24"/>
          <w:szCs w:val="24"/>
          <w:lang w:eastAsia="en-AU"/>
        </w:rPr>
      </w:pPr>
      <w:r w:rsidRPr="00DA544A">
        <w:rPr>
          <w:rFonts w:eastAsia="Times New Roman" w:cstheme="minorHAnsi"/>
          <w:color w:val="000000"/>
          <w:sz w:val="24"/>
          <w:szCs w:val="24"/>
          <w:lang w:eastAsia="en-AU"/>
        </w:rPr>
        <w:t>•</w:t>
      </w:r>
      <w:r w:rsidRPr="00DA544A">
        <w:rPr>
          <w:rFonts w:eastAsia="Times New Roman" w:cstheme="minorHAnsi"/>
          <w:color w:val="000000"/>
          <w:sz w:val="24"/>
          <w:szCs w:val="24"/>
          <w:lang w:eastAsia="en-AU"/>
        </w:rPr>
        <w:tab/>
        <w:t xml:space="preserve">Suicide ideation and attempts has been examined in relation to extreme and unhealthy weight control behaviours among male and female adolescents </w:t>
      </w:r>
      <w:r w:rsidR="00CE5C14">
        <w:rPr>
          <w:rFonts w:eastAsia="Times New Roman" w:cstheme="minorHAnsi"/>
          <w:color w:val="000000"/>
          <w:sz w:val="24"/>
          <w:szCs w:val="24"/>
          <w:lang w:eastAsia="en-AU"/>
        </w:rPr>
        <w:t>(</w:t>
      </w:r>
      <w:proofErr w:type="spellStart"/>
      <w:r w:rsidR="00CE5C14">
        <w:rPr>
          <w:rFonts w:eastAsia="Times New Roman" w:cstheme="minorHAnsi"/>
          <w:color w:val="000000"/>
          <w:sz w:val="24"/>
          <w:szCs w:val="24"/>
          <w:lang w:eastAsia="en-AU"/>
        </w:rPr>
        <w:t>Shankman</w:t>
      </w:r>
      <w:proofErr w:type="spellEnd"/>
      <w:r w:rsidR="00CE5C14" w:rsidRPr="00CE5C14">
        <w:rPr>
          <w:rFonts w:eastAsia="Times New Roman" w:cstheme="minorHAnsi"/>
          <w:color w:val="000000"/>
          <w:sz w:val="24"/>
          <w:szCs w:val="24"/>
          <w:lang w:eastAsia="en-AU"/>
        </w:rPr>
        <w:t>, Nelson, Harrow, Faull</w:t>
      </w:r>
      <w:r w:rsidR="00CE5C14">
        <w:rPr>
          <w:rFonts w:eastAsia="Times New Roman" w:cstheme="minorHAnsi"/>
          <w:color w:val="000000"/>
          <w:sz w:val="24"/>
          <w:szCs w:val="24"/>
          <w:lang w:eastAsia="en-AU"/>
        </w:rPr>
        <w:t>,</w:t>
      </w:r>
      <w:r w:rsidR="00CE5C14" w:rsidRPr="00CE5C14">
        <w:rPr>
          <w:rFonts w:eastAsia="Times New Roman" w:cstheme="minorHAnsi"/>
          <w:color w:val="000000"/>
          <w:sz w:val="24"/>
          <w:szCs w:val="24"/>
          <w:lang w:eastAsia="en-AU"/>
        </w:rPr>
        <w:t xml:space="preserve"> 2008</w:t>
      </w:r>
      <w:r w:rsidR="00CE5C14">
        <w:rPr>
          <w:rFonts w:eastAsia="Times New Roman" w:cstheme="minorHAnsi"/>
          <w:color w:val="000000"/>
          <w:sz w:val="24"/>
          <w:szCs w:val="24"/>
          <w:lang w:eastAsia="en-AU"/>
        </w:rPr>
        <w:t>)</w:t>
      </w:r>
      <w:r w:rsidRPr="00DA544A">
        <w:rPr>
          <w:rFonts w:eastAsia="Times New Roman" w:cstheme="minorHAnsi"/>
          <w:color w:val="000000"/>
          <w:sz w:val="24"/>
          <w:szCs w:val="24"/>
          <w:lang w:eastAsia="en-AU"/>
        </w:rPr>
        <w:t xml:space="preserve">. </w:t>
      </w:r>
    </w:p>
    <w:p w:rsidR="00BD1E5D" w:rsidRDefault="00BD1E5D" w:rsidP="00DA544A">
      <w:pPr>
        <w:ind w:left="720" w:hanging="720"/>
        <w:rPr>
          <w:rFonts w:eastAsia="Times New Roman" w:cstheme="minorHAnsi"/>
          <w:color w:val="000000"/>
          <w:sz w:val="24"/>
          <w:szCs w:val="24"/>
          <w:lang w:eastAsia="en-AU"/>
        </w:rPr>
      </w:pPr>
    </w:p>
    <w:p w:rsidR="00DA544A" w:rsidRPr="00DA544A" w:rsidRDefault="00DA544A" w:rsidP="00DA544A">
      <w:pPr>
        <w:ind w:left="720" w:hanging="720"/>
        <w:rPr>
          <w:rFonts w:eastAsia="Times New Roman" w:cstheme="minorHAnsi"/>
          <w:b/>
          <w:color w:val="000000"/>
          <w:sz w:val="24"/>
          <w:szCs w:val="24"/>
          <w:lang w:eastAsia="en-AU"/>
        </w:rPr>
      </w:pPr>
      <w:r w:rsidRPr="00DA544A">
        <w:rPr>
          <w:rFonts w:eastAsia="Times New Roman" w:cstheme="minorHAnsi"/>
          <w:b/>
          <w:color w:val="000000"/>
          <w:sz w:val="24"/>
          <w:szCs w:val="24"/>
          <w:lang w:eastAsia="en-AU"/>
        </w:rPr>
        <w:lastRenderedPageBreak/>
        <w:t xml:space="preserve">Key findings showed: </w:t>
      </w:r>
    </w:p>
    <w:p w:rsidR="00DA544A" w:rsidRPr="00DA544A" w:rsidRDefault="00DA544A" w:rsidP="00DA544A">
      <w:pPr>
        <w:pStyle w:val="ListParagraph"/>
        <w:numPr>
          <w:ilvl w:val="0"/>
          <w:numId w:val="10"/>
        </w:numPr>
        <w:rPr>
          <w:rFonts w:eastAsia="Times New Roman" w:cstheme="minorHAnsi"/>
          <w:color w:val="000000"/>
          <w:sz w:val="24"/>
          <w:szCs w:val="24"/>
          <w:lang w:eastAsia="en-AU"/>
        </w:rPr>
      </w:pPr>
      <w:r w:rsidRPr="00DA544A">
        <w:rPr>
          <w:rFonts w:eastAsia="Times New Roman" w:cstheme="minorHAnsi"/>
          <w:color w:val="000000"/>
          <w:sz w:val="24"/>
          <w:szCs w:val="24"/>
          <w:lang w:eastAsia="en-AU"/>
        </w:rPr>
        <w:t>Suicidal ideation and attempts reported by 21.6% and 8.7% of young females, respectively</w:t>
      </w:r>
    </w:p>
    <w:p w:rsidR="00DA544A" w:rsidRPr="00DA544A" w:rsidRDefault="00DA544A" w:rsidP="00DA544A">
      <w:pPr>
        <w:pStyle w:val="ListParagraph"/>
        <w:numPr>
          <w:ilvl w:val="0"/>
          <w:numId w:val="10"/>
        </w:numPr>
        <w:rPr>
          <w:rFonts w:eastAsia="Times New Roman" w:cstheme="minorHAnsi"/>
          <w:color w:val="000000"/>
          <w:sz w:val="24"/>
          <w:szCs w:val="24"/>
          <w:lang w:eastAsia="en-AU"/>
        </w:rPr>
      </w:pPr>
      <w:r w:rsidRPr="00DA544A">
        <w:rPr>
          <w:rFonts w:eastAsia="Times New Roman" w:cstheme="minorHAnsi"/>
          <w:color w:val="000000"/>
          <w:sz w:val="24"/>
          <w:szCs w:val="24"/>
          <w:lang w:eastAsia="en-AU"/>
        </w:rPr>
        <w:t>Suicidal ideation and attempts reported by 15.2% and 3.5% of young males, respectively</w:t>
      </w:r>
    </w:p>
    <w:p w:rsidR="00DA544A" w:rsidRPr="00DA544A" w:rsidRDefault="00DA544A" w:rsidP="00DA544A">
      <w:pPr>
        <w:pStyle w:val="ListParagraph"/>
        <w:numPr>
          <w:ilvl w:val="0"/>
          <w:numId w:val="10"/>
        </w:numPr>
        <w:rPr>
          <w:rFonts w:eastAsia="Times New Roman" w:cstheme="minorHAnsi"/>
          <w:color w:val="000000"/>
          <w:sz w:val="24"/>
          <w:szCs w:val="24"/>
          <w:lang w:eastAsia="en-AU"/>
        </w:rPr>
      </w:pPr>
      <w:r w:rsidRPr="00DA544A">
        <w:rPr>
          <w:rFonts w:eastAsia="Times New Roman" w:cstheme="minorHAnsi"/>
          <w:color w:val="000000"/>
          <w:sz w:val="24"/>
          <w:szCs w:val="24"/>
          <w:lang w:eastAsia="en-AU"/>
        </w:rPr>
        <w:t xml:space="preserve">20% of Anorexia Nervosa deaths are a result of suicide </w:t>
      </w:r>
    </w:p>
    <w:p w:rsidR="00DA544A" w:rsidRPr="00BD1E5D" w:rsidRDefault="00DA544A" w:rsidP="00DA544A">
      <w:pPr>
        <w:pStyle w:val="ListParagraph"/>
        <w:numPr>
          <w:ilvl w:val="0"/>
          <w:numId w:val="10"/>
        </w:numPr>
        <w:rPr>
          <w:rFonts w:eastAsia="Times New Roman" w:cstheme="minorHAnsi"/>
          <w:color w:val="000000"/>
          <w:sz w:val="24"/>
          <w:szCs w:val="24"/>
          <w:lang w:eastAsia="en-AU"/>
        </w:rPr>
      </w:pPr>
      <w:r w:rsidRPr="00DA544A">
        <w:rPr>
          <w:rFonts w:eastAsia="Times New Roman" w:cstheme="minorHAnsi"/>
          <w:color w:val="000000"/>
          <w:sz w:val="24"/>
          <w:szCs w:val="24"/>
          <w:lang w:eastAsia="en-AU"/>
        </w:rPr>
        <w:t xml:space="preserve">The mortality rate for eating disorders is between one and a half times to twelve times higher than the general population. </w:t>
      </w:r>
    </w:p>
    <w:p w:rsidR="00DA544A" w:rsidRPr="00DA544A" w:rsidRDefault="00DA544A" w:rsidP="00DA544A">
      <w:pPr>
        <w:rPr>
          <w:rFonts w:eastAsia="Times New Roman" w:cstheme="minorHAnsi"/>
          <w:b/>
          <w:color w:val="000000"/>
          <w:sz w:val="24"/>
          <w:szCs w:val="24"/>
          <w:lang w:eastAsia="en-AU"/>
        </w:rPr>
      </w:pPr>
      <w:r w:rsidRPr="00DA544A">
        <w:rPr>
          <w:rFonts w:eastAsia="Times New Roman" w:cstheme="minorHAnsi"/>
          <w:b/>
          <w:color w:val="000000"/>
          <w:sz w:val="24"/>
          <w:szCs w:val="24"/>
          <w:lang w:eastAsia="en-AU"/>
        </w:rPr>
        <w:t>Deliberate Self-harm and Eating Disorders</w:t>
      </w:r>
    </w:p>
    <w:p w:rsidR="00DA544A" w:rsidRPr="00DA544A" w:rsidRDefault="00DA544A" w:rsidP="00DA544A">
      <w:pPr>
        <w:rPr>
          <w:rFonts w:eastAsia="Times New Roman" w:cstheme="minorHAnsi"/>
          <w:color w:val="000000"/>
          <w:sz w:val="24"/>
          <w:szCs w:val="24"/>
          <w:lang w:eastAsia="en-AU"/>
        </w:rPr>
      </w:pPr>
      <w:r w:rsidRPr="00DA544A">
        <w:rPr>
          <w:rFonts w:eastAsia="Times New Roman" w:cstheme="minorHAnsi"/>
          <w:color w:val="000000"/>
          <w:sz w:val="24"/>
          <w:szCs w:val="24"/>
          <w:lang w:eastAsia="en-AU"/>
        </w:rPr>
        <w:t xml:space="preserve">Self-injurious behaviours are defined as “all behaviours involving the deliberate infliction of direct physical harm to one’s own body without any intent to die as a consequence of the behaviour.” </w:t>
      </w:r>
    </w:p>
    <w:p w:rsidR="00DA544A" w:rsidRPr="00DA544A" w:rsidRDefault="00DA544A" w:rsidP="00DA544A">
      <w:pPr>
        <w:rPr>
          <w:rFonts w:eastAsia="Times New Roman" w:cstheme="minorHAnsi"/>
          <w:color w:val="000000"/>
          <w:sz w:val="24"/>
          <w:szCs w:val="24"/>
          <w:lang w:eastAsia="en-AU"/>
        </w:rPr>
      </w:pPr>
      <w:r w:rsidRPr="00DA544A">
        <w:rPr>
          <w:rFonts w:eastAsia="Times New Roman" w:cstheme="minorHAnsi"/>
          <w:color w:val="000000"/>
          <w:sz w:val="24"/>
          <w:szCs w:val="24"/>
          <w:lang w:eastAsia="en-AU"/>
        </w:rPr>
        <w:t>•</w:t>
      </w:r>
      <w:r w:rsidRPr="00DA544A">
        <w:rPr>
          <w:rFonts w:eastAsia="Times New Roman" w:cstheme="minorHAnsi"/>
          <w:color w:val="000000"/>
          <w:sz w:val="24"/>
          <w:szCs w:val="24"/>
          <w:lang w:eastAsia="en-AU"/>
        </w:rPr>
        <w:tab/>
        <w:t>Deliberate self-harm is associated with eatin</w:t>
      </w:r>
      <w:r w:rsidR="00BD1E5D">
        <w:rPr>
          <w:rFonts w:eastAsia="Times New Roman" w:cstheme="minorHAnsi"/>
          <w:color w:val="000000"/>
          <w:sz w:val="24"/>
          <w:szCs w:val="24"/>
          <w:lang w:eastAsia="en-AU"/>
        </w:rPr>
        <w:t>g disorders and suicide</w:t>
      </w:r>
      <w:r w:rsidRPr="00DA544A">
        <w:rPr>
          <w:rFonts w:eastAsia="Times New Roman" w:cstheme="minorHAnsi"/>
          <w:color w:val="000000"/>
          <w:sz w:val="24"/>
          <w:szCs w:val="24"/>
          <w:lang w:eastAsia="en-AU"/>
        </w:rPr>
        <w:t>.</w:t>
      </w:r>
    </w:p>
    <w:p w:rsidR="00DA544A" w:rsidRPr="00DA544A" w:rsidRDefault="00DA544A" w:rsidP="00DA544A">
      <w:pPr>
        <w:ind w:left="720" w:hanging="720"/>
        <w:rPr>
          <w:rFonts w:eastAsia="Times New Roman" w:cstheme="minorHAnsi"/>
          <w:color w:val="000000"/>
          <w:sz w:val="24"/>
          <w:szCs w:val="24"/>
          <w:lang w:eastAsia="en-AU"/>
        </w:rPr>
      </w:pPr>
      <w:r w:rsidRPr="00DA544A">
        <w:rPr>
          <w:rFonts w:eastAsia="Times New Roman" w:cstheme="minorHAnsi"/>
          <w:color w:val="000000"/>
          <w:sz w:val="24"/>
          <w:szCs w:val="24"/>
          <w:lang w:eastAsia="en-AU"/>
        </w:rPr>
        <w:t>•</w:t>
      </w:r>
      <w:r w:rsidRPr="00DA544A">
        <w:rPr>
          <w:rFonts w:eastAsia="Times New Roman" w:cstheme="minorHAnsi"/>
          <w:color w:val="000000"/>
          <w:sz w:val="24"/>
          <w:szCs w:val="24"/>
          <w:lang w:eastAsia="en-AU"/>
        </w:rPr>
        <w:tab/>
        <w:t xml:space="preserve">The lifetime rate of self-injurious behaviour is 35% in women </w:t>
      </w:r>
      <w:r w:rsidR="00BD1E5D">
        <w:rPr>
          <w:rFonts w:eastAsia="Times New Roman" w:cstheme="minorHAnsi"/>
          <w:color w:val="000000"/>
          <w:sz w:val="24"/>
          <w:szCs w:val="24"/>
          <w:lang w:eastAsia="en-AU"/>
        </w:rPr>
        <w:t>with eating disorders.</w:t>
      </w:r>
    </w:p>
    <w:p w:rsidR="00DA544A" w:rsidRPr="00DA544A" w:rsidRDefault="00DA544A" w:rsidP="00DA544A">
      <w:pPr>
        <w:rPr>
          <w:rFonts w:eastAsia="Times New Roman" w:cstheme="minorHAnsi"/>
          <w:b/>
          <w:color w:val="000000"/>
          <w:sz w:val="24"/>
          <w:szCs w:val="24"/>
          <w:lang w:eastAsia="en-AU"/>
        </w:rPr>
      </w:pPr>
      <w:r w:rsidRPr="00DA544A">
        <w:rPr>
          <w:rFonts w:eastAsia="Times New Roman" w:cstheme="minorHAnsi"/>
          <w:b/>
          <w:color w:val="000000"/>
          <w:sz w:val="24"/>
          <w:szCs w:val="24"/>
          <w:lang w:eastAsia="en-AU"/>
        </w:rPr>
        <w:t>Suicide and Eating Disorders</w:t>
      </w:r>
    </w:p>
    <w:p w:rsidR="00DA544A" w:rsidRPr="00DA544A" w:rsidRDefault="00DA544A" w:rsidP="00DA544A">
      <w:pPr>
        <w:rPr>
          <w:rFonts w:eastAsia="Times New Roman" w:cstheme="minorHAnsi"/>
          <w:color w:val="000000"/>
          <w:sz w:val="24"/>
          <w:szCs w:val="24"/>
          <w:lang w:eastAsia="en-AU"/>
        </w:rPr>
      </w:pPr>
      <w:r w:rsidRPr="00DA544A">
        <w:rPr>
          <w:rFonts w:eastAsia="Times New Roman" w:cstheme="minorHAnsi"/>
          <w:color w:val="000000"/>
          <w:sz w:val="24"/>
          <w:szCs w:val="24"/>
          <w:lang w:eastAsia="en-AU"/>
        </w:rPr>
        <w:t>Suicide is a major preventable public health concern and the most common cause of death in A</w:t>
      </w:r>
      <w:r w:rsidR="00BD1E5D">
        <w:rPr>
          <w:rFonts w:eastAsia="Times New Roman" w:cstheme="minorHAnsi"/>
          <w:color w:val="000000"/>
          <w:sz w:val="24"/>
          <w:szCs w:val="24"/>
          <w:lang w:eastAsia="en-AU"/>
        </w:rPr>
        <w:t>ustralians aged 15-44 years</w:t>
      </w:r>
      <w:r w:rsidRPr="00DA544A">
        <w:rPr>
          <w:rFonts w:eastAsia="Times New Roman" w:cstheme="minorHAnsi"/>
          <w:color w:val="000000"/>
          <w:sz w:val="24"/>
          <w:szCs w:val="24"/>
          <w:lang w:eastAsia="en-AU"/>
        </w:rPr>
        <w:t xml:space="preserve">. In 2015, approximately 3026 people died by suicide, up from </w:t>
      </w:r>
      <w:r w:rsidR="00BD1E5D">
        <w:rPr>
          <w:rFonts w:eastAsia="Times New Roman" w:cstheme="minorHAnsi"/>
          <w:color w:val="000000"/>
          <w:sz w:val="24"/>
          <w:szCs w:val="24"/>
          <w:lang w:eastAsia="en-AU"/>
        </w:rPr>
        <w:t>2864 suicide deaths in 2014</w:t>
      </w:r>
      <w:r w:rsidRPr="00DA544A">
        <w:rPr>
          <w:rFonts w:eastAsia="Times New Roman" w:cstheme="minorHAnsi"/>
          <w:color w:val="000000"/>
          <w:sz w:val="24"/>
          <w:szCs w:val="24"/>
          <w:lang w:eastAsia="en-AU"/>
        </w:rPr>
        <w:t xml:space="preserve">. Further, for every suicide death, 30 </w:t>
      </w:r>
      <w:r w:rsidR="00BD1E5D">
        <w:rPr>
          <w:rFonts w:eastAsia="Times New Roman" w:cstheme="minorHAnsi"/>
          <w:color w:val="000000"/>
          <w:sz w:val="24"/>
          <w:szCs w:val="24"/>
          <w:lang w:eastAsia="en-AU"/>
        </w:rPr>
        <w:t>to 40 people attempt suicide</w:t>
      </w:r>
      <w:r w:rsidRPr="00DA544A">
        <w:rPr>
          <w:rFonts w:eastAsia="Times New Roman" w:cstheme="minorHAnsi"/>
          <w:color w:val="000000"/>
          <w:sz w:val="24"/>
          <w:szCs w:val="24"/>
          <w:lang w:eastAsia="en-AU"/>
        </w:rPr>
        <w:t xml:space="preserve">.  </w:t>
      </w:r>
    </w:p>
    <w:p w:rsidR="00DA544A" w:rsidRPr="00DA544A" w:rsidRDefault="00DA544A" w:rsidP="00DA544A">
      <w:pPr>
        <w:rPr>
          <w:rFonts w:eastAsia="Times New Roman" w:cstheme="minorHAnsi"/>
          <w:color w:val="000000"/>
          <w:sz w:val="24"/>
          <w:szCs w:val="24"/>
          <w:lang w:eastAsia="en-AU"/>
        </w:rPr>
      </w:pPr>
      <w:r w:rsidRPr="00DA544A">
        <w:rPr>
          <w:rFonts w:eastAsia="Times New Roman" w:cstheme="minorHAnsi"/>
          <w:color w:val="000000"/>
          <w:sz w:val="24"/>
          <w:szCs w:val="24"/>
          <w:lang w:eastAsia="en-AU"/>
        </w:rPr>
        <w:t>International research shows that the first peak in suicidality occurs among 15-25 year olds, which is also the demographic at the greatest risk of devel</w:t>
      </w:r>
      <w:r w:rsidR="00BD1E5D">
        <w:rPr>
          <w:rFonts w:eastAsia="Times New Roman" w:cstheme="minorHAnsi"/>
          <w:color w:val="000000"/>
          <w:sz w:val="24"/>
          <w:szCs w:val="24"/>
          <w:lang w:eastAsia="en-AU"/>
        </w:rPr>
        <w:t>oping an eating disorder</w:t>
      </w:r>
      <w:r w:rsidRPr="00DA544A">
        <w:rPr>
          <w:rFonts w:eastAsia="Times New Roman" w:cstheme="minorHAnsi"/>
          <w:color w:val="000000"/>
          <w:sz w:val="24"/>
          <w:szCs w:val="24"/>
          <w:lang w:eastAsia="en-AU"/>
        </w:rPr>
        <w:t>. Indeed, all eating disorders are associated with increased risk of mortality, and suicide is one of the leading causes of premat</w:t>
      </w:r>
      <w:r w:rsidR="00BD1E5D">
        <w:rPr>
          <w:rFonts w:eastAsia="Times New Roman" w:cstheme="minorHAnsi"/>
          <w:color w:val="000000"/>
          <w:sz w:val="24"/>
          <w:szCs w:val="24"/>
          <w:lang w:eastAsia="en-AU"/>
        </w:rPr>
        <w:t>ure death in this group</w:t>
      </w:r>
      <w:r w:rsidRPr="00DA544A">
        <w:rPr>
          <w:rFonts w:eastAsia="Times New Roman" w:cstheme="minorHAnsi"/>
          <w:color w:val="000000"/>
          <w:sz w:val="24"/>
          <w:szCs w:val="24"/>
          <w:lang w:eastAsia="en-AU"/>
        </w:rPr>
        <w:t>. The increased risk of suicide and self-harming behaviours in patients with eating disorders is well documented, and comparable to, or higher than, o</w:t>
      </w:r>
      <w:r w:rsidR="00BD1E5D">
        <w:rPr>
          <w:rFonts w:eastAsia="Times New Roman" w:cstheme="minorHAnsi"/>
          <w:color w:val="000000"/>
          <w:sz w:val="24"/>
          <w:szCs w:val="24"/>
          <w:lang w:eastAsia="en-AU"/>
        </w:rPr>
        <w:t>ther psychiatric populations</w:t>
      </w:r>
      <w:r w:rsidRPr="00DA544A">
        <w:rPr>
          <w:rFonts w:eastAsia="Times New Roman" w:cstheme="minorHAnsi"/>
          <w:color w:val="000000"/>
          <w:sz w:val="24"/>
          <w:szCs w:val="24"/>
          <w:lang w:eastAsia="en-AU"/>
        </w:rPr>
        <w:t>.</w:t>
      </w:r>
    </w:p>
    <w:p w:rsidR="00DA544A" w:rsidRPr="00DA544A" w:rsidRDefault="00DA544A" w:rsidP="00DA544A">
      <w:pPr>
        <w:rPr>
          <w:rFonts w:eastAsia="Times New Roman" w:cstheme="minorHAnsi"/>
          <w:color w:val="000000"/>
          <w:sz w:val="24"/>
          <w:szCs w:val="24"/>
          <w:lang w:eastAsia="en-AU"/>
        </w:rPr>
      </w:pPr>
    </w:p>
    <w:p w:rsidR="00DA544A" w:rsidRPr="00DA544A" w:rsidRDefault="00DA544A" w:rsidP="00DA544A">
      <w:pPr>
        <w:rPr>
          <w:rFonts w:eastAsia="Times New Roman" w:cstheme="minorHAnsi"/>
          <w:b/>
          <w:color w:val="000000"/>
          <w:sz w:val="24"/>
          <w:szCs w:val="24"/>
          <w:lang w:eastAsia="en-AU"/>
        </w:rPr>
      </w:pPr>
      <w:r w:rsidRPr="00DA544A">
        <w:rPr>
          <w:rFonts w:eastAsia="Times New Roman" w:cstheme="minorHAnsi"/>
          <w:b/>
          <w:color w:val="000000"/>
          <w:sz w:val="24"/>
          <w:szCs w:val="24"/>
          <w:lang w:eastAsia="en-AU"/>
        </w:rPr>
        <w:t>What does the evidence say?</w:t>
      </w:r>
    </w:p>
    <w:p w:rsidR="00DA544A" w:rsidRPr="00DA544A" w:rsidRDefault="00DA544A" w:rsidP="00DA544A">
      <w:pPr>
        <w:pStyle w:val="ListParagraph"/>
        <w:numPr>
          <w:ilvl w:val="0"/>
          <w:numId w:val="12"/>
        </w:numPr>
        <w:rPr>
          <w:rFonts w:eastAsia="Times New Roman" w:cstheme="minorHAnsi"/>
          <w:color w:val="000000"/>
          <w:sz w:val="24"/>
          <w:szCs w:val="24"/>
          <w:lang w:eastAsia="en-AU"/>
        </w:rPr>
      </w:pPr>
      <w:r w:rsidRPr="00DA544A">
        <w:rPr>
          <w:rFonts w:eastAsia="Times New Roman" w:cstheme="minorHAnsi"/>
          <w:color w:val="000000"/>
          <w:sz w:val="24"/>
          <w:szCs w:val="24"/>
          <w:lang w:eastAsia="en-AU"/>
        </w:rPr>
        <w:t>People with eating disorders have an elevated risk of suicide than t</w:t>
      </w:r>
      <w:r w:rsidR="00BD1E5D">
        <w:rPr>
          <w:rFonts w:eastAsia="Times New Roman" w:cstheme="minorHAnsi"/>
          <w:color w:val="000000"/>
          <w:sz w:val="24"/>
          <w:szCs w:val="24"/>
          <w:lang w:eastAsia="en-AU"/>
        </w:rPr>
        <w:t xml:space="preserve">hose without eating disorders. </w:t>
      </w:r>
      <w:r w:rsidRPr="00DA544A">
        <w:rPr>
          <w:rFonts w:eastAsia="Times New Roman" w:cstheme="minorHAnsi"/>
          <w:color w:val="000000"/>
          <w:sz w:val="24"/>
          <w:szCs w:val="24"/>
          <w:lang w:eastAsia="en-AU"/>
        </w:rPr>
        <w:t xml:space="preserve">The suicide rate is 7.5- 31 times higher for individuals with eating disorders </w:t>
      </w:r>
      <w:r w:rsidR="00BD1E5D">
        <w:rPr>
          <w:rFonts w:eastAsia="Times New Roman" w:cstheme="minorHAnsi"/>
          <w:color w:val="000000"/>
          <w:sz w:val="24"/>
          <w:szCs w:val="24"/>
          <w:lang w:eastAsia="en-AU"/>
        </w:rPr>
        <w:t>than the general population</w:t>
      </w:r>
      <w:r w:rsidRPr="00DA544A">
        <w:rPr>
          <w:rFonts w:eastAsia="Times New Roman" w:cstheme="minorHAnsi"/>
          <w:color w:val="000000"/>
          <w:sz w:val="24"/>
          <w:szCs w:val="24"/>
          <w:lang w:eastAsia="en-AU"/>
        </w:rPr>
        <w:t>.</w:t>
      </w:r>
    </w:p>
    <w:p w:rsidR="00DA544A" w:rsidRPr="00DA544A" w:rsidRDefault="00DA544A" w:rsidP="00DA544A">
      <w:pPr>
        <w:pStyle w:val="ListParagraph"/>
        <w:numPr>
          <w:ilvl w:val="0"/>
          <w:numId w:val="12"/>
        </w:numPr>
        <w:rPr>
          <w:rFonts w:eastAsia="Times New Roman" w:cstheme="minorHAnsi"/>
          <w:color w:val="000000"/>
          <w:sz w:val="24"/>
          <w:szCs w:val="24"/>
          <w:lang w:eastAsia="en-AU"/>
        </w:rPr>
      </w:pPr>
      <w:r w:rsidRPr="00DA544A">
        <w:rPr>
          <w:rFonts w:eastAsia="Times New Roman" w:cstheme="minorHAnsi"/>
          <w:color w:val="000000"/>
          <w:sz w:val="24"/>
          <w:szCs w:val="24"/>
          <w:lang w:eastAsia="en-AU"/>
        </w:rPr>
        <w:t>The increased risk of suicide and self-harming behaviours in patients with eating disorders is comparable to or higher than ot</w:t>
      </w:r>
      <w:r w:rsidR="00BD1E5D">
        <w:rPr>
          <w:rFonts w:eastAsia="Times New Roman" w:cstheme="minorHAnsi"/>
          <w:color w:val="000000"/>
          <w:sz w:val="24"/>
          <w:szCs w:val="24"/>
          <w:lang w:eastAsia="en-AU"/>
        </w:rPr>
        <w:t>her psychiatric populations</w:t>
      </w:r>
      <w:r w:rsidRPr="00DA544A">
        <w:rPr>
          <w:rFonts w:eastAsia="Times New Roman" w:cstheme="minorHAnsi"/>
          <w:color w:val="000000"/>
          <w:sz w:val="24"/>
          <w:szCs w:val="24"/>
          <w:lang w:eastAsia="en-AU"/>
        </w:rPr>
        <w:t>.</w:t>
      </w:r>
    </w:p>
    <w:p w:rsidR="00DA544A" w:rsidRPr="00DA544A" w:rsidRDefault="00DA544A" w:rsidP="00DA544A">
      <w:pPr>
        <w:pStyle w:val="ListParagraph"/>
        <w:numPr>
          <w:ilvl w:val="0"/>
          <w:numId w:val="12"/>
        </w:numPr>
        <w:rPr>
          <w:rFonts w:eastAsia="Times New Roman" w:cstheme="minorHAnsi"/>
          <w:color w:val="000000"/>
          <w:sz w:val="24"/>
          <w:szCs w:val="24"/>
          <w:lang w:eastAsia="en-AU"/>
        </w:rPr>
      </w:pPr>
      <w:r w:rsidRPr="00DA544A">
        <w:rPr>
          <w:rFonts w:eastAsia="Times New Roman" w:cstheme="minorHAnsi"/>
          <w:color w:val="000000"/>
          <w:sz w:val="24"/>
          <w:szCs w:val="24"/>
          <w:lang w:eastAsia="en-AU"/>
        </w:rPr>
        <w:t>Suicide is more common in presentations that include purging behaviour (Anorexia Nervosa binge-purge subtype, Bulimia Nervosa and Purging Disorder)</w:t>
      </w:r>
    </w:p>
    <w:p w:rsidR="00DA544A" w:rsidRPr="00DA544A" w:rsidRDefault="00DA544A" w:rsidP="00DA544A">
      <w:pPr>
        <w:pStyle w:val="ListParagraph"/>
        <w:numPr>
          <w:ilvl w:val="0"/>
          <w:numId w:val="12"/>
        </w:numPr>
        <w:rPr>
          <w:rFonts w:eastAsia="Times New Roman" w:cstheme="minorHAnsi"/>
          <w:color w:val="000000"/>
          <w:sz w:val="24"/>
          <w:szCs w:val="24"/>
          <w:lang w:eastAsia="en-AU"/>
        </w:rPr>
      </w:pPr>
      <w:r w:rsidRPr="00DA544A">
        <w:rPr>
          <w:rFonts w:eastAsia="Times New Roman" w:cstheme="minorHAnsi"/>
          <w:color w:val="000000"/>
          <w:sz w:val="24"/>
          <w:szCs w:val="24"/>
          <w:lang w:eastAsia="en-AU"/>
        </w:rPr>
        <w:lastRenderedPageBreak/>
        <w:t xml:space="preserve">Women who have an eating disorder are approximately 7 times more likely to attempt suicide than women who do </w:t>
      </w:r>
      <w:r w:rsidR="00BD1E5D">
        <w:rPr>
          <w:rFonts w:eastAsia="Times New Roman" w:cstheme="minorHAnsi"/>
          <w:color w:val="000000"/>
          <w:sz w:val="24"/>
          <w:szCs w:val="24"/>
          <w:lang w:eastAsia="en-AU"/>
        </w:rPr>
        <w:t>not have an eating disorder</w:t>
      </w:r>
      <w:r w:rsidRPr="00DA544A">
        <w:rPr>
          <w:rFonts w:eastAsia="Times New Roman" w:cstheme="minorHAnsi"/>
          <w:color w:val="000000"/>
          <w:sz w:val="24"/>
          <w:szCs w:val="24"/>
          <w:lang w:eastAsia="en-AU"/>
        </w:rPr>
        <w:t xml:space="preserve">. </w:t>
      </w:r>
    </w:p>
    <w:p w:rsidR="00DA544A" w:rsidRPr="00DA544A" w:rsidRDefault="00DA544A" w:rsidP="00DA544A">
      <w:pPr>
        <w:pStyle w:val="ListParagraph"/>
        <w:numPr>
          <w:ilvl w:val="0"/>
          <w:numId w:val="12"/>
        </w:numPr>
        <w:rPr>
          <w:rFonts w:eastAsia="Times New Roman" w:cstheme="minorHAnsi"/>
          <w:color w:val="000000"/>
          <w:sz w:val="24"/>
          <w:szCs w:val="24"/>
          <w:lang w:eastAsia="en-AU"/>
        </w:rPr>
      </w:pPr>
      <w:r w:rsidRPr="00DA544A">
        <w:rPr>
          <w:rFonts w:eastAsia="Times New Roman" w:cstheme="minorHAnsi"/>
          <w:color w:val="000000"/>
          <w:sz w:val="24"/>
          <w:szCs w:val="24"/>
          <w:lang w:eastAsia="en-AU"/>
        </w:rPr>
        <w:t>Suicide accounts for approximately two-thirds of all non-natural deaths in individuals with Anorexia Nervosa and all non-natural deaths in individuals with Bulimia Nervos</w:t>
      </w:r>
      <w:r w:rsidR="00BD1E5D">
        <w:rPr>
          <w:rFonts w:eastAsia="Times New Roman" w:cstheme="minorHAnsi"/>
          <w:color w:val="000000"/>
          <w:sz w:val="24"/>
          <w:szCs w:val="24"/>
          <w:lang w:eastAsia="en-AU"/>
        </w:rPr>
        <w:t>a and Binge Eating Disorder</w:t>
      </w:r>
      <w:r w:rsidRPr="00DA544A">
        <w:rPr>
          <w:rFonts w:eastAsia="Times New Roman" w:cstheme="minorHAnsi"/>
          <w:color w:val="000000"/>
          <w:sz w:val="24"/>
          <w:szCs w:val="24"/>
          <w:lang w:eastAsia="en-AU"/>
        </w:rPr>
        <w:t>.</w:t>
      </w:r>
    </w:p>
    <w:p w:rsidR="00DA544A" w:rsidRPr="00DA544A" w:rsidRDefault="00DA544A" w:rsidP="00DA544A">
      <w:pPr>
        <w:pStyle w:val="ListParagraph"/>
        <w:numPr>
          <w:ilvl w:val="0"/>
          <w:numId w:val="12"/>
        </w:numPr>
        <w:rPr>
          <w:rFonts w:eastAsia="Times New Roman" w:cstheme="minorHAnsi"/>
          <w:color w:val="000000"/>
          <w:sz w:val="24"/>
          <w:szCs w:val="24"/>
          <w:lang w:eastAsia="en-AU"/>
        </w:rPr>
      </w:pPr>
      <w:r w:rsidRPr="00DA544A">
        <w:rPr>
          <w:rFonts w:eastAsia="Times New Roman" w:cstheme="minorHAnsi"/>
          <w:color w:val="000000"/>
          <w:sz w:val="24"/>
          <w:szCs w:val="24"/>
          <w:lang w:eastAsia="en-AU"/>
        </w:rPr>
        <w:t>Eating disorder patients that are at greatest risk of suicide are those with greater severity of depressive symptoms, substance use and impulsive behaviour, as well as a longer duration of illness and the presence of b</w:t>
      </w:r>
      <w:r w:rsidR="00BD1E5D">
        <w:rPr>
          <w:rFonts w:eastAsia="Times New Roman" w:cstheme="minorHAnsi"/>
          <w:color w:val="000000"/>
          <w:sz w:val="24"/>
          <w:szCs w:val="24"/>
          <w:lang w:eastAsia="en-AU"/>
        </w:rPr>
        <w:t>inge/purging behaviours.</w:t>
      </w:r>
    </w:p>
    <w:p w:rsidR="00DA544A" w:rsidRPr="00DA544A" w:rsidRDefault="00DA544A" w:rsidP="00DA544A">
      <w:pPr>
        <w:pStyle w:val="ListParagraph"/>
        <w:numPr>
          <w:ilvl w:val="0"/>
          <w:numId w:val="12"/>
        </w:numPr>
        <w:rPr>
          <w:rFonts w:eastAsia="Times New Roman" w:cstheme="minorHAnsi"/>
          <w:color w:val="000000"/>
          <w:sz w:val="24"/>
          <w:szCs w:val="24"/>
          <w:lang w:eastAsia="en-AU"/>
        </w:rPr>
      </w:pPr>
      <w:r w:rsidRPr="00DA544A">
        <w:rPr>
          <w:rFonts w:eastAsia="Times New Roman" w:cstheme="minorHAnsi"/>
          <w:color w:val="000000"/>
          <w:sz w:val="24"/>
          <w:szCs w:val="24"/>
          <w:lang w:eastAsia="en-AU"/>
        </w:rPr>
        <w:t xml:space="preserve">Certain personality traits further increase the likelihood of suicidal behaviour, including impulsivity, low self-directedness and anti-social behaviours. </w:t>
      </w:r>
    </w:p>
    <w:p w:rsidR="00DA544A" w:rsidRPr="00DA544A" w:rsidRDefault="00DA544A" w:rsidP="00DA544A">
      <w:pPr>
        <w:pStyle w:val="ListParagraph"/>
        <w:numPr>
          <w:ilvl w:val="0"/>
          <w:numId w:val="12"/>
        </w:numPr>
        <w:rPr>
          <w:rFonts w:eastAsia="Times New Roman" w:cstheme="minorHAnsi"/>
          <w:color w:val="000000"/>
          <w:sz w:val="24"/>
          <w:szCs w:val="24"/>
          <w:lang w:eastAsia="en-AU"/>
        </w:rPr>
      </w:pPr>
      <w:r w:rsidRPr="00DA544A">
        <w:rPr>
          <w:rFonts w:eastAsia="Times New Roman" w:cstheme="minorHAnsi"/>
          <w:color w:val="000000"/>
          <w:sz w:val="24"/>
          <w:szCs w:val="24"/>
          <w:lang w:eastAsia="en-AU"/>
        </w:rPr>
        <w:t>Males are underrepresented in studies characterising mortality and suicide in eating disorder populations, despite being at elevated risk of mortality and having a substantially greater risk of suicide than females.</w:t>
      </w:r>
    </w:p>
    <w:p w:rsidR="00DA544A" w:rsidRPr="00DA544A" w:rsidRDefault="00DA544A" w:rsidP="00DA544A">
      <w:pPr>
        <w:rPr>
          <w:rFonts w:eastAsia="Times New Roman" w:cstheme="minorHAnsi"/>
          <w:b/>
          <w:color w:val="000000"/>
          <w:sz w:val="24"/>
          <w:szCs w:val="24"/>
          <w:lang w:eastAsia="en-AU"/>
        </w:rPr>
      </w:pPr>
      <w:r w:rsidRPr="00DA544A">
        <w:rPr>
          <w:rFonts w:eastAsia="Times New Roman" w:cstheme="minorHAnsi"/>
          <w:b/>
          <w:color w:val="000000"/>
          <w:sz w:val="24"/>
          <w:szCs w:val="24"/>
          <w:lang w:eastAsia="en-AU"/>
        </w:rPr>
        <w:t>The Future of Eating Disorders Prevention and Treatment</w:t>
      </w:r>
    </w:p>
    <w:p w:rsidR="00DA544A" w:rsidRPr="00DA544A" w:rsidRDefault="00DA544A" w:rsidP="00DA544A">
      <w:pPr>
        <w:rPr>
          <w:rFonts w:eastAsia="Times New Roman" w:cstheme="minorHAnsi"/>
          <w:color w:val="000000"/>
          <w:sz w:val="24"/>
          <w:szCs w:val="24"/>
          <w:lang w:eastAsia="en-AU"/>
        </w:rPr>
      </w:pPr>
      <w:r w:rsidRPr="00DA544A">
        <w:rPr>
          <w:rFonts w:eastAsia="Times New Roman" w:cstheme="minorHAnsi"/>
          <w:color w:val="000000"/>
          <w:sz w:val="24"/>
          <w:szCs w:val="24"/>
          <w:lang w:eastAsia="en-AU"/>
        </w:rPr>
        <w:t>Considering the consistent finding of high risk of suicidality and mortality in individuals with eating disorders, initiatives that aim to understand and i</w:t>
      </w:r>
      <w:r>
        <w:rPr>
          <w:rFonts w:eastAsia="Times New Roman" w:cstheme="minorHAnsi"/>
          <w:color w:val="000000"/>
          <w:sz w:val="24"/>
          <w:szCs w:val="24"/>
          <w:lang w:eastAsia="en-AU"/>
        </w:rPr>
        <w:t xml:space="preserve">mprove outcomes for individuals </w:t>
      </w:r>
      <w:r w:rsidRPr="00DA544A">
        <w:rPr>
          <w:rFonts w:eastAsia="Times New Roman" w:cstheme="minorHAnsi"/>
          <w:color w:val="000000"/>
          <w:sz w:val="24"/>
          <w:szCs w:val="24"/>
          <w:lang w:eastAsia="en-AU"/>
        </w:rPr>
        <w:t>with eating disorders should be considered a top priority.</w:t>
      </w:r>
    </w:p>
    <w:p w:rsidR="007779D0" w:rsidRPr="00BD1E5D" w:rsidRDefault="004542C1">
      <w:pPr>
        <w:rPr>
          <w:rFonts w:eastAsia="Times New Roman" w:cstheme="minorHAnsi"/>
          <w:color w:val="000000"/>
          <w:sz w:val="24"/>
          <w:szCs w:val="24"/>
          <w:lang w:eastAsia="en-AU"/>
        </w:rPr>
      </w:pPr>
      <w:r>
        <w:rPr>
          <w:rFonts w:eastAsia="Times New Roman" w:cstheme="minorHAnsi"/>
          <w:color w:val="000000"/>
          <w:sz w:val="24"/>
          <w:szCs w:val="24"/>
          <w:lang w:eastAsia="en-AU"/>
        </w:rPr>
        <w:t xml:space="preserve">Butterfly welcomes the Productivity Commission into mental health and the social and economic benefits of </w:t>
      </w:r>
      <w:r w:rsidR="00C96BFB">
        <w:rPr>
          <w:rFonts w:eastAsia="Times New Roman" w:cstheme="minorHAnsi"/>
          <w:color w:val="000000"/>
          <w:sz w:val="24"/>
          <w:szCs w:val="24"/>
          <w:lang w:eastAsia="en-AU"/>
        </w:rPr>
        <w:t>suicide prevention.</w:t>
      </w:r>
      <w:r>
        <w:rPr>
          <w:rFonts w:eastAsia="Times New Roman" w:cstheme="minorHAnsi"/>
          <w:color w:val="000000"/>
          <w:sz w:val="24"/>
          <w:szCs w:val="24"/>
          <w:lang w:eastAsia="en-AU"/>
        </w:rPr>
        <w:t xml:space="preserve"> </w:t>
      </w:r>
    </w:p>
    <w:sectPr w:rsidR="007779D0" w:rsidRPr="00BD1E5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C52" w:rsidRDefault="00F84C52" w:rsidP="00F84C52">
      <w:pPr>
        <w:spacing w:after="0" w:line="240" w:lineRule="auto"/>
      </w:pPr>
      <w:r>
        <w:separator/>
      </w:r>
    </w:p>
  </w:endnote>
  <w:endnote w:type="continuationSeparator" w:id="0">
    <w:p w:rsidR="00F84C52" w:rsidRDefault="00F84C52" w:rsidP="00F8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C52" w:rsidRDefault="00F84C52" w:rsidP="00F84C52">
      <w:pPr>
        <w:spacing w:after="0" w:line="240" w:lineRule="auto"/>
      </w:pPr>
      <w:r>
        <w:separator/>
      </w:r>
    </w:p>
  </w:footnote>
  <w:footnote w:type="continuationSeparator" w:id="0">
    <w:p w:rsidR="00F84C52" w:rsidRDefault="00F84C52" w:rsidP="00F84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C52" w:rsidRDefault="00F84C52" w:rsidP="00F84C52">
    <w:pPr>
      <w:pStyle w:val="Header"/>
      <w:jc w:val="right"/>
    </w:pPr>
    <w:r>
      <w:rPr>
        <w:b/>
        <w:noProof/>
        <w:sz w:val="28"/>
        <w:szCs w:val="28"/>
        <w:lang w:eastAsia="en-AU"/>
      </w:rPr>
      <w:drawing>
        <wp:inline distT="0" distB="0" distL="0" distR="0" wp14:anchorId="4BDB25FF" wp14:editId="314D97CE">
          <wp:extent cx="1251965" cy="1215957"/>
          <wp:effectExtent l="0" t="0" r="571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262163" cy="12258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23F8F"/>
    <w:multiLevelType w:val="hybridMultilevel"/>
    <w:tmpl w:val="0BBEF60E"/>
    <w:lvl w:ilvl="0" w:tplc="F7C4E19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C359F9"/>
    <w:multiLevelType w:val="hybridMultilevel"/>
    <w:tmpl w:val="DE0CE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156BE"/>
    <w:multiLevelType w:val="hybridMultilevel"/>
    <w:tmpl w:val="E7FAF1D0"/>
    <w:lvl w:ilvl="0" w:tplc="56A6B8B8">
      <w:numFmt w:val="bullet"/>
      <w:lvlText w:val=""/>
      <w:lvlJc w:val="left"/>
      <w:pPr>
        <w:ind w:left="720" w:hanging="720"/>
      </w:pPr>
      <w:rPr>
        <w:rFonts w:asciiTheme="minorHAnsi" w:eastAsia="Times New Roman" w:hAnsiTheme="minorHAnsi" w:cstheme="minorHAns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6C0875"/>
    <w:multiLevelType w:val="hybridMultilevel"/>
    <w:tmpl w:val="9AEE41DC"/>
    <w:lvl w:ilvl="0" w:tplc="56A6B8B8">
      <w:numFmt w:val="bullet"/>
      <w:lvlText w:val=""/>
      <w:lvlJc w:val="left"/>
      <w:pPr>
        <w:ind w:left="1080" w:hanging="720"/>
      </w:pPr>
      <w:rPr>
        <w:rFonts w:asciiTheme="minorHAnsi" w:eastAsia="Times New Roman" w:hAnsiTheme="minorHAnsi" w:cstheme="minorHAnsi" w:hint="default"/>
      </w:rPr>
    </w:lvl>
    <w:lvl w:ilvl="1" w:tplc="E8EE819C">
      <w:numFmt w:val="bullet"/>
      <w:lvlText w:val="•"/>
      <w:lvlJc w:val="left"/>
      <w:pPr>
        <w:ind w:left="1080" w:firstLine="0"/>
      </w:pPr>
      <w:rPr>
        <w:rFonts w:asciiTheme="minorHAnsi" w:eastAsia="Times New Roman" w:hAnsiTheme="minorHAnsi" w:cstheme="min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B70416"/>
    <w:multiLevelType w:val="hybridMultilevel"/>
    <w:tmpl w:val="BA2CD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87874"/>
    <w:multiLevelType w:val="hybridMultilevel"/>
    <w:tmpl w:val="A71A36DE"/>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C7337E"/>
    <w:multiLevelType w:val="hybridMultilevel"/>
    <w:tmpl w:val="71066FB8"/>
    <w:lvl w:ilvl="0" w:tplc="F7C4E19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5354CF"/>
    <w:multiLevelType w:val="hybridMultilevel"/>
    <w:tmpl w:val="B950B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9" w15:restartNumberingAfterBreak="0">
    <w:nsid w:val="5ABB1218"/>
    <w:multiLevelType w:val="hybridMultilevel"/>
    <w:tmpl w:val="8B5A7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2F7D58"/>
    <w:multiLevelType w:val="hybridMultilevel"/>
    <w:tmpl w:val="FA042344"/>
    <w:lvl w:ilvl="0" w:tplc="56A6B8B8">
      <w:numFmt w:val="bullet"/>
      <w:lvlText w:val=""/>
      <w:lvlJc w:val="left"/>
      <w:pPr>
        <w:ind w:left="1080" w:hanging="720"/>
      </w:pPr>
      <w:rPr>
        <w:rFonts w:asciiTheme="minorHAnsi" w:eastAsia="Times New Roman" w:hAnsiTheme="minorHAns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AA1CAC"/>
    <w:multiLevelType w:val="hybridMultilevel"/>
    <w:tmpl w:val="31DC13CC"/>
    <w:lvl w:ilvl="0" w:tplc="F7C4E19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1"/>
  </w:num>
  <w:num w:numId="4">
    <w:abstractNumId w:val="0"/>
  </w:num>
  <w:num w:numId="5">
    <w:abstractNumId w:val="8"/>
  </w:num>
  <w:num w:numId="6">
    <w:abstractNumId w:val="1"/>
  </w:num>
  <w:num w:numId="7">
    <w:abstractNumId w:val="3"/>
  </w:num>
  <w:num w:numId="8">
    <w:abstractNumId w:val="2"/>
  </w:num>
  <w:num w:numId="9">
    <w:abstractNumId w:val="10"/>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AC"/>
    <w:rsid w:val="000C4318"/>
    <w:rsid w:val="00243A73"/>
    <w:rsid w:val="003A55AC"/>
    <w:rsid w:val="004542C1"/>
    <w:rsid w:val="006B1223"/>
    <w:rsid w:val="006E41BD"/>
    <w:rsid w:val="007779D0"/>
    <w:rsid w:val="00861087"/>
    <w:rsid w:val="00BD1E5D"/>
    <w:rsid w:val="00BE7AD6"/>
    <w:rsid w:val="00C96BFB"/>
    <w:rsid w:val="00CE5C14"/>
    <w:rsid w:val="00DA544A"/>
    <w:rsid w:val="00DA6BF4"/>
    <w:rsid w:val="00F84C52"/>
    <w:rsid w:val="00FD1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05050-4C76-4A1F-BB6D-3604B2F4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55A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A55AC"/>
    <w:rPr>
      <w:b/>
      <w:bCs/>
    </w:rPr>
  </w:style>
  <w:style w:type="paragraph" w:styleId="ListParagraph">
    <w:name w:val="List Paragraph"/>
    <w:basedOn w:val="Normal"/>
    <w:uiPriority w:val="34"/>
    <w:qFormat/>
    <w:rsid w:val="006E41BD"/>
    <w:pPr>
      <w:ind w:left="720"/>
      <w:contextualSpacing/>
    </w:pPr>
  </w:style>
  <w:style w:type="paragraph" w:styleId="ListBullet">
    <w:name w:val="List Bullet"/>
    <w:basedOn w:val="BodyText"/>
    <w:rsid w:val="00861087"/>
    <w:pPr>
      <w:numPr>
        <w:numId w:val="5"/>
      </w:numPr>
      <w:tabs>
        <w:tab w:val="clear" w:pos="340"/>
      </w:tabs>
      <w:spacing w:before="120" w:after="0" w:line="300" w:lineRule="atLeast"/>
      <w:ind w:left="1080" w:hanging="720"/>
      <w:jc w:val="both"/>
    </w:pPr>
    <w:rPr>
      <w:rFonts w:ascii="Times New Roman" w:eastAsia="Times New Roman" w:hAnsi="Times New Roman" w:cs="Times New Roman"/>
      <w:sz w:val="24"/>
      <w:szCs w:val="20"/>
      <w:lang w:eastAsia="en-AU"/>
    </w:rPr>
  </w:style>
  <w:style w:type="paragraph" w:customStyle="1" w:styleId="InformationRequestBullet">
    <w:name w:val="Information Request Bullet"/>
    <w:basedOn w:val="ListBullet"/>
    <w:next w:val="BodyText"/>
    <w:rsid w:val="00861087"/>
    <w:pPr>
      <w:spacing w:before="80" w:line="280" w:lineRule="atLeast"/>
    </w:pPr>
    <w:rPr>
      <w:rFonts w:ascii="Arial" w:hAnsi="Arial"/>
      <w:i/>
      <w:sz w:val="22"/>
    </w:rPr>
  </w:style>
  <w:style w:type="paragraph" w:customStyle="1" w:styleId="InformationRequestTitle">
    <w:name w:val="Information Request Title"/>
    <w:basedOn w:val="Normal"/>
    <w:next w:val="Normal"/>
    <w:rsid w:val="00861087"/>
    <w:pPr>
      <w:keepNext/>
      <w:keepLines/>
      <w:spacing w:before="240" w:after="0" w:line="280" w:lineRule="atLeast"/>
      <w:jc w:val="both"/>
    </w:pPr>
    <w:rPr>
      <w:rFonts w:ascii="Arial" w:eastAsia="Times New Roman" w:hAnsi="Arial" w:cs="Times New Roman"/>
      <w:i/>
      <w:caps/>
      <w:sz w:val="18"/>
      <w:szCs w:val="20"/>
      <w:lang w:eastAsia="en-AU"/>
    </w:rPr>
  </w:style>
  <w:style w:type="paragraph" w:styleId="BodyText">
    <w:name w:val="Body Text"/>
    <w:basedOn w:val="Normal"/>
    <w:link w:val="BodyTextChar"/>
    <w:uiPriority w:val="99"/>
    <w:semiHidden/>
    <w:unhideWhenUsed/>
    <w:rsid w:val="00861087"/>
    <w:pPr>
      <w:spacing w:after="120"/>
    </w:pPr>
  </w:style>
  <w:style w:type="character" w:customStyle="1" w:styleId="BodyTextChar">
    <w:name w:val="Body Text Char"/>
    <w:basedOn w:val="DefaultParagraphFont"/>
    <w:link w:val="BodyText"/>
    <w:uiPriority w:val="99"/>
    <w:semiHidden/>
    <w:rsid w:val="00861087"/>
  </w:style>
  <w:style w:type="paragraph" w:styleId="Header">
    <w:name w:val="header"/>
    <w:basedOn w:val="Normal"/>
    <w:link w:val="HeaderChar"/>
    <w:uiPriority w:val="99"/>
    <w:unhideWhenUsed/>
    <w:rsid w:val="00F84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C52"/>
  </w:style>
  <w:style w:type="paragraph" w:styleId="Footer">
    <w:name w:val="footer"/>
    <w:basedOn w:val="Normal"/>
    <w:link w:val="FooterChar"/>
    <w:uiPriority w:val="99"/>
    <w:unhideWhenUsed/>
    <w:rsid w:val="00F84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FCDF07-3C48-4805-B16A-C65F908AB963}">
  <ds:schemaRefs>
    <ds:schemaRef ds:uri="Microsoft.SharePoint.Taxonomy.ContentTypeSync"/>
  </ds:schemaRefs>
</ds:datastoreItem>
</file>

<file path=customXml/itemProps2.xml><?xml version="1.0" encoding="utf-8"?>
<ds:datastoreItem xmlns:ds="http://schemas.openxmlformats.org/officeDocument/2006/customXml" ds:itemID="{688C2902-7B8F-479E-858A-9B14C16943DD}">
  <ds:schemaRefs>
    <ds:schemaRef ds:uri="http://schemas.microsoft.com/office/2006/metadata/customXsn"/>
  </ds:schemaRefs>
</ds:datastoreItem>
</file>

<file path=customXml/itemProps3.xml><?xml version="1.0" encoding="utf-8"?>
<ds:datastoreItem xmlns:ds="http://schemas.openxmlformats.org/officeDocument/2006/customXml" ds:itemID="{8AFF8AE6-4F33-456E-886A-DEED2022424B}">
  <ds:schemaRefs>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3f4bcce7-ac1a-4c9d-aa3e-7e77695652db"/>
  </ds:schemaRefs>
</ds:datastoreItem>
</file>

<file path=customXml/itemProps4.xml><?xml version="1.0" encoding="utf-8"?>
<ds:datastoreItem xmlns:ds="http://schemas.openxmlformats.org/officeDocument/2006/customXml" ds:itemID="{0D5DA575-7401-4779-95AB-D869649B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05461D-B7D7-4A9D-9CBC-0F147B9FEA61}">
  <ds:schemaRefs>
    <ds:schemaRef ds:uri="http://schemas.microsoft.com/sharepoint/v3/contenttype/forms"/>
  </ds:schemaRefs>
</ds:datastoreItem>
</file>

<file path=customXml/itemProps6.xml><?xml version="1.0" encoding="utf-8"?>
<ds:datastoreItem xmlns:ds="http://schemas.openxmlformats.org/officeDocument/2006/customXml" ds:itemID="{85AEC552-2399-4CF0-8080-175C9D311F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5BF1C32F.dotm</Template>
  <TotalTime>6</TotalTime>
  <Pages>3</Pages>
  <Words>873</Words>
  <Characters>4890</Characters>
  <Application>Microsoft Office Word</Application>
  <DocSecurity>0</DocSecurity>
  <Lines>81</Lines>
  <Paragraphs>31</Paragraphs>
  <ScaleCrop>false</ScaleCrop>
  <HeadingPairs>
    <vt:vector size="2" baseType="variant">
      <vt:variant>
        <vt:lpstr>Title</vt:lpstr>
      </vt:variant>
      <vt:variant>
        <vt:i4>1</vt:i4>
      </vt:variant>
    </vt:vector>
  </HeadingPairs>
  <TitlesOfParts>
    <vt:vector size="1" baseType="lpstr">
      <vt:lpstr>Submission 424 - Part 3: The Social and Economic Benefits of Improving Mental Health: Eating Disorders and Negative Body Image - Suicide and Suicide Prevention -  Butterfly Foundation - Mental Health - Public inquiry</vt:lpstr>
    </vt:vector>
  </TitlesOfParts>
  <Company> Butterfly Foundation</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424 - Part 3: The Social and Economic Benefits of Improving Mental Health: Eating Disorders and Negative Body Image - Suicide and Suicide Prevention -  Butterfly Foundation - Mental Health - Public inquiry</dc:title>
  <dc:subject/>
  <dc:creator> Butterfly Foundation</dc:creator>
  <cp:keywords/>
  <dc:description/>
  <cp:lastModifiedBy>Productivity Commission</cp:lastModifiedBy>
  <cp:revision>5</cp:revision>
  <dcterms:created xsi:type="dcterms:W3CDTF">2019-04-14T09:56:00Z</dcterms:created>
  <dcterms:modified xsi:type="dcterms:W3CDTF">2019-04-17T23:59:00Z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