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08567" w14:textId="77777777" w:rsidR="003B378B" w:rsidRDefault="003B378B" w:rsidP="002B71AE">
      <w:pPr>
        <w:pStyle w:val="BoxTitle"/>
        <w:ind w:left="0" w:firstLine="0"/>
        <w:rPr>
          <w:b w:val="0"/>
          <w:u w:val="single"/>
        </w:rPr>
      </w:pPr>
      <w:bookmarkStart w:id="0" w:name="_GoBack"/>
      <w:bookmarkEnd w:id="0"/>
      <w:r w:rsidRPr="00242B86">
        <w:rPr>
          <w:b w:val="0"/>
          <w:u w:val="single"/>
        </w:rPr>
        <w:t xml:space="preserve">SUMISSION </w:t>
      </w:r>
      <w:r w:rsidR="00242B86" w:rsidRPr="00242B86">
        <w:rPr>
          <w:b w:val="0"/>
          <w:u w:val="single"/>
        </w:rPr>
        <w:t>to the</w:t>
      </w:r>
      <w:r w:rsidRPr="00242B86">
        <w:rPr>
          <w:b w:val="0"/>
          <w:u w:val="single"/>
        </w:rPr>
        <w:t xml:space="preserve"> </w:t>
      </w:r>
      <w:r w:rsidR="00242B86" w:rsidRPr="00242B86">
        <w:rPr>
          <w:b w:val="0"/>
          <w:u w:val="single"/>
        </w:rPr>
        <w:t>Indigenous Evaluation Strategy Productivity Commission</w:t>
      </w:r>
    </w:p>
    <w:p w14:paraId="662AAABD" w14:textId="77777777" w:rsidR="00242B86" w:rsidRPr="00242B86" w:rsidRDefault="00242B86" w:rsidP="00242B86"/>
    <w:p w14:paraId="0DE50B33" w14:textId="77777777" w:rsidR="002B71AE" w:rsidRDefault="0095103F" w:rsidP="002B71AE">
      <w:pPr>
        <w:pStyle w:val="BoxTitle"/>
        <w:ind w:left="0" w:firstLine="0"/>
        <w:rPr>
          <w:b w:val="0"/>
        </w:rPr>
      </w:pPr>
      <w:r w:rsidRPr="002B71AE">
        <w:rPr>
          <w:b w:val="0"/>
        </w:rPr>
        <w:t>This submission</w:t>
      </w:r>
      <w:r w:rsidR="002B71AE">
        <w:rPr>
          <w:b w:val="0"/>
        </w:rPr>
        <w:t xml:space="preserve"> is based on 20 years volunteering in remote Indigenous communities mainly in the Northern Territory but also in the Kimberly. </w:t>
      </w:r>
    </w:p>
    <w:p w14:paraId="26EB64A4" w14:textId="77777777" w:rsidR="002B71AE" w:rsidRPr="002B71AE" w:rsidRDefault="002B71AE" w:rsidP="002B71AE"/>
    <w:p w14:paraId="2F80BB80" w14:textId="646EDBA2" w:rsidR="002B71AE" w:rsidRDefault="002B71AE" w:rsidP="002B71AE">
      <w:r>
        <w:t xml:space="preserve">My background is in film and television. </w:t>
      </w:r>
      <w:r w:rsidR="001723D7">
        <w:t>I was Professor of Film &amp; Media at Griffith University before I retired. Since the 60s</w:t>
      </w:r>
      <w:r>
        <w:t xml:space="preserve"> I have worked in television for education. </w:t>
      </w:r>
      <w:r w:rsidR="001723D7">
        <w:t>I</w:t>
      </w:r>
      <w:r>
        <w:t xml:space="preserve">n the US </w:t>
      </w:r>
      <w:r w:rsidR="001723D7">
        <w:t xml:space="preserve">I worked </w:t>
      </w:r>
      <w:r>
        <w:t xml:space="preserve">at an education television station, in the UK I produced </w:t>
      </w:r>
      <w:r w:rsidR="001723D7">
        <w:t xml:space="preserve">a </w:t>
      </w:r>
      <w:r>
        <w:t>pilot project for the Open University and trained teachers to use television and at Griffith University we produced</w:t>
      </w:r>
      <w:r w:rsidR="001723D7">
        <w:t>,</w:t>
      </w:r>
      <w:r>
        <w:t xml:space="preserve"> with the ABC </w:t>
      </w:r>
      <w:r w:rsidR="001723D7">
        <w:t xml:space="preserve">, </w:t>
      </w:r>
      <w:r>
        <w:t>the early Open University courses.</w:t>
      </w:r>
      <w:r w:rsidR="001723D7">
        <w:t xml:space="preserve"> In 1984 as a Member of the Australian Broadcasting Tribunal we conducted a government inquiry, taking evidence from many remote community members, using interpreters, into the affect that the launch of the domestic satellite would have on their communities </w:t>
      </w:r>
    </w:p>
    <w:p w14:paraId="0BECB863" w14:textId="77777777" w:rsidR="000F30E4" w:rsidRDefault="000F30E4" w:rsidP="002B71AE"/>
    <w:p w14:paraId="78A5E1C2" w14:textId="136A5BF9" w:rsidR="002B71AE" w:rsidRDefault="001723D7" w:rsidP="002B71AE">
      <w:r>
        <w:t>My major concern in submitting to this Inquiry is to alert the Commi</w:t>
      </w:r>
      <w:r w:rsidR="00242B86">
        <w:t>ssion</w:t>
      </w:r>
      <w:r>
        <w:t xml:space="preserve"> into </w:t>
      </w:r>
      <w:r w:rsidRPr="001723D7">
        <w:rPr>
          <w:b/>
        </w:rPr>
        <w:t>the lack of English first speakers in communities</w:t>
      </w:r>
      <w:r>
        <w:rPr>
          <w:b/>
        </w:rPr>
        <w:t>.</w:t>
      </w:r>
      <w:r w:rsidR="00755663">
        <w:rPr>
          <w:b/>
        </w:rPr>
        <w:t xml:space="preserve"> </w:t>
      </w:r>
      <w:r w:rsidR="00755663" w:rsidRPr="00755663">
        <w:t>A fact that</w:t>
      </w:r>
      <w:r w:rsidR="00755663">
        <w:rPr>
          <w:b/>
        </w:rPr>
        <w:t xml:space="preserve"> </w:t>
      </w:r>
      <w:r w:rsidR="00755663">
        <w:t>few inquiries, consultants, NGOs and governments take into account</w:t>
      </w:r>
      <w:r w:rsidR="00242B86">
        <w:t xml:space="preserve"> when making policies</w:t>
      </w:r>
      <w:r w:rsidR="00755663">
        <w:t xml:space="preserve">. </w:t>
      </w:r>
    </w:p>
    <w:p w14:paraId="72572729" w14:textId="77777777" w:rsidR="000F30E4" w:rsidRPr="002B71AE" w:rsidRDefault="000F30E4" w:rsidP="002B71AE"/>
    <w:p w14:paraId="0ED2BB87" w14:textId="77777777" w:rsidR="003B378B" w:rsidRDefault="003B378B" w:rsidP="003B378B">
      <w:pPr>
        <w:pStyle w:val="BodyText"/>
      </w:pPr>
      <w:r>
        <w:t>The issues paper for this inquiry identifies</w:t>
      </w:r>
      <w:r w:rsidR="00242B86">
        <w:t>,</w:t>
      </w:r>
    </w:p>
    <w:p w14:paraId="4570DAD2" w14:textId="14864995" w:rsidR="002B71AE" w:rsidRDefault="008F53B8" w:rsidP="003B378B">
      <w:pPr>
        <w:rPr>
          <w:b/>
        </w:rPr>
      </w:pPr>
      <w:r w:rsidRPr="000B0FDE">
        <w:t xml:space="preserve"> </w:t>
      </w:r>
      <w:r w:rsidR="003B378B" w:rsidRPr="000B0FDE">
        <w:t>“the diversity of Aboriginal and Torres Strait Islander peoples, cultures and experiences means outcomes can vary markedly by geography, age, sex, employment status and other factors……”</w:t>
      </w:r>
      <w:r w:rsidR="003B378B">
        <w:t xml:space="preserve"> </w:t>
      </w:r>
      <w:r w:rsidR="003B378B" w:rsidRPr="003B378B">
        <w:rPr>
          <w:b/>
        </w:rPr>
        <w:t>NO MENTION IS MADE OF LANGUAGES S</w:t>
      </w:r>
      <w:r w:rsidR="003B378B">
        <w:rPr>
          <w:b/>
        </w:rPr>
        <w:t xml:space="preserve">POKEN AND </w:t>
      </w:r>
      <w:r>
        <w:rPr>
          <w:b/>
        </w:rPr>
        <w:t xml:space="preserve">THAT </w:t>
      </w:r>
      <w:r w:rsidR="003B378B">
        <w:rPr>
          <w:b/>
        </w:rPr>
        <w:t>STANDARD AUSTRALIAN EN</w:t>
      </w:r>
      <w:r w:rsidR="003B378B" w:rsidRPr="003B378B">
        <w:rPr>
          <w:b/>
        </w:rPr>
        <w:t xml:space="preserve">GLISH </w:t>
      </w:r>
      <w:r>
        <w:rPr>
          <w:b/>
        </w:rPr>
        <w:t xml:space="preserve">IS </w:t>
      </w:r>
      <w:r w:rsidR="003B378B" w:rsidRPr="003B378B">
        <w:rPr>
          <w:b/>
        </w:rPr>
        <w:t>NOT UNDERSTOOD</w:t>
      </w:r>
    </w:p>
    <w:p w14:paraId="7EC18C00" w14:textId="77777777" w:rsidR="000F30E4" w:rsidRPr="002B71AE" w:rsidRDefault="000F30E4" w:rsidP="003B378B"/>
    <w:p w14:paraId="15878DA6" w14:textId="77777777" w:rsidR="00416F4A" w:rsidRDefault="00416F4A" w:rsidP="00416F4A">
      <w:r>
        <w:t>Elements of an Indigenous Evaluation Strategy</w:t>
      </w: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48"/>
      </w:tblGrid>
      <w:tr w:rsidR="00416F4A" w14:paraId="38552FE6" w14:textId="77777777" w:rsidTr="00416F4A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hideMark/>
          </w:tcPr>
          <w:p w14:paraId="0C51C73D" w14:textId="77777777" w:rsidR="00416F4A" w:rsidRDefault="00416F4A">
            <w:pPr>
              <w:pStyle w:val="InformationRequestTitle"/>
              <w:spacing w:before="120"/>
              <w:rPr>
                <w:lang w:val="en-US"/>
              </w:rPr>
            </w:pPr>
            <w:r>
              <w:rPr>
                <w:lang w:val="en-US"/>
              </w:rPr>
              <w:t>Question on components of THE INDIGENOUS EVALUATION STRATEGY</w:t>
            </w:r>
          </w:p>
        </w:tc>
      </w:tr>
      <w:tr w:rsidR="00416F4A" w14:paraId="308B4C81" w14:textId="77777777" w:rsidTr="00416F4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1B61FF" w14:textId="77777777" w:rsidR="00416F4A" w:rsidRDefault="00416F4A">
            <w:pPr>
              <w:pStyle w:val="InformationRequest"/>
              <w:keepNext/>
              <w:rPr>
                <w:lang w:val="en-US"/>
              </w:rPr>
            </w:pPr>
            <w:r>
              <w:rPr>
                <w:lang w:val="en-US"/>
              </w:rPr>
              <w:t>Do you agree with the main components of an Indigenous Evaluation Strategy suggested by the Commission? Should other components be included? If so, why?</w:t>
            </w:r>
          </w:p>
        </w:tc>
      </w:tr>
    </w:tbl>
    <w:p w14:paraId="6B02B4AC" w14:textId="77777777" w:rsidR="008F53B8" w:rsidRDefault="008F53B8" w:rsidP="00C4285C">
      <w:pPr>
        <w:pStyle w:val="BodyText"/>
      </w:pPr>
    </w:p>
    <w:p w14:paraId="61DA1315" w14:textId="77777777" w:rsidR="00C4285C" w:rsidRDefault="00C4285C" w:rsidP="00C4285C">
      <w:pPr>
        <w:pStyle w:val="BodyText"/>
        <w:rPr>
          <w:szCs w:val="20"/>
        </w:rPr>
      </w:pPr>
      <w:r>
        <w:rPr>
          <w:szCs w:val="20"/>
        </w:rPr>
        <w:t>The issues paper states “to facilitate and enable greater involvement by indigenous peoples in setting priorities and making decisions about policies and programs that affect them.”</w:t>
      </w:r>
    </w:p>
    <w:p w14:paraId="061AFC5A" w14:textId="77777777" w:rsidR="00755663" w:rsidRDefault="00C4285C" w:rsidP="00C4285C">
      <w:pPr>
        <w:pStyle w:val="BodyText"/>
        <w:rPr>
          <w:b/>
        </w:rPr>
      </w:pPr>
      <w:r>
        <w:rPr>
          <w:b/>
        </w:rPr>
        <w:t>Nowhere is the Question of Language addressed</w:t>
      </w:r>
      <w:r w:rsidR="00755663">
        <w:rPr>
          <w:b/>
        </w:rPr>
        <w:t xml:space="preserve"> in this issues paper</w:t>
      </w:r>
      <w:r>
        <w:rPr>
          <w:b/>
        </w:rPr>
        <w:t xml:space="preserve">. </w:t>
      </w:r>
    </w:p>
    <w:p w14:paraId="3D0C1299" w14:textId="77777777" w:rsidR="000F30E4" w:rsidRDefault="000F30E4" w:rsidP="00C4285C">
      <w:pPr>
        <w:pStyle w:val="BodyText"/>
        <w:rPr>
          <w:b/>
        </w:rPr>
      </w:pPr>
    </w:p>
    <w:p w14:paraId="544FB580" w14:textId="6224E903" w:rsidR="00C4285C" w:rsidRDefault="00755663" w:rsidP="00C4285C">
      <w:pPr>
        <w:pStyle w:val="BodyText"/>
        <w:rPr>
          <w:szCs w:val="20"/>
        </w:rPr>
      </w:pPr>
      <w:r>
        <w:rPr>
          <w:b/>
        </w:rPr>
        <w:t>The lack of English comprehension needs</w:t>
      </w:r>
      <w:r w:rsidR="00C4285C">
        <w:rPr>
          <w:b/>
        </w:rPr>
        <w:t xml:space="preserve"> to be separately identified with culture</w:t>
      </w:r>
      <w:r>
        <w:rPr>
          <w:b/>
        </w:rPr>
        <w:t xml:space="preserve"> and recognised that many </w:t>
      </w:r>
      <w:r w:rsidR="008F53B8">
        <w:rPr>
          <w:b/>
        </w:rPr>
        <w:t xml:space="preserve">people </w:t>
      </w:r>
      <w:r>
        <w:rPr>
          <w:b/>
        </w:rPr>
        <w:t>in remote communities do not understand Standard Australian English. This must be taken into account in order for correct information to be collected</w:t>
      </w:r>
      <w:r w:rsidR="00C4285C">
        <w:rPr>
          <w:b/>
        </w:rPr>
        <w:t>.</w:t>
      </w:r>
    </w:p>
    <w:p w14:paraId="10F2E12B" w14:textId="77777777" w:rsidR="00C4285C" w:rsidRDefault="00C4285C" w:rsidP="00416F4A">
      <w:pPr>
        <w:rPr>
          <w:b/>
        </w:rPr>
      </w:pPr>
      <w:r>
        <w:rPr>
          <w:b/>
        </w:rPr>
        <w:t xml:space="preserve">ENGLISH IS  NOT A FIRST LANGAUGE  in many </w:t>
      </w:r>
      <w:r w:rsidR="008F53B8">
        <w:rPr>
          <w:b/>
        </w:rPr>
        <w:t xml:space="preserve">remote </w:t>
      </w:r>
      <w:r>
        <w:rPr>
          <w:b/>
        </w:rPr>
        <w:t xml:space="preserve">communities in the NT and WA. </w:t>
      </w:r>
    </w:p>
    <w:p w14:paraId="50B4F727" w14:textId="77777777" w:rsidR="002008A9" w:rsidRDefault="002008A9" w:rsidP="00C4285C">
      <w:pPr>
        <w:rPr>
          <w:rFonts w:ascii="Arial" w:hAnsi="Arial"/>
          <w:b/>
          <w:sz w:val="20"/>
          <w:szCs w:val="20"/>
        </w:rPr>
      </w:pPr>
    </w:p>
    <w:p w14:paraId="497A666A" w14:textId="77777777" w:rsidR="008F53B8" w:rsidRDefault="008F53B8" w:rsidP="00C4285C">
      <w:pPr>
        <w:rPr>
          <w:rFonts w:ascii="Arial" w:hAnsi="Arial"/>
          <w:b/>
          <w:sz w:val="20"/>
          <w:szCs w:val="20"/>
        </w:rPr>
      </w:pPr>
    </w:p>
    <w:p w14:paraId="77B7C2C7" w14:textId="77777777" w:rsidR="008F53B8" w:rsidRDefault="008F53B8" w:rsidP="00C4285C">
      <w:pPr>
        <w:rPr>
          <w:rFonts w:ascii="Arial" w:hAnsi="Arial"/>
          <w:b/>
          <w:sz w:val="20"/>
          <w:szCs w:val="20"/>
        </w:rPr>
      </w:pPr>
    </w:p>
    <w:p w14:paraId="5FB83710" w14:textId="77777777" w:rsidR="008F53B8" w:rsidRDefault="008F53B8" w:rsidP="00C4285C">
      <w:pPr>
        <w:rPr>
          <w:rFonts w:ascii="Arial" w:hAnsi="Arial"/>
          <w:b/>
          <w:sz w:val="20"/>
          <w:szCs w:val="20"/>
        </w:rPr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48"/>
      </w:tblGrid>
      <w:tr w:rsidR="002008A9" w14:paraId="691BF2BA" w14:textId="77777777" w:rsidTr="002008A9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hideMark/>
          </w:tcPr>
          <w:p w14:paraId="39255ADF" w14:textId="77777777" w:rsidR="002008A9" w:rsidRDefault="002008A9">
            <w:pPr>
              <w:pStyle w:val="InformationRequestTitle"/>
              <w:spacing w:before="120"/>
            </w:pPr>
            <w:r>
              <w:t>Questions on objectives</w:t>
            </w:r>
          </w:p>
        </w:tc>
      </w:tr>
      <w:tr w:rsidR="002008A9" w14:paraId="6975A7DD" w14:textId="77777777" w:rsidTr="002008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3BC1FA" w14:textId="77777777" w:rsidR="00CF564E" w:rsidRDefault="002008A9" w:rsidP="002567A0">
            <w:pPr>
              <w:pStyle w:val="InformationRequest"/>
            </w:pPr>
            <w:r>
              <w:t>What objectives should a strategy for evaluating policies and programs affecting Aboriginal and Torres Strait Islander people seek to achieve?</w:t>
            </w:r>
          </w:p>
          <w:p w14:paraId="3F8D900D" w14:textId="77777777" w:rsidR="008F53B8" w:rsidRDefault="008F53B8" w:rsidP="00CF564E">
            <w:pPr>
              <w:pStyle w:val="BodyText"/>
            </w:pPr>
          </w:p>
          <w:p w14:paraId="34DC22DB" w14:textId="77777777" w:rsidR="00CF564E" w:rsidRDefault="00CF564E" w:rsidP="00CF564E">
            <w:pPr>
              <w:pStyle w:val="BodyText"/>
            </w:pPr>
            <w:r>
              <w:t>Any strat</w:t>
            </w:r>
            <w:r w:rsidR="008F53B8">
              <w:t>egy for evaluation must recognis</w:t>
            </w:r>
            <w:r>
              <w:t xml:space="preserve">e that many Aboriginal and Torres Strait islanders living in the Northern Territory DO NOT HAVE ENGLISH AS A FIRST LANGAUGE </w:t>
            </w:r>
            <w:r w:rsidR="00755663">
              <w:t>and do not understand or speak S</w:t>
            </w:r>
            <w:r>
              <w:t>tandard Australian English.</w:t>
            </w:r>
          </w:p>
          <w:p w14:paraId="7C32071E" w14:textId="133250C0" w:rsidR="00CF564E" w:rsidRDefault="00CF564E" w:rsidP="00CF564E">
            <w:pPr>
              <w:pStyle w:val="BodyText"/>
            </w:pPr>
            <w:r>
              <w:t xml:space="preserve">Any evaluation in remote communities </w:t>
            </w:r>
            <w:r w:rsidR="008F53B8">
              <w:t>NEEDS TO</w:t>
            </w:r>
            <w:r w:rsidR="002F3EE9">
              <w:t xml:space="preserve"> BE</w:t>
            </w:r>
            <w:r>
              <w:t xml:space="preserve"> CONDUCTED THROUGH INTERPRETERS if there is to be meaningful information collected. The reason that the health and education statistics are so poor is that this is </w:t>
            </w:r>
            <w:r w:rsidR="008F53B8">
              <w:t xml:space="preserve">often </w:t>
            </w:r>
            <w:r>
              <w:t xml:space="preserve">not recognized by consultants who visit these communities. They usually rely on information supplied </w:t>
            </w:r>
            <w:r w:rsidR="002F3EE9">
              <w:t xml:space="preserve">by an English speaking employee. I have witnessed this </w:t>
            </w:r>
            <w:r w:rsidR="008F53B8">
              <w:t>many times</w:t>
            </w:r>
            <w:r w:rsidR="002F3EE9">
              <w:t xml:space="preserve"> in a ran</w:t>
            </w:r>
            <w:r w:rsidR="008F53B8">
              <w:t xml:space="preserve">ge of remote communities ofer </w:t>
            </w:r>
            <w:r w:rsidR="002F3EE9">
              <w:t>20 years of volunteering in these communities.</w:t>
            </w:r>
          </w:p>
          <w:p w14:paraId="0C508F13" w14:textId="77777777" w:rsidR="000F30E4" w:rsidRDefault="000F30E4" w:rsidP="00CF564E">
            <w:pPr>
              <w:pStyle w:val="BodyText"/>
            </w:pPr>
          </w:p>
          <w:p w14:paraId="264808C1" w14:textId="77777777" w:rsidR="002567A0" w:rsidRPr="002567A0" w:rsidRDefault="002567A0" w:rsidP="00CF564E">
            <w:pPr>
              <w:pStyle w:val="BodyText"/>
              <w:rPr>
                <w:rFonts w:ascii="Arial" w:hAnsi="Arial" w:cs="Arial"/>
                <w:i/>
                <w:sz w:val="22"/>
                <w:szCs w:val="22"/>
              </w:rPr>
            </w:pPr>
            <w:r w:rsidRPr="002567A0">
              <w:rPr>
                <w:rFonts w:ascii="Arial" w:hAnsi="Arial" w:cs="Arial"/>
                <w:i/>
                <w:sz w:val="22"/>
                <w:szCs w:val="22"/>
              </w:rPr>
              <w:t>Question on Objectives</w:t>
            </w:r>
          </w:p>
          <w:p w14:paraId="34849B85" w14:textId="77777777" w:rsidR="002F3EE9" w:rsidRDefault="002008A9" w:rsidP="007A5D0D">
            <w:pPr>
              <w:pStyle w:val="InformationRequest"/>
              <w:keepNext/>
            </w:pPr>
            <w:r>
              <w:t xml:space="preserve">To what extent are the evaluation practices of Australian Government agencies consistent with the </w:t>
            </w:r>
            <w:r>
              <w:rPr>
                <w:u w:val="single"/>
              </w:rPr>
              <w:t>United Nations Declaration on the Rights of Indigenous Peoples</w:t>
            </w:r>
            <w:r>
              <w:t>? How could practices be improved in this respect?</w:t>
            </w:r>
          </w:p>
          <w:p w14:paraId="5E4F1B20" w14:textId="77777777" w:rsidR="007A5D0D" w:rsidRPr="007A5D0D" w:rsidRDefault="007A5D0D" w:rsidP="007A5D0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participate in decision-making (article 18)</w:t>
            </w:r>
          </w:p>
          <w:p w14:paraId="1BD0845A" w14:textId="77777777" w:rsidR="007A5D0D" w:rsidRDefault="007A5D0D" w:rsidP="002F3EE9">
            <w:pPr>
              <w:pStyle w:val="BodyText"/>
              <w:rPr>
                <w:szCs w:val="20"/>
              </w:rPr>
            </w:pPr>
          </w:p>
          <w:p w14:paraId="29722F7D" w14:textId="77777777" w:rsidR="002F3EE9" w:rsidRDefault="007A5D0D" w:rsidP="002F3EE9">
            <w:pPr>
              <w:pStyle w:val="BodyText"/>
              <w:rPr>
                <w:szCs w:val="20"/>
              </w:rPr>
            </w:pPr>
            <w:r>
              <w:rPr>
                <w:szCs w:val="20"/>
              </w:rPr>
              <w:t xml:space="preserve">This policy cannot be </w:t>
            </w:r>
            <w:r w:rsidR="002F3EE9">
              <w:rPr>
                <w:szCs w:val="20"/>
              </w:rPr>
              <w:t xml:space="preserve">improved until it is recognized by the Federal and State governments particularly NT, WA and Qld , that </w:t>
            </w:r>
          </w:p>
          <w:p w14:paraId="1C948A21" w14:textId="77777777" w:rsidR="002F3EE9" w:rsidRDefault="002F3EE9" w:rsidP="002F3EE9">
            <w:pPr>
              <w:pStyle w:val="BodyText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Many of their Indigenous peoples do not understand Standard Australian English.</w:t>
            </w:r>
          </w:p>
          <w:p w14:paraId="0983E4EA" w14:textId="77777777" w:rsidR="002F3EE9" w:rsidRPr="00CB497A" w:rsidRDefault="00755663" w:rsidP="00CB497A">
            <w:pPr>
              <w:pStyle w:val="BodyText"/>
              <w:numPr>
                <w:ilvl w:val="0"/>
                <w:numId w:val="4"/>
              </w:numPr>
            </w:pPr>
            <w:r>
              <w:rPr>
                <w:szCs w:val="20"/>
              </w:rPr>
              <w:t xml:space="preserve"> Tests </w:t>
            </w:r>
            <w:r w:rsidR="002F3EE9">
              <w:rPr>
                <w:szCs w:val="20"/>
              </w:rPr>
              <w:t xml:space="preserve">for LANGUAGE, namely </w:t>
            </w:r>
            <w:r w:rsidR="00CB497A">
              <w:rPr>
                <w:szCs w:val="20"/>
              </w:rPr>
              <w:t xml:space="preserve">SPEAKING AND ORAL COMPREHENSION, </w:t>
            </w:r>
            <w:r w:rsidR="00CB497A" w:rsidRPr="00CB497A">
              <w:rPr>
                <w:szCs w:val="20"/>
                <w:u w:val="single"/>
              </w:rPr>
              <w:t xml:space="preserve">NOT JUST </w:t>
            </w:r>
            <w:r w:rsidR="00CB497A">
              <w:rPr>
                <w:szCs w:val="20"/>
              </w:rPr>
              <w:t>LITERACY AND NUMERACY</w:t>
            </w:r>
            <w:r>
              <w:rPr>
                <w:szCs w:val="20"/>
              </w:rPr>
              <w:t xml:space="preserve"> are instituted</w:t>
            </w:r>
            <w:r w:rsidR="00CB497A">
              <w:rPr>
                <w:szCs w:val="20"/>
              </w:rPr>
              <w:t>.</w:t>
            </w:r>
          </w:p>
          <w:p w14:paraId="23F19F14" w14:textId="77777777" w:rsidR="00CB497A" w:rsidRPr="00CB497A" w:rsidRDefault="00CB497A" w:rsidP="00CB497A">
            <w:pPr>
              <w:pStyle w:val="BodyText"/>
              <w:numPr>
                <w:ilvl w:val="0"/>
                <w:numId w:val="4"/>
              </w:numPr>
            </w:pPr>
            <w:r>
              <w:rPr>
                <w:szCs w:val="20"/>
              </w:rPr>
              <w:t>ADEQUATE INTERPRETER TRAINING IN COMMUNITIES</w:t>
            </w:r>
            <w:r w:rsidR="00755663">
              <w:rPr>
                <w:szCs w:val="20"/>
              </w:rPr>
              <w:t xml:space="preserve"> is provided</w:t>
            </w:r>
          </w:p>
          <w:p w14:paraId="07709358" w14:textId="77777777" w:rsidR="00CB497A" w:rsidRPr="00CB497A" w:rsidRDefault="00CB497A" w:rsidP="00CB497A">
            <w:pPr>
              <w:pStyle w:val="BodyText"/>
              <w:numPr>
                <w:ilvl w:val="0"/>
                <w:numId w:val="4"/>
              </w:numPr>
            </w:pPr>
            <w:r>
              <w:rPr>
                <w:szCs w:val="20"/>
              </w:rPr>
              <w:t xml:space="preserve">COMMUNITY INTERPRETERS </w:t>
            </w:r>
            <w:r w:rsidR="00755663">
              <w:rPr>
                <w:szCs w:val="20"/>
              </w:rPr>
              <w:t>need to be used</w:t>
            </w:r>
            <w:r>
              <w:rPr>
                <w:szCs w:val="20"/>
              </w:rPr>
              <w:t xml:space="preserve"> when any EVALUATION</w:t>
            </w:r>
            <w:r w:rsidR="003B378B">
              <w:rPr>
                <w:szCs w:val="20"/>
              </w:rPr>
              <w:t xml:space="preserve"> OR CONSULTATION</w:t>
            </w:r>
            <w:r>
              <w:rPr>
                <w:szCs w:val="20"/>
              </w:rPr>
              <w:t xml:space="preserve"> is undertaken</w:t>
            </w:r>
          </w:p>
          <w:p w14:paraId="04D1389E" w14:textId="77777777" w:rsidR="00CB497A" w:rsidRPr="002F3EE9" w:rsidRDefault="00CB497A" w:rsidP="00755663">
            <w:pPr>
              <w:pStyle w:val="BodyText"/>
              <w:numPr>
                <w:ilvl w:val="0"/>
                <w:numId w:val="4"/>
              </w:numPr>
            </w:pPr>
            <w:r>
              <w:rPr>
                <w:szCs w:val="20"/>
              </w:rPr>
              <w:t xml:space="preserve">SPEACIALIST ESL TEACHERS </w:t>
            </w:r>
            <w:r w:rsidR="00755663">
              <w:rPr>
                <w:szCs w:val="20"/>
              </w:rPr>
              <w:t xml:space="preserve">need to be employed </w:t>
            </w:r>
            <w:r>
              <w:rPr>
                <w:szCs w:val="20"/>
              </w:rPr>
              <w:t>IN SCHOOLS</w:t>
            </w:r>
            <w:r w:rsidR="00755663">
              <w:rPr>
                <w:szCs w:val="20"/>
              </w:rPr>
              <w:t xml:space="preserve"> and CLINICS</w:t>
            </w:r>
          </w:p>
        </w:tc>
      </w:tr>
    </w:tbl>
    <w:p w14:paraId="61B5B867" w14:textId="77777777" w:rsidR="002008A9" w:rsidRDefault="002008A9" w:rsidP="002008A9">
      <w:pPr>
        <w:pStyle w:val="BodyText"/>
      </w:pP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48"/>
      </w:tblGrid>
      <w:tr w:rsidR="002008A9" w14:paraId="51DDB9F2" w14:textId="77777777" w:rsidTr="002008A9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hideMark/>
          </w:tcPr>
          <w:p w14:paraId="13702F92" w14:textId="77777777" w:rsidR="002008A9" w:rsidRDefault="002008A9">
            <w:pPr>
              <w:pStyle w:val="InformationRequestTitle"/>
              <w:spacing w:before="120"/>
            </w:pPr>
            <w:r>
              <w:t>Question on applying the strategy to mainstream programs</w:t>
            </w:r>
          </w:p>
        </w:tc>
      </w:tr>
      <w:tr w:rsidR="002008A9" w14:paraId="48AF489E" w14:textId="77777777" w:rsidTr="002008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364D0" w14:textId="77777777" w:rsidR="002008A9" w:rsidRDefault="002008A9">
            <w:pPr>
              <w:pStyle w:val="InformationRequest"/>
              <w:keepNext/>
              <w:rPr>
                <w:spacing w:val="2"/>
              </w:rPr>
            </w:pPr>
            <w:r>
              <w:rPr>
                <w:spacing w:val="2"/>
              </w:rPr>
              <w:t>What is the best way to address mainstream programs in the Indigenous Evaluation Strategy?</w:t>
            </w:r>
          </w:p>
        </w:tc>
      </w:tr>
      <w:tr w:rsidR="002008A9" w14:paraId="15BF223D" w14:textId="77777777" w:rsidTr="002008A9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</w:tcPr>
          <w:p w14:paraId="0781B310" w14:textId="77777777" w:rsidR="002008A9" w:rsidRDefault="002008A9">
            <w:pPr>
              <w:pStyle w:val="Space"/>
              <w:keepLines/>
            </w:pPr>
          </w:p>
        </w:tc>
      </w:tr>
    </w:tbl>
    <w:p w14:paraId="60914531" w14:textId="77777777" w:rsidR="002008A9" w:rsidRDefault="002008A9" w:rsidP="002008A9">
      <w:pPr>
        <w:pStyle w:val="BodyText"/>
      </w:pPr>
    </w:p>
    <w:p w14:paraId="40184A22" w14:textId="77777777" w:rsidR="00CB497A" w:rsidRDefault="00CB497A" w:rsidP="002008A9">
      <w:pPr>
        <w:pStyle w:val="BodyText"/>
      </w:pPr>
      <w:r>
        <w:t xml:space="preserve">Main stream programs </w:t>
      </w:r>
      <w:r w:rsidR="003B378B">
        <w:t xml:space="preserve">without ESL context and interpreters </w:t>
      </w:r>
      <w:r>
        <w:t xml:space="preserve">are </w:t>
      </w:r>
      <w:r w:rsidRPr="00CB497A">
        <w:rPr>
          <w:b/>
        </w:rPr>
        <w:t>useless in communities where English is no</w:t>
      </w:r>
      <w:r>
        <w:rPr>
          <w:b/>
        </w:rPr>
        <w:t>t</w:t>
      </w:r>
      <w:r w:rsidRPr="00CB497A">
        <w:rPr>
          <w:b/>
        </w:rPr>
        <w:t xml:space="preserve"> the fir</w:t>
      </w:r>
      <w:r w:rsidR="007A5D0D">
        <w:rPr>
          <w:b/>
        </w:rPr>
        <w:t>s</w:t>
      </w:r>
      <w:r w:rsidRPr="00CB497A">
        <w:rPr>
          <w:b/>
        </w:rPr>
        <w:t>t</w:t>
      </w:r>
      <w:r>
        <w:t xml:space="preserve"> language</w:t>
      </w:r>
    </w:p>
    <w:p w14:paraId="7EE0D250" w14:textId="77777777" w:rsidR="002008A9" w:rsidRPr="00CB497A" w:rsidRDefault="007A5D0D" w:rsidP="00CB497A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Cl</w:t>
      </w:r>
      <w:r w:rsidR="002008A9">
        <w:rPr>
          <w:rFonts w:eastAsia="Times New Roman"/>
        </w:rPr>
        <w:t>osing the Gap</w:t>
      </w:r>
      <w:r w:rsidR="00CB497A">
        <w:rPr>
          <w:b w:val="0"/>
        </w:rPr>
        <w:t xml:space="preserve"> </w:t>
      </w:r>
    </w:p>
    <w:p w14:paraId="11F150B5" w14:textId="77777777" w:rsidR="002008A9" w:rsidRDefault="007A5D0D" w:rsidP="002008A9">
      <w:pPr>
        <w:pStyle w:val="BodyText"/>
        <w:rPr>
          <w:rFonts w:eastAsiaTheme="majorEastAsia"/>
          <w:iCs/>
        </w:rPr>
      </w:pPr>
      <w:r>
        <w:rPr>
          <w:rFonts w:eastAsiaTheme="majorEastAsia"/>
          <w:iCs/>
        </w:rPr>
        <w:t>“</w:t>
      </w:r>
      <w:r w:rsidR="002008A9">
        <w:rPr>
          <w:rFonts w:eastAsiaTheme="majorEastAsia"/>
          <w:iCs/>
        </w:rPr>
        <w:t xml:space="preserve">The Indigenous Advancement Strategy reflects the Australian Government’s objective of achieving better results for Aboriginal and Torres Strait Islander people in three priority areas – </w:t>
      </w:r>
      <w:r w:rsidR="002008A9">
        <w:rPr>
          <w:rFonts w:eastAsiaTheme="majorEastAsia"/>
          <w:b/>
          <w:iCs/>
        </w:rPr>
        <w:t>school attendance,</w:t>
      </w:r>
      <w:r w:rsidR="002008A9">
        <w:rPr>
          <w:rFonts w:eastAsiaTheme="majorEastAsia"/>
          <w:iCs/>
        </w:rPr>
        <w:t xml:space="preserve"> employment ……….</w:t>
      </w:r>
      <w:r>
        <w:rPr>
          <w:rFonts w:eastAsiaTheme="majorEastAsia"/>
          <w:iCs/>
        </w:rPr>
        <w:t>”</w:t>
      </w: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48"/>
      </w:tblGrid>
      <w:tr w:rsidR="0060305D" w14:paraId="5449B35C" w14:textId="77777777" w:rsidTr="0060305D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hideMark/>
          </w:tcPr>
          <w:p w14:paraId="71B1FD27" w14:textId="77777777" w:rsidR="0060305D" w:rsidRDefault="0060305D">
            <w:pPr>
              <w:pStyle w:val="InformationRequestTitle"/>
              <w:spacing w:before="120"/>
            </w:pPr>
            <w:r>
              <w:t>Question on government programs</w:t>
            </w:r>
          </w:p>
        </w:tc>
      </w:tr>
      <w:tr w:rsidR="0060305D" w14:paraId="0AF229EA" w14:textId="77777777" w:rsidTr="0060305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A35E" w14:textId="77777777" w:rsidR="0060305D" w:rsidRDefault="0060305D">
            <w:pPr>
              <w:pStyle w:val="InformationRequest"/>
              <w:keepNext/>
            </w:pPr>
            <w:r>
              <w:t xml:space="preserve">What lessons from these and other major </w:t>
            </w:r>
            <w:r>
              <w:rPr>
                <w:rFonts w:eastAsiaTheme="majorEastAsia"/>
              </w:rPr>
              <w:t xml:space="preserve">Australian Government programs impacting on </w:t>
            </w:r>
            <w:r>
              <w:t>Aboriginal and Torres Strait Islander people would be useful in developing an Indigenous Evaluation Strategy?</w:t>
            </w:r>
          </w:p>
        </w:tc>
      </w:tr>
    </w:tbl>
    <w:p w14:paraId="073EA48B" w14:textId="77777777" w:rsidR="000B0FDE" w:rsidRDefault="000B0FDE" w:rsidP="000B0FDE">
      <w:pPr>
        <w:pStyle w:val="BodyText"/>
      </w:pPr>
      <w:r>
        <w:t xml:space="preserve"> </w:t>
      </w:r>
    </w:p>
    <w:p w14:paraId="093B1442" w14:textId="77777777" w:rsidR="000B0FDE" w:rsidRPr="00C4285C" w:rsidRDefault="008F53B8" w:rsidP="000B0FDE">
      <w:pPr>
        <w:pStyle w:val="BodyText"/>
        <w:rPr>
          <w:b/>
        </w:rPr>
      </w:pPr>
      <w:r>
        <w:rPr>
          <w:b/>
        </w:rPr>
        <w:t>THERE IS NO</w:t>
      </w:r>
      <w:r w:rsidR="000B0FDE" w:rsidRPr="00C4285C">
        <w:rPr>
          <w:b/>
        </w:rPr>
        <w:t xml:space="preserve"> MENTION OF LANGUAGE IN THIS ISSUES DOCUMENT</w:t>
      </w:r>
    </w:p>
    <w:p w14:paraId="3A84DE73" w14:textId="77777777" w:rsidR="000B0FDE" w:rsidRDefault="000B0FDE" w:rsidP="002008A9">
      <w:pPr>
        <w:pStyle w:val="BodyText"/>
      </w:pPr>
      <w:r>
        <w:t xml:space="preserve">All government programs must understand that </w:t>
      </w:r>
      <w:r w:rsidRPr="000B0FDE">
        <w:rPr>
          <w:b/>
        </w:rPr>
        <w:t xml:space="preserve">ENGLISH IS NOT A FIRST LANGUAGE </w:t>
      </w:r>
      <w:r>
        <w:t xml:space="preserve">in remote communities and </w:t>
      </w:r>
      <w:r w:rsidRPr="000B0FDE">
        <w:rPr>
          <w:b/>
        </w:rPr>
        <w:t>many people do not understand Standard Australian English</w:t>
      </w:r>
    </w:p>
    <w:p w14:paraId="1656BDA4" w14:textId="71BA230F" w:rsidR="000B0FDE" w:rsidRDefault="008205E4" w:rsidP="002008A9">
      <w:pPr>
        <w:pStyle w:val="BodyText"/>
        <w:rPr>
          <w:b/>
        </w:rPr>
      </w:pPr>
      <w:r w:rsidRPr="008205E4">
        <w:rPr>
          <w:b/>
        </w:rPr>
        <w:t xml:space="preserve">If you do not train and use interpreters in remote communities </w:t>
      </w:r>
      <w:r w:rsidR="00C4285C">
        <w:rPr>
          <w:b/>
        </w:rPr>
        <w:t xml:space="preserve">or train teachers and health workers in ESL </w:t>
      </w:r>
      <w:r w:rsidRPr="008205E4">
        <w:rPr>
          <w:b/>
        </w:rPr>
        <w:t>you cannot hope to close any education or health gaps</w:t>
      </w:r>
      <w:r>
        <w:rPr>
          <w:b/>
        </w:rPr>
        <w:t>.</w:t>
      </w:r>
    </w:p>
    <w:p w14:paraId="0CDFF528" w14:textId="77777777" w:rsidR="000F0F58" w:rsidRPr="000B0FDE" w:rsidRDefault="000F0F58" w:rsidP="002008A9">
      <w:pPr>
        <w:pStyle w:val="BodyText"/>
        <w:rPr>
          <w:b/>
        </w:rPr>
      </w:pPr>
    </w:p>
    <w:p w14:paraId="02E4A148" w14:textId="06CCB901" w:rsidR="000F0F58" w:rsidRDefault="000B0FDE" w:rsidP="00CB497A">
      <w:pPr>
        <w:pStyle w:val="BodyText"/>
        <w:rPr>
          <w:b/>
        </w:rPr>
      </w:pPr>
      <w:r>
        <w:rPr>
          <w:b/>
        </w:rPr>
        <w:t>Education</w:t>
      </w:r>
    </w:p>
    <w:p w14:paraId="6CB8CB29" w14:textId="180BE774" w:rsidR="000B0FDE" w:rsidRDefault="000B0FDE" w:rsidP="00CB497A">
      <w:pPr>
        <w:pStyle w:val="BodyText"/>
      </w:pPr>
      <w:r>
        <w:t>The Edu</w:t>
      </w:r>
      <w:r w:rsidR="008B3894">
        <w:t xml:space="preserve">cation Departments do not use </w:t>
      </w:r>
      <w:r>
        <w:t xml:space="preserve"> </w:t>
      </w:r>
      <w:r w:rsidRPr="007A5D0D">
        <w:rPr>
          <w:b/>
        </w:rPr>
        <w:t xml:space="preserve">School of the Air, </w:t>
      </w:r>
      <w:r w:rsidR="007A5D0D">
        <w:t xml:space="preserve">to give lessons in remote  schools </w:t>
      </w:r>
      <w:r w:rsidR="0095103F">
        <w:t xml:space="preserve">by qualified ESL teachers </w:t>
      </w:r>
      <w:r w:rsidR="007A5D0D">
        <w:t>or to train teachers in ESL</w:t>
      </w:r>
      <w:r w:rsidR="0095103F">
        <w:t xml:space="preserve">. </w:t>
      </w:r>
      <w:r w:rsidR="0095103F">
        <w:rPr>
          <w:b/>
        </w:rPr>
        <w:t>The REACT software used for NT S</w:t>
      </w:r>
      <w:r w:rsidR="0095103F" w:rsidRPr="0095103F">
        <w:rPr>
          <w:b/>
        </w:rPr>
        <w:t>chool of the Air is the most sophisticated</w:t>
      </w:r>
      <w:r w:rsidR="0095103F" w:rsidRPr="007A5D0D">
        <w:rPr>
          <w:b/>
        </w:rPr>
        <w:t xml:space="preserve"> in the country</w:t>
      </w:r>
      <w:r w:rsidR="0095103F">
        <w:rPr>
          <w:b/>
        </w:rPr>
        <w:t>.</w:t>
      </w:r>
      <w:r w:rsidR="0095103F" w:rsidRPr="0095103F">
        <w:t xml:space="preserve"> It could be used in remote schools through </w:t>
      </w:r>
      <w:r w:rsidR="0095103F">
        <w:t xml:space="preserve">existing satellite dishes. </w:t>
      </w:r>
    </w:p>
    <w:p w14:paraId="141A60E3" w14:textId="77777777" w:rsidR="000F30E4" w:rsidRPr="0095103F" w:rsidRDefault="000F30E4" w:rsidP="00CB497A">
      <w:pPr>
        <w:pStyle w:val="BodyText"/>
      </w:pPr>
    </w:p>
    <w:p w14:paraId="0856C3A8" w14:textId="77777777" w:rsidR="007A5D0D" w:rsidRDefault="008205E4" w:rsidP="002008A9">
      <w:pPr>
        <w:pStyle w:val="BodyText"/>
        <w:rPr>
          <w:b/>
        </w:rPr>
      </w:pPr>
      <w:r w:rsidRPr="008205E4">
        <w:rPr>
          <w:b/>
        </w:rPr>
        <w:t>Health</w:t>
      </w:r>
    </w:p>
    <w:p w14:paraId="039CBCE8" w14:textId="77777777" w:rsidR="0060305D" w:rsidRDefault="008205E4" w:rsidP="008B3894">
      <w:pPr>
        <w:pStyle w:val="BodyText"/>
        <w:rPr>
          <w:b/>
        </w:rPr>
      </w:pPr>
      <w:r w:rsidRPr="000F0F58">
        <w:t xml:space="preserve">Very few </w:t>
      </w:r>
      <w:r w:rsidR="000B0FDE" w:rsidRPr="000F0F58">
        <w:t xml:space="preserve">remote </w:t>
      </w:r>
      <w:r w:rsidRPr="000F0F58">
        <w:t>clinics employ</w:t>
      </w:r>
      <w:r w:rsidR="000B0FDE" w:rsidRPr="000F0F58">
        <w:t xml:space="preserve"> i</w:t>
      </w:r>
      <w:r w:rsidRPr="000F0F58">
        <w:t>nterpreters</w:t>
      </w:r>
      <w:r w:rsidR="000B0FDE" w:rsidRPr="000F0F58">
        <w:t>.</w:t>
      </w:r>
      <w:r w:rsidR="000B0FDE">
        <w:rPr>
          <w:b/>
        </w:rPr>
        <w:t xml:space="preserve"> </w:t>
      </w:r>
      <w:r w:rsidR="000B0FDE" w:rsidRPr="000F0F58">
        <w:t xml:space="preserve">They </w:t>
      </w:r>
      <w:r w:rsidR="0095103F" w:rsidRPr="000F0F58">
        <w:t>could use</w:t>
      </w:r>
      <w:r w:rsidR="0095103F">
        <w:rPr>
          <w:b/>
        </w:rPr>
        <w:t xml:space="preserve"> the sophisticated REACT software for consultations and training staff.</w:t>
      </w:r>
    </w:p>
    <w:p w14:paraId="2F07BE97" w14:textId="77777777" w:rsidR="008B3894" w:rsidRDefault="008B3894" w:rsidP="008B3894">
      <w:pPr>
        <w:pStyle w:val="BodyText"/>
        <w:rPr>
          <w:b/>
        </w:rPr>
      </w:pPr>
    </w:p>
    <w:p w14:paraId="57276412" w14:textId="36CF1A12" w:rsidR="008B3894" w:rsidRDefault="008B3894" w:rsidP="008B3894">
      <w:pPr>
        <w:pStyle w:val="BodyText"/>
        <w:rPr>
          <w:b/>
        </w:rPr>
      </w:pPr>
      <w:r>
        <w:rPr>
          <w:b/>
        </w:rPr>
        <w:t>Financial Information</w:t>
      </w:r>
      <w:r w:rsidR="00836750">
        <w:rPr>
          <w:b/>
        </w:rPr>
        <w:t xml:space="preserve"> Neede</w:t>
      </w:r>
      <w:r w:rsidR="000F0F58">
        <w:rPr>
          <w:b/>
        </w:rPr>
        <w:t>d</w:t>
      </w:r>
    </w:p>
    <w:p w14:paraId="4AF11B6A" w14:textId="77777777" w:rsidR="000F0F58" w:rsidRDefault="000F0F58" w:rsidP="008B3894">
      <w:pPr>
        <w:pStyle w:val="BodyText"/>
        <w:rPr>
          <w:b/>
        </w:rPr>
      </w:pPr>
    </w:p>
    <w:p w14:paraId="1D36EFBE" w14:textId="77777777" w:rsidR="008B3894" w:rsidRPr="000F0F58" w:rsidRDefault="008B3894" w:rsidP="008B3894">
      <w:pPr>
        <w:pStyle w:val="BodyText"/>
      </w:pPr>
      <w:r w:rsidRPr="000F0F58">
        <w:rPr>
          <w:b/>
        </w:rPr>
        <w:t>A cost benefit analysis of</w:t>
      </w:r>
      <w:r w:rsidRPr="000F0F58">
        <w:t xml:space="preserve"> </w:t>
      </w:r>
      <w:r w:rsidRPr="000F0F58">
        <w:rPr>
          <w:b/>
        </w:rPr>
        <w:t>providing REACT</w:t>
      </w:r>
      <w:r w:rsidRPr="000F0F58">
        <w:t xml:space="preserve"> </w:t>
      </w:r>
      <w:r w:rsidRPr="000F0F58">
        <w:rPr>
          <w:b/>
        </w:rPr>
        <w:t>teaching into schools</w:t>
      </w:r>
      <w:r w:rsidRPr="000F0F58">
        <w:t xml:space="preserve"> v the cost of providing teachers, visiting tutors</w:t>
      </w:r>
      <w:r w:rsidR="00836750" w:rsidRPr="000F0F58">
        <w:t>,</w:t>
      </w:r>
      <w:r w:rsidRPr="000F0F58">
        <w:t xml:space="preserve"> consultants</w:t>
      </w:r>
      <w:r w:rsidR="00836750" w:rsidRPr="000F0F58">
        <w:t xml:space="preserve"> and professional development of teachers</w:t>
      </w:r>
      <w:r w:rsidRPr="000F0F58">
        <w:t>.</w:t>
      </w:r>
    </w:p>
    <w:p w14:paraId="14C0D09E" w14:textId="77777777" w:rsidR="000F0F58" w:rsidRPr="000F0F58" w:rsidRDefault="000F0F58" w:rsidP="008B3894">
      <w:pPr>
        <w:pStyle w:val="BodyText"/>
        <w:rPr>
          <w:b/>
        </w:rPr>
      </w:pPr>
    </w:p>
    <w:p w14:paraId="5F980066" w14:textId="422807D2" w:rsidR="008B3894" w:rsidRPr="000F0F58" w:rsidRDefault="008B3894" w:rsidP="008B3894">
      <w:pPr>
        <w:pStyle w:val="BodyText"/>
      </w:pPr>
      <w:r w:rsidRPr="000F0F58">
        <w:t xml:space="preserve">A </w:t>
      </w:r>
      <w:r w:rsidRPr="000F0F58">
        <w:rPr>
          <w:b/>
        </w:rPr>
        <w:t xml:space="preserve">cost benefit analysis of providing REACT consultation and training into clinics </w:t>
      </w:r>
      <w:r w:rsidRPr="000F0F58">
        <w:t>v the cost of travel either by or to visiting clinicians</w:t>
      </w:r>
      <w:r w:rsidR="00836750" w:rsidRPr="000F0F58">
        <w:t xml:space="preserve"> and professional development of clinic staff.</w:t>
      </w:r>
    </w:p>
    <w:p w14:paraId="6554219E" w14:textId="77777777" w:rsidR="00836750" w:rsidRDefault="00836750" w:rsidP="008B3894">
      <w:pPr>
        <w:pStyle w:val="BodyText"/>
        <w:rPr>
          <w:b/>
        </w:rPr>
      </w:pPr>
    </w:p>
    <w:p w14:paraId="679A9F0F" w14:textId="77777777" w:rsidR="00836750" w:rsidRPr="008B3894" w:rsidRDefault="00836750" w:rsidP="00836750">
      <w:pPr>
        <w:pStyle w:val="BodyText"/>
        <w:jc w:val="center"/>
        <w:rPr>
          <w:b/>
        </w:rPr>
      </w:pPr>
      <w:r>
        <w:rPr>
          <w:b/>
        </w:rPr>
        <w:t>********</w:t>
      </w:r>
    </w:p>
    <w:p w14:paraId="31D4FB89" w14:textId="77777777" w:rsidR="0060305D" w:rsidRDefault="0060305D" w:rsidP="0060305D">
      <w:pPr>
        <w:pStyle w:val="BoxSpaceAbove"/>
      </w:pPr>
    </w:p>
    <w:sectPr w:rsidR="0060305D" w:rsidSect="007A5D0D">
      <w:footerReference w:type="even" r:id="rId7"/>
      <w:footerReference w:type="default" r:id="rId8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F749B" w14:textId="77777777" w:rsidR="00444C72" w:rsidRDefault="00444C72" w:rsidP="00157C1E">
      <w:pPr>
        <w:spacing w:after="0"/>
      </w:pPr>
      <w:r>
        <w:separator/>
      </w:r>
    </w:p>
  </w:endnote>
  <w:endnote w:type="continuationSeparator" w:id="0">
    <w:p w14:paraId="0468D24C" w14:textId="77777777" w:rsidR="00444C72" w:rsidRDefault="00444C72" w:rsidP="00157C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E70D" w14:textId="77777777" w:rsidR="008B3894" w:rsidRDefault="008B3894" w:rsidP="00CF5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FDEBF" w14:textId="77777777" w:rsidR="008B3894" w:rsidRDefault="008B3894" w:rsidP="00157C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1117E" w14:textId="77777777" w:rsidR="008B3894" w:rsidRDefault="008B3894" w:rsidP="00CF5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C7D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D8FF3E" w14:textId="77777777" w:rsidR="008B3894" w:rsidRDefault="008B3894" w:rsidP="00157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9C43B" w14:textId="77777777" w:rsidR="00444C72" w:rsidRDefault="00444C72" w:rsidP="00157C1E">
      <w:pPr>
        <w:spacing w:after="0"/>
      </w:pPr>
      <w:r>
        <w:separator/>
      </w:r>
    </w:p>
  </w:footnote>
  <w:footnote w:type="continuationSeparator" w:id="0">
    <w:p w14:paraId="3E52A25B" w14:textId="77777777" w:rsidR="00444C72" w:rsidRDefault="00444C72" w:rsidP="00157C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CA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DB7C67"/>
    <w:multiLevelType w:val="hybridMultilevel"/>
    <w:tmpl w:val="E9AC0FF4"/>
    <w:lvl w:ilvl="0" w:tplc="BD8ADB2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A9"/>
    <w:rsid w:val="00025174"/>
    <w:rsid w:val="000B0FDE"/>
    <w:rsid w:val="000F0F58"/>
    <w:rsid w:val="000F30E4"/>
    <w:rsid w:val="00157C1E"/>
    <w:rsid w:val="001723D7"/>
    <w:rsid w:val="001C427F"/>
    <w:rsid w:val="002008A9"/>
    <w:rsid w:val="00242B86"/>
    <w:rsid w:val="002567A0"/>
    <w:rsid w:val="002B71AE"/>
    <w:rsid w:val="002F3EE9"/>
    <w:rsid w:val="003B378B"/>
    <w:rsid w:val="00416F4A"/>
    <w:rsid w:val="00444C72"/>
    <w:rsid w:val="0048647A"/>
    <w:rsid w:val="0060305D"/>
    <w:rsid w:val="00755663"/>
    <w:rsid w:val="00766C7D"/>
    <w:rsid w:val="007A5D0D"/>
    <w:rsid w:val="008205E4"/>
    <w:rsid w:val="00836750"/>
    <w:rsid w:val="008B3894"/>
    <w:rsid w:val="008F53B8"/>
    <w:rsid w:val="0095103F"/>
    <w:rsid w:val="00962C85"/>
    <w:rsid w:val="00A91799"/>
    <w:rsid w:val="00AA47F4"/>
    <w:rsid w:val="00AE2FD7"/>
    <w:rsid w:val="00C4285C"/>
    <w:rsid w:val="00CB497A"/>
    <w:rsid w:val="00CF56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25342"/>
  <w15:docId w15:val="{7FF1FBAB-CE4B-A246-AD03-690E8824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BodyText"/>
    <w:link w:val="Heading3Char"/>
    <w:unhideWhenUsed/>
    <w:qFormat/>
    <w:rsid w:val="002008A9"/>
    <w:pPr>
      <w:keepLines w:val="0"/>
      <w:spacing w:before="560" w:line="320" w:lineRule="exact"/>
      <w:outlineLvl w:val="2"/>
    </w:pPr>
    <w:rPr>
      <w:rFonts w:ascii="Arial" w:eastAsiaTheme="minorEastAsia" w:hAnsi="Arial" w:cs="Times New Roman"/>
      <w:bCs w:val="0"/>
      <w:color w:val="auto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itle">
    <w:name w:val="Box Title"/>
    <w:basedOn w:val="Caption"/>
    <w:next w:val="Normal"/>
    <w:rsid w:val="002008A9"/>
    <w:pPr>
      <w:keepNext/>
      <w:keepLines/>
      <w:spacing w:before="120" w:after="0" w:line="280" w:lineRule="exact"/>
      <w:ind w:left="1474" w:hanging="1474"/>
    </w:pPr>
    <w:rPr>
      <w:rFonts w:ascii="Arial" w:eastAsia="Times New Roman" w:hAnsi="Arial" w:cs="Times New Roman"/>
      <w:bCs w:val="0"/>
      <w:color w:val="auto"/>
      <w:sz w:val="24"/>
      <w:szCs w:val="24"/>
      <w:lang w:val="en-AU"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8A9"/>
    <w:rPr>
      <w:b/>
      <w:bCs/>
      <w:color w:val="4F81BD" w:themeColor="accent1"/>
      <w:sz w:val="18"/>
      <w:szCs w:val="18"/>
    </w:rPr>
  </w:style>
  <w:style w:type="paragraph" w:customStyle="1" w:styleId="InformationRequest">
    <w:name w:val="Information Request"/>
    <w:basedOn w:val="Normal"/>
    <w:next w:val="BodyText"/>
    <w:rsid w:val="002008A9"/>
    <w:pPr>
      <w:keepLines/>
      <w:spacing w:before="120" w:after="0" w:line="280" w:lineRule="atLeast"/>
      <w:jc w:val="both"/>
    </w:pPr>
    <w:rPr>
      <w:rFonts w:ascii="Arial" w:eastAsia="Times New Roman" w:hAnsi="Arial" w:cs="Times New Roman"/>
      <w:i/>
      <w:sz w:val="22"/>
      <w:szCs w:val="20"/>
      <w:lang w:val="en-AU" w:eastAsia="en-AU"/>
    </w:rPr>
  </w:style>
  <w:style w:type="paragraph" w:customStyle="1" w:styleId="InformationRequestTitle">
    <w:name w:val="Information Request Title"/>
    <w:basedOn w:val="Normal"/>
    <w:next w:val="InformationRequest"/>
    <w:qFormat/>
    <w:rsid w:val="002008A9"/>
    <w:pPr>
      <w:keepNext/>
      <w:keepLines/>
      <w:spacing w:before="240" w:after="0" w:line="280" w:lineRule="atLeast"/>
      <w:jc w:val="both"/>
    </w:pPr>
    <w:rPr>
      <w:rFonts w:ascii="Arial" w:eastAsia="Times New Roman" w:hAnsi="Arial" w:cs="Times New Roman"/>
      <w:i/>
      <w:caps/>
      <w:sz w:val="18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unhideWhenUsed/>
    <w:rsid w:val="002008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008A9"/>
  </w:style>
  <w:style w:type="paragraph" w:styleId="ListNumber">
    <w:name w:val="List Number"/>
    <w:basedOn w:val="BodyText"/>
    <w:semiHidden/>
    <w:unhideWhenUsed/>
    <w:rsid w:val="002008A9"/>
    <w:pPr>
      <w:numPr>
        <w:numId w:val="1"/>
      </w:numPr>
      <w:tabs>
        <w:tab w:val="clear" w:pos="340"/>
        <w:tab w:val="num" w:pos="360"/>
      </w:tabs>
      <w:spacing w:before="120" w:after="0" w:line="300" w:lineRule="atLeast"/>
      <w:ind w:left="0" w:firstLine="0"/>
      <w:jc w:val="both"/>
    </w:pPr>
    <w:rPr>
      <w:rFonts w:ascii="Times New Roman" w:eastAsia="Times New Roman" w:hAnsi="Times New Roman" w:cs="Times New Roman"/>
      <w:szCs w:val="20"/>
      <w:lang w:val="en-AU" w:eastAsia="en-AU"/>
    </w:rPr>
  </w:style>
  <w:style w:type="paragraph" w:styleId="ListBullet2">
    <w:name w:val="List Bullet 2"/>
    <w:basedOn w:val="BodyText"/>
    <w:semiHidden/>
    <w:unhideWhenUsed/>
    <w:rsid w:val="002008A9"/>
    <w:pPr>
      <w:numPr>
        <w:numId w:val="2"/>
      </w:numPr>
      <w:tabs>
        <w:tab w:val="num" w:pos="360"/>
      </w:tabs>
      <w:spacing w:before="120" w:after="0" w:line="300" w:lineRule="atLeast"/>
      <w:ind w:left="0" w:firstLine="0"/>
      <w:jc w:val="both"/>
    </w:pPr>
    <w:rPr>
      <w:rFonts w:ascii="Times New Roman" w:eastAsia="Times New Roman" w:hAnsi="Times New Roman" w:cs="Times New Roman"/>
      <w:szCs w:val="20"/>
      <w:lang w:val="en-AU" w:eastAsia="en-AU"/>
    </w:rPr>
  </w:style>
  <w:style w:type="paragraph" w:styleId="ListNumber2">
    <w:name w:val="List Number 2"/>
    <w:basedOn w:val="ListNumber"/>
    <w:semiHidden/>
    <w:unhideWhenUsed/>
    <w:rsid w:val="002008A9"/>
    <w:pPr>
      <w:numPr>
        <w:ilvl w:val="1"/>
      </w:numPr>
      <w:tabs>
        <w:tab w:val="num" w:pos="360"/>
      </w:tabs>
    </w:pPr>
  </w:style>
  <w:style w:type="paragraph" w:styleId="ListNumber3">
    <w:name w:val="List Number 3"/>
    <w:basedOn w:val="ListNumber2"/>
    <w:semiHidden/>
    <w:unhideWhenUsed/>
    <w:rsid w:val="002008A9"/>
    <w:pPr>
      <w:numPr>
        <w:ilvl w:val="2"/>
      </w:numPr>
      <w:tabs>
        <w:tab w:val="num" w:pos="360"/>
        <w:tab w:val="num" w:pos="794"/>
      </w:tabs>
    </w:pPr>
  </w:style>
  <w:style w:type="paragraph" w:customStyle="1" w:styleId="Space">
    <w:name w:val="Space"/>
    <w:basedOn w:val="Normal"/>
    <w:qFormat/>
    <w:rsid w:val="002008A9"/>
    <w:pPr>
      <w:keepNext/>
      <w:spacing w:after="0" w:line="120" w:lineRule="exact"/>
      <w:jc w:val="both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2008A9"/>
    <w:rPr>
      <w:rFonts w:ascii="Arial" w:hAnsi="Arial" w:cs="Times New Roman"/>
      <w:b/>
      <w:sz w:val="2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60305D"/>
    <w:pPr>
      <w:numPr>
        <w:numId w:val="3"/>
      </w:numPr>
      <w:contextualSpacing/>
    </w:pPr>
  </w:style>
  <w:style w:type="paragraph" w:customStyle="1" w:styleId="BoxSpaceAbove">
    <w:name w:val="Box Space Above"/>
    <w:basedOn w:val="BodyText"/>
    <w:rsid w:val="0060305D"/>
    <w:pPr>
      <w:keepNext/>
      <w:spacing w:before="360" w:after="0" w:line="80" w:lineRule="exact"/>
    </w:pPr>
    <w:rPr>
      <w:rFonts w:ascii="Times New Roman" w:eastAsia="Times New Roman" w:hAnsi="Times New Roman" w:cs="Times New Roman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57C1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C1E"/>
  </w:style>
  <w:style w:type="character" w:styleId="PageNumber">
    <w:name w:val="page number"/>
    <w:basedOn w:val="DefaultParagraphFont"/>
    <w:uiPriority w:val="99"/>
    <w:semiHidden/>
    <w:unhideWhenUsed/>
    <w:rsid w:val="00157C1E"/>
  </w:style>
  <w:style w:type="paragraph" w:styleId="ListParagraph">
    <w:name w:val="List Paragraph"/>
    <w:basedOn w:val="Normal"/>
    <w:uiPriority w:val="34"/>
    <w:qFormat/>
    <w:rsid w:val="00416F4A"/>
    <w:pPr>
      <w:spacing w:after="160" w:line="256" w:lineRule="auto"/>
      <w:ind w:left="720"/>
      <w:contextualSpacing/>
    </w:pPr>
    <w:rPr>
      <w:rFonts w:eastAsiaTheme="minorHAnsi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29 - James Bailey - Indigenous Evaluation Strategy - Project</vt:lpstr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29 - James Bailey - Indigenous Evaluation Strategy - Project</dc:title>
  <dc:subject/>
  <dc:creator>James Bailey</dc:creator>
  <cp:keywords/>
  <dc:description/>
  <cp:lastModifiedBy>Pimperl, Mark</cp:lastModifiedBy>
  <cp:revision>5</cp:revision>
  <dcterms:created xsi:type="dcterms:W3CDTF">2019-08-23T05:58:00Z</dcterms:created>
  <dcterms:modified xsi:type="dcterms:W3CDTF">2019-08-27T22:45:00Z</dcterms:modified>
</cp:coreProperties>
</file>