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D3268" w14:textId="6FC70637" w:rsidR="00AE05D2" w:rsidRPr="000E69BC" w:rsidRDefault="00AE05D2" w:rsidP="001A2CAC"/>
    <w:p w14:paraId="18036B18" w14:textId="6345EB66" w:rsidR="0071646A" w:rsidRDefault="0071646A" w:rsidP="001A2CAC">
      <w:pPr>
        <w:rPr>
          <w:rFonts w:ascii="Arial" w:hAnsi="Arial" w:cs="Arial"/>
          <w:b/>
          <w:noProof/>
          <w:sz w:val="28"/>
          <w:szCs w:val="28"/>
          <w:lang w:eastAsia="en-AU" w:bidi="ar-SA"/>
        </w:rPr>
      </w:pPr>
    </w:p>
    <w:p w14:paraId="0C648425" w14:textId="77777777" w:rsidR="00E70189" w:rsidRPr="000E69BC" w:rsidRDefault="00E70189" w:rsidP="001A2CAC">
      <w:pPr>
        <w:rPr>
          <w:rFonts w:ascii="Arial" w:hAnsi="Arial" w:cs="Arial"/>
          <w:b/>
          <w:sz w:val="28"/>
          <w:szCs w:val="28"/>
        </w:rPr>
      </w:pPr>
    </w:p>
    <w:p w14:paraId="5630363E" w14:textId="0ED757FA" w:rsidR="00877BF7" w:rsidRPr="00E70189" w:rsidRDefault="00846392" w:rsidP="00734098">
      <w:pPr>
        <w:pStyle w:val="Title"/>
        <w:pBdr>
          <w:bottom w:val="none" w:sz="0" w:space="0" w:color="auto"/>
        </w:pBdr>
        <w:jc w:val="both"/>
        <w:rPr>
          <w:rFonts w:asciiTheme="minorHAnsi" w:hAnsiTheme="minorHAnsi" w:cstheme="minorHAnsi"/>
          <w:color w:val="003075"/>
          <w:sz w:val="48"/>
          <w:szCs w:val="48"/>
        </w:rPr>
      </w:pPr>
      <w:r>
        <w:rPr>
          <w:rFonts w:asciiTheme="minorHAnsi" w:hAnsiTheme="minorHAnsi" w:cstheme="minorHAnsi"/>
          <w:color w:val="003075"/>
          <w:sz w:val="48"/>
          <w:szCs w:val="48"/>
        </w:rPr>
        <w:t>Submission to the Productivity Commission’s Inquiry into Mental Health</w:t>
      </w:r>
    </w:p>
    <w:p w14:paraId="129DD4C3" w14:textId="77777777" w:rsidR="00877BF7" w:rsidRPr="007C264D" w:rsidRDefault="00877BF7" w:rsidP="00734098">
      <w:pPr>
        <w:pStyle w:val="Title"/>
        <w:pBdr>
          <w:bottom w:val="none" w:sz="0" w:space="0" w:color="auto"/>
        </w:pBdr>
        <w:jc w:val="both"/>
        <w:rPr>
          <w:rFonts w:asciiTheme="minorHAnsi" w:hAnsiTheme="minorHAnsi" w:cstheme="minorHAnsi"/>
          <w:b/>
          <w:sz w:val="28"/>
          <w:szCs w:val="28"/>
        </w:rPr>
      </w:pPr>
    </w:p>
    <w:p w14:paraId="4BF7EBBF" w14:textId="0D89D690" w:rsidR="00877BF7" w:rsidRPr="00734098" w:rsidRDefault="00636744" w:rsidP="00734098">
      <w:pPr>
        <w:pStyle w:val="Title"/>
        <w:pBdr>
          <w:bottom w:val="single" w:sz="4" w:space="1" w:color="003075"/>
        </w:pBdr>
        <w:tabs>
          <w:tab w:val="left" w:pos="3825"/>
        </w:tabs>
        <w:jc w:val="both"/>
        <w:rPr>
          <w:rFonts w:asciiTheme="minorHAnsi" w:hAnsiTheme="minorHAnsi" w:cstheme="minorHAnsi"/>
          <w:color w:val="003075"/>
          <w:sz w:val="28"/>
          <w:szCs w:val="28"/>
        </w:rPr>
      </w:pPr>
      <w:r>
        <w:rPr>
          <w:rFonts w:asciiTheme="minorHAnsi" w:hAnsiTheme="minorHAnsi" w:cstheme="minorHAnsi"/>
          <w:color w:val="003075"/>
          <w:sz w:val="28"/>
          <w:szCs w:val="28"/>
        </w:rPr>
        <w:t>January 2020</w:t>
      </w:r>
    </w:p>
    <w:p w14:paraId="011BCCFE" w14:textId="77777777" w:rsidR="00877BF7" w:rsidRPr="007C264D" w:rsidRDefault="00877BF7" w:rsidP="00877BF7">
      <w:pPr>
        <w:jc w:val="both"/>
        <w:rPr>
          <w:rFonts w:asciiTheme="minorHAnsi" w:hAnsiTheme="minorHAnsi" w:cstheme="minorHAnsi"/>
          <w:b/>
          <w:szCs w:val="24"/>
        </w:rPr>
      </w:pPr>
    </w:p>
    <w:p w14:paraId="2293CE25" w14:textId="145EF2E4" w:rsidR="00877BF7" w:rsidRPr="007C264D" w:rsidRDefault="00877BF7" w:rsidP="00877BF7">
      <w:pPr>
        <w:jc w:val="both"/>
        <w:rPr>
          <w:rFonts w:asciiTheme="minorHAnsi" w:hAnsiTheme="minorHAnsi" w:cstheme="minorHAnsi"/>
          <w:b/>
          <w:szCs w:val="24"/>
        </w:rPr>
      </w:pPr>
      <w:r>
        <w:rPr>
          <w:rFonts w:asciiTheme="minorHAnsi" w:hAnsiTheme="minorHAnsi" w:cstheme="minorHAnsi"/>
          <w:b/>
          <w:szCs w:val="24"/>
        </w:rPr>
        <w:t>Introduction</w:t>
      </w:r>
    </w:p>
    <w:p w14:paraId="53F11B1F" w14:textId="37333597" w:rsidR="002C3A63" w:rsidRDefault="002C3A63" w:rsidP="002C3A63">
      <w:pPr>
        <w:rPr>
          <w:lang w:val="en-US"/>
        </w:rPr>
      </w:pPr>
      <w:r w:rsidRPr="004D40CA">
        <w:rPr>
          <w:lang w:val="en-US"/>
        </w:rPr>
        <w:t>The Queensland Catholic Education Commission (QCEC) provides this submission in response to the Productivity Commission’s draft report on Mental Health.</w:t>
      </w:r>
    </w:p>
    <w:p w14:paraId="429BAC42" w14:textId="1F256AE0" w:rsidR="005A56E8" w:rsidRPr="004D40CA" w:rsidRDefault="001902FE" w:rsidP="001902FE">
      <w:pPr>
        <w:tabs>
          <w:tab w:val="left" w:pos="3370"/>
        </w:tabs>
        <w:rPr>
          <w:lang w:val="en-US"/>
        </w:rPr>
      </w:pPr>
      <w:r>
        <w:rPr>
          <w:lang w:val="en-US"/>
        </w:rPr>
        <w:tab/>
      </w:r>
      <w:bookmarkStart w:id="0" w:name="_GoBack"/>
      <w:bookmarkEnd w:id="0"/>
    </w:p>
    <w:p w14:paraId="63AA69AC" w14:textId="692C47FA" w:rsidR="002C3A63" w:rsidRDefault="002C3A63" w:rsidP="002C3A63">
      <w:pPr>
        <w:rPr>
          <w:lang w:val="en-US"/>
        </w:rPr>
      </w:pPr>
      <w:r w:rsidRPr="004D40CA">
        <w:rPr>
          <w:lang w:val="en-US"/>
        </w:rPr>
        <w:t>QCEC is the peak strategic body with state-wide responsibilities for Catholic schooling in Queensland. This submission is provided on behalf of the five Diocesan Catholic school authorities and 17 Religious Institutes and other incorporated bodies which, between them, operate a total of 306 Catholic schools that educate nearly 150,000 students in Queensland.</w:t>
      </w:r>
    </w:p>
    <w:p w14:paraId="62D22027" w14:textId="77777777" w:rsidR="005A56E8" w:rsidRPr="004D40CA" w:rsidRDefault="005A56E8" w:rsidP="002C3A63">
      <w:pPr>
        <w:rPr>
          <w:rFonts w:cs="Calibri"/>
          <w:lang w:val="en-US"/>
        </w:rPr>
      </w:pPr>
    </w:p>
    <w:p w14:paraId="1BA4DD87" w14:textId="56551C6A" w:rsidR="002C3A63" w:rsidRPr="004D40CA" w:rsidRDefault="002C3A63" w:rsidP="002C3A63">
      <w:pPr>
        <w:rPr>
          <w:lang w:val="en-US"/>
        </w:rPr>
      </w:pPr>
      <w:r w:rsidRPr="004D40CA">
        <w:rPr>
          <w:lang w:val="en-US"/>
        </w:rPr>
        <w:t>This submission focuses particularly on recommendation 17.</w:t>
      </w:r>
      <w:r>
        <w:rPr>
          <w:lang w:val="en-US"/>
        </w:rPr>
        <w:t>5</w:t>
      </w:r>
      <w:r w:rsidRPr="004D40CA">
        <w:rPr>
          <w:lang w:val="en-US"/>
        </w:rPr>
        <w:t xml:space="preserve"> </w:t>
      </w:r>
      <w:r w:rsidR="00896233">
        <w:rPr>
          <w:lang w:val="en-US"/>
        </w:rPr>
        <w:t xml:space="preserve">of the draft report </w:t>
      </w:r>
      <w:r w:rsidRPr="004D40CA">
        <w:rPr>
          <w:lang w:val="en-US"/>
        </w:rPr>
        <w:t xml:space="preserve">that each school should employ </w:t>
      </w:r>
      <w:r>
        <w:rPr>
          <w:lang w:val="en-US"/>
        </w:rPr>
        <w:t>dedicated S</w:t>
      </w:r>
      <w:r w:rsidRPr="004D40CA">
        <w:rPr>
          <w:lang w:val="en-US"/>
        </w:rPr>
        <w:t xml:space="preserve">chool </w:t>
      </w:r>
      <w:r>
        <w:rPr>
          <w:lang w:val="en-US"/>
        </w:rPr>
        <w:t>W</w:t>
      </w:r>
      <w:r w:rsidRPr="004D40CA">
        <w:rPr>
          <w:lang w:val="en-US"/>
        </w:rPr>
        <w:t xml:space="preserve">ellbeing </w:t>
      </w:r>
      <w:r>
        <w:rPr>
          <w:lang w:val="en-US"/>
        </w:rPr>
        <w:t>L</w:t>
      </w:r>
      <w:r w:rsidRPr="004D40CA">
        <w:rPr>
          <w:lang w:val="en-US"/>
        </w:rPr>
        <w:t>eaders.</w:t>
      </w:r>
    </w:p>
    <w:p w14:paraId="4072EA86" w14:textId="1DBACD0F" w:rsidR="005A56E8" w:rsidRPr="00A403B6" w:rsidRDefault="005A56E8" w:rsidP="005A56E8">
      <w:pPr>
        <w:spacing w:before="240"/>
        <w:rPr>
          <w:rStyle w:val="eop"/>
          <w:rFonts w:cs="Calibri"/>
          <w:b/>
          <w:bCs/>
          <w:color w:val="000000"/>
          <w:shd w:val="clear" w:color="auto" w:fill="FFFFFF"/>
        </w:rPr>
      </w:pPr>
      <w:r w:rsidRPr="00A403B6">
        <w:rPr>
          <w:rStyle w:val="eop"/>
          <w:rFonts w:cs="Calibri"/>
          <w:b/>
          <w:bCs/>
          <w:color w:val="000000"/>
          <w:shd w:val="clear" w:color="auto" w:fill="FFFFFF"/>
        </w:rPr>
        <w:t xml:space="preserve">Queensland Catholic schools </w:t>
      </w:r>
    </w:p>
    <w:p w14:paraId="02AE7468" w14:textId="225970DF" w:rsidR="005A56E8" w:rsidRDefault="005A56E8" w:rsidP="005A56E8">
      <w:pPr>
        <w:rPr>
          <w:rFonts w:cs="Calibri"/>
          <w:lang w:val="en-US"/>
        </w:rPr>
      </w:pPr>
      <w:r>
        <w:rPr>
          <w:rFonts w:cs="Calibri"/>
          <w:lang w:val="en-US"/>
        </w:rPr>
        <w:t xml:space="preserve">Currently there are </w:t>
      </w:r>
      <w:r w:rsidRPr="00060D05">
        <w:rPr>
          <w:rFonts w:cs="Calibri"/>
          <w:lang w:val="en-US"/>
        </w:rPr>
        <w:t>306</w:t>
      </w:r>
      <w:r>
        <w:rPr>
          <w:rFonts w:cs="Calibri"/>
          <w:lang w:val="en-US"/>
        </w:rPr>
        <w:t xml:space="preserve"> Catholic schools in Queensland educating </w:t>
      </w:r>
      <w:r w:rsidRPr="00252314">
        <w:rPr>
          <w:rFonts w:cs="Calibri"/>
          <w:lang w:val="en-US"/>
        </w:rPr>
        <w:t>149,000</w:t>
      </w:r>
      <w:r w:rsidRPr="00766CB9">
        <w:rPr>
          <w:rFonts w:cs="Calibri"/>
          <w:lang w:val="en-US"/>
        </w:rPr>
        <w:t xml:space="preserve"> </w:t>
      </w:r>
      <w:r>
        <w:rPr>
          <w:rFonts w:cs="Calibri"/>
          <w:lang w:val="en-US"/>
        </w:rPr>
        <w:t xml:space="preserve">students with a roughly equal number of boys and girls. </w:t>
      </w:r>
    </w:p>
    <w:p w14:paraId="53CFDB01" w14:textId="77777777" w:rsidR="005A56E8" w:rsidRDefault="005A56E8" w:rsidP="005A56E8">
      <w:pPr>
        <w:rPr>
          <w:rFonts w:cs="Calibri"/>
          <w:lang w:val="en-US"/>
        </w:rPr>
      </w:pPr>
    </w:p>
    <w:p w14:paraId="79B474BF" w14:textId="47A8C59E" w:rsidR="005A56E8" w:rsidRDefault="005A56E8" w:rsidP="005A56E8">
      <w:pPr>
        <w:rPr>
          <w:rFonts w:cs="Calibri"/>
          <w:lang w:val="en-US"/>
        </w:rPr>
      </w:pPr>
      <w:r>
        <w:rPr>
          <w:rFonts w:cs="Calibri"/>
          <w:lang w:val="en-US"/>
        </w:rPr>
        <w:t>There are 19</w:t>
      </w:r>
      <w:r w:rsidR="00637EB3">
        <w:rPr>
          <w:rFonts w:cs="Calibri"/>
          <w:lang w:val="en-US"/>
        </w:rPr>
        <w:t>6</w:t>
      </w:r>
      <w:r>
        <w:rPr>
          <w:rFonts w:cs="Calibri"/>
          <w:lang w:val="en-US"/>
        </w:rPr>
        <w:t xml:space="preserve"> primary schools (with 65,</w:t>
      </w:r>
      <w:r w:rsidR="00AA02CA">
        <w:rPr>
          <w:rFonts w:cs="Calibri"/>
          <w:lang w:val="en-US"/>
        </w:rPr>
        <w:t>776</w:t>
      </w:r>
      <w:r>
        <w:rPr>
          <w:rFonts w:cs="Calibri"/>
          <w:lang w:val="en-US"/>
        </w:rPr>
        <w:t xml:space="preserve"> students), 74 secondary schools (with 44,</w:t>
      </w:r>
      <w:r w:rsidR="00AA02CA">
        <w:rPr>
          <w:rFonts w:cs="Calibri"/>
          <w:lang w:val="en-US"/>
        </w:rPr>
        <w:t>828</w:t>
      </w:r>
      <w:r>
        <w:rPr>
          <w:rFonts w:cs="Calibri"/>
          <w:lang w:val="en-US"/>
        </w:rPr>
        <w:t xml:space="preserve"> students) and 3</w:t>
      </w:r>
      <w:r w:rsidR="00AA02CA">
        <w:rPr>
          <w:rFonts w:cs="Calibri"/>
          <w:lang w:val="en-US"/>
        </w:rPr>
        <w:t>6</w:t>
      </w:r>
      <w:r>
        <w:rPr>
          <w:rFonts w:cs="Calibri"/>
          <w:lang w:val="en-US"/>
        </w:rPr>
        <w:t xml:space="preserve"> primary-secondary combined schools (with 3</w:t>
      </w:r>
      <w:r w:rsidR="00AA02CA">
        <w:rPr>
          <w:rFonts w:cs="Calibri"/>
          <w:lang w:val="en-US"/>
        </w:rPr>
        <w:t>9</w:t>
      </w:r>
      <w:r>
        <w:rPr>
          <w:rFonts w:cs="Calibri"/>
          <w:lang w:val="en-US"/>
        </w:rPr>
        <w:t>,5</w:t>
      </w:r>
      <w:r w:rsidR="00AA02CA">
        <w:rPr>
          <w:rFonts w:cs="Calibri"/>
          <w:lang w:val="en-US"/>
        </w:rPr>
        <w:t>56</w:t>
      </w:r>
      <w:r>
        <w:rPr>
          <w:rFonts w:cs="Calibri"/>
          <w:lang w:val="en-US"/>
        </w:rPr>
        <w:t xml:space="preserve"> students). </w:t>
      </w:r>
    </w:p>
    <w:p w14:paraId="06505CD0" w14:textId="77777777" w:rsidR="005A56E8" w:rsidRDefault="005A56E8" w:rsidP="005A56E8">
      <w:pPr>
        <w:rPr>
          <w:rFonts w:cs="Calibri"/>
          <w:lang w:val="en-US"/>
        </w:rPr>
      </w:pPr>
    </w:p>
    <w:p w14:paraId="1AEFC1B9" w14:textId="48FE1337" w:rsidR="005A56E8" w:rsidRDefault="005A56E8" w:rsidP="005A56E8">
      <w:pPr>
        <w:rPr>
          <w:rFonts w:cs="Calibri"/>
          <w:lang w:val="en-US"/>
        </w:rPr>
      </w:pPr>
      <w:r>
        <w:rPr>
          <w:rFonts w:cs="Calibri"/>
          <w:lang w:val="en-US"/>
        </w:rPr>
        <w:t xml:space="preserve">Sixteen boarding schools offer secondary education. </w:t>
      </w:r>
      <w:r w:rsidR="00A91075">
        <w:rPr>
          <w:rFonts w:cs="Calibri"/>
          <w:lang w:val="en-US"/>
        </w:rPr>
        <w:t>The majority</w:t>
      </w:r>
      <w:r>
        <w:rPr>
          <w:rFonts w:cs="Calibri"/>
          <w:lang w:val="en-US"/>
        </w:rPr>
        <w:t xml:space="preserve"> of </w:t>
      </w:r>
      <w:r w:rsidR="00FC57E4">
        <w:rPr>
          <w:rFonts w:cs="Calibri"/>
          <w:lang w:val="en-US"/>
        </w:rPr>
        <w:t xml:space="preserve">our Queensland </w:t>
      </w:r>
      <w:r w:rsidR="003149F2">
        <w:rPr>
          <w:rFonts w:cs="Calibri"/>
          <w:lang w:val="en-US"/>
        </w:rPr>
        <w:t>C</w:t>
      </w:r>
      <w:r w:rsidR="00FC57E4">
        <w:rPr>
          <w:rFonts w:cs="Calibri"/>
          <w:lang w:val="en-US"/>
        </w:rPr>
        <w:t xml:space="preserve">atholic </w:t>
      </w:r>
      <w:r>
        <w:rPr>
          <w:rFonts w:cs="Calibri"/>
          <w:lang w:val="en-US"/>
        </w:rPr>
        <w:t xml:space="preserve">schools are </w:t>
      </w:r>
      <w:r w:rsidRPr="00E07FCA">
        <w:rPr>
          <w:rFonts w:cs="Calibri"/>
          <w:lang w:val="en-US"/>
        </w:rPr>
        <w:t>co-educational (2</w:t>
      </w:r>
      <w:r w:rsidR="006F0020">
        <w:rPr>
          <w:rFonts w:cs="Calibri"/>
          <w:lang w:val="en-US"/>
        </w:rPr>
        <w:t>72</w:t>
      </w:r>
      <w:r w:rsidRPr="00E07FCA">
        <w:rPr>
          <w:rFonts w:cs="Calibri"/>
          <w:lang w:val="en-US"/>
        </w:rPr>
        <w:t xml:space="preserve"> schools) with 19 girls only and 15 boys only schools</w:t>
      </w:r>
      <w:r>
        <w:rPr>
          <w:rFonts w:cs="Calibri"/>
          <w:lang w:val="en-US"/>
        </w:rPr>
        <w:t xml:space="preserve">. </w:t>
      </w:r>
    </w:p>
    <w:p w14:paraId="6C7B1504" w14:textId="77777777" w:rsidR="005A56E8" w:rsidRDefault="005A56E8" w:rsidP="005A56E8">
      <w:pPr>
        <w:rPr>
          <w:rFonts w:cs="Calibri"/>
          <w:lang w:val="en-US"/>
        </w:rPr>
      </w:pPr>
    </w:p>
    <w:p w14:paraId="7AE783D6" w14:textId="1287A8DE" w:rsidR="005A56E8" w:rsidRDefault="005A56E8" w:rsidP="005A56E8">
      <w:pPr>
        <w:rPr>
          <w:rFonts w:cs="Calibri"/>
          <w:lang w:val="en-US"/>
        </w:rPr>
      </w:pPr>
      <w:r>
        <w:rPr>
          <w:rFonts w:cs="Calibri"/>
          <w:lang w:val="en-US"/>
        </w:rPr>
        <w:t xml:space="preserve">There are also a number of </w:t>
      </w:r>
      <w:r w:rsidR="00144BE4">
        <w:rPr>
          <w:rFonts w:cs="Calibri"/>
          <w:lang w:val="en-US"/>
        </w:rPr>
        <w:t xml:space="preserve">Special Assistance Schools </w:t>
      </w:r>
      <w:r>
        <w:rPr>
          <w:rFonts w:cs="Calibri"/>
          <w:lang w:val="en-US"/>
        </w:rPr>
        <w:t>which offer opportunities for young people to re-engage in education in a</w:t>
      </w:r>
      <w:r w:rsidR="001B3EE3">
        <w:rPr>
          <w:rFonts w:cs="Calibri"/>
          <w:lang w:val="en-US"/>
        </w:rPr>
        <w:t>n alternative,</w:t>
      </w:r>
      <w:r>
        <w:rPr>
          <w:rFonts w:cs="Calibri"/>
          <w:lang w:val="en-US"/>
        </w:rPr>
        <w:t xml:space="preserve"> flexible learning environment.</w:t>
      </w:r>
    </w:p>
    <w:p w14:paraId="260B9D95" w14:textId="77777777" w:rsidR="005A56E8" w:rsidRDefault="005A56E8" w:rsidP="005A56E8">
      <w:pPr>
        <w:rPr>
          <w:rFonts w:cs="Calibri"/>
          <w:lang w:val="en-US"/>
        </w:rPr>
      </w:pPr>
    </w:p>
    <w:p w14:paraId="1EB99A56" w14:textId="5B309C81" w:rsidR="005A56E8" w:rsidRDefault="005A56E8" w:rsidP="005A56E8">
      <w:pPr>
        <w:rPr>
          <w:rFonts w:cs="Calibri"/>
          <w:lang w:val="en-US"/>
        </w:rPr>
      </w:pPr>
      <w:r w:rsidRPr="002E755C">
        <w:rPr>
          <w:rFonts w:cs="Calibri"/>
          <w:lang w:val="en-US"/>
        </w:rPr>
        <w:t xml:space="preserve">Queensland Catholic schools range in size from very small (&lt; 5 primary/&lt;100 secondary) to large (300+ primary/700+ secondary). More than half of all schools are classified as large schools and a quarter </w:t>
      </w:r>
      <w:r>
        <w:rPr>
          <w:rFonts w:cs="Calibri"/>
          <w:lang w:val="en-US"/>
        </w:rPr>
        <w:t xml:space="preserve">of schools </w:t>
      </w:r>
      <w:r w:rsidRPr="002E755C">
        <w:rPr>
          <w:rFonts w:cs="Calibri"/>
          <w:lang w:val="en-US"/>
        </w:rPr>
        <w:t xml:space="preserve">are small schools. </w:t>
      </w:r>
      <w:r w:rsidR="001B3EE3">
        <w:rPr>
          <w:rFonts w:cs="Calibri"/>
          <w:lang w:val="en-US"/>
        </w:rPr>
        <w:t>Spe</w:t>
      </w:r>
      <w:r w:rsidR="00C4521E">
        <w:rPr>
          <w:rFonts w:cs="Calibri"/>
          <w:lang w:val="en-US"/>
        </w:rPr>
        <w:t>cial Assistance Schools</w:t>
      </w:r>
      <w:r w:rsidRPr="002E755C">
        <w:rPr>
          <w:rFonts w:cs="Calibri"/>
          <w:lang w:val="en-US"/>
        </w:rPr>
        <w:t xml:space="preserve"> </w:t>
      </w:r>
      <w:r>
        <w:rPr>
          <w:rFonts w:cs="Calibri"/>
          <w:lang w:val="en-US"/>
        </w:rPr>
        <w:t xml:space="preserve">and remote schools </w:t>
      </w:r>
      <w:r w:rsidRPr="002E755C">
        <w:rPr>
          <w:rFonts w:cs="Calibri"/>
          <w:lang w:val="en-US"/>
        </w:rPr>
        <w:t>account for the majority of very small schools.</w:t>
      </w:r>
    </w:p>
    <w:p w14:paraId="196DDA4A" w14:textId="77777777" w:rsidR="00227EA4" w:rsidRDefault="00227EA4" w:rsidP="005A56E8">
      <w:pPr>
        <w:rPr>
          <w:rFonts w:cs="Calibri"/>
          <w:lang w:val="en-US"/>
        </w:rPr>
      </w:pPr>
    </w:p>
    <w:p w14:paraId="516296CE" w14:textId="77777777" w:rsidR="005A56E8" w:rsidRDefault="005A56E8" w:rsidP="005A56E8">
      <w:pPr>
        <w:rPr>
          <w:rFonts w:cs="Calibri"/>
          <w:lang w:val="en-US"/>
        </w:rPr>
      </w:pPr>
      <w:r>
        <w:rPr>
          <w:rFonts w:cs="Calibri"/>
          <w:lang w:val="en-US"/>
        </w:rPr>
        <w:lastRenderedPageBreak/>
        <w:t>The majority of schools are in the major cities along the coast of Queensland. However, there are also a significant number of schools in regional and remote areas</w:t>
      </w:r>
      <w:r>
        <w:rPr>
          <w:rStyle w:val="FootnoteReference"/>
          <w:rFonts w:cs="Calibri"/>
          <w:lang w:val="en-US"/>
        </w:rPr>
        <w:footnoteReference w:id="2"/>
      </w:r>
      <w:r>
        <w:rPr>
          <w:rFonts w:cs="Calibri"/>
          <w:lang w:val="en-US"/>
        </w:rPr>
        <w:t>. All very remote schools are small primary schools (total of 698 students).</w:t>
      </w:r>
    </w:p>
    <w:p w14:paraId="760D88A4" w14:textId="67B28FBD" w:rsidR="002C3A63" w:rsidRDefault="002C3A63" w:rsidP="000B2803">
      <w:pPr>
        <w:jc w:val="both"/>
        <w:rPr>
          <w:rFonts w:ascii="Arial" w:hAnsi="Arial" w:cs="Arial"/>
        </w:rPr>
      </w:pPr>
    </w:p>
    <w:p w14:paraId="46A1E839" w14:textId="77777777" w:rsidR="00F930D0" w:rsidRPr="001F60E5" w:rsidRDefault="00F930D0" w:rsidP="00710A2E">
      <w:pPr>
        <w:spacing w:line="360" w:lineRule="auto"/>
        <w:rPr>
          <w:rStyle w:val="eop"/>
          <w:rFonts w:cs="Calibri"/>
          <w:b/>
          <w:bCs/>
          <w:color w:val="000000"/>
          <w:shd w:val="clear" w:color="auto" w:fill="FFFFFF"/>
        </w:rPr>
      </w:pPr>
      <w:r w:rsidRPr="001F60E5">
        <w:rPr>
          <w:rStyle w:val="eop"/>
          <w:rFonts w:cs="Calibri"/>
          <w:b/>
          <w:bCs/>
          <w:color w:val="000000"/>
          <w:shd w:val="clear" w:color="auto" w:fill="FFFFFF"/>
        </w:rPr>
        <w:t xml:space="preserve">Map 1: Catholic schools in Queensland </w:t>
      </w:r>
    </w:p>
    <w:p w14:paraId="48412C9D" w14:textId="11948635" w:rsidR="005A56E8" w:rsidRDefault="00DE3C1C" w:rsidP="000B2803">
      <w:pPr>
        <w:jc w:val="both"/>
        <w:rPr>
          <w:rFonts w:ascii="Arial" w:hAnsi="Arial" w:cs="Arial"/>
        </w:rPr>
      </w:pPr>
      <w:r>
        <w:rPr>
          <w:noProof/>
          <w:lang w:eastAsia="en-AU" w:bidi="ar-SA"/>
        </w:rPr>
        <w:drawing>
          <wp:inline distT="0" distB="0" distL="0" distR="0" wp14:anchorId="09ED634B" wp14:editId="3DFBD19B">
            <wp:extent cx="4610100" cy="4143643"/>
            <wp:effectExtent l="0" t="0" r="0" b="9525"/>
            <wp:docPr id="2" name="Picture 2" descr="cid:image001.jpg@01D4679C.E0194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79C.E0194A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5512" cy="4328271"/>
                    </a:xfrm>
                    <a:prstGeom prst="rect">
                      <a:avLst/>
                    </a:prstGeom>
                    <a:noFill/>
                    <a:ln>
                      <a:noFill/>
                    </a:ln>
                  </pic:spPr>
                </pic:pic>
              </a:graphicData>
            </a:graphic>
          </wp:inline>
        </w:drawing>
      </w:r>
    </w:p>
    <w:p w14:paraId="1E80DC5C" w14:textId="77777777" w:rsidR="00BC1DB2" w:rsidRDefault="00BC1DB2" w:rsidP="00BC1DB2">
      <w:pPr>
        <w:spacing w:before="120" w:line="240" w:lineRule="auto"/>
        <w:rPr>
          <w:b/>
          <w:bCs/>
        </w:rPr>
      </w:pPr>
    </w:p>
    <w:p w14:paraId="663008D4" w14:textId="7F84A37D" w:rsidR="00C86B69" w:rsidRPr="006E33BD" w:rsidRDefault="00C86B69" w:rsidP="00710A2E">
      <w:pPr>
        <w:spacing w:line="360" w:lineRule="auto"/>
        <w:rPr>
          <w:b/>
          <w:bCs/>
        </w:rPr>
      </w:pPr>
      <w:r w:rsidRPr="006E33BD">
        <w:rPr>
          <w:b/>
          <w:bCs/>
        </w:rPr>
        <w:t xml:space="preserve">Student wellbeing in Queensland Catholic schools </w:t>
      </w:r>
    </w:p>
    <w:p w14:paraId="5BCF99BC" w14:textId="329073F8" w:rsidR="00C86B69" w:rsidRDefault="00C86B69" w:rsidP="00BC69EE">
      <w:pPr>
        <w:rPr>
          <w:rStyle w:val="normaltextrun"/>
          <w:rFonts w:cs="Calibri"/>
          <w:color w:val="000000"/>
          <w:shd w:val="clear" w:color="auto" w:fill="FFFFFF"/>
          <w:lang w:val="en-GB"/>
        </w:rPr>
      </w:pPr>
      <w:r w:rsidRPr="00043A60">
        <w:rPr>
          <w:rStyle w:val="normaltextrun"/>
          <w:rFonts w:cs="Calibri"/>
          <w:color w:val="000000"/>
          <w:lang w:val="en-GB"/>
        </w:rPr>
        <w:t xml:space="preserve">Student wellbeing is a key priority for all Catholic schools in Queensland and Queensland Catholic School Authorities are developing </w:t>
      </w:r>
      <w:r w:rsidR="00C4521E">
        <w:rPr>
          <w:rStyle w:val="normaltextrun"/>
          <w:rFonts w:cs="Calibri"/>
          <w:color w:val="000000"/>
          <w:lang w:val="en-GB"/>
        </w:rPr>
        <w:t xml:space="preserve">and implementing </w:t>
      </w:r>
      <w:r w:rsidRPr="00043A60">
        <w:rPr>
          <w:rStyle w:val="normaltextrun"/>
          <w:rFonts w:cs="Calibri"/>
          <w:color w:val="000000"/>
          <w:lang w:val="en-GB"/>
        </w:rPr>
        <w:t>comprehensive approaches to improving mental health and wellbeing of all students in Catholic schools through wellbeing frameworks, policies, procedures, resourcing and professional practices. They aim to build the capacity and resilience of school communities to ensure holistic growth is supported. Some Catholic School</w:t>
      </w:r>
      <w:r w:rsidRPr="00C86B69">
        <w:rPr>
          <w:rStyle w:val="normaltextrun"/>
          <w:rFonts w:cs="Calibri"/>
          <w:color w:val="000000"/>
          <w:shd w:val="clear" w:color="auto" w:fill="FFFFFF"/>
          <w:lang w:val="en-GB"/>
        </w:rPr>
        <w:t xml:space="preserve"> Authorities have also established working groups on </w:t>
      </w:r>
      <w:r w:rsidRPr="00043A60">
        <w:rPr>
          <w:rStyle w:val="normaltextrun"/>
          <w:rFonts w:cs="Calibri"/>
          <w:color w:val="000000"/>
          <w:lang w:val="en-GB"/>
        </w:rPr>
        <w:t>mental health and wellbeing</w:t>
      </w:r>
      <w:r w:rsidRPr="00C86B69">
        <w:rPr>
          <w:rStyle w:val="normaltextrun"/>
          <w:rFonts w:cs="Calibri"/>
          <w:color w:val="000000"/>
          <w:shd w:val="clear" w:color="auto" w:fill="FFFFFF"/>
          <w:lang w:val="en-GB"/>
        </w:rPr>
        <w:t xml:space="preserve"> to:</w:t>
      </w:r>
    </w:p>
    <w:p w14:paraId="5B2F2A5B" w14:textId="77777777" w:rsidR="00BC1DB2" w:rsidRPr="00C86B69" w:rsidRDefault="00BC1DB2" w:rsidP="00C86B69">
      <w:pPr>
        <w:spacing w:line="257" w:lineRule="auto"/>
        <w:rPr>
          <w:rStyle w:val="normaltextrun"/>
          <w:rFonts w:cs="Calibri"/>
          <w:color w:val="000000"/>
          <w:shd w:val="clear" w:color="auto" w:fill="FFFFFF"/>
          <w:lang w:val="en-GB"/>
        </w:rPr>
      </w:pPr>
    </w:p>
    <w:p w14:paraId="4649B0A4" w14:textId="77777777" w:rsidR="00C86B69" w:rsidRPr="00C86B69" w:rsidRDefault="00C86B69" w:rsidP="00C86B69">
      <w:pPr>
        <w:pStyle w:val="ListParagraph"/>
        <w:numPr>
          <w:ilvl w:val="0"/>
          <w:numId w:val="19"/>
        </w:numPr>
        <w:spacing w:after="160" w:line="257" w:lineRule="auto"/>
        <w:rPr>
          <w:rStyle w:val="normaltextrun"/>
          <w:rFonts w:cs="Calibri"/>
          <w:color w:val="000000"/>
          <w:shd w:val="clear" w:color="auto" w:fill="FFFFFF"/>
          <w:lang w:val="en-GB"/>
        </w:rPr>
      </w:pPr>
      <w:r w:rsidRPr="00043A60">
        <w:rPr>
          <w:rStyle w:val="normaltextrun"/>
          <w:rFonts w:cs="Calibri"/>
          <w:color w:val="000000"/>
          <w:lang w:val="en-GB"/>
        </w:rPr>
        <w:t>review current activity underway across schools and create a common language and shared understanding related to mental</w:t>
      </w:r>
      <w:r w:rsidRPr="00C86B69">
        <w:rPr>
          <w:rStyle w:val="normaltextrun"/>
          <w:rFonts w:cs="Calibri"/>
          <w:color w:val="000000"/>
          <w:shd w:val="clear" w:color="auto" w:fill="FFFFFF"/>
          <w:lang w:val="en-GB"/>
        </w:rPr>
        <w:t xml:space="preserve"> health and wellbeing</w:t>
      </w:r>
    </w:p>
    <w:p w14:paraId="140A5A46" w14:textId="77777777" w:rsidR="00C86B69" w:rsidRPr="00C86B69" w:rsidRDefault="00C86B69" w:rsidP="00C86B69">
      <w:pPr>
        <w:pStyle w:val="ListParagraph"/>
        <w:numPr>
          <w:ilvl w:val="0"/>
          <w:numId w:val="19"/>
        </w:numPr>
        <w:spacing w:after="160" w:line="257" w:lineRule="auto"/>
        <w:rPr>
          <w:rStyle w:val="normaltextrun"/>
          <w:rFonts w:cs="Calibri"/>
          <w:color w:val="000000"/>
          <w:shd w:val="clear" w:color="auto" w:fill="FFFFFF"/>
          <w:lang w:val="en-GB"/>
        </w:rPr>
      </w:pPr>
      <w:r w:rsidRPr="00C86B69">
        <w:rPr>
          <w:rStyle w:val="normaltextrun"/>
          <w:rFonts w:cs="Calibri"/>
          <w:color w:val="000000"/>
          <w:shd w:val="clear" w:color="auto" w:fill="FFFFFF"/>
          <w:lang w:val="en-GB"/>
        </w:rPr>
        <w:t xml:space="preserve">recommend </w:t>
      </w:r>
      <w:r w:rsidRPr="00043A60">
        <w:rPr>
          <w:rStyle w:val="normaltextrun"/>
          <w:rFonts w:cs="Calibri"/>
          <w:color w:val="000000"/>
          <w:lang w:val="en-GB"/>
        </w:rPr>
        <w:t>strategies for improving</w:t>
      </w:r>
      <w:r w:rsidRPr="00C86B69">
        <w:rPr>
          <w:rStyle w:val="normaltextrun"/>
          <w:rFonts w:cs="Calibri"/>
          <w:color w:val="000000"/>
          <w:shd w:val="clear" w:color="auto" w:fill="FFFFFF"/>
          <w:lang w:val="en-GB"/>
        </w:rPr>
        <w:t xml:space="preserve"> understanding and responses to mental health and wellbeing</w:t>
      </w:r>
    </w:p>
    <w:p w14:paraId="6C35E8F9" w14:textId="77777777" w:rsidR="00C86B69" w:rsidRPr="00C86B69" w:rsidRDefault="00C86B69" w:rsidP="00C86B69">
      <w:pPr>
        <w:pStyle w:val="ListParagraph"/>
        <w:numPr>
          <w:ilvl w:val="0"/>
          <w:numId w:val="19"/>
        </w:numPr>
        <w:spacing w:after="160" w:line="257" w:lineRule="auto"/>
        <w:rPr>
          <w:rStyle w:val="normaltextrun"/>
          <w:rFonts w:cs="Calibri"/>
          <w:color w:val="000000"/>
          <w:shd w:val="clear" w:color="auto" w:fill="FFFFFF"/>
          <w:lang w:val="en-GB"/>
        </w:rPr>
      </w:pPr>
      <w:r w:rsidRPr="00C86B69">
        <w:rPr>
          <w:rStyle w:val="normaltextrun"/>
          <w:rFonts w:cs="Calibri"/>
          <w:color w:val="000000"/>
          <w:shd w:val="clear" w:color="auto" w:fill="FFFFFF"/>
          <w:lang w:val="en-GB"/>
        </w:rPr>
        <w:t>extend engagement and learning of school staff and families in responding to mental health and wellbeing needs of students.</w:t>
      </w:r>
    </w:p>
    <w:p w14:paraId="01833120" w14:textId="00A50AF8" w:rsidR="003C7475" w:rsidRDefault="00C86B69" w:rsidP="00BE1C36">
      <w:pPr>
        <w:rPr>
          <w:rStyle w:val="normaltextrun"/>
          <w:rFonts w:cs="Calibri"/>
          <w:lang w:val="en-GB"/>
        </w:rPr>
      </w:pPr>
      <w:r>
        <w:rPr>
          <w:rStyle w:val="normaltextrun"/>
          <w:rFonts w:cs="Calibri"/>
          <w:lang w:val="en-GB"/>
        </w:rPr>
        <w:t>Typically,</w:t>
      </w:r>
      <w:r w:rsidR="007A7AB1">
        <w:rPr>
          <w:rStyle w:val="normaltextrun"/>
          <w:rFonts w:cs="Calibri"/>
          <w:lang w:val="en-GB"/>
        </w:rPr>
        <w:t xml:space="preserve"> wellbeing</w:t>
      </w:r>
      <w:r>
        <w:rPr>
          <w:rStyle w:val="normaltextrun"/>
          <w:rFonts w:cs="Calibri"/>
          <w:lang w:val="en-GB"/>
        </w:rPr>
        <w:t xml:space="preserve"> programs are at </w:t>
      </w:r>
      <w:r w:rsidR="000566B1">
        <w:rPr>
          <w:rStyle w:val="normaltextrun"/>
          <w:rFonts w:cs="Calibri"/>
          <w:lang w:val="en-GB"/>
        </w:rPr>
        <w:t xml:space="preserve">a </w:t>
      </w:r>
      <w:r>
        <w:rPr>
          <w:rStyle w:val="normaltextrun"/>
          <w:rFonts w:cs="Calibri"/>
          <w:lang w:val="en-GB"/>
        </w:rPr>
        <w:t>school level. Table 1 provides a snapshot of programs offered at Queensland Catholic schools</w:t>
      </w:r>
      <w:r w:rsidR="00345F85">
        <w:rPr>
          <w:rStyle w:val="normaltextrun"/>
          <w:rFonts w:cs="Calibri"/>
          <w:lang w:val="en-GB"/>
        </w:rPr>
        <w:t>, many of which have a strong evidence base</w:t>
      </w:r>
      <w:r>
        <w:rPr>
          <w:rStyle w:val="normaltextrun"/>
          <w:rFonts w:cs="Calibri"/>
          <w:lang w:val="en-GB"/>
        </w:rPr>
        <w:t>.</w:t>
      </w:r>
    </w:p>
    <w:p w14:paraId="56A27AFF" w14:textId="08A014E3" w:rsidR="00EC2ADD" w:rsidRDefault="00EC2ADD">
      <w:pPr>
        <w:rPr>
          <w:rFonts w:asciiTheme="minorHAnsi" w:hAnsiTheme="minorHAnsi" w:cstheme="minorHAnsi"/>
        </w:rPr>
      </w:pPr>
      <w:r>
        <w:rPr>
          <w:rFonts w:asciiTheme="minorHAnsi" w:hAnsiTheme="minorHAnsi" w:cstheme="minorHAnsi"/>
        </w:rPr>
        <w:br w:type="page"/>
      </w:r>
    </w:p>
    <w:p w14:paraId="26A3F14F" w14:textId="77777777" w:rsidR="00BB3EA3" w:rsidRPr="00E846CF" w:rsidRDefault="00BB3EA3" w:rsidP="00710A2E">
      <w:pPr>
        <w:spacing w:line="360" w:lineRule="auto"/>
        <w:textAlignment w:val="baseline"/>
        <w:rPr>
          <w:rFonts w:ascii="Segoe UI" w:hAnsi="Segoe UI" w:cs="Segoe UI"/>
          <w:sz w:val="18"/>
          <w:szCs w:val="18"/>
          <w:lang w:eastAsia="en-AU"/>
        </w:rPr>
      </w:pPr>
      <w:r>
        <w:rPr>
          <w:rFonts w:cs="Calibri"/>
          <w:b/>
          <w:bCs/>
          <w:lang w:val="en-GB" w:eastAsia="en-AU"/>
        </w:rPr>
        <w:lastRenderedPageBreak/>
        <w:t xml:space="preserve">Table 1: </w:t>
      </w:r>
      <w:r w:rsidRPr="00E846CF">
        <w:rPr>
          <w:rFonts w:cs="Calibri"/>
          <w:b/>
          <w:bCs/>
          <w:lang w:val="en-GB" w:eastAsia="en-AU"/>
        </w:rPr>
        <w:t>Student wellbeing programs offered in Queensland Catholic schools</w:t>
      </w:r>
      <w:r w:rsidRPr="00E846CF">
        <w:rPr>
          <w:rFonts w:cs="Calibri"/>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BB3EA3" w:rsidRPr="00E846CF" w14:paraId="6DBE994F" w14:textId="77777777" w:rsidTr="00F10F47">
        <w:tc>
          <w:tcPr>
            <w:tcW w:w="1800" w:type="dxa"/>
            <w:tcBorders>
              <w:top w:val="single" w:sz="6" w:space="0" w:color="auto"/>
              <w:left w:val="single" w:sz="6" w:space="0" w:color="auto"/>
              <w:bottom w:val="nil"/>
              <w:right w:val="nil"/>
            </w:tcBorders>
            <w:shd w:val="clear" w:color="auto" w:fill="auto"/>
            <w:hideMark/>
          </w:tcPr>
          <w:p w14:paraId="7A6D29D4"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Circles Whole class social emotional program</w:t>
            </w:r>
          </w:p>
        </w:tc>
        <w:tc>
          <w:tcPr>
            <w:tcW w:w="1800" w:type="dxa"/>
            <w:tcBorders>
              <w:top w:val="single" w:sz="6" w:space="0" w:color="auto"/>
              <w:left w:val="nil"/>
              <w:bottom w:val="nil"/>
              <w:right w:val="nil"/>
            </w:tcBorders>
            <w:shd w:val="clear" w:color="auto" w:fill="DEEAF6"/>
            <w:hideMark/>
          </w:tcPr>
          <w:p w14:paraId="48EAAAD1"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123 Magic &amp; Emotion Coaching Parenting Program</w:t>
            </w:r>
          </w:p>
        </w:tc>
        <w:tc>
          <w:tcPr>
            <w:tcW w:w="1800" w:type="dxa"/>
            <w:tcBorders>
              <w:top w:val="single" w:sz="6" w:space="0" w:color="auto"/>
              <w:left w:val="nil"/>
              <w:bottom w:val="nil"/>
              <w:right w:val="nil"/>
            </w:tcBorders>
            <w:shd w:val="clear" w:color="auto" w:fill="auto"/>
            <w:hideMark/>
          </w:tcPr>
          <w:p w14:paraId="6DA7F70E"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Fun with Feelings Program</w:t>
            </w:r>
          </w:p>
        </w:tc>
        <w:tc>
          <w:tcPr>
            <w:tcW w:w="1800" w:type="dxa"/>
            <w:tcBorders>
              <w:top w:val="single" w:sz="6" w:space="0" w:color="auto"/>
              <w:left w:val="nil"/>
              <w:bottom w:val="nil"/>
              <w:right w:val="nil"/>
            </w:tcBorders>
            <w:shd w:val="clear" w:color="auto" w:fill="DEEAF6"/>
            <w:hideMark/>
          </w:tcPr>
          <w:p w14:paraId="5FBDB9D6"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Stop, Think, Do</w:t>
            </w:r>
          </w:p>
        </w:tc>
        <w:tc>
          <w:tcPr>
            <w:tcW w:w="1800" w:type="dxa"/>
            <w:tcBorders>
              <w:top w:val="single" w:sz="6" w:space="0" w:color="auto"/>
              <w:left w:val="nil"/>
              <w:bottom w:val="nil"/>
              <w:right w:val="single" w:sz="6" w:space="0" w:color="auto"/>
            </w:tcBorders>
            <w:shd w:val="clear" w:color="auto" w:fill="auto"/>
            <w:hideMark/>
          </w:tcPr>
          <w:p w14:paraId="0C8F3A5C"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Asteros</w:t>
            </w:r>
          </w:p>
        </w:tc>
      </w:tr>
      <w:tr w:rsidR="00BB3EA3" w:rsidRPr="00E846CF" w14:paraId="17ED098C" w14:textId="77777777" w:rsidTr="00F10F47">
        <w:tc>
          <w:tcPr>
            <w:tcW w:w="1800" w:type="dxa"/>
            <w:tcBorders>
              <w:top w:val="nil"/>
              <w:left w:val="single" w:sz="6" w:space="0" w:color="auto"/>
              <w:bottom w:val="nil"/>
              <w:right w:val="nil"/>
            </w:tcBorders>
            <w:shd w:val="clear" w:color="auto" w:fill="DEEAF6"/>
            <w:hideMark/>
          </w:tcPr>
          <w:p w14:paraId="440C6D40"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Aussie Optimism</w:t>
            </w:r>
          </w:p>
        </w:tc>
        <w:tc>
          <w:tcPr>
            <w:tcW w:w="1800" w:type="dxa"/>
            <w:tcBorders>
              <w:top w:val="nil"/>
              <w:left w:val="nil"/>
              <w:bottom w:val="nil"/>
              <w:right w:val="nil"/>
            </w:tcBorders>
            <w:shd w:val="clear" w:color="auto" w:fill="FFFFFF"/>
            <w:hideMark/>
          </w:tcPr>
          <w:p w14:paraId="2BC80C57"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BounceBack!</w:t>
            </w:r>
          </w:p>
        </w:tc>
        <w:tc>
          <w:tcPr>
            <w:tcW w:w="1800" w:type="dxa"/>
            <w:tcBorders>
              <w:top w:val="nil"/>
              <w:left w:val="nil"/>
              <w:bottom w:val="nil"/>
              <w:right w:val="nil"/>
            </w:tcBorders>
            <w:shd w:val="clear" w:color="auto" w:fill="DEEAF6"/>
            <w:hideMark/>
          </w:tcPr>
          <w:p w14:paraId="348E2226"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Bullying</w:t>
            </w:r>
            <w:r>
              <w:rPr>
                <w:rFonts w:cs="Calibri"/>
                <w:sz w:val="18"/>
                <w:szCs w:val="18"/>
                <w:lang w:val="en-GB" w:eastAsia="en-AU"/>
              </w:rPr>
              <w:t xml:space="preserve"> </w:t>
            </w:r>
            <w:r w:rsidRPr="00E846CF">
              <w:rPr>
                <w:rFonts w:cs="Calibri"/>
                <w:sz w:val="18"/>
                <w:szCs w:val="18"/>
                <w:lang w:val="en-GB" w:eastAsia="en-AU"/>
              </w:rPr>
              <w:t>NoWay</w:t>
            </w:r>
          </w:p>
        </w:tc>
        <w:tc>
          <w:tcPr>
            <w:tcW w:w="1800" w:type="dxa"/>
            <w:tcBorders>
              <w:top w:val="nil"/>
              <w:left w:val="nil"/>
              <w:bottom w:val="nil"/>
              <w:right w:val="nil"/>
            </w:tcBorders>
            <w:shd w:val="clear" w:color="auto" w:fill="FFFFFF"/>
            <w:hideMark/>
          </w:tcPr>
          <w:p w14:paraId="4BC0DCA7"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Circle time on emotional regulation</w:t>
            </w:r>
          </w:p>
        </w:tc>
        <w:tc>
          <w:tcPr>
            <w:tcW w:w="1800" w:type="dxa"/>
            <w:tcBorders>
              <w:top w:val="nil"/>
              <w:left w:val="nil"/>
              <w:bottom w:val="nil"/>
              <w:right w:val="single" w:sz="6" w:space="0" w:color="auto"/>
            </w:tcBorders>
            <w:shd w:val="clear" w:color="auto" w:fill="DEEAF6"/>
            <w:hideMark/>
          </w:tcPr>
          <w:p w14:paraId="40DDCC22"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Cool Kids/Anxiety</w:t>
            </w:r>
          </w:p>
        </w:tc>
      </w:tr>
      <w:tr w:rsidR="00BB3EA3" w:rsidRPr="00E846CF" w14:paraId="2B826B8D" w14:textId="77777777" w:rsidTr="00F10F47">
        <w:tc>
          <w:tcPr>
            <w:tcW w:w="1800" w:type="dxa"/>
            <w:tcBorders>
              <w:top w:val="nil"/>
              <w:left w:val="single" w:sz="6" w:space="0" w:color="auto"/>
              <w:bottom w:val="nil"/>
              <w:right w:val="nil"/>
            </w:tcBorders>
            <w:shd w:val="clear" w:color="auto" w:fill="auto"/>
            <w:hideMark/>
          </w:tcPr>
          <w:p w14:paraId="7B94077D"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Friends for Life</w:t>
            </w:r>
          </w:p>
        </w:tc>
        <w:tc>
          <w:tcPr>
            <w:tcW w:w="1800" w:type="dxa"/>
            <w:tcBorders>
              <w:top w:val="nil"/>
              <w:left w:val="nil"/>
              <w:bottom w:val="nil"/>
              <w:right w:val="nil"/>
            </w:tcBorders>
            <w:shd w:val="clear" w:color="auto" w:fill="DEEAF6"/>
            <w:hideMark/>
          </w:tcPr>
          <w:p w14:paraId="78F0391F"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Games factory</w:t>
            </w:r>
          </w:p>
        </w:tc>
        <w:tc>
          <w:tcPr>
            <w:tcW w:w="1800" w:type="dxa"/>
            <w:tcBorders>
              <w:top w:val="nil"/>
              <w:left w:val="nil"/>
              <w:bottom w:val="nil"/>
              <w:right w:val="nil"/>
            </w:tcBorders>
            <w:shd w:val="clear" w:color="auto" w:fill="auto"/>
            <w:hideMark/>
          </w:tcPr>
          <w:p w14:paraId="32CC5E10"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Girlz</w:t>
            </w:r>
            <w:r>
              <w:rPr>
                <w:rFonts w:cs="Calibri"/>
                <w:sz w:val="18"/>
                <w:szCs w:val="18"/>
                <w:lang w:val="en-GB" w:eastAsia="en-AU"/>
              </w:rPr>
              <w:t xml:space="preserve"> </w:t>
            </w:r>
            <w:r w:rsidRPr="00E846CF">
              <w:rPr>
                <w:rFonts w:cs="Calibri"/>
                <w:sz w:val="18"/>
                <w:szCs w:val="18"/>
                <w:lang w:val="en-GB" w:eastAsia="en-AU"/>
              </w:rPr>
              <w:t>Power</w:t>
            </w:r>
          </w:p>
        </w:tc>
        <w:tc>
          <w:tcPr>
            <w:tcW w:w="1800" w:type="dxa"/>
            <w:tcBorders>
              <w:top w:val="nil"/>
              <w:left w:val="nil"/>
              <w:bottom w:val="nil"/>
              <w:right w:val="nil"/>
            </w:tcBorders>
            <w:shd w:val="clear" w:color="auto" w:fill="DEEAF6"/>
            <w:hideMark/>
          </w:tcPr>
          <w:p w14:paraId="654152C5"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Go! Strengths Programs</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auto"/>
            <w:hideMark/>
          </w:tcPr>
          <w:p w14:paraId="161129EF"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GoZen</w:t>
            </w:r>
            <w:r w:rsidRPr="00E846CF">
              <w:rPr>
                <w:rFonts w:cs="Calibri"/>
                <w:sz w:val="18"/>
                <w:szCs w:val="18"/>
                <w:lang w:eastAsia="en-AU"/>
              </w:rPr>
              <w:t> </w:t>
            </w:r>
          </w:p>
        </w:tc>
      </w:tr>
      <w:tr w:rsidR="00BB3EA3" w:rsidRPr="00E846CF" w14:paraId="5E8D6566" w14:textId="77777777" w:rsidTr="00F10F47">
        <w:tc>
          <w:tcPr>
            <w:tcW w:w="1800" w:type="dxa"/>
            <w:tcBorders>
              <w:top w:val="nil"/>
              <w:left w:val="single" w:sz="6" w:space="0" w:color="auto"/>
              <w:bottom w:val="nil"/>
              <w:right w:val="nil"/>
            </w:tcBorders>
            <w:shd w:val="clear" w:color="auto" w:fill="DEEAF6"/>
            <w:hideMark/>
          </w:tcPr>
          <w:p w14:paraId="4564BCC4"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Harnessing Superflex and the team to unthinkables</w:t>
            </w:r>
            <w:r w:rsidRPr="00E846CF">
              <w:rPr>
                <w:rFonts w:cs="Calibri"/>
                <w:b/>
                <w:bCs/>
                <w:sz w:val="18"/>
                <w:szCs w:val="18"/>
                <w:lang w:eastAsia="en-AU"/>
              </w:rPr>
              <w:t> </w:t>
            </w:r>
          </w:p>
        </w:tc>
        <w:tc>
          <w:tcPr>
            <w:tcW w:w="1800" w:type="dxa"/>
            <w:tcBorders>
              <w:top w:val="nil"/>
              <w:left w:val="nil"/>
              <w:bottom w:val="nil"/>
              <w:right w:val="nil"/>
            </w:tcBorders>
            <w:shd w:val="clear" w:color="auto" w:fill="FFFFFF"/>
            <w:hideMark/>
          </w:tcPr>
          <w:p w14:paraId="44AA7C0D" w14:textId="22C7212E"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Mindtrain</w:t>
            </w:r>
          </w:p>
        </w:tc>
        <w:tc>
          <w:tcPr>
            <w:tcW w:w="1800" w:type="dxa"/>
            <w:tcBorders>
              <w:top w:val="nil"/>
              <w:left w:val="nil"/>
              <w:bottom w:val="nil"/>
              <w:right w:val="nil"/>
            </w:tcBorders>
            <w:shd w:val="clear" w:color="auto" w:fill="DEEAF6"/>
            <w:hideMark/>
          </w:tcPr>
          <w:p w14:paraId="5B65D830"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Peaceful Kids</w:t>
            </w:r>
            <w:r w:rsidRPr="00E846CF">
              <w:rPr>
                <w:rFonts w:cs="Calibri"/>
                <w:sz w:val="18"/>
                <w:szCs w:val="18"/>
                <w:lang w:eastAsia="en-AU"/>
              </w:rPr>
              <w:t> </w:t>
            </w:r>
          </w:p>
        </w:tc>
        <w:tc>
          <w:tcPr>
            <w:tcW w:w="1800" w:type="dxa"/>
            <w:tcBorders>
              <w:top w:val="nil"/>
              <w:left w:val="nil"/>
              <w:bottom w:val="nil"/>
              <w:right w:val="nil"/>
            </w:tcBorders>
            <w:shd w:val="clear" w:color="auto" w:fill="FFFFFF"/>
            <w:hideMark/>
          </w:tcPr>
          <w:p w14:paraId="6D237EA1"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Pearls for Girls</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DEEAF6"/>
            <w:hideMark/>
          </w:tcPr>
          <w:p w14:paraId="05BDD47D"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Resourceful Adolescent program (RAP)</w:t>
            </w:r>
            <w:r w:rsidRPr="00E846CF">
              <w:rPr>
                <w:rFonts w:cs="Calibri"/>
                <w:sz w:val="18"/>
                <w:szCs w:val="18"/>
                <w:lang w:eastAsia="en-AU"/>
              </w:rPr>
              <w:t> </w:t>
            </w:r>
          </w:p>
        </w:tc>
      </w:tr>
      <w:tr w:rsidR="00BB3EA3" w:rsidRPr="00E846CF" w14:paraId="619FE4D0" w14:textId="77777777" w:rsidTr="00F10F47">
        <w:tc>
          <w:tcPr>
            <w:tcW w:w="1800" w:type="dxa"/>
            <w:tcBorders>
              <w:top w:val="nil"/>
              <w:left w:val="single" w:sz="6" w:space="0" w:color="auto"/>
              <w:bottom w:val="nil"/>
              <w:right w:val="nil"/>
            </w:tcBorders>
            <w:shd w:val="clear" w:color="auto" w:fill="auto"/>
            <w:hideMark/>
          </w:tcPr>
          <w:p w14:paraId="7177D76A"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Rock and Water</w:t>
            </w:r>
            <w:r w:rsidRPr="00E846CF">
              <w:rPr>
                <w:rFonts w:cs="Calibri"/>
                <w:b/>
                <w:bCs/>
                <w:sz w:val="18"/>
                <w:szCs w:val="18"/>
                <w:lang w:eastAsia="en-AU"/>
              </w:rPr>
              <w:t> </w:t>
            </w:r>
          </w:p>
        </w:tc>
        <w:tc>
          <w:tcPr>
            <w:tcW w:w="1800" w:type="dxa"/>
            <w:tcBorders>
              <w:top w:val="nil"/>
              <w:left w:val="nil"/>
              <w:bottom w:val="nil"/>
              <w:right w:val="nil"/>
            </w:tcBorders>
            <w:shd w:val="clear" w:color="auto" w:fill="DEEAF6"/>
            <w:hideMark/>
          </w:tcPr>
          <w:p w14:paraId="1D8FE3CA"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Seasons for Growth </w:t>
            </w:r>
            <w:r w:rsidRPr="00E846CF">
              <w:rPr>
                <w:rFonts w:cs="Calibri"/>
                <w:sz w:val="18"/>
                <w:szCs w:val="18"/>
                <w:lang w:eastAsia="en-AU"/>
              </w:rPr>
              <w:t> </w:t>
            </w:r>
          </w:p>
        </w:tc>
        <w:tc>
          <w:tcPr>
            <w:tcW w:w="1800" w:type="dxa"/>
            <w:tcBorders>
              <w:top w:val="nil"/>
              <w:left w:val="nil"/>
              <w:bottom w:val="nil"/>
              <w:right w:val="nil"/>
            </w:tcBorders>
            <w:shd w:val="clear" w:color="auto" w:fill="auto"/>
            <w:hideMark/>
          </w:tcPr>
          <w:p w14:paraId="34226D9D"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Second Step</w:t>
            </w:r>
            <w:r w:rsidRPr="00E846CF">
              <w:rPr>
                <w:rFonts w:cs="Calibri"/>
                <w:sz w:val="18"/>
                <w:szCs w:val="18"/>
                <w:lang w:eastAsia="en-AU"/>
              </w:rPr>
              <w:t> </w:t>
            </w:r>
          </w:p>
        </w:tc>
        <w:tc>
          <w:tcPr>
            <w:tcW w:w="1800" w:type="dxa"/>
            <w:tcBorders>
              <w:top w:val="nil"/>
              <w:left w:val="nil"/>
              <w:bottom w:val="nil"/>
              <w:right w:val="nil"/>
            </w:tcBorders>
            <w:shd w:val="clear" w:color="auto" w:fill="DEEAF6"/>
            <w:hideMark/>
          </w:tcPr>
          <w:p w14:paraId="27D3E07A"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Secret Agent Society</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auto"/>
            <w:hideMark/>
          </w:tcPr>
          <w:p w14:paraId="065763E4"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Zones of Regulation</w:t>
            </w:r>
            <w:r w:rsidRPr="00E846CF">
              <w:rPr>
                <w:rFonts w:cs="Calibri"/>
                <w:sz w:val="18"/>
                <w:szCs w:val="18"/>
                <w:lang w:eastAsia="en-AU"/>
              </w:rPr>
              <w:t> </w:t>
            </w:r>
          </w:p>
        </w:tc>
      </w:tr>
      <w:tr w:rsidR="00BB3EA3" w:rsidRPr="00E846CF" w14:paraId="110B9CD7" w14:textId="77777777" w:rsidTr="00F10F47">
        <w:tc>
          <w:tcPr>
            <w:tcW w:w="1800" w:type="dxa"/>
            <w:tcBorders>
              <w:top w:val="nil"/>
              <w:left w:val="single" w:sz="6" w:space="0" w:color="auto"/>
              <w:bottom w:val="nil"/>
              <w:right w:val="nil"/>
            </w:tcBorders>
            <w:shd w:val="clear" w:color="auto" w:fill="DEEAF6"/>
            <w:hideMark/>
          </w:tcPr>
          <w:p w14:paraId="4E19E83D"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Wise Wellness Program</w:t>
            </w:r>
            <w:r w:rsidRPr="00E846CF">
              <w:rPr>
                <w:rFonts w:cs="Calibri"/>
                <w:b/>
                <w:bCs/>
                <w:sz w:val="18"/>
                <w:szCs w:val="18"/>
                <w:lang w:eastAsia="en-AU"/>
              </w:rPr>
              <w:t> </w:t>
            </w:r>
          </w:p>
        </w:tc>
        <w:tc>
          <w:tcPr>
            <w:tcW w:w="1800" w:type="dxa"/>
            <w:tcBorders>
              <w:top w:val="nil"/>
              <w:left w:val="nil"/>
              <w:bottom w:val="nil"/>
              <w:right w:val="nil"/>
            </w:tcBorders>
            <w:shd w:val="clear" w:color="auto" w:fill="FFFFFF"/>
            <w:hideMark/>
          </w:tcPr>
          <w:p w14:paraId="52EF3C7C"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You Can Do IT</w:t>
            </w:r>
            <w:r w:rsidRPr="00E846CF">
              <w:rPr>
                <w:rFonts w:cs="Calibri"/>
                <w:sz w:val="18"/>
                <w:szCs w:val="18"/>
                <w:lang w:eastAsia="en-AU"/>
              </w:rPr>
              <w:t> </w:t>
            </w:r>
          </w:p>
        </w:tc>
        <w:tc>
          <w:tcPr>
            <w:tcW w:w="1800" w:type="dxa"/>
            <w:tcBorders>
              <w:top w:val="nil"/>
              <w:left w:val="nil"/>
              <w:bottom w:val="nil"/>
              <w:right w:val="nil"/>
            </w:tcBorders>
            <w:shd w:val="clear" w:color="auto" w:fill="DEEAF6"/>
            <w:hideMark/>
          </w:tcPr>
          <w:p w14:paraId="3EF03019"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Real Talk</w:t>
            </w:r>
            <w:r w:rsidRPr="00E846CF">
              <w:rPr>
                <w:rFonts w:cs="Calibri"/>
                <w:sz w:val="18"/>
                <w:szCs w:val="18"/>
                <w:lang w:eastAsia="en-AU"/>
              </w:rPr>
              <w:t> </w:t>
            </w:r>
          </w:p>
        </w:tc>
        <w:tc>
          <w:tcPr>
            <w:tcW w:w="1800" w:type="dxa"/>
            <w:tcBorders>
              <w:top w:val="nil"/>
              <w:left w:val="nil"/>
              <w:bottom w:val="nil"/>
              <w:right w:val="nil"/>
            </w:tcBorders>
            <w:shd w:val="clear" w:color="auto" w:fill="FFFFFF"/>
            <w:hideMark/>
          </w:tcPr>
          <w:p w14:paraId="1F71FAC3"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Growth Mindset</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DEEAF6"/>
            <w:hideMark/>
          </w:tcPr>
          <w:p w14:paraId="72ADCFD9"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CyberSafety </w:t>
            </w:r>
            <w:r w:rsidRPr="00E846CF">
              <w:rPr>
                <w:rFonts w:cs="Calibri"/>
                <w:sz w:val="18"/>
                <w:szCs w:val="18"/>
                <w:lang w:eastAsia="en-AU"/>
              </w:rPr>
              <w:t> </w:t>
            </w:r>
          </w:p>
        </w:tc>
      </w:tr>
      <w:tr w:rsidR="00BB3EA3" w:rsidRPr="00E846CF" w14:paraId="0C0642F3" w14:textId="77777777" w:rsidTr="00F10F47">
        <w:tc>
          <w:tcPr>
            <w:tcW w:w="1800" w:type="dxa"/>
            <w:tcBorders>
              <w:top w:val="nil"/>
              <w:left w:val="single" w:sz="6" w:space="0" w:color="auto"/>
              <w:bottom w:val="nil"/>
              <w:right w:val="nil"/>
            </w:tcBorders>
            <w:shd w:val="clear" w:color="auto" w:fill="auto"/>
            <w:hideMark/>
          </w:tcPr>
          <w:p w14:paraId="058C91E4"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Elevate</w:t>
            </w:r>
            <w:r w:rsidRPr="00E846CF">
              <w:rPr>
                <w:rFonts w:cs="Calibri"/>
                <w:b/>
                <w:bCs/>
                <w:sz w:val="18"/>
                <w:szCs w:val="18"/>
                <w:lang w:eastAsia="en-AU"/>
              </w:rPr>
              <w:t> </w:t>
            </w:r>
          </w:p>
        </w:tc>
        <w:tc>
          <w:tcPr>
            <w:tcW w:w="1800" w:type="dxa"/>
            <w:tcBorders>
              <w:top w:val="nil"/>
              <w:left w:val="nil"/>
              <w:bottom w:val="nil"/>
              <w:right w:val="nil"/>
            </w:tcBorders>
            <w:shd w:val="clear" w:color="auto" w:fill="DEEAF6"/>
            <w:hideMark/>
          </w:tcPr>
          <w:p w14:paraId="7CC58AA0"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Gambling education</w:t>
            </w:r>
            <w:r w:rsidRPr="00E846CF">
              <w:rPr>
                <w:rFonts w:cs="Calibri"/>
                <w:sz w:val="18"/>
                <w:szCs w:val="18"/>
                <w:lang w:eastAsia="en-AU"/>
              </w:rPr>
              <w:t> </w:t>
            </w:r>
          </w:p>
        </w:tc>
        <w:tc>
          <w:tcPr>
            <w:tcW w:w="1800" w:type="dxa"/>
            <w:tcBorders>
              <w:top w:val="nil"/>
              <w:left w:val="nil"/>
              <w:bottom w:val="nil"/>
              <w:right w:val="nil"/>
            </w:tcBorders>
            <w:shd w:val="clear" w:color="auto" w:fill="auto"/>
            <w:hideMark/>
          </w:tcPr>
          <w:p w14:paraId="4164222C"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End of School safety</w:t>
            </w:r>
            <w:r w:rsidRPr="00E846CF">
              <w:rPr>
                <w:rFonts w:cs="Calibri"/>
                <w:sz w:val="18"/>
                <w:szCs w:val="18"/>
                <w:lang w:eastAsia="en-AU"/>
              </w:rPr>
              <w:t> </w:t>
            </w:r>
          </w:p>
        </w:tc>
        <w:tc>
          <w:tcPr>
            <w:tcW w:w="1800" w:type="dxa"/>
            <w:tcBorders>
              <w:top w:val="nil"/>
              <w:left w:val="nil"/>
              <w:bottom w:val="nil"/>
              <w:right w:val="nil"/>
            </w:tcBorders>
            <w:shd w:val="clear" w:color="auto" w:fill="DEEAF6"/>
            <w:hideMark/>
          </w:tcPr>
          <w:p w14:paraId="397FCA2D"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‘socially speaking’ board games</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auto"/>
            <w:hideMark/>
          </w:tcPr>
          <w:p w14:paraId="767BF22B"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Perceptual Motor Program</w:t>
            </w:r>
            <w:r w:rsidRPr="00E846CF">
              <w:rPr>
                <w:rFonts w:cs="Calibri"/>
                <w:sz w:val="18"/>
                <w:szCs w:val="18"/>
                <w:lang w:eastAsia="en-AU"/>
              </w:rPr>
              <w:t> </w:t>
            </w:r>
          </w:p>
        </w:tc>
      </w:tr>
      <w:tr w:rsidR="00BB3EA3" w:rsidRPr="00E846CF" w14:paraId="05297F7B" w14:textId="77777777" w:rsidTr="00F10F47">
        <w:tc>
          <w:tcPr>
            <w:tcW w:w="1800" w:type="dxa"/>
            <w:tcBorders>
              <w:top w:val="nil"/>
              <w:left w:val="single" w:sz="6" w:space="0" w:color="auto"/>
              <w:bottom w:val="nil"/>
              <w:right w:val="nil"/>
            </w:tcBorders>
            <w:shd w:val="clear" w:color="auto" w:fill="DEEAF6"/>
            <w:hideMark/>
          </w:tcPr>
          <w:p w14:paraId="67432A55"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Building Resiliency in Young People</w:t>
            </w:r>
            <w:r w:rsidRPr="00E846CF">
              <w:rPr>
                <w:rFonts w:cs="Calibri"/>
                <w:b/>
                <w:bCs/>
                <w:sz w:val="18"/>
                <w:szCs w:val="18"/>
                <w:lang w:eastAsia="en-AU"/>
              </w:rPr>
              <w:t> </w:t>
            </w:r>
          </w:p>
        </w:tc>
        <w:tc>
          <w:tcPr>
            <w:tcW w:w="1800" w:type="dxa"/>
            <w:tcBorders>
              <w:top w:val="nil"/>
              <w:left w:val="nil"/>
              <w:bottom w:val="nil"/>
              <w:right w:val="nil"/>
            </w:tcBorders>
            <w:shd w:val="clear" w:color="auto" w:fill="FFFFFF"/>
            <w:hideMark/>
          </w:tcPr>
          <w:p w14:paraId="16BBF8B7"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Beyond Blue’s Sensibility Program </w:t>
            </w:r>
            <w:r w:rsidRPr="00E846CF">
              <w:rPr>
                <w:rFonts w:cs="Calibri"/>
                <w:sz w:val="18"/>
                <w:szCs w:val="18"/>
                <w:lang w:eastAsia="en-AU"/>
              </w:rPr>
              <w:t> </w:t>
            </w:r>
          </w:p>
        </w:tc>
        <w:tc>
          <w:tcPr>
            <w:tcW w:w="1800" w:type="dxa"/>
            <w:tcBorders>
              <w:top w:val="nil"/>
              <w:left w:val="nil"/>
              <w:bottom w:val="nil"/>
              <w:right w:val="nil"/>
            </w:tcBorders>
            <w:shd w:val="clear" w:color="auto" w:fill="DEEAF6"/>
            <w:hideMark/>
          </w:tcPr>
          <w:p w14:paraId="4441454B"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RISE UP</w:t>
            </w:r>
            <w:r w:rsidRPr="00E846CF">
              <w:rPr>
                <w:rFonts w:cs="Calibri"/>
                <w:sz w:val="18"/>
                <w:szCs w:val="18"/>
                <w:lang w:eastAsia="en-AU"/>
              </w:rPr>
              <w:t> </w:t>
            </w:r>
          </w:p>
        </w:tc>
        <w:tc>
          <w:tcPr>
            <w:tcW w:w="1800" w:type="dxa"/>
            <w:tcBorders>
              <w:top w:val="nil"/>
              <w:left w:val="nil"/>
              <w:bottom w:val="nil"/>
              <w:right w:val="nil"/>
            </w:tcBorders>
            <w:shd w:val="clear" w:color="auto" w:fill="FFFFFF"/>
            <w:hideMark/>
          </w:tcPr>
          <w:p w14:paraId="170C2CA9"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Fun Friends and Friends for Life</w:t>
            </w:r>
            <w:r w:rsidRPr="00E846CF">
              <w:rPr>
                <w:rFonts w:cs="Calibri"/>
                <w:sz w:val="18"/>
                <w:szCs w:val="18"/>
                <w:lang w:eastAsia="en-AU"/>
              </w:rPr>
              <w:t> </w:t>
            </w:r>
          </w:p>
        </w:tc>
        <w:tc>
          <w:tcPr>
            <w:tcW w:w="1800" w:type="dxa"/>
            <w:tcBorders>
              <w:top w:val="nil"/>
              <w:left w:val="nil"/>
              <w:bottom w:val="nil"/>
              <w:right w:val="single" w:sz="6" w:space="0" w:color="auto"/>
            </w:tcBorders>
            <w:shd w:val="clear" w:color="auto" w:fill="DEEAF6"/>
            <w:hideMark/>
          </w:tcPr>
          <w:p w14:paraId="4919FDC6"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Mind Up</w:t>
            </w:r>
            <w:r w:rsidRPr="00E846CF">
              <w:rPr>
                <w:rFonts w:cs="Calibri"/>
                <w:sz w:val="18"/>
                <w:szCs w:val="18"/>
                <w:lang w:eastAsia="en-AU"/>
              </w:rPr>
              <w:t> </w:t>
            </w:r>
          </w:p>
        </w:tc>
      </w:tr>
      <w:tr w:rsidR="00BB3EA3" w:rsidRPr="00E846CF" w14:paraId="164B4C01" w14:textId="77777777" w:rsidTr="00DF1208">
        <w:tc>
          <w:tcPr>
            <w:tcW w:w="1800" w:type="dxa"/>
            <w:tcBorders>
              <w:top w:val="nil"/>
              <w:left w:val="single" w:sz="6" w:space="0" w:color="auto"/>
              <w:bottom w:val="nil"/>
              <w:right w:val="nil"/>
            </w:tcBorders>
            <w:shd w:val="clear" w:color="auto" w:fill="auto"/>
            <w:hideMark/>
          </w:tcPr>
          <w:p w14:paraId="240C5067" w14:textId="77777777" w:rsidR="00BB3EA3" w:rsidRPr="00E846CF" w:rsidRDefault="00BB3EA3" w:rsidP="00F10F47">
            <w:pPr>
              <w:spacing w:line="240" w:lineRule="auto"/>
              <w:textAlignment w:val="baseline"/>
              <w:rPr>
                <w:rFonts w:ascii="Times New Roman" w:hAnsi="Times New Roman"/>
                <w:b/>
                <w:bCs/>
                <w:sz w:val="24"/>
                <w:szCs w:val="24"/>
                <w:lang w:eastAsia="en-AU"/>
              </w:rPr>
            </w:pPr>
            <w:r w:rsidRPr="00E846CF">
              <w:rPr>
                <w:rFonts w:cs="Calibri"/>
                <w:sz w:val="18"/>
                <w:szCs w:val="18"/>
                <w:lang w:val="en-GB" w:eastAsia="en-AU"/>
              </w:rPr>
              <w:t>The Brave Program </w:t>
            </w:r>
            <w:r w:rsidRPr="00E846CF">
              <w:rPr>
                <w:rFonts w:cs="Calibri"/>
                <w:b/>
                <w:bCs/>
                <w:sz w:val="18"/>
                <w:szCs w:val="18"/>
                <w:lang w:eastAsia="en-AU"/>
              </w:rPr>
              <w:t> </w:t>
            </w:r>
          </w:p>
        </w:tc>
        <w:tc>
          <w:tcPr>
            <w:tcW w:w="1800" w:type="dxa"/>
            <w:tcBorders>
              <w:top w:val="nil"/>
              <w:left w:val="nil"/>
              <w:bottom w:val="nil"/>
              <w:right w:val="nil"/>
            </w:tcBorders>
            <w:shd w:val="clear" w:color="auto" w:fill="DEEAF6"/>
            <w:hideMark/>
          </w:tcPr>
          <w:p w14:paraId="0775342C" w14:textId="77777777"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val="en-GB" w:eastAsia="en-AU"/>
              </w:rPr>
              <w:t>Healthy Minds</w:t>
            </w:r>
            <w:r w:rsidRPr="00E846CF">
              <w:rPr>
                <w:rFonts w:cs="Calibri"/>
                <w:sz w:val="18"/>
                <w:szCs w:val="18"/>
                <w:lang w:eastAsia="en-AU"/>
              </w:rPr>
              <w:t> </w:t>
            </w:r>
          </w:p>
        </w:tc>
        <w:tc>
          <w:tcPr>
            <w:tcW w:w="1800" w:type="dxa"/>
            <w:tcBorders>
              <w:top w:val="nil"/>
              <w:left w:val="nil"/>
              <w:bottom w:val="nil"/>
              <w:right w:val="nil"/>
            </w:tcBorders>
            <w:shd w:val="clear" w:color="auto" w:fill="auto"/>
            <w:hideMark/>
          </w:tcPr>
          <w:p w14:paraId="365F2AAA" w14:textId="3AE4D5DF"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eastAsia="en-AU"/>
              </w:rPr>
              <w:t> </w:t>
            </w:r>
            <w:r w:rsidR="00C36CBA">
              <w:rPr>
                <w:rFonts w:cs="Calibri"/>
                <w:sz w:val="18"/>
                <w:szCs w:val="18"/>
                <w:lang w:eastAsia="en-AU"/>
              </w:rPr>
              <w:t>The resiliency project</w:t>
            </w:r>
          </w:p>
        </w:tc>
        <w:tc>
          <w:tcPr>
            <w:tcW w:w="1800" w:type="dxa"/>
            <w:tcBorders>
              <w:top w:val="nil"/>
              <w:left w:val="nil"/>
              <w:bottom w:val="nil"/>
              <w:right w:val="nil"/>
            </w:tcBorders>
            <w:shd w:val="clear" w:color="auto" w:fill="DEEAF6"/>
            <w:hideMark/>
          </w:tcPr>
          <w:p w14:paraId="7BF49BD0" w14:textId="18B94FC7" w:rsidR="00BB3EA3" w:rsidRPr="00E846CF" w:rsidRDefault="00DD4A5B" w:rsidP="00F10F47">
            <w:pPr>
              <w:spacing w:line="240" w:lineRule="auto"/>
              <w:textAlignment w:val="baseline"/>
              <w:rPr>
                <w:rFonts w:ascii="Times New Roman" w:hAnsi="Times New Roman"/>
                <w:sz w:val="24"/>
                <w:szCs w:val="24"/>
                <w:lang w:eastAsia="en-AU"/>
              </w:rPr>
            </w:pPr>
            <w:r>
              <w:rPr>
                <w:rFonts w:cs="Calibri"/>
                <w:sz w:val="18"/>
                <w:szCs w:val="18"/>
                <w:lang w:eastAsia="en-AU"/>
              </w:rPr>
              <w:t>Love bites</w:t>
            </w:r>
            <w:r w:rsidR="00BB3EA3" w:rsidRPr="00E846CF">
              <w:rPr>
                <w:rFonts w:cs="Calibri"/>
                <w:sz w:val="18"/>
                <w:szCs w:val="18"/>
                <w:lang w:eastAsia="en-AU"/>
              </w:rPr>
              <w:t> </w:t>
            </w:r>
            <w:r>
              <w:rPr>
                <w:rFonts w:cs="Calibri"/>
                <w:sz w:val="18"/>
                <w:szCs w:val="18"/>
                <w:lang w:eastAsia="en-AU"/>
              </w:rPr>
              <w:t>Triple P</w:t>
            </w:r>
          </w:p>
        </w:tc>
        <w:tc>
          <w:tcPr>
            <w:tcW w:w="1800" w:type="dxa"/>
            <w:tcBorders>
              <w:top w:val="nil"/>
              <w:left w:val="nil"/>
              <w:bottom w:val="nil"/>
              <w:right w:val="single" w:sz="6" w:space="0" w:color="auto"/>
            </w:tcBorders>
            <w:shd w:val="clear" w:color="auto" w:fill="auto"/>
            <w:hideMark/>
          </w:tcPr>
          <w:p w14:paraId="720A7584" w14:textId="60B40C22" w:rsidR="00BB3EA3" w:rsidRPr="00E846CF" w:rsidRDefault="00BB3EA3" w:rsidP="00F10F47">
            <w:pPr>
              <w:spacing w:line="240" w:lineRule="auto"/>
              <w:textAlignment w:val="baseline"/>
              <w:rPr>
                <w:rFonts w:ascii="Times New Roman" w:hAnsi="Times New Roman"/>
                <w:sz w:val="24"/>
                <w:szCs w:val="24"/>
                <w:lang w:eastAsia="en-AU"/>
              </w:rPr>
            </w:pPr>
            <w:r w:rsidRPr="00E846CF">
              <w:rPr>
                <w:rFonts w:cs="Calibri"/>
                <w:sz w:val="18"/>
                <w:szCs w:val="18"/>
                <w:lang w:eastAsia="en-AU"/>
              </w:rPr>
              <w:t> </w:t>
            </w:r>
            <w:r w:rsidR="00937FEB">
              <w:rPr>
                <w:rFonts w:cs="Calibri"/>
                <w:sz w:val="18"/>
                <w:szCs w:val="18"/>
                <w:lang w:eastAsia="en-AU"/>
              </w:rPr>
              <w:t>Headstrong</w:t>
            </w:r>
          </w:p>
        </w:tc>
      </w:tr>
      <w:tr w:rsidR="00DF1208" w:rsidRPr="00E846CF" w14:paraId="3005237C" w14:textId="77777777" w:rsidTr="00DF1208">
        <w:tc>
          <w:tcPr>
            <w:tcW w:w="1800" w:type="dxa"/>
            <w:tcBorders>
              <w:top w:val="nil"/>
              <w:left w:val="single" w:sz="6" w:space="0" w:color="auto"/>
              <w:bottom w:val="single" w:sz="6" w:space="0" w:color="auto"/>
              <w:right w:val="nil"/>
            </w:tcBorders>
            <w:shd w:val="clear" w:color="auto" w:fill="DBE5F1" w:themeFill="accent1" w:themeFillTint="33"/>
          </w:tcPr>
          <w:p w14:paraId="75C2F733" w14:textId="287CAC1A" w:rsidR="00DF1208" w:rsidRPr="00E846CF" w:rsidRDefault="00937FEB" w:rsidP="00F10F47">
            <w:pPr>
              <w:spacing w:line="240" w:lineRule="auto"/>
              <w:textAlignment w:val="baseline"/>
              <w:rPr>
                <w:rFonts w:cs="Calibri"/>
                <w:sz w:val="18"/>
                <w:szCs w:val="18"/>
                <w:lang w:val="en-GB" w:eastAsia="en-AU"/>
              </w:rPr>
            </w:pPr>
            <w:r>
              <w:rPr>
                <w:rFonts w:cs="Calibri"/>
                <w:sz w:val="18"/>
                <w:szCs w:val="18"/>
                <w:lang w:val="en-GB" w:eastAsia="en-AU"/>
              </w:rPr>
              <w:t xml:space="preserve">Take action </w:t>
            </w:r>
          </w:p>
        </w:tc>
        <w:tc>
          <w:tcPr>
            <w:tcW w:w="1800" w:type="dxa"/>
            <w:tcBorders>
              <w:top w:val="nil"/>
              <w:left w:val="nil"/>
              <w:bottom w:val="single" w:sz="6" w:space="0" w:color="auto"/>
              <w:right w:val="nil"/>
            </w:tcBorders>
            <w:shd w:val="clear" w:color="auto" w:fill="auto"/>
          </w:tcPr>
          <w:p w14:paraId="53925457" w14:textId="19F21AFC" w:rsidR="00DF1208" w:rsidRPr="00E846CF" w:rsidRDefault="00937FEB" w:rsidP="00F10F47">
            <w:pPr>
              <w:spacing w:line="240" w:lineRule="auto"/>
              <w:textAlignment w:val="baseline"/>
              <w:rPr>
                <w:rFonts w:cs="Calibri"/>
                <w:sz w:val="18"/>
                <w:szCs w:val="18"/>
                <w:lang w:val="en-GB" w:eastAsia="en-AU"/>
              </w:rPr>
            </w:pPr>
            <w:r>
              <w:rPr>
                <w:rFonts w:cs="Calibri"/>
                <w:sz w:val="18"/>
                <w:szCs w:val="18"/>
                <w:lang w:val="en-GB" w:eastAsia="en-AU"/>
              </w:rPr>
              <w:t xml:space="preserve">Emotional literacy </w:t>
            </w:r>
            <w:r w:rsidR="00047831">
              <w:rPr>
                <w:rFonts w:cs="Calibri"/>
                <w:sz w:val="18"/>
                <w:szCs w:val="18"/>
                <w:lang w:val="en-GB" w:eastAsia="en-AU"/>
              </w:rPr>
              <w:t>progam</w:t>
            </w:r>
          </w:p>
        </w:tc>
        <w:tc>
          <w:tcPr>
            <w:tcW w:w="1800" w:type="dxa"/>
            <w:tcBorders>
              <w:top w:val="nil"/>
              <w:left w:val="nil"/>
              <w:bottom w:val="single" w:sz="6" w:space="0" w:color="auto"/>
              <w:right w:val="nil"/>
            </w:tcBorders>
            <w:shd w:val="clear" w:color="auto" w:fill="DBE5F1" w:themeFill="accent1" w:themeFillTint="33"/>
          </w:tcPr>
          <w:p w14:paraId="2FBA6E57" w14:textId="65DBEB48" w:rsidR="00DF1208" w:rsidRPr="00E846CF" w:rsidRDefault="00047831" w:rsidP="00F10F47">
            <w:pPr>
              <w:spacing w:line="240" w:lineRule="auto"/>
              <w:textAlignment w:val="baseline"/>
              <w:rPr>
                <w:rFonts w:cs="Calibri"/>
                <w:sz w:val="18"/>
                <w:szCs w:val="18"/>
                <w:lang w:eastAsia="en-AU"/>
              </w:rPr>
            </w:pPr>
            <w:r>
              <w:rPr>
                <w:rFonts w:cs="Calibri"/>
                <w:sz w:val="18"/>
                <w:szCs w:val="18"/>
                <w:lang w:eastAsia="en-AU"/>
              </w:rPr>
              <w:t>Drum Beat</w:t>
            </w:r>
          </w:p>
        </w:tc>
        <w:tc>
          <w:tcPr>
            <w:tcW w:w="1800" w:type="dxa"/>
            <w:tcBorders>
              <w:top w:val="nil"/>
              <w:left w:val="nil"/>
              <w:bottom w:val="single" w:sz="6" w:space="0" w:color="auto"/>
              <w:right w:val="nil"/>
            </w:tcBorders>
            <w:shd w:val="clear" w:color="auto" w:fill="auto"/>
          </w:tcPr>
          <w:p w14:paraId="1E27C631" w14:textId="73754712" w:rsidR="00DF1208" w:rsidRDefault="00047831" w:rsidP="00F10F47">
            <w:pPr>
              <w:spacing w:line="240" w:lineRule="auto"/>
              <w:textAlignment w:val="baseline"/>
              <w:rPr>
                <w:rFonts w:cs="Calibri"/>
                <w:sz w:val="18"/>
                <w:szCs w:val="18"/>
                <w:lang w:eastAsia="en-AU"/>
              </w:rPr>
            </w:pPr>
            <w:r>
              <w:rPr>
                <w:rFonts w:cs="Calibri"/>
                <w:sz w:val="18"/>
                <w:szCs w:val="18"/>
                <w:lang w:eastAsia="en-AU"/>
              </w:rPr>
              <w:t xml:space="preserve">Heart Masters </w:t>
            </w:r>
          </w:p>
        </w:tc>
        <w:tc>
          <w:tcPr>
            <w:tcW w:w="1800" w:type="dxa"/>
            <w:tcBorders>
              <w:top w:val="nil"/>
              <w:left w:val="nil"/>
              <w:bottom w:val="single" w:sz="6" w:space="0" w:color="auto"/>
              <w:right w:val="single" w:sz="6" w:space="0" w:color="auto"/>
            </w:tcBorders>
            <w:shd w:val="clear" w:color="auto" w:fill="DBE5F1" w:themeFill="accent1" w:themeFillTint="33"/>
          </w:tcPr>
          <w:p w14:paraId="76EAFD52" w14:textId="66EAEC59" w:rsidR="00DF1208" w:rsidRPr="00E846CF" w:rsidRDefault="00047831" w:rsidP="00F10F47">
            <w:pPr>
              <w:spacing w:line="240" w:lineRule="auto"/>
              <w:textAlignment w:val="baseline"/>
              <w:rPr>
                <w:rFonts w:cs="Calibri"/>
                <w:sz w:val="18"/>
                <w:szCs w:val="18"/>
                <w:lang w:eastAsia="en-AU"/>
              </w:rPr>
            </w:pPr>
            <w:r>
              <w:rPr>
                <w:rFonts w:cs="Calibri"/>
                <w:sz w:val="18"/>
                <w:szCs w:val="18"/>
                <w:lang w:eastAsia="en-AU"/>
              </w:rPr>
              <w:t>Passport pro</w:t>
            </w:r>
            <w:r w:rsidR="00207AEC">
              <w:rPr>
                <w:rFonts w:cs="Calibri"/>
                <w:sz w:val="18"/>
                <w:szCs w:val="18"/>
                <w:lang w:eastAsia="en-AU"/>
              </w:rPr>
              <w:t>gram</w:t>
            </w:r>
          </w:p>
        </w:tc>
      </w:tr>
    </w:tbl>
    <w:p w14:paraId="61AF905D" w14:textId="77777777" w:rsidR="00BB3EA3" w:rsidRDefault="00BB3EA3" w:rsidP="00BB3EA3">
      <w:pPr>
        <w:spacing w:line="257" w:lineRule="auto"/>
        <w:rPr>
          <w:rStyle w:val="eop"/>
          <w:rFonts w:cs="Calibri"/>
          <w:color w:val="000000"/>
          <w:shd w:val="clear" w:color="auto" w:fill="FFFFFF"/>
        </w:rPr>
      </w:pPr>
    </w:p>
    <w:p w14:paraId="3A342F99" w14:textId="77777777" w:rsidR="001C219A" w:rsidRPr="00E856CD" w:rsidRDefault="001C219A" w:rsidP="00710A2E">
      <w:pPr>
        <w:spacing w:line="360" w:lineRule="auto"/>
        <w:rPr>
          <w:rFonts w:eastAsia="Calibri" w:cs="Calibri"/>
          <w:b/>
          <w:bCs/>
        </w:rPr>
      </w:pPr>
      <w:r>
        <w:rPr>
          <w:rFonts w:eastAsia="Calibri" w:cs="Calibri"/>
          <w:b/>
          <w:bCs/>
        </w:rPr>
        <w:t>Proposed School Wellbeing Leaders (d</w:t>
      </w:r>
      <w:r w:rsidRPr="00E856CD">
        <w:rPr>
          <w:rFonts w:eastAsia="Calibri" w:cs="Calibri"/>
          <w:b/>
          <w:bCs/>
        </w:rPr>
        <w:t>raft recommendation 17.5</w:t>
      </w:r>
      <w:r>
        <w:rPr>
          <w:rFonts w:eastAsia="Calibri" w:cs="Calibri"/>
          <w:b/>
          <w:bCs/>
        </w:rPr>
        <w:t>)</w:t>
      </w:r>
    </w:p>
    <w:p w14:paraId="7F12D8D8" w14:textId="661E678B" w:rsidR="001C219A" w:rsidRDefault="001C219A" w:rsidP="00BC69EE">
      <w:pPr>
        <w:rPr>
          <w:rFonts w:eastAsia="Calibri"/>
        </w:rPr>
      </w:pPr>
      <w:r>
        <w:rPr>
          <w:rFonts w:eastAsia="Calibri"/>
        </w:rPr>
        <w:t xml:space="preserve">QCEC understands that the Productivity Commission sees the role of the School Wellbeing Leaders as </w:t>
      </w:r>
    </w:p>
    <w:p w14:paraId="1115D5A0" w14:textId="77777777" w:rsidR="001C219A" w:rsidRDefault="001C219A" w:rsidP="001C219A">
      <w:pPr>
        <w:pStyle w:val="ListParagraph"/>
        <w:numPr>
          <w:ilvl w:val="0"/>
          <w:numId w:val="20"/>
        </w:numPr>
        <w:spacing w:after="160" w:line="259" w:lineRule="auto"/>
      </w:pPr>
      <w:r>
        <w:t>coordinating the work of the school wellbeing team.</w:t>
      </w:r>
    </w:p>
    <w:p w14:paraId="0DB1180C" w14:textId="77777777" w:rsidR="001C219A" w:rsidRDefault="001C219A" w:rsidP="001C219A">
      <w:pPr>
        <w:pStyle w:val="ListParagraph"/>
        <w:numPr>
          <w:ilvl w:val="0"/>
          <w:numId w:val="20"/>
        </w:numPr>
        <w:spacing w:after="160" w:line="259" w:lineRule="auto"/>
      </w:pPr>
      <w:r>
        <w:t>establishing the needs of the school community and find suitable funding</w:t>
      </w:r>
    </w:p>
    <w:p w14:paraId="5DF42B52" w14:textId="63B477E8" w:rsidR="001C219A" w:rsidRDefault="001C219A" w:rsidP="001C219A">
      <w:pPr>
        <w:pStyle w:val="ListParagraph"/>
        <w:numPr>
          <w:ilvl w:val="0"/>
          <w:numId w:val="20"/>
        </w:numPr>
        <w:spacing w:after="160" w:line="259" w:lineRule="auto"/>
      </w:pPr>
      <w:r>
        <w:t xml:space="preserve">acting as the first point of contact for teachers concerned about students’ mental health and wellbeing, and supporting students in accessing services, </w:t>
      </w:r>
      <w:r w:rsidRPr="008B0FA2">
        <w:t>both within and outside</w:t>
      </w:r>
      <w:r>
        <w:t xml:space="preserve"> of the school </w:t>
      </w:r>
    </w:p>
    <w:p w14:paraId="7B2ED402" w14:textId="77777777" w:rsidR="001C219A" w:rsidRDefault="001C219A" w:rsidP="001C219A">
      <w:pPr>
        <w:pStyle w:val="ListParagraph"/>
        <w:numPr>
          <w:ilvl w:val="0"/>
          <w:numId w:val="20"/>
        </w:numPr>
        <w:spacing w:after="160" w:line="259" w:lineRule="auto"/>
      </w:pPr>
      <w:r>
        <w:t xml:space="preserve">ensuring plans to support students with mental illness are implemented, and there is appropriate consultation with their family and mental healthcare providers </w:t>
      </w:r>
    </w:p>
    <w:p w14:paraId="4E884E28" w14:textId="77777777" w:rsidR="001C219A" w:rsidRDefault="001C219A" w:rsidP="001C219A">
      <w:pPr>
        <w:pStyle w:val="ListParagraph"/>
        <w:numPr>
          <w:ilvl w:val="0"/>
          <w:numId w:val="20"/>
        </w:numPr>
        <w:spacing w:after="160" w:line="259" w:lineRule="auto"/>
      </w:pPr>
      <w:r>
        <w:t xml:space="preserve">overseeing the implementation of whole-of-school wellbeing programs </w:t>
      </w:r>
    </w:p>
    <w:p w14:paraId="5E2B3111" w14:textId="0A652A8F" w:rsidR="001C219A" w:rsidRDefault="001C219A" w:rsidP="001C219A">
      <w:pPr>
        <w:pStyle w:val="ListParagraph"/>
        <w:numPr>
          <w:ilvl w:val="0"/>
          <w:numId w:val="20"/>
        </w:numPr>
        <w:spacing w:after="160" w:line="259" w:lineRule="auto"/>
      </w:pPr>
      <w:r>
        <w:t>developing and maintaining referral pathways to local community services.</w:t>
      </w:r>
    </w:p>
    <w:p w14:paraId="3A063F87" w14:textId="2A625D52" w:rsidR="001C219A" w:rsidRDefault="001C219A" w:rsidP="00BC69EE">
      <w:r>
        <w:t xml:space="preserve">The draft report notes that School Wellbeing Leaders should </w:t>
      </w:r>
      <w:r w:rsidRPr="000A107C">
        <w:t>be part of the leadership team and should have minimal (if any) classroom duties. As</w:t>
      </w:r>
      <w:r w:rsidRPr="000A107C" w:rsidDel="005B6FE7">
        <w:t xml:space="preserve"> </w:t>
      </w:r>
      <w:r w:rsidR="005B6FE7">
        <w:t>the proposed</w:t>
      </w:r>
      <w:r w:rsidR="005B6FE7" w:rsidRPr="000A107C">
        <w:t xml:space="preserve"> </w:t>
      </w:r>
      <w:r w:rsidRPr="000A107C">
        <w:t xml:space="preserve">role will </w:t>
      </w:r>
      <w:r w:rsidRPr="000A107C">
        <w:rPr>
          <w:color w:val="000000" w:themeColor="text1"/>
        </w:rPr>
        <w:t xml:space="preserve">not involve counselling individual students, </w:t>
      </w:r>
      <w:r w:rsidR="005B6FE7">
        <w:rPr>
          <w:color w:val="000000" w:themeColor="text1"/>
        </w:rPr>
        <w:t xml:space="preserve">it is argued </w:t>
      </w:r>
      <w:r w:rsidR="00E16D13">
        <w:rPr>
          <w:color w:val="000000" w:themeColor="text1"/>
        </w:rPr>
        <w:t xml:space="preserve">in the report </w:t>
      </w:r>
      <w:r w:rsidR="005B6FE7">
        <w:rPr>
          <w:color w:val="000000" w:themeColor="text1"/>
        </w:rPr>
        <w:t xml:space="preserve">that </w:t>
      </w:r>
      <w:r w:rsidRPr="000A107C">
        <w:rPr>
          <w:color w:val="000000" w:themeColor="text1"/>
        </w:rPr>
        <w:t>t</w:t>
      </w:r>
      <w:r w:rsidRPr="000A107C">
        <w:t>hey do not need to hold psychology qualifications</w:t>
      </w:r>
      <w:r w:rsidR="00C537F6">
        <w:t>, however,</w:t>
      </w:r>
      <w:r w:rsidRPr="000A107C">
        <w:rPr>
          <w:color w:val="000000" w:themeColor="text1"/>
        </w:rPr>
        <w:t xml:space="preserve"> </w:t>
      </w:r>
      <w:r w:rsidRPr="000A107C">
        <w:t>they need</w:t>
      </w:r>
      <w:r>
        <w:t xml:space="preserve"> to have substantial knowledge of child social and emotional development and mental health. Additionally, the report notes that a teaching background is essential for School Wellbeing Leaders and that in school communities with a substantial proportion of Aboriginal and Torres Strait Islander or culturally and linguistically diverse families, School Wellbeing Leaders will require relevant cultural capability. </w:t>
      </w:r>
      <w:r w:rsidR="00DF1CB9">
        <w:t>There is little accompanying evidence to support the proposal</w:t>
      </w:r>
      <w:r w:rsidR="00EB4449">
        <w:t>s that the School Wellbeing Leader be a member of the leadership team and</w:t>
      </w:r>
      <w:r w:rsidR="00886ABD">
        <w:t>, additionally,</w:t>
      </w:r>
      <w:r w:rsidR="00EB4449">
        <w:t xml:space="preserve"> </w:t>
      </w:r>
      <w:r w:rsidR="00886ABD">
        <w:t>have a teaching background.</w:t>
      </w:r>
    </w:p>
    <w:p w14:paraId="1DBB77DA" w14:textId="77777777" w:rsidR="000A107C" w:rsidRDefault="000A107C" w:rsidP="00BC69EE"/>
    <w:p w14:paraId="1CBFFC88" w14:textId="02F14380" w:rsidR="001C219A" w:rsidRDefault="001C219A" w:rsidP="00BC69EE">
      <w:r>
        <w:t xml:space="preserve">QCEC agrees that student wellbeing is a </w:t>
      </w:r>
      <w:r w:rsidR="00196A55">
        <w:t>critical</w:t>
      </w:r>
      <w:r>
        <w:t xml:space="preserve"> priority in all schools but </w:t>
      </w:r>
      <w:r w:rsidR="00C81885">
        <w:t xml:space="preserve">wishes to </w:t>
      </w:r>
      <w:r>
        <w:t xml:space="preserve">note </w:t>
      </w:r>
      <w:r w:rsidR="00C81885">
        <w:t xml:space="preserve">a number of </w:t>
      </w:r>
      <w:r>
        <w:t>concern</w:t>
      </w:r>
      <w:r w:rsidR="00C81885">
        <w:t>s</w:t>
      </w:r>
      <w:r>
        <w:t xml:space="preserve"> and questions regarding recommendation 17.5 of the draft report. We outline our concerns and queries below but request that the Australian Government further consult with the school sector in exploring this recommendation and its implications </w:t>
      </w:r>
      <w:r w:rsidR="001C4528">
        <w:t>for</w:t>
      </w:r>
      <w:r>
        <w:t xml:space="preserve"> stakeholders. </w:t>
      </w:r>
    </w:p>
    <w:p w14:paraId="525C3D81" w14:textId="0C7ACD05" w:rsidR="00D436DD" w:rsidRDefault="00D436DD" w:rsidP="00BC69EE"/>
    <w:p w14:paraId="5E17DD88" w14:textId="29D20CAB" w:rsidR="00DD3449" w:rsidRDefault="001C219A" w:rsidP="00BC69EE">
      <w:r>
        <w:t xml:space="preserve">QCEC </w:t>
      </w:r>
      <w:r w:rsidR="008D1A97">
        <w:t>is concerned with how the Productivity C</w:t>
      </w:r>
      <w:r w:rsidR="00826990">
        <w:t>om</w:t>
      </w:r>
      <w:r w:rsidR="008D1A97">
        <w:t xml:space="preserve">mission defines the role of School Wellbeing Leaders. For example, </w:t>
      </w:r>
      <w:r w:rsidR="00826990">
        <w:t xml:space="preserve">it may be unrealistic in large schools for School Wellbeing Leaders to be the first point of contact for </w:t>
      </w:r>
      <w:r w:rsidR="00237032">
        <w:t xml:space="preserve">all </w:t>
      </w:r>
      <w:r w:rsidR="00826990">
        <w:t xml:space="preserve">teachers. Further, QCEC </w:t>
      </w:r>
      <w:r w:rsidR="004E7F0F">
        <w:t>questions if the requirement for minimal classroom duties is realistic in small schools.</w:t>
      </w:r>
      <w:r w:rsidR="00E94CBF">
        <w:t xml:space="preserve"> </w:t>
      </w:r>
    </w:p>
    <w:p w14:paraId="23689AC0" w14:textId="77777777" w:rsidR="00F81C4C" w:rsidRDefault="00F81C4C" w:rsidP="001C219A"/>
    <w:p w14:paraId="0C47A2C2" w14:textId="171C9325" w:rsidR="001C219A" w:rsidRDefault="001C219A" w:rsidP="001C219A">
      <w:r>
        <w:lastRenderedPageBreak/>
        <w:t>QCEC</w:t>
      </w:r>
      <w:r w:rsidDel="00FF658D">
        <w:t xml:space="preserve"> </w:t>
      </w:r>
      <w:r w:rsidR="00FF658D">
        <w:t xml:space="preserve">observes </w:t>
      </w:r>
      <w:r>
        <w:t xml:space="preserve">that in most (if not all) </w:t>
      </w:r>
      <w:r w:rsidR="00D436DD">
        <w:t xml:space="preserve">Catholic </w:t>
      </w:r>
      <w:r>
        <w:t>schools</w:t>
      </w:r>
      <w:r w:rsidR="00D436DD">
        <w:t xml:space="preserve"> in Queensland</w:t>
      </w:r>
      <w:r w:rsidR="00FF658D">
        <w:t>,</w:t>
      </w:r>
      <w:r>
        <w:t xml:space="preserve"> School Wellbeing Leaders as defined in the draft report would be a </w:t>
      </w:r>
      <w:r w:rsidRPr="00C5718B">
        <w:t>new</w:t>
      </w:r>
      <w:r>
        <w:t xml:space="preserve"> role quite distinct from the positions currently </w:t>
      </w:r>
      <w:r w:rsidR="009428D6">
        <w:t>in place at</w:t>
      </w:r>
      <w:r>
        <w:t xml:space="preserve"> Catholic schools in Queensland.</w:t>
      </w:r>
    </w:p>
    <w:p w14:paraId="5E73980D" w14:textId="77777777" w:rsidR="006E59D3" w:rsidRDefault="006E59D3" w:rsidP="001C219A"/>
    <w:p w14:paraId="333BAC8B" w14:textId="139D03E4" w:rsidR="001C219A" w:rsidRPr="006E59D3" w:rsidRDefault="001C219A" w:rsidP="001C219A">
      <w:r w:rsidRPr="006E59D3">
        <w:t>Catholic School Authorities advise that current role holders in Catholic schools with a focus on mental health and wellbeing include:</w:t>
      </w:r>
    </w:p>
    <w:p w14:paraId="09AAFB27" w14:textId="77777777" w:rsidR="006E59D3" w:rsidRDefault="006E59D3" w:rsidP="001C219A">
      <w:pPr>
        <w:rPr>
          <w:i/>
          <w:iCs/>
        </w:rPr>
      </w:pPr>
    </w:p>
    <w:p w14:paraId="13570F97" w14:textId="77777777" w:rsidR="001C219A" w:rsidRPr="006E59D3" w:rsidRDefault="001C219A" w:rsidP="006E59D3">
      <w:pPr>
        <w:pStyle w:val="ListParagraph"/>
        <w:numPr>
          <w:ilvl w:val="0"/>
          <w:numId w:val="22"/>
        </w:numPr>
      </w:pPr>
      <w:r w:rsidRPr="006E59D3">
        <w:t>School leadership teams have a responsibility to enact the student wellbeing policy in schools. Specific leadership roles have a designated responsibility and these roles will differ across the primary, secondary and P-12 context. Examples include Assistant Principal Pastoral Care/Student Wellbeing and middle leaders with pastoral/wellbeing responsibilities.</w:t>
      </w:r>
    </w:p>
    <w:p w14:paraId="69385E6D" w14:textId="77777777" w:rsidR="00ED5607" w:rsidRDefault="00ED5607" w:rsidP="00ED5607"/>
    <w:p w14:paraId="49B369DC" w14:textId="2E561B00" w:rsidR="00ED5607" w:rsidRDefault="001C219A" w:rsidP="00DF0945">
      <w:pPr>
        <w:pStyle w:val="ListParagraph"/>
        <w:numPr>
          <w:ilvl w:val="0"/>
          <w:numId w:val="22"/>
        </w:numPr>
      </w:pPr>
      <w:r w:rsidRPr="006E59D3" w:rsidDel="00684FB1">
        <w:t>Guidance</w:t>
      </w:r>
      <w:r w:rsidR="00684FB1" w:rsidRPr="006E59D3">
        <w:t xml:space="preserve"> </w:t>
      </w:r>
      <w:r w:rsidRPr="006E59D3">
        <w:t xml:space="preserve">Counsellors are key school-based role holders in providing proactive, preventative and early intervention for students with mental health concerns. </w:t>
      </w:r>
      <w:r>
        <w:t xml:space="preserve">In Queensland, </w:t>
      </w:r>
      <w:r w:rsidDel="00684FB1">
        <w:t>g</w:t>
      </w:r>
      <w:r w:rsidRPr="00DC4C60" w:rsidDel="00684FB1">
        <w:t xml:space="preserve">uidance </w:t>
      </w:r>
      <w:r w:rsidR="00684FB1">
        <w:t>counsellors</w:t>
      </w:r>
      <w:r w:rsidRPr="00DC4C60">
        <w:t xml:space="preserve"> are</w:t>
      </w:r>
      <w:r w:rsidR="00684FB1">
        <w:t xml:space="preserve"> generally </w:t>
      </w:r>
      <w:r w:rsidRPr="00DC4C60">
        <w:t xml:space="preserve">required to be registered teachers </w:t>
      </w:r>
      <w:r w:rsidR="00E4566D">
        <w:t>with a</w:t>
      </w:r>
      <w:r w:rsidRPr="00DC4C60">
        <w:t xml:space="preserve"> Master</w:t>
      </w:r>
      <w:r w:rsidR="009316A4">
        <w:t>s</w:t>
      </w:r>
      <w:r w:rsidRPr="00DC4C60">
        <w:t xml:space="preserve"> </w:t>
      </w:r>
      <w:r w:rsidR="009316A4">
        <w:t>in</w:t>
      </w:r>
      <w:r w:rsidRPr="00DC4C60">
        <w:t xml:space="preserve"> Guidance and Counselling or </w:t>
      </w:r>
      <w:r w:rsidR="000B4FAA">
        <w:t>r</w:t>
      </w:r>
      <w:r w:rsidR="00C31D75">
        <w:t>egistered psychologis</w:t>
      </w:r>
      <w:r w:rsidR="000758E0">
        <w:t>t</w:t>
      </w:r>
      <w:r w:rsidR="000B4FAA">
        <w:t>s</w:t>
      </w:r>
      <w:r w:rsidR="000758E0">
        <w:t>.</w:t>
      </w:r>
      <w:r w:rsidRPr="009B67A2">
        <w:t xml:space="preserve"> </w:t>
      </w:r>
      <w:r w:rsidR="0099598A">
        <w:t>Guidance</w:t>
      </w:r>
      <w:r w:rsidR="00DF0945">
        <w:t xml:space="preserve"> </w:t>
      </w:r>
      <w:r w:rsidR="00F769A0">
        <w:t xml:space="preserve">counsellors are </w:t>
      </w:r>
      <w:r w:rsidR="00C92FF2">
        <w:t>not part of school Leadership Teams.</w:t>
      </w:r>
      <w:r w:rsidR="00393C5D">
        <w:t xml:space="preserve"> It should be noted that </w:t>
      </w:r>
      <w:r w:rsidR="00EE61CE">
        <w:t xml:space="preserve">some Catholic School Authorities </w:t>
      </w:r>
      <w:r w:rsidR="00070144">
        <w:t>employ school counsellors</w:t>
      </w:r>
      <w:r w:rsidR="007F5817">
        <w:t xml:space="preserve"> </w:t>
      </w:r>
      <w:r w:rsidR="00523E26">
        <w:t xml:space="preserve">rather than guidance counsellors </w:t>
      </w:r>
      <w:r w:rsidR="00AA31ED">
        <w:t>with school counsellors having</w:t>
      </w:r>
      <w:r w:rsidR="00070144">
        <w:t xml:space="preserve"> </w:t>
      </w:r>
      <w:r w:rsidR="00A70E00">
        <w:t>a more limited role in the broader mental health and wellbeing planning realm.</w:t>
      </w:r>
    </w:p>
    <w:p w14:paraId="51A7D58E" w14:textId="77777777" w:rsidR="00DF0945" w:rsidRDefault="00DF0945" w:rsidP="00DF0945">
      <w:pPr>
        <w:ind w:left="360"/>
      </w:pPr>
    </w:p>
    <w:p w14:paraId="236A66E5" w14:textId="66C449F8" w:rsidR="001C219A" w:rsidRDefault="001C219A" w:rsidP="00300F8E">
      <w:pPr>
        <w:pStyle w:val="ListParagraph"/>
        <w:numPr>
          <w:ilvl w:val="0"/>
          <w:numId w:val="22"/>
        </w:numPr>
      </w:pPr>
      <w:r w:rsidRPr="00ED5607">
        <w:t xml:space="preserve">Other school-based staff include campus ministers, pastoral leaders, school chaplains and student welfare workers.  </w:t>
      </w:r>
      <w:r>
        <w:t xml:space="preserve">These roles </w:t>
      </w:r>
      <w:r w:rsidR="00B20D11">
        <w:t>have a focus on</w:t>
      </w:r>
      <w:r>
        <w:t xml:space="preserve"> student wellbeing but may or may not require a teaching background and are typically not part of the leadership team.</w:t>
      </w:r>
      <w:r w:rsidRPr="00FF2036">
        <w:t xml:space="preserve"> </w:t>
      </w:r>
      <w:r w:rsidRPr="00000138">
        <w:t>Chaplaincy and student welfare worker services are optional for schools and provide students and staff with social, emotional and spiritual support</w:t>
      </w:r>
      <w:r>
        <w:t>. They</w:t>
      </w:r>
      <w:r w:rsidRPr="00000138">
        <w:t xml:space="preserve"> provide an additional adult role model in the school and enhance engagement with the broader community including parents</w:t>
      </w:r>
      <w:r w:rsidRPr="00ED5607">
        <w:t>.</w:t>
      </w:r>
      <w:r w:rsidRPr="00323432">
        <w:rPr>
          <w:vertAlign w:val="superscript"/>
        </w:rPr>
        <w:footnoteReference w:id="3"/>
      </w:r>
      <w:r w:rsidRPr="00ED5607">
        <w:t xml:space="preserve"> Chaplains and student welfare workers do not provide professional counselling services or take on roles which are the domain of other staff members, for example, case management of an individual student. For the three years 2020-2022, 112 Queensland Catholic schools have secured funding for chaplains or student welfare workers under the National School Chaplaincy (NSCP) and Student Welfare Workers (SWW) Programs.</w:t>
      </w:r>
      <w:r w:rsidRPr="00323432">
        <w:rPr>
          <w:vertAlign w:val="superscript"/>
        </w:rPr>
        <w:footnoteReference w:id="4"/>
      </w:r>
      <w:r w:rsidRPr="00ED5607">
        <w:t xml:space="preserve"> </w:t>
      </w:r>
    </w:p>
    <w:p w14:paraId="6D7F1142" w14:textId="77777777" w:rsidR="00323432" w:rsidRDefault="00323432" w:rsidP="00323432"/>
    <w:p w14:paraId="43FA222D" w14:textId="78B2E844" w:rsidR="001C219A" w:rsidRPr="00BA710C" w:rsidRDefault="001C219A" w:rsidP="001C219A">
      <w:r w:rsidRPr="00BA710C">
        <w:t xml:space="preserve">In addition, Catholic </w:t>
      </w:r>
      <w:r w:rsidR="00BA710C" w:rsidRPr="00BA710C">
        <w:t>S</w:t>
      </w:r>
      <w:r w:rsidRPr="00BA710C">
        <w:t xml:space="preserve">chool </w:t>
      </w:r>
      <w:r w:rsidR="00BA710C" w:rsidRPr="00BA710C">
        <w:t>A</w:t>
      </w:r>
      <w:r w:rsidRPr="00BA710C">
        <w:t xml:space="preserve">uthorities that run more than one school employ staff to support the professional practice of school-based staff in implementing policy and procedures to support student mental health and wellbeing (e.g. senior education officers). Further, </w:t>
      </w:r>
      <w:r w:rsidR="00BA710C">
        <w:t>Catholic School Authorities</w:t>
      </w:r>
      <w:r w:rsidRPr="00BA710C">
        <w:t xml:space="preserve"> work with external organisations to provide mental health and wellbeing services to students and families, including Be You</w:t>
      </w:r>
      <w:r w:rsidR="0068172B">
        <w:t xml:space="preserve">, </w:t>
      </w:r>
      <w:r w:rsidRPr="00BA710C">
        <w:t>Head Space School Support</w:t>
      </w:r>
      <w:r w:rsidR="0068172B">
        <w:t xml:space="preserve"> and</w:t>
      </w:r>
      <w:r w:rsidRPr="00BA710C">
        <w:t xml:space="preserve"> EdLinQ</w:t>
      </w:r>
      <w:r w:rsidR="0068172B">
        <w:t>.</w:t>
      </w:r>
    </w:p>
    <w:p w14:paraId="6A478650" w14:textId="77777777" w:rsidR="00BA710C" w:rsidRPr="00BA710C" w:rsidRDefault="00BA710C" w:rsidP="001C219A"/>
    <w:p w14:paraId="6DFE0105" w14:textId="1F837AE2" w:rsidR="001C219A" w:rsidRPr="004C7FBC" w:rsidRDefault="001C219A" w:rsidP="001C219A">
      <w:pPr>
        <w:spacing w:line="257" w:lineRule="auto"/>
        <w:rPr>
          <w:rFonts w:eastAsia="Calibri" w:cs="Calibri"/>
          <w:color w:val="000000" w:themeColor="text1"/>
        </w:rPr>
      </w:pPr>
      <w:r w:rsidRPr="004C7FBC">
        <w:rPr>
          <w:rFonts w:eastAsia="Calibri" w:cs="Calibri"/>
          <w:color w:val="000000" w:themeColor="text1"/>
        </w:rPr>
        <w:t xml:space="preserve">QCEC advises that while Catholic schools in Queensland and their governing school authorities have multiple roles and responsibilities as described above, the role description outlined for School Wellbeing Leaders on page 687 of the draft report does </w:t>
      </w:r>
      <w:r w:rsidRPr="00C5718B">
        <w:rPr>
          <w:rFonts w:eastAsia="Calibri" w:cs="Calibri"/>
          <w:color w:val="000000" w:themeColor="text1"/>
        </w:rPr>
        <w:t>not</w:t>
      </w:r>
      <w:r w:rsidRPr="004C7FBC">
        <w:rPr>
          <w:rFonts w:eastAsia="Calibri" w:cs="Calibri"/>
          <w:color w:val="000000" w:themeColor="text1"/>
        </w:rPr>
        <w:t xml:space="preserve"> align with any existing roles in Queensland Catholic schools. </w:t>
      </w:r>
    </w:p>
    <w:p w14:paraId="120DFD0E" w14:textId="0802019E" w:rsidR="004C7FBC" w:rsidRPr="004C7FBC" w:rsidRDefault="004C7FBC" w:rsidP="001C219A">
      <w:pPr>
        <w:spacing w:line="257" w:lineRule="auto"/>
        <w:rPr>
          <w:rFonts w:eastAsia="Calibri" w:cs="Calibri"/>
          <w:color w:val="000000" w:themeColor="text1"/>
        </w:rPr>
      </w:pPr>
    </w:p>
    <w:p w14:paraId="14C050A5" w14:textId="31D2040E" w:rsidR="009515C8" w:rsidRDefault="001C219A" w:rsidP="001C219A">
      <w:pPr>
        <w:spacing w:line="257" w:lineRule="auto"/>
        <w:rPr>
          <w:rFonts w:eastAsia="Calibri" w:cs="Calibri"/>
          <w:color w:val="000000" w:themeColor="text1"/>
        </w:rPr>
      </w:pPr>
      <w:r w:rsidRPr="004C7FBC">
        <w:rPr>
          <w:rFonts w:eastAsia="Calibri" w:cs="Calibri"/>
          <w:color w:val="000000" w:themeColor="text1"/>
        </w:rPr>
        <w:t xml:space="preserve">One Catholic School Authority has provided </w:t>
      </w:r>
      <w:r w:rsidR="00227EA4">
        <w:rPr>
          <w:rFonts w:eastAsia="Calibri" w:cs="Calibri"/>
          <w:color w:val="000000" w:themeColor="text1"/>
        </w:rPr>
        <w:t>a</w:t>
      </w:r>
      <w:r w:rsidRPr="004C7FBC">
        <w:rPr>
          <w:rFonts w:eastAsia="Calibri" w:cs="Calibri"/>
          <w:color w:val="000000" w:themeColor="text1"/>
        </w:rPr>
        <w:t xml:space="preserve"> table to illustrate this point</w:t>
      </w:r>
      <w:r w:rsidR="00227EA4">
        <w:rPr>
          <w:rFonts w:eastAsia="Calibri" w:cs="Calibri"/>
          <w:color w:val="000000" w:themeColor="text1"/>
        </w:rPr>
        <w:t xml:space="preserve"> (table 2).</w:t>
      </w:r>
    </w:p>
    <w:p w14:paraId="60F24EA6" w14:textId="51BFB36A" w:rsidR="00EC2ADD" w:rsidRDefault="00EC2ADD">
      <w:pPr>
        <w:rPr>
          <w:rFonts w:eastAsia="Calibri" w:cs="Calibri"/>
          <w:color w:val="000000" w:themeColor="text1"/>
        </w:rPr>
      </w:pPr>
      <w:r>
        <w:rPr>
          <w:rFonts w:eastAsia="Calibri" w:cs="Calibri"/>
          <w:color w:val="000000" w:themeColor="text1"/>
        </w:rPr>
        <w:br w:type="page"/>
      </w:r>
    </w:p>
    <w:p w14:paraId="6FB5B55C" w14:textId="1588405F" w:rsidR="00227EA4" w:rsidRPr="00522EFB" w:rsidRDefault="00227EA4" w:rsidP="00710A2E">
      <w:pPr>
        <w:spacing w:line="360" w:lineRule="auto"/>
        <w:rPr>
          <w:rFonts w:eastAsia="Calibri" w:cs="Calibri"/>
          <w:b/>
          <w:bCs/>
          <w:color w:val="000000" w:themeColor="text1"/>
        </w:rPr>
      </w:pPr>
      <w:r w:rsidRPr="00522EFB">
        <w:rPr>
          <w:rFonts w:eastAsia="Calibri" w:cs="Calibri"/>
          <w:b/>
          <w:bCs/>
          <w:color w:val="000000" w:themeColor="text1"/>
        </w:rPr>
        <w:lastRenderedPageBreak/>
        <w:t>Table 2:</w:t>
      </w:r>
      <w:r w:rsidR="00522EFB" w:rsidRPr="00522EFB">
        <w:rPr>
          <w:rFonts w:eastAsia="Calibri" w:cs="Calibri"/>
          <w:b/>
          <w:bCs/>
          <w:color w:val="000000" w:themeColor="text1"/>
        </w:rPr>
        <w:t xml:space="preserve"> Duties of School Wellbeing Leaders vis-à-vis other role holders</w:t>
      </w:r>
    </w:p>
    <w:tbl>
      <w:tblPr>
        <w:tblStyle w:val="TableGrid"/>
        <w:tblW w:w="9918" w:type="dxa"/>
        <w:tblInd w:w="0" w:type="dxa"/>
        <w:tblLayout w:type="fixed"/>
        <w:tblLook w:val="04A0" w:firstRow="1" w:lastRow="0" w:firstColumn="1" w:lastColumn="0" w:noHBand="0" w:noVBand="1"/>
      </w:tblPr>
      <w:tblGrid>
        <w:gridCol w:w="4618"/>
        <w:gridCol w:w="2745"/>
        <w:gridCol w:w="2555"/>
      </w:tblGrid>
      <w:tr w:rsidR="001C219A" w14:paraId="7B082AEA"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B0AEA" w14:textId="77777777" w:rsidR="001C219A" w:rsidRDefault="001C219A" w:rsidP="00F10F47">
            <w:pPr>
              <w:spacing w:before="40" w:after="40"/>
              <w:rPr>
                <w:rFonts w:eastAsia="Arial" w:cs="Arial"/>
                <w:b/>
                <w:bCs/>
                <w:sz w:val="20"/>
                <w:szCs w:val="20"/>
              </w:rPr>
            </w:pPr>
            <w:r>
              <w:rPr>
                <w:rFonts w:eastAsia="Arial" w:cs="Arial"/>
                <w:b/>
                <w:bCs/>
                <w:sz w:val="20"/>
                <w:szCs w:val="20"/>
              </w:rPr>
              <w:t>Proposed role description/duties of a wellbeing leader</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E7EAF" w14:textId="77777777" w:rsidR="001C219A" w:rsidRDefault="001C219A" w:rsidP="00F10F47">
            <w:pPr>
              <w:spacing w:before="40" w:after="40"/>
              <w:rPr>
                <w:rFonts w:eastAsia="Arial" w:cs="Arial"/>
                <w:b/>
                <w:bCs/>
                <w:sz w:val="20"/>
                <w:szCs w:val="20"/>
              </w:rPr>
            </w:pPr>
            <w:r>
              <w:rPr>
                <w:rFonts w:eastAsia="Arial" w:cs="Arial"/>
                <w:b/>
                <w:bCs/>
                <w:sz w:val="20"/>
                <w:szCs w:val="20"/>
              </w:rPr>
              <w:t>School Guidance Counsellor</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EEAF3" w14:textId="77777777" w:rsidR="001C219A" w:rsidRDefault="001C219A" w:rsidP="00F10F47">
            <w:pPr>
              <w:spacing w:before="40" w:after="40"/>
              <w:rPr>
                <w:rFonts w:eastAsia="Arial" w:cs="Arial"/>
                <w:b/>
                <w:bCs/>
                <w:sz w:val="20"/>
                <w:szCs w:val="20"/>
              </w:rPr>
            </w:pPr>
            <w:r>
              <w:rPr>
                <w:rFonts w:eastAsia="Arial" w:cs="Arial"/>
                <w:b/>
                <w:bCs/>
                <w:sz w:val="20"/>
                <w:szCs w:val="20"/>
              </w:rPr>
              <w:t xml:space="preserve">Others performing this function </w:t>
            </w:r>
          </w:p>
        </w:tc>
      </w:tr>
      <w:tr w:rsidR="001C219A" w14:paraId="474087EA"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34D85" w14:textId="77777777" w:rsidR="001C219A" w:rsidRDefault="001C219A" w:rsidP="00F10F47">
            <w:pPr>
              <w:spacing w:before="40" w:after="40"/>
              <w:rPr>
                <w:rFonts w:eastAsia="Arial" w:cs="Arial"/>
                <w:sz w:val="20"/>
                <w:szCs w:val="20"/>
              </w:rPr>
            </w:pPr>
            <w:r>
              <w:rPr>
                <w:rFonts w:eastAsia="Arial" w:cs="Arial"/>
                <w:sz w:val="20"/>
                <w:szCs w:val="20"/>
              </w:rPr>
              <w:t>Coordinating the work of the school wellbeing team, which can include a school psychologist, counsellor, social worker, school nurse, chaplain, local Aboriginal community leader or health worker, peer workers and others. This should include clear definitions of the roles and responsibilities of wellbeing staff and pathways for student referrals within the school.</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19A32" w14:textId="77777777" w:rsidR="001C219A" w:rsidRDefault="001C219A" w:rsidP="00F10F47">
            <w:pPr>
              <w:spacing w:before="40" w:after="40"/>
              <w:rPr>
                <w:rFonts w:eastAsia="Arial" w:cs="Arial"/>
                <w:sz w:val="20"/>
                <w:szCs w:val="20"/>
              </w:rPr>
            </w:pPr>
            <w:r>
              <w:rPr>
                <w:rFonts w:eastAsia="Arial" w:cs="Arial"/>
                <w:sz w:val="20"/>
                <w:szCs w:val="20"/>
              </w:rPr>
              <w:t>No Involvement – 38.7%</w:t>
            </w:r>
          </w:p>
          <w:p w14:paraId="39A53074" w14:textId="77777777" w:rsidR="001C219A" w:rsidRDefault="001C219A" w:rsidP="00F10F47">
            <w:pPr>
              <w:spacing w:before="40" w:after="40"/>
              <w:rPr>
                <w:rFonts w:eastAsia="Arial" w:cs="Arial"/>
                <w:sz w:val="20"/>
                <w:szCs w:val="20"/>
              </w:rPr>
            </w:pPr>
            <w:r>
              <w:rPr>
                <w:rFonts w:eastAsia="Arial" w:cs="Arial"/>
                <w:sz w:val="20"/>
                <w:szCs w:val="20"/>
              </w:rPr>
              <w:t>Minor Involvement – 48.4%</w:t>
            </w:r>
          </w:p>
          <w:p w14:paraId="1140A623" w14:textId="77777777" w:rsidR="001C219A" w:rsidRDefault="001C219A" w:rsidP="00F10F47">
            <w:pPr>
              <w:spacing w:before="40" w:after="40"/>
              <w:rPr>
                <w:rFonts w:eastAsia="Arial" w:cs="Arial"/>
                <w:sz w:val="20"/>
                <w:szCs w:val="20"/>
              </w:rPr>
            </w:pPr>
            <w:r>
              <w:rPr>
                <w:rFonts w:eastAsia="Arial" w:cs="Arial"/>
                <w:sz w:val="20"/>
                <w:szCs w:val="20"/>
              </w:rPr>
              <w:t>Major Involvement – 12.9%</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257F1" w14:textId="77777777" w:rsidR="001C219A" w:rsidRDefault="001C219A" w:rsidP="00F10F47">
            <w:pPr>
              <w:spacing w:before="40" w:after="40"/>
              <w:rPr>
                <w:rFonts w:eastAsia="Arial" w:cs="Arial"/>
                <w:sz w:val="20"/>
                <w:szCs w:val="20"/>
              </w:rPr>
            </w:pPr>
            <w:r>
              <w:rPr>
                <w:rFonts w:eastAsia="Arial" w:cs="Arial"/>
                <w:sz w:val="20"/>
                <w:szCs w:val="20"/>
              </w:rPr>
              <w:t>Principal – 19%</w:t>
            </w:r>
          </w:p>
          <w:p w14:paraId="3E64A07A" w14:textId="77777777" w:rsidR="001C219A" w:rsidRDefault="001C219A" w:rsidP="00F10F47">
            <w:pPr>
              <w:spacing w:before="40" w:after="40"/>
              <w:rPr>
                <w:rFonts w:eastAsia="Arial" w:cs="Arial"/>
                <w:sz w:val="20"/>
                <w:szCs w:val="20"/>
              </w:rPr>
            </w:pPr>
            <w:r>
              <w:rPr>
                <w:rFonts w:eastAsia="Arial" w:cs="Arial"/>
                <w:sz w:val="20"/>
                <w:szCs w:val="20"/>
              </w:rPr>
              <w:t>Deputy Principal – 10% *</w:t>
            </w:r>
          </w:p>
          <w:p w14:paraId="356D3FC3" w14:textId="77777777" w:rsidR="001C219A" w:rsidRDefault="001C219A" w:rsidP="00F10F47">
            <w:pPr>
              <w:spacing w:before="40" w:after="40"/>
              <w:rPr>
                <w:rFonts w:eastAsia="Arial" w:cs="Arial"/>
                <w:sz w:val="20"/>
                <w:szCs w:val="20"/>
              </w:rPr>
            </w:pPr>
            <w:r>
              <w:rPr>
                <w:rFonts w:eastAsia="Arial" w:cs="Arial"/>
                <w:sz w:val="20"/>
                <w:szCs w:val="20"/>
              </w:rPr>
              <w:t>Assistant Principal – 19%</w:t>
            </w:r>
          </w:p>
          <w:p w14:paraId="3B33F4B5" w14:textId="77777777" w:rsidR="001C219A" w:rsidRDefault="001C219A" w:rsidP="00F10F47">
            <w:pPr>
              <w:spacing w:before="40" w:after="40"/>
              <w:rPr>
                <w:rFonts w:eastAsia="Arial" w:cs="Arial"/>
                <w:sz w:val="20"/>
                <w:szCs w:val="20"/>
              </w:rPr>
            </w:pPr>
            <w:r>
              <w:rPr>
                <w:rFonts w:eastAsia="Arial" w:cs="Arial"/>
                <w:sz w:val="20"/>
                <w:szCs w:val="20"/>
              </w:rPr>
              <w:t>Learning Support Teacher (LST) – 26%</w:t>
            </w:r>
          </w:p>
          <w:p w14:paraId="533F8790" w14:textId="77777777" w:rsidR="001C219A" w:rsidRDefault="001C219A" w:rsidP="00F10F47">
            <w:pPr>
              <w:spacing w:before="40" w:after="40"/>
              <w:rPr>
                <w:rFonts w:eastAsia="Arial" w:cs="Arial"/>
                <w:sz w:val="20"/>
                <w:szCs w:val="20"/>
              </w:rPr>
            </w:pPr>
            <w:r>
              <w:rPr>
                <w:rFonts w:eastAsia="Arial" w:cs="Arial"/>
                <w:sz w:val="20"/>
                <w:szCs w:val="20"/>
              </w:rPr>
              <w:t>Middle Leaders – 13%</w:t>
            </w:r>
          </w:p>
        </w:tc>
      </w:tr>
      <w:tr w:rsidR="001C219A" w14:paraId="43C07F0B"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AE55E" w14:textId="77777777" w:rsidR="001C219A" w:rsidRDefault="001C219A" w:rsidP="00F10F47">
            <w:pPr>
              <w:spacing w:before="40" w:after="40"/>
              <w:rPr>
                <w:rFonts w:eastAsia="Arial" w:cs="Arial"/>
                <w:sz w:val="20"/>
                <w:szCs w:val="20"/>
              </w:rPr>
            </w:pPr>
            <w:r>
              <w:rPr>
                <w:rFonts w:eastAsia="Arial" w:cs="Arial"/>
                <w:sz w:val="20"/>
                <w:szCs w:val="20"/>
                <w:lang w:val="en-US"/>
              </w:rPr>
              <w:t xml:space="preserve">Establishing the needs of the school community, in terms of additional programs or staff members required and working with school leadership and government agencies to find suitable funding.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DF3F4" w14:textId="77777777" w:rsidR="001C219A" w:rsidRDefault="001C219A" w:rsidP="00F10F47">
            <w:pPr>
              <w:spacing w:before="40" w:after="40"/>
              <w:rPr>
                <w:rFonts w:eastAsia="Arial" w:cs="Arial"/>
                <w:sz w:val="20"/>
                <w:szCs w:val="20"/>
              </w:rPr>
            </w:pPr>
            <w:r>
              <w:rPr>
                <w:rFonts w:eastAsia="Arial" w:cs="Arial"/>
                <w:sz w:val="20"/>
                <w:szCs w:val="20"/>
              </w:rPr>
              <w:t>No Involvement – 45.2%</w:t>
            </w:r>
          </w:p>
          <w:p w14:paraId="51F4C94E" w14:textId="77777777" w:rsidR="001C219A" w:rsidRDefault="001C219A" w:rsidP="00F10F47">
            <w:pPr>
              <w:spacing w:before="40" w:after="40"/>
              <w:rPr>
                <w:rFonts w:eastAsia="Arial" w:cs="Arial"/>
                <w:sz w:val="20"/>
                <w:szCs w:val="20"/>
              </w:rPr>
            </w:pPr>
            <w:r>
              <w:rPr>
                <w:rFonts w:eastAsia="Arial" w:cs="Arial"/>
                <w:sz w:val="20"/>
                <w:szCs w:val="20"/>
              </w:rPr>
              <w:t>Minor Involvement – 45.2%</w:t>
            </w:r>
          </w:p>
          <w:p w14:paraId="36DBA43B" w14:textId="77777777" w:rsidR="001C219A" w:rsidRDefault="001C219A" w:rsidP="00F10F47">
            <w:pPr>
              <w:spacing w:before="40" w:after="40"/>
              <w:rPr>
                <w:rFonts w:eastAsia="Arial" w:cs="Arial"/>
                <w:sz w:val="20"/>
                <w:szCs w:val="20"/>
              </w:rPr>
            </w:pPr>
            <w:r>
              <w:rPr>
                <w:rFonts w:eastAsia="Arial" w:cs="Arial"/>
                <w:sz w:val="20"/>
                <w:szCs w:val="20"/>
              </w:rPr>
              <w:t>Major Involvement – 9.7%</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83EAE" w14:textId="77777777" w:rsidR="001C219A" w:rsidRDefault="001C219A" w:rsidP="00F10F47">
            <w:pPr>
              <w:spacing w:before="40" w:after="40"/>
              <w:rPr>
                <w:rFonts w:eastAsia="Arial" w:cs="Arial"/>
                <w:sz w:val="20"/>
                <w:szCs w:val="20"/>
              </w:rPr>
            </w:pPr>
            <w:r>
              <w:rPr>
                <w:rFonts w:eastAsia="Arial" w:cs="Arial"/>
                <w:sz w:val="20"/>
                <w:szCs w:val="20"/>
              </w:rPr>
              <w:t>Principal – 65%</w:t>
            </w:r>
          </w:p>
          <w:p w14:paraId="3FC96B7C" w14:textId="77777777" w:rsidR="001C219A" w:rsidRDefault="001C219A" w:rsidP="00F10F47">
            <w:pPr>
              <w:spacing w:before="40" w:after="40"/>
              <w:rPr>
                <w:rFonts w:eastAsia="Arial" w:cs="Arial"/>
                <w:sz w:val="20"/>
                <w:szCs w:val="20"/>
              </w:rPr>
            </w:pPr>
            <w:r>
              <w:rPr>
                <w:rFonts w:eastAsia="Arial" w:cs="Arial"/>
                <w:sz w:val="20"/>
                <w:szCs w:val="20"/>
              </w:rPr>
              <w:t>Deputy Principal – 6%*</w:t>
            </w:r>
          </w:p>
          <w:p w14:paraId="2D2D3875" w14:textId="77777777" w:rsidR="001C219A" w:rsidRDefault="001C219A" w:rsidP="00F10F47">
            <w:pPr>
              <w:spacing w:before="40" w:after="40"/>
              <w:rPr>
                <w:rFonts w:eastAsia="Arial" w:cs="Arial"/>
                <w:sz w:val="20"/>
                <w:szCs w:val="20"/>
              </w:rPr>
            </w:pPr>
            <w:r>
              <w:rPr>
                <w:rFonts w:eastAsia="Arial" w:cs="Arial"/>
                <w:sz w:val="20"/>
                <w:szCs w:val="20"/>
              </w:rPr>
              <w:t>Assistant Principal – 26%</w:t>
            </w:r>
          </w:p>
          <w:p w14:paraId="3ADBB420" w14:textId="77777777" w:rsidR="001C219A" w:rsidRDefault="001C219A" w:rsidP="00F10F47">
            <w:pPr>
              <w:spacing w:before="40" w:after="40"/>
              <w:rPr>
                <w:rFonts w:eastAsia="Arial" w:cs="Arial"/>
                <w:sz w:val="20"/>
                <w:szCs w:val="20"/>
              </w:rPr>
            </w:pPr>
            <w:r>
              <w:rPr>
                <w:rFonts w:eastAsia="Arial" w:cs="Arial"/>
                <w:sz w:val="20"/>
                <w:szCs w:val="20"/>
              </w:rPr>
              <w:t>LST – 26%</w:t>
            </w:r>
          </w:p>
          <w:p w14:paraId="1999FE61" w14:textId="77777777" w:rsidR="001C219A" w:rsidRDefault="001C219A" w:rsidP="00F10F47">
            <w:pPr>
              <w:spacing w:before="40" w:after="40"/>
              <w:rPr>
                <w:rFonts w:eastAsia="Arial" w:cs="Arial"/>
                <w:sz w:val="20"/>
                <w:szCs w:val="20"/>
              </w:rPr>
            </w:pPr>
            <w:r>
              <w:rPr>
                <w:rFonts w:eastAsia="Arial" w:cs="Arial"/>
                <w:sz w:val="20"/>
                <w:szCs w:val="20"/>
              </w:rPr>
              <w:t>Middle Leaders – 10%</w:t>
            </w:r>
          </w:p>
        </w:tc>
      </w:tr>
      <w:tr w:rsidR="001C219A" w14:paraId="1D11FCF1"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69E7D" w14:textId="77777777" w:rsidR="001C219A" w:rsidRDefault="001C219A" w:rsidP="00F10F47">
            <w:pPr>
              <w:spacing w:before="40" w:after="40"/>
              <w:rPr>
                <w:rFonts w:eastAsia="Arial" w:cs="Arial"/>
                <w:sz w:val="20"/>
                <w:szCs w:val="20"/>
              </w:rPr>
            </w:pPr>
            <w:r>
              <w:rPr>
                <w:rFonts w:eastAsia="Arial" w:cs="Arial"/>
                <w:sz w:val="20"/>
                <w:szCs w:val="20"/>
                <w:lang w:val="en-US"/>
              </w:rPr>
              <w:t xml:space="preserve">Acting as the first point of contact for teachers concerned about students’ mental health and wellbeing, and supporting students in accessing services, both within and outside of the school.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B04EB" w14:textId="77777777" w:rsidR="001C219A" w:rsidRDefault="001C219A" w:rsidP="00F10F47">
            <w:pPr>
              <w:spacing w:before="40" w:after="40"/>
              <w:rPr>
                <w:rFonts w:eastAsia="Arial" w:cs="Arial"/>
                <w:sz w:val="20"/>
                <w:szCs w:val="20"/>
              </w:rPr>
            </w:pPr>
            <w:r>
              <w:rPr>
                <w:rFonts w:eastAsia="Arial" w:cs="Arial"/>
                <w:sz w:val="20"/>
                <w:szCs w:val="20"/>
              </w:rPr>
              <w:t>No Involvement – 19.4%</w:t>
            </w:r>
          </w:p>
          <w:p w14:paraId="3E48673D" w14:textId="77777777" w:rsidR="001C219A" w:rsidRDefault="001C219A" w:rsidP="00F10F47">
            <w:pPr>
              <w:spacing w:before="40" w:after="40"/>
              <w:rPr>
                <w:rFonts w:eastAsia="Arial" w:cs="Arial"/>
                <w:sz w:val="20"/>
                <w:szCs w:val="20"/>
              </w:rPr>
            </w:pPr>
            <w:r>
              <w:rPr>
                <w:rFonts w:eastAsia="Arial" w:cs="Arial"/>
                <w:sz w:val="20"/>
                <w:szCs w:val="20"/>
              </w:rPr>
              <w:t>Minor Involvement – 16.1%</w:t>
            </w:r>
          </w:p>
          <w:p w14:paraId="7AAD6E04" w14:textId="77777777" w:rsidR="001C219A" w:rsidRDefault="001C219A" w:rsidP="00F10F47">
            <w:pPr>
              <w:spacing w:before="40" w:after="40"/>
              <w:rPr>
                <w:rFonts w:eastAsia="Arial" w:cs="Arial"/>
                <w:sz w:val="20"/>
                <w:szCs w:val="20"/>
              </w:rPr>
            </w:pPr>
            <w:r>
              <w:rPr>
                <w:rFonts w:eastAsia="Arial" w:cs="Arial"/>
                <w:sz w:val="20"/>
                <w:szCs w:val="20"/>
              </w:rPr>
              <w:t>Major Involvement – 64.5%</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28E01" w14:textId="77777777" w:rsidR="001C219A" w:rsidRDefault="001C219A" w:rsidP="00F10F47">
            <w:pPr>
              <w:spacing w:before="40" w:after="40"/>
              <w:rPr>
                <w:rFonts w:eastAsia="Arial" w:cs="Arial"/>
                <w:sz w:val="20"/>
                <w:szCs w:val="20"/>
              </w:rPr>
            </w:pPr>
            <w:r>
              <w:rPr>
                <w:rFonts w:eastAsia="Arial" w:cs="Arial"/>
                <w:sz w:val="20"/>
                <w:szCs w:val="20"/>
              </w:rPr>
              <w:t>Principal – 45%</w:t>
            </w:r>
          </w:p>
          <w:p w14:paraId="61EEB49F" w14:textId="77777777" w:rsidR="001C219A" w:rsidRDefault="001C219A" w:rsidP="00F10F47">
            <w:pPr>
              <w:spacing w:before="40" w:after="40"/>
              <w:rPr>
                <w:rFonts w:eastAsia="Arial" w:cs="Arial"/>
                <w:sz w:val="20"/>
                <w:szCs w:val="20"/>
              </w:rPr>
            </w:pPr>
            <w:r>
              <w:rPr>
                <w:rFonts w:eastAsia="Arial" w:cs="Arial"/>
                <w:sz w:val="20"/>
                <w:szCs w:val="20"/>
              </w:rPr>
              <w:t>Deputy Principal – 16%*</w:t>
            </w:r>
          </w:p>
          <w:p w14:paraId="1D94260F" w14:textId="77777777" w:rsidR="001C219A" w:rsidRDefault="001C219A" w:rsidP="00F10F47">
            <w:pPr>
              <w:spacing w:before="40" w:after="40"/>
              <w:rPr>
                <w:rFonts w:eastAsia="Arial" w:cs="Arial"/>
                <w:sz w:val="20"/>
                <w:szCs w:val="20"/>
              </w:rPr>
            </w:pPr>
            <w:r>
              <w:rPr>
                <w:rFonts w:eastAsia="Arial" w:cs="Arial"/>
                <w:sz w:val="20"/>
                <w:szCs w:val="20"/>
              </w:rPr>
              <w:t>LST – 55%</w:t>
            </w:r>
          </w:p>
          <w:p w14:paraId="5784CF4F" w14:textId="77777777" w:rsidR="001C219A" w:rsidRDefault="001C219A" w:rsidP="00F10F47">
            <w:pPr>
              <w:spacing w:before="40" w:after="40"/>
              <w:rPr>
                <w:rFonts w:eastAsia="Arial" w:cs="Arial"/>
                <w:sz w:val="20"/>
                <w:szCs w:val="20"/>
              </w:rPr>
            </w:pPr>
            <w:r>
              <w:rPr>
                <w:rFonts w:eastAsia="Arial" w:cs="Arial"/>
                <w:sz w:val="20"/>
                <w:szCs w:val="20"/>
              </w:rPr>
              <w:t>Middle Leaders – 23%</w:t>
            </w:r>
          </w:p>
        </w:tc>
      </w:tr>
      <w:tr w:rsidR="001C219A" w14:paraId="76D1A117"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16AF6" w14:textId="77777777" w:rsidR="001C219A" w:rsidRDefault="001C219A" w:rsidP="00F10F47">
            <w:pPr>
              <w:spacing w:before="40" w:after="40"/>
              <w:rPr>
                <w:rFonts w:eastAsia="Arial" w:cs="Arial"/>
                <w:sz w:val="20"/>
                <w:szCs w:val="20"/>
              </w:rPr>
            </w:pPr>
            <w:r>
              <w:rPr>
                <w:rFonts w:eastAsia="Arial" w:cs="Arial"/>
                <w:sz w:val="20"/>
                <w:szCs w:val="20"/>
                <w:lang w:val="en-US"/>
              </w:rPr>
              <w:t>Ensuring plans to support students with mental illness are implemented and there is appropriate consultation with their family and mental healthcare providers.</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14F29" w14:textId="77777777" w:rsidR="001C219A" w:rsidRDefault="001C219A" w:rsidP="00F10F47">
            <w:pPr>
              <w:spacing w:before="40" w:after="40"/>
              <w:rPr>
                <w:rFonts w:eastAsia="Arial" w:cs="Arial"/>
                <w:sz w:val="20"/>
                <w:szCs w:val="20"/>
              </w:rPr>
            </w:pPr>
            <w:r>
              <w:rPr>
                <w:rFonts w:eastAsia="Arial" w:cs="Arial"/>
                <w:sz w:val="20"/>
                <w:szCs w:val="20"/>
              </w:rPr>
              <w:t>No Involvement – 9.7%</w:t>
            </w:r>
          </w:p>
          <w:p w14:paraId="4216B209" w14:textId="77777777" w:rsidR="001C219A" w:rsidRDefault="001C219A" w:rsidP="00F10F47">
            <w:pPr>
              <w:spacing w:before="40" w:after="40"/>
              <w:rPr>
                <w:rFonts w:eastAsia="Arial" w:cs="Arial"/>
                <w:sz w:val="20"/>
                <w:szCs w:val="20"/>
              </w:rPr>
            </w:pPr>
            <w:r>
              <w:rPr>
                <w:rFonts w:eastAsia="Arial" w:cs="Arial"/>
                <w:sz w:val="20"/>
                <w:szCs w:val="20"/>
              </w:rPr>
              <w:t>Minor Involvement – 25.8%</w:t>
            </w:r>
          </w:p>
          <w:p w14:paraId="7BB8CA73" w14:textId="77777777" w:rsidR="001C219A" w:rsidRDefault="001C219A" w:rsidP="00F10F47">
            <w:pPr>
              <w:spacing w:before="40" w:after="40"/>
              <w:rPr>
                <w:rFonts w:eastAsia="Arial" w:cs="Arial"/>
                <w:sz w:val="20"/>
                <w:szCs w:val="20"/>
              </w:rPr>
            </w:pPr>
            <w:r>
              <w:rPr>
                <w:rFonts w:eastAsia="Arial" w:cs="Arial"/>
                <w:sz w:val="20"/>
                <w:szCs w:val="20"/>
              </w:rPr>
              <w:t>Major Involvement – 64.5%</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B8D0B" w14:textId="77777777" w:rsidR="001C219A" w:rsidRDefault="001C219A" w:rsidP="00F10F47">
            <w:pPr>
              <w:spacing w:before="40" w:after="40"/>
              <w:rPr>
                <w:rFonts w:eastAsia="Arial" w:cs="Arial"/>
                <w:sz w:val="20"/>
                <w:szCs w:val="20"/>
              </w:rPr>
            </w:pPr>
            <w:r>
              <w:rPr>
                <w:rFonts w:eastAsia="Arial" w:cs="Arial"/>
                <w:sz w:val="20"/>
                <w:szCs w:val="20"/>
              </w:rPr>
              <w:t>Principal – 16%</w:t>
            </w:r>
          </w:p>
          <w:p w14:paraId="369ED529" w14:textId="77777777" w:rsidR="001C219A" w:rsidRDefault="001C219A" w:rsidP="00F10F47">
            <w:pPr>
              <w:spacing w:before="40" w:after="40"/>
              <w:rPr>
                <w:rFonts w:eastAsia="Arial" w:cs="Arial"/>
                <w:sz w:val="20"/>
                <w:szCs w:val="20"/>
              </w:rPr>
            </w:pPr>
            <w:r>
              <w:rPr>
                <w:rFonts w:eastAsia="Arial" w:cs="Arial"/>
                <w:sz w:val="20"/>
                <w:szCs w:val="20"/>
              </w:rPr>
              <w:t>Deputy Principal – 10%*</w:t>
            </w:r>
          </w:p>
          <w:p w14:paraId="06644A9C" w14:textId="77777777" w:rsidR="001C219A" w:rsidRDefault="001C219A" w:rsidP="00F10F47">
            <w:pPr>
              <w:spacing w:before="40" w:after="40"/>
              <w:rPr>
                <w:rFonts w:eastAsia="Arial" w:cs="Arial"/>
                <w:sz w:val="20"/>
                <w:szCs w:val="20"/>
              </w:rPr>
            </w:pPr>
            <w:r>
              <w:rPr>
                <w:rFonts w:eastAsia="Arial" w:cs="Arial"/>
                <w:sz w:val="20"/>
                <w:szCs w:val="20"/>
              </w:rPr>
              <w:t>Assistant Principal – 6%</w:t>
            </w:r>
          </w:p>
          <w:p w14:paraId="508EE570" w14:textId="77777777" w:rsidR="001C219A" w:rsidRDefault="001C219A" w:rsidP="00F10F47">
            <w:pPr>
              <w:spacing w:before="40" w:after="40"/>
              <w:rPr>
                <w:rFonts w:eastAsia="Arial" w:cs="Arial"/>
                <w:sz w:val="20"/>
                <w:szCs w:val="20"/>
              </w:rPr>
            </w:pPr>
            <w:r>
              <w:rPr>
                <w:rFonts w:eastAsia="Arial" w:cs="Arial"/>
                <w:sz w:val="20"/>
                <w:szCs w:val="20"/>
              </w:rPr>
              <w:t>LST – 45%</w:t>
            </w:r>
          </w:p>
          <w:p w14:paraId="1504DE52" w14:textId="77777777" w:rsidR="001C219A" w:rsidRDefault="001C219A" w:rsidP="00F10F47">
            <w:pPr>
              <w:spacing w:before="40" w:after="40"/>
              <w:rPr>
                <w:rFonts w:eastAsia="Arial" w:cs="Arial"/>
                <w:sz w:val="20"/>
                <w:szCs w:val="20"/>
              </w:rPr>
            </w:pPr>
            <w:r>
              <w:rPr>
                <w:rFonts w:eastAsia="Arial" w:cs="Arial"/>
                <w:sz w:val="20"/>
                <w:szCs w:val="20"/>
              </w:rPr>
              <w:t>Middle Leaders – 13%</w:t>
            </w:r>
          </w:p>
        </w:tc>
      </w:tr>
      <w:tr w:rsidR="001C219A" w14:paraId="4A849E59"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DDD20" w14:textId="77777777" w:rsidR="001C219A" w:rsidRDefault="001C219A" w:rsidP="00F10F47">
            <w:pPr>
              <w:spacing w:before="40" w:after="40"/>
              <w:rPr>
                <w:rFonts w:eastAsia="Arial" w:cs="Arial"/>
                <w:sz w:val="20"/>
                <w:szCs w:val="20"/>
                <w:lang w:val="en-US"/>
              </w:rPr>
            </w:pPr>
            <w:r>
              <w:rPr>
                <w:rFonts w:eastAsia="Arial" w:cs="Arial"/>
                <w:sz w:val="20"/>
                <w:szCs w:val="20"/>
                <w:lang w:val="en-US"/>
              </w:rPr>
              <w:t>Overseeing the implementation of whole</w:t>
            </w:r>
            <w:r>
              <w:rPr>
                <w:rFonts w:ascii="Cambria Math" w:eastAsia="Arial" w:hAnsi="Cambria Math" w:cs="Cambria Math"/>
                <w:sz w:val="20"/>
                <w:szCs w:val="20"/>
                <w:lang w:val="en-US"/>
              </w:rPr>
              <w:noBreakHyphen/>
            </w:r>
            <w:r>
              <w:rPr>
                <w:rFonts w:eastAsia="Arial" w:cs="Arial"/>
                <w:sz w:val="20"/>
                <w:szCs w:val="20"/>
                <w:lang w:val="en-US"/>
              </w:rPr>
              <w:t>of</w:t>
            </w:r>
            <w:r>
              <w:rPr>
                <w:rFonts w:ascii="Cambria Math" w:eastAsia="Arial" w:hAnsi="Cambria Math" w:cs="Cambria Math"/>
                <w:sz w:val="20"/>
                <w:szCs w:val="20"/>
                <w:lang w:val="en-US"/>
              </w:rPr>
              <w:noBreakHyphen/>
            </w:r>
            <w:r>
              <w:rPr>
                <w:rFonts w:eastAsia="Arial" w:cs="Arial"/>
                <w:sz w:val="20"/>
                <w:szCs w:val="20"/>
                <w:lang w:val="en-US"/>
              </w:rPr>
              <w:t>school wellbeing programs, including identifying the most suitable programs for the school community, developing the skill sets of teachers who will be delivering the programs, monitoring outcomes and supporting school staff to incorporate wellbeing practices in their day</w:t>
            </w:r>
            <w:r>
              <w:rPr>
                <w:rFonts w:ascii="Cambria Math" w:eastAsia="Arial" w:hAnsi="Cambria Math" w:cs="Cambria Math"/>
                <w:sz w:val="20"/>
                <w:szCs w:val="20"/>
                <w:lang w:val="en-US"/>
              </w:rPr>
              <w:noBreakHyphen/>
            </w:r>
            <w:r>
              <w:rPr>
                <w:rFonts w:eastAsia="Arial" w:cs="Arial"/>
                <w:sz w:val="20"/>
                <w:szCs w:val="20"/>
                <w:lang w:val="en-US"/>
              </w:rPr>
              <w:t>to</w:t>
            </w:r>
            <w:r>
              <w:rPr>
                <w:rFonts w:ascii="Cambria Math" w:eastAsia="Arial" w:hAnsi="Cambria Math" w:cs="Cambria Math"/>
                <w:sz w:val="20"/>
                <w:szCs w:val="20"/>
                <w:lang w:val="en-US"/>
              </w:rPr>
              <w:noBreakHyphen/>
            </w:r>
            <w:r>
              <w:rPr>
                <w:rFonts w:eastAsia="Arial" w:cs="Arial"/>
                <w:sz w:val="20"/>
                <w:szCs w:val="20"/>
                <w:lang w:val="en-US"/>
              </w:rPr>
              <w:t>day teaching.</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8F283" w14:textId="77777777" w:rsidR="001C219A" w:rsidRDefault="001C219A" w:rsidP="00F10F47">
            <w:pPr>
              <w:spacing w:before="40" w:after="40"/>
              <w:rPr>
                <w:rFonts w:eastAsia="Arial" w:cs="Arial"/>
                <w:sz w:val="20"/>
                <w:szCs w:val="20"/>
              </w:rPr>
            </w:pPr>
            <w:r>
              <w:rPr>
                <w:rFonts w:eastAsia="Arial" w:cs="Arial"/>
                <w:sz w:val="20"/>
                <w:szCs w:val="20"/>
              </w:rPr>
              <w:t>No Involvement – 32.3%</w:t>
            </w:r>
          </w:p>
          <w:p w14:paraId="513C55EB" w14:textId="77777777" w:rsidR="001C219A" w:rsidRDefault="001C219A" w:rsidP="00F10F47">
            <w:pPr>
              <w:spacing w:before="40" w:after="40"/>
              <w:rPr>
                <w:rFonts w:eastAsia="Arial" w:cs="Arial"/>
                <w:sz w:val="20"/>
                <w:szCs w:val="20"/>
              </w:rPr>
            </w:pPr>
            <w:r>
              <w:rPr>
                <w:rFonts w:eastAsia="Arial" w:cs="Arial"/>
                <w:sz w:val="20"/>
                <w:szCs w:val="20"/>
              </w:rPr>
              <w:t>Minor Involvement – 48.4%</w:t>
            </w:r>
          </w:p>
          <w:p w14:paraId="12B8F968" w14:textId="77777777" w:rsidR="001C219A" w:rsidRDefault="001C219A" w:rsidP="00F10F47">
            <w:pPr>
              <w:spacing w:before="40" w:after="40"/>
              <w:rPr>
                <w:rFonts w:eastAsia="Arial" w:cs="Arial"/>
                <w:sz w:val="20"/>
                <w:szCs w:val="20"/>
              </w:rPr>
            </w:pPr>
            <w:r>
              <w:rPr>
                <w:rFonts w:eastAsia="Arial" w:cs="Arial"/>
                <w:sz w:val="20"/>
                <w:szCs w:val="20"/>
              </w:rPr>
              <w:t xml:space="preserve">Major Involvement – 19.4%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4C6DF" w14:textId="77777777" w:rsidR="001C219A" w:rsidRDefault="001C219A" w:rsidP="00F10F47">
            <w:pPr>
              <w:spacing w:before="40" w:after="40"/>
              <w:rPr>
                <w:rFonts w:eastAsia="Arial" w:cs="Arial"/>
                <w:sz w:val="20"/>
                <w:szCs w:val="20"/>
              </w:rPr>
            </w:pPr>
            <w:r>
              <w:rPr>
                <w:rFonts w:eastAsia="Arial" w:cs="Arial"/>
                <w:sz w:val="20"/>
                <w:szCs w:val="20"/>
              </w:rPr>
              <w:t>Principal – 61%</w:t>
            </w:r>
          </w:p>
          <w:p w14:paraId="328E4CC7" w14:textId="77777777" w:rsidR="001C219A" w:rsidRDefault="001C219A" w:rsidP="00F10F47">
            <w:pPr>
              <w:spacing w:before="40" w:after="40"/>
              <w:rPr>
                <w:rFonts w:eastAsia="Arial" w:cs="Arial"/>
                <w:sz w:val="20"/>
                <w:szCs w:val="20"/>
              </w:rPr>
            </w:pPr>
            <w:r>
              <w:rPr>
                <w:rFonts w:eastAsia="Arial" w:cs="Arial"/>
                <w:sz w:val="20"/>
                <w:szCs w:val="20"/>
              </w:rPr>
              <w:t>Deputy Principal – 6%*</w:t>
            </w:r>
          </w:p>
          <w:p w14:paraId="18243A20" w14:textId="77777777" w:rsidR="001C219A" w:rsidRDefault="001C219A" w:rsidP="00F10F47">
            <w:pPr>
              <w:spacing w:before="40" w:after="40"/>
              <w:rPr>
                <w:rFonts w:eastAsia="Arial" w:cs="Arial"/>
                <w:sz w:val="20"/>
                <w:szCs w:val="20"/>
              </w:rPr>
            </w:pPr>
            <w:r>
              <w:rPr>
                <w:rFonts w:eastAsia="Arial" w:cs="Arial"/>
                <w:sz w:val="20"/>
                <w:szCs w:val="20"/>
              </w:rPr>
              <w:t>Assistant Principal – 29%</w:t>
            </w:r>
          </w:p>
          <w:p w14:paraId="40D68A35" w14:textId="77777777" w:rsidR="001C219A" w:rsidRDefault="001C219A" w:rsidP="00F10F47">
            <w:pPr>
              <w:spacing w:before="40" w:after="40"/>
              <w:rPr>
                <w:rFonts w:eastAsia="Arial" w:cs="Arial"/>
                <w:sz w:val="20"/>
                <w:szCs w:val="20"/>
              </w:rPr>
            </w:pPr>
            <w:r>
              <w:rPr>
                <w:rFonts w:eastAsia="Arial" w:cs="Arial"/>
                <w:sz w:val="20"/>
                <w:szCs w:val="20"/>
              </w:rPr>
              <w:t>LST – 29%</w:t>
            </w:r>
          </w:p>
          <w:p w14:paraId="0180F005" w14:textId="77777777" w:rsidR="001C219A" w:rsidRDefault="001C219A" w:rsidP="00F10F47">
            <w:pPr>
              <w:spacing w:before="40" w:after="40"/>
              <w:rPr>
                <w:rFonts w:eastAsia="Arial" w:cs="Arial"/>
                <w:sz w:val="20"/>
                <w:szCs w:val="20"/>
              </w:rPr>
            </w:pPr>
            <w:r>
              <w:rPr>
                <w:rFonts w:eastAsia="Arial" w:cs="Arial"/>
                <w:sz w:val="20"/>
                <w:szCs w:val="20"/>
              </w:rPr>
              <w:t>Middle Leaders – 16%</w:t>
            </w:r>
          </w:p>
        </w:tc>
      </w:tr>
      <w:tr w:rsidR="001C219A" w14:paraId="59E09A00" w14:textId="77777777" w:rsidTr="005A4F4A">
        <w:tc>
          <w:tcPr>
            <w:tcW w:w="4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B8E74" w14:textId="77777777" w:rsidR="001C219A" w:rsidRDefault="001C219A" w:rsidP="00F10F47">
            <w:pPr>
              <w:spacing w:before="40" w:after="40"/>
              <w:rPr>
                <w:rFonts w:eastAsia="Arial" w:cs="Arial"/>
                <w:sz w:val="20"/>
                <w:szCs w:val="20"/>
              </w:rPr>
            </w:pPr>
            <w:r>
              <w:rPr>
                <w:rFonts w:eastAsia="Arial" w:cs="Arial"/>
                <w:sz w:val="20"/>
                <w:szCs w:val="20"/>
                <w:lang w:val="en-US"/>
              </w:rPr>
              <w:t xml:space="preserve">Developing and maintaining referral pathways to local community services, including community mental health services, parenting programs and support services for young carers.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E071" w14:textId="77777777" w:rsidR="001C219A" w:rsidRDefault="001C219A" w:rsidP="00F10F47">
            <w:pPr>
              <w:spacing w:before="40" w:after="40"/>
              <w:rPr>
                <w:rFonts w:eastAsia="Arial" w:cs="Arial"/>
                <w:sz w:val="20"/>
                <w:szCs w:val="20"/>
              </w:rPr>
            </w:pPr>
            <w:r>
              <w:rPr>
                <w:rFonts w:eastAsia="Arial" w:cs="Arial"/>
                <w:sz w:val="20"/>
                <w:szCs w:val="20"/>
              </w:rPr>
              <w:t>No Involvement – 9.7%</w:t>
            </w:r>
          </w:p>
          <w:p w14:paraId="2D3322E6" w14:textId="77777777" w:rsidR="001C219A" w:rsidRDefault="001C219A" w:rsidP="00F10F47">
            <w:pPr>
              <w:spacing w:before="40" w:after="40"/>
              <w:rPr>
                <w:rFonts w:eastAsia="Arial" w:cs="Arial"/>
                <w:sz w:val="20"/>
                <w:szCs w:val="20"/>
              </w:rPr>
            </w:pPr>
            <w:r>
              <w:rPr>
                <w:rFonts w:eastAsia="Arial" w:cs="Arial"/>
                <w:sz w:val="20"/>
                <w:szCs w:val="20"/>
              </w:rPr>
              <w:t>Minor Involvement – 35.5%</w:t>
            </w:r>
          </w:p>
          <w:p w14:paraId="1DCE8ED9" w14:textId="77777777" w:rsidR="001C219A" w:rsidRDefault="001C219A" w:rsidP="00F10F47">
            <w:pPr>
              <w:spacing w:before="40" w:after="40"/>
              <w:rPr>
                <w:rFonts w:eastAsia="Arial" w:cs="Arial"/>
                <w:sz w:val="20"/>
                <w:szCs w:val="20"/>
              </w:rPr>
            </w:pPr>
            <w:r>
              <w:rPr>
                <w:rFonts w:eastAsia="Arial" w:cs="Arial"/>
                <w:sz w:val="20"/>
                <w:szCs w:val="20"/>
              </w:rPr>
              <w:t xml:space="preserve">Major Involvement – 54.8%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AE4A4" w14:textId="77777777" w:rsidR="001C219A" w:rsidRDefault="001C219A" w:rsidP="00F10F47">
            <w:pPr>
              <w:spacing w:before="40" w:after="40"/>
              <w:rPr>
                <w:rFonts w:eastAsia="Arial" w:cs="Arial"/>
                <w:sz w:val="20"/>
                <w:szCs w:val="20"/>
              </w:rPr>
            </w:pPr>
            <w:r>
              <w:rPr>
                <w:rFonts w:eastAsia="Arial" w:cs="Arial"/>
                <w:sz w:val="20"/>
                <w:szCs w:val="20"/>
              </w:rPr>
              <w:t>Principal – 39%</w:t>
            </w:r>
          </w:p>
          <w:p w14:paraId="0C3217D6" w14:textId="77777777" w:rsidR="001C219A" w:rsidRDefault="001C219A" w:rsidP="00F10F47">
            <w:pPr>
              <w:spacing w:before="40" w:after="40"/>
              <w:rPr>
                <w:rFonts w:eastAsia="Arial" w:cs="Arial"/>
                <w:sz w:val="20"/>
                <w:szCs w:val="20"/>
              </w:rPr>
            </w:pPr>
            <w:r>
              <w:rPr>
                <w:rFonts w:eastAsia="Arial" w:cs="Arial"/>
                <w:sz w:val="20"/>
                <w:szCs w:val="20"/>
              </w:rPr>
              <w:t>Deputy Principal – 3%*</w:t>
            </w:r>
          </w:p>
          <w:p w14:paraId="78C91F51" w14:textId="77777777" w:rsidR="001C219A" w:rsidRDefault="001C219A" w:rsidP="00F10F47">
            <w:pPr>
              <w:spacing w:before="40" w:after="40"/>
              <w:rPr>
                <w:rFonts w:eastAsia="Arial" w:cs="Arial"/>
                <w:sz w:val="20"/>
                <w:szCs w:val="20"/>
              </w:rPr>
            </w:pPr>
            <w:r>
              <w:rPr>
                <w:rFonts w:eastAsia="Arial" w:cs="Arial"/>
                <w:sz w:val="20"/>
                <w:szCs w:val="20"/>
              </w:rPr>
              <w:t>Assistant Principal – 3%</w:t>
            </w:r>
          </w:p>
          <w:p w14:paraId="56C35791" w14:textId="77777777" w:rsidR="001C219A" w:rsidRDefault="001C219A" w:rsidP="00F10F47">
            <w:pPr>
              <w:spacing w:before="40" w:after="40"/>
              <w:rPr>
                <w:rFonts w:eastAsia="Arial" w:cs="Arial"/>
                <w:sz w:val="20"/>
                <w:szCs w:val="20"/>
              </w:rPr>
            </w:pPr>
            <w:r>
              <w:rPr>
                <w:rFonts w:eastAsia="Arial" w:cs="Arial"/>
                <w:sz w:val="20"/>
                <w:szCs w:val="20"/>
              </w:rPr>
              <w:t>LST – 42%</w:t>
            </w:r>
          </w:p>
          <w:p w14:paraId="1F033A4F" w14:textId="77777777" w:rsidR="001C219A" w:rsidRDefault="001C219A" w:rsidP="00F10F47">
            <w:pPr>
              <w:spacing w:before="40" w:after="40"/>
              <w:rPr>
                <w:rFonts w:eastAsia="Arial" w:cs="Arial"/>
                <w:sz w:val="20"/>
                <w:szCs w:val="20"/>
              </w:rPr>
            </w:pPr>
            <w:r>
              <w:rPr>
                <w:rFonts w:eastAsia="Arial" w:cs="Arial"/>
                <w:sz w:val="20"/>
                <w:szCs w:val="20"/>
              </w:rPr>
              <w:t>Middle Leaders – 3%</w:t>
            </w:r>
          </w:p>
        </w:tc>
      </w:tr>
    </w:tbl>
    <w:p w14:paraId="1880DFC6" w14:textId="77777777" w:rsidR="001C219A" w:rsidRDefault="001C219A" w:rsidP="001C219A">
      <w:pPr>
        <w:rPr>
          <w:rFonts w:eastAsia="Arial" w:cs="Arial"/>
          <w:sz w:val="20"/>
          <w:szCs w:val="20"/>
        </w:rPr>
      </w:pPr>
      <w:r>
        <w:rPr>
          <w:rFonts w:eastAsia="Arial" w:cs="Arial"/>
          <w:sz w:val="20"/>
          <w:szCs w:val="20"/>
        </w:rPr>
        <w:t>*not all schools have a position of Deputy Principal</w:t>
      </w:r>
    </w:p>
    <w:p w14:paraId="23156661" w14:textId="77777777" w:rsidR="001C219A" w:rsidRDefault="001C219A" w:rsidP="001C219A">
      <w:pPr>
        <w:spacing w:line="257" w:lineRule="auto"/>
        <w:rPr>
          <w:rFonts w:eastAsia="Calibri" w:cs="Calibri"/>
          <w:color w:val="000000" w:themeColor="text1"/>
        </w:rPr>
      </w:pPr>
    </w:p>
    <w:p w14:paraId="07055A9A" w14:textId="70B918A8" w:rsidR="001C219A" w:rsidRDefault="001C219A" w:rsidP="001C219A">
      <w:r>
        <w:t>Given the proposed School Wellbeing Leaders are essentially new positions, there is a very strong argument for additional government funding of these positions</w:t>
      </w:r>
      <w:r w:rsidR="002620DC">
        <w:t xml:space="preserve"> if th</w:t>
      </w:r>
      <w:r w:rsidR="00D84C07">
        <w:t>ey were to be mandated</w:t>
      </w:r>
      <w:r>
        <w:t xml:space="preserve">. </w:t>
      </w:r>
    </w:p>
    <w:p w14:paraId="1FBD6E76" w14:textId="77777777" w:rsidR="00D3340C" w:rsidRDefault="00D3340C" w:rsidP="001C219A"/>
    <w:p w14:paraId="737184BB" w14:textId="2DEBD03A" w:rsidR="001C219A" w:rsidRDefault="372CC589" w:rsidP="001C219A">
      <w:r>
        <w:t xml:space="preserve">Before providing QCEC’s response to the three specific information requests by the Productivity Commission in relation to the proposed School Wellbeing Leaders, QCEC wishes to express its concern with the Productivity Commission’s recommendation that School Wellbeing Leaders should be accountable for improvements in wellbeing (page 688). </w:t>
      </w:r>
    </w:p>
    <w:p w14:paraId="40E14CC0" w14:textId="77777777" w:rsidR="00D3340C" w:rsidRDefault="00D3340C" w:rsidP="001C219A"/>
    <w:p w14:paraId="64FE0260" w14:textId="4AC00DAC" w:rsidR="001C219A" w:rsidRDefault="001C219A" w:rsidP="001C219A">
      <w:r>
        <w:t xml:space="preserve">While schools play a large part in student wellbeing, it needs to be recognised that student wellbeing is a multi-dimensional concept with many different domains including physical, psychological, cognitive, social and personal and spiritual domains. </w:t>
      </w:r>
      <w:r w:rsidR="00A54761">
        <w:t xml:space="preserve">It is not reasonable </w:t>
      </w:r>
      <w:r w:rsidR="00BE1A15">
        <w:t>to hold</w:t>
      </w:r>
      <w:r w:rsidR="00A86745">
        <w:t xml:space="preserve"> one person or </w:t>
      </w:r>
      <w:r w:rsidR="00F17153">
        <w:t>role accountable for improvements in wellbeing.</w:t>
      </w:r>
    </w:p>
    <w:p w14:paraId="44D95162" w14:textId="77777777" w:rsidR="009B5212" w:rsidRDefault="009B5212" w:rsidP="001C219A"/>
    <w:p w14:paraId="7FAE143B" w14:textId="2B4B54AA" w:rsidR="001C219A" w:rsidRPr="00DA58BD" w:rsidRDefault="372CC589" w:rsidP="001C219A">
      <w:r>
        <w:lastRenderedPageBreak/>
        <w:t>QCEC recommends that the statement on page 688 is reworded to reflect the complexities involved in student wellbeing</w:t>
      </w:r>
      <w:r w:rsidR="00743243">
        <w:t xml:space="preserve"> and the complem</w:t>
      </w:r>
      <w:r w:rsidR="0046519E">
        <w:t>entary roles of families, communities, teachers and other professionals</w:t>
      </w:r>
      <w:r>
        <w:t xml:space="preserve">. </w:t>
      </w:r>
    </w:p>
    <w:p w14:paraId="7B87E126" w14:textId="77777777" w:rsidR="00D3340C" w:rsidRDefault="00D3340C" w:rsidP="001C219A"/>
    <w:p w14:paraId="16E25A26" w14:textId="36029548" w:rsidR="00D8057F" w:rsidRDefault="372CC589" w:rsidP="001C219A">
      <w:r>
        <w:t xml:space="preserve">The report further notes that data collected in schools should be used by governments to evaluate the effectiveness of this policy initiative and generate more insights into best practice in school-based mental health and wellbeing. While QCEC agrees with the intent of this </w:t>
      </w:r>
      <w:r w:rsidR="00F17153">
        <w:t>assertion</w:t>
      </w:r>
      <w:r>
        <w:t xml:space="preserve">, it recommends that schools </w:t>
      </w:r>
      <w:r w:rsidR="00F17153">
        <w:t xml:space="preserve">should be consulted on </w:t>
      </w:r>
      <w:r>
        <w:t xml:space="preserve">what information should be collected and how it should be reported. This will ensure data collected </w:t>
      </w:r>
      <w:r w:rsidR="00F17153">
        <w:t>is meaningful</w:t>
      </w:r>
      <w:r w:rsidR="00D12E54">
        <w:t xml:space="preserve"> and </w:t>
      </w:r>
      <w:r>
        <w:t xml:space="preserve">consistently </w:t>
      </w:r>
      <w:r w:rsidR="00D12E54">
        <w:t xml:space="preserve">collected </w:t>
      </w:r>
      <w:r>
        <w:t xml:space="preserve">by all schools </w:t>
      </w:r>
      <w:r w:rsidR="00D12E54">
        <w:t>to facilitate rele</w:t>
      </w:r>
      <w:r w:rsidR="004E5314">
        <w:t>vant</w:t>
      </w:r>
      <w:r w:rsidR="00D12E54">
        <w:t xml:space="preserve"> </w:t>
      </w:r>
      <w:r>
        <w:t>comparisons.</w:t>
      </w:r>
    </w:p>
    <w:p w14:paraId="544B2932" w14:textId="676D45A0" w:rsidR="001C219A" w:rsidRDefault="001C219A" w:rsidP="001C219A"/>
    <w:p w14:paraId="6278567A" w14:textId="5DCAD713" w:rsidR="001C219A" w:rsidRDefault="001C219A" w:rsidP="001C219A">
      <w:pPr>
        <w:rPr>
          <w:b/>
          <w:bCs/>
        </w:rPr>
      </w:pPr>
      <w:r w:rsidRPr="00D44C98">
        <w:rPr>
          <w:b/>
          <w:bCs/>
        </w:rPr>
        <w:t xml:space="preserve">Funding the employment of </w:t>
      </w:r>
      <w:r>
        <w:rPr>
          <w:b/>
          <w:bCs/>
        </w:rPr>
        <w:t>S</w:t>
      </w:r>
      <w:r w:rsidRPr="00D44C98">
        <w:rPr>
          <w:b/>
          <w:bCs/>
        </w:rPr>
        <w:t xml:space="preserve">chool </w:t>
      </w:r>
      <w:r>
        <w:rPr>
          <w:b/>
          <w:bCs/>
        </w:rPr>
        <w:t>W</w:t>
      </w:r>
      <w:r w:rsidRPr="00D44C98">
        <w:rPr>
          <w:b/>
          <w:bCs/>
        </w:rPr>
        <w:t xml:space="preserve">ellbeing </w:t>
      </w:r>
      <w:r>
        <w:rPr>
          <w:b/>
          <w:bCs/>
        </w:rPr>
        <w:t>L</w:t>
      </w:r>
      <w:r w:rsidRPr="00D44C98">
        <w:rPr>
          <w:b/>
          <w:bCs/>
        </w:rPr>
        <w:t>eaders</w:t>
      </w:r>
    </w:p>
    <w:p w14:paraId="3D9A7511" w14:textId="7E18F86A" w:rsidR="001C219A" w:rsidRDefault="001C219A" w:rsidP="001C219A">
      <w:r w:rsidRPr="007122D5">
        <w:t xml:space="preserve">As noted above, </w:t>
      </w:r>
      <w:r>
        <w:t xml:space="preserve">School Wellbeing Leaders are </w:t>
      </w:r>
      <w:r w:rsidR="00EF2789">
        <w:t xml:space="preserve">proposed </w:t>
      </w:r>
      <w:r>
        <w:t>new school resources aimed at complementing resources currently available. If these positions become a government requirement, then QCEC will strongly argue for additional government funding as schools currently have no capacity to absorb the cost associated with the employment of School Wellbeing Leaders.</w:t>
      </w:r>
    </w:p>
    <w:p w14:paraId="416FFC40" w14:textId="77777777" w:rsidR="00C5718B" w:rsidRDefault="00C5718B" w:rsidP="001C219A"/>
    <w:p w14:paraId="6989D27B" w14:textId="072E92B4" w:rsidR="001C219A" w:rsidRPr="00C5718B" w:rsidRDefault="001C219A" w:rsidP="001C219A">
      <w:r w:rsidRPr="00C5718B">
        <w:t xml:space="preserve">Queensland Catholic </w:t>
      </w:r>
      <w:r w:rsidR="00C5718B" w:rsidRPr="00C5718B">
        <w:t>S</w:t>
      </w:r>
      <w:r w:rsidRPr="00C5718B">
        <w:t xml:space="preserve">chool </w:t>
      </w:r>
      <w:r w:rsidR="00C5718B" w:rsidRPr="00C5718B">
        <w:t>A</w:t>
      </w:r>
      <w:r w:rsidRPr="00C5718B">
        <w:t xml:space="preserve">uthorities advise that funding these positions would impose a heavy cost burden. </w:t>
      </w:r>
      <w:r w:rsidR="00CA6AF3">
        <w:t>QCEC</w:t>
      </w:r>
      <w:r w:rsidR="0099125F">
        <w:t>’s preliminary</w:t>
      </w:r>
      <w:r w:rsidRPr="00C5718B">
        <w:t xml:space="preserve"> estimates </w:t>
      </w:r>
      <w:r w:rsidR="0099125F">
        <w:t xml:space="preserve">indicate </w:t>
      </w:r>
      <w:r w:rsidRPr="00C5718B">
        <w:t xml:space="preserve">that establishing School Wellbeing Leaders as per the Productivity Commission’s recommendation would cost </w:t>
      </w:r>
      <w:r w:rsidR="007C1C96">
        <w:t xml:space="preserve">Queensland Catholic Schools around </w:t>
      </w:r>
      <w:r w:rsidRPr="00C5718B">
        <w:t>$</w:t>
      </w:r>
      <w:r w:rsidR="007C1C96">
        <w:t>30million per year</w:t>
      </w:r>
      <w:r w:rsidRPr="00C5718B">
        <w:t xml:space="preserve">. </w:t>
      </w:r>
    </w:p>
    <w:p w14:paraId="7A84F035" w14:textId="77777777" w:rsidR="00C5718B" w:rsidRPr="00C5718B" w:rsidRDefault="00C5718B" w:rsidP="001C219A"/>
    <w:p w14:paraId="675CB98F" w14:textId="180D7357" w:rsidR="001C219A" w:rsidRPr="00C5718B" w:rsidRDefault="001C219A" w:rsidP="001C219A">
      <w:r w:rsidRPr="00C5718B">
        <w:t>It should also be noted that there will be additional costs for maintaining a high standard of professional development of these role holders.</w:t>
      </w:r>
    </w:p>
    <w:p w14:paraId="570E8308" w14:textId="77777777" w:rsidR="00C5718B" w:rsidRPr="00C5718B" w:rsidRDefault="00C5718B" w:rsidP="001C219A"/>
    <w:p w14:paraId="6B478CF8" w14:textId="77777777" w:rsidR="001C219A" w:rsidRPr="00C5718B" w:rsidRDefault="001C219A" w:rsidP="001C219A">
      <w:pPr>
        <w:rPr>
          <w:b/>
          <w:bCs/>
        </w:rPr>
      </w:pPr>
      <w:r w:rsidRPr="00C5718B">
        <w:rPr>
          <w:b/>
          <w:bCs/>
        </w:rPr>
        <w:t>Information request 17.1a</w:t>
      </w:r>
    </w:p>
    <w:p w14:paraId="32F8071F" w14:textId="62C5AD1C" w:rsidR="001C219A" w:rsidRPr="00C5718B" w:rsidRDefault="001C219A" w:rsidP="001C219A">
      <w:pPr>
        <w:rPr>
          <w:b/>
          <w:bCs/>
        </w:rPr>
      </w:pPr>
      <w:r w:rsidRPr="00C5718B">
        <w:rPr>
          <w:b/>
          <w:bCs/>
        </w:rPr>
        <w:t xml:space="preserve">What existing funding could State and Territory Governments redirect towards employing wellbeing leaders in </w:t>
      </w:r>
      <w:r w:rsidRPr="00C5718B">
        <w:rPr>
          <w:b/>
          <w:bCs/>
          <w:u w:val="single"/>
        </w:rPr>
        <w:t>government</w:t>
      </w:r>
      <w:r w:rsidRPr="00C5718B">
        <w:rPr>
          <w:b/>
          <w:bCs/>
        </w:rPr>
        <w:t xml:space="preserve"> schools? </w:t>
      </w:r>
    </w:p>
    <w:p w14:paraId="70360202" w14:textId="661ECC03" w:rsidR="001C219A" w:rsidRDefault="001C219A" w:rsidP="001C219A">
      <w:r w:rsidRPr="009A0EA0">
        <w:t xml:space="preserve">QCEC cautions against </w:t>
      </w:r>
      <w:r>
        <w:t>redirecting funding towards employing School Wellbeing Leaders in government schools if this will impact on funding for Catholic schools in Queensland</w:t>
      </w:r>
      <w:r w:rsidR="00262887">
        <w:t xml:space="preserve"> </w:t>
      </w:r>
      <w:r w:rsidR="0076021D">
        <w:t>or reduces funding to any other critical are</w:t>
      </w:r>
      <w:r w:rsidR="00E839EE">
        <w:t>a</w:t>
      </w:r>
      <w:r w:rsidR="0076021D">
        <w:t xml:space="preserve"> of need in schools</w:t>
      </w:r>
      <w:r>
        <w:t>.</w:t>
      </w:r>
      <w:r w:rsidR="00C5718B">
        <w:t xml:space="preserve"> </w:t>
      </w:r>
    </w:p>
    <w:p w14:paraId="11097220" w14:textId="77777777" w:rsidR="00C5718B" w:rsidRDefault="00C5718B" w:rsidP="006C7422">
      <w:pPr>
        <w:spacing w:line="240" w:lineRule="auto"/>
        <w:rPr>
          <w:rStyle w:val="normaltextrun"/>
          <w:rFonts w:cs="Calibri"/>
          <w:color w:val="000000"/>
          <w:shd w:val="clear" w:color="auto" w:fill="FFFFFF"/>
        </w:rPr>
      </w:pPr>
    </w:p>
    <w:p w14:paraId="61EECD95" w14:textId="77777777" w:rsidR="001C219A" w:rsidRPr="00C5718B" w:rsidRDefault="001C219A" w:rsidP="001C219A">
      <w:pPr>
        <w:rPr>
          <w:b/>
          <w:bCs/>
        </w:rPr>
      </w:pPr>
      <w:r w:rsidRPr="00C5718B">
        <w:rPr>
          <w:b/>
          <w:bCs/>
        </w:rPr>
        <w:t xml:space="preserve">Information request 17.1b </w:t>
      </w:r>
    </w:p>
    <w:p w14:paraId="2151C2D8" w14:textId="77777777" w:rsidR="001C219A" w:rsidRPr="00C5718B" w:rsidRDefault="001C219A" w:rsidP="001C219A">
      <w:pPr>
        <w:rPr>
          <w:b/>
          <w:bCs/>
        </w:rPr>
      </w:pPr>
      <w:r w:rsidRPr="00C5718B">
        <w:rPr>
          <w:b/>
          <w:bCs/>
        </w:rPr>
        <w:t xml:space="preserve">To what extent should the Australian Government contribute to funding their employment in </w:t>
      </w:r>
      <w:r w:rsidRPr="00663DA1">
        <w:rPr>
          <w:b/>
          <w:color w:val="000000" w:themeColor="text1"/>
        </w:rPr>
        <w:t>non-</w:t>
      </w:r>
      <w:r w:rsidRPr="00C5718B">
        <w:rPr>
          <w:b/>
          <w:bCs/>
          <w:color w:val="000000" w:themeColor="text1"/>
        </w:rPr>
        <w:t xml:space="preserve">government </w:t>
      </w:r>
      <w:r w:rsidRPr="00C5718B">
        <w:rPr>
          <w:b/>
          <w:bCs/>
        </w:rPr>
        <w:t xml:space="preserve">schools? </w:t>
      </w:r>
    </w:p>
    <w:p w14:paraId="58AC99A8" w14:textId="2397BEF0" w:rsidR="001C219A" w:rsidRDefault="001C219A" w:rsidP="001C219A">
      <w:r>
        <w:t xml:space="preserve">As outlined above, School Wellbeing Leaders will effectively result in new positions and as such require </w:t>
      </w:r>
      <w:r w:rsidRPr="005070DB">
        <w:t>additional</w:t>
      </w:r>
      <w:r>
        <w:t xml:space="preserve"> government funding.</w:t>
      </w:r>
    </w:p>
    <w:p w14:paraId="50A27D34" w14:textId="77777777" w:rsidR="00C5718B" w:rsidRDefault="00C5718B" w:rsidP="006C7422">
      <w:pPr>
        <w:spacing w:line="240" w:lineRule="auto"/>
      </w:pPr>
    </w:p>
    <w:p w14:paraId="708F9CEB" w14:textId="5BCC6A9B" w:rsidR="001C219A" w:rsidRPr="00C5718B" w:rsidRDefault="001C219A" w:rsidP="00FD0707">
      <w:r w:rsidRPr="00C5718B">
        <w:t xml:space="preserve">Catholic School Authorities do not have the financial capacity in the current staffing composition to resource School Wellbeing Leaders. Given the school resourcing review currently being implemented, there is an increasing requirement for community contribution toward the cost of non-government education. Increasing the provision of services without additional government funding would require a greater contribution from communities. In many areas in Queensland, especially those affected by drought, fee </w:t>
      </w:r>
      <w:r w:rsidR="00F701C8">
        <w:t>increases</w:t>
      </w:r>
      <w:r w:rsidRPr="00C5718B">
        <w:t xml:space="preserve"> associated with the creation of new positions are not possible.</w:t>
      </w:r>
    </w:p>
    <w:p w14:paraId="5083C9DF" w14:textId="77777777" w:rsidR="001C219A" w:rsidRPr="00C5718B" w:rsidRDefault="001C219A" w:rsidP="00FD0707"/>
    <w:p w14:paraId="6AE45C6E" w14:textId="20A72FCA" w:rsidR="001C219A" w:rsidRDefault="001C219A" w:rsidP="001C219A">
      <w:r>
        <w:t xml:space="preserve">QCEC also notes that the costs to school authorities in employing School Wellbeing Leaders will not be the same across Queensland, with regional and remote schools needing to spend proportionately more </w:t>
      </w:r>
      <w:r>
        <w:lastRenderedPageBreak/>
        <w:t xml:space="preserve">due to increased travel costs. These costs will be magnified for small schools that will only require the services of a School Wellbeing Leader on a part-time basis.  </w:t>
      </w:r>
    </w:p>
    <w:p w14:paraId="0CE2F955" w14:textId="77777777" w:rsidR="00C5718B" w:rsidRDefault="00C5718B" w:rsidP="00395EB0">
      <w:pPr>
        <w:spacing w:line="240" w:lineRule="auto"/>
      </w:pPr>
    </w:p>
    <w:p w14:paraId="55BAE1CB" w14:textId="7A83D804" w:rsidR="001C219A" w:rsidRDefault="001C219A" w:rsidP="001C219A">
      <w:r>
        <w:t>Queensland’s population distribution is far more dispersed than the rest of the highly urbanised Australia and more than half of Queensland’s population lives outside the greater metropolitan area of Brisbane.</w:t>
      </w:r>
    </w:p>
    <w:p w14:paraId="2F02FCC0" w14:textId="77777777" w:rsidR="00C5718B" w:rsidRPr="00F331E6" w:rsidRDefault="00C5718B" w:rsidP="00395EB0">
      <w:pPr>
        <w:spacing w:line="240" w:lineRule="auto"/>
      </w:pPr>
    </w:p>
    <w:p w14:paraId="7D751012" w14:textId="0579A027" w:rsidR="001C219A" w:rsidRDefault="008D5646" w:rsidP="001C219A">
      <w:pPr>
        <w:rPr>
          <w:b/>
          <w:bCs/>
        </w:rPr>
      </w:pPr>
      <w:r>
        <w:rPr>
          <w:b/>
          <w:bCs/>
        </w:rPr>
        <w:t>Table 3:</w:t>
      </w:r>
      <w:r w:rsidR="00D71E3F">
        <w:rPr>
          <w:b/>
          <w:bCs/>
        </w:rPr>
        <w:t xml:space="preserve"> </w:t>
      </w:r>
      <w:r w:rsidR="001C219A">
        <w:rPr>
          <w:b/>
          <w:bCs/>
        </w:rPr>
        <w:t xml:space="preserve">Location of Queensland Catholic schools </w:t>
      </w:r>
      <w:r w:rsidR="001C219A" w:rsidRPr="00490211">
        <w:t>(with student numbers FTE in brackets)</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7"/>
        <w:gridCol w:w="1924"/>
        <w:gridCol w:w="1417"/>
        <w:gridCol w:w="1276"/>
        <w:gridCol w:w="1418"/>
        <w:gridCol w:w="1134"/>
        <w:gridCol w:w="1134"/>
      </w:tblGrid>
      <w:tr w:rsidR="001C219A" w:rsidRPr="00490211" w14:paraId="367108D4" w14:textId="77777777" w:rsidTr="00F10F47">
        <w:trPr>
          <w:trHeight w:val="300"/>
        </w:trPr>
        <w:tc>
          <w:tcPr>
            <w:tcW w:w="1187" w:type="dxa"/>
            <w:tcBorders>
              <w:top w:val="single" w:sz="6" w:space="0" w:color="FFFFFF"/>
              <w:left w:val="single" w:sz="6" w:space="0" w:color="FFFFFF"/>
              <w:bottom w:val="single" w:sz="6" w:space="0" w:color="FFFFFF"/>
              <w:right w:val="nil"/>
            </w:tcBorders>
            <w:shd w:val="clear" w:color="auto" w:fill="5B9BD5"/>
            <w:hideMark/>
          </w:tcPr>
          <w:p w14:paraId="0EF66EE4" w14:textId="6C416ED9" w:rsidR="001C219A" w:rsidRPr="00490211" w:rsidRDefault="001C219A" w:rsidP="00F10F47">
            <w:pPr>
              <w:spacing w:line="240" w:lineRule="auto"/>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School</w:t>
            </w:r>
            <w:r w:rsidR="006D7725">
              <w:rPr>
                <w:rFonts w:cs="Calibri"/>
                <w:b/>
                <w:bCs/>
                <w:color w:val="FFFFFF"/>
                <w:sz w:val="20"/>
                <w:szCs w:val="20"/>
                <w:lang w:eastAsia="en-AU"/>
              </w:rPr>
              <w:t xml:space="preserve"> </w:t>
            </w:r>
            <w:r w:rsidRPr="00490211">
              <w:rPr>
                <w:rFonts w:cs="Calibri"/>
                <w:b/>
                <w:bCs/>
                <w:color w:val="FFFFFF"/>
                <w:sz w:val="20"/>
                <w:szCs w:val="20"/>
                <w:lang w:eastAsia="en-AU"/>
              </w:rPr>
              <w:t>level</w:t>
            </w:r>
          </w:p>
        </w:tc>
        <w:tc>
          <w:tcPr>
            <w:tcW w:w="1924" w:type="dxa"/>
            <w:tcBorders>
              <w:top w:val="single" w:sz="6" w:space="0" w:color="FFFFFF"/>
              <w:left w:val="nil"/>
              <w:bottom w:val="single" w:sz="6" w:space="0" w:color="FFFFFF"/>
              <w:right w:val="nil"/>
            </w:tcBorders>
            <w:shd w:val="clear" w:color="auto" w:fill="5B9BD5"/>
            <w:hideMark/>
          </w:tcPr>
          <w:p w14:paraId="1F08C71E" w14:textId="5A6B6292" w:rsidR="001C219A" w:rsidRPr="00490211" w:rsidRDefault="001C219A" w:rsidP="00F10F47">
            <w:pPr>
              <w:spacing w:line="240" w:lineRule="auto"/>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School</w:t>
            </w:r>
            <w:r w:rsidR="006D7725">
              <w:rPr>
                <w:rFonts w:cs="Calibri"/>
                <w:b/>
                <w:bCs/>
                <w:color w:val="FFFFFF"/>
                <w:sz w:val="20"/>
                <w:szCs w:val="20"/>
                <w:lang w:eastAsia="en-AU"/>
              </w:rPr>
              <w:t xml:space="preserve"> </w:t>
            </w:r>
            <w:r w:rsidRPr="00490211">
              <w:rPr>
                <w:rFonts w:cs="Calibri"/>
                <w:b/>
                <w:bCs/>
                <w:color w:val="FFFFFF"/>
                <w:sz w:val="20"/>
                <w:szCs w:val="20"/>
                <w:lang w:eastAsia="en-AU"/>
              </w:rPr>
              <w:t>size</w:t>
            </w:r>
            <w:r w:rsidR="006D7725">
              <w:rPr>
                <w:rFonts w:cs="Calibri"/>
                <w:b/>
                <w:bCs/>
                <w:color w:val="FFFFFF"/>
                <w:sz w:val="20"/>
                <w:szCs w:val="20"/>
                <w:lang w:eastAsia="en-AU"/>
              </w:rPr>
              <w:t xml:space="preserve"> </w:t>
            </w:r>
          </w:p>
        </w:tc>
        <w:tc>
          <w:tcPr>
            <w:tcW w:w="1417" w:type="dxa"/>
            <w:tcBorders>
              <w:top w:val="single" w:sz="6" w:space="0" w:color="FFFFFF"/>
              <w:left w:val="nil"/>
              <w:bottom w:val="single" w:sz="6" w:space="0" w:color="FFFFFF"/>
              <w:right w:val="nil"/>
            </w:tcBorders>
            <w:shd w:val="clear" w:color="auto" w:fill="5B9BD5"/>
            <w:hideMark/>
          </w:tcPr>
          <w:p w14:paraId="2ECB9CC5" w14:textId="0550C80A" w:rsidR="001C219A" w:rsidRPr="00490211" w:rsidRDefault="001C219A" w:rsidP="00F10F47">
            <w:pPr>
              <w:spacing w:line="240" w:lineRule="auto"/>
              <w:jc w:val="right"/>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Major</w:t>
            </w:r>
            <w:r w:rsidR="006D7725">
              <w:rPr>
                <w:rFonts w:cs="Calibri"/>
                <w:b/>
                <w:bCs/>
                <w:color w:val="FFFFFF"/>
                <w:sz w:val="20"/>
                <w:szCs w:val="20"/>
                <w:lang w:eastAsia="en-AU"/>
              </w:rPr>
              <w:t xml:space="preserve"> </w:t>
            </w:r>
            <w:r w:rsidRPr="00490211">
              <w:rPr>
                <w:rFonts w:cs="Calibri"/>
                <w:b/>
                <w:bCs/>
                <w:color w:val="FFFFFF"/>
                <w:sz w:val="20"/>
                <w:szCs w:val="20"/>
                <w:lang w:eastAsia="en-AU"/>
              </w:rPr>
              <w:t>cities </w:t>
            </w:r>
          </w:p>
        </w:tc>
        <w:tc>
          <w:tcPr>
            <w:tcW w:w="1276" w:type="dxa"/>
            <w:tcBorders>
              <w:top w:val="single" w:sz="6" w:space="0" w:color="FFFFFF"/>
              <w:left w:val="nil"/>
              <w:bottom w:val="single" w:sz="6" w:space="0" w:color="FFFFFF"/>
              <w:right w:val="nil"/>
            </w:tcBorders>
            <w:shd w:val="clear" w:color="auto" w:fill="5B9BD5"/>
            <w:hideMark/>
          </w:tcPr>
          <w:p w14:paraId="544A075C" w14:textId="5D3C4D44" w:rsidR="001C219A" w:rsidRPr="00490211" w:rsidRDefault="001C219A" w:rsidP="006D7725">
            <w:pPr>
              <w:spacing w:line="240" w:lineRule="auto"/>
              <w:jc w:val="center"/>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Inner</w:t>
            </w:r>
            <w:r w:rsidR="006D7725">
              <w:rPr>
                <w:rFonts w:cs="Calibri"/>
                <w:b/>
                <w:bCs/>
                <w:color w:val="FFFFFF"/>
                <w:sz w:val="20"/>
                <w:szCs w:val="20"/>
                <w:lang w:eastAsia="en-AU"/>
              </w:rPr>
              <w:t xml:space="preserve"> </w:t>
            </w:r>
            <w:r w:rsidRPr="00490211">
              <w:rPr>
                <w:rFonts w:cs="Calibri"/>
                <w:b/>
                <w:bCs/>
                <w:color w:val="FFFFFF"/>
                <w:sz w:val="20"/>
                <w:szCs w:val="20"/>
                <w:lang w:eastAsia="en-AU"/>
              </w:rPr>
              <w:t>regional </w:t>
            </w:r>
          </w:p>
        </w:tc>
        <w:tc>
          <w:tcPr>
            <w:tcW w:w="1418" w:type="dxa"/>
            <w:tcBorders>
              <w:top w:val="single" w:sz="6" w:space="0" w:color="FFFFFF"/>
              <w:left w:val="nil"/>
              <w:bottom w:val="single" w:sz="6" w:space="0" w:color="FFFFFF"/>
              <w:right w:val="nil"/>
            </w:tcBorders>
            <w:shd w:val="clear" w:color="auto" w:fill="5B9BD5"/>
            <w:hideMark/>
          </w:tcPr>
          <w:p w14:paraId="37092D70" w14:textId="0BDFC9A5" w:rsidR="001C219A" w:rsidRPr="00490211" w:rsidRDefault="001C219A" w:rsidP="00F10F47">
            <w:pPr>
              <w:spacing w:line="240" w:lineRule="auto"/>
              <w:jc w:val="right"/>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Outer</w:t>
            </w:r>
            <w:r w:rsidR="006D7725">
              <w:rPr>
                <w:rFonts w:cs="Calibri"/>
                <w:b/>
                <w:bCs/>
                <w:color w:val="FFFFFF"/>
                <w:sz w:val="20"/>
                <w:szCs w:val="20"/>
                <w:lang w:eastAsia="en-AU"/>
              </w:rPr>
              <w:t xml:space="preserve"> </w:t>
            </w:r>
            <w:r w:rsidRPr="00490211">
              <w:rPr>
                <w:rFonts w:cs="Calibri"/>
                <w:b/>
                <w:bCs/>
                <w:color w:val="FFFFFF"/>
                <w:sz w:val="20"/>
                <w:szCs w:val="20"/>
                <w:lang w:eastAsia="en-AU"/>
              </w:rPr>
              <w:t>regional </w:t>
            </w:r>
          </w:p>
        </w:tc>
        <w:tc>
          <w:tcPr>
            <w:tcW w:w="1134" w:type="dxa"/>
            <w:tcBorders>
              <w:top w:val="single" w:sz="6" w:space="0" w:color="FFFFFF"/>
              <w:left w:val="nil"/>
              <w:bottom w:val="single" w:sz="6" w:space="0" w:color="FFFFFF"/>
              <w:right w:val="nil"/>
            </w:tcBorders>
            <w:shd w:val="clear" w:color="auto" w:fill="5B9BD5"/>
            <w:hideMark/>
          </w:tcPr>
          <w:p w14:paraId="7620F36E" w14:textId="77777777" w:rsidR="001C219A" w:rsidRPr="00490211" w:rsidRDefault="001C219A" w:rsidP="00F10F47">
            <w:pPr>
              <w:spacing w:line="240" w:lineRule="auto"/>
              <w:jc w:val="right"/>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Remote </w:t>
            </w:r>
          </w:p>
        </w:tc>
        <w:tc>
          <w:tcPr>
            <w:tcW w:w="1134" w:type="dxa"/>
            <w:tcBorders>
              <w:top w:val="single" w:sz="6" w:space="0" w:color="FFFFFF"/>
              <w:left w:val="nil"/>
              <w:bottom w:val="single" w:sz="6" w:space="0" w:color="FFFFFF"/>
              <w:right w:val="single" w:sz="6" w:space="0" w:color="FFFFFF"/>
            </w:tcBorders>
            <w:shd w:val="clear" w:color="auto" w:fill="5B9BD5"/>
            <w:hideMark/>
          </w:tcPr>
          <w:p w14:paraId="6927C9AE" w14:textId="77777777" w:rsidR="001C219A" w:rsidRPr="00490211" w:rsidRDefault="001C219A" w:rsidP="00F10F47">
            <w:pPr>
              <w:spacing w:line="240" w:lineRule="auto"/>
              <w:jc w:val="right"/>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Very remote </w:t>
            </w:r>
          </w:p>
        </w:tc>
      </w:tr>
      <w:tr w:rsidR="001C219A" w:rsidRPr="00490211" w14:paraId="1F23E4A5" w14:textId="77777777" w:rsidTr="00F10F47">
        <w:trPr>
          <w:trHeight w:val="300"/>
        </w:trPr>
        <w:tc>
          <w:tcPr>
            <w:tcW w:w="1187" w:type="dxa"/>
            <w:vMerge w:val="restart"/>
            <w:tcBorders>
              <w:top w:val="nil"/>
              <w:left w:val="single" w:sz="6" w:space="0" w:color="FFFFFF"/>
              <w:bottom w:val="single" w:sz="6" w:space="0" w:color="FFFFFF"/>
              <w:right w:val="single" w:sz="6" w:space="0" w:color="FFFFFF"/>
            </w:tcBorders>
            <w:shd w:val="clear" w:color="auto" w:fill="5B9BD5"/>
            <w:hideMark/>
          </w:tcPr>
          <w:p w14:paraId="296C8715" w14:textId="77777777" w:rsidR="001C219A" w:rsidRPr="00490211" w:rsidRDefault="001C219A" w:rsidP="00F10F47">
            <w:pPr>
              <w:spacing w:line="240" w:lineRule="auto"/>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Primary </w:t>
            </w:r>
          </w:p>
        </w:tc>
        <w:tc>
          <w:tcPr>
            <w:tcW w:w="1924" w:type="dxa"/>
            <w:tcBorders>
              <w:top w:val="nil"/>
              <w:left w:val="nil"/>
              <w:bottom w:val="single" w:sz="6" w:space="0" w:color="FFFFFF"/>
              <w:right w:val="single" w:sz="6" w:space="0" w:color="FFFFFF"/>
            </w:tcBorders>
            <w:shd w:val="clear" w:color="auto" w:fill="BDD6EE"/>
            <w:hideMark/>
          </w:tcPr>
          <w:p w14:paraId="4386F0D8"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Small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BDD6EE"/>
            <w:hideMark/>
          </w:tcPr>
          <w:p w14:paraId="2AD25B7F" w14:textId="3D2565E0"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w:t>
            </w:r>
            <w:r w:rsidR="00E35B47">
              <w:rPr>
                <w:rFonts w:cs="Calibri"/>
                <w:color w:val="000000"/>
                <w:sz w:val="20"/>
                <w:szCs w:val="20"/>
                <w:lang w:eastAsia="en-AU"/>
              </w:rPr>
              <w:t>3</w:t>
            </w:r>
            <w:r w:rsidRPr="00490211">
              <w:rPr>
                <w:rFonts w:cs="Calibri"/>
                <w:color w:val="000000"/>
                <w:sz w:val="20"/>
                <w:szCs w:val="20"/>
                <w:lang w:eastAsia="en-AU"/>
              </w:rPr>
              <w:t> (1,</w:t>
            </w:r>
            <w:r w:rsidR="00E35B47">
              <w:rPr>
                <w:rFonts w:cs="Calibri"/>
                <w:color w:val="000000"/>
                <w:sz w:val="20"/>
                <w:szCs w:val="20"/>
                <w:lang w:eastAsia="en-AU"/>
              </w:rPr>
              <w:t>994</w:t>
            </w:r>
            <w:r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BDD6EE"/>
            <w:hideMark/>
          </w:tcPr>
          <w:p w14:paraId="630CE67C" w14:textId="78824AA8" w:rsidR="001C219A" w:rsidRPr="00490211" w:rsidRDefault="00E35B47"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13</w:t>
            </w:r>
            <w:r w:rsidR="001C219A" w:rsidRPr="00490211">
              <w:rPr>
                <w:rFonts w:cs="Calibri"/>
                <w:color w:val="000000"/>
                <w:sz w:val="20"/>
                <w:szCs w:val="20"/>
                <w:lang w:eastAsia="en-AU"/>
              </w:rPr>
              <w:t> (1,</w:t>
            </w:r>
            <w:r>
              <w:rPr>
                <w:rFonts w:cs="Calibri"/>
                <w:color w:val="000000"/>
                <w:sz w:val="20"/>
                <w:szCs w:val="20"/>
                <w:lang w:eastAsia="en-AU"/>
              </w:rPr>
              <w:t>593</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BDD6EE"/>
            <w:hideMark/>
          </w:tcPr>
          <w:p w14:paraId="00F30A9A" w14:textId="55C7F97E" w:rsidR="001C219A" w:rsidRPr="00490211" w:rsidRDefault="00E35B47"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15</w:t>
            </w:r>
            <w:r w:rsidR="001C219A" w:rsidRPr="00490211">
              <w:rPr>
                <w:rFonts w:cs="Calibri"/>
                <w:color w:val="000000"/>
                <w:sz w:val="20"/>
                <w:szCs w:val="20"/>
                <w:lang w:eastAsia="en-AU"/>
              </w:rPr>
              <w:t> (1,</w:t>
            </w:r>
            <w:r>
              <w:rPr>
                <w:rFonts w:cs="Calibri"/>
                <w:color w:val="000000"/>
                <w:sz w:val="20"/>
                <w:szCs w:val="20"/>
                <w:lang w:eastAsia="en-AU"/>
              </w:rPr>
              <w:t>415</w:t>
            </w:r>
            <w:r w:rsidR="001C219A"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06EA6A79" w14:textId="1CFD6BDC" w:rsidR="001C219A" w:rsidRPr="00490211" w:rsidRDefault="00E35B47"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7</w:t>
            </w:r>
            <w:r w:rsidR="001C219A">
              <w:rPr>
                <w:rFonts w:cs="Calibri"/>
                <w:color w:val="000000"/>
                <w:sz w:val="20"/>
                <w:szCs w:val="20"/>
                <w:lang w:eastAsia="en-AU"/>
              </w:rPr>
              <w:t xml:space="preserve"> </w:t>
            </w:r>
            <w:r w:rsidR="001C219A" w:rsidRPr="00490211">
              <w:rPr>
                <w:rFonts w:cs="Calibri"/>
                <w:color w:val="000000"/>
                <w:sz w:val="20"/>
                <w:szCs w:val="20"/>
                <w:lang w:eastAsia="en-AU"/>
              </w:rPr>
              <w:t>(7</w:t>
            </w:r>
            <w:r>
              <w:rPr>
                <w:rFonts w:cs="Calibri"/>
                <w:color w:val="000000"/>
                <w:sz w:val="20"/>
                <w:szCs w:val="20"/>
                <w:lang w:eastAsia="en-AU"/>
              </w:rPr>
              <w:t>35</w:t>
            </w:r>
            <w:r w:rsidR="001C219A"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6A036418" w14:textId="51E7249E" w:rsidR="001C219A" w:rsidRPr="00490211" w:rsidRDefault="00E35B47"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11</w:t>
            </w:r>
            <w:r w:rsidR="001C219A">
              <w:rPr>
                <w:rFonts w:cs="Calibri"/>
                <w:color w:val="000000"/>
                <w:sz w:val="20"/>
                <w:szCs w:val="20"/>
                <w:lang w:eastAsia="en-AU"/>
              </w:rPr>
              <w:t xml:space="preserve"> </w:t>
            </w:r>
            <w:r w:rsidR="001C219A" w:rsidRPr="00490211">
              <w:rPr>
                <w:rFonts w:cs="Calibri"/>
                <w:color w:val="000000"/>
                <w:sz w:val="20"/>
                <w:szCs w:val="20"/>
                <w:lang w:eastAsia="en-AU"/>
              </w:rPr>
              <w:t>(</w:t>
            </w:r>
            <w:r>
              <w:rPr>
                <w:rFonts w:cs="Calibri"/>
                <w:color w:val="000000"/>
                <w:sz w:val="20"/>
                <w:szCs w:val="20"/>
                <w:lang w:eastAsia="en-AU"/>
              </w:rPr>
              <w:t>763</w:t>
            </w:r>
            <w:r w:rsidR="001C219A" w:rsidRPr="00490211">
              <w:rPr>
                <w:rFonts w:cs="Calibri"/>
                <w:color w:val="000000"/>
                <w:sz w:val="20"/>
                <w:szCs w:val="20"/>
                <w:lang w:eastAsia="en-AU"/>
              </w:rPr>
              <w:t>)</w:t>
            </w:r>
          </w:p>
        </w:tc>
      </w:tr>
      <w:tr w:rsidR="001C219A" w:rsidRPr="00490211" w14:paraId="27048AA6"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3F0749BC"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DEEAF6"/>
            <w:hideMark/>
          </w:tcPr>
          <w:p w14:paraId="15A48931"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Medium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DEEAF6"/>
            <w:hideMark/>
          </w:tcPr>
          <w:p w14:paraId="642FD2BF" w14:textId="049552A4"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w:t>
            </w:r>
            <w:r w:rsidR="00E35B47">
              <w:rPr>
                <w:rFonts w:cs="Calibri"/>
                <w:color w:val="000000"/>
                <w:sz w:val="20"/>
                <w:szCs w:val="20"/>
                <w:lang w:eastAsia="en-AU"/>
              </w:rPr>
              <w:t>1</w:t>
            </w:r>
            <w:r w:rsidRPr="00490211">
              <w:rPr>
                <w:rFonts w:cs="Calibri"/>
                <w:color w:val="000000"/>
                <w:sz w:val="20"/>
                <w:szCs w:val="20"/>
                <w:lang w:eastAsia="en-AU"/>
              </w:rPr>
              <w:t> (</w:t>
            </w:r>
            <w:r w:rsidR="00E35B47">
              <w:rPr>
                <w:rFonts w:cs="Calibri"/>
                <w:color w:val="000000"/>
                <w:sz w:val="20"/>
                <w:szCs w:val="20"/>
                <w:lang w:eastAsia="en-AU"/>
              </w:rPr>
              <w:t>2</w:t>
            </w:r>
            <w:r w:rsidRPr="00490211">
              <w:rPr>
                <w:rFonts w:cs="Calibri"/>
                <w:color w:val="000000"/>
                <w:sz w:val="20"/>
                <w:szCs w:val="20"/>
                <w:lang w:eastAsia="en-AU"/>
              </w:rPr>
              <w:t>,</w:t>
            </w:r>
            <w:r w:rsidR="002437A1">
              <w:rPr>
                <w:rFonts w:cs="Calibri"/>
                <w:color w:val="000000"/>
                <w:sz w:val="20"/>
                <w:szCs w:val="20"/>
                <w:lang w:eastAsia="en-AU"/>
              </w:rPr>
              <w:t>613</w:t>
            </w:r>
            <w:r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DEEAF6"/>
            <w:hideMark/>
          </w:tcPr>
          <w:p w14:paraId="19B4E133" w14:textId="73893D4D" w:rsidR="001C219A" w:rsidRPr="00490211" w:rsidRDefault="002437A1"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9</w:t>
            </w:r>
            <w:r w:rsidR="001C219A" w:rsidRPr="00490211">
              <w:rPr>
                <w:rFonts w:cs="Calibri"/>
                <w:color w:val="000000"/>
                <w:sz w:val="20"/>
                <w:szCs w:val="20"/>
                <w:lang w:eastAsia="en-AU"/>
              </w:rPr>
              <w:t> (2,</w:t>
            </w:r>
            <w:r>
              <w:rPr>
                <w:rFonts w:cs="Calibri"/>
                <w:color w:val="000000"/>
                <w:sz w:val="20"/>
                <w:szCs w:val="20"/>
                <w:lang w:eastAsia="en-AU"/>
              </w:rPr>
              <w:t>362</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DEEAF6"/>
            <w:hideMark/>
          </w:tcPr>
          <w:p w14:paraId="4B302603" w14:textId="524BD3E3" w:rsidR="001C219A" w:rsidRPr="00490211" w:rsidRDefault="002437A1"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7</w:t>
            </w:r>
            <w:r w:rsidR="001C219A" w:rsidRPr="00490211">
              <w:rPr>
                <w:rFonts w:cs="Calibri"/>
                <w:color w:val="000000"/>
                <w:sz w:val="20"/>
                <w:szCs w:val="20"/>
                <w:lang w:eastAsia="en-AU"/>
              </w:rPr>
              <w:t> (1,8</w:t>
            </w:r>
            <w:r>
              <w:rPr>
                <w:rFonts w:cs="Calibri"/>
                <w:color w:val="000000"/>
                <w:sz w:val="20"/>
                <w:szCs w:val="20"/>
                <w:lang w:eastAsia="en-AU"/>
              </w:rPr>
              <w:t>49</w:t>
            </w:r>
            <w:r w:rsidR="001C219A"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112F1BAE" w14:textId="60D3A941" w:rsidR="001C219A" w:rsidRPr="00490211" w:rsidRDefault="001C219A" w:rsidP="00E93F1E">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 </w:t>
            </w:r>
            <w:r w:rsidR="00E93F1E">
              <w:rPr>
                <w:rFonts w:cs="Calibri"/>
                <w:color w:val="000000"/>
                <w:sz w:val="20"/>
                <w:szCs w:val="20"/>
                <w:lang w:eastAsia="en-AU"/>
              </w:rPr>
              <w:t xml:space="preserve">1 </w:t>
            </w:r>
            <w:r w:rsidR="00E93F1E" w:rsidRPr="00490211">
              <w:rPr>
                <w:rFonts w:cs="Calibri"/>
                <w:color w:val="000000"/>
                <w:sz w:val="20"/>
                <w:szCs w:val="20"/>
                <w:lang w:eastAsia="en-AU"/>
              </w:rPr>
              <w:t>(</w:t>
            </w:r>
            <w:r w:rsidR="002A4BFF">
              <w:rPr>
                <w:rFonts w:cs="Calibri"/>
                <w:color w:val="000000"/>
                <w:sz w:val="20"/>
                <w:szCs w:val="20"/>
                <w:lang w:eastAsia="en-AU"/>
              </w:rPr>
              <w:t>294</w:t>
            </w:r>
            <w:r w:rsidR="00E93F1E"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5745ACD7"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070D7BE1"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7447D446"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BDD6EE"/>
            <w:hideMark/>
          </w:tcPr>
          <w:p w14:paraId="02A776B2"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Large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BDD6EE"/>
            <w:hideMark/>
          </w:tcPr>
          <w:p w14:paraId="6D81487A" w14:textId="232A294A" w:rsidR="001C219A" w:rsidRPr="00490211" w:rsidRDefault="002A4BFF"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69</w:t>
            </w:r>
            <w:r w:rsidR="001C219A" w:rsidRPr="00490211">
              <w:rPr>
                <w:rFonts w:cs="Calibri"/>
                <w:color w:val="000000"/>
                <w:sz w:val="20"/>
                <w:szCs w:val="20"/>
                <w:lang w:eastAsia="en-AU"/>
              </w:rPr>
              <w:t> (3</w:t>
            </w:r>
            <w:r w:rsidR="008E4466">
              <w:rPr>
                <w:rFonts w:cs="Calibri"/>
                <w:color w:val="000000"/>
                <w:sz w:val="20"/>
                <w:szCs w:val="20"/>
                <w:lang w:eastAsia="en-AU"/>
              </w:rPr>
              <w:t>5</w:t>
            </w:r>
            <w:r w:rsidR="001C219A" w:rsidRPr="00490211">
              <w:rPr>
                <w:rFonts w:cs="Calibri"/>
                <w:color w:val="000000"/>
                <w:sz w:val="20"/>
                <w:szCs w:val="20"/>
                <w:lang w:eastAsia="en-AU"/>
              </w:rPr>
              <w:t>,</w:t>
            </w:r>
            <w:r w:rsidR="008E4466">
              <w:rPr>
                <w:rFonts w:cs="Calibri"/>
                <w:color w:val="000000"/>
                <w:sz w:val="20"/>
                <w:szCs w:val="20"/>
                <w:lang w:eastAsia="en-AU"/>
              </w:rPr>
              <w:t>367</w:t>
            </w:r>
            <w:r w:rsidR="001C219A"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BDD6EE"/>
            <w:hideMark/>
          </w:tcPr>
          <w:p w14:paraId="13C66AE9" w14:textId="2F1D3EC3" w:rsidR="001C219A" w:rsidRPr="00490211" w:rsidRDefault="009766B4"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22</w:t>
            </w:r>
            <w:r w:rsidR="001C219A" w:rsidRPr="00490211">
              <w:rPr>
                <w:rFonts w:cs="Calibri"/>
                <w:color w:val="000000"/>
                <w:sz w:val="20"/>
                <w:szCs w:val="20"/>
                <w:lang w:eastAsia="en-AU"/>
              </w:rPr>
              <w:t> (8,</w:t>
            </w:r>
            <w:r>
              <w:rPr>
                <w:rFonts w:cs="Calibri"/>
                <w:color w:val="000000"/>
                <w:sz w:val="20"/>
                <w:szCs w:val="20"/>
                <w:lang w:eastAsia="en-AU"/>
              </w:rPr>
              <w:t>688</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BDD6EE"/>
            <w:hideMark/>
          </w:tcPr>
          <w:p w14:paraId="3E001721" w14:textId="37204361"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18 (8,</w:t>
            </w:r>
            <w:r w:rsidR="00F866EC">
              <w:rPr>
                <w:rFonts w:cs="Calibri"/>
                <w:color w:val="000000"/>
                <w:sz w:val="20"/>
                <w:szCs w:val="20"/>
                <w:lang w:eastAsia="en-AU"/>
              </w:rPr>
              <w:t>103</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24842674" w14:textId="6BC5BD4D" w:rsidR="001C219A" w:rsidRPr="00490211" w:rsidRDefault="001C219A" w:rsidP="00F10F47">
            <w:pPr>
              <w:spacing w:line="240" w:lineRule="auto"/>
              <w:jc w:val="right"/>
              <w:textAlignment w:val="baseline"/>
              <w:rPr>
                <w:rFonts w:ascii="Segoe UI" w:hAnsi="Segoe UI" w:cs="Segoe UI"/>
                <w:sz w:val="18"/>
                <w:szCs w:val="18"/>
                <w:lang w:eastAsia="en-AU"/>
              </w:rPr>
            </w:pPr>
          </w:p>
        </w:tc>
        <w:tc>
          <w:tcPr>
            <w:tcW w:w="1134" w:type="dxa"/>
            <w:tcBorders>
              <w:top w:val="nil"/>
              <w:left w:val="nil"/>
              <w:bottom w:val="single" w:sz="6" w:space="0" w:color="FFFFFF"/>
              <w:right w:val="single" w:sz="6" w:space="0" w:color="FFFFFF"/>
            </w:tcBorders>
            <w:shd w:val="clear" w:color="auto" w:fill="BDD6EE"/>
            <w:hideMark/>
          </w:tcPr>
          <w:p w14:paraId="7CC40555"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1D91B6C3" w14:textId="77777777" w:rsidTr="00F10F47">
        <w:trPr>
          <w:trHeight w:val="300"/>
        </w:trPr>
        <w:tc>
          <w:tcPr>
            <w:tcW w:w="1187" w:type="dxa"/>
            <w:vMerge w:val="restart"/>
            <w:tcBorders>
              <w:top w:val="nil"/>
              <w:left w:val="single" w:sz="6" w:space="0" w:color="FFFFFF"/>
              <w:bottom w:val="single" w:sz="6" w:space="0" w:color="FFFFFF"/>
              <w:right w:val="single" w:sz="6" w:space="0" w:color="FFFFFF"/>
            </w:tcBorders>
            <w:shd w:val="clear" w:color="auto" w:fill="5B9BD5"/>
            <w:hideMark/>
          </w:tcPr>
          <w:p w14:paraId="2B560CBB" w14:textId="77777777" w:rsidR="001C219A" w:rsidRPr="00490211" w:rsidRDefault="001C219A" w:rsidP="00F10F47">
            <w:pPr>
              <w:spacing w:line="240" w:lineRule="auto"/>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Secondary </w:t>
            </w:r>
          </w:p>
        </w:tc>
        <w:tc>
          <w:tcPr>
            <w:tcW w:w="1924" w:type="dxa"/>
            <w:tcBorders>
              <w:top w:val="nil"/>
              <w:left w:val="nil"/>
              <w:bottom w:val="single" w:sz="6" w:space="0" w:color="FFFFFF"/>
              <w:right w:val="single" w:sz="6" w:space="0" w:color="FFFFFF"/>
            </w:tcBorders>
            <w:shd w:val="clear" w:color="auto" w:fill="DEEAF6"/>
            <w:hideMark/>
          </w:tcPr>
          <w:p w14:paraId="1F3318EF"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Very Small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DEEAF6"/>
            <w:hideMark/>
          </w:tcPr>
          <w:p w14:paraId="065048BE" w14:textId="22342AA3" w:rsidR="001C219A" w:rsidRPr="00490211" w:rsidRDefault="0097178A"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5</w:t>
            </w:r>
            <w:r w:rsidR="001C219A" w:rsidRPr="00490211">
              <w:rPr>
                <w:rFonts w:cs="Calibri"/>
                <w:color w:val="000000"/>
                <w:sz w:val="20"/>
                <w:szCs w:val="20"/>
                <w:lang w:eastAsia="en-AU"/>
              </w:rPr>
              <w:t> (</w:t>
            </w:r>
            <w:r>
              <w:rPr>
                <w:rFonts w:cs="Calibri"/>
                <w:color w:val="000000"/>
                <w:sz w:val="20"/>
                <w:szCs w:val="20"/>
                <w:lang w:eastAsia="en-AU"/>
              </w:rPr>
              <w:t>422</w:t>
            </w:r>
            <w:r w:rsidR="001C219A"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DEEAF6"/>
            <w:hideMark/>
          </w:tcPr>
          <w:p w14:paraId="5103522D" w14:textId="089F5968" w:rsidR="001C219A" w:rsidRPr="00490211" w:rsidRDefault="0097178A"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3</w:t>
            </w:r>
            <w:r w:rsidR="001C219A" w:rsidRPr="00490211">
              <w:rPr>
                <w:rFonts w:cs="Calibri"/>
                <w:color w:val="000000"/>
                <w:sz w:val="20"/>
                <w:szCs w:val="20"/>
                <w:lang w:eastAsia="en-AU"/>
              </w:rPr>
              <w:t> (2</w:t>
            </w:r>
            <w:r>
              <w:rPr>
                <w:rFonts w:cs="Calibri"/>
                <w:color w:val="000000"/>
                <w:sz w:val="20"/>
                <w:szCs w:val="20"/>
                <w:lang w:eastAsia="en-AU"/>
              </w:rPr>
              <w:t>11</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DEEAF6"/>
            <w:hideMark/>
          </w:tcPr>
          <w:p w14:paraId="0774682F"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DEEAF6"/>
            <w:hideMark/>
          </w:tcPr>
          <w:p w14:paraId="17CD92C4" w14:textId="031E178F"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2</w:t>
            </w:r>
            <w:r>
              <w:rPr>
                <w:rFonts w:cs="Calibri"/>
                <w:color w:val="000000"/>
                <w:sz w:val="20"/>
                <w:szCs w:val="20"/>
                <w:lang w:eastAsia="en-AU"/>
              </w:rPr>
              <w:t xml:space="preserve"> </w:t>
            </w:r>
            <w:r w:rsidRPr="00490211">
              <w:rPr>
                <w:rFonts w:cs="Calibri"/>
                <w:color w:val="000000"/>
                <w:sz w:val="20"/>
                <w:szCs w:val="20"/>
                <w:lang w:eastAsia="en-AU"/>
              </w:rPr>
              <w:t>(1</w:t>
            </w:r>
            <w:r w:rsidR="0097178A">
              <w:rPr>
                <w:rFonts w:cs="Calibri"/>
                <w:color w:val="000000"/>
                <w:sz w:val="20"/>
                <w:szCs w:val="20"/>
                <w:lang w:eastAsia="en-AU"/>
              </w:rPr>
              <w:t>27</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44842BD0"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6BDD837B"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7A1D1567"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BDD6EE"/>
            <w:hideMark/>
          </w:tcPr>
          <w:p w14:paraId="48CB03F5"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Small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BDD6EE"/>
            <w:hideMark/>
          </w:tcPr>
          <w:p w14:paraId="2F63AB71" w14:textId="29B43C8F" w:rsidR="001C219A" w:rsidRPr="00490211" w:rsidRDefault="0097178A"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7</w:t>
            </w:r>
            <w:r w:rsidR="001C219A" w:rsidRPr="00490211">
              <w:rPr>
                <w:rFonts w:cs="Calibri"/>
                <w:color w:val="000000"/>
                <w:sz w:val="20"/>
                <w:szCs w:val="20"/>
                <w:lang w:eastAsia="en-AU"/>
              </w:rPr>
              <w:t> (</w:t>
            </w:r>
            <w:r>
              <w:rPr>
                <w:rFonts w:cs="Calibri"/>
                <w:color w:val="000000"/>
                <w:sz w:val="20"/>
                <w:szCs w:val="20"/>
                <w:lang w:eastAsia="en-AU"/>
              </w:rPr>
              <w:t>2</w:t>
            </w:r>
            <w:r w:rsidR="001C219A" w:rsidRPr="00490211">
              <w:rPr>
                <w:rFonts w:cs="Calibri"/>
                <w:color w:val="000000"/>
                <w:sz w:val="20"/>
                <w:szCs w:val="20"/>
                <w:lang w:eastAsia="en-AU"/>
              </w:rPr>
              <w:t>,</w:t>
            </w:r>
            <w:r>
              <w:rPr>
                <w:rFonts w:cs="Calibri"/>
                <w:color w:val="000000"/>
                <w:sz w:val="20"/>
                <w:szCs w:val="20"/>
                <w:lang w:eastAsia="en-AU"/>
              </w:rPr>
              <w:t>213</w:t>
            </w:r>
            <w:r w:rsidR="001C219A"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BDD6EE"/>
            <w:hideMark/>
          </w:tcPr>
          <w:p w14:paraId="1DB4D4EF" w14:textId="7B8372C0" w:rsidR="001C219A" w:rsidRPr="00490211" w:rsidRDefault="008C00DE"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8</w:t>
            </w:r>
            <w:r w:rsidR="001C219A" w:rsidRPr="00490211">
              <w:rPr>
                <w:rFonts w:cs="Calibri"/>
                <w:color w:val="000000"/>
                <w:sz w:val="20"/>
                <w:szCs w:val="20"/>
                <w:lang w:eastAsia="en-AU"/>
              </w:rPr>
              <w:t> (2,</w:t>
            </w:r>
            <w:r w:rsidR="00234B45">
              <w:rPr>
                <w:rFonts w:cs="Calibri"/>
                <w:color w:val="000000"/>
                <w:sz w:val="20"/>
                <w:szCs w:val="20"/>
                <w:lang w:eastAsia="en-AU"/>
              </w:rPr>
              <w:t>891</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BDD6EE"/>
            <w:hideMark/>
          </w:tcPr>
          <w:p w14:paraId="3D59A838" w14:textId="0427FAD5"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6 (1,8</w:t>
            </w:r>
            <w:r w:rsidR="00234B45">
              <w:rPr>
                <w:rFonts w:cs="Calibri"/>
                <w:color w:val="000000"/>
                <w:sz w:val="20"/>
                <w:szCs w:val="20"/>
                <w:lang w:eastAsia="en-AU"/>
              </w:rPr>
              <w:t>63</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33974C8E" w14:textId="7E804FEA"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2</w:t>
            </w:r>
            <w:r>
              <w:rPr>
                <w:rFonts w:cs="Calibri"/>
                <w:color w:val="000000"/>
                <w:sz w:val="20"/>
                <w:szCs w:val="20"/>
                <w:lang w:eastAsia="en-AU"/>
              </w:rPr>
              <w:t xml:space="preserve"> </w:t>
            </w:r>
            <w:r w:rsidRPr="00490211">
              <w:rPr>
                <w:rFonts w:cs="Calibri"/>
                <w:color w:val="000000"/>
                <w:sz w:val="20"/>
                <w:szCs w:val="20"/>
                <w:lang w:eastAsia="en-AU"/>
              </w:rPr>
              <w:t>(6</w:t>
            </w:r>
            <w:r w:rsidR="00234B45">
              <w:rPr>
                <w:rFonts w:cs="Calibri"/>
                <w:color w:val="000000"/>
                <w:sz w:val="20"/>
                <w:szCs w:val="20"/>
                <w:lang w:eastAsia="en-AU"/>
              </w:rPr>
              <w:t>53</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4E609FC1"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6156FECA"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2C09F3C1"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DEEAF6"/>
            <w:hideMark/>
          </w:tcPr>
          <w:p w14:paraId="14D90683"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Medium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DEEAF6"/>
            <w:hideMark/>
          </w:tcPr>
          <w:p w14:paraId="64DB896F" w14:textId="0F5F6A8F" w:rsidR="001C219A" w:rsidRPr="00490211" w:rsidRDefault="00234B45"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3</w:t>
            </w:r>
            <w:r w:rsidR="001C219A" w:rsidRPr="00490211">
              <w:rPr>
                <w:rFonts w:cs="Calibri"/>
                <w:color w:val="000000"/>
                <w:sz w:val="20"/>
                <w:szCs w:val="20"/>
                <w:lang w:eastAsia="en-AU"/>
              </w:rPr>
              <w:t> (</w:t>
            </w:r>
            <w:r>
              <w:rPr>
                <w:rFonts w:cs="Calibri"/>
                <w:color w:val="000000"/>
                <w:sz w:val="20"/>
                <w:szCs w:val="20"/>
                <w:lang w:eastAsia="en-AU"/>
              </w:rPr>
              <w:t>1</w:t>
            </w:r>
            <w:r w:rsidR="001C219A" w:rsidRPr="00490211">
              <w:rPr>
                <w:rFonts w:cs="Calibri"/>
                <w:color w:val="000000"/>
                <w:sz w:val="20"/>
                <w:szCs w:val="20"/>
                <w:lang w:eastAsia="en-AU"/>
              </w:rPr>
              <w:t>,</w:t>
            </w:r>
            <w:r>
              <w:rPr>
                <w:rFonts w:cs="Calibri"/>
                <w:color w:val="000000"/>
                <w:sz w:val="20"/>
                <w:szCs w:val="20"/>
                <w:lang w:eastAsia="en-AU"/>
              </w:rPr>
              <w:t>783</w:t>
            </w:r>
            <w:r w:rsidR="001C219A"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DEEAF6"/>
            <w:hideMark/>
          </w:tcPr>
          <w:p w14:paraId="553449DB" w14:textId="04B9A9E2" w:rsidR="001C219A" w:rsidRPr="00490211" w:rsidRDefault="00667C9E"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2</w:t>
            </w:r>
            <w:r w:rsidR="001C219A" w:rsidRPr="00490211">
              <w:rPr>
                <w:rFonts w:cs="Calibri"/>
                <w:color w:val="000000"/>
                <w:sz w:val="20"/>
                <w:szCs w:val="20"/>
                <w:lang w:eastAsia="en-AU"/>
              </w:rPr>
              <w:t> (1,</w:t>
            </w:r>
            <w:r>
              <w:rPr>
                <w:rFonts w:cs="Calibri"/>
                <w:color w:val="000000"/>
                <w:sz w:val="20"/>
                <w:szCs w:val="20"/>
                <w:lang w:eastAsia="en-AU"/>
              </w:rPr>
              <w:t>221</w:t>
            </w:r>
            <w:r w:rsidR="001C219A"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DEEAF6"/>
            <w:hideMark/>
          </w:tcPr>
          <w:p w14:paraId="52022AED" w14:textId="53EBDC74" w:rsidR="001C219A" w:rsidRPr="00490211" w:rsidRDefault="00667C9E"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4</w:t>
            </w:r>
            <w:r w:rsidR="001C219A" w:rsidRPr="00490211">
              <w:rPr>
                <w:rFonts w:cs="Calibri"/>
                <w:color w:val="000000"/>
                <w:sz w:val="20"/>
                <w:szCs w:val="20"/>
                <w:lang w:eastAsia="en-AU"/>
              </w:rPr>
              <w:t> (</w:t>
            </w:r>
            <w:r w:rsidR="00EC1AE9">
              <w:rPr>
                <w:rFonts w:cs="Calibri"/>
                <w:color w:val="000000"/>
                <w:sz w:val="20"/>
                <w:szCs w:val="20"/>
                <w:lang w:eastAsia="en-AU"/>
              </w:rPr>
              <w:t>2</w:t>
            </w:r>
            <w:r w:rsidR="001C219A" w:rsidRPr="00490211">
              <w:rPr>
                <w:rFonts w:cs="Calibri"/>
                <w:color w:val="000000"/>
                <w:sz w:val="20"/>
                <w:szCs w:val="20"/>
                <w:lang w:eastAsia="en-AU"/>
              </w:rPr>
              <w:t>,</w:t>
            </w:r>
            <w:r w:rsidR="00EC1AE9">
              <w:rPr>
                <w:rFonts w:cs="Calibri"/>
                <w:color w:val="000000"/>
                <w:sz w:val="20"/>
                <w:szCs w:val="20"/>
                <w:lang w:eastAsia="en-AU"/>
              </w:rPr>
              <w:t>446</w:t>
            </w:r>
            <w:r w:rsidR="001C219A"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3835B42B"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DEEAF6"/>
            <w:hideMark/>
          </w:tcPr>
          <w:p w14:paraId="7F4DA8F0"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7B2A40DA"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6179721C"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BDD6EE"/>
            <w:hideMark/>
          </w:tcPr>
          <w:p w14:paraId="0B1B7723"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Large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BDD6EE"/>
            <w:hideMark/>
          </w:tcPr>
          <w:p w14:paraId="37B640D3" w14:textId="00769735"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2</w:t>
            </w:r>
            <w:r w:rsidR="00EC1AE9">
              <w:rPr>
                <w:rFonts w:cs="Calibri"/>
                <w:color w:val="000000"/>
                <w:sz w:val="20"/>
                <w:szCs w:val="20"/>
                <w:lang w:eastAsia="en-AU"/>
              </w:rPr>
              <w:t>3</w:t>
            </w:r>
            <w:r w:rsidRPr="00490211">
              <w:rPr>
                <w:rFonts w:cs="Calibri"/>
                <w:color w:val="000000"/>
                <w:sz w:val="20"/>
                <w:szCs w:val="20"/>
                <w:lang w:eastAsia="en-AU"/>
              </w:rPr>
              <w:t> (21,</w:t>
            </w:r>
            <w:r w:rsidR="001D48C8">
              <w:rPr>
                <w:rFonts w:cs="Calibri"/>
                <w:color w:val="000000"/>
                <w:sz w:val="20"/>
                <w:szCs w:val="20"/>
                <w:lang w:eastAsia="en-AU"/>
              </w:rPr>
              <w:t>781</w:t>
            </w:r>
            <w:r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BDD6EE"/>
            <w:hideMark/>
          </w:tcPr>
          <w:p w14:paraId="65E1A096" w14:textId="76771229"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6 (6,</w:t>
            </w:r>
            <w:r w:rsidR="001D48C8">
              <w:rPr>
                <w:rFonts w:cs="Calibri"/>
                <w:color w:val="000000"/>
                <w:sz w:val="20"/>
                <w:szCs w:val="20"/>
                <w:lang w:eastAsia="en-AU"/>
              </w:rPr>
              <w:t>542</w:t>
            </w:r>
            <w:r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BDD6EE"/>
            <w:hideMark/>
          </w:tcPr>
          <w:p w14:paraId="1BDA94B4" w14:textId="713D7704" w:rsidR="001C219A" w:rsidRPr="00490211" w:rsidRDefault="00957DEA" w:rsidP="00F10F47">
            <w:pPr>
              <w:spacing w:line="240" w:lineRule="auto"/>
              <w:jc w:val="right"/>
              <w:textAlignment w:val="baseline"/>
              <w:rPr>
                <w:rFonts w:ascii="Segoe UI" w:hAnsi="Segoe UI" w:cs="Segoe UI"/>
                <w:sz w:val="18"/>
                <w:szCs w:val="18"/>
                <w:lang w:eastAsia="en-AU"/>
              </w:rPr>
            </w:pPr>
            <w:r>
              <w:rPr>
                <w:rFonts w:cs="Calibri"/>
                <w:color w:val="000000"/>
                <w:sz w:val="20"/>
                <w:szCs w:val="20"/>
                <w:lang w:eastAsia="en-AU"/>
              </w:rPr>
              <w:t>3</w:t>
            </w:r>
            <w:r w:rsidR="001C219A" w:rsidRPr="00490211">
              <w:rPr>
                <w:rFonts w:cs="Calibri"/>
                <w:color w:val="000000"/>
                <w:sz w:val="20"/>
                <w:szCs w:val="20"/>
                <w:lang w:eastAsia="en-AU"/>
              </w:rPr>
              <w:t> (</w:t>
            </w:r>
            <w:r>
              <w:rPr>
                <w:rFonts w:cs="Calibri"/>
                <w:color w:val="000000"/>
                <w:sz w:val="20"/>
                <w:szCs w:val="20"/>
                <w:lang w:eastAsia="en-AU"/>
              </w:rPr>
              <w:t>2</w:t>
            </w:r>
            <w:r w:rsidR="001C219A" w:rsidRPr="00490211">
              <w:rPr>
                <w:rFonts w:cs="Calibri"/>
                <w:color w:val="000000"/>
                <w:sz w:val="20"/>
                <w:szCs w:val="20"/>
                <w:lang w:eastAsia="en-AU"/>
              </w:rPr>
              <w:t>,</w:t>
            </w:r>
            <w:r>
              <w:rPr>
                <w:rFonts w:cs="Calibri"/>
                <w:color w:val="000000"/>
                <w:sz w:val="20"/>
                <w:szCs w:val="20"/>
                <w:lang w:eastAsia="en-AU"/>
              </w:rPr>
              <w:t>675</w:t>
            </w:r>
            <w:r w:rsidR="001C219A"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2B877AAF"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BDD6EE"/>
            <w:hideMark/>
          </w:tcPr>
          <w:p w14:paraId="077A5562"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077E9BDB" w14:textId="77777777" w:rsidTr="00F10F47">
        <w:trPr>
          <w:trHeight w:val="300"/>
        </w:trPr>
        <w:tc>
          <w:tcPr>
            <w:tcW w:w="1187" w:type="dxa"/>
            <w:vMerge w:val="restart"/>
            <w:tcBorders>
              <w:top w:val="nil"/>
              <w:left w:val="single" w:sz="6" w:space="0" w:color="FFFFFF"/>
              <w:bottom w:val="single" w:sz="6" w:space="0" w:color="FFFFFF"/>
              <w:right w:val="single" w:sz="6" w:space="0" w:color="FFFFFF"/>
            </w:tcBorders>
            <w:shd w:val="clear" w:color="auto" w:fill="5B9BD5"/>
            <w:hideMark/>
          </w:tcPr>
          <w:p w14:paraId="1F06EA80" w14:textId="77777777" w:rsidR="001C219A" w:rsidRPr="00490211" w:rsidRDefault="001C219A" w:rsidP="00F10F47">
            <w:pPr>
              <w:spacing w:line="240" w:lineRule="auto"/>
              <w:textAlignment w:val="baseline"/>
              <w:rPr>
                <w:rFonts w:ascii="Segoe UI" w:hAnsi="Segoe UI" w:cs="Segoe UI"/>
                <w:b/>
                <w:bCs/>
                <w:color w:val="FFFFFF"/>
                <w:sz w:val="18"/>
                <w:szCs w:val="18"/>
                <w:lang w:eastAsia="en-AU"/>
              </w:rPr>
            </w:pPr>
            <w:r w:rsidRPr="00490211">
              <w:rPr>
                <w:rFonts w:cs="Calibri"/>
                <w:b/>
                <w:bCs/>
                <w:color w:val="FFFFFF"/>
                <w:sz w:val="20"/>
                <w:szCs w:val="20"/>
                <w:lang w:eastAsia="en-AU"/>
              </w:rPr>
              <w:t>Combined </w:t>
            </w:r>
          </w:p>
        </w:tc>
        <w:tc>
          <w:tcPr>
            <w:tcW w:w="1924" w:type="dxa"/>
            <w:tcBorders>
              <w:top w:val="nil"/>
              <w:left w:val="nil"/>
              <w:bottom w:val="single" w:sz="6" w:space="0" w:color="FFFFFF"/>
              <w:right w:val="single" w:sz="6" w:space="0" w:color="FFFFFF"/>
            </w:tcBorders>
            <w:shd w:val="clear" w:color="auto" w:fill="DEEAF6"/>
            <w:hideMark/>
          </w:tcPr>
          <w:p w14:paraId="675EFB5A"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Small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DEEAF6"/>
            <w:hideMark/>
          </w:tcPr>
          <w:p w14:paraId="41DD9725" w14:textId="7CE9F90E" w:rsidR="001C219A" w:rsidRPr="00490211" w:rsidRDefault="001C219A" w:rsidP="00D07C0E">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r w:rsidR="00D07C0E">
              <w:rPr>
                <w:rFonts w:cs="Calibri"/>
                <w:sz w:val="20"/>
                <w:szCs w:val="20"/>
                <w:lang w:eastAsia="en-AU"/>
              </w:rPr>
              <w:t>3(569)</w:t>
            </w:r>
          </w:p>
        </w:tc>
        <w:tc>
          <w:tcPr>
            <w:tcW w:w="1276" w:type="dxa"/>
            <w:tcBorders>
              <w:top w:val="nil"/>
              <w:left w:val="nil"/>
              <w:bottom w:val="single" w:sz="6" w:space="0" w:color="FFFFFF"/>
              <w:right w:val="single" w:sz="6" w:space="0" w:color="FFFFFF"/>
            </w:tcBorders>
            <w:shd w:val="clear" w:color="auto" w:fill="DEEAF6"/>
            <w:hideMark/>
          </w:tcPr>
          <w:p w14:paraId="6CFC2C0C"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418" w:type="dxa"/>
            <w:tcBorders>
              <w:top w:val="nil"/>
              <w:left w:val="nil"/>
              <w:bottom w:val="single" w:sz="6" w:space="0" w:color="FFFFFF"/>
              <w:right w:val="single" w:sz="6" w:space="0" w:color="FFFFFF"/>
            </w:tcBorders>
            <w:shd w:val="clear" w:color="auto" w:fill="DEEAF6"/>
            <w:hideMark/>
          </w:tcPr>
          <w:p w14:paraId="2132BEC0"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DEEAF6"/>
            <w:hideMark/>
          </w:tcPr>
          <w:p w14:paraId="32CC7EED" w14:textId="04E9CDDE"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w:t>
            </w:r>
            <w:r>
              <w:rPr>
                <w:rFonts w:cs="Calibri"/>
                <w:color w:val="000000"/>
                <w:sz w:val="20"/>
                <w:szCs w:val="20"/>
                <w:lang w:eastAsia="en-AU"/>
              </w:rPr>
              <w:t xml:space="preserve"> </w:t>
            </w:r>
            <w:r w:rsidRPr="00490211">
              <w:rPr>
                <w:rFonts w:cs="Calibri"/>
                <w:color w:val="000000"/>
                <w:sz w:val="20"/>
                <w:szCs w:val="20"/>
                <w:lang w:eastAsia="en-AU"/>
              </w:rPr>
              <w:t>(1</w:t>
            </w:r>
            <w:r w:rsidR="00B76549">
              <w:rPr>
                <w:rFonts w:cs="Calibri"/>
                <w:color w:val="000000"/>
                <w:sz w:val="20"/>
                <w:szCs w:val="20"/>
                <w:lang w:eastAsia="en-AU"/>
              </w:rPr>
              <w:t>36</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6A2E2642"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32EA239A"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1F2DC6ED"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BDD6EE"/>
            <w:hideMark/>
          </w:tcPr>
          <w:p w14:paraId="3A352593"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Medium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BDD6EE"/>
            <w:hideMark/>
          </w:tcPr>
          <w:p w14:paraId="23EF4A14"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276" w:type="dxa"/>
            <w:tcBorders>
              <w:top w:val="nil"/>
              <w:left w:val="nil"/>
              <w:bottom w:val="single" w:sz="6" w:space="0" w:color="FFFFFF"/>
              <w:right w:val="single" w:sz="6" w:space="0" w:color="FFFFFF"/>
            </w:tcBorders>
            <w:shd w:val="clear" w:color="auto" w:fill="BDD6EE"/>
            <w:hideMark/>
          </w:tcPr>
          <w:p w14:paraId="2DF9944B" w14:textId="34F40033"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 (4</w:t>
            </w:r>
            <w:r w:rsidR="00274BE9">
              <w:rPr>
                <w:rFonts w:cs="Calibri"/>
                <w:color w:val="000000"/>
                <w:sz w:val="20"/>
                <w:szCs w:val="20"/>
                <w:lang w:eastAsia="en-AU"/>
              </w:rPr>
              <w:t>26</w:t>
            </w:r>
            <w:r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BDD6EE"/>
            <w:hideMark/>
          </w:tcPr>
          <w:p w14:paraId="5ABACF78" w14:textId="3F872DB5"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2 (</w:t>
            </w:r>
            <w:r w:rsidR="00642553">
              <w:rPr>
                <w:rFonts w:cs="Calibri"/>
                <w:color w:val="000000"/>
                <w:sz w:val="20"/>
                <w:szCs w:val="20"/>
                <w:lang w:eastAsia="en-AU"/>
              </w:rPr>
              <w:t>804</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BDD6EE"/>
            <w:hideMark/>
          </w:tcPr>
          <w:p w14:paraId="4BB620B6"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BDD6EE"/>
            <w:hideMark/>
          </w:tcPr>
          <w:p w14:paraId="2511B219"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r w:rsidR="001C219A" w:rsidRPr="00490211" w14:paraId="2C32C35B" w14:textId="77777777" w:rsidTr="00F10F47">
        <w:trPr>
          <w:trHeight w:val="300"/>
        </w:trPr>
        <w:tc>
          <w:tcPr>
            <w:tcW w:w="0" w:type="auto"/>
            <w:vMerge/>
            <w:tcBorders>
              <w:top w:val="nil"/>
              <w:left w:val="single" w:sz="6" w:space="0" w:color="FFFFFF"/>
              <w:bottom w:val="single" w:sz="6" w:space="0" w:color="FFFFFF"/>
              <w:right w:val="single" w:sz="6" w:space="0" w:color="FFFFFF"/>
            </w:tcBorders>
            <w:shd w:val="clear" w:color="auto" w:fill="auto"/>
            <w:vAlign w:val="center"/>
            <w:hideMark/>
          </w:tcPr>
          <w:p w14:paraId="5B649F77" w14:textId="77777777" w:rsidR="001C219A" w:rsidRPr="00490211" w:rsidRDefault="001C219A" w:rsidP="00F10F47">
            <w:pPr>
              <w:spacing w:line="240" w:lineRule="auto"/>
              <w:rPr>
                <w:rFonts w:ascii="Segoe UI" w:hAnsi="Segoe UI" w:cs="Segoe UI"/>
                <w:b/>
                <w:bCs/>
                <w:color w:val="FFFFFF"/>
                <w:sz w:val="18"/>
                <w:szCs w:val="18"/>
                <w:lang w:eastAsia="en-AU"/>
              </w:rPr>
            </w:pPr>
          </w:p>
        </w:tc>
        <w:tc>
          <w:tcPr>
            <w:tcW w:w="1924" w:type="dxa"/>
            <w:tcBorders>
              <w:top w:val="nil"/>
              <w:left w:val="nil"/>
              <w:bottom w:val="single" w:sz="6" w:space="0" w:color="FFFFFF"/>
              <w:right w:val="single" w:sz="6" w:space="0" w:color="FFFFFF"/>
            </w:tcBorders>
            <w:shd w:val="clear" w:color="auto" w:fill="DEEAF6"/>
            <w:hideMark/>
          </w:tcPr>
          <w:p w14:paraId="3E466DE0"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b/>
                <w:bCs/>
                <w:color w:val="000000"/>
                <w:sz w:val="20"/>
                <w:szCs w:val="20"/>
                <w:lang w:eastAsia="en-AU"/>
              </w:rPr>
              <w:t>Large School</w:t>
            </w:r>
            <w:r w:rsidRPr="00490211">
              <w:rPr>
                <w:rFonts w:cs="Calibri"/>
                <w:sz w:val="20"/>
                <w:szCs w:val="20"/>
                <w:lang w:eastAsia="en-AU"/>
              </w:rPr>
              <w:t> </w:t>
            </w:r>
          </w:p>
        </w:tc>
        <w:tc>
          <w:tcPr>
            <w:tcW w:w="1417" w:type="dxa"/>
            <w:tcBorders>
              <w:top w:val="nil"/>
              <w:left w:val="nil"/>
              <w:bottom w:val="single" w:sz="6" w:space="0" w:color="FFFFFF"/>
              <w:right w:val="single" w:sz="6" w:space="0" w:color="FFFFFF"/>
            </w:tcBorders>
            <w:shd w:val="clear" w:color="auto" w:fill="DEEAF6"/>
            <w:hideMark/>
          </w:tcPr>
          <w:p w14:paraId="2EF1F574" w14:textId="141973F8"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16 (2</w:t>
            </w:r>
            <w:r w:rsidR="00642553">
              <w:rPr>
                <w:rFonts w:cs="Calibri"/>
                <w:color w:val="000000"/>
                <w:sz w:val="20"/>
                <w:szCs w:val="20"/>
                <w:lang w:eastAsia="en-AU"/>
              </w:rPr>
              <w:t>3</w:t>
            </w:r>
            <w:r w:rsidRPr="00490211">
              <w:rPr>
                <w:rFonts w:cs="Calibri"/>
                <w:color w:val="000000"/>
                <w:sz w:val="20"/>
                <w:szCs w:val="20"/>
                <w:lang w:eastAsia="en-AU"/>
              </w:rPr>
              <w:t>,</w:t>
            </w:r>
            <w:r w:rsidR="00642553">
              <w:rPr>
                <w:rFonts w:cs="Calibri"/>
                <w:color w:val="000000"/>
                <w:sz w:val="20"/>
                <w:szCs w:val="20"/>
                <w:lang w:eastAsia="en-AU"/>
              </w:rPr>
              <w:t>082</w:t>
            </w:r>
            <w:r w:rsidRPr="00490211">
              <w:rPr>
                <w:rFonts w:cs="Calibri"/>
                <w:color w:val="000000"/>
                <w:sz w:val="20"/>
                <w:szCs w:val="20"/>
                <w:lang w:eastAsia="en-AU"/>
              </w:rPr>
              <w:t>)</w:t>
            </w:r>
          </w:p>
        </w:tc>
        <w:tc>
          <w:tcPr>
            <w:tcW w:w="1276" w:type="dxa"/>
            <w:tcBorders>
              <w:top w:val="nil"/>
              <w:left w:val="nil"/>
              <w:bottom w:val="single" w:sz="6" w:space="0" w:color="FFFFFF"/>
              <w:right w:val="single" w:sz="6" w:space="0" w:color="FFFFFF"/>
            </w:tcBorders>
            <w:shd w:val="clear" w:color="auto" w:fill="DEEAF6"/>
            <w:hideMark/>
          </w:tcPr>
          <w:p w14:paraId="13623D22" w14:textId="66D445FF"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6 (5,</w:t>
            </w:r>
            <w:r w:rsidR="00642553">
              <w:rPr>
                <w:rFonts w:cs="Calibri"/>
                <w:color w:val="000000"/>
                <w:sz w:val="20"/>
                <w:szCs w:val="20"/>
                <w:lang w:eastAsia="en-AU"/>
              </w:rPr>
              <w:t>512</w:t>
            </w:r>
            <w:r w:rsidRPr="00490211">
              <w:rPr>
                <w:rFonts w:cs="Calibri"/>
                <w:color w:val="000000"/>
                <w:sz w:val="20"/>
                <w:szCs w:val="20"/>
                <w:lang w:eastAsia="en-AU"/>
              </w:rPr>
              <w:t>)</w:t>
            </w:r>
          </w:p>
        </w:tc>
        <w:tc>
          <w:tcPr>
            <w:tcW w:w="1418" w:type="dxa"/>
            <w:tcBorders>
              <w:top w:val="nil"/>
              <w:left w:val="nil"/>
              <w:bottom w:val="single" w:sz="6" w:space="0" w:color="FFFFFF"/>
              <w:right w:val="single" w:sz="6" w:space="0" w:color="FFFFFF"/>
            </w:tcBorders>
            <w:shd w:val="clear" w:color="auto" w:fill="DEEAF6"/>
            <w:hideMark/>
          </w:tcPr>
          <w:p w14:paraId="3ACFFA99" w14:textId="75C8383C" w:rsidR="001C219A" w:rsidRPr="00490211" w:rsidRDefault="001C219A" w:rsidP="00F10F47">
            <w:pPr>
              <w:spacing w:line="240" w:lineRule="auto"/>
              <w:jc w:val="right"/>
              <w:textAlignment w:val="baseline"/>
              <w:rPr>
                <w:rFonts w:ascii="Segoe UI" w:hAnsi="Segoe UI" w:cs="Segoe UI"/>
                <w:sz w:val="18"/>
                <w:szCs w:val="18"/>
                <w:lang w:eastAsia="en-AU"/>
              </w:rPr>
            </w:pPr>
            <w:r w:rsidRPr="00490211">
              <w:rPr>
                <w:rFonts w:cs="Calibri"/>
                <w:color w:val="000000"/>
                <w:sz w:val="20"/>
                <w:szCs w:val="20"/>
                <w:lang w:eastAsia="en-AU"/>
              </w:rPr>
              <w:t>7 (7,</w:t>
            </w:r>
            <w:r w:rsidR="00642553">
              <w:rPr>
                <w:rFonts w:cs="Calibri"/>
                <w:color w:val="000000"/>
                <w:sz w:val="20"/>
                <w:szCs w:val="20"/>
                <w:lang w:eastAsia="en-AU"/>
              </w:rPr>
              <w:t>769</w:t>
            </w:r>
            <w:r w:rsidRPr="00490211">
              <w:rPr>
                <w:rFonts w:cs="Calibri"/>
                <w:color w:val="000000"/>
                <w:sz w:val="20"/>
                <w:szCs w:val="20"/>
                <w:lang w:eastAsia="en-AU"/>
              </w:rPr>
              <w:t>)</w:t>
            </w:r>
          </w:p>
        </w:tc>
        <w:tc>
          <w:tcPr>
            <w:tcW w:w="1134" w:type="dxa"/>
            <w:tcBorders>
              <w:top w:val="nil"/>
              <w:left w:val="nil"/>
              <w:bottom w:val="single" w:sz="6" w:space="0" w:color="FFFFFF"/>
              <w:right w:val="single" w:sz="6" w:space="0" w:color="FFFFFF"/>
            </w:tcBorders>
            <w:shd w:val="clear" w:color="auto" w:fill="DEEAF6"/>
            <w:hideMark/>
          </w:tcPr>
          <w:p w14:paraId="57CD90BA"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c>
          <w:tcPr>
            <w:tcW w:w="1134" w:type="dxa"/>
            <w:tcBorders>
              <w:top w:val="nil"/>
              <w:left w:val="nil"/>
              <w:bottom w:val="single" w:sz="6" w:space="0" w:color="FFFFFF"/>
              <w:right w:val="single" w:sz="6" w:space="0" w:color="FFFFFF"/>
            </w:tcBorders>
            <w:shd w:val="clear" w:color="auto" w:fill="DEEAF6"/>
            <w:hideMark/>
          </w:tcPr>
          <w:p w14:paraId="043624E9" w14:textId="77777777" w:rsidR="001C219A" w:rsidRPr="00490211" w:rsidRDefault="001C219A" w:rsidP="00F10F47">
            <w:pPr>
              <w:spacing w:line="240" w:lineRule="auto"/>
              <w:textAlignment w:val="baseline"/>
              <w:rPr>
                <w:rFonts w:ascii="Segoe UI" w:hAnsi="Segoe UI" w:cs="Segoe UI"/>
                <w:sz w:val="18"/>
                <w:szCs w:val="18"/>
                <w:lang w:eastAsia="en-AU"/>
              </w:rPr>
            </w:pPr>
            <w:r w:rsidRPr="00490211">
              <w:rPr>
                <w:rFonts w:cs="Calibri"/>
                <w:color w:val="000000"/>
                <w:sz w:val="20"/>
                <w:szCs w:val="20"/>
                <w:lang w:eastAsia="en-AU"/>
              </w:rPr>
              <w:t> </w:t>
            </w:r>
            <w:r w:rsidRPr="00490211">
              <w:rPr>
                <w:rFonts w:cs="Calibri"/>
                <w:sz w:val="20"/>
                <w:szCs w:val="20"/>
                <w:lang w:eastAsia="en-AU"/>
              </w:rPr>
              <w:t> </w:t>
            </w:r>
          </w:p>
        </w:tc>
      </w:tr>
    </w:tbl>
    <w:p w14:paraId="327D4331" w14:textId="77777777" w:rsidR="001C219A" w:rsidRPr="00EE4DD2" w:rsidRDefault="001C219A" w:rsidP="001C219A">
      <w:pPr>
        <w:rPr>
          <w:sz w:val="16"/>
          <w:szCs w:val="16"/>
        </w:rPr>
      </w:pPr>
      <w:r w:rsidRPr="00EE4DD2">
        <w:rPr>
          <w:b/>
          <w:bCs/>
          <w:sz w:val="16"/>
          <w:szCs w:val="16"/>
        </w:rPr>
        <w:t>NOTE:</w:t>
      </w:r>
      <w:r w:rsidRPr="00EE4DD2">
        <w:rPr>
          <w:sz w:val="16"/>
          <w:szCs w:val="16"/>
        </w:rPr>
        <w:t xml:space="preserve"> Small schools are schools with &lt;5 students (primary) and &lt;100 students (secondary). Large schools are schools with 300+ students (primary) and 700+ students (secondary)</w:t>
      </w:r>
    </w:p>
    <w:p w14:paraId="7C546B4E" w14:textId="77777777" w:rsidR="00C5718B" w:rsidRDefault="00C5718B" w:rsidP="00395EB0">
      <w:pPr>
        <w:spacing w:line="240" w:lineRule="auto"/>
      </w:pPr>
    </w:p>
    <w:p w14:paraId="0A876D12" w14:textId="567B1D45" w:rsidR="001C219A" w:rsidRPr="00482075" w:rsidRDefault="001C219A" w:rsidP="001C219A">
      <w:r w:rsidRPr="00482075">
        <w:t xml:space="preserve">While the majority of Catholic school students attend schools in major cities and inner regional areas, twenty percent of students attend 86 schools spread across the vast areas classified as outer regional, remote and very remote Queensland. </w:t>
      </w:r>
      <w:r w:rsidR="00C5718B">
        <w:t>T</w:t>
      </w:r>
      <w:r w:rsidRPr="00482075">
        <w:t xml:space="preserve">hese schools are typically small </w:t>
      </w:r>
      <w:r w:rsidR="00C5718B">
        <w:t xml:space="preserve">primary </w:t>
      </w:r>
      <w:r w:rsidRPr="00482075">
        <w:t>schools.</w:t>
      </w:r>
    </w:p>
    <w:p w14:paraId="4C1EC286" w14:textId="53195C14" w:rsidR="00663DA1" w:rsidRDefault="00663DA1" w:rsidP="00395EB0">
      <w:pPr>
        <w:spacing w:line="240" w:lineRule="auto"/>
      </w:pPr>
    </w:p>
    <w:p w14:paraId="60CDD48F" w14:textId="067ED473" w:rsidR="00663DA1" w:rsidRDefault="00663DA1" w:rsidP="00663DA1">
      <w:r w:rsidRPr="00482075">
        <w:t xml:space="preserve">The requirement to have </w:t>
      </w:r>
      <w:r>
        <w:t>S</w:t>
      </w:r>
      <w:r w:rsidRPr="00482075">
        <w:t xml:space="preserve">chool </w:t>
      </w:r>
      <w:r>
        <w:t>W</w:t>
      </w:r>
      <w:r w:rsidRPr="00482075">
        <w:t xml:space="preserve">ellbeing </w:t>
      </w:r>
      <w:r>
        <w:t>L</w:t>
      </w:r>
      <w:r w:rsidRPr="00482075">
        <w:t>eaders at</w:t>
      </w:r>
      <w:r w:rsidR="004A2A1B">
        <w:t xml:space="preserve"> </w:t>
      </w:r>
      <w:r w:rsidR="009E475C">
        <w:t>each of</w:t>
      </w:r>
      <w:r w:rsidRPr="00482075">
        <w:t xml:space="preserve"> these schools would come at a significant</w:t>
      </w:r>
      <w:r>
        <w:t xml:space="preserve"> cost to school authorities with schools in these remote locations</w:t>
      </w:r>
      <w:r w:rsidRPr="00482075">
        <w:t>.</w:t>
      </w:r>
    </w:p>
    <w:p w14:paraId="4AA8F833" w14:textId="77777777" w:rsidR="00395EB0" w:rsidRDefault="00395EB0" w:rsidP="00663DA1"/>
    <w:p w14:paraId="2DC47141" w14:textId="77777777" w:rsidR="00395EB0" w:rsidRDefault="00D71E3F" w:rsidP="001C219A">
      <w:pPr>
        <w:rPr>
          <w:b/>
          <w:bCs/>
        </w:rPr>
      </w:pPr>
      <w:r>
        <w:rPr>
          <w:b/>
          <w:bCs/>
        </w:rPr>
        <w:t xml:space="preserve">Map 2: </w:t>
      </w:r>
      <w:r w:rsidR="001C219A">
        <w:rPr>
          <w:b/>
          <w:bCs/>
        </w:rPr>
        <w:t>Remote and very remote Catholic schools in Queensland</w:t>
      </w:r>
    </w:p>
    <w:p w14:paraId="0681A47C" w14:textId="4BEAF080" w:rsidR="00491CD3" w:rsidRDefault="001C219A">
      <w:pPr>
        <w:rPr>
          <w:b/>
          <w:bCs/>
        </w:rPr>
      </w:pPr>
      <w:r>
        <w:rPr>
          <w:noProof/>
          <w:lang w:eastAsia="en-AU" w:bidi="ar-SA"/>
        </w:rPr>
        <w:drawing>
          <wp:inline distT="0" distB="0" distL="0" distR="0" wp14:anchorId="5E7C3A96" wp14:editId="3DABC354">
            <wp:extent cx="2864969" cy="3371850"/>
            <wp:effectExtent l="0" t="0" r="0" b="0"/>
            <wp:docPr id="3" name="Picture 3" descr="C:\Users\Beatrixb\AppData\Local\Microsoft\Windows\INetCache\Content.MSO\D89030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xb\AppData\Local\Microsoft\Windows\INetCache\Content.MSO\D890304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5049" cy="3430791"/>
                    </a:xfrm>
                    <a:prstGeom prst="rect">
                      <a:avLst/>
                    </a:prstGeom>
                    <a:noFill/>
                    <a:ln>
                      <a:noFill/>
                    </a:ln>
                  </pic:spPr>
                </pic:pic>
              </a:graphicData>
            </a:graphic>
          </wp:inline>
        </w:drawing>
      </w:r>
    </w:p>
    <w:p w14:paraId="0F193831" w14:textId="77777777" w:rsidR="00491CD3" w:rsidRDefault="00491CD3">
      <w:pPr>
        <w:rPr>
          <w:b/>
          <w:bCs/>
        </w:rPr>
      </w:pPr>
      <w:r>
        <w:rPr>
          <w:b/>
          <w:bCs/>
        </w:rPr>
        <w:br w:type="page"/>
      </w:r>
    </w:p>
    <w:p w14:paraId="003F40CD" w14:textId="252E911C" w:rsidR="001C219A" w:rsidRPr="00535222" w:rsidRDefault="001C219A" w:rsidP="001C219A">
      <w:pPr>
        <w:rPr>
          <w:b/>
          <w:bCs/>
        </w:rPr>
      </w:pPr>
      <w:r w:rsidRPr="00535222">
        <w:rPr>
          <w:b/>
          <w:bCs/>
        </w:rPr>
        <w:lastRenderedPageBreak/>
        <w:t>Information request 17.1c</w:t>
      </w:r>
    </w:p>
    <w:p w14:paraId="15A5B757" w14:textId="4DEDA477" w:rsidR="001C219A" w:rsidRPr="00535222" w:rsidRDefault="001C219A" w:rsidP="001C219A">
      <w:pPr>
        <w:rPr>
          <w:b/>
          <w:bCs/>
        </w:rPr>
      </w:pPr>
      <w:r w:rsidRPr="00535222">
        <w:rPr>
          <w:b/>
          <w:bCs/>
        </w:rPr>
        <w:t>What would be the number of students enrolled in a school above which a full-time School Wellbeing Leader would be required?</w:t>
      </w:r>
    </w:p>
    <w:p w14:paraId="30CB502F" w14:textId="77777777" w:rsidR="00535222" w:rsidRPr="00AD675D" w:rsidRDefault="00535222" w:rsidP="001C219A"/>
    <w:p w14:paraId="1177474C" w14:textId="02CFE495" w:rsidR="001C219A" w:rsidRDefault="001C219A" w:rsidP="001C219A">
      <w:r>
        <w:t xml:space="preserve">QCEC believes that the ratio of School Wellbeing Leaders to students requires further discussion. </w:t>
      </w:r>
    </w:p>
    <w:p w14:paraId="7C80E2DF" w14:textId="77777777" w:rsidR="00535222" w:rsidRDefault="00535222" w:rsidP="001C219A"/>
    <w:p w14:paraId="27F6E36B" w14:textId="33A8345C" w:rsidR="001C219A" w:rsidRDefault="00223F00" w:rsidP="001C219A">
      <w:r>
        <w:t xml:space="preserve">On page 689 of the </w:t>
      </w:r>
      <w:r w:rsidR="001C219A">
        <w:t xml:space="preserve">draft report </w:t>
      </w:r>
      <w:r>
        <w:t xml:space="preserve">the Productivity Commission </w:t>
      </w:r>
      <w:r w:rsidR="001C219A">
        <w:t xml:space="preserve">suggests that schools with more than </w:t>
      </w:r>
      <w:r w:rsidR="001C219A" w:rsidRPr="00223F00">
        <w:t>200</w:t>
      </w:r>
      <w:r w:rsidR="001C219A" w:rsidRPr="0074054B">
        <w:rPr>
          <w:b/>
          <w:bCs/>
        </w:rPr>
        <w:t xml:space="preserve"> </w:t>
      </w:r>
      <w:r w:rsidR="001C219A" w:rsidRPr="00CE1CC7">
        <w:t>students should have a full-time School Wellbeing Leader. QCEC believes that this recommendation is</w:t>
      </w:r>
      <w:r w:rsidR="001C219A">
        <w:t xml:space="preserve"> too simplistic and does not adequately consider factors affecting the need for these positions, including the age and background of students.</w:t>
      </w:r>
    </w:p>
    <w:p w14:paraId="61759EF8" w14:textId="77777777" w:rsidR="00535222" w:rsidRDefault="00535222" w:rsidP="001C219A"/>
    <w:p w14:paraId="457F3D5E" w14:textId="616B2CB5" w:rsidR="001C219A" w:rsidRDefault="0013712D" w:rsidP="001C219A">
      <w:r>
        <w:t xml:space="preserve">QCEC cautions against a one size fits all approach </w:t>
      </w:r>
      <w:r w:rsidR="004F5F63">
        <w:t>and suggests that</w:t>
      </w:r>
      <w:r w:rsidR="001C219A">
        <w:t xml:space="preserve"> the Productivity Commission consider the different contexts in which primary and secondary schools operate and how the location of schools </w:t>
      </w:r>
      <w:r w:rsidR="00480705">
        <w:t xml:space="preserve">and the characteristics of the student cohort </w:t>
      </w:r>
      <w:r w:rsidR="001C219A">
        <w:t xml:space="preserve">impact on the needs for Student Wellbeing Leaders. </w:t>
      </w:r>
    </w:p>
    <w:p w14:paraId="3D6225BA" w14:textId="77777777" w:rsidR="001C219A" w:rsidRDefault="001C219A" w:rsidP="001C219A"/>
    <w:p w14:paraId="0B3ED968" w14:textId="671E7305" w:rsidR="001C219A" w:rsidRDefault="001C219A" w:rsidP="001C219A">
      <w:r>
        <w:t xml:space="preserve">QCEC would also like to see increased consideration for </w:t>
      </w:r>
      <w:r w:rsidRPr="0024298A">
        <w:t xml:space="preserve">remote and very remote schools </w:t>
      </w:r>
      <w:r>
        <w:t>and schools with a</w:t>
      </w:r>
      <w:r w:rsidRPr="0024298A">
        <w:t xml:space="preserve"> higher percentage of indigenous students</w:t>
      </w:r>
      <w:r>
        <w:t>.</w:t>
      </w:r>
    </w:p>
    <w:p w14:paraId="0B4D387E" w14:textId="77777777" w:rsidR="00C23B92" w:rsidRDefault="00C23B92" w:rsidP="00D63E51"/>
    <w:p w14:paraId="4FE10517" w14:textId="48D325F7" w:rsidR="00D63E51" w:rsidRPr="00815685" w:rsidRDefault="00D63E51" w:rsidP="00D63E51">
      <w:pPr>
        <w:rPr>
          <w:b/>
          <w:bCs/>
        </w:rPr>
      </w:pPr>
      <w:r>
        <w:rPr>
          <w:b/>
          <w:bCs/>
        </w:rPr>
        <w:t xml:space="preserve">Table 4: </w:t>
      </w:r>
      <w:r w:rsidRPr="00815685">
        <w:rPr>
          <w:b/>
          <w:bCs/>
        </w:rPr>
        <w:t>Location of Catholic schools in Queensland</w:t>
      </w:r>
      <w:r w:rsidR="00A746D2">
        <w:rPr>
          <w:b/>
          <w:bCs/>
        </w:rPr>
        <w:t xml:space="preserve"> and percentage of Indig</w:t>
      </w:r>
      <w:r w:rsidR="00F56855">
        <w:rPr>
          <w:b/>
          <w:bCs/>
        </w:rPr>
        <w:t xml:space="preserve">enous students </w:t>
      </w:r>
    </w:p>
    <w:tbl>
      <w:tblPr>
        <w:tblStyle w:val="GridTable5Dark-Accent1"/>
        <w:tblW w:w="9493" w:type="dxa"/>
        <w:tblLook w:val="04A0" w:firstRow="1" w:lastRow="0" w:firstColumn="1" w:lastColumn="0" w:noHBand="0" w:noVBand="1"/>
      </w:tblPr>
      <w:tblGrid>
        <w:gridCol w:w="1560"/>
        <w:gridCol w:w="2404"/>
        <w:gridCol w:w="1701"/>
        <w:gridCol w:w="1843"/>
        <w:gridCol w:w="1985"/>
      </w:tblGrid>
      <w:tr w:rsidR="00D63E51" w:rsidRPr="0082691D" w14:paraId="03360559" w14:textId="77777777" w:rsidTr="00D64C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68D182E" w14:textId="77777777"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Remoteness</w:t>
            </w:r>
          </w:p>
        </w:tc>
        <w:tc>
          <w:tcPr>
            <w:tcW w:w="2404" w:type="dxa"/>
            <w:noWrap/>
            <w:hideMark/>
          </w:tcPr>
          <w:p w14:paraId="6DE54180" w14:textId="77777777" w:rsidR="00D63E51" w:rsidRPr="0082691D" w:rsidRDefault="00D63E51" w:rsidP="00D64CF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xml:space="preserve">Education </w:t>
            </w:r>
            <w:r>
              <w:rPr>
                <w:rFonts w:ascii="Calibri" w:eastAsia="Times New Roman" w:hAnsi="Calibri" w:cs="Calibri"/>
                <w:bCs w:val="0"/>
                <w:sz w:val="20"/>
                <w:szCs w:val="20"/>
                <w:lang w:eastAsia="en-AU"/>
              </w:rPr>
              <w:t>l</w:t>
            </w:r>
            <w:r w:rsidRPr="0082691D">
              <w:rPr>
                <w:rFonts w:ascii="Calibri" w:eastAsia="Times New Roman" w:hAnsi="Calibri" w:cs="Calibri"/>
                <w:bCs w:val="0"/>
                <w:sz w:val="20"/>
                <w:szCs w:val="20"/>
                <w:lang w:eastAsia="en-AU"/>
              </w:rPr>
              <w:t>evel</w:t>
            </w:r>
          </w:p>
        </w:tc>
        <w:tc>
          <w:tcPr>
            <w:tcW w:w="1701" w:type="dxa"/>
            <w:noWrap/>
            <w:hideMark/>
          </w:tcPr>
          <w:p w14:paraId="0F0EAC76" w14:textId="77777777" w:rsidR="00D63E51" w:rsidRPr="0082691D" w:rsidRDefault="00D63E51" w:rsidP="00D64CF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Indigenous</w:t>
            </w:r>
          </w:p>
        </w:tc>
        <w:tc>
          <w:tcPr>
            <w:tcW w:w="1843" w:type="dxa"/>
            <w:noWrap/>
            <w:hideMark/>
          </w:tcPr>
          <w:p w14:paraId="40FAE024" w14:textId="77777777" w:rsidR="00D63E51" w:rsidRPr="0082691D" w:rsidRDefault="00D63E51" w:rsidP="00D64CF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Total</w:t>
            </w:r>
          </w:p>
        </w:tc>
        <w:tc>
          <w:tcPr>
            <w:tcW w:w="1985" w:type="dxa"/>
            <w:noWrap/>
            <w:hideMark/>
          </w:tcPr>
          <w:p w14:paraId="7375A489" w14:textId="77777777" w:rsidR="00D63E51" w:rsidRPr="0082691D" w:rsidRDefault="00D63E51" w:rsidP="00D64CF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Indigenous</w:t>
            </w:r>
          </w:p>
        </w:tc>
      </w:tr>
      <w:tr w:rsidR="00D63E51" w:rsidRPr="0082691D" w14:paraId="4E3289B9" w14:textId="77777777" w:rsidTr="006C79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4A77D843" w14:textId="7F50DCAA"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xml:space="preserve">Major </w:t>
            </w:r>
            <w:r w:rsidR="007372E0">
              <w:rPr>
                <w:rFonts w:ascii="Calibri" w:eastAsia="Times New Roman" w:hAnsi="Calibri" w:cs="Calibri"/>
                <w:bCs w:val="0"/>
                <w:sz w:val="20"/>
                <w:szCs w:val="20"/>
                <w:lang w:eastAsia="en-AU"/>
              </w:rPr>
              <w:t>c</w:t>
            </w:r>
            <w:r w:rsidRPr="0082691D">
              <w:rPr>
                <w:rFonts w:ascii="Calibri" w:eastAsia="Times New Roman" w:hAnsi="Calibri" w:cs="Calibri"/>
                <w:bCs w:val="0"/>
                <w:sz w:val="20"/>
                <w:szCs w:val="20"/>
                <w:lang w:eastAsia="en-AU"/>
              </w:rPr>
              <w:t>ities</w:t>
            </w:r>
          </w:p>
        </w:tc>
        <w:tc>
          <w:tcPr>
            <w:tcW w:w="2404" w:type="dxa"/>
            <w:noWrap/>
            <w:hideMark/>
          </w:tcPr>
          <w:p w14:paraId="72B04D45" w14:textId="77777777" w:rsidR="00D63E51" w:rsidRPr="0082691D" w:rsidRDefault="00D63E51" w:rsidP="00D6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Primary</w:t>
            </w:r>
          </w:p>
        </w:tc>
        <w:tc>
          <w:tcPr>
            <w:tcW w:w="1701" w:type="dxa"/>
            <w:noWrap/>
            <w:vAlign w:val="bottom"/>
            <w:hideMark/>
          </w:tcPr>
          <w:p w14:paraId="7091331E" w14:textId="4D4CEA62"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1,033.4</w:t>
            </w:r>
          </w:p>
        </w:tc>
        <w:tc>
          <w:tcPr>
            <w:tcW w:w="1843" w:type="dxa"/>
            <w:noWrap/>
            <w:vAlign w:val="bottom"/>
            <w:hideMark/>
          </w:tcPr>
          <w:p w14:paraId="0D630B33" w14:textId="59CD2F69"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47,229.0</w:t>
            </w:r>
          </w:p>
        </w:tc>
        <w:tc>
          <w:tcPr>
            <w:tcW w:w="1985" w:type="dxa"/>
            <w:noWrap/>
            <w:vAlign w:val="bottom"/>
            <w:hideMark/>
          </w:tcPr>
          <w:p w14:paraId="2BB15C66" w14:textId="7727B596"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2.19%</w:t>
            </w:r>
          </w:p>
        </w:tc>
      </w:tr>
      <w:tr w:rsidR="00D63E51" w:rsidRPr="0082691D" w14:paraId="5D878BB6" w14:textId="77777777" w:rsidTr="006C7925">
        <w:trPr>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3DA61CA" w14:textId="77777777" w:rsidR="00D63E51" w:rsidRPr="0082691D" w:rsidRDefault="00D63E51" w:rsidP="00D64CFE">
            <w:pPr>
              <w:rPr>
                <w:rFonts w:ascii="Calibri" w:eastAsia="Times New Roman" w:hAnsi="Calibri" w:cs="Calibri"/>
                <w:b w:val="0"/>
                <w:bCs w:val="0"/>
                <w:sz w:val="20"/>
                <w:szCs w:val="20"/>
                <w:lang w:eastAsia="en-AU"/>
              </w:rPr>
            </w:pPr>
          </w:p>
        </w:tc>
        <w:tc>
          <w:tcPr>
            <w:tcW w:w="2404" w:type="dxa"/>
            <w:noWrap/>
            <w:hideMark/>
          </w:tcPr>
          <w:p w14:paraId="6BE64537" w14:textId="77777777" w:rsidR="00D63E51" w:rsidRPr="0082691D" w:rsidRDefault="00D63E51" w:rsidP="00D64C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Secondary</w:t>
            </w:r>
          </w:p>
        </w:tc>
        <w:tc>
          <w:tcPr>
            <w:tcW w:w="1701" w:type="dxa"/>
            <w:noWrap/>
            <w:vAlign w:val="bottom"/>
            <w:hideMark/>
          </w:tcPr>
          <w:p w14:paraId="7BFA5014" w14:textId="18FF3238" w:rsidR="00D63E51" w:rsidRPr="0082691D" w:rsidRDefault="00D63E5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w:t>
            </w:r>
            <w:r w:rsidR="000E67E1">
              <w:rPr>
                <w:rFonts w:ascii="Calibri" w:hAnsi="Calibri" w:cs="Calibri"/>
                <w:color w:val="000000"/>
              </w:rPr>
              <w:t>133.0</w:t>
            </w:r>
          </w:p>
        </w:tc>
        <w:tc>
          <w:tcPr>
            <w:tcW w:w="1843" w:type="dxa"/>
            <w:noWrap/>
            <w:vAlign w:val="bottom"/>
            <w:hideMark/>
          </w:tcPr>
          <w:p w14:paraId="4CDF0E45" w14:textId="445F7C1D"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42,595.5</w:t>
            </w:r>
          </w:p>
        </w:tc>
        <w:tc>
          <w:tcPr>
            <w:tcW w:w="1985" w:type="dxa"/>
            <w:noWrap/>
            <w:vAlign w:val="bottom"/>
            <w:hideMark/>
          </w:tcPr>
          <w:p w14:paraId="24334269" w14:textId="22B8E713" w:rsidR="00D63E51" w:rsidRPr="0082691D" w:rsidRDefault="00D63E5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2.</w:t>
            </w:r>
            <w:r w:rsidR="000E67E1">
              <w:rPr>
                <w:rFonts w:ascii="Calibri" w:hAnsi="Calibri" w:cs="Calibri"/>
                <w:color w:val="000000"/>
              </w:rPr>
              <w:t>66</w:t>
            </w:r>
            <w:r>
              <w:rPr>
                <w:rFonts w:ascii="Calibri" w:hAnsi="Calibri" w:cs="Calibri"/>
                <w:color w:val="000000"/>
              </w:rPr>
              <w:t>%</w:t>
            </w:r>
          </w:p>
        </w:tc>
      </w:tr>
      <w:tr w:rsidR="00D63E51" w:rsidRPr="0082691D" w14:paraId="295A0F0D" w14:textId="77777777" w:rsidTr="006C79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3407AF97" w14:textId="77777777"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xml:space="preserve">Inner </w:t>
            </w:r>
            <w:r>
              <w:rPr>
                <w:rFonts w:ascii="Calibri" w:eastAsia="Times New Roman" w:hAnsi="Calibri" w:cs="Calibri"/>
                <w:bCs w:val="0"/>
                <w:sz w:val="20"/>
                <w:szCs w:val="20"/>
                <w:lang w:eastAsia="en-AU"/>
              </w:rPr>
              <w:t>r</w:t>
            </w:r>
            <w:r w:rsidRPr="0082691D">
              <w:rPr>
                <w:rFonts w:ascii="Calibri" w:eastAsia="Times New Roman" w:hAnsi="Calibri" w:cs="Calibri"/>
                <w:bCs w:val="0"/>
                <w:sz w:val="20"/>
                <w:szCs w:val="20"/>
                <w:lang w:eastAsia="en-AU"/>
              </w:rPr>
              <w:t>egional</w:t>
            </w:r>
          </w:p>
        </w:tc>
        <w:tc>
          <w:tcPr>
            <w:tcW w:w="2404" w:type="dxa"/>
            <w:noWrap/>
            <w:hideMark/>
          </w:tcPr>
          <w:p w14:paraId="25E811F8" w14:textId="77777777" w:rsidR="00D63E51" w:rsidRPr="0082691D" w:rsidRDefault="00D63E51" w:rsidP="00D6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Primary</w:t>
            </w:r>
          </w:p>
        </w:tc>
        <w:tc>
          <w:tcPr>
            <w:tcW w:w="1701" w:type="dxa"/>
            <w:noWrap/>
            <w:vAlign w:val="bottom"/>
            <w:hideMark/>
          </w:tcPr>
          <w:p w14:paraId="53060FF7" w14:textId="6B8A6FCF"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872.2</w:t>
            </w:r>
          </w:p>
        </w:tc>
        <w:tc>
          <w:tcPr>
            <w:tcW w:w="1843" w:type="dxa"/>
            <w:noWrap/>
            <w:vAlign w:val="bottom"/>
            <w:hideMark/>
          </w:tcPr>
          <w:p w14:paraId="2A9F4B67" w14:textId="2C599C6F" w:rsidR="00D63E51" w:rsidRPr="0082691D" w:rsidRDefault="00D63E5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15,</w:t>
            </w:r>
            <w:r w:rsidR="000E67E1">
              <w:rPr>
                <w:rFonts w:ascii="Calibri" w:hAnsi="Calibri" w:cs="Calibri"/>
                <w:color w:val="000000"/>
              </w:rPr>
              <w:t>063.2</w:t>
            </w:r>
          </w:p>
        </w:tc>
        <w:tc>
          <w:tcPr>
            <w:tcW w:w="1985" w:type="dxa"/>
            <w:noWrap/>
            <w:vAlign w:val="bottom"/>
            <w:hideMark/>
          </w:tcPr>
          <w:p w14:paraId="3C1C6BA3" w14:textId="5F5B1DB9"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5.79%</w:t>
            </w:r>
          </w:p>
        </w:tc>
      </w:tr>
      <w:tr w:rsidR="00D63E51" w:rsidRPr="0082691D" w14:paraId="4E885099" w14:textId="77777777" w:rsidTr="006C7925">
        <w:trPr>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F004075" w14:textId="77777777" w:rsidR="00D63E51" w:rsidRPr="0082691D" w:rsidRDefault="00D63E51" w:rsidP="00D64CFE">
            <w:pPr>
              <w:rPr>
                <w:rFonts w:ascii="Calibri" w:eastAsia="Times New Roman" w:hAnsi="Calibri" w:cs="Calibri"/>
                <w:b w:val="0"/>
                <w:bCs w:val="0"/>
                <w:sz w:val="20"/>
                <w:szCs w:val="20"/>
                <w:lang w:eastAsia="en-AU"/>
              </w:rPr>
            </w:pPr>
          </w:p>
        </w:tc>
        <w:tc>
          <w:tcPr>
            <w:tcW w:w="2404" w:type="dxa"/>
            <w:noWrap/>
            <w:hideMark/>
          </w:tcPr>
          <w:p w14:paraId="47B5C76F" w14:textId="77777777" w:rsidR="00D63E51" w:rsidRPr="0082691D" w:rsidRDefault="00D63E51" w:rsidP="00D64C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Secondary</w:t>
            </w:r>
          </w:p>
        </w:tc>
        <w:tc>
          <w:tcPr>
            <w:tcW w:w="1701" w:type="dxa"/>
            <w:noWrap/>
            <w:vAlign w:val="bottom"/>
            <w:hideMark/>
          </w:tcPr>
          <w:p w14:paraId="23B0BBC7" w14:textId="761AA8FE"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995.0</w:t>
            </w:r>
          </w:p>
        </w:tc>
        <w:tc>
          <w:tcPr>
            <w:tcW w:w="1843" w:type="dxa"/>
            <w:noWrap/>
            <w:vAlign w:val="bottom"/>
            <w:hideMark/>
          </w:tcPr>
          <w:p w14:paraId="4E207B96" w14:textId="2EBC5E5A"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14,382.9</w:t>
            </w:r>
          </w:p>
        </w:tc>
        <w:tc>
          <w:tcPr>
            <w:tcW w:w="1985" w:type="dxa"/>
            <w:noWrap/>
            <w:vAlign w:val="bottom"/>
            <w:hideMark/>
          </w:tcPr>
          <w:p w14:paraId="4F320F78" w14:textId="49BDEE69" w:rsidR="00D63E51" w:rsidRPr="0082691D" w:rsidRDefault="00D63E5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6.</w:t>
            </w:r>
            <w:r w:rsidR="000E67E1">
              <w:rPr>
                <w:rFonts w:ascii="Calibri" w:hAnsi="Calibri" w:cs="Calibri"/>
                <w:color w:val="000000"/>
              </w:rPr>
              <w:t>92</w:t>
            </w:r>
            <w:r>
              <w:rPr>
                <w:rFonts w:ascii="Calibri" w:hAnsi="Calibri" w:cs="Calibri"/>
                <w:color w:val="000000"/>
              </w:rPr>
              <w:t>%</w:t>
            </w:r>
          </w:p>
        </w:tc>
      </w:tr>
      <w:tr w:rsidR="00D63E51" w:rsidRPr="0082691D" w14:paraId="0F7D1BED" w14:textId="77777777" w:rsidTr="006C79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5E88EDE6" w14:textId="77777777"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xml:space="preserve">Outer </w:t>
            </w:r>
            <w:r>
              <w:rPr>
                <w:rFonts w:ascii="Calibri" w:eastAsia="Times New Roman" w:hAnsi="Calibri" w:cs="Calibri"/>
                <w:bCs w:val="0"/>
                <w:sz w:val="20"/>
                <w:szCs w:val="20"/>
                <w:lang w:eastAsia="en-AU"/>
              </w:rPr>
              <w:t>r</w:t>
            </w:r>
            <w:r w:rsidRPr="0082691D">
              <w:rPr>
                <w:rFonts w:ascii="Calibri" w:eastAsia="Times New Roman" w:hAnsi="Calibri" w:cs="Calibri"/>
                <w:bCs w:val="0"/>
                <w:sz w:val="20"/>
                <w:szCs w:val="20"/>
                <w:lang w:eastAsia="en-AU"/>
              </w:rPr>
              <w:t>egion</w:t>
            </w:r>
            <w:r>
              <w:rPr>
                <w:rFonts w:ascii="Calibri" w:eastAsia="Times New Roman" w:hAnsi="Calibri" w:cs="Calibri"/>
                <w:bCs w:val="0"/>
                <w:sz w:val="20"/>
                <w:szCs w:val="20"/>
                <w:lang w:eastAsia="en-AU"/>
              </w:rPr>
              <w:t>al</w:t>
            </w:r>
          </w:p>
        </w:tc>
        <w:tc>
          <w:tcPr>
            <w:tcW w:w="2404" w:type="dxa"/>
            <w:noWrap/>
            <w:hideMark/>
          </w:tcPr>
          <w:p w14:paraId="461B751C" w14:textId="77777777" w:rsidR="00D63E51" w:rsidRPr="0082691D" w:rsidRDefault="00D63E51" w:rsidP="00D6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Primary</w:t>
            </w:r>
          </w:p>
        </w:tc>
        <w:tc>
          <w:tcPr>
            <w:tcW w:w="1701" w:type="dxa"/>
            <w:noWrap/>
            <w:vAlign w:val="bottom"/>
            <w:hideMark/>
          </w:tcPr>
          <w:p w14:paraId="266883DF" w14:textId="5329E4D2"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1,130.6</w:t>
            </w:r>
          </w:p>
        </w:tc>
        <w:tc>
          <w:tcPr>
            <w:tcW w:w="1843" w:type="dxa"/>
            <w:noWrap/>
            <w:vAlign w:val="bottom"/>
            <w:hideMark/>
          </w:tcPr>
          <w:p w14:paraId="1297CD8B" w14:textId="3FF0BA64" w:rsidR="00D63E51" w:rsidRPr="0082691D" w:rsidRDefault="00D63E5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15,</w:t>
            </w:r>
            <w:r w:rsidR="000E67E1">
              <w:rPr>
                <w:rFonts w:ascii="Calibri" w:hAnsi="Calibri" w:cs="Calibri"/>
                <w:color w:val="000000"/>
              </w:rPr>
              <w:t>788.6</w:t>
            </w:r>
          </w:p>
        </w:tc>
        <w:tc>
          <w:tcPr>
            <w:tcW w:w="1985" w:type="dxa"/>
            <w:noWrap/>
            <w:vAlign w:val="bottom"/>
            <w:hideMark/>
          </w:tcPr>
          <w:p w14:paraId="64B50491" w14:textId="6637954F"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7.16%</w:t>
            </w:r>
          </w:p>
        </w:tc>
      </w:tr>
      <w:tr w:rsidR="00D63E51" w:rsidRPr="0082691D" w14:paraId="68868537" w14:textId="77777777" w:rsidTr="006C7925">
        <w:trPr>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DA50021" w14:textId="77777777" w:rsidR="00D63E51" w:rsidRPr="0082691D" w:rsidRDefault="00D63E51" w:rsidP="00D64CFE">
            <w:pPr>
              <w:rPr>
                <w:rFonts w:ascii="Calibri" w:eastAsia="Times New Roman" w:hAnsi="Calibri" w:cs="Calibri"/>
                <w:b w:val="0"/>
                <w:bCs w:val="0"/>
                <w:sz w:val="20"/>
                <w:szCs w:val="20"/>
                <w:lang w:eastAsia="en-AU"/>
              </w:rPr>
            </w:pPr>
          </w:p>
        </w:tc>
        <w:tc>
          <w:tcPr>
            <w:tcW w:w="2404" w:type="dxa"/>
            <w:noWrap/>
            <w:hideMark/>
          </w:tcPr>
          <w:p w14:paraId="4E02D232" w14:textId="77777777" w:rsidR="00D63E51" w:rsidRPr="0082691D" w:rsidRDefault="00D63E51" w:rsidP="00D64C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Secondary</w:t>
            </w:r>
          </w:p>
        </w:tc>
        <w:tc>
          <w:tcPr>
            <w:tcW w:w="1701" w:type="dxa"/>
            <w:noWrap/>
            <w:vAlign w:val="bottom"/>
            <w:hideMark/>
          </w:tcPr>
          <w:p w14:paraId="5D46AAB1" w14:textId="6538FE85" w:rsidR="00D63E51" w:rsidRPr="0082691D" w:rsidRDefault="00D63E5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w:t>
            </w:r>
            <w:r w:rsidR="000E67E1">
              <w:rPr>
                <w:rFonts w:ascii="Calibri" w:hAnsi="Calibri" w:cs="Calibri"/>
                <w:color w:val="000000"/>
              </w:rPr>
              <w:t>090.4</w:t>
            </w:r>
          </w:p>
        </w:tc>
        <w:tc>
          <w:tcPr>
            <w:tcW w:w="1843" w:type="dxa"/>
            <w:noWrap/>
            <w:vAlign w:val="bottom"/>
            <w:hideMark/>
          </w:tcPr>
          <w:p w14:paraId="7B0F4308" w14:textId="4B86F16D"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11,134.6</w:t>
            </w:r>
          </w:p>
        </w:tc>
        <w:tc>
          <w:tcPr>
            <w:tcW w:w="1985" w:type="dxa"/>
            <w:noWrap/>
            <w:vAlign w:val="bottom"/>
            <w:hideMark/>
          </w:tcPr>
          <w:p w14:paraId="138B77FB" w14:textId="14AD37FC" w:rsidR="00D63E51" w:rsidRPr="0082691D" w:rsidRDefault="00D63E5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9.</w:t>
            </w:r>
            <w:r w:rsidR="000E67E1">
              <w:rPr>
                <w:rFonts w:ascii="Calibri" w:hAnsi="Calibri" w:cs="Calibri"/>
                <w:color w:val="000000"/>
              </w:rPr>
              <w:t>79</w:t>
            </w:r>
            <w:r>
              <w:rPr>
                <w:rFonts w:ascii="Calibri" w:hAnsi="Calibri" w:cs="Calibri"/>
                <w:color w:val="000000"/>
              </w:rPr>
              <w:t>%</w:t>
            </w:r>
          </w:p>
        </w:tc>
      </w:tr>
      <w:tr w:rsidR="00D63E51" w:rsidRPr="0082691D" w14:paraId="14446E78" w14:textId="77777777" w:rsidTr="006C79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0BB16F31" w14:textId="77777777"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Remote</w:t>
            </w:r>
          </w:p>
        </w:tc>
        <w:tc>
          <w:tcPr>
            <w:tcW w:w="2404" w:type="dxa"/>
            <w:noWrap/>
            <w:hideMark/>
          </w:tcPr>
          <w:p w14:paraId="310366F8" w14:textId="77777777" w:rsidR="00D63E51" w:rsidRPr="0082691D" w:rsidRDefault="00D63E51" w:rsidP="00D6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Primary</w:t>
            </w:r>
          </w:p>
        </w:tc>
        <w:tc>
          <w:tcPr>
            <w:tcW w:w="1701" w:type="dxa"/>
            <w:noWrap/>
            <w:vAlign w:val="bottom"/>
            <w:hideMark/>
          </w:tcPr>
          <w:p w14:paraId="6A920C76" w14:textId="63752041"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227</w:t>
            </w:r>
            <w:r w:rsidR="00D63E51">
              <w:rPr>
                <w:rFonts w:ascii="Calibri" w:hAnsi="Calibri" w:cs="Calibri"/>
                <w:color w:val="000000"/>
              </w:rPr>
              <w:t>.0</w:t>
            </w:r>
          </w:p>
        </w:tc>
        <w:tc>
          <w:tcPr>
            <w:tcW w:w="1843" w:type="dxa"/>
            <w:noWrap/>
            <w:vAlign w:val="bottom"/>
            <w:hideMark/>
          </w:tcPr>
          <w:p w14:paraId="7FF4F8EF" w14:textId="087784FF" w:rsidR="00D63E51" w:rsidRPr="0082691D" w:rsidRDefault="00D63E5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w:t>
            </w:r>
            <w:r w:rsidR="000E67E1">
              <w:rPr>
                <w:rFonts w:ascii="Calibri" w:hAnsi="Calibri" w:cs="Calibri"/>
                <w:color w:val="000000"/>
              </w:rPr>
              <w:t>141.4</w:t>
            </w:r>
          </w:p>
        </w:tc>
        <w:tc>
          <w:tcPr>
            <w:tcW w:w="1985" w:type="dxa"/>
            <w:noWrap/>
            <w:vAlign w:val="bottom"/>
            <w:hideMark/>
          </w:tcPr>
          <w:p w14:paraId="73FEE281" w14:textId="24A773D0"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19.89%</w:t>
            </w:r>
          </w:p>
        </w:tc>
      </w:tr>
      <w:tr w:rsidR="00D63E51" w:rsidRPr="0082691D" w14:paraId="7054F293" w14:textId="77777777" w:rsidTr="006C7925">
        <w:trPr>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204EB1F6" w14:textId="77777777" w:rsidR="00D63E51" w:rsidRPr="0082691D" w:rsidRDefault="00D63E51" w:rsidP="00D64CFE">
            <w:pPr>
              <w:rPr>
                <w:rFonts w:ascii="Calibri" w:eastAsia="Times New Roman" w:hAnsi="Calibri" w:cs="Calibri"/>
                <w:b w:val="0"/>
                <w:bCs w:val="0"/>
                <w:sz w:val="20"/>
                <w:szCs w:val="20"/>
                <w:lang w:eastAsia="en-AU"/>
              </w:rPr>
            </w:pPr>
          </w:p>
        </w:tc>
        <w:tc>
          <w:tcPr>
            <w:tcW w:w="2404" w:type="dxa"/>
            <w:noWrap/>
            <w:hideMark/>
          </w:tcPr>
          <w:p w14:paraId="060DDEF9" w14:textId="77777777" w:rsidR="00D63E51" w:rsidRPr="0082691D" w:rsidRDefault="00D63E51" w:rsidP="00D64CF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Secondary</w:t>
            </w:r>
          </w:p>
        </w:tc>
        <w:tc>
          <w:tcPr>
            <w:tcW w:w="1701" w:type="dxa"/>
            <w:noWrap/>
            <w:vAlign w:val="bottom"/>
            <w:hideMark/>
          </w:tcPr>
          <w:p w14:paraId="5D2F9733" w14:textId="3C982BB6"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324</w:t>
            </w:r>
            <w:r w:rsidR="00D63E51">
              <w:rPr>
                <w:rFonts w:ascii="Calibri" w:hAnsi="Calibri" w:cs="Calibri"/>
                <w:color w:val="000000"/>
              </w:rPr>
              <w:t>.0</w:t>
            </w:r>
          </w:p>
        </w:tc>
        <w:tc>
          <w:tcPr>
            <w:tcW w:w="1843" w:type="dxa"/>
            <w:noWrap/>
            <w:vAlign w:val="bottom"/>
            <w:hideMark/>
          </w:tcPr>
          <w:p w14:paraId="05C867D5" w14:textId="6B293E19"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804</w:t>
            </w:r>
            <w:r w:rsidR="00D63E51">
              <w:rPr>
                <w:rFonts w:ascii="Calibri" w:hAnsi="Calibri" w:cs="Calibri"/>
                <w:color w:val="000000"/>
              </w:rPr>
              <w:t>.0</w:t>
            </w:r>
          </w:p>
        </w:tc>
        <w:tc>
          <w:tcPr>
            <w:tcW w:w="1985" w:type="dxa"/>
            <w:noWrap/>
            <w:vAlign w:val="bottom"/>
            <w:hideMark/>
          </w:tcPr>
          <w:p w14:paraId="744403DC" w14:textId="35C2ADE7" w:rsidR="00D63E51" w:rsidRPr="0082691D" w:rsidRDefault="000E67E1" w:rsidP="00D64C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40.30%</w:t>
            </w:r>
          </w:p>
        </w:tc>
      </w:tr>
      <w:tr w:rsidR="00D63E51" w:rsidRPr="0082691D" w14:paraId="0596E4B5" w14:textId="77777777" w:rsidTr="006C79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5EAE1B9" w14:textId="77777777" w:rsidR="00D63E51" w:rsidRPr="0082691D" w:rsidRDefault="00D63E51" w:rsidP="00D64CFE">
            <w:pPr>
              <w:rPr>
                <w:rFonts w:ascii="Calibri" w:eastAsia="Times New Roman" w:hAnsi="Calibri" w:cs="Calibri"/>
                <w:bCs w:val="0"/>
                <w:sz w:val="20"/>
                <w:szCs w:val="20"/>
                <w:lang w:eastAsia="en-AU"/>
              </w:rPr>
            </w:pPr>
            <w:r w:rsidRPr="0082691D">
              <w:rPr>
                <w:rFonts w:ascii="Calibri" w:eastAsia="Times New Roman" w:hAnsi="Calibri" w:cs="Calibri"/>
                <w:bCs w:val="0"/>
                <w:sz w:val="20"/>
                <w:szCs w:val="20"/>
                <w:lang w:eastAsia="en-AU"/>
              </w:rPr>
              <w:t xml:space="preserve">Very </w:t>
            </w:r>
            <w:r>
              <w:rPr>
                <w:rFonts w:ascii="Calibri" w:eastAsia="Times New Roman" w:hAnsi="Calibri" w:cs="Calibri"/>
                <w:bCs w:val="0"/>
                <w:sz w:val="20"/>
                <w:szCs w:val="20"/>
                <w:lang w:eastAsia="en-AU"/>
              </w:rPr>
              <w:t>r</w:t>
            </w:r>
            <w:r w:rsidRPr="0082691D">
              <w:rPr>
                <w:rFonts w:ascii="Calibri" w:eastAsia="Times New Roman" w:hAnsi="Calibri" w:cs="Calibri"/>
                <w:bCs w:val="0"/>
                <w:sz w:val="20"/>
                <w:szCs w:val="20"/>
                <w:lang w:eastAsia="en-AU"/>
              </w:rPr>
              <w:t>emote</w:t>
            </w:r>
          </w:p>
        </w:tc>
        <w:tc>
          <w:tcPr>
            <w:tcW w:w="2404" w:type="dxa"/>
            <w:noWrap/>
            <w:hideMark/>
          </w:tcPr>
          <w:p w14:paraId="1EE2347A" w14:textId="77777777" w:rsidR="00D63E51" w:rsidRPr="0082691D" w:rsidRDefault="00D63E51" w:rsidP="00D6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eastAsia="en-AU"/>
              </w:rPr>
            </w:pPr>
            <w:r w:rsidRPr="0082691D">
              <w:rPr>
                <w:rFonts w:ascii="Calibri" w:eastAsia="Times New Roman" w:hAnsi="Calibri" w:cs="Calibri"/>
                <w:b/>
                <w:bCs/>
                <w:color w:val="000000"/>
                <w:sz w:val="20"/>
                <w:szCs w:val="20"/>
                <w:lang w:eastAsia="en-AU"/>
              </w:rPr>
              <w:t>Primary</w:t>
            </w:r>
          </w:p>
        </w:tc>
        <w:tc>
          <w:tcPr>
            <w:tcW w:w="1701" w:type="dxa"/>
            <w:noWrap/>
            <w:vAlign w:val="bottom"/>
            <w:hideMark/>
          </w:tcPr>
          <w:p w14:paraId="6703DD9F" w14:textId="6A3375BB"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192</w:t>
            </w:r>
            <w:r w:rsidR="00D63E51">
              <w:rPr>
                <w:rFonts w:ascii="Calibri" w:hAnsi="Calibri" w:cs="Calibri"/>
                <w:color w:val="000000"/>
              </w:rPr>
              <w:t>.0</w:t>
            </w:r>
          </w:p>
        </w:tc>
        <w:tc>
          <w:tcPr>
            <w:tcW w:w="1843" w:type="dxa"/>
            <w:noWrap/>
            <w:vAlign w:val="bottom"/>
            <w:hideMark/>
          </w:tcPr>
          <w:p w14:paraId="1A5A0A89" w14:textId="4469D65F"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763</w:t>
            </w:r>
            <w:r w:rsidR="00D63E51">
              <w:rPr>
                <w:rFonts w:ascii="Calibri" w:hAnsi="Calibri" w:cs="Calibri"/>
                <w:color w:val="000000"/>
              </w:rPr>
              <w:t>.0</w:t>
            </w:r>
          </w:p>
        </w:tc>
        <w:tc>
          <w:tcPr>
            <w:tcW w:w="1985" w:type="dxa"/>
            <w:noWrap/>
            <w:vAlign w:val="bottom"/>
            <w:hideMark/>
          </w:tcPr>
          <w:p w14:paraId="0B52E138" w14:textId="095FF742" w:rsidR="00D63E51" w:rsidRPr="0082691D" w:rsidRDefault="000E67E1" w:rsidP="00D64C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Pr>
                <w:rFonts w:ascii="Calibri" w:hAnsi="Calibri" w:cs="Calibri"/>
                <w:color w:val="000000"/>
              </w:rPr>
              <w:t>25.16%</w:t>
            </w:r>
          </w:p>
        </w:tc>
      </w:tr>
    </w:tbl>
    <w:p w14:paraId="162F677B" w14:textId="77777777" w:rsidR="00D34714" w:rsidRDefault="00D34714" w:rsidP="001C219A"/>
    <w:p w14:paraId="052719D7" w14:textId="114EC5EB" w:rsidR="001C219A" w:rsidRDefault="001C219A" w:rsidP="001C219A">
      <w:r w:rsidRPr="0024298A">
        <w:t xml:space="preserve">According to the </w:t>
      </w:r>
      <w:hyperlink r:id="rId16" w:history="1">
        <w:r w:rsidRPr="00480C79">
          <w:rPr>
            <w:rStyle w:val="Hyperlink"/>
          </w:rPr>
          <w:t>Aboriginal and Torres Strait Islander adolescent and youth health and wellbeing 2018</w:t>
        </w:r>
      </w:hyperlink>
      <w:r>
        <w:t xml:space="preserve"> report by Australian Institute of Health and Welfare, 2 in 5 young Indigenous people suffer from mental health conditions with anxiety reported as the most common long-term mental health condition. Mortality due to international self-harm is twice as high in remote and very remote areas. According to </w:t>
      </w:r>
      <w:hyperlink r:id="rId17" w:history="1">
        <w:r w:rsidRPr="00482527">
          <w:rPr>
            <w:rStyle w:val="Hyperlink"/>
          </w:rPr>
          <w:t>Creative Spirits</w:t>
        </w:r>
      </w:hyperlink>
      <w:r>
        <w:t xml:space="preserve"> 80 per cent of youth suicides are by Aboriginal people aged 10 -24. </w:t>
      </w:r>
    </w:p>
    <w:p w14:paraId="160B77A8" w14:textId="77777777" w:rsidR="00DD0345" w:rsidRDefault="00DD0345" w:rsidP="001C219A">
      <w:pPr>
        <w:rPr>
          <w:b/>
          <w:bCs/>
        </w:rPr>
      </w:pPr>
    </w:p>
    <w:p w14:paraId="48170347" w14:textId="50FA23C0" w:rsidR="001C219A" w:rsidRDefault="001C219A" w:rsidP="001C219A">
      <w:r>
        <w:t>QCEC suggests that t</w:t>
      </w:r>
      <w:r w:rsidRPr="00BB40FE">
        <w:t>hese statistics demand increased focus on how best to address mental health in remote and very remote schools, regardless of their size.</w:t>
      </w:r>
    </w:p>
    <w:p w14:paraId="273A4DAD" w14:textId="77777777" w:rsidR="00DD0345" w:rsidRPr="00BB40FE" w:rsidRDefault="00DD0345" w:rsidP="001C219A"/>
    <w:p w14:paraId="5AA384F9" w14:textId="3F1ED70C" w:rsidR="001C219A" w:rsidRPr="00045E50" w:rsidRDefault="001C219A" w:rsidP="001C219A">
      <w:pPr>
        <w:spacing w:line="257" w:lineRule="auto"/>
        <w:rPr>
          <w:rFonts w:eastAsia="Calibri" w:cs="Calibri"/>
          <w:b/>
          <w:bCs/>
        </w:rPr>
      </w:pPr>
      <w:r w:rsidRPr="00045E50">
        <w:rPr>
          <w:rFonts w:eastAsia="Calibri" w:cs="Calibri"/>
          <w:b/>
          <w:bCs/>
        </w:rPr>
        <w:t xml:space="preserve">Conclusion </w:t>
      </w:r>
    </w:p>
    <w:p w14:paraId="4E312B1C" w14:textId="14181D59" w:rsidR="001C219A" w:rsidRDefault="001C219A" w:rsidP="0045512F">
      <w:r w:rsidRPr="21BB6ED9">
        <w:rPr>
          <w:rFonts w:eastAsia="Calibri" w:cs="Calibri"/>
        </w:rPr>
        <w:t xml:space="preserve">QCEC agrees with draft report that early intervention is key to improving mental </w:t>
      </w:r>
      <w:r>
        <w:rPr>
          <w:rFonts w:eastAsia="Calibri" w:cs="Calibri"/>
        </w:rPr>
        <w:t xml:space="preserve">health and wellbeing and that </w:t>
      </w:r>
      <w:r>
        <w:t xml:space="preserve">schools </w:t>
      </w:r>
      <w:r w:rsidR="00984597">
        <w:t xml:space="preserve">provide </w:t>
      </w:r>
      <w:r w:rsidR="00534BC2">
        <w:t>significant support</w:t>
      </w:r>
      <w:r>
        <w:t xml:space="preserve"> to the </w:t>
      </w:r>
      <w:r w:rsidR="00534BC2">
        <w:t>wellbeing</w:t>
      </w:r>
      <w:r w:rsidDel="00EC389E">
        <w:t xml:space="preserve"> </w:t>
      </w:r>
      <w:r>
        <w:t>of their students</w:t>
      </w:r>
      <w:r w:rsidR="00EC389E">
        <w:t>, particularly through proactive programs</w:t>
      </w:r>
      <w:r w:rsidR="00F46DC7">
        <w:t xml:space="preserve">, dedicated staff and </w:t>
      </w:r>
      <w:r w:rsidR="0052674A">
        <w:t>ongoing care and support.</w:t>
      </w:r>
      <w:r w:rsidR="005E3377">
        <w:t xml:space="preserve"> Schools also play an important </w:t>
      </w:r>
      <w:r w:rsidR="004B0109">
        <w:t>r</w:t>
      </w:r>
      <w:r w:rsidR="005E3377">
        <w:t xml:space="preserve">ole in working closely and collaboratively with families and external service providers to support the wellbeing of young people. </w:t>
      </w:r>
      <w:r>
        <w:t xml:space="preserve"> </w:t>
      </w:r>
    </w:p>
    <w:p w14:paraId="00BD5973" w14:textId="77777777" w:rsidR="00F56334" w:rsidRDefault="00F56334" w:rsidP="001C219A">
      <w:pPr>
        <w:spacing w:line="257" w:lineRule="auto"/>
      </w:pPr>
    </w:p>
    <w:p w14:paraId="4F4FA52A" w14:textId="61A3F76F" w:rsidR="001C219A" w:rsidRDefault="001C219A" w:rsidP="0045512F">
      <w:pPr>
        <w:rPr>
          <w:rFonts w:eastAsia="Calibri" w:cs="Calibri"/>
        </w:rPr>
      </w:pPr>
      <w:r w:rsidRPr="21BB6ED9">
        <w:rPr>
          <w:rFonts w:eastAsia="Calibri" w:cs="Calibri"/>
        </w:rPr>
        <w:lastRenderedPageBreak/>
        <w:t xml:space="preserve">QCEC </w:t>
      </w:r>
      <w:r>
        <w:rPr>
          <w:rFonts w:eastAsia="Calibri" w:cs="Calibri"/>
        </w:rPr>
        <w:t>concurs</w:t>
      </w:r>
      <w:r w:rsidRPr="21BB6ED9">
        <w:rPr>
          <w:rFonts w:eastAsia="Calibri" w:cs="Calibri"/>
        </w:rPr>
        <w:t xml:space="preserve"> that the mental health and wellbeing of students has a substantial effect on their academic learning outcomes and the classroom environment </w:t>
      </w:r>
      <w:r>
        <w:rPr>
          <w:rFonts w:eastAsia="Calibri" w:cs="Calibri"/>
        </w:rPr>
        <w:t xml:space="preserve">and appreciates </w:t>
      </w:r>
      <w:r w:rsidRPr="21BB6ED9">
        <w:rPr>
          <w:rFonts w:eastAsia="Calibri" w:cs="Calibri"/>
        </w:rPr>
        <w:t>the</w:t>
      </w:r>
      <w:r>
        <w:rPr>
          <w:rFonts w:eastAsia="Calibri" w:cs="Calibri"/>
        </w:rPr>
        <w:t xml:space="preserve"> Productivity</w:t>
      </w:r>
      <w:r w:rsidRPr="21BB6ED9">
        <w:rPr>
          <w:rFonts w:eastAsia="Calibri" w:cs="Calibri"/>
        </w:rPr>
        <w:t xml:space="preserve"> Commission’s acknowledgement that schools are already investing significant efforts in student wellbeing.</w:t>
      </w:r>
    </w:p>
    <w:p w14:paraId="6A584506" w14:textId="77777777" w:rsidR="00F56334" w:rsidRDefault="00F56334" w:rsidP="0045512F"/>
    <w:p w14:paraId="3D802DD9" w14:textId="63632BFE" w:rsidR="001C219A" w:rsidRDefault="001C219A" w:rsidP="0045512F">
      <w:r>
        <w:t xml:space="preserve">QCEC notes that the role of the proposed School Wellbeing Leaders does not align with </w:t>
      </w:r>
      <w:r w:rsidR="00C53E41">
        <w:t>the</w:t>
      </w:r>
      <w:r>
        <w:t xml:space="preserve"> current roles of school staff. If schools were mandated to have School Wellbeing Leaders as defined by the Productivity Commission, additional government funding would be necessary.  </w:t>
      </w:r>
    </w:p>
    <w:p w14:paraId="210A64A0" w14:textId="77777777" w:rsidR="00F56334" w:rsidRDefault="00F56334" w:rsidP="0045512F"/>
    <w:p w14:paraId="796BC5C1" w14:textId="2D0CEB91" w:rsidR="001C219A" w:rsidRDefault="001C219A" w:rsidP="0045512F">
      <w:r w:rsidRPr="00521494">
        <w:t xml:space="preserve">QCEC </w:t>
      </w:r>
      <w:r w:rsidR="00CB37A2">
        <w:t xml:space="preserve">cautions against a </w:t>
      </w:r>
      <w:r w:rsidR="00C66DFA">
        <w:t xml:space="preserve">one size fits all approach when determining the need for a </w:t>
      </w:r>
      <w:r w:rsidRPr="00521494">
        <w:t>full-time School Wellbeing Leader. QCEC would like to see the Commission engage in more detailed discussion around the proposed ratio, including</w:t>
      </w:r>
      <w:r>
        <w:rPr>
          <w:b/>
          <w:bCs/>
        </w:rPr>
        <w:t xml:space="preserve"> </w:t>
      </w:r>
      <w:r>
        <w:t>consideration of school type, size and location</w:t>
      </w:r>
      <w:r w:rsidR="00F56334">
        <w:t xml:space="preserve"> and student demographics</w:t>
      </w:r>
      <w:r>
        <w:t xml:space="preserve">.  </w:t>
      </w:r>
    </w:p>
    <w:p w14:paraId="368E7AD8" w14:textId="77777777" w:rsidR="001C219A" w:rsidRDefault="001C219A" w:rsidP="0045512F">
      <w:pPr>
        <w:rPr>
          <w:b/>
          <w:bCs/>
        </w:rPr>
      </w:pPr>
    </w:p>
    <w:p w14:paraId="3E567346" w14:textId="77777777" w:rsidR="001C219A" w:rsidRDefault="001C219A" w:rsidP="0045512F">
      <w:pPr>
        <w:pStyle w:val="paragraph"/>
        <w:spacing w:before="0" w:beforeAutospacing="0" w:after="0" w:afterAutospacing="0" w:line="276"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QCEC appreciates the opportunity to provide feedback on the Commission’s draft report and would be pleased to discuss the submission in more detail with the Commission. </w:t>
      </w:r>
    </w:p>
    <w:p w14:paraId="1591120F" w14:textId="77777777" w:rsidR="001C219A" w:rsidRDefault="001C219A" w:rsidP="0045512F">
      <w:pPr>
        <w:pStyle w:val="paragraph"/>
        <w:spacing w:before="0" w:beforeAutospacing="0" w:after="0" w:afterAutospacing="0" w:line="276" w:lineRule="auto"/>
        <w:textAlignment w:val="baseline"/>
        <w:rPr>
          <w:rStyle w:val="normaltextrun"/>
          <w:rFonts w:ascii="Calibri" w:hAnsi="Calibri" w:cs="Calibri"/>
          <w:sz w:val="22"/>
          <w:szCs w:val="22"/>
        </w:rPr>
      </w:pPr>
    </w:p>
    <w:p w14:paraId="521453E7" w14:textId="32094818" w:rsidR="001C219A" w:rsidRDefault="001C219A" w:rsidP="001C219A">
      <w:pPr>
        <w:pStyle w:val="paragraph"/>
        <w:spacing w:before="0" w:beforeAutospacing="0" w:after="0" w:afterAutospacing="0"/>
        <w:textAlignment w:val="baseline"/>
        <w:rPr>
          <w:rStyle w:val="normaltextrun"/>
          <w:rFonts w:ascii="Calibri" w:hAnsi="Calibri" w:cs="Calibri"/>
          <w:b/>
          <w:sz w:val="22"/>
          <w:szCs w:val="22"/>
        </w:rPr>
      </w:pPr>
    </w:p>
    <w:p w14:paraId="291F8AC0" w14:textId="3A1AACE9" w:rsidR="006C622D" w:rsidRDefault="006C622D" w:rsidP="001C219A">
      <w:pPr>
        <w:pStyle w:val="paragraph"/>
        <w:spacing w:before="0" w:beforeAutospacing="0" w:after="0" w:afterAutospacing="0"/>
        <w:textAlignment w:val="baseline"/>
        <w:rPr>
          <w:rStyle w:val="normaltextrun"/>
          <w:rFonts w:ascii="Calibri" w:hAnsi="Calibri" w:cs="Calibri"/>
          <w:b/>
          <w:sz w:val="22"/>
          <w:szCs w:val="22"/>
        </w:rPr>
      </w:pPr>
    </w:p>
    <w:p w14:paraId="2C683339" w14:textId="3481DD9C" w:rsidR="006C622D" w:rsidRDefault="006C622D" w:rsidP="001C219A">
      <w:pPr>
        <w:pStyle w:val="paragraph"/>
        <w:spacing w:before="0" w:beforeAutospacing="0" w:after="0" w:afterAutospacing="0"/>
        <w:textAlignment w:val="baseline"/>
        <w:rPr>
          <w:rStyle w:val="normaltextrun"/>
          <w:rFonts w:ascii="Calibri" w:hAnsi="Calibri" w:cs="Calibri"/>
          <w:b/>
          <w:sz w:val="22"/>
          <w:szCs w:val="22"/>
        </w:rPr>
      </w:pPr>
    </w:p>
    <w:p w14:paraId="751F8395" w14:textId="4AD1553B" w:rsidR="006C622D" w:rsidRDefault="006C622D" w:rsidP="001C219A">
      <w:pPr>
        <w:pStyle w:val="paragraph"/>
        <w:spacing w:before="0" w:beforeAutospacing="0" w:after="0" w:afterAutospacing="0"/>
        <w:textAlignment w:val="baseline"/>
        <w:rPr>
          <w:rStyle w:val="normaltextrun"/>
          <w:rFonts w:ascii="Calibri" w:hAnsi="Calibri" w:cs="Calibri"/>
          <w:b/>
          <w:sz w:val="22"/>
          <w:szCs w:val="22"/>
        </w:rPr>
      </w:pPr>
    </w:p>
    <w:p w14:paraId="5BBFA2E8" w14:textId="77777777" w:rsidR="006C622D" w:rsidRDefault="006C622D" w:rsidP="001C219A">
      <w:pPr>
        <w:pStyle w:val="paragraph"/>
        <w:spacing w:before="0" w:beforeAutospacing="0" w:after="0" w:afterAutospacing="0"/>
        <w:textAlignment w:val="baseline"/>
        <w:rPr>
          <w:rStyle w:val="normaltextrun"/>
          <w:rFonts w:ascii="Calibri" w:hAnsi="Calibri" w:cs="Calibri"/>
          <w:b/>
          <w:sz w:val="22"/>
          <w:szCs w:val="22"/>
        </w:rPr>
      </w:pPr>
    </w:p>
    <w:p w14:paraId="598BBE90" w14:textId="2BADEFB2" w:rsidR="003C7475" w:rsidRDefault="001C219A" w:rsidP="003C747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Dr Lee-Anne Perry AM</w:t>
      </w:r>
    </w:p>
    <w:p w14:paraId="58F58856" w14:textId="6B7DF0CC" w:rsidR="001C219A" w:rsidRDefault="001C219A" w:rsidP="003C7475">
      <w:pPr>
        <w:pStyle w:val="paragraph"/>
        <w:spacing w:before="0" w:beforeAutospacing="0" w:after="0" w:afterAutospacing="0"/>
        <w:textAlignment w:val="baseline"/>
      </w:pPr>
      <w:r>
        <w:rPr>
          <w:rStyle w:val="normaltextrun"/>
          <w:rFonts w:ascii="Calibri" w:hAnsi="Calibri" w:cs="Calibri"/>
          <w:sz w:val="22"/>
          <w:szCs w:val="22"/>
        </w:rPr>
        <w:t>Executive Director</w:t>
      </w:r>
    </w:p>
    <w:sectPr w:rsidR="001C219A" w:rsidSect="009B5212">
      <w:headerReference w:type="even" r:id="rId18"/>
      <w:headerReference w:type="default" r:id="rId19"/>
      <w:footerReference w:type="even" r:id="rId20"/>
      <w:footerReference w:type="default" r:id="rId21"/>
      <w:headerReference w:type="first" r:id="rId22"/>
      <w:footerReference w:type="first" r:id="rId23"/>
      <w:pgSz w:w="11907" w:h="16839" w:code="9"/>
      <w:pgMar w:top="709" w:right="1134" w:bottom="993" w:left="1440" w:header="70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E4805" w14:textId="77777777" w:rsidR="001A5A4F" w:rsidRDefault="001A5A4F">
      <w:r>
        <w:separator/>
      </w:r>
    </w:p>
  </w:endnote>
  <w:endnote w:type="continuationSeparator" w:id="0">
    <w:p w14:paraId="3AD08653" w14:textId="77777777" w:rsidR="001A5A4F" w:rsidRDefault="001A5A4F">
      <w:r>
        <w:continuationSeparator/>
      </w:r>
    </w:p>
  </w:endnote>
  <w:endnote w:type="continuationNotice" w:id="1">
    <w:p w14:paraId="4EB47EE2" w14:textId="77777777" w:rsidR="001A5A4F" w:rsidRDefault="001A5A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FFB4" w14:textId="77777777" w:rsidR="00896233" w:rsidRDefault="00896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20BC5" w14:textId="291124E6" w:rsidR="00497F72" w:rsidRPr="000B1810" w:rsidRDefault="00497F72" w:rsidP="0071646A">
    <w:pPr>
      <w:pStyle w:val="Footer"/>
      <w:pBdr>
        <w:top w:val="single" w:sz="4" w:space="1" w:color="auto"/>
      </w:pBdr>
      <w:tabs>
        <w:tab w:val="clear" w:pos="8640"/>
        <w:tab w:val="right" w:pos="9072"/>
      </w:tabs>
      <w:rPr>
        <w:rFonts w:ascii="Verdana" w:hAnsi="Verdana" w:cs="Arial"/>
        <w:sz w:val="16"/>
        <w:szCs w:val="16"/>
      </w:rPr>
    </w:pPr>
    <w:r>
      <w:rPr>
        <w:rFonts w:ascii="Verdana" w:hAnsi="Verdana" w:cs="Arial"/>
        <w:sz w:val="16"/>
        <w:szCs w:val="16"/>
      </w:rPr>
      <w:t xml:space="preserve">QCEC </w:t>
    </w:r>
    <w:r w:rsidR="003E34F7">
      <w:rPr>
        <w:rFonts w:ascii="Verdana" w:hAnsi="Verdana" w:cs="Arial"/>
        <w:sz w:val="16"/>
        <w:szCs w:val="16"/>
      </w:rPr>
      <w:t>Submission</w:t>
    </w:r>
    <w:r>
      <w:rPr>
        <w:rFonts w:ascii="Verdana" w:hAnsi="Verdana" w:cs="Arial"/>
        <w:sz w:val="16"/>
        <w:szCs w:val="16"/>
      </w:rPr>
      <w:t xml:space="preserve"> </w:t>
    </w:r>
    <w:r w:rsidR="00F45B32">
      <w:rPr>
        <w:rFonts w:ascii="Verdana" w:hAnsi="Verdana" w:cs="Arial"/>
        <w:sz w:val="16"/>
        <w:szCs w:val="16"/>
      </w:rPr>
      <w:t xml:space="preserve">to the Productivity Commission’s Mental Health Inquiry </w:t>
    </w:r>
    <w:r w:rsidRPr="000B1810">
      <w:rPr>
        <w:rFonts w:ascii="Verdana" w:hAnsi="Verdana" w:cs="Arial"/>
        <w:sz w:val="16"/>
        <w:szCs w:val="16"/>
      </w:rPr>
      <w:tab/>
      <w:t xml:space="preserve">Page </w:t>
    </w:r>
    <w:r w:rsidR="003839D4" w:rsidRPr="000B1810">
      <w:rPr>
        <w:rStyle w:val="PageNumber"/>
        <w:rFonts w:ascii="Verdana" w:hAnsi="Verdana" w:cs="Arial"/>
        <w:sz w:val="16"/>
        <w:szCs w:val="16"/>
      </w:rPr>
      <w:fldChar w:fldCharType="begin"/>
    </w:r>
    <w:r w:rsidRPr="000B1810">
      <w:rPr>
        <w:rStyle w:val="PageNumber"/>
        <w:rFonts w:ascii="Verdana" w:hAnsi="Verdana" w:cs="Arial"/>
        <w:sz w:val="16"/>
        <w:szCs w:val="16"/>
      </w:rPr>
      <w:instrText xml:space="preserve"> PAGE </w:instrText>
    </w:r>
    <w:r w:rsidR="003839D4" w:rsidRPr="000B1810">
      <w:rPr>
        <w:rStyle w:val="PageNumber"/>
        <w:rFonts w:ascii="Verdana" w:hAnsi="Verdana" w:cs="Arial"/>
        <w:sz w:val="16"/>
        <w:szCs w:val="16"/>
      </w:rPr>
      <w:fldChar w:fldCharType="separate"/>
    </w:r>
    <w:r w:rsidR="00580165">
      <w:rPr>
        <w:rStyle w:val="PageNumber"/>
        <w:rFonts w:ascii="Verdana" w:hAnsi="Verdana" w:cs="Arial"/>
        <w:noProof/>
        <w:sz w:val="16"/>
        <w:szCs w:val="16"/>
      </w:rPr>
      <w:t>9</w:t>
    </w:r>
    <w:r w:rsidR="003839D4" w:rsidRPr="000B1810">
      <w:rPr>
        <w:rStyle w:val="PageNumber"/>
        <w:rFonts w:ascii="Verdana" w:hAnsi="Verdana"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841D" w14:textId="77777777" w:rsidR="00896233" w:rsidRDefault="00896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F2031" w14:textId="77777777" w:rsidR="001A5A4F" w:rsidRDefault="001A5A4F">
      <w:r>
        <w:separator/>
      </w:r>
    </w:p>
  </w:footnote>
  <w:footnote w:type="continuationSeparator" w:id="0">
    <w:p w14:paraId="1FCB2089" w14:textId="77777777" w:rsidR="001A5A4F" w:rsidRDefault="001A5A4F">
      <w:r>
        <w:continuationSeparator/>
      </w:r>
    </w:p>
  </w:footnote>
  <w:footnote w:type="continuationNotice" w:id="1">
    <w:p w14:paraId="33965F95" w14:textId="77777777" w:rsidR="001A5A4F" w:rsidRDefault="001A5A4F">
      <w:pPr>
        <w:spacing w:line="240" w:lineRule="auto"/>
      </w:pPr>
    </w:p>
  </w:footnote>
  <w:footnote w:id="2">
    <w:p w14:paraId="4E403434" w14:textId="77777777" w:rsidR="005A56E8" w:rsidRPr="00D932D5" w:rsidRDefault="005A56E8" w:rsidP="005A56E8">
      <w:pPr>
        <w:pStyle w:val="FootnoteText"/>
        <w:rPr>
          <w:color w:val="000000" w:themeColor="text1"/>
          <w:sz w:val="16"/>
          <w:szCs w:val="16"/>
          <w:lang w:val="en-US"/>
        </w:rPr>
      </w:pPr>
      <w:r>
        <w:rPr>
          <w:rStyle w:val="FootnoteReference"/>
        </w:rPr>
        <w:footnoteRef/>
      </w:r>
      <w:r>
        <w:t xml:space="preserve"> </w:t>
      </w:r>
      <w:r w:rsidRPr="00D932D5">
        <w:rPr>
          <w:sz w:val="16"/>
          <w:szCs w:val="16"/>
        </w:rPr>
        <w:t xml:space="preserve">The </w:t>
      </w:r>
      <w:hyperlink r:id="rId1" w:history="1">
        <w:r w:rsidRPr="00D932D5">
          <w:rPr>
            <w:rStyle w:val="Hyperlink"/>
            <w:rFonts w:ascii="Calibri" w:hAnsi="Calibri" w:cs="Calibri"/>
            <w:sz w:val="16"/>
            <w:szCs w:val="16"/>
            <w:lang w:val="en-US"/>
          </w:rPr>
          <w:t>Accessibility and Remoteness Index of Australia (AREA+)</w:t>
        </w:r>
      </w:hyperlink>
      <w:r w:rsidRPr="00D932D5">
        <w:rPr>
          <w:rStyle w:val="Hyperlink"/>
          <w:rFonts w:ascii="Calibri" w:hAnsi="Calibri" w:cs="Calibri"/>
          <w:sz w:val="16"/>
          <w:szCs w:val="16"/>
          <w:lang w:val="en-US"/>
        </w:rPr>
        <w:t xml:space="preserve"> </w:t>
      </w:r>
      <w:r w:rsidRPr="00D932D5">
        <w:rPr>
          <w:rStyle w:val="Hyperlink"/>
          <w:rFonts w:ascii="Calibri" w:hAnsi="Calibri" w:cs="Calibri"/>
          <w:color w:val="000000" w:themeColor="text1"/>
          <w:sz w:val="16"/>
          <w:szCs w:val="16"/>
          <w:lang w:val="en-US"/>
        </w:rPr>
        <w:t>is used as a measure of remoteness.</w:t>
      </w:r>
    </w:p>
  </w:footnote>
  <w:footnote w:id="3">
    <w:p w14:paraId="6A6F4734" w14:textId="77777777" w:rsidR="001C219A" w:rsidRPr="004D59C8" w:rsidRDefault="001C219A" w:rsidP="001C219A">
      <w:pPr>
        <w:pStyle w:val="FootnoteText"/>
        <w:rPr>
          <w:lang w:val="en-US"/>
        </w:rPr>
      </w:pPr>
      <w:r>
        <w:rPr>
          <w:rStyle w:val="FootnoteReference"/>
        </w:rPr>
        <w:footnoteRef/>
      </w:r>
      <w:r>
        <w:t xml:space="preserve"> </w:t>
      </w:r>
      <w:r>
        <w:rPr>
          <w:lang w:val="en-US"/>
        </w:rPr>
        <w:t xml:space="preserve">Queensland Department of Education, </w:t>
      </w:r>
      <w:hyperlink r:id="rId2" w:history="1">
        <w:r w:rsidRPr="00737C6D">
          <w:rPr>
            <w:rStyle w:val="Hyperlink"/>
            <w:lang w:val="en-US"/>
          </w:rPr>
          <w:t>Chaplaincy and student welfare worker services</w:t>
        </w:r>
      </w:hyperlink>
      <w:r>
        <w:rPr>
          <w:lang w:val="en-US"/>
        </w:rPr>
        <w:t xml:space="preserve"> </w:t>
      </w:r>
    </w:p>
  </w:footnote>
  <w:footnote w:id="4">
    <w:p w14:paraId="4A0B7ABE" w14:textId="77777777" w:rsidR="001C219A" w:rsidRPr="00D03A89" w:rsidRDefault="001C219A" w:rsidP="001C219A">
      <w:pPr>
        <w:pStyle w:val="FootnoteText"/>
        <w:rPr>
          <w:lang w:val="en-US"/>
        </w:rPr>
      </w:pPr>
      <w:r>
        <w:rPr>
          <w:rStyle w:val="FootnoteReference"/>
        </w:rPr>
        <w:footnoteRef/>
      </w:r>
      <w:r>
        <w:t xml:space="preserve"> The maximum available funding provided for each school is $20,280 (8 hours service per school week) with remote and very remote schools provided up to $24,698.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9402B" w14:textId="77777777" w:rsidR="00896233" w:rsidRDefault="00896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79A09" w14:textId="59E17DD9" w:rsidR="00896233" w:rsidRDefault="008962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0A18" w14:textId="5BAA9B0F" w:rsidR="003E34F7" w:rsidRPr="00117D3D" w:rsidRDefault="003E34F7" w:rsidP="003E34F7">
    <w:pPr>
      <w:pStyle w:val="v"/>
      <w:rPr>
        <w:rFonts w:ascii="Verdana" w:hAnsi="Verdana" w:cs="Arial"/>
        <w:b/>
        <w:color w:val="003075"/>
        <w:sz w:val="18"/>
        <w:szCs w:val="18"/>
      </w:rPr>
    </w:pPr>
    <w:r>
      <w:rPr>
        <w:noProof/>
        <w:lang w:eastAsia="en-AU" w:bidi="ar-SA"/>
      </w:rPr>
      <w:drawing>
        <wp:anchor distT="0" distB="0" distL="114300" distR="114300" simplePos="0" relativeHeight="251658240" behindDoc="0" locked="0" layoutInCell="1" allowOverlap="1" wp14:anchorId="225FC466" wp14:editId="4EFE3B65">
          <wp:simplePos x="0" y="0"/>
          <wp:positionH relativeFrom="page">
            <wp:posOffset>866775</wp:posOffset>
          </wp:positionH>
          <wp:positionV relativeFrom="page">
            <wp:posOffset>453390</wp:posOffset>
          </wp:positionV>
          <wp:extent cx="1419225" cy="1250950"/>
          <wp:effectExtent l="0" t="0" r="952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9225"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17D3D">
      <w:rPr>
        <w:rFonts w:ascii="Verdana" w:hAnsi="Verdana" w:cs="Arial"/>
        <w:b/>
        <w:color w:val="003075"/>
        <w:sz w:val="18"/>
        <w:szCs w:val="18"/>
      </w:rPr>
      <w:t>Queensland Catholic Education Commission</w:t>
    </w:r>
  </w:p>
  <w:p w14:paraId="6A9D23FE" w14:textId="77777777" w:rsidR="003E34F7" w:rsidRPr="007C2A2B" w:rsidRDefault="003E34F7" w:rsidP="003E34F7">
    <w:pPr>
      <w:spacing w:line="240" w:lineRule="auto"/>
      <w:jc w:val="right"/>
      <w:rPr>
        <w:rFonts w:ascii="Verdana" w:hAnsi="Verdana" w:cs="Arial"/>
        <w:sz w:val="16"/>
      </w:rPr>
    </w:pPr>
    <w:r w:rsidRPr="007C2A2B">
      <w:rPr>
        <w:rFonts w:ascii="Verdana" w:hAnsi="Verdana" w:cs="Arial"/>
        <w:sz w:val="16"/>
      </w:rPr>
      <w:t xml:space="preserve">Level </w:t>
    </w:r>
    <w:r>
      <w:rPr>
        <w:rFonts w:ascii="Verdana" w:hAnsi="Verdana" w:cs="Arial"/>
        <w:sz w:val="16"/>
      </w:rPr>
      <w:t>3</w:t>
    </w:r>
    <w:r w:rsidRPr="007C2A2B">
      <w:rPr>
        <w:rFonts w:ascii="Verdana" w:hAnsi="Verdana" w:cs="Arial"/>
        <w:sz w:val="16"/>
      </w:rPr>
      <w:t>, 143 Edward Street, Brisbane Qld 4000</w:t>
    </w:r>
  </w:p>
  <w:p w14:paraId="297AA90E" w14:textId="77777777" w:rsidR="003E34F7" w:rsidRPr="007C2A2B" w:rsidRDefault="003E34F7" w:rsidP="003E34F7">
    <w:pPr>
      <w:spacing w:line="240" w:lineRule="auto"/>
      <w:jc w:val="right"/>
      <w:rPr>
        <w:rFonts w:ascii="Verdana" w:hAnsi="Verdana" w:cs="Arial"/>
        <w:sz w:val="16"/>
      </w:rPr>
    </w:pPr>
    <w:r w:rsidRPr="007C2A2B">
      <w:rPr>
        <w:rFonts w:ascii="Verdana" w:hAnsi="Verdana" w:cs="Arial"/>
        <w:sz w:val="16"/>
      </w:rPr>
      <w:t xml:space="preserve">GPO </w:t>
    </w:r>
    <w:smartTag w:uri="urn:schemas-microsoft-com:office:smarttags" w:element="address">
      <w:smartTag w:uri="urn:schemas-microsoft-com:office:smarttags" w:element="Street">
        <w:r w:rsidRPr="007C2A2B">
          <w:rPr>
            <w:rFonts w:ascii="Verdana" w:hAnsi="Verdana" w:cs="Arial"/>
            <w:sz w:val="16"/>
          </w:rPr>
          <w:t>Box 2441</w:t>
        </w:r>
      </w:smartTag>
      <w:r w:rsidRPr="007C2A2B">
        <w:rPr>
          <w:rFonts w:ascii="Verdana" w:hAnsi="Verdana" w:cs="Arial"/>
          <w:sz w:val="16"/>
        </w:rPr>
        <w:t xml:space="preserve">, </w:t>
      </w:r>
      <w:smartTag w:uri="urn:schemas-microsoft-com:office:smarttags" w:element="City">
        <w:r w:rsidRPr="007C2A2B">
          <w:rPr>
            <w:rFonts w:ascii="Verdana" w:hAnsi="Verdana" w:cs="Arial"/>
            <w:sz w:val="16"/>
          </w:rPr>
          <w:t>Brisbane</w:t>
        </w:r>
      </w:smartTag>
    </w:smartTag>
    <w:r w:rsidRPr="007C2A2B">
      <w:rPr>
        <w:rFonts w:ascii="Verdana" w:hAnsi="Verdana" w:cs="Arial"/>
        <w:sz w:val="16"/>
      </w:rPr>
      <w:t xml:space="preserve"> Qld 4001</w:t>
    </w:r>
  </w:p>
  <w:p w14:paraId="61B4597F" w14:textId="77777777" w:rsidR="003E34F7" w:rsidRPr="007C2A2B" w:rsidRDefault="003E34F7" w:rsidP="003E34F7">
    <w:pPr>
      <w:spacing w:line="240" w:lineRule="auto"/>
      <w:jc w:val="right"/>
      <w:rPr>
        <w:rFonts w:ascii="Verdana" w:hAnsi="Verdana" w:cs="Arial"/>
        <w:sz w:val="16"/>
      </w:rPr>
    </w:pPr>
    <w:r w:rsidRPr="007C2A2B">
      <w:rPr>
        <w:rFonts w:ascii="Verdana" w:hAnsi="Verdana" w:cs="Arial"/>
        <w:sz w:val="16"/>
      </w:rPr>
      <w:t xml:space="preserve">Ph +61 7 </w:t>
    </w:r>
    <w:r>
      <w:rPr>
        <w:rFonts w:ascii="Verdana" w:hAnsi="Verdana" w:cs="Arial"/>
        <w:sz w:val="16"/>
      </w:rPr>
      <w:t>3316 5800</w:t>
    </w:r>
    <w:r w:rsidRPr="007C2A2B">
      <w:rPr>
        <w:rFonts w:ascii="Verdana" w:hAnsi="Verdana" w:cs="Arial"/>
        <w:sz w:val="16"/>
      </w:rPr>
      <w:t xml:space="preserve"> Fax +61 7 </w:t>
    </w:r>
    <w:r>
      <w:rPr>
        <w:rFonts w:ascii="Verdana" w:hAnsi="Verdana" w:cs="Arial"/>
        <w:sz w:val="16"/>
      </w:rPr>
      <w:t>3316 5880</w:t>
    </w:r>
  </w:p>
  <w:p w14:paraId="5EDA4E0D" w14:textId="77777777" w:rsidR="003E34F7" w:rsidRPr="007C2A2B" w:rsidRDefault="003E34F7" w:rsidP="003E34F7">
    <w:pPr>
      <w:spacing w:line="240" w:lineRule="auto"/>
      <w:jc w:val="right"/>
      <w:rPr>
        <w:rFonts w:ascii="Verdana" w:hAnsi="Verdana" w:cs="Arial"/>
        <w:sz w:val="16"/>
      </w:rPr>
    </w:pPr>
    <w:r>
      <w:rPr>
        <w:rFonts w:ascii="Verdana" w:hAnsi="Verdana" w:cs="Arial"/>
        <w:sz w:val="16"/>
      </w:rPr>
      <w:t>email: enquiries@qcec</w:t>
    </w:r>
    <w:r w:rsidRPr="007C2A2B">
      <w:rPr>
        <w:rFonts w:ascii="Verdana" w:hAnsi="Verdana" w:cs="Arial"/>
        <w:sz w:val="16"/>
      </w:rPr>
      <w:t xml:space="preserve">.catholic.edu.au </w:t>
    </w:r>
  </w:p>
  <w:p w14:paraId="77F13EA8" w14:textId="77777777" w:rsidR="003E34F7" w:rsidRPr="00A21101" w:rsidRDefault="003E34F7" w:rsidP="003E34F7">
    <w:pPr>
      <w:jc w:val="right"/>
      <w:rPr>
        <w:rFonts w:ascii="Verdana" w:hAnsi="Verdana" w:cs="Arial"/>
        <w:b/>
        <w:sz w:val="4"/>
      </w:rPr>
    </w:pPr>
  </w:p>
  <w:p w14:paraId="7CFDAF7C" w14:textId="77777777" w:rsidR="003E34F7" w:rsidRPr="007C2A2B" w:rsidRDefault="003E34F7" w:rsidP="003E34F7">
    <w:pPr>
      <w:jc w:val="right"/>
      <w:rPr>
        <w:rFonts w:ascii="Verdana" w:hAnsi="Verdana" w:cs="Arial"/>
        <w:sz w:val="12"/>
      </w:rPr>
    </w:pPr>
    <w:r w:rsidRPr="00117D3D">
      <w:rPr>
        <w:rFonts w:ascii="Verdana" w:hAnsi="Verdana" w:cs="Arial"/>
        <w:b/>
        <w:color w:val="003075"/>
        <w:sz w:val="16"/>
      </w:rPr>
      <w:t>www.qcec.catholic.edu.au</w:t>
    </w:r>
    <w:r w:rsidRPr="007C2A2B">
      <w:rPr>
        <w:rFonts w:ascii="Verdana" w:hAnsi="Verdana" w:cs="Arial"/>
        <w:b/>
        <w:sz w:val="16"/>
      </w:rPr>
      <w:br/>
    </w:r>
    <w:r w:rsidRPr="007C2A2B">
      <w:rPr>
        <w:rFonts w:ascii="Verdana" w:hAnsi="Verdana" w:cs="Arial"/>
        <w:sz w:val="12"/>
      </w:rPr>
      <w:t>ABN:  57 525 935 419</w:t>
    </w:r>
  </w:p>
  <w:p w14:paraId="2B421D03" w14:textId="77777777" w:rsidR="003E34F7" w:rsidRDefault="003E34F7" w:rsidP="003E34F7">
    <w:pPr>
      <w:pStyle w:val="Header"/>
    </w:pPr>
  </w:p>
  <w:p w14:paraId="254DD05C" w14:textId="77777777" w:rsidR="003E34F7" w:rsidRDefault="003E3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AFD"/>
    <w:multiLevelType w:val="hybridMultilevel"/>
    <w:tmpl w:val="24A0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85146"/>
    <w:multiLevelType w:val="hybridMultilevel"/>
    <w:tmpl w:val="5FEC7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BC1705"/>
    <w:multiLevelType w:val="hybridMultilevel"/>
    <w:tmpl w:val="D258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8325A"/>
    <w:multiLevelType w:val="hybridMultilevel"/>
    <w:tmpl w:val="8EF28624"/>
    <w:lvl w:ilvl="0" w:tplc="BB820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F96336"/>
    <w:multiLevelType w:val="hybridMultilevel"/>
    <w:tmpl w:val="D76E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87BFA"/>
    <w:multiLevelType w:val="hybridMultilevel"/>
    <w:tmpl w:val="95382E62"/>
    <w:lvl w:ilvl="0" w:tplc="A1BE6ED6">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24B55DD6"/>
    <w:multiLevelType w:val="hybridMultilevel"/>
    <w:tmpl w:val="00C0250E"/>
    <w:lvl w:ilvl="0" w:tplc="BB6491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B53A62"/>
    <w:multiLevelType w:val="hybridMultilevel"/>
    <w:tmpl w:val="E29E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F35AD"/>
    <w:multiLevelType w:val="hybridMultilevel"/>
    <w:tmpl w:val="0AAA7E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53E24D88"/>
    <w:multiLevelType w:val="hybridMultilevel"/>
    <w:tmpl w:val="5614D83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4CC6CE1"/>
    <w:multiLevelType w:val="hybridMultilevel"/>
    <w:tmpl w:val="AB6010B6"/>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1" w15:restartNumberingAfterBreak="0">
    <w:nsid w:val="5D567445"/>
    <w:multiLevelType w:val="hybridMultilevel"/>
    <w:tmpl w:val="934AF214"/>
    <w:lvl w:ilvl="0" w:tplc="0C090001">
      <w:start w:val="1"/>
      <w:numFmt w:val="bullet"/>
      <w:lvlText w:val=""/>
      <w:lvlJc w:val="left"/>
      <w:pPr>
        <w:ind w:left="1474" w:hanging="360"/>
      </w:pPr>
      <w:rPr>
        <w:rFonts w:ascii="Symbol" w:hAnsi="Symbol" w:hint="default"/>
      </w:rPr>
    </w:lvl>
    <w:lvl w:ilvl="1" w:tplc="0C090003" w:tentative="1">
      <w:start w:val="1"/>
      <w:numFmt w:val="bullet"/>
      <w:lvlText w:val="o"/>
      <w:lvlJc w:val="left"/>
      <w:pPr>
        <w:ind w:left="2194" w:hanging="360"/>
      </w:pPr>
      <w:rPr>
        <w:rFonts w:ascii="Courier New" w:hAnsi="Courier New" w:cs="Courier New" w:hint="default"/>
      </w:rPr>
    </w:lvl>
    <w:lvl w:ilvl="2" w:tplc="0C090005" w:tentative="1">
      <w:start w:val="1"/>
      <w:numFmt w:val="bullet"/>
      <w:lvlText w:val=""/>
      <w:lvlJc w:val="left"/>
      <w:pPr>
        <w:ind w:left="2914" w:hanging="360"/>
      </w:pPr>
      <w:rPr>
        <w:rFonts w:ascii="Wingdings" w:hAnsi="Wingdings" w:hint="default"/>
      </w:rPr>
    </w:lvl>
    <w:lvl w:ilvl="3" w:tplc="0C090001" w:tentative="1">
      <w:start w:val="1"/>
      <w:numFmt w:val="bullet"/>
      <w:lvlText w:val=""/>
      <w:lvlJc w:val="left"/>
      <w:pPr>
        <w:ind w:left="3634" w:hanging="360"/>
      </w:pPr>
      <w:rPr>
        <w:rFonts w:ascii="Symbol" w:hAnsi="Symbol" w:hint="default"/>
      </w:rPr>
    </w:lvl>
    <w:lvl w:ilvl="4" w:tplc="0C090003" w:tentative="1">
      <w:start w:val="1"/>
      <w:numFmt w:val="bullet"/>
      <w:lvlText w:val="o"/>
      <w:lvlJc w:val="left"/>
      <w:pPr>
        <w:ind w:left="4354" w:hanging="360"/>
      </w:pPr>
      <w:rPr>
        <w:rFonts w:ascii="Courier New" w:hAnsi="Courier New" w:cs="Courier New" w:hint="default"/>
      </w:rPr>
    </w:lvl>
    <w:lvl w:ilvl="5" w:tplc="0C090005" w:tentative="1">
      <w:start w:val="1"/>
      <w:numFmt w:val="bullet"/>
      <w:lvlText w:val=""/>
      <w:lvlJc w:val="left"/>
      <w:pPr>
        <w:ind w:left="5074" w:hanging="360"/>
      </w:pPr>
      <w:rPr>
        <w:rFonts w:ascii="Wingdings" w:hAnsi="Wingdings" w:hint="default"/>
      </w:rPr>
    </w:lvl>
    <w:lvl w:ilvl="6" w:tplc="0C090001" w:tentative="1">
      <w:start w:val="1"/>
      <w:numFmt w:val="bullet"/>
      <w:lvlText w:val=""/>
      <w:lvlJc w:val="left"/>
      <w:pPr>
        <w:ind w:left="5794" w:hanging="360"/>
      </w:pPr>
      <w:rPr>
        <w:rFonts w:ascii="Symbol" w:hAnsi="Symbol" w:hint="default"/>
      </w:rPr>
    </w:lvl>
    <w:lvl w:ilvl="7" w:tplc="0C090003" w:tentative="1">
      <w:start w:val="1"/>
      <w:numFmt w:val="bullet"/>
      <w:lvlText w:val="o"/>
      <w:lvlJc w:val="left"/>
      <w:pPr>
        <w:ind w:left="6514" w:hanging="360"/>
      </w:pPr>
      <w:rPr>
        <w:rFonts w:ascii="Courier New" w:hAnsi="Courier New" w:cs="Courier New" w:hint="default"/>
      </w:rPr>
    </w:lvl>
    <w:lvl w:ilvl="8" w:tplc="0C090005" w:tentative="1">
      <w:start w:val="1"/>
      <w:numFmt w:val="bullet"/>
      <w:lvlText w:val=""/>
      <w:lvlJc w:val="left"/>
      <w:pPr>
        <w:ind w:left="7234" w:hanging="360"/>
      </w:pPr>
      <w:rPr>
        <w:rFonts w:ascii="Wingdings" w:hAnsi="Wingdings" w:hint="default"/>
      </w:rPr>
    </w:lvl>
  </w:abstractNum>
  <w:abstractNum w:abstractNumId="12" w15:restartNumberingAfterBreak="0">
    <w:nsid w:val="5FF20A61"/>
    <w:multiLevelType w:val="hybridMultilevel"/>
    <w:tmpl w:val="BF26CD8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141564"/>
    <w:multiLevelType w:val="hybridMultilevel"/>
    <w:tmpl w:val="88580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9C56C1"/>
    <w:multiLevelType w:val="hybridMultilevel"/>
    <w:tmpl w:val="CBBEB62E"/>
    <w:lvl w:ilvl="0" w:tplc="23B64324">
      <w:start w:val="1"/>
      <w:numFmt w:val="bullet"/>
      <w:lvlText w:val=""/>
      <w:lvlJc w:val="left"/>
      <w:pPr>
        <w:tabs>
          <w:tab w:val="num" w:pos="717"/>
        </w:tabs>
        <w:ind w:left="714" w:hanging="357"/>
      </w:pPr>
      <w:rPr>
        <w:rFonts w:ascii="Symbol" w:hAnsi="Symbol" w:hint="default"/>
      </w:rPr>
    </w:lvl>
    <w:lvl w:ilvl="1" w:tplc="0C090003">
      <w:start w:val="1"/>
      <w:numFmt w:val="bullet"/>
      <w:lvlText w:val="o"/>
      <w:lvlJc w:val="left"/>
      <w:pPr>
        <w:tabs>
          <w:tab w:val="num" w:pos="1797"/>
        </w:tabs>
        <w:ind w:left="1797" w:hanging="360"/>
      </w:pPr>
      <w:rPr>
        <w:rFonts w:ascii="Courier New" w:hAnsi="Courier New" w:hint="default"/>
      </w:rPr>
    </w:lvl>
    <w:lvl w:ilvl="2" w:tplc="0C090005">
      <w:start w:val="1"/>
      <w:numFmt w:val="bullet"/>
      <w:lvlText w:val=""/>
      <w:lvlJc w:val="left"/>
      <w:pPr>
        <w:tabs>
          <w:tab w:val="num" w:pos="2517"/>
        </w:tabs>
        <w:ind w:left="2517" w:hanging="360"/>
      </w:pPr>
      <w:rPr>
        <w:rFonts w:ascii="Wingdings" w:hAnsi="Wingdings" w:hint="default"/>
      </w:rPr>
    </w:lvl>
    <w:lvl w:ilvl="3" w:tplc="0C090001">
      <w:start w:val="1"/>
      <w:numFmt w:val="bullet"/>
      <w:lvlText w:val=""/>
      <w:lvlJc w:val="left"/>
      <w:pPr>
        <w:tabs>
          <w:tab w:val="num" w:pos="3237"/>
        </w:tabs>
        <w:ind w:left="3237" w:hanging="360"/>
      </w:pPr>
      <w:rPr>
        <w:rFonts w:ascii="Symbol" w:hAnsi="Symbol" w:hint="default"/>
      </w:rPr>
    </w:lvl>
    <w:lvl w:ilvl="4" w:tplc="0C090003">
      <w:start w:val="1"/>
      <w:numFmt w:val="bullet"/>
      <w:lvlText w:val="o"/>
      <w:lvlJc w:val="left"/>
      <w:pPr>
        <w:tabs>
          <w:tab w:val="num" w:pos="3957"/>
        </w:tabs>
        <w:ind w:left="3957" w:hanging="360"/>
      </w:pPr>
      <w:rPr>
        <w:rFonts w:ascii="Courier New" w:hAnsi="Courier New" w:hint="default"/>
      </w:rPr>
    </w:lvl>
    <w:lvl w:ilvl="5" w:tplc="0C090005">
      <w:start w:val="1"/>
      <w:numFmt w:val="bullet"/>
      <w:lvlText w:val=""/>
      <w:lvlJc w:val="left"/>
      <w:pPr>
        <w:tabs>
          <w:tab w:val="num" w:pos="4677"/>
        </w:tabs>
        <w:ind w:left="4677" w:hanging="360"/>
      </w:pPr>
      <w:rPr>
        <w:rFonts w:ascii="Wingdings" w:hAnsi="Wingdings" w:hint="default"/>
      </w:rPr>
    </w:lvl>
    <w:lvl w:ilvl="6" w:tplc="0C090001">
      <w:start w:val="1"/>
      <w:numFmt w:val="bullet"/>
      <w:lvlText w:val=""/>
      <w:lvlJc w:val="left"/>
      <w:pPr>
        <w:tabs>
          <w:tab w:val="num" w:pos="5397"/>
        </w:tabs>
        <w:ind w:left="5397" w:hanging="360"/>
      </w:pPr>
      <w:rPr>
        <w:rFonts w:ascii="Symbol" w:hAnsi="Symbol" w:hint="default"/>
      </w:rPr>
    </w:lvl>
    <w:lvl w:ilvl="7" w:tplc="0C090003">
      <w:start w:val="1"/>
      <w:numFmt w:val="bullet"/>
      <w:lvlText w:val="o"/>
      <w:lvlJc w:val="left"/>
      <w:pPr>
        <w:tabs>
          <w:tab w:val="num" w:pos="6117"/>
        </w:tabs>
        <w:ind w:left="6117" w:hanging="360"/>
      </w:pPr>
      <w:rPr>
        <w:rFonts w:ascii="Courier New" w:hAnsi="Courier New" w:hint="default"/>
      </w:rPr>
    </w:lvl>
    <w:lvl w:ilvl="8" w:tplc="0C09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62407F7D"/>
    <w:multiLevelType w:val="hybridMultilevel"/>
    <w:tmpl w:val="4080CEC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6504A14"/>
    <w:multiLevelType w:val="hybridMultilevel"/>
    <w:tmpl w:val="63A4F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537C3E"/>
    <w:multiLevelType w:val="hybridMultilevel"/>
    <w:tmpl w:val="79923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A83E0C"/>
    <w:multiLevelType w:val="hybridMultilevel"/>
    <w:tmpl w:val="A7B2E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64FA8"/>
    <w:multiLevelType w:val="hybridMultilevel"/>
    <w:tmpl w:val="2B0AA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2D68F5"/>
    <w:multiLevelType w:val="hybridMultilevel"/>
    <w:tmpl w:val="7E3425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F629B9"/>
    <w:multiLevelType w:val="hybridMultilevel"/>
    <w:tmpl w:val="92566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2"/>
  </w:num>
  <w:num w:numId="6">
    <w:abstractNumId w:val="1"/>
  </w:num>
  <w:num w:numId="7">
    <w:abstractNumId w:val="5"/>
  </w:num>
  <w:num w:numId="8">
    <w:abstractNumId w:val="15"/>
  </w:num>
  <w:num w:numId="9">
    <w:abstractNumId w:val="18"/>
  </w:num>
  <w:num w:numId="10">
    <w:abstractNumId w:val="16"/>
  </w:num>
  <w:num w:numId="11">
    <w:abstractNumId w:val="7"/>
  </w:num>
  <w:num w:numId="12">
    <w:abstractNumId w:val="10"/>
  </w:num>
  <w:num w:numId="13">
    <w:abstractNumId w:val="8"/>
  </w:num>
  <w:num w:numId="14">
    <w:abstractNumId w:val="6"/>
  </w:num>
  <w:num w:numId="15">
    <w:abstractNumId w:val="4"/>
  </w:num>
  <w:num w:numId="16">
    <w:abstractNumId w:val="17"/>
  </w:num>
  <w:num w:numId="17">
    <w:abstractNumId w:val="9"/>
  </w:num>
  <w:num w:numId="18">
    <w:abstractNumId w:val="21"/>
  </w:num>
  <w:num w:numId="19">
    <w:abstractNumId w:val="19"/>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89"/>
    <w:rsid w:val="000028C2"/>
    <w:rsid w:val="00017420"/>
    <w:rsid w:val="00027B61"/>
    <w:rsid w:val="0003620F"/>
    <w:rsid w:val="00040F22"/>
    <w:rsid w:val="00043A60"/>
    <w:rsid w:val="00047831"/>
    <w:rsid w:val="000566B1"/>
    <w:rsid w:val="0005719E"/>
    <w:rsid w:val="00064790"/>
    <w:rsid w:val="00070144"/>
    <w:rsid w:val="00072758"/>
    <w:rsid w:val="000758E0"/>
    <w:rsid w:val="0009551F"/>
    <w:rsid w:val="000A107C"/>
    <w:rsid w:val="000A13C7"/>
    <w:rsid w:val="000A311A"/>
    <w:rsid w:val="000A6B1D"/>
    <w:rsid w:val="000B1810"/>
    <w:rsid w:val="000B2803"/>
    <w:rsid w:val="000B4FAA"/>
    <w:rsid w:val="000C1058"/>
    <w:rsid w:val="000E1A9F"/>
    <w:rsid w:val="000E67E1"/>
    <w:rsid w:val="000E69BC"/>
    <w:rsid w:val="000F5204"/>
    <w:rsid w:val="00101E37"/>
    <w:rsid w:val="001055AE"/>
    <w:rsid w:val="00117D3D"/>
    <w:rsid w:val="00120403"/>
    <w:rsid w:val="001313D0"/>
    <w:rsid w:val="0013712D"/>
    <w:rsid w:val="001445C9"/>
    <w:rsid w:val="00144BE4"/>
    <w:rsid w:val="00153095"/>
    <w:rsid w:val="00153DD0"/>
    <w:rsid w:val="0016184A"/>
    <w:rsid w:val="001864B0"/>
    <w:rsid w:val="001902FE"/>
    <w:rsid w:val="00190878"/>
    <w:rsid w:val="00196A55"/>
    <w:rsid w:val="001A1302"/>
    <w:rsid w:val="001A2CAC"/>
    <w:rsid w:val="001A5A4F"/>
    <w:rsid w:val="001B3EE3"/>
    <w:rsid w:val="001C11E3"/>
    <w:rsid w:val="001C219A"/>
    <w:rsid w:val="001C4528"/>
    <w:rsid w:val="001D443A"/>
    <w:rsid w:val="001D48C8"/>
    <w:rsid w:val="001D5CDF"/>
    <w:rsid w:val="001D7681"/>
    <w:rsid w:val="001E7A6D"/>
    <w:rsid w:val="0020564B"/>
    <w:rsid w:val="00206396"/>
    <w:rsid w:val="00207AEC"/>
    <w:rsid w:val="002119F3"/>
    <w:rsid w:val="00211BF9"/>
    <w:rsid w:val="00213740"/>
    <w:rsid w:val="00223F00"/>
    <w:rsid w:val="00225249"/>
    <w:rsid w:val="00227EA4"/>
    <w:rsid w:val="00234B45"/>
    <w:rsid w:val="00234EEF"/>
    <w:rsid w:val="00237032"/>
    <w:rsid w:val="002437A1"/>
    <w:rsid w:val="002620DC"/>
    <w:rsid w:val="00262887"/>
    <w:rsid w:val="002634D4"/>
    <w:rsid w:val="00264645"/>
    <w:rsid w:val="00274BE9"/>
    <w:rsid w:val="00275450"/>
    <w:rsid w:val="00276666"/>
    <w:rsid w:val="002935DB"/>
    <w:rsid w:val="002A4BFF"/>
    <w:rsid w:val="002C256A"/>
    <w:rsid w:val="002C3A63"/>
    <w:rsid w:val="002D3DA3"/>
    <w:rsid w:val="002F61E2"/>
    <w:rsid w:val="00311AB6"/>
    <w:rsid w:val="003149F2"/>
    <w:rsid w:val="0031588E"/>
    <w:rsid w:val="00323432"/>
    <w:rsid w:val="0033132F"/>
    <w:rsid w:val="0033246B"/>
    <w:rsid w:val="00345435"/>
    <w:rsid w:val="00345F85"/>
    <w:rsid w:val="003465A9"/>
    <w:rsid w:val="00352BE2"/>
    <w:rsid w:val="00356C77"/>
    <w:rsid w:val="00382430"/>
    <w:rsid w:val="003839D4"/>
    <w:rsid w:val="00393C5D"/>
    <w:rsid w:val="00395EB0"/>
    <w:rsid w:val="003A3F44"/>
    <w:rsid w:val="003A5112"/>
    <w:rsid w:val="003A679C"/>
    <w:rsid w:val="003A7F63"/>
    <w:rsid w:val="003B0A2D"/>
    <w:rsid w:val="003C56A5"/>
    <w:rsid w:val="003C7475"/>
    <w:rsid w:val="003D58AE"/>
    <w:rsid w:val="003E34F7"/>
    <w:rsid w:val="004455A3"/>
    <w:rsid w:val="0045512F"/>
    <w:rsid w:val="0046519E"/>
    <w:rsid w:val="00465CBB"/>
    <w:rsid w:val="00480705"/>
    <w:rsid w:val="004911A4"/>
    <w:rsid w:val="00491CD3"/>
    <w:rsid w:val="004936C7"/>
    <w:rsid w:val="00497F72"/>
    <w:rsid w:val="004A2A1B"/>
    <w:rsid w:val="004B0109"/>
    <w:rsid w:val="004B03F0"/>
    <w:rsid w:val="004B243F"/>
    <w:rsid w:val="004B3E2F"/>
    <w:rsid w:val="004C7FBC"/>
    <w:rsid w:val="004E5314"/>
    <w:rsid w:val="004E7F0F"/>
    <w:rsid w:val="004F5F63"/>
    <w:rsid w:val="00503488"/>
    <w:rsid w:val="00507DED"/>
    <w:rsid w:val="00520E2E"/>
    <w:rsid w:val="00522EFB"/>
    <w:rsid w:val="00523E26"/>
    <w:rsid w:val="00526072"/>
    <w:rsid w:val="0052674A"/>
    <w:rsid w:val="0053040E"/>
    <w:rsid w:val="00534BC2"/>
    <w:rsid w:val="00535222"/>
    <w:rsid w:val="00547F93"/>
    <w:rsid w:val="00557D5B"/>
    <w:rsid w:val="00577F23"/>
    <w:rsid w:val="00580165"/>
    <w:rsid w:val="0058563D"/>
    <w:rsid w:val="005A0D0E"/>
    <w:rsid w:val="005A4F4A"/>
    <w:rsid w:val="005A56E8"/>
    <w:rsid w:val="005B08C0"/>
    <w:rsid w:val="005B6FE7"/>
    <w:rsid w:val="005B72CA"/>
    <w:rsid w:val="005E3377"/>
    <w:rsid w:val="005E36C7"/>
    <w:rsid w:val="005E3F0F"/>
    <w:rsid w:val="00600D98"/>
    <w:rsid w:val="006310E9"/>
    <w:rsid w:val="00636744"/>
    <w:rsid w:val="00637EB3"/>
    <w:rsid w:val="0064159A"/>
    <w:rsid w:val="00642553"/>
    <w:rsid w:val="00663DA1"/>
    <w:rsid w:val="00667C9E"/>
    <w:rsid w:val="00673414"/>
    <w:rsid w:val="006739D8"/>
    <w:rsid w:val="006779AA"/>
    <w:rsid w:val="00680862"/>
    <w:rsid w:val="0068172B"/>
    <w:rsid w:val="0068274D"/>
    <w:rsid w:val="00684FB1"/>
    <w:rsid w:val="00686757"/>
    <w:rsid w:val="00692B8E"/>
    <w:rsid w:val="00697754"/>
    <w:rsid w:val="006A7E16"/>
    <w:rsid w:val="006B2C32"/>
    <w:rsid w:val="006C622D"/>
    <w:rsid w:val="006C7422"/>
    <w:rsid w:val="006D6DD9"/>
    <w:rsid w:val="006D7725"/>
    <w:rsid w:val="006E17A3"/>
    <w:rsid w:val="006E4EBA"/>
    <w:rsid w:val="006E59D3"/>
    <w:rsid w:val="006F0020"/>
    <w:rsid w:val="007022C9"/>
    <w:rsid w:val="00707988"/>
    <w:rsid w:val="00710A2E"/>
    <w:rsid w:val="00715875"/>
    <w:rsid w:val="0071646A"/>
    <w:rsid w:val="00724D30"/>
    <w:rsid w:val="0073033D"/>
    <w:rsid w:val="00734098"/>
    <w:rsid w:val="007372E0"/>
    <w:rsid w:val="00742398"/>
    <w:rsid w:val="00742FBE"/>
    <w:rsid w:val="00743243"/>
    <w:rsid w:val="0076021D"/>
    <w:rsid w:val="00791E13"/>
    <w:rsid w:val="007A02A7"/>
    <w:rsid w:val="007A7AB1"/>
    <w:rsid w:val="007B1E0C"/>
    <w:rsid w:val="007B2F95"/>
    <w:rsid w:val="007B7951"/>
    <w:rsid w:val="007B7C97"/>
    <w:rsid w:val="007C1C96"/>
    <w:rsid w:val="007C4BA3"/>
    <w:rsid w:val="007F51C3"/>
    <w:rsid w:val="007F57E8"/>
    <w:rsid w:val="007F5817"/>
    <w:rsid w:val="0080746C"/>
    <w:rsid w:val="00826990"/>
    <w:rsid w:val="00833442"/>
    <w:rsid w:val="00846392"/>
    <w:rsid w:val="0086052A"/>
    <w:rsid w:val="008609C9"/>
    <w:rsid w:val="00871844"/>
    <w:rsid w:val="00877340"/>
    <w:rsid w:val="00877BF7"/>
    <w:rsid w:val="00885B1F"/>
    <w:rsid w:val="00886ABD"/>
    <w:rsid w:val="00891973"/>
    <w:rsid w:val="00896233"/>
    <w:rsid w:val="008A35F4"/>
    <w:rsid w:val="008A5DE1"/>
    <w:rsid w:val="008C00DE"/>
    <w:rsid w:val="008C6951"/>
    <w:rsid w:val="008D1A97"/>
    <w:rsid w:val="008D5646"/>
    <w:rsid w:val="008D740D"/>
    <w:rsid w:val="008D77B4"/>
    <w:rsid w:val="008E4466"/>
    <w:rsid w:val="0091171D"/>
    <w:rsid w:val="009316A4"/>
    <w:rsid w:val="00932A1D"/>
    <w:rsid w:val="00937FEB"/>
    <w:rsid w:val="009428D6"/>
    <w:rsid w:val="00950D2B"/>
    <w:rsid w:val="009515C8"/>
    <w:rsid w:val="00957DEA"/>
    <w:rsid w:val="0097178A"/>
    <w:rsid w:val="009766B4"/>
    <w:rsid w:val="00984597"/>
    <w:rsid w:val="00984894"/>
    <w:rsid w:val="0099125F"/>
    <w:rsid w:val="0099598A"/>
    <w:rsid w:val="009B51B7"/>
    <w:rsid w:val="009B5212"/>
    <w:rsid w:val="009C118D"/>
    <w:rsid w:val="009D2380"/>
    <w:rsid w:val="009E475C"/>
    <w:rsid w:val="009F4958"/>
    <w:rsid w:val="00A1302F"/>
    <w:rsid w:val="00A21101"/>
    <w:rsid w:val="00A31B12"/>
    <w:rsid w:val="00A37396"/>
    <w:rsid w:val="00A40F32"/>
    <w:rsid w:val="00A531FF"/>
    <w:rsid w:val="00A54761"/>
    <w:rsid w:val="00A618E5"/>
    <w:rsid w:val="00A63A00"/>
    <w:rsid w:val="00A70DF1"/>
    <w:rsid w:val="00A70E00"/>
    <w:rsid w:val="00A746D2"/>
    <w:rsid w:val="00A81B2D"/>
    <w:rsid w:val="00A86745"/>
    <w:rsid w:val="00A91075"/>
    <w:rsid w:val="00AA02CA"/>
    <w:rsid w:val="00AA0518"/>
    <w:rsid w:val="00AA2F0B"/>
    <w:rsid w:val="00AA31ED"/>
    <w:rsid w:val="00AA56DF"/>
    <w:rsid w:val="00AA7558"/>
    <w:rsid w:val="00AB4ADE"/>
    <w:rsid w:val="00AB744A"/>
    <w:rsid w:val="00AD2B26"/>
    <w:rsid w:val="00AD675D"/>
    <w:rsid w:val="00AE05D2"/>
    <w:rsid w:val="00AF1A60"/>
    <w:rsid w:val="00B20D11"/>
    <w:rsid w:val="00B56624"/>
    <w:rsid w:val="00B6169B"/>
    <w:rsid w:val="00B672EC"/>
    <w:rsid w:val="00B76549"/>
    <w:rsid w:val="00BA4188"/>
    <w:rsid w:val="00BA710C"/>
    <w:rsid w:val="00BB3EA3"/>
    <w:rsid w:val="00BB65FA"/>
    <w:rsid w:val="00BC1DB2"/>
    <w:rsid w:val="00BC5F86"/>
    <w:rsid w:val="00BC69EE"/>
    <w:rsid w:val="00BC74D8"/>
    <w:rsid w:val="00BD17AA"/>
    <w:rsid w:val="00BD7B08"/>
    <w:rsid w:val="00BE1A15"/>
    <w:rsid w:val="00BE1C36"/>
    <w:rsid w:val="00BE438F"/>
    <w:rsid w:val="00BE6049"/>
    <w:rsid w:val="00BF69FE"/>
    <w:rsid w:val="00C00FC3"/>
    <w:rsid w:val="00C0420A"/>
    <w:rsid w:val="00C1480A"/>
    <w:rsid w:val="00C23B92"/>
    <w:rsid w:val="00C31D75"/>
    <w:rsid w:val="00C36876"/>
    <w:rsid w:val="00C36CBA"/>
    <w:rsid w:val="00C4521E"/>
    <w:rsid w:val="00C526B5"/>
    <w:rsid w:val="00C537F6"/>
    <w:rsid w:val="00C53E41"/>
    <w:rsid w:val="00C5718B"/>
    <w:rsid w:val="00C618B5"/>
    <w:rsid w:val="00C62F09"/>
    <w:rsid w:val="00C66DFA"/>
    <w:rsid w:val="00C80770"/>
    <w:rsid w:val="00C81885"/>
    <w:rsid w:val="00C86B69"/>
    <w:rsid w:val="00C92FF2"/>
    <w:rsid w:val="00C931EA"/>
    <w:rsid w:val="00CA4ACC"/>
    <w:rsid w:val="00CA6AF3"/>
    <w:rsid w:val="00CB2867"/>
    <w:rsid w:val="00CB37A2"/>
    <w:rsid w:val="00CE1CC7"/>
    <w:rsid w:val="00CF4744"/>
    <w:rsid w:val="00D0698C"/>
    <w:rsid w:val="00D07C0E"/>
    <w:rsid w:val="00D12E54"/>
    <w:rsid w:val="00D17B61"/>
    <w:rsid w:val="00D2334E"/>
    <w:rsid w:val="00D3340C"/>
    <w:rsid w:val="00D34714"/>
    <w:rsid w:val="00D436DD"/>
    <w:rsid w:val="00D62975"/>
    <w:rsid w:val="00D6358D"/>
    <w:rsid w:val="00D63E51"/>
    <w:rsid w:val="00D71E3F"/>
    <w:rsid w:val="00D8057F"/>
    <w:rsid w:val="00D84C07"/>
    <w:rsid w:val="00D9074A"/>
    <w:rsid w:val="00D90CC8"/>
    <w:rsid w:val="00DA3CDE"/>
    <w:rsid w:val="00DA52B3"/>
    <w:rsid w:val="00DA58BD"/>
    <w:rsid w:val="00DA7AA8"/>
    <w:rsid w:val="00DC52ED"/>
    <w:rsid w:val="00DC53D5"/>
    <w:rsid w:val="00DD0345"/>
    <w:rsid w:val="00DD3449"/>
    <w:rsid w:val="00DD4A5B"/>
    <w:rsid w:val="00DE3C1C"/>
    <w:rsid w:val="00DF0945"/>
    <w:rsid w:val="00DF1208"/>
    <w:rsid w:val="00DF1CB9"/>
    <w:rsid w:val="00E02247"/>
    <w:rsid w:val="00E16D13"/>
    <w:rsid w:val="00E27BFD"/>
    <w:rsid w:val="00E35B47"/>
    <w:rsid w:val="00E4566D"/>
    <w:rsid w:val="00E469D9"/>
    <w:rsid w:val="00E5049A"/>
    <w:rsid w:val="00E70189"/>
    <w:rsid w:val="00E839EE"/>
    <w:rsid w:val="00E93F1E"/>
    <w:rsid w:val="00E94CBF"/>
    <w:rsid w:val="00EB4449"/>
    <w:rsid w:val="00EC06C6"/>
    <w:rsid w:val="00EC1AE9"/>
    <w:rsid w:val="00EC2ADD"/>
    <w:rsid w:val="00EC3789"/>
    <w:rsid w:val="00EC389E"/>
    <w:rsid w:val="00ED30B9"/>
    <w:rsid w:val="00ED5607"/>
    <w:rsid w:val="00EE61CE"/>
    <w:rsid w:val="00EF175C"/>
    <w:rsid w:val="00EF2789"/>
    <w:rsid w:val="00EF6511"/>
    <w:rsid w:val="00EF6F93"/>
    <w:rsid w:val="00EF756F"/>
    <w:rsid w:val="00F130FF"/>
    <w:rsid w:val="00F17153"/>
    <w:rsid w:val="00F172A8"/>
    <w:rsid w:val="00F21BF5"/>
    <w:rsid w:val="00F24496"/>
    <w:rsid w:val="00F25969"/>
    <w:rsid w:val="00F37B5F"/>
    <w:rsid w:val="00F45B32"/>
    <w:rsid w:val="00F46DC7"/>
    <w:rsid w:val="00F54934"/>
    <w:rsid w:val="00F56334"/>
    <w:rsid w:val="00F56855"/>
    <w:rsid w:val="00F701C8"/>
    <w:rsid w:val="00F769A0"/>
    <w:rsid w:val="00F81C4C"/>
    <w:rsid w:val="00F866EC"/>
    <w:rsid w:val="00F930D0"/>
    <w:rsid w:val="00FA00F9"/>
    <w:rsid w:val="00FA6629"/>
    <w:rsid w:val="00FB0287"/>
    <w:rsid w:val="00FB4EB5"/>
    <w:rsid w:val="00FC57E4"/>
    <w:rsid w:val="00FC6C60"/>
    <w:rsid w:val="00FD0707"/>
    <w:rsid w:val="00FD4082"/>
    <w:rsid w:val="00FD45F0"/>
    <w:rsid w:val="00FE5BB7"/>
    <w:rsid w:val="00FF4AD7"/>
    <w:rsid w:val="00FF5514"/>
    <w:rsid w:val="00FF658D"/>
    <w:rsid w:val="16384668"/>
    <w:rsid w:val="372C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146C3F5"/>
  <w15:docId w15:val="{366883CA-8E73-4561-A47F-6726CE14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63"/>
    <w:rPr>
      <w:sz w:val="22"/>
      <w:szCs w:val="22"/>
      <w:lang w:eastAsia="en-US" w:bidi="en-US"/>
    </w:rPr>
  </w:style>
  <w:style w:type="paragraph" w:styleId="Heading1">
    <w:name w:val="heading 1"/>
    <w:basedOn w:val="Normal"/>
    <w:next w:val="Normal"/>
    <w:link w:val="Heading1Char"/>
    <w:uiPriority w:val="9"/>
    <w:qFormat/>
    <w:rsid w:val="003A7F63"/>
    <w:pPr>
      <w:spacing w:before="48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3A7F63"/>
    <w:pPr>
      <w:spacing w:before="20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3A7F63"/>
    <w:pPr>
      <w:spacing w:before="20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3A7F63"/>
    <w:pPr>
      <w:spacing w:before="20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3A7F63"/>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3A7F63"/>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3A7F63"/>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3A7F63"/>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3A7F63"/>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934"/>
    <w:rPr>
      <w:rFonts w:ascii="Tahoma" w:hAnsi="Tahoma" w:cs="Tahoma"/>
      <w:sz w:val="16"/>
      <w:szCs w:val="16"/>
    </w:rPr>
  </w:style>
  <w:style w:type="paragraph" w:customStyle="1" w:styleId="v">
    <w:name w:val="v"/>
    <w:basedOn w:val="Normal"/>
    <w:rsid w:val="003A679C"/>
    <w:pPr>
      <w:jc w:val="right"/>
    </w:pPr>
  </w:style>
  <w:style w:type="paragraph" w:styleId="Header">
    <w:name w:val="header"/>
    <w:basedOn w:val="Normal"/>
    <w:rsid w:val="003A679C"/>
    <w:pPr>
      <w:tabs>
        <w:tab w:val="center" w:pos="4320"/>
        <w:tab w:val="right" w:pos="8640"/>
      </w:tabs>
    </w:pPr>
  </w:style>
  <w:style w:type="paragraph" w:styleId="Footer">
    <w:name w:val="footer"/>
    <w:basedOn w:val="Normal"/>
    <w:rsid w:val="003A679C"/>
    <w:pPr>
      <w:tabs>
        <w:tab w:val="center" w:pos="4320"/>
        <w:tab w:val="right" w:pos="8640"/>
      </w:tabs>
    </w:pPr>
  </w:style>
  <w:style w:type="character" w:styleId="PageNumber">
    <w:name w:val="page number"/>
    <w:basedOn w:val="DefaultParagraphFont"/>
    <w:rsid w:val="003A679C"/>
  </w:style>
  <w:style w:type="paragraph" w:styleId="Title">
    <w:name w:val="Title"/>
    <w:basedOn w:val="Normal"/>
    <w:next w:val="Normal"/>
    <w:link w:val="TitleChar"/>
    <w:qFormat/>
    <w:rsid w:val="003A7F63"/>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3A7F6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A7F63"/>
    <w:pPr>
      <w:spacing w:after="600"/>
    </w:pPr>
    <w:rPr>
      <w:rFonts w:ascii="Cambria" w:hAnsi="Cambria"/>
      <w:i/>
      <w:iCs/>
      <w:spacing w:val="13"/>
      <w:sz w:val="24"/>
      <w:szCs w:val="24"/>
      <w:lang w:bidi="ar-SA"/>
    </w:rPr>
  </w:style>
  <w:style w:type="character" w:customStyle="1" w:styleId="SubtitleChar">
    <w:name w:val="Subtitle Char"/>
    <w:link w:val="Subtitle"/>
    <w:uiPriority w:val="11"/>
    <w:rsid w:val="003A7F63"/>
    <w:rPr>
      <w:rFonts w:ascii="Cambria" w:eastAsia="Times New Roman" w:hAnsi="Cambria" w:cs="Times New Roman"/>
      <w:i/>
      <w:iCs/>
      <w:spacing w:val="13"/>
      <w:sz w:val="24"/>
      <w:szCs w:val="24"/>
    </w:rPr>
  </w:style>
  <w:style w:type="character" w:customStyle="1" w:styleId="Heading1Char">
    <w:name w:val="Heading 1 Char"/>
    <w:link w:val="Heading1"/>
    <w:uiPriority w:val="9"/>
    <w:rsid w:val="003A7F63"/>
    <w:rPr>
      <w:rFonts w:ascii="Cambria" w:eastAsia="Times New Roman" w:hAnsi="Cambria" w:cs="Times New Roman"/>
      <w:b/>
      <w:bCs/>
      <w:sz w:val="28"/>
      <w:szCs w:val="28"/>
    </w:rPr>
  </w:style>
  <w:style w:type="character" w:customStyle="1" w:styleId="Heading2Char">
    <w:name w:val="Heading 2 Char"/>
    <w:link w:val="Heading2"/>
    <w:uiPriority w:val="9"/>
    <w:semiHidden/>
    <w:rsid w:val="003A7F63"/>
    <w:rPr>
      <w:rFonts w:ascii="Cambria" w:eastAsia="Times New Roman" w:hAnsi="Cambria" w:cs="Times New Roman"/>
      <w:b/>
      <w:bCs/>
      <w:sz w:val="26"/>
      <w:szCs w:val="26"/>
    </w:rPr>
  </w:style>
  <w:style w:type="character" w:customStyle="1" w:styleId="Heading3Char">
    <w:name w:val="Heading 3 Char"/>
    <w:link w:val="Heading3"/>
    <w:uiPriority w:val="9"/>
    <w:rsid w:val="003A7F63"/>
    <w:rPr>
      <w:rFonts w:ascii="Cambria" w:eastAsia="Times New Roman" w:hAnsi="Cambria" w:cs="Times New Roman"/>
      <w:b/>
      <w:bCs/>
    </w:rPr>
  </w:style>
  <w:style w:type="character" w:customStyle="1" w:styleId="Heading4Char">
    <w:name w:val="Heading 4 Char"/>
    <w:link w:val="Heading4"/>
    <w:uiPriority w:val="9"/>
    <w:semiHidden/>
    <w:rsid w:val="003A7F63"/>
    <w:rPr>
      <w:rFonts w:ascii="Cambria" w:eastAsia="Times New Roman" w:hAnsi="Cambria" w:cs="Times New Roman"/>
      <w:b/>
      <w:bCs/>
      <w:i/>
      <w:iCs/>
    </w:rPr>
  </w:style>
  <w:style w:type="character" w:customStyle="1" w:styleId="Heading5Char">
    <w:name w:val="Heading 5 Char"/>
    <w:link w:val="Heading5"/>
    <w:uiPriority w:val="9"/>
    <w:semiHidden/>
    <w:rsid w:val="003A7F63"/>
    <w:rPr>
      <w:rFonts w:ascii="Cambria" w:eastAsia="Times New Roman" w:hAnsi="Cambria" w:cs="Times New Roman"/>
      <w:b/>
      <w:bCs/>
      <w:color w:val="7F7F7F"/>
    </w:rPr>
  </w:style>
  <w:style w:type="character" w:customStyle="1" w:styleId="Heading6Char">
    <w:name w:val="Heading 6 Char"/>
    <w:link w:val="Heading6"/>
    <w:uiPriority w:val="9"/>
    <w:semiHidden/>
    <w:rsid w:val="003A7F63"/>
    <w:rPr>
      <w:rFonts w:ascii="Cambria" w:eastAsia="Times New Roman" w:hAnsi="Cambria" w:cs="Times New Roman"/>
      <w:b/>
      <w:bCs/>
      <w:i/>
      <w:iCs/>
      <w:color w:val="7F7F7F"/>
    </w:rPr>
  </w:style>
  <w:style w:type="character" w:customStyle="1" w:styleId="Heading7Char">
    <w:name w:val="Heading 7 Char"/>
    <w:link w:val="Heading7"/>
    <w:uiPriority w:val="9"/>
    <w:semiHidden/>
    <w:rsid w:val="003A7F63"/>
    <w:rPr>
      <w:rFonts w:ascii="Cambria" w:eastAsia="Times New Roman" w:hAnsi="Cambria" w:cs="Times New Roman"/>
      <w:i/>
      <w:iCs/>
    </w:rPr>
  </w:style>
  <w:style w:type="character" w:customStyle="1" w:styleId="Heading8Char">
    <w:name w:val="Heading 8 Char"/>
    <w:link w:val="Heading8"/>
    <w:uiPriority w:val="9"/>
    <w:semiHidden/>
    <w:rsid w:val="003A7F63"/>
    <w:rPr>
      <w:rFonts w:ascii="Cambria" w:eastAsia="Times New Roman" w:hAnsi="Cambria" w:cs="Times New Roman"/>
      <w:sz w:val="20"/>
      <w:szCs w:val="20"/>
    </w:rPr>
  </w:style>
  <w:style w:type="character" w:customStyle="1" w:styleId="Heading9Char">
    <w:name w:val="Heading 9 Char"/>
    <w:link w:val="Heading9"/>
    <w:uiPriority w:val="9"/>
    <w:semiHidden/>
    <w:rsid w:val="003A7F63"/>
    <w:rPr>
      <w:rFonts w:ascii="Cambria" w:eastAsia="Times New Roman" w:hAnsi="Cambria" w:cs="Times New Roman"/>
      <w:i/>
      <w:iCs/>
      <w:spacing w:val="5"/>
      <w:sz w:val="20"/>
      <w:szCs w:val="20"/>
    </w:rPr>
  </w:style>
  <w:style w:type="paragraph" w:styleId="Caption">
    <w:name w:val="caption"/>
    <w:basedOn w:val="Normal"/>
    <w:next w:val="Normal"/>
    <w:uiPriority w:val="35"/>
    <w:qFormat/>
    <w:rsid w:val="00A81B2D"/>
    <w:pPr>
      <w:spacing w:line="240" w:lineRule="auto"/>
    </w:pPr>
    <w:rPr>
      <w:b/>
      <w:bCs/>
      <w:color w:val="4F81BD"/>
      <w:sz w:val="18"/>
      <w:szCs w:val="18"/>
    </w:rPr>
  </w:style>
  <w:style w:type="character" w:styleId="Strong">
    <w:name w:val="Strong"/>
    <w:uiPriority w:val="22"/>
    <w:qFormat/>
    <w:rsid w:val="003A7F63"/>
    <w:rPr>
      <w:b/>
      <w:bCs/>
    </w:rPr>
  </w:style>
  <w:style w:type="character" w:styleId="Emphasis">
    <w:name w:val="Emphasis"/>
    <w:uiPriority w:val="20"/>
    <w:qFormat/>
    <w:rsid w:val="003A7F63"/>
    <w:rPr>
      <w:b/>
      <w:bCs/>
      <w:i/>
      <w:iCs/>
      <w:spacing w:val="10"/>
      <w:bdr w:val="none" w:sz="0" w:space="0" w:color="auto"/>
      <w:shd w:val="clear" w:color="auto" w:fill="auto"/>
    </w:rPr>
  </w:style>
  <w:style w:type="paragraph" w:styleId="NoSpacing">
    <w:name w:val="No Spacing"/>
    <w:basedOn w:val="Normal"/>
    <w:uiPriority w:val="1"/>
    <w:qFormat/>
    <w:rsid w:val="003A7F63"/>
    <w:pPr>
      <w:spacing w:line="240" w:lineRule="auto"/>
    </w:pPr>
  </w:style>
  <w:style w:type="paragraph" w:styleId="ListParagraph">
    <w:name w:val="List Paragraph"/>
    <w:basedOn w:val="Normal"/>
    <w:uiPriority w:val="34"/>
    <w:qFormat/>
    <w:rsid w:val="003A7F63"/>
    <w:pPr>
      <w:ind w:left="720"/>
      <w:contextualSpacing/>
    </w:pPr>
  </w:style>
  <w:style w:type="paragraph" w:styleId="Quote">
    <w:name w:val="Quote"/>
    <w:basedOn w:val="Normal"/>
    <w:next w:val="Normal"/>
    <w:link w:val="QuoteChar"/>
    <w:uiPriority w:val="29"/>
    <w:qFormat/>
    <w:rsid w:val="003A7F63"/>
    <w:pPr>
      <w:spacing w:before="200"/>
      <w:ind w:left="360" w:right="360"/>
    </w:pPr>
    <w:rPr>
      <w:i/>
      <w:iCs/>
      <w:sz w:val="20"/>
      <w:szCs w:val="20"/>
      <w:lang w:bidi="ar-SA"/>
    </w:rPr>
  </w:style>
  <w:style w:type="character" w:customStyle="1" w:styleId="QuoteChar">
    <w:name w:val="Quote Char"/>
    <w:link w:val="Quote"/>
    <w:uiPriority w:val="29"/>
    <w:rsid w:val="003A7F63"/>
    <w:rPr>
      <w:i/>
      <w:iCs/>
    </w:rPr>
  </w:style>
  <w:style w:type="paragraph" w:styleId="IntenseQuote">
    <w:name w:val="Intense Quote"/>
    <w:basedOn w:val="Normal"/>
    <w:next w:val="Normal"/>
    <w:link w:val="IntenseQuoteChar"/>
    <w:uiPriority w:val="30"/>
    <w:qFormat/>
    <w:rsid w:val="003A7F63"/>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3A7F63"/>
    <w:rPr>
      <w:b/>
      <w:bCs/>
      <w:i/>
      <w:iCs/>
    </w:rPr>
  </w:style>
  <w:style w:type="character" w:styleId="SubtleEmphasis">
    <w:name w:val="Subtle Emphasis"/>
    <w:uiPriority w:val="19"/>
    <w:qFormat/>
    <w:rsid w:val="003A7F63"/>
    <w:rPr>
      <w:i/>
      <w:iCs/>
    </w:rPr>
  </w:style>
  <w:style w:type="character" w:styleId="IntenseEmphasis">
    <w:name w:val="Intense Emphasis"/>
    <w:uiPriority w:val="21"/>
    <w:qFormat/>
    <w:rsid w:val="003A7F63"/>
    <w:rPr>
      <w:b/>
      <w:bCs/>
    </w:rPr>
  </w:style>
  <w:style w:type="character" w:styleId="SubtleReference">
    <w:name w:val="Subtle Reference"/>
    <w:uiPriority w:val="31"/>
    <w:qFormat/>
    <w:rsid w:val="003A7F63"/>
    <w:rPr>
      <w:smallCaps/>
    </w:rPr>
  </w:style>
  <w:style w:type="character" w:styleId="IntenseReference">
    <w:name w:val="Intense Reference"/>
    <w:uiPriority w:val="32"/>
    <w:qFormat/>
    <w:rsid w:val="003A7F63"/>
    <w:rPr>
      <w:smallCaps/>
      <w:spacing w:val="5"/>
      <w:u w:val="single"/>
    </w:rPr>
  </w:style>
  <w:style w:type="character" w:styleId="BookTitle">
    <w:name w:val="Book Title"/>
    <w:uiPriority w:val="33"/>
    <w:qFormat/>
    <w:rsid w:val="003A7F63"/>
    <w:rPr>
      <w:i/>
      <w:iCs/>
      <w:smallCaps/>
      <w:spacing w:val="5"/>
    </w:rPr>
  </w:style>
  <w:style w:type="paragraph" w:styleId="TOCHeading">
    <w:name w:val="TOC Heading"/>
    <w:basedOn w:val="Heading1"/>
    <w:next w:val="Normal"/>
    <w:uiPriority w:val="39"/>
    <w:qFormat/>
    <w:rsid w:val="003A7F63"/>
    <w:pPr>
      <w:outlineLvl w:val="9"/>
    </w:pPr>
  </w:style>
  <w:style w:type="paragraph" w:styleId="NormalWeb">
    <w:name w:val="Normal (Web)"/>
    <w:basedOn w:val="Normal"/>
    <w:uiPriority w:val="99"/>
    <w:unhideWhenUsed/>
    <w:rsid w:val="002935DB"/>
    <w:pPr>
      <w:spacing w:before="100" w:beforeAutospacing="1" w:after="100" w:afterAutospacing="1" w:line="240" w:lineRule="auto"/>
    </w:pPr>
    <w:rPr>
      <w:rFonts w:ascii="Times New Roman" w:eastAsia="Calibri" w:hAnsi="Times New Roman"/>
      <w:sz w:val="24"/>
      <w:szCs w:val="24"/>
      <w:lang w:eastAsia="en-AU" w:bidi="ar-SA"/>
    </w:rPr>
  </w:style>
  <w:style w:type="character" w:customStyle="1" w:styleId="eop">
    <w:name w:val="eop"/>
    <w:basedOn w:val="DefaultParagraphFont"/>
    <w:rsid w:val="005A56E8"/>
  </w:style>
  <w:style w:type="character" w:styleId="Hyperlink">
    <w:name w:val="Hyperlink"/>
    <w:basedOn w:val="DefaultParagraphFont"/>
    <w:uiPriority w:val="99"/>
    <w:unhideWhenUsed/>
    <w:rsid w:val="005A56E8"/>
    <w:rPr>
      <w:color w:val="0000FF" w:themeColor="hyperlink"/>
      <w:u w:val="single"/>
    </w:rPr>
  </w:style>
  <w:style w:type="paragraph" w:styleId="FootnoteText">
    <w:name w:val="footnote text"/>
    <w:basedOn w:val="Normal"/>
    <w:link w:val="FootnoteTextChar"/>
    <w:uiPriority w:val="99"/>
    <w:semiHidden/>
    <w:unhideWhenUsed/>
    <w:rsid w:val="005A56E8"/>
    <w:pPr>
      <w:spacing w:line="240" w:lineRule="auto"/>
    </w:pPr>
    <w:rPr>
      <w:rFonts w:asciiTheme="minorHAnsi" w:eastAsiaTheme="minorEastAsia" w:hAnsiTheme="minorHAnsi" w:cstheme="minorBidi"/>
      <w:sz w:val="20"/>
      <w:szCs w:val="20"/>
      <w:lang w:eastAsia="zh-CN" w:bidi="ar-SA"/>
    </w:rPr>
  </w:style>
  <w:style w:type="character" w:customStyle="1" w:styleId="FootnoteTextChar">
    <w:name w:val="Footnote Text Char"/>
    <w:basedOn w:val="DefaultParagraphFont"/>
    <w:link w:val="FootnoteText"/>
    <w:uiPriority w:val="99"/>
    <w:semiHidden/>
    <w:rsid w:val="005A56E8"/>
    <w:rPr>
      <w:rFonts w:asciiTheme="minorHAnsi" w:eastAsiaTheme="minorEastAsia" w:hAnsiTheme="minorHAnsi" w:cstheme="minorBidi"/>
      <w:lang w:eastAsia="zh-CN"/>
    </w:rPr>
  </w:style>
  <w:style w:type="character" w:styleId="FootnoteReference">
    <w:name w:val="footnote reference"/>
    <w:basedOn w:val="DefaultParagraphFont"/>
    <w:uiPriority w:val="99"/>
    <w:semiHidden/>
    <w:unhideWhenUsed/>
    <w:rsid w:val="005A56E8"/>
    <w:rPr>
      <w:vertAlign w:val="superscript"/>
    </w:rPr>
  </w:style>
  <w:style w:type="paragraph" w:customStyle="1" w:styleId="paragraph">
    <w:name w:val="paragraph"/>
    <w:basedOn w:val="Normal"/>
    <w:rsid w:val="00C86B69"/>
    <w:pPr>
      <w:spacing w:before="100" w:beforeAutospacing="1" w:after="100" w:afterAutospacing="1" w:line="240" w:lineRule="auto"/>
    </w:pPr>
    <w:rPr>
      <w:rFonts w:ascii="Times New Roman" w:hAnsi="Times New Roman"/>
      <w:sz w:val="24"/>
      <w:szCs w:val="24"/>
      <w:lang w:eastAsia="en-AU" w:bidi="ar-SA"/>
    </w:rPr>
  </w:style>
  <w:style w:type="character" w:customStyle="1" w:styleId="normaltextrun">
    <w:name w:val="normaltextrun"/>
    <w:basedOn w:val="DefaultParagraphFont"/>
    <w:rsid w:val="00C86B69"/>
  </w:style>
  <w:style w:type="table" w:styleId="GridTable5Dark-Accent1">
    <w:name w:val="Grid Table 5 Dark Accent 1"/>
    <w:basedOn w:val="TableNormal"/>
    <w:uiPriority w:val="50"/>
    <w:rsid w:val="001C219A"/>
    <w:pPr>
      <w:spacing w:line="240" w:lineRule="auto"/>
    </w:pPr>
    <w:rPr>
      <w:rFonts w:asciiTheme="minorHAnsi" w:eastAsiaTheme="minorEastAsia" w:hAnsiTheme="minorHAnsi" w:cstheme="minorBidi"/>
      <w:sz w:val="24"/>
      <w:szCs w:val="24"/>
      <w:lang w:val="en-GB"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
    <w:name w:val="Table Grid"/>
    <w:basedOn w:val="TableNormal"/>
    <w:uiPriority w:val="59"/>
    <w:rsid w:val="001C219A"/>
    <w:pPr>
      <w:spacing w:line="240" w:lineRule="auto"/>
    </w:pPr>
    <w:rPr>
      <w:rFonts w:asciiTheme="minorHAnsi" w:eastAsiaTheme="minorEastAsia" w:hAnsiTheme="minorHAnsi" w:cstheme="minorBidi"/>
      <w:sz w:val="22"/>
      <w:szCs w:val="22"/>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877340"/>
    <w:rPr>
      <w:sz w:val="16"/>
      <w:szCs w:val="16"/>
    </w:rPr>
  </w:style>
  <w:style w:type="paragraph" w:styleId="CommentText">
    <w:name w:val="annotation text"/>
    <w:basedOn w:val="Normal"/>
    <w:link w:val="CommentTextChar"/>
    <w:semiHidden/>
    <w:unhideWhenUsed/>
    <w:rsid w:val="00877340"/>
    <w:pPr>
      <w:spacing w:line="240" w:lineRule="auto"/>
    </w:pPr>
    <w:rPr>
      <w:sz w:val="20"/>
      <w:szCs w:val="20"/>
    </w:rPr>
  </w:style>
  <w:style w:type="character" w:customStyle="1" w:styleId="CommentTextChar">
    <w:name w:val="Comment Text Char"/>
    <w:basedOn w:val="DefaultParagraphFont"/>
    <w:link w:val="CommentText"/>
    <w:semiHidden/>
    <w:rsid w:val="00877340"/>
    <w:rPr>
      <w:lang w:eastAsia="en-US" w:bidi="en-US"/>
    </w:rPr>
  </w:style>
  <w:style w:type="paragraph" w:styleId="CommentSubject">
    <w:name w:val="annotation subject"/>
    <w:basedOn w:val="CommentText"/>
    <w:next w:val="CommentText"/>
    <w:link w:val="CommentSubjectChar"/>
    <w:semiHidden/>
    <w:unhideWhenUsed/>
    <w:rsid w:val="00877340"/>
    <w:rPr>
      <w:b/>
      <w:bCs/>
    </w:rPr>
  </w:style>
  <w:style w:type="character" w:customStyle="1" w:styleId="CommentSubjectChar">
    <w:name w:val="Comment Subject Char"/>
    <w:basedOn w:val="CommentTextChar"/>
    <w:link w:val="CommentSubject"/>
    <w:semiHidden/>
    <w:rsid w:val="00877340"/>
    <w:rPr>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666">
      <w:bodyDiv w:val="1"/>
      <w:marLeft w:val="0"/>
      <w:marRight w:val="0"/>
      <w:marTop w:val="0"/>
      <w:marBottom w:val="0"/>
      <w:divBdr>
        <w:top w:val="none" w:sz="0" w:space="0" w:color="auto"/>
        <w:left w:val="none" w:sz="0" w:space="0" w:color="auto"/>
        <w:bottom w:val="none" w:sz="0" w:space="0" w:color="auto"/>
        <w:right w:val="none" w:sz="0" w:space="0" w:color="auto"/>
      </w:divBdr>
      <w:divsChild>
        <w:div w:id="2022275751">
          <w:marLeft w:val="0"/>
          <w:marRight w:val="0"/>
          <w:marTop w:val="0"/>
          <w:marBottom w:val="0"/>
          <w:divBdr>
            <w:top w:val="none" w:sz="0" w:space="0" w:color="auto"/>
            <w:left w:val="none" w:sz="0" w:space="0" w:color="auto"/>
            <w:bottom w:val="none" w:sz="0" w:space="0" w:color="auto"/>
            <w:right w:val="none" w:sz="0" w:space="0" w:color="auto"/>
          </w:divBdr>
          <w:divsChild>
            <w:div w:id="110449929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reativespirits.info/aboriginalculture/people/aboriginal-suicide-ra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ihw.gov.au/getmedia/b40149b6-d133-4f16-a1e8-5a98617b8488/ihw-202-aihw.pdf.aspx?inline=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D4679C.E0194AA0"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ducation.qld.gov.au/students/student-health-safety-wellbeing/student-support-services/chaplaincy-student-welfare-worker-services" TargetMode="External"/><Relationship Id="rId1" Type="http://schemas.openxmlformats.org/officeDocument/2006/relationships/hyperlink" Target="http://www.abs.gov.au/websitedbs/D3310114.nsf/home/remoteness+structu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PCDOC-1378080517-951</_dlc_DocId>
    <_dlc_DocIdUrl xmlns="3f4bcce7-ac1a-4c9d-aa3e-7e77695652db">
      <Url>http://inet.pc.gov.au/pmo/inq/mentalhealth/_layouts/15/DocIdRedir.aspx?ID=PCDOC-1378080517-951</Url>
      <Description>PCDOC-1378080517-951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1E3EB-B1E8-4B3C-A646-C3BAF6D84731}">
  <ds:schemaRefs>
    <ds:schemaRef ds:uri="http://schemas.microsoft.com/sharepoint/events"/>
  </ds:schemaRefs>
</ds:datastoreItem>
</file>

<file path=customXml/itemProps2.xml><?xml version="1.0" encoding="utf-8"?>
<ds:datastoreItem xmlns:ds="http://schemas.openxmlformats.org/officeDocument/2006/customXml" ds:itemID="{BA9D2E9C-C5BC-41AE-97F6-88674FD79034}">
  <ds:schemaRefs>
    <ds:schemaRef ds:uri="http://schemas.microsoft.com/office/2006/documentManagement/types"/>
    <ds:schemaRef ds:uri="http://purl.org/dc/dcmitype/"/>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3896883-A40B-45A6-A1AD-0F7EC1585C8B}">
  <ds:schemaRefs>
    <ds:schemaRef ds:uri="http://schemas.microsoft.com/sharepoint/v3/contenttype/forms"/>
  </ds:schemaRefs>
</ds:datastoreItem>
</file>

<file path=customXml/itemProps4.xml><?xml version="1.0" encoding="utf-8"?>
<ds:datastoreItem xmlns:ds="http://schemas.openxmlformats.org/officeDocument/2006/customXml" ds:itemID="{6E8894FA-5AA1-4907-AA87-D68B181BB67C}">
  <ds:schemaRefs>
    <ds:schemaRef ds:uri="Microsoft.SharePoint.Taxonomy.ContentTypeSync"/>
  </ds:schemaRefs>
</ds:datastoreItem>
</file>

<file path=customXml/itemProps5.xml><?xml version="1.0" encoding="utf-8"?>
<ds:datastoreItem xmlns:ds="http://schemas.openxmlformats.org/officeDocument/2006/customXml" ds:itemID="{2464439D-9701-461E-A458-5C876F6296A5}">
  <ds:schemaRefs>
    <ds:schemaRef ds:uri="http://schemas.microsoft.com/office/2006/metadata/customXsn"/>
  </ds:schemaRefs>
</ds:datastoreItem>
</file>

<file path=customXml/itemProps6.xml><?xml version="1.0" encoding="utf-8"?>
<ds:datastoreItem xmlns:ds="http://schemas.openxmlformats.org/officeDocument/2006/customXml" ds:itemID="{6C2F5ECF-5D6C-4CCB-9744-EED3B41D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3187</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Submission 711 - Queensland Catholic Education Commission (QCEC) - Mental Health - Public inquiry</vt:lpstr>
    </vt:vector>
  </TitlesOfParts>
  <Company>Queensland Catholic Education Commission (QCEC)</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711 - Queensland Catholic Education Commission (QCEC) - Mental Health - Public inquiry</dc:title>
  <dc:creator>Queensland Catholic Education Commission (QCEC)</dc:creator>
  <cp:keywords/>
  <cp:lastModifiedBy>Pimperl, Mark</cp:lastModifiedBy>
  <cp:revision>6</cp:revision>
  <cp:lastPrinted>2016-12-09T05:34:00Z</cp:lastPrinted>
  <dcterms:created xsi:type="dcterms:W3CDTF">2020-01-22T03:12:00Z</dcterms:created>
  <dcterms:modified xsi:type="dcterms:W3CDTF">2020-01-28T02:24:00Z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AuthorIds_UIVersion_512">
    <vt:lpwstr>16</vt:lpwstr>
  </property>
  <property fmtid="{D5CDD505-2E9C-101B-9397-08002B2CF9AE}" pid="4" name="SharedWithUsers">
    <vt:lpwstr>42;#Glovian Chu;#32;#Lee-Anne Perry;#161;#Executive Director</vt:lpwstr>
  </property>
  <property fmtid="{D5CDD505-2E9C-101B-9397-08002B2CF9AE}" pid="5" name="c401844703f64372bb0e85d87d761fe6">
    <vt:lpwstr>Reference Only|923c7a19-3b10-4b1a-aa53-490b73d512fc</vt:lpwstr>
  </property>
  <property fmtid="{D5CDD505-2E9C-101B-9397-08002B2CF9AE}" pid="6" name="_dlc_DocIdItemGuid">
    <vt:lpwstr>0aa0b3a2-ab0b-4680-b182-2b90b4cba66e</vt:lpwstr>
  </property>
  <property fmtid="{D5CDD505-2E9C-101B-9397-08002B2CF9AE}" pid="7" name="Record Tag">
    <vt:lpwstr>139;#Submissions|c6e0dbf8-5444-433c-844d-d567dd519a05</vt:lpwstr>
  </property>
  <property fmtid="{D5CDD505-2E9C-101B-9397-08002B2CF9AE}" pid="8" name="TaxKeyword">
    <vt:lpwstr/>
  </property>
  <property fmtid="{D5CDD505-2E9C-101B-9397-08002B2CF9AE}" pid="9" name="Retain">
    <vt:lpwstr>138;#Reference Only|923c7a19-3b10-4b1a-aa53-490b73d512fc</vt:lpwstr>
  </property>
</Properties>
</file>