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0835AB" w14:textId="77777777" w:rsidR="00C33F4D" w:rsidRDefault="00C33F4D">
      <w:pPr>
        <w:pStyle w:val="Header"/>
        <w:widowControl/>
        <w:tabs>
          <w:tab w:val="clear" w:pos="4153"/>
          <w:tab w:val="clear" w:pos="8306"/>
        </w:tabs>
        <w:suppressAutoHyphens w:val="0"/>
        <w:spacing w:line="240" w:lineRule="auto"/>
        <w:rPr>
          <w:rFonts w:cs="Arial"/>
          <w:noProof/>
          <w:szCs w:val="24"/>
        </w:rPr>
        <w:sectPr w:rsidR="00C33F4D" w:rsidSect="006A3F9E">
          <w:footerReference w:type="default" r:id="rId14"/>
          <w:headerReference w:type="first" r:id="rId15"/>
          <w:pgSz w:w="11906" w:h="16838" w:code="9"/>
          <w:pgMar w:top="374" w:right="2835" w:bottom="1701" w:left="1418" w:header="964" w:footer="454" w:gutter="0"/>
          <w:cols w:space="720"/>
          <w:titlePg/>
        </w:sectPr>
      </w:pPr>
    </w:p>
    <w:p w14:paraId="700835AC" w14:textId="2A3A3830" w:rsidR="00C33F4D" w:rsidRPr="007A19AD" w:rsidRDefault="00267C03" w:rsidP="00D9189E">
      <w:pPr>
        <w:pStyle w:val="Header"/>
        <w:widowControl/>
        <w:tabs>
          <w:tab w:val="clear" w:pos="4153"/>
          <w:tab w:val="clear" w:pos="8306"/>
        </w:tabs>
        <w:suppressAutoHyphens w:val="0"/>
        <w:spacing w:after="0" w:line="240" w:lineRule="auto"/>
        <w:rPr>
          <w:rFonts w:cs="Arial"/>
          <w:noProof/>
          <w:szCs w:val="24"/>
        </w:rPr>
      </w:pPr>
      <w:r>
        <w:rPr>
          <w:rFonts w:cs="Arial"/>
          <w:noProof/>
          <w:szCs w:val="24"/>
        </w:rPr>
        <w:t>22</w:t>
      </w:r>
      <w:r w:rsidR="00C33F4D" w:rsidRPr="007A19AD">
        <w:rPr>
          <w:rFonts w:cs="Arial"/>
          <w:noProof/>
          <w:szCs w:val="24"/>
        </w:rPr>
        <w:t xml:space="preserve"> </w:t>
      </w:r>
      <w:r>
        <w:rPr>
          <w:rFonts w:cs="Arial"/>
          <w:noProof/>
          <w:szCs w:val="24"/>
        </w:rPr>
        <w:t>January</w:t>
      </w:r>
      <w:r w:rsidR="00C33F4D" w:rsidRPr="007A19AD">
        <w:rPr>
          <w:rFonts w:cs="Arial"/>
          <w:noProof/>
          <w:szCs w:val="24"/>
        </w:rPr>
        <w:t xml:space="preserve"> 20</w:t>
      </w:r>
      <w:r>
        <w:rPr>
          <w:rFonts w:cs="Arial"/>
          <w:noProof/>
          <w:szCs w:val="24"/>
        </w:rPr>
        <w:t>20</w:t>
      </w:r>
    </w:p>
    <w:p w14:paraId="700835AD" w14:textId="77777777" w:rsidR="00C33F4D" w:rsidRPr="007A19AD" w:rsidRDefault="00C33F4D" w:rsidP="00D9189E">
      <w:pPr>
        <w:spacing w:after="0"/>
      </w:pPr>
    </w:p>
    <w:p w14:paraId="700835AE" w14:textId="77777777" w:rsidR="00F51E30" w:rsidRPr="007A19AD" w:rsidRDefault="00DA17BD" w:rsidP="00F51E30">
      <w:pPr>
        <w:spacing w:after="0"/>
      </w:pPr>
      <w:r>
        <w:t>Productivity Commission</w:t>
      </w:r>
    </w:p>
    <w:p w14:paraId="700835AF" w14:textId="77777777" w:rsidR="00F51E30" w:rsidRPr="007A19AD" w:rsidRDefault="00DA17BD" w:rsidP="00F51E30">
      <w:pPr>
        <w:spacing w:after="0"/>
      </w:pPr>
      <w:r>
        <w:t>Inquiry into Mental Health</w:t>
      </w:r>
    </w:p>
    <w:p w14:paraId="700835B0" w14:textId="77777777" w:rsidR="00DA17BD" w:rsidRDefault="00DA17BD" w:rsidP="00DA17BD">
      <w:pPr>
        <w:spacing w:after="0"/>
      </w:pPr>
      <w:r>
        <w:t>4 National Circuit</w:t>
      </w:r>
    </w:p>
    <w:p w14:paraId="700835B1" w14:textId="77777777" w:rsidR="00DA17BD" w:rsidRDefault="00DA17BD" w:rsidP="00DA17BD">
      <w:pPr>
        <w:spacing w:after="0"/>
      </w:pPr>
      <w:r>
        <w:t>Barton ACT 2600</w:t>
      </w:r>
    </w:p>
    <w:p w14:paraId="700835B2" w14:textId="77777777" w:rsidR="00D9189E" w:rsidRPr="007A19AD" w:rsidRDefault="00DA17BD" w:rsidP="00DA17BD">
      <w:pPr>
        <w:spacing w:after="0"/>
      </w:pPr>
      <w:r>
        <w:t>Australia</w:t>
      </w:r>
    </w:p>
    <w:p w14:paraId="700835B3" w14:textId="77777777" w:rsidR="00C33F4D" w:rsidRDefault="00C33F4D" w:rsidP="00D9189E">
      <w:pPr>
        <w:spacing w:after="0"/>
      </w:pPr>
    </w:p>
    <w:p w14:paraId="700835B4" w14:textId="09723FD2" w:rsidR="00DA17BD" w:rsidRPr="007A19AD" w:rsidRDefault="009115FE" w:rsidP="00D9189E">
      <w:pPr>
        <w:spacing w:after="0"/>
      </w:pPr>
      <w:r>
        <w:t xml:space="preserve">Submitted </w:t>
      </w:r>
      <w:r w:rsidR="00186DDE">
        <w:t>Online</w:t>
      </w:r>
    </w:p>
    <w:p w14:paraId="700835B5" w14:textId="77777777" w:rsidR="009E4B28" w:rsidRPr="007A19AD" w:rsidRDefault="009E4B28"/>
    <w:p w14:paraId="467BD464" w14:textId="460BEF5C" w:rsidR="00267C03" w:rsidRDefault="00C33F4D" w:rsidP="00267C03">
      <w:r w:rsidRPr="007A19AD">
        <w:t xml:space="preserve">Dear </w:t>
      </w:r>
      <w:r w:rsidR="00DA17BD">
        <w:t>Sir/Madam</w:t>
      </w:r>
      <w:r w:rsidR="00F51E30" w:rsidRPr="007A19AD">
        <w:t>,</w:t>
      </w:r>
    </w:p>
    <w:p w14:paraId="52EA736A" w14:textId="77777777" w:rsidR="00267C03" w:rsidRPr="00267C03" w:rsidRDefault="00267C03" w:rsidP="00267C03"/>
    <w:p w14:paraId="6FE365BC" w14:textId="1AF0E0ED" w:rsidR="00267C03" w:rsidRDefault="00267C03" w:rsidP="00267C03">
      <w:pPr>
        <w:pStyle w:val="Default"/>
        <w:spacing w:after="120" w:line="360" w:lineRule="auto"/>
        <w:rPr>
          <w:sz w:val="22"/>
          <w:szCs w:val="22"/>
        </w:rPr>
      </w:pPr>
      <w:r w:rsidRPr="00183E11">
        <w:rPr>
          <w:sz w:val="22"/>
          <w:szCs w:val="22"/>
        </w:rPr>
        <w:t xml:space="preserve">The Centre for Social Impact Swinburne </w:t>
      </w:r>
      <w:bookmarkStart w:id="0" w:name="_GoBack"/>
      <w:r w:rsidRPr="00183E11">
        <w:rPr>
          <w:sz w:val="22"/>
          <w:szCs w:val="22"/>
        </w:rPr>
        <w:t>(CSI Swinburne)</w:t>
      </w:r>
      <w:bookmarkEnd w:id="0"/>
      <w:r w:rsidRPr="00183E11">
        <w:rPr>
          <w:sz w:val="22"/>
          <w:szCs w:val="22"/>
        </w:rPr>
        <w:t xml:space="preserve"> welcomes the opportunity to </w:t>
      </w:r>
      <w:r>
        <w:rPr>
          <w:sz w:val="22"/>
          <w:szCs w:val="22"/>
        </w:rPr>
        <w:t>provide a s</w:t>
      </w:r>
      <w:r w:rsidR="00BA168F">
        <w:rPr>
          <w:sz w:val="22"/>
          <w:szCs w:val="22"/>
        </w:rPr>
        <w:t>upplementary submission to the I</w:t>
      </w:r>
      <w:r>
        <w:rPr>
          <w:sz w:val="22"/>
          <w:szCs w:val="22"/>
        </w:rPr>
        <w:t>nquiry</w:t>
      </w:r>
      <w:r w:rsidR="00BA168F">
        <w:rPr>
          <w:sz w:val="22"/>
          <w:szCs w:val="22"/>
        </w:rPr>
        <w:t xml:space="preserve"> into Mental H</w:t>
      </w:r>
      <w:r w:rsidRPr="00183E11">
        <w:rPr>
          <w:sz w:val="22"/>
          <w:szCs w:val="22"/>
        </w:rPr>
        <w:t>ealth.</w:t>
      </w:r>
    </w:p>
    <w:p w14:paraId="39D9B8AD" w14:textId="66161FC6" w:rsidR="00267C03" w:rsidRDefault="00BA168F" w:rsidP="003720B4">
      <w:pPr>
        <w:pStyle w:val="Default"/>
        <w:spacing w:after="120" w:line="360" w:lineRule="auto"/>
        <w:rPr>
          <w:sz w:val="22"/>
          <w:szCs w:val="22"/>
        </w:rPr>
      </w:pPr>
      <w:r>
        <w:rPr>
          <w:sz w:val="22"/>
          <w:szCs w:val="22"/>
        </w:rPr>
        <w:t>This</w:t>
      </w:r>
      <w:r w:rsidR="00267C03">
        <w:rPr>
          <w:sz w:val="22"/>
          <w:szCs w:val="22"/>
        </w:rPr>
        <w:t xml:space="preserve"> submission</w:t>
      </w:r>
      <w:r>
        <w:rPr>
          <w:sz w:val="22"/>
          <w:szCs w:val="22"/>
        </w:rPr>
        <w:t xml:space="preserve"> builds on our first submission to the Inquiry, and the evidence provided at a public hearing in Melbourne on 18 November 2019.</w:t>
      </w:r>
      <w:r w:rsidR="00267C03">
        <w:rPr>
          <w:sz w:val="22"/>
          <w:szCs w:val="22"/>
        </w:rPr>
        <w:t xml:space="preserve"> </w:t>
      </w:r>
      <w:r>
        <w:rPr>
          <w:sz w:val="22"/>
          <w:szCs w:val="22"/>
        </w:rPr>
        <w:t xml:space="preserve">It </w:t>
      </w:r>
      <w:r w:rsidR="00267C03">
        <w:rPr>
          <w:sz w:val="22"/>
          <w:szCs w:val="22"/>
        </w:rPr>
        <w:t xml:space="preserve">specifically addresses </w:t>
      </w:r>
      <w:r>
        <w:rPr>
          <w:sz w:val="22"/>
          <w:szCs w:val="22"/>
        </w:rPr>
        <w:t xml:space="preserve">the matters discussed in </w:t>
      </w:r>
      <w:r w:rsidR="00267C03">
        <w:rPr>
          <w:sz w:val="22"/>
          <w:szCs w:val="22"/>
        </w:rPr>
        <w:t xml:space="preserve">Section 20 of the </w:t>
      </w:r>
      <w:r>
        <w:rPr>
          <w:sz w:val="22"/>
          <w:szCs w:val="22"/>
        </w:rPr>
        <w:t xml:space="preserve">draft </w:t>
      </w:r>
      <w:r w:rsidR="00267C03">
        <w:rPr>
          <w:sz w:val="22"/>
          <w:szCs w:val="22"/>
        </w:rPr>
        <w:t>report</w:t>
      </w:r>
      <w:r>
        <w:rPr>
          <w:sz w:val="22"/>
          <w:szCs w:val="22"/>
        </w:rPr>
        <w:t>.</w:t>
      </w:r>
    </w:p>
    <w:p w14:paraId="7C017D66" w14:textId="66E0E360" w:rsidR="00267C03" w:rsidRPr="00183E11" w:rsidRDefault="00BA168F" w:rsidP="003720B4">
      <w:pPr>
        <w:spacing w:before="240" w:line="360" w:lineRule="auto"/>
        <w:rPr>
          <w:b/>
          <w:bCs/>
          <w:szCs w:val="22"/>
        </w:rPr>
      </w:pPr>
      <w:r>
        <w:rPr>
          <w:b/>
          <w:bCs/>
          <w:szCs w:val="22"/>
        </w:rPr>
        <w:t xml:space="preserve">Draft Recommendations on </w:t>
      </w:r>
      <w:r w:rsidR="00267C03">
        <w:rPr>
          <w:b/>
          <w:bCs/>
          <w:szCs w:val="22"/>
        </w:rPr>
        <w:t>Social Participation and Inclusion</w:t>
      </w:r>
    </w:p>
    <w:p w14:paraId="5E79B8D0" w14:textId="5C7FCF10" w:rsidR="00267C03" w:rsidRPr="00BA168F" w:rsidRDefault="00267C03" w:rsidP="00267C03">
      <w:pPr>
        <w:spacing w:line="360" w:lineRule="auto"/>
        <w:rPr>
          <w:rFonts w:ascii="Times New Roman" w:hAnsi="Times New Roman" w:cs="Times New Roman"/>
          <w:lang w:eastAsia="en-GB"/>
        </w:rPr>
      </w:pPr>
      <w:r w:rsidRPr="00183E11">
        <w:rPr>
          <w:szCs w:val="22"/>
        </w:rPr>
        <w:t xml:space="preserve">In Section 20, the </w:t>
      </w:r>
      <w:r>
        <w:rPr>
          <w:szCs w:val="22"/>
        </w:rPr>
        <w:t>C</w:t>
      </w:r>
      <w:r w:rsidRPr="00183E11">
        <w:rPr>
          <w:szCs w:val="22"/>
        </w:rPr>
        <w:t xml:space="preserve">ommission </w:t>
      </w:r>
      <w:r>
        <w:rPr>
          <w:szCs w:val="22"/>
        </w:rPr>
        <w:t>highlights</w:t>
      </w:r>
      <w:r w:rsidRPr="00183E11">
        <w:rPr>
          <w:szCs w:val="22"/>
        </w:rPr>
        <w:t xml:space="preserve"> the relationships between socioeconomic disadvantage, stigmatising attitudes, and social exclusion of people with mental illness. The </w:t>
      </w:r>
      <w:r>
        <w:rPr>
          <w:szCs w:val="22"/>
        </w:rPr>
        <w:t>report</w:t>
      </w:r>
      <w:r w:rsidRPr="00183E11">
        <w:rPr>
          <w:szCs w:val="22"/>
        </w:rPr>
        <w:t xml:space="preserve"> </w:t>
      </w:r>
      <w:r>
        <w:rPr>
          <w:szCs w:val="22"/>
        </w:rPr>
        <w:t>notes</w:t>
      </w:r>
      <w:r w:rsidRPr="00183E11">
        <w:rPr>
          <w:szCs w:val="22"/>
        </w:rPr>
        <w:t xml:space="preserve"> that social participation and inclusion are important to recovery</w:t>
      </w:r>
      <w:r>
        <w:rPr>
          <w:szCs w:val="22"/>
        </w:rPr>
        <w:t>,</w:t>
      </w:r>
      <w:r w:rsidRPr="00183E11">
        <w:rPr>
          <w:szCs w:val="22"/>
        </w:rPr>
        <w:t xml:space="preserve"> and reduce the risk of relapse.</w:t>
      </w:r>
      <w:r>
        <w:rPr>
          <w:szCs w:val="22"/>
        </w:rPr>
        <w:t xml:space="preserve"> </w:t>
      </w:r>
      <w:r>
        <w:rPr>
          <w:color w:val="201F1E"/>
          <w:szCs w:val="22"/>
          <w:shd w:val="clear" w:color="auto" w:fill="FFFFFF"/>
          <w:lang w:eastAsia="en-GB"/>
        </w:rPr>
        <w:t>T</w:t>
      </w:r>
      <w:r w:rsidRPr="006C4A5E">
        <w:rPr>
          <w:color w:val="201F1E"/>
          <w:szCs w:val="22"/>
          <w:shd w:val="clear" w:color="auto" w:fill="FFFFFF"/>
          <w:lang w:eastAsia="en-GB"/>
        </w:rPr>
        <w:t xml:space="preserve">he Commission </w:t>
      </w:r>
      <w:r>
        <w:rPr>
          <w:color w:val="201F1E"/>
          <w:szCs w:val="22"/>
          <w:shd w:val="clear" w:color="auto" w:fill="FFFFFF"/>
          <w:lang w:eastAsia="en-GB"/>
        </w:rPr>
        <w:t>observes that work can benefit mental health and offer opportunities for social interaction – but identifies weaknesses within</w:t>
      </w:r>
      <w:r w:rsidRPr="006C4A5E">
        <w:rPr>
          <w:color w:val="201F1E"/>
          <w:szCs w:val="22"/>
          <w:shd w:val="clear" w:color="auto" w:fill="FFFFFF"/>
          <w:lang w:eastAsia="en-GB"/>
        </w:rPr>
        <w:t xml:space="preserve"> </w:t>
      </w:r>
      <w:r>
        <w:rPr>
          <w:color w:val="201F1E"/>
          <w:szCs w:val="22"/>
          <w:shd w:val="clear" w:color="auto" w:fill="FFFFFF"/>
          <w:lang w:eastAsia="en-GB"/>
        </w:rPr>
        <w:t xml:space="preserve">both the current </w:t>
      </w:r>
      <w:r w:rsidRPr="006C4A5E">
        <w:rPr>
          <w:color w:val="201F1E"/>
          <w:szCs w:val="22"/>
          <w:shd w:val="clear" w:color="auto" w:fill="FFFFFF"/>
          <w:lang w:eastAsia="en-GB"/>
        </w:rPr>
        <w:t>employment services</w:t>
      </w:r>
      <w:r>
        <w:rPr>
          <w:color w:val="201F1E"/>
          <w:szCs w:val="22"/>
          <w:shd w:val="clear" w:color="auto" w:fill="FFFFFF"/>
          <w:lang w:eastAsia="en-GB"/>
        </w:rPr>
        <w:t>,</w:t>
      </w:r>
      <w:r w:rsidRPr="006C4A5E">
        <w:rPr>
          <w:color w:val="201F1E"/>
          <w:szCs w:val="22"/>
          <w:shd w:val="clear" w:color="auto" w:fill="FFFFFF"/>
          <w:lang w:eastAsia="en-GB"/>
        </w:rPr>
        <w:t xml:space="preserve"> </w:t>
      </w:r>
      <w:r>
        <w:rPr>
          <w:color w:val="201F1E"/>
          <w:szCs w:val="22"/>
          <w:shd w:val="clear" w:color="auto" w:fill="FFFFFF"/>
          <w:lang w:eastAsia="en-GB"/>
        </w:rPr>
        <w:t>and psychosocial support systems (Productivity Commission 2019).</w:t>
      </w:r>
    </w:p>
    <w:p w14:paraId="554FE971" w14:textId="38055360" w:rsidR="00267C03" w:rsidRDefault="00267C03" w:rsidP="00BA168F">
      <w:pPr>
        <w:autoSpaceDE w:val="0"/>
        <w:autoSpaceDN w:val="0"/>
        <w:adjustRightInd w:val="0"/>
        <w:spacing w:line="360" w:lineRule="auto"/>
        <w:rPr>
          <w:color w:val="201F1E"/>
          <w:szCs w:val="22"/>
          <w:shd w:val="clear" w:color="auto" w:fill="FFFFFF"/>
          <w:lang w:eastAsia="en-GB"/>
        </w:rPr>
      </w:pPr>
      <w:r>
        <w:rPr>
          <w:color w:val="201F1E"/>
          <w:szCs w:val="22"/>
          <w:shd w:val="clear" w:color="auto" w:fill="FFFFFF"/>
          <w:lang w:eastAsia="en-GB"/>
        </w:rPr>
        <w:t xml:space="preserve">Many researchers acknowledge that social inclusion and exclusion are contested and political concepts (Clifton et al. 2013; Filia et al. 2018; Pereira &amp; Whiteford 2013; Secker 2009; Wright &amp; Stickley 2013), and there is limited robust evidence overall regarding effective social inclusion strategies for people with mental health problems (Evans-Lacko et al. 2014; Gardner et al. 2019; Pereira &amp; Whiteford 2013; Wright &amp; Stickley 2013). A group of Australian mental health researchers recently conducted a thematic review of </w:t>
      </w:r>
      <w:r>
        <w:rPr>
          <w:color w:val="201F1E"/>
          <w:szCs w:val="22"/>
          <w:shd w:val="clear" w:color="auto" w:fill="FFFFFF"/>
          <w:lang w:eastAsia="en-GB"/>
        </w:rPr>
        <w:lastRenderedPageBreak/>
        <w:t>what social inclusion experts and organisations see as the contributing factors to social inclusion</w:t>
      </w:r>
      <w:r w:rsidR="00BA168F">
        <w:rPr>
          <w:color w:val="201F1E"/>
          <w:szCs w:val="22"/>
          <w:shd w:val="clear" w:color="auto" w:fill="FFFFFF"/>
          <w:lang w:eastAsia="en-GB"/>
        </w:rPr>
        <w:t>/exclusion, and concluded that:</w:t>
      </w:r>
    </w:p>
    <w:p w14:paraId="350E777F" w14:textId="0AB6E9E2" w:rsidR="00267C03" w:rsidRDefault="00267C03" w:rsidP="00BA168F">
      <w:pPr>
        <w:autoSpaceDE w:val="0"/>
        <w:autoSpaceDN w:val="0"/>
        <w:adjustRightInd w:val="0"/>
        <w:spacing w:line="360" w:lineRule="auto"/>
        <w:ind w:left="720"/>
        <w:rPr>
          <w:color w:val="201F1E"/>
          <w:szCs w:val="22"/>
          <w:shd w:val="clear" w:color="auto" w:fill="FFFFFF"/>
          <w:lang w:eastAsia="en-GB"/>
        </w:rPr>
      </w:pPr>
      <w:r w:rsidRPr="0083112B">
        <w:rPr>
          <w:i/>
          <w:iCs/>
          <w:color w:val="201F1E"/>
          <w:szCs w:val="22"/>
          <w:shd w:val="clear" w:color="auto" w:fill="FFFFFF"/>
          <w:lang w:eastAsia="en-GB"/>
        </w:rPr>
        <w:t>“</w:t>
      </w:r>
      <w:r>
        <w:rPr>
          <w:i/>
          <w:iCs/>
          <w:color w:val="201F1E"/>
          <w:szCs w:val="22"/>
          <w:shd w:val="clear" w:color="auto" w:fill="FFFFFF"/>
          <w:lang w:eastAsia="en-GB"/>
        </w:rPr>
        <w:t>…</w:t>
      </w:r>
      <w:r w:rsidRPr="0083112B">
        <w:rPr>
          <w:i/>
          <w:iCs/>
          <w:color w:val="201F1E"/>
          <w:szCs w:val="22"/>
          <w:shd w:val="clear" w:color="auto" w:fill="FFFFFF"/>
          <w:lang w:eastAsia="en-GB"/>
        </w:rPr>
        <w:t>social inclusion is multifaceted and complex, comprising a range of key contributors related primarily to participation in social activities, good social networks with support available, stable and suitable housing in a safe and well-resourced neighborhood and involvement in employment or education (current and/or acquired education).”</w:t>
      </w:r>
      <w:r>
        <w:rPr>
          <w:rFonts w:ascii="Times New Roman" w:hAnsi="Times New Roman" w:cs="Times New Roman"/>
          <w:sz w:val="18"/>
          <w:szCs w:val="18"/>
        </w:rPr>
        <w:t xml:space="preserve"> </w:t>
      </w:r>
      <w:r>
        <w:rPr>
          <w:color w:val="201F1E"/>
          <w:szCs w:val="22"/>
          <w:shd w:val="clear" w:color="auto" w:fill="FFFFFF"/>
          <w:lang w:eastAsia="en-GB"/>
        </w:rPr>
        <w:t>(Filia et al. 2018, p. 193)</w:t>
      </w:r>
    </w:p>
    <w:p w14:paraId="070B1FAD" w14:textId="77777777" w:rsidR="00267C03" w:rsidRDefault="00267C03" w:rsidP="00267C03">
      <w:pPr>
        <w:autoSpaceDE w:val="0"/>
        <w:autoSpaceDN w:val="0"/>
        <w:adjustRightInd w:val="0"/>
        <w:spacing w:line="360" w:lineRule="auto"/>
        <w:rPr>
          <w:color w:val="201F1E"/>
          <w:szCs w:val="22"/>
          <w:shd w:val="clear" w:color="auto" w:fill="FFFFFF"/>
          <w:lang w:eastAsia="en-GB"/>
        </w:rPr>
      </w:pPr>
      <w:r>
        <w:rPr>
          <w:szCs w:val="22"/>
        </w:rPr>
        <w:t>The domains of social inclusion are interrelated, and exclusion or inclusion within one domain can intersect with and reinforce experiences of exclusion or inclusion across other domains (Filia et al. 2018; Merton &amp; Bateman 2007).</w:t>
      </w:r>
      <w:r>
        <w:rPr>
          <w:color w:val="201F1E"/>
          <w:szCs w:val="22"/>
          <w:shd w:val="clear" w:color="auto" w:fill="FFFFFF"/>
          <w:lang w:eastAsia="en-GB"/>
        </w:rPr>
        <w:t xml:space="preserve"> </w:t>
      </w:r>
      <w:r w:rsidRPr="00A62AB0">
        <w:rPr>
          <w:color w:val="201F1E"/>
          <w:szCs w:val="22"/>
          <w:shd w:val="clear" w:color="auto" w:fill="FFFFFF"/>
          <w:lang w:eastAsia="en-GB"/>
        </w:rPr>
        <w:t xml:space="preserve">A recent review of social participation interventions for people with mental health problems </w:t>
      </w:r>
      <w:r>
        <w:rPr>
          <w:color w:val="201F1E"/>
          <w:szCs w:val="22"/>
          <w:shd w:val="clear" w:color="auto" w:fill="FFFFFF"/>
          <w:lang w:eastAsia="en-GB"/>
        </w:rPr>
        <w:t>supports the assertion</w:t>
      </w:r>
      <w:r w:rsidRPr="00A62AB0">
        <w:rPr>
          <w:color w:val="201F1E"/>
          <w:szCs w:val="22"/>
          <w:shd w:val="clear" w:color="auto" w:fill="FFFFFF"/>
          <w:lang w:eastAsia="en-GB"/>
        </w:rPr>
        <w:t xml:space="preserve"> that quality of relationships and opportunities for meaningful social </w:t>
      </w:r>
      <w:r>
        <w:rPr>
          <w:color w:val="201F1E"/>
          <w:szCs w:val="22"/>
          <w:shd w:val="clear" w:color="auto" w:fill="FFFFFF"/>
          <w:lang w:eastAsia="en-GB"/>
        </w:rPr>
        <w:t xml:space="preserve">participation and </w:t>
      </w:r>
      <w:r w:rsidRPr="00A62AB0">
        <w:rPr>
          <w:color w:val="201F1E"/>
          <w:szCs w:val="22"/>
          <w:shd w:val="clear" w:color="auto" w:fill="FFFFFF"/>
          <w:lang w:eastAsia="en-GB"/>
        </w:rPr>
        <w:t xml:space="preserve">roles are particularly important, rather than </w:t>
      </w:r>
      <w:r>
        <w:rPr>
          <w:color w:val="201F1E"/>
          <w:szCs w:val="22"/>
          <w:shd w:val="clear" w:color="auto" w:fill="FFFFFF"/>
          <w:lang w:eastAsia="en-GB"/>
        </w:rPr>
        <w:t xml:space="preserve">simply </w:t>
      </w:r>
      <w:r w:rsidRPr="00A62AB0">
        <w:rPr>
          <w:color w:val="201F1E"/>
          <w:szCs w:val="22"/>
          <w:shd w:val="clear" w:color="auto" w:fill="FFFFFF"/>
          <w:lang w:eastAsia="en-GB"/>
        </w:rPr>
        <w:t xml:space="preserve">building new social connections (Webber &amp; Fendt-Newlin 2017). This review found </w:t>
      </w:r>
      <w:r>
        <w:rPr>
          <w:color w:val="201F1E"/>
          <w:szCs w:val="22"/>
          <w:shd w:val="clear" w:color="auto" w:fill="FFFFFF"/>
          <w:lang w:eastAsia="en-GB"/>
        </w:rPr>
        <w:t>that</w:t>
      </w:r>
      <w:r w:rsidRPr="00A62AB0">
        <w:rPr>
          <w:color w:val="201F1E"/>
          <w:szCs w:val="22"/>
          <w:shd w:val="clear" w:color="auto" w:fill="FFFFFF"/>
          <w:lang w:eastAsia="en-GB"/>
        </w:rPr>
        <w:t xml:space="preserve"> supported community engagement</w:t>
      </w:r>
      <w:r>
        <w:rPr>
          <w:color w:val="201F1E"/>
          <w:szCs w:val="22"/>
          <w:shd w:val="clear" w:color="auto" w:fill="FFFFFF"/>
          <w:lang w:eastAsia="en-GB"/>
        </w:rPr>
        <w:t xml:space="preserve"> (programs increasing peoples’ access to financial and social resources to help them participate in the mainstream community as they chose) had the strongest evidence for social network gains, but also came with challenges in terms of the mainstream community’s acceptance of people with mental health problems (Webber &amp; Fendt-Newlin 2017)</w:t>
      </w:r>
      <w:r w:rsidRPr="00A62AB0">
        <w:rPr>
          <w:color w:val="201F1E"/>
          <w:szCs w:val="22"/>
          <w:shd w:val="clear" w:color="auto" w:fill="FFFFFF"/>
          <w:lang w:eastAsia="en-GB"/>
        </w:rPr>
        <w:t>.</w:t>
      </w:r>
      <w:r>
        <w:rPr>
          <w:color w:val="201F1E"/>
          <w:szCs w:val="22"/>
          <w:shd w:val="clear" w:color="auto" w:fill="FFFFFF"/>
          <w:lang w:eastAsia="en-GB"/>
        </w:rPr>
        <w:t xml:space="preserve"> This is consistent with other research identifying the importance of financial resources in supporting social engagement (Sheridan et al. 2014).</w:t>
      </w:r>
    </w:p>
    <w:p w14:paraId="50CAEFD6" w14:textId="65F495EE" w:rsidR="00267C03" w:rsidRPr="00BB06ED" w:rsidRDefault="00267C03" w:rsidP="00267C03">
      <w:pPr>
        <w:pStyle w:val="BodyText"/>
        <w:spacing w:after="120" w:line="360" w:lineRule="auto"/>
        <w:rPr>
          <w:rFonts w:ascii="Arial" w:hAnsi="Arial" w:cs="Arial"/>
          <w:color w:val="201F1E"/>
          <w:sz w:val="22"/>
          <w:szCs w:val="22"/>
          <w:shd w:val="clear" w:color="auto" w:fill="FFFFFF"/>
          <w:lang w:eastAsia="en-GB"/>
        </w:rPr>
      </w:pPr>
      <w:r>
        <w:rPr>
          <w:rFonts w:ascii="Arial" w:hAnsi="Arial" w:cs="Arial"/>
          <w:color w:val="201F1E"/>
          <w:sz w:val="22"/>
          <w:szCs w:val="22"/>
          <w:shd w:val="clear" w:color="auto" w:fill="FFFFFF"/>
          <w:lang w:eastAsia="en-GB"/>
        </w:rPr>
        <w:t xml:space="preserve">A </w:t>
      </w:r>
      <w:r w:rsidRPr="00BB06ED">
        <w:rPr>
          <w:rFonts w:ascii="Arial" w:hAnsi="Arial" w:cs="Arial"/>
          <w:color w:val="201F1E"/>
          <w:sz w:val="22"/>
          <w:szCs w:val="22"/>
          <w:shd w:val="clear" w:color="auto" w:fill="FFFFFF"/>
          <w:lang w:eastAsia="en-GB"/>
        </w:rPr>
        <w:t xml:space="preserve">recent meta-analysis and review of interventions to reduce loneliness found that </w:t>
      </w:r>
      <w:r>
        <w:rPr>
          <w:rFonts w:ascii="Arial" w:hAnsi="Arial" w:cs="Arial"/>
          <w:color w:val="201F1E"/>
          <w:sz w:val="22"/>
          <w:szCs w:val="22"/>
          <w:shd w:val="clear" w:color="auto" w:fill="FFFFFF"/>
          <w:lang w:eastAsia="en-GB"/>
        </w:rPr>
        <w:t xml:space="preserve">the most successful </w:t>
      </w:r>
      <w:r w:rsidRPr="00BB06ED">
        <w:rPr>
          <w:rFonts w:ascii="Arial" w:hAnsi="Arial" w:cs="Arial"/>
          <w:color w:val="201F1E"/>
          <w:sz w:val="22"/>
          <w:szCs w:val="22"/>
          <w:shd w:val="clear" w:color="auto" w:fill="FFFFFF"/>
          <w:lang w:eastAsia="en-GB"/>
        </w:rPr>
        <w:t>interventions address</w:t>
      </w:r>
      <w:r>
        <w:rPr>
          <w:rFonts w:ascii="Arial" w:hAnsi="Arial" w:cs="Arial"/>
          <w:color w:val="201F1E"/>
          <w:sz w:val="22"/>
          <w:szCs w:val="22"/>
          <w:shd w:val="clear" w:color="auto" w:fill="FFFFFF"/>
          <w:lang w:eastAsia="en-GB"/>
        </w:rPr>
        <w:t>ed</w:t>
      </w:r>
      <w:r w:rsidRPr="00BB06ED">
        <w:rPr>
          <w:rFonts w:ascii="Arial" w:hAnsi="Arial" w:cs="Arial"/>
          <w:color w:val="201F1E"/>
          <w:sz w:val="22"/>
          <w:szCs w:val="22"/>
          <w:shd w:val="clear" w:color="auto" w:fill="FFFFFF"/>
          <w:lang w:eastAsia="en-GB"/>
        </w:rPr>
        <w:t xml:space="preserve"> maladaptive cognitions </w:t>
      </w:r>
      <w:r>
        <w:rPr>
          <w:rFonts w:ascii="Arial" w:hAnsi="Arial" w:cs="Arial"/>
          <w:color w:val="201F1E"/>
          <w:sz w:val="22"/>
          <w:szCs w:val="22"/>
          <w:shd w:val="clear" w:color="auto" w:fill="FFFFFF"/>
          <w:lang w:eastAsia="en-GB"/>
        </w:rPr>
        <w:t xml:space="preserve">- </w:t>
      </w:r>
      <w:r w:rsidRPr="00BB06ED">
        <w:rPr>
          <w:rFonts w:ascii="Arial" w:hAnsi="Arial" w:cs="Arial"/>
          <w:color w:val="201F1E"/>
          <w:sz w:val="22"/>
          <w:szCs w:val="22"/>
          <w:shd w:val="clear" w:color="auto" w:fill="FFFFFF"/>
          <w:lang w:eastAsia="en-GB"/>
        </w:rPr>
        <w:t>the negative thoughts</w:t>
      </w:r>
      <w:r>
        <w:rPr>
          <w:rFonts w:ascii="Arial" w:hAnsi="Arial" w:cs="Arial"/>
          <w:color w:val="201F1E"/>
          <w:sz w:val="22"/>
          <w:szCs w:val="22"/>
          <w:shd w:val="clear" w:color="auto" w:fill="FFFFFF"/>
          <w:lang w:eastAsia="en-GB"/>
        </w:rPr>
        <w:t xml:space="preserve"> leading</w:t>
      </w:r>
      <w:r w:rsidRPr="00BB06ED">
        <w:rPr>
          <w:rFonts w:ascii="Arial" w:hAnsi="Arial" w:cs="Arial"/>
          <w:color w:val="201F1E"/>
          <w:sz w:val="22"/>
          <w:szCs w:val="22"/>
          <w:shd w:val="clear" w:color="auto" w:fill="FFFFFF"/>
          <w:lang w:eastAsia="en-GB"/>
        </w:rPr>
        <w:t xml:space="preserve"> to behaviours imped</w:t>
      </w:r>
      <w:r>
        <w:rPr>
          <w:rFonts w:ascii="Arial" w:hAnsi="Arial" w:cs="Arial"/>
          <w:color w:val="201F1E"/>
          <w:sz w:val="22"/>
          <w:szCs w:val="22"/>
          <w:shd w:val="clear" w:color="auto" w:fill="FFFFFF"/>
          <w:lang w:eastAsia="en-GB"/>
        </w:rPr>
        <w:t>e</w:t>
      </w:r>
      <w:r w:rsidRPr="00BB06ED">
        <w:rPr>
          <w:rFonts w:ascii="Arial" w:hAnsi="Arial" w:cs="Arial"/>
          <w:color w:val="201F1E"/>
          <w:sz w:val="22"/>
          <w:szCs w:val="22"/>
          <w:shd w:val="clear" w:color="auto" w:fill="FFFFFF"/>
          <w:lang w:eastAsia="en-GB"/>
        </w:rPr>
        <w:t xml:space="preserve"> social interactions and reinforce loneliness</w:t>
      </w:r>
      <w:r w:rsidR="00642DAE">
        <w:rPr>
          <w:rFonts w:ascii="Arial" w:hAnsi="Arial" w:cs="Arial"/>
          <w:color w:val="201F1E"/>
          <w:sz w:val="22"/>
          <w:szCs w:val="22"/>
          <w:shd w:val="clear" w:color="auto" w:fill="FFFFFF"/>
          <w:lang w:eastAsia="en-GB"/>
        </w:rPr>
        <w:t xml:space="preserve"> </w:t>
      </w:r>
      <w:r w:rsidRPr="00BB06ED">
        <w:rPr>
          <w:rFonts w:ascii="Arial" w:hAnsi="Arial" w:cs="Arial"/>
          <w:color w:val="201F1E"/>
          <w:sz w:val="22"/>
          <w:szCs w:val="22"/>
          <w:shd w:val="clear" w:color="auto" w:fill="FFFFFF"/>
          <w:lang w:eastAsia="en-GB"/>
        </w:rPr>
        <w:t>(Masi et al. 2010; Mann et al. 2017). However, Mann et al. (2017, p. 632) note that:</w:t>
      </w:r>
    </w:p>
    <w:p w14:paraId="145FC33B" w14:textId="77777777" w:rsidR="00267C03" w:rsidRPr="0050245B" w:rsidRDefault="00267C03" w:rsidP="00267C03">
      <w:pPr>
        <w:pStyle w:val="NormalWeb"/>
        <w:spacing w:after="120" w:afterAutospacing="0" w:line="360" w:lineRule="auto"/>
        <w:ind w:left="720"/>
        <w:rPr>
          <w:rFonts w:ascii="Arial" w:hAnsi="Arial" w:cs="Arial"/>
          <w:i/>
          <w:iCs/>
          <w:color w:val="201F1E"/>
          <w:sz w:val="22"/>
          <w:szCs w:val="22"/>
          <w:shd w:val="clear" w:color="auto" w:fill="FFFFFF"/>
        </w:rPr>
      </w:pPr>
      <w:r w:rsidRPr="0050245B">
        <w:rPr>
          <w:rFonts w:ascii="Arial" w:hAnsi="Arial" w:cs="Arial"/>
          <w:i/>
          <w:iCs/>
          <w:color w:val="201F1E"/>
          <w:sz w:val="22"/>
          <w:szCs w:val="22"/>
          <w:shd w:val="clear" w:color="auto" w:fill="FFFFFF"/>
        </w:rPr>
        <w:t>“Targeting an individual’s cognitions and preparing them to ‘get involved’ in their community may have limited impact if there are no efforts to create a broader sense of connectedness in the community itself. Groups that appeal to a wider range of members, with or without mental health problems, may facilitate better integration, reduce stigma, and boost one’s confidence as a member of wider society.”</w:t>
      </w:r>
    </w:p>
    <w:p w14:paraId="53EDD615" w14:textId="19A37D87" w:rsidR="00267C03" w:rsidRPr="0074540D" w:rsidRDefault="00267C03" w:rsidP="00267C03">
      <w:pPr>
        <w:autoSpaceDE w:val="0"/>
        <w:autoSpaceDN w:val="0"/>
        <w:adjustRightInd w:val="0"/>
        <w:spacing w:line="360" w:lineRule="auto"/>
        <w:rPr>
          <w:color w:val="201F1E"/>
          <w:szCs w:val="22"/>
          <w:shd w:val="clear" w:color="auto" w:fill="FFFFFF"/>
          <w:lang w:eastAsia="en-GB"/>
        </w:rPr>
      </w:pPr>
      <w:r w:rsidRPr="00706EF4">
        <w:rPr>
          <w:color w:val="201F1E"/>
          <w:szCs w:val="22"/>
          <w:shd w:val="clear" w:color="auto" w:fill="FFFFFF"/>
          <w:lang w:eastAsia="en-GB"/>
        </w:rPr>
        <w:lastRenderedPageBreak/>
        <w:t xml:space="preserve">Mann et al (2017) </w:t>
      </w:r>
      <w:r>
        <w:rPr>
          <w:color w:val="201F1E"/>
          <w:szCs w:val="22"/>
          <w:shd w:val="clear" w:color="auto" w:fill="FFFFFF"/>
          <w:lang w:eastAsia="en-GB"/>
        </w:rPr>
        <w:t xml:space="preserve">also highlight the association between poverty and loneliness, and </w:t>
      </w:r>
      <w:r w:rsidRPr="00706EF4">
        <w:rPr>
          <w:color w:val="201F1E"/>
          <w:szCs w:val="22"/>
          <w:shd w:val="clear" w:color="auto" w:fill="FFFFFF"/>
          <w:lang w:eastAsia="en-GB"/>
        </w:rPr>
        <w:t xml:space="preserve">suggest that interventions </w:t>
      </w:r>
      <w:r>
        <w:rPr>
          <w:color w:val="201F1E"/>
          <w:szCs w:val="22"/>
          <w:shd w:val="clear" w:color="auto" w:fill="FFFFFF"/>
          <w:lang w:eastAsia="en-GB"/>
        </w:rPr>
        <w:t>addressing other unmet needs - such as employment or housing -</w:t>
      </w:r>
      <w:r w:rsidRPr="00706EF4">
        <w:rPr>
          <w:color w:val="201F1E"/>
          <w:szCs w:val="22"/>
          <w:shd w:val="clear" w:color="auto" w:fill="FFFFFF"/>
          <w:lang w:eastAsia="en-GB"/>
        </w:rPr>
        <w:t xml:space="preserve"> </w:t>
      </w:r>
      <w:r>
        <w:rPr>
          <w:color w:val="201F1E"/>
          <w:szCs w:val="22"/>
          <w:shd w:val="clear" w:color="auto" w:fill="FFFFFF"/>
          <w:lang w:eastAsia="en-GB"/>
        </w:rPr>
        <w:t>are</w:t>
      </w:r>
      <w:r w:rsidRPr="00706EF4">
        <w:rPr>
          <w:color w:val="201F1E"/>
          <w:szCs w:val="22"/>
          <w:shd w:val="clear" w:color="auto" w:fill="FFFFFF"/>
          <w:lang w:eastAsia="en-GB"/>
        </w:rPr>
        <w:t xml:space="preserve"> worthy of further attention and research</w:t>
      </w:r>
      <w:r>
        <w:rPr>
          <w:color w:val="201F1E"/>
          <w:szCs w:val="22"/>
          <w:shd w:val="clear" w:color="auto" w:fill="FFFFFF"/>
          <w:lang w:eastAsia="en-GB"/>
        </w:rPr>
        <w:t xml:space="preserve"> into their indirect impacts on loneliness</w:t>
      </w:r>
      <w:r w:rsidRPr="00706EF4">
        <w:rPr>
          <w:color w:val="201F1E"/>
          <w:szCs w:val="22"/>
          <w:shd w:val="clear" w:color="auto" w:fill="FFFFFF"/>
          <w:lang w:eastAsia="en-GB"/>
        </w:rPr>
        <w:t>.</w:t>
      </w:r>
      <w:r>
        <w:rPr>
          <w:color w:val="201F1E"/>
          <w:szCs w:val="22"/>
          <w:shd w:val="clear" w:color="auto" w:fill="FFFFFF"/>
          <w:lang w:eastAsia="en-GB"/>
        </w:rPr>
        <w:t xml:space="preserve"> There are broader calls for more research on social inclusion, including experimental studies with longer follow-up periods of more than a year (Webber &amp; Fendt-Newlin 2017), and measures that explore both objective (e.g. employment) and subjective (e.g. feelings of belonging) experiences of social inclusion (Gardner et al. 2019).</w:t>
      </w:r>
    </w:p>
    <w:p w14:paraId="78410238" w14:textId="2D3B5137" w:rsidR="00267C03" w:rsidRDefault="00267C03" w:rsidP="00BA168F">
      <w:pPr>
        <w:pStyle w:val="BodyText"/>
        <w:spacing w:after="120" w:line="360" w:lineRule="auto"/>
        <w:jc w:val="left"/>
        <w:rPr>
          <w:rFonts w:ascii="Arial" w:eastAsiaTheme="minorHAnsi" w:hAnsi="Arial" w:cs="Arial"/>
          <w:color w:val="000000"/>
          <w:sz w:val="22"/>
          <w:szCs w:val="22"/>
          <w:lang w:val="en-GB" w:eastAsia="en-US"/>
        </w:rPr>
      </w:pPr>
      <w:r w:rsidRPr="00163226">
        <w:rPr>
          <w:rFonts w:ascii="Arial" w:eastAsiaTheme="minorHAnsi" w:hAnsi="Arial" w:cs="Arial"/>
          <w:color w:val="000000"/>
          <w:sz w:val="22"/>
          <w:szCs w:val="22"/>
          <w:lang w:val="en-GB" w:eastAsia="en-US"/>
        </w:rPr>
        <w:t xml:space="preserve">In summary, while social inclusion remains a contested and under-researched concept, the existing evidence base in Australia and internationally contain some areas of </w:t>
      </w:r>
      <w:r>
        <w:rPr>
          <w:rFonts w:ascii="Arial" w:eastAsiaTheme="minorHAnsi" w:hAnsi="Arial" w:cs="Arial"/>
          <w:color w:val="000000"/>
          <w:sz w:val="22"/>
          <w:szCs w:val="22"/>
          <w:lang w:val="en-GB" w:eastAsia="en-US"/>
        </w:rPr>
        <w:t>agreement</w:t>
      </w:r>
      <w:r w:rsidRPr="00163226">
        <w:rPr>
          <w:rFonts w:ascii="Arial" w:eastAsiaTheme="minorHAnsi" w:hAnsi="Arial" w:cs="Arial"/>
          <w:color w:val="000000"/>
          <w:sz w:val="22"/>
          <w:szCs w:val="22"/>
          <w:lang w:val="en-GB" w:eastAsia="en-US"/>
        </w:rPr>
        <w:t xml:space="preserve">. Social inclusion and participation are multidimensional and complex (Filia et al. 2018; Webber &amp; Fendt-Newlin 2017; Secker 2009) and increasing inclusion requires approaches that respond to the intersections between people’s opportunities for meaningful relationships and occupation (Filia et al 2018; Wright &amp; Stickley 2013), their access to financial and other resources (Gardner et al. 2018; Sheridan et al. 2014), </w:t>
      </w:r>
      <w:r>
        <w:rPr>
          <w:rFonts w:ascii="Arial" w:eastAsiaTheme="minorHAnsi" w:hAnsi="Arial" w:cs="Arial"/>
          <w:color w:val="000000"/>
          <w:sz w:val="22"/>
          <w:szCs w:val="22"/>
          <w:lang w:val="en-GB" w:eastAsia="en-US"/>
        </w:rPr>
        <w:t xml:space="preserve">and </w:t>
      </w:r>
      <w:r w:rsidRPr="00163226">
        <w:rPr>
          <w:rFonts w:ascii="Arial" w:eastAsiaTheme="minorHAnsi" w:hAnsi="Arial" w:cs="Arial"/>
          <w:color w:val="000000"/>
          <w:sz w:val="22"/>
          <w:szCs w:val="22"/>
          <w:lang w:val="en-GB" w:eastAsia="en-US"/>
        </w:rPr>
        <w:t xml:space="preserve">the acceptance and support of their communities (Mann et al. 2017) </w:t>
      </w:r>
      <w:r>
        <w:rPr>
          <w:rFonts w:ascii="Arial" w:eastAsiaTheme="minorHAnsi" w:hAnsi="Arial" w:cs="Arial"/>
          <w:color w:val="000000"/>
          <w:sz w:val="22"/>
          <w:szCs w:val="22"/>
          <w:lang w:val="en-GB" w:eastAsia="en-US"/>
        </w:rPr>
        <w:t>and government (Clifton et al. 2013) - including</w:t>
      </w:r>
      <w:r w:rsidRPr="00163226">
        <w:rPr>
          <w:rFonts w:ascii="Arial" w:eastAsiaTheme="minorHAnsi" w:hAnsi="Arial" w:cs="Arial"/>
          <w:color w:val="000000"/>
          <w:sz w:val="22"/>
          <w:szCs w:val="22"/>
          <w:lang w:val="en-GB" w:eastAsia="en-US"/>
        </w:rPr>
        <w:t xml:space="preserve"> the democratic, legal, labour market and welfare systems (Secker 2009). </w:t>
      </w:r>
      <w:r>
        <w:rPr>
          <w:rFonts w:ascii="Arial" w:eastAsiaTheme="minorHAnsi" w:hAnsi="Arial" w:cs="Arial"/>
          <w:color w:val="000000"/>
          <w:sz w:val="22"/>
          <w:szCs w:val="22"/>
          <w:lang w:val="en-GB" w:eastAsia="en-US"/>
        </w:rPr>
        <w:t>This involves</w:t>
      </w:r>
      <w:r w:rsidRPr="00163226">
        <w:rPr>
          <w:rFonts w:ascii="Arial" w:eastAsiaTheme="minorHAnsi" w:hAnsi="Arial" w:cs="Arial"/>
          <w:color w:val="000000"/>
          <w:sz w:val="22"/>
          <w:szCs w:val="22"/>
          <w:lang w:val="en-GB" w:eastAsia="en-US"/>
        </w:rPr>
        <w:t xml:space="preserve"> addressing </w:t>
      </w:r>
      <w:r>
        <w:rPr>
          <w:rFonts w:ascii="Arial" w:eastAsiaTheme="minorHAnsi" w:hAnsi="Arial" w:cs="Arial"/>
          <w:color w:val="000000"/>
          <w:sz w:val="22"/>
          <w:szCs w:val="22"/>
          <w:lang w:val="en-GB" w:eastAsia="en-US"/>
        </w:rPr>
        <w:t>multiple forms of exclusion at individual and community level</w:t>
      </w:r>
      <w:r w:rsidRPr="00163226">
        <w:rPr>
          <w:rFonts w:ascii="Arial" w:eastAsiaTheme="minorHAnsi" w:hAnsi="Arial" w:cs="Arial"/>
          <w:color w:val="000000"/>
          <w:sz w:val="22"/>
          <w:szCs w:val="22"/>
          <w:lang w:val="en-GB" w:eastAsia="en-US"/>
        </w:rPr>
        <w:t xml:space="preserve">, but it is also about </w:t>
      </w:r>
      <w:r>
        <w:rPr>
          <w:rFonts w:ascii="Arial" w:eastAsiaTheme="minorHAnsi" w:hAnsi="Arial" w:cs="Arial"/>
          <w:color w:val="000000"/>
          <w:sz w:val="22"/>
          <w:szCs w:val="22"/>
          <w:lang w:val="en-GB" w:eastAsia="en-US"/>
        </w:rPr>
        <w:t xml:space="preserve">how broader social structures support or prevent </w:t>
      </w:r>
      <w:r w:rsidRPr="00163226">
        <w:rPr>
          <w:rFonts w:ascii="Arial" w:eastAsiaTheme="minorHAnsi" w:hAnsi="Arial" w:cs="Arial"/>
          <w:color w:val="000000"/>
          <w:sz w:val="22"/>
          <w:szCs w:val="22"/>
          <w:lang w:val="en-GB" w:eastAsia="en-US"/>
        </w:rPr>
        <w:t xml:space="preserve">people </w:t>
      </w:r>
      <w:r>
        <w:rPr>
          <w:rFonts w:ascii="Arial" w:eastAsiaTheme="minorHAnsi" w:hAnsi="Arial" w:cs="Arial"/>
          <w:color w:val="000000"/>
          <w:sz w:val="22"/>
          <w:szCs w:val="22"/>
          <w:lang w:val="en-GB" w:eastAsia="en-US"/>
        </w:rPr>
        <w:t xml:space="preserve">from </w:t>
      </w:r>
      <w:r w:rsidRPr="00163226">
        <w:rPr>
          <w:rFonts w:ascii="Arial" w:eastAsiaTheme="minorHAnsi" w:hAnsi="Arial" w:cs="Arial"/>
          <w:color w:val="000000"/>
          <w:sz w:val="22"/>
          <w:szCs w:val="22"/>
          <w:lang w:val="en-GB" w:eastAsia="en-US"/>
        </w:rPr>
        <w:t>access</w:t>
      </w:r>
      <w:r>
        <w:rPr>
          <w:rFonts w:ascii="Arial" w:eastAsiaTheme="minorHAnsi" w:hAnsi="Arial" w:cs="Arial"/>
          <w:color w:val="000000"/>
          <w:sz w:val="22"/>
          <w:szCs w:val="22"/>
          <w:lang w:val="en-GB" w:eastAsia="en-US"/>
        </w:rPr>
        <w:t xml:space="preserve">ing the </w:t>
      </w:r>
      <w:r w:rsidRPr="00163226">
        <w:rPr>
          <w:rFonts w:ascii="Arial" w:eastAsiaTheme="minorHAnsi" w:hAnsi="Arial" w:cs="Arial"/>
          <w:color w:val="000000"/>
          <w:sz w:val="22"/>
          <w:szCs w:val="22"/>
          <w:lang w:val="en-GB" w:eastAsia="en-US"/>
        </w:rPr>
        <w:t>opportunities that hold value for them</w:t>
      </w:r>
      <w:r>
        <w:rPr>
          <w:rFonts w:ascii="Arial" w:eastAsiaTheme="minorHAnsi" w:hAnsi="Arial" w:cs="Arial"/>
          <w:color w:val="000000"/>
          <w:sz w:val="22"/>
          <w:szCs w:val="22"/>
          <w:lang w:val="en-GB" w:eastAsia="en-US"/>
        </w:rPr>
        <w:t xml:space="preserve"> (Spandler 2007).</w:t>
      </w:r>
    </w:p>
    <w:p w14:paraId="57A76A72" w14:textId="31119272" w:rsidR="00BA168F" w:rsidRPr="003720B4" w:rsidRDefault="00BA168F" w:rsidP="00BA168F">
      <w:pPr>
        <w:pStyle w:val="BodyText"/>
        <w:spacing w:after="120" w:line="360" w:lineRule="auto"/>
        <w:jc w:val="left"/>
        <w:rPr>
          <w:rFonts w:ascii="Arial" w:eastAsiaTheme="minorHAnsi" w:hAnsi="Arial" w:cs="Arial"/>
          <w:b/>
          <w:color w:val="000000"/>
          <w:sz w:val="22"/>
          <w:szCs w:val="22"/>
          <w:lang w:val="en-GB" w:eastAsia="en-US"/>
        </w:rPr>
      </w:pPr>
      <w:r>
        <w:rPr>
          <w:rFonts w:ascii="Arial" w:eastAsiaTheme="minorHAnsi" w:hAnsi="Arial" w:cs="Arial"/>
          <w:b/>
          <w:color w:val="000000"/>
          <w:sz w:val="22"/>
          <w:szCs w:val="22"/>
          <w:lang w:val="en-GB" w:eastAsia="en-US"/>
        </w:rPr>
        <w:t>The Role of Work Integration Social Enterprise</w:t>
      </w:r>
    </w:p>
    <w:p w14:paraId="6EFA9403" w14:textId="50B6102F" w:rsidR="00BA168F" w:rsidRDefault="00267C03" w:rsidP="00267C03">
      <w:pPr>
        <w:pStyle w:val="Default"/>
        <w:spacing w:after="120" w:line="360" w:lineRule="auto"/>
        <w:rPr>
          <w:sz w:val="22"/>
          <w:szCs w:val="22"/>
        </w:rPr>
      </w:pPr>
      <w:r w:rsidRPr="00183E11">
        <w:rPr>
          <w:sz w:val="22"/>
          <w:szCs w:val="22"/>
        </w:rPr>
        <w:t xml:space="preserve">There is a growing body of international research </w:t>
      </w:r>
      <w:r>
        <w:rPr>
          <w:sz w:val="22"/>
          <w:szCs w:val="22"/>
        </w:rPr>
        <w:t>suggesting that</w:t>
      </w:r>
      <w:r w:rsidRPr="00183E11">
        <w:rPr>
          <w:sz w:val="22"/>
          <w:szCs w:val="22"/>
        </w:rPr>
        <w:t xml:space="preserve"> </w:t>
      </w:r>
      <w:r w:rsidR="00BA168F">
        <w:rPr>
          <w:sz w:val="22"/>
          <w:szCs w:val="22"/>
        </w:rPr>
        <w:t>work integration social enterprise (</w:t>
      </w:r>
      <w:r w:rsidRPr="00183E11">
        <w:rPr>
          <w:sz w:val="22"/>
          <w:szCs w:val="22"/>
        </w:rPr>
        <w:t>WIS</w:t>
      </w:r>
      <w:r w:rsidR="00BA168F">
        <w:rPr>
          <w:sz w:val="22"/>
          <w:szCs w:val="22"/>
        </w:rPr>
        <w:t>E)</w:t>
      </w:r>
      <w:r>
        <w:rPr>
          <w:sz w:val="22"/>
          <w:szCs w:val="22"/>
        </w:rPr>
        <w:t xml:space="preserve"> address </w:t>
      </w:r>
      <w:r w:rsidRPr="00183E11">
        <w:rPr>
          <w:sz w:val="22"/>
          <w:szCs w:val="22"/>
        </w:rPr>
        <w:t xml:space="preserve">diverse forms of social exclusion by providing employment </w:t>
      </w:r>
      <w:r>
        <w:rPr>
          <w:noProof/>
          <w:sz w:val="22"/>
          <w:szCs w:val="22"/>
        </w:rPr>
        <w:t>(Ho &amp; Chan 2010; Mason et al. 2015; Roy, McHugh &amp; Hill O'Connor 2014)</w:t>
      </w:r>
      <w:r>
        <w:rPr>
          <w:sz w:val="22"/>
          <w:szCs w:val="22"/>
        </w:rPr>
        <w:t xml:space="preserve">, </w:t>
      </w:r>
      <w:r w:rsidRPr="00183E11">
        <w:rPr>
          <w:sz w:val="22"/>
          <w:szCs w:val="22"/>
        </w:rPr>
        <w:t xml:space="preserve">increasing peoples’ income and living standards </w:t>
      </w:r>
      <w:r>
        <w:rPr>
          <w:noProof/>
          <w:sz w:val="22"/>
          <w:szCs w:val="22"/>
        </w:rPr>
        <w:t>(Gilbert et al. 2013; Macaulay et al. 2017; Morrow et al. 2009)</w:t>
      </w:r>
      <w:r w:rsidRPr="00183E11">
        <w:rPr>
          <w:sz w:val="22"/>
          <w:szCs w:val="22"/>
        </w:rPr>
        <w:t xml:space="preserve">, and providing opportunities for social connection </w:t>
      </w:r>
      <w:r>
        <w:rPr>
          <w:noProof/>
          <w:sz w:val="22"/>
          <w:szCs w:val="22"/>
        </w:rPr>
        <w:t>(Barraket 2013; Chan 2015; Macaulay et al. 2018)</w:t>
      </w:r>
      <w:r>
        <w:rPr>
          <w:sz w:val="22"/>
          <w:szCs w:val="22"/>
        </w:rPr>
        <w:t xml:space="preserve"> </w:t>
      </w:r>
      <w:r w:rsidRPr="00183E11">
        <w:rPr>
          <w:sz w:val="22"/>
          <w:szCs w:val="22"/>
        </w:rPr>
        <w:t xml:space="preserve">and improved mental health and emotional wellbeing </w:t>
      </w:r>
      <w:r>
        <w:rPr>
          <w:noProof/>
          <w:sz w:val="22"/>
          <w:szCs w:val="22"/>
        </w:rPr>
        <w:t>(Ferguson 2017; Munoz et al. 2015)</w:t>
      </w:r>
      <w:r>
        <w:rPr>
          <w:sz w:val="22"/>
          <w:szCs w:val="22"/>
        </w:rPr>
        <w:t xml:space="preserve">. </w:t>
      </w:r>
    </w:p>
    <w:p w14:paraId="02753E60" w14:textId="687A0B11" w:rsidR="00267C03" w:rsidRDefault="00267C03" w:rsidP="00267C03">
      <w:pPr>
        <w:pStyle w:val="Default"/>
        <w:spacing w:after="120" w:line="360" w:lineRule="auto"/>
        <w:rPr>
          <w:sz w:val="22"/>
          <w:szCs w:val="22"/>
        </w:rPr>
      </w:pPr>
      <w:r w:rsidRPr="00183E11">
        <w:rPr>
          <w:sz w:val="22"/>
          <w:szCs w:val="22"/>
        </w:rPr>
        <w:t xml:space="preserve">WISEs that involve meaningful interactions between people with and without mental illness </w:t>
      </w:r>
      <w:r>
        <w:rPr>
          <w:sz w:val="22"/>
          <w:szCs w:val="22"/>
        </w:rPr>
        <w:t>also have</w:t>
      </w:r>
      <w:r w:rsidRPr="00183E11">
        <w:rPr>
          <w:sz w:val="22"/>
          <w:szCs w:val="22"/>
        </w:rPr>
        <w:t xml:space="preserve"> the potential to reduce stigma </w:t>
      </w:r>
      <w:r w:rsidRPr="00183E11">
        <w:rPr>
          <w:noProof/>
          <w:sz w:val="22"/>
          <w:szCs w:val="22"/>
        </w:rPr>
        <w:t>(Krupa, Sabetti &amp; Lysaght 2019)</w:t>
      </w:r>
      <w:r>
        <w:rPr>
          <w:sz w:val="22"/>
          <w:szCs w:val="22"/>
        </w:rPr>
        <w:t xml:space="preserve"> – an aim of draft</w:t>
      </w:r>
      <w:r w:rsidRPr="00183E11">
        <w:rPr>
          <w:sz w:val="22"/>
          <w:szCs w:val="22"/>
        </w:rPr>
        <w:t xml:space="preserve"> recommendation 20.1. </w:t>
      </w:r>
      <w:r>
        <w:rPr>
          <w:sz w:val="22"/>
          <w:szCs w:val="22"/>
        </w:rPr>
        <w:t xml:space="preserve">As yet unpublished </w:t>
      </w:r>
      <w:r>
        <w:rPr>
          <w:sz w:val="22"/>
          <w:szCs w:val="22"/>
        </w:rPr>
        <w:lastRenderedPageBreak/>
        <w:t>Australian Research Council research led by Jo Barraket on the health equity outcomes of WISE for young people finds that well-run WISE have demonstrable impacts on subjective measures of mental health and wellbeing, and that these are produced through a combination of providing people-centred support, decent workplaces, and opportunities for encounters between diverse people (including staff, customers, and supply chain partners) in live work settings.</w:t>
      </w:r>
      <w:r w:rsidR="00E85CC4">
        <w:rPr>
          <w:sz w:val="22"/>
          <w:szCs w:val="22"/>
        </w:rPr>
        <w:t xml:space="preserve"> A randomised controlled trial published by Ferguson (2018) found that a social enterprise employment intervention achieved comparable results to an individual placement and support intervention.</w:t>
      </w:r>
    </w:p>
    <w:p w14:paraId="152FA365" w14:textId="77777777" w:rsidR="00BA168F" w:rsidRDefault="00267C03" w:rsidP="00267C03">
      <w:pPr>
        <w:pStyle w:val="Default"/>
        <w:spacing w:after="120" w:line="360" w:lineRule="auto"/>
        <w:rPr>
          <w:sz w:val="22"/>
          <w:szCs w:val="22"/>
        </w:rPr>
      </w:pPr>
      <w:r>
        <w:rPr>
          <w:sz w:val="22"/>
          <w:szCs w:val="22"/>
        </w:rPr>
        <w:t>Section 20.2</w:t>
      </w:r>
      <w:r w:rsidRPr="00183E11">
        <w:rPr>
          <w:sz w:val="22"/>
          <w:szCs w:val="22"/>
        </w:rPr>
        <w:t xml:space="preserve"> of the draft report includes </w:t>
      </w:r>
      <w:r>
        <w:rPr>
          <w:sz w:val="22"/>
          <w:szCs w:val="22"/>
        </w:rPr>
        <w:t>three pages</w:t>
      </w:r>
      <w:r w:rsidRPr="00183E11">
        <w:rPr>
          <w:sz w:val="22"/>
          <w:szCs w:val="22"/>
        </w:rPr>
        <w:t xml:space="preserve"> </w:t>
      </w:r>
      <w:r>
        <w:rPr>
          <w:sz w:val="22"/>
          <w:szCs w:val="22"/>
        </w:rPr>
        <w:t xml:space="preserve">(826-829) </w:t>
      </w:r>
      <w:r w:rsidRPr="00183E11">
        <w:rPr>
          <w:sz w:val="22"/>
          <w:szCs w:val="22"/>
        </w:rPr>
        <w:t>on social enterprise as a possible pathway for promoting social participation and inclusion, but the report stops short of making</w:t>
      </w:r>
      <w:r>
        <w:rPr>
          <w:sz w:val="22"/>
          <w:szCs w:val="22"/>
        </w:rPr>
        <w:t xml:space="preserve"> any</w:t>
      </w:r>
      <w:r w:rsidRPr="00183E11">
        <w:rPr>
          <w:sz w:val="22"/>
          <w:szCs w:val="22"/>
        </w:rPr>
        <w:t xml:space="preserve"> </w:t>
      </w:r>
      <w:r>
        <w:rPr>
          <w:sz w:val="22"/>
          <w:szCs w:val="22"/>
        </w:rPr>
        <w:t xml:space="preserve">related </w:t>
      </w:r>
      <w:r w:rsidRPr="00183E11">
        <w:rPr>
          <w:sz w:val="22"/>
          <w:szCs w:val="22"/>
        </w:rPr>
        <w:t>recommendations for section 20.2</w:t>
      </w:r>
      <w:r>
        <w:rPr>
          <w:sz w:val="22"/>
          <w:szCs w:val="22"/>
        </w:rPr>
        <w:t xml:space="preserve"> (Productivity Commission 2019)</w:t>
      </w:r>
      <w:r w:rsidRPr="00183E11">
        <w:rPr>
          <w:sz w:val="22"/>
          <w:szCs w:val="22"/>
        </w:rPr>
        <w:t xml:space="preserve">. </w:t>
      </w:r>
    </w:p>
    <w:p w14:paraId="7DC3B94B" w14:textId="77777777" w:rsidR="00BA168F" w:rsidRDefault="00267C03" w:rsidP="00267C03">
      <w:pPr>
        <w:pStyle w:val="Default"/>
        <w:spacing w:after="120" w:line="360" w:lineRule="auto"/>
        <w:rPr>
          <w:sz w:val="22"/>
          <w:szCs w:val="22"/>
        </w:rPr>
      </w:pPr>
      <w:r>
        <w:rPr>
          <w:sz w:val="22"/>
          <w:szCs w:val="22"/>
        </w:rPr>
        <w:t>Given the evidence base for WISE addressing multiple forms of social exclusion, we encourage the Commission to consider</w:t>
      </w:r>
      <w:r w:rsidRPr="001B119A">
        <w:rPr>
          <w:sz w:val="22"/>
          <w:szCs w:val="22"/>
        </w:rPr>
        <w:t xml:space="preserve"> </w:t>
      </w:r>
      <w:r w:rsidRPr="00BB06ED">
        <w:rPr>
          <w:sz w:val="22"/>
          <w:szCs w:val="22"/>
        </w:rPr>
        <w:t xml:space="preserve">recommending that WISE be better recognised in the employment services system, and that existing effective WISE be supported to scale their impacts and share their learning for effective and context-appropriate replication. </w:t>
      </w:r>
    </w:p>
    <w:p w14:paraId="66E6ABEF" w14:textId="7FD3DC9F" w:rsidR="00267C03" w:rsidRPr="001B119A" w:rsidRDefault="00267C03" w:rsidP="00267C03">
      <w:pPr>
        <w:pStyle w:val="Default"/>
        <w:spacing w:after="120" w:line="360" w:lineRule="auto"/>
        <w:rPr>
          <w:sz w:val="22"/>
          <w:szCs w:val="22"/>
        </w:rPr>
      </w:pPr>
      <w:r w:rsidRPr="00BB06ED">
        <w:rPr>
          <w:sz w:val="22"/>
          <w:szCs w:val="22"/>
        </w:rPr>
        <w:t>A</w:t>
      </w:r>
      <w:r>
        <w:rPr>
          <w:sz w:val="22"/>
          <w:szCs w:val="22"/>
        </w:rPr>
        <w:t>s WISE often respond to specific local needs or gaps in the market, and people with mental illness are extremely diverse, a ‘</w:t>
      </w:r>
      <w:r w:rsidRPr="00BB06ED">
        <w:rPr>
          <w:sz w:val="22"/>
          <w:szCs w:val="22"/>
        </w:rPr>
        <w:t>cookie cutter</w:t>
      </w:r>
      <w:r>
        <w:rPr>
          <w:sz w:val="22"/>
          <w:szCs w:val="22"/>
        </w:rPr>
        <w:t>’</w:t>
      </w:r>
      <w:r w:rsidRPr="00BB06ED">
        <w:rPr>
          <w:sz w:val="22"/>
          <w:szCs w:val="22"/>
        </w:rPr>
        <w:t xml:space="preserve"> approach to creatin</w:t>
      </w:r>
      <w:r>
        <w:rPr>
          <w:sz w:val="22"/>
          <w:szCs w:val="22"/>
        </w:rPr>
        <w:t>g new WISE for people with mental illness is unlikely to be effective. However</w:t>
      </w:r>
      <w:r w:rsidRPr="00BB06ED">
        <w:rPr>
          <w:sz w:val="22"/>
          <w:szCs w:val="22"/>
        </w:rPr>
        <w:t xml:space="preserve"> stimulating the capability of </w:t>
      </w:r>
      <w:r>
        <w:rPr>
          <w:sz w:val="22"/>
          <w:szCs w:val="22"/>
        </w:rPr>
        <w:t>existing WISE</w:t>
      </w:r>
      <w:r w:rsidRPr="00BB06ED">
        <w:rPr>
          <w:sz w:val="22"/>
          <w:szCs w:val="22"/>
        </w:rPr>
        <w:t xml:space="preserve"> that are</w:t>
      </w:r>
      <w:r>
        <w:rPr>
          <w:sz w:val="22"/>
          <w:szCs w:val="22"/>
        </w:rPr>
        <w:t xml:space="preserve"> delivering strong outcomes,</w:t>
      </w:r>
      <w:r w:rsidRPr="00BB06ED">
        <w:rPr>
          <w:sz w:val="22"/>
          <w:szCs w:val="22"/>
        </w:rPr>
        <w:t xml:space="preserve"> and then making their learning accessible to others could </w:t>
      </w:r>
      <w:r>
        <w:rPr>
          <w:sz w:val="22"/>
          <w:szCs w:val="22"/>
        </w:rPr>
        <w:t>help diffuse this form of social</w:t>
      </w:r>
      <w:r w:rsidRPr="00BB06ED">
        <w:rPr>
          <w:sz w:val="22"/>
          <w:szCs w:val="22"/>
        </w:rPr>
        <w:t xml:space="preserve"> innovation.</w:t>
      </w:r>
    </w:p>
    <w:p w14:paraId="3A5EDF78" w14:textId="77777777" w:rsidR="00267C03" w:rsidRPr="001B119A" w:rsidRDefault="00267C03" w:rsidP="00267C03">
      <w:pPr>
        <w:rPr>
          <w:szCs w:val="22"/>
          <w:lang w:eastAsia="en-AU"/>
        </w:rPr>
      </w:pPr>
      <w:r w:rsidRPr="001B119A">
        <w:rPr>
          <w:szCs w:val="22"/>
        </w:rPr>
        <w:br w:type="page"/>
      </w:r>
    </w:p>
    <w:p w14:paraId="64AFE1CC" w14:textId="77777777" w:rsidR="00267C03" w:rsidRPr="00055B65" w:rsidRDefault="00267C03" w:rsidP="00267C03">
      <w:pPr>
        <w:spacing w:line="360" w:lineRule="auto"/>
        <w:rPr>
          <w:b/>
          <w:bCs/>
          <w:szCs w:val="22"/>
        </w:rPr>
      </w:pPr>
      <w:r w:rsidRPr="00055B65">
        <w:rPr>
          <w:b/>
          <w:bCs/>
          <w:szCs w:val="22"/>
        </w:rPr>
        <w:lastRenderedPageBreak/>
        <w:t>References</w:t>
      </w:r>
    </w:p>
    <w:p w14:paraId="4A763BD4" w14:textId="77777777" w:rsidR="00267C03" w:rsidRPr="00E85CC4" w:rsidRDefault="00267C03" w:rsidP="00267C03">
      <w:pPr>
        <w:pStyle w:val="EndNoteBibliography"/>
        <w:rPr>
          <w:rFonts w:ascii="Arial" w:hAnsi="Arial" w:cs="Arial"/>
          <w:noProof/>
          <w:sz w:val="22"/>
          <w:szCs w:val="22"/>
        </w:rPr>
      </w:pPr>
      <w:r w:rsidRPr="00E85CC4">
        <w:rPr>
          <w:rFonts w:ascii="Arial" w:hAnsi="Arial" w:cs="Arial"/>
          <w:noProof/>
          <w:sz w:val="22"/>
          <w:szCs w:val="22"/>
        </w:rPr>
        <w:t xml:space="preserve">Barraket, J 2013, 'Fostering the wellbeing of immigrants and refugees?: Evaluating the outcomes of work integration social enterprise', in </w:t>
      </w:r>
      <w:r w:rsidRPr="00E85CC4">
        <w:rPr>
          <w:rFonts w:ascii="Arial" w:hAnsi="Arial" w:cs="Arial"/>
          <w:i/>
          <w:noProof/>
          <w:sz w:val="22"/>
          <w:szCs w:val="22"/>
        </w:rPr>
        <w:t>Social Enterprise: Accountability and Evaluation Around the World</w:t>
      </w:r>
      <w:r w:rsidRPr="00E85CC4">
        <w:rPr>
          <w:rFonts w:ascii="Arial" w:hAnsi="Arial" w:cs="Arial"/>
          <w:noProof/>
          <w:sz w:val="22"/>
          <w:szCs w:val="22"/>
        </w:rPr>
        <w:t>, pp. 102-119.</w:t>
      </w:r>
    </w:p>
    <w:p w14:paraId="227928DB" w14:textId="77777777" w:rsidR="00267C03" w:rsidRPr="00E85CC4" w:rsidRDefault="00267C03" w:rsidP="00267C03">
      <w:pPr>
        <w:pStyle w:val="EndNoteBibliography"/>
        <w:rPr>
          <w:rFonts w:ascii="Arial" w:hAnsi="Arial" w:cs="Arial"/>
          <w:noProof/>
          <w:sz w:val="22"/>
          <w:szCs w:val="22"/>
        </w:rPr>
      </w:pPr>
    </w:p>
    <w:p w14:paraId="1D211282" w14:textId="77777777" w:rsidR="00267C03" w:rsidRPr="00E85CC4" w:rsidRDefault="00267C03" w:rsidP="00267C03">
      <w:pPr>
        <w:pStyle w:val="EndNoteBibliography"/>
        <w:rPr>
          <w:rFonts w:ascii="Arial" w:hAnsi="Arial" w:cs="Arial"/>
          <w:noProof/>
          <w:sz w:val="22"/>
          <w:szCs w:val="22"/>
        </w:rPr>
      </w:pPr>
      <w:r w:rsidRPr="00E85CC4">
        <w:rPr>
          <w:rFonts w:ascii="Arial" w:hAnsi="Arial" w:cs="Arial"/>
          <w:noProof/>
          <w:sz w:val="22"/>
          <w:szCs w:val="22"/>
        </w:rPr>
        <w:t xml:space="preserve">Chan, ANW 2015, 'Social support for improved work integration: Perspectives from Canadian social purpose enterprises', </w:t>
      </w:r>
      <w:r w:rsidRPr="00E85CC4">
        <w:rPr>
          <w:rFonts w:ascii="Arial" w:hAnsi="Arial" w:cs="Arial"/>
          <w:i/>
          <w:noProof/>
          <w:sz w:val="22"/>
          <w:szCs w:val="22"/>
        </w:rPr>
        <w:t>Social Enterprise Journal</w:t>
      </w:r>
      <w:r w:rsidRPr="00E85CC4">
        <w:rPr>
          <w:rFonts w:ascii="Arial" w:hAnsi="Arial" w:cs="Arial"/>
          <w:noProof/>
          <w:sz w:val="22"/>
          <w:szCs w:val="22"/>
        </w:rPr>
        <w:t>, vol. 11, no. 1, 2015 2019-09-06, pp. 47-68.</w:t>
      </w:r>
    </w:p>
    <w:p w14:paraId="18CFBA81" w14:textId="77777777" w:rsidR="00267C03" w:rsidRPr="00E85CC4" w:rsidRDefault="00267C03" w:rsidP="00267C03">
      <w:pPr>
        <w:pStyle w:val="EndNoteBibliography"/>
        <w:rPr>
          <w:rFonts w:ascii="Arial" w:hAnsi="Arial" w:cs="Arial"/>
          <w:noProof/>
          <w:sz w:val="22"/>
          <w:szCs w:val="22"/>
        </w:rPr>
      </w:pPr>
    </w:p>
    <w:p w14:paraId="023D0A16" w14:textId="17CEB1BC" w:rsidR="00167406" w:rsidRPr="00E85CC4" w:rsidRDefault="00167406" w:rsidP="00267C03">
      <w:pPr>
        <w:pStyle w:val="EndNoteBibliography"/>
        <w:rPr>
          <w:rFonts w:ascii="Arial" w:hAnsi="Arial" w:cs="Arial"/>
          <w:noProof/>
          <w:sz w:val="22"/>
          <w:szCs w:val="22"/>
        </w:rPr>
      </w:pPr>
      <w:r w:rsidRPr="00E85CC4">
        <w:rPr>
          <w:rFonts w:ascii="Arial" w:hAnsi="Arial" w:cs="Arial"/>
          <w:color w:val="000000"/>
          <w:sz w:val="22"/>
          <w:szCs w:val="22"/>
          <w:lang w:val="en-GB" w:eastAsia="en-AU"/>
        </w:rPr>
        <w:t xml:space="preserve">Clifton, A, Repper, J, Banks, D &amp; Remnant, J 2013, 'Co-producing social inclusion: the structure/agency conundrum', </w:t>
      </w:r>
      <w:r w:rsidRPr="00E85CC4">
        <w:rPr>
          <w:rFonts w:ascii="Arial" w:hAnsi="Arial" w:cs="Arial"/>
          <w:i/>
          <w:iCs/>
          <w:color w:val="000000"/>
          <w:sz w:val="22"/>
          <w:szCs w:val="22"/>
          <w:lang w:val="en-GB" w:eastAsia="en-AU"/>
        </w:rPr>
        <w:t>Journal of Psychiatric and Mental Health Nursing</w:t>
      </w:r>
      <w:r w:rsidRPr="00E85CC4">
        <w:rPr>
          <w:rFonts w:ascii="Arial" w:hAnsi="Arial" w:cs="Arial"/>
          <w:color w:val="000000"/>
          <w:sz w:val="22"/>
          <w:szCs w:val="22"/>
          <w:lang w:val="en-GB" w:eastAsia="en-AU"/>
        </w:rPr>
        <w:t>, vol. 20, no. 6, pp. 514-524.</w:t>
      </w:r>
    </w:p>
    <w:p w14:paraId="172B94E0" w14:textId="77777777" w:rsidR="00167406" w:rsidRPr="00E85CC4" w:rsidRDefault="00167406" w:rsidP="00267C03">
      <w:pPr>
        <w:pStyle w:val="EndNoteBibliography"/>
        <w:rPr>
          <w:rFonts w:ascii="Arial" w:hAnsi="Arial" w:cs="Arial"/>
          <w:noProof/>
          <w:sz w:val="22"/>
          <w:szCs w:val="22"/>
        </w:rPr>
      </w:pPr>
    </w:p>
    <w:p w14:paraId="4B5EFEFD" w14:textId="77777777" w:rsidR="00AB7CDB" w:rsidRPr="00E85CC4" w:rsidRDefault="00AB7CDB" w:rsidP="00AB7CDB">
      <w:pPr>
        <w:suppressAutoHyphens w:val="0"/>
        <w:autoSpaceDE w:val="0"/>
        <w:autoSpaceDN w:val="0"/>
        <w:adjustRightInd w:val="0"/>
        <w:spacing w:after="0" w:line="240" w:lineRule="auto"/>
        <w:ind w:left="720" w:hanging="720"/>
        <w:rPr>
          <w:color w:val="000000"/>
          <w:szCs w:val="22"/>
          <w:lang w:val="en-GB" w:eastAsia="en-AU"/>
        </w:rPr>
      </w:pPr>
      <w:r w:rsidRPr="00E85CC4">
        <w:rPr>
          <w:color w:val="000000"/>
          <w:szCs w:val="22"/>
          <w:lang w:val="en-GB" w:eastAsia="en-AU"/>
        </w:rPr>
        <w:t xml:space="preserve">Evans-Lacko, S, Courtin, E, Fiorillo, A, Knapp, M, Luciano, M, Park, AL, </w:t>
      </w:r>
    </w:p>
    <w:p w14:paraId="5BE469D8" w14:textId="20E6A545" w:rsidR="00AB7CDB" w:rsidRPr="00E85CC4" w:rsidRDefault="00AB7CDB" w:rsidP="00AB7CDB">
      <w:pPr>
        <w:suppressAutoHyphens w:val="0"/>
        <w:autoSpaceDE w:val="0"/>
        <w:autoSpaceDN w:val="0"/>
        <w:adjustRightInd w:val="0"/>
        <w:spacing w:after="0" w:line="240" w:lineRule="auto"/>
        <w:ind w:left="720" w:hanging="720"/>
        <w:rPr>
          <w:color w:val="000000"/>
          <w:szCs w:val="22"/>
          <w:lang w:val="en-GB" w:eastAsia="en-AU"/>
        </w:rPr>
      </w:pPr>
      <w:r w:rsidRPr="00E85CC4">
        <w:rPr>
          <w:color w:val="000000"/>
          <w:szCs w:val="22"/>
          <w:lang w:val="en-GB" w:eastAsia="en-AU"/>
        </w:rPr>
        <w:t xml:space="preserve">Brunn, M, Byford, S, Chevreul, K, Forsman, AK, Gulacsi, L, Haro, JM, </w:t>
      </w:r>
    </w:p>
    <w:p w14:paraId="525AB2B8" w14:textId="77777777" w:rsidR="00AB7CDB" w:rsidRPr="00E85CC4" w:rsidRDefault="00AB7CDB" w:rsidP="00AB7CDB">
      <w:pPr>
        <w:suppressAutoHyphens w:val="0"/>
        <w:autoSpaceDE w:val="0"/>
        <w:autoSpaceDN w:val="0"/>
        <w:adjustRightInd w:val="0"/>
        <w:spacing w:after="0" w:line="240" w:lineRule="auto"/>
        <w:ind w:left="720" w:hanging="720"/>
        <w:rPr>
          <w:color w:val="000000"/>
          <w:szCs w:val="22"/>
          <w:lang w:val="en-GB" w:eastAsia="en-AU"/>
        </w:rPr>
      </w:pPr>
      <w:r w:rsidRPr="00E85CC4">
        <w:rPr>
          <w:color w:val="000000"/>
          <w:szCs w:val="22"/>
          <w:lang w:val="en-GB" w:eastAsia="en-AU"/>
        </w:rPr>
        <w:t xml:space="preserve">Kennelly, B, Knappe, S, Lai, T, Lasalvia, A, Miret, M, O'Sullivan, C, </w:t>
      </w:r>
    </w:p>
    <w:p w14:paraId="68890632" w14:textId="77777777" w:rsidR="00AB7CDB" w:rsidRPr="00E85CC4" w:rsidRDefault="00AB7CDB" w:rsidP="00AB7CDB">
      <w:pPr>
        <w:suppressAutoHyphens w:val="0"/>
        <w:autoSpaceDE w:val="0"/>
        <w:autoSpaceDN w:val="0"/>
        <w:adjustRightInd w:val="0"/>
        <w:spacing w:after="0" w:line="240" w:lineRule="auto"/>
        <w:ind w:left="720" w:hanging="720"/>
        <w:rPr>
          <w:color w:val="000000"/>
          <w:szCs w:val="22"/>
          <w:lang w:val="en-GB" w:eastAsia="en-AU"/>
        </w:rPr>
      </w:pPr>
      <w:r w:rsidRPr="00E85CC4">
        <w:rPr>
          <w:color w:val="000000"/>
          <w:szCs w:val="22"/>
          <w:lang w:val="en-GB" w:eastAsia="en-AU"/>
        </w:rPr>
        <w:t xml:space="preserve">Obradors-Tarragó, C, Rüsch, N, Sartorius, N, Švab, V, van Weeghel, J, </w:t>
      </w:r>
    </w:p>
    <w:p w14:paraId="32922BD7" w14:textId="77777777" w:rsidR="00AB7CDB" w:rsidRPr="00E85CC4" w:rsidRDefault="00AB7CDB" w:rsidP="00AB7CDB">
      <w:pPr>
        <w:suppressAutoHyphens w:val="0"/>
        <w:autoSpaceDE w:val="0"/>
        <w:autoSpaceDN w:val="0"/>
        <w:adjustRightInd w:val="0"/>
        <w:spacing w:after="0" w:line="240" w:lineRule="auto"/>
        <w:ind w:left="720" w:hanging="720"/>
        <w:rPr>
          <w:color w:val="000000"/>
          <w:szCs w:val="22"/>
          <w:lang w:val="en-GB" w:eastAsia="en-AU"/>
        </w:rPr>
      </w:pPr>
      <w:r w:rsidRPr="00E85CC4">
        <w:rPr>
          <w:color w:val="000000"/>
          <w:szCs w:val="22"/>
          <w:lang w:val="en-GB" w:eastAsia="en-AU"/>
        </w:rPr>
        <w:t xml:space="preserve">Van Audenhove, C, Wahlbeck, K, Zlati, A, McDaid, D &amp; Thornicroft, G </w:t>
      </w:r>
    </w:p>
    <w:p w14:paraId="5C939CDD" w14:textId="77777777" w:rsidR="00AB7CDB" w:rsidRPr="00E85CC4" w:rsidRDefault="00AB7CDB" w:rsidP="00AB7CDB">
      <w:pPr>
        <w:suppressAutoHyphens w:val="0"/>
        <w:autoSpaceDE w:val="0"/>
        <w:autoSpaceDN w:val="0"/>
        <w:adjustRightInd w:val="0"/>
        <w:spacing w:after="0" w:line="240" w:lineRule="auto"/>
        <w:ind w:left="720" w:hanging="720"/>
        <w:rPr>
          <w:color w:val="000000"/>
          <w:szCs w:val="22"/>
          <w:lang w:val="en-GB" w:eastAsia="en-AU"/>
        </w:rPr>
      </w:pPr>
      <w:r w:rsidRPr="00E85CC4">
        <w:rPr>
          <w:color w:val="000000"/>
          <w:szCs w:val="22"/>
          <w:lang w:val="en-GB" w:eastAsia="en-AU"/>
        </w:rPr>
        <w:t xml:space="preserve">2014, 'The state of the art in European research on reducing social </w:t>
      </w:r>
    </w:p>
    <w:p w14:paraId="5D835BD4" w14:textId="77777777" w:rsidR="00AB7CDB" w:rsidRPr="00E85CC4" w:rsidRDefault="00AB7CDB" w:rsidP="00AB7CDB">
      <w:pPr>
        <w:suppressAutoHyphens w:val="0"/>
        <w:autoSpaceDE w:val="0"/>
        <w:autoSpaceDN w:val="0"/>
        <w:adjustRightInd w:val="0"/>
        <w:spacing w:after="0" w:line="240" w:lineRule="auto"/>
        <w:ind w:left="720" w:hanging="720"/>
        <w:rPr>
          <w:color w:val="000000"/>
          <w:szCs w:val="22"/>
          <w:lang w:val="en-GB" w:eastAsia="en-AU"/>
        </w:rPr>
      </w:pPr>
      <w:r w:rsidRPr="00E85CC4">
        <w:rPr>
          <w:color w:val="000000"/>
          <w:szCs w:val="22"/>
          <w:lang w:val="en-GB" w:eastAsia="en-AU"/>
        </w:rPr>
        <w:t xml:space="preserve">exclusion and stigma related to mental health: A systematic mapping of </w:t>
      </w:r>
    </w:p>
    <w:p w14:paraId="660E71E2" w14:textId="77777777" w:rsidR="00AB7CDB" w:rsidRPr="00E85CC4" w:rsidRDefault="00AB7CDB" w:rsidP="00AB7CDB">
      <w:pPr>
        <w:suppressAutoHyphens w:val="0"/>
        <w:autoSpaceDE w:val="0"/>
        <w:autoSpaceDN w:val="0"/>
        <w:adjustRightInd w:val="0"/>
        <w:spacing w:after="0" w:line="240" w:lineRule="auto"/>
        <w:ind w:left="720" w:hanging="720"/>
        <w:rPr>
          <w:color w:val="000000"/>
          <w:szCs w:val="22"/>
          <w:lang w:val="en-GB" w:eastAsia="en-AU"/>
        </w:rPr>
      </w:pPr>
      <w:r w:rsidRPr="00E85CC4">
        <w:rPr>
          <w:color w:val="000000"/>
          <w:szCs w:val="22"/>
          <w:lang w:val="en-GB" w:eastAsia="en-AU"/>
        </w:rPr>
        <w:t xml:space="preserve">the literature', </w:t>
      </w:r>
      <w:r w:rsidRPr="00E85CC4">
        <w:rPr>
          <w:i/>
          <w:iCs/>
          <w:color w:val="000000"/>
          <w:szCs w:val="22"/>
          <w:lang w:val="en-GB" w:eastAsia="en-AU"/>
        </w:rPr>
        <w:t>European Psychiatry</w:t>
      </w:r>
      <w:r w:rsidRPr="00E85CC4">
        <w:rPr>
          <w:color w:val="000000"/>
          <w:szCs w:val="22"/>
          <w:lang w:val="en-GB" w:eastAsia="en-AU"/>
        </w:rPr>
        <w:t>, vol. 29, no. 6, 2014/08/01/, pp. 381-</w:t>
      </w:r>
    </w:p>
    <w:p w14:paraId="7E6111DA" w14:textId="1366B3DA" w:rsidR="00AB7CDB" w:rsidRPr="00E85CC4" w:rsidRDefault="00AB7CDB" w:rsidP="00AB7CDB">
      <w:pPr>
        <w:suppressAutoHyphens w:val="0"/>
        <w:autoSpaceDE w:val="0"/>
        <w:autoSpaceDN w:val="0"/>
        <w:adjustRightInd w:val="0"/>
        <w:spacing w:after="0" w:line="240" w:lineRule="auto"/>
        <w:ind w:left="720" w:hanging="720"/>
        <w:rPr>
          <w:color w:val="000000"/>
          <w:szCs w:val="22"/>
          <w:lang w:val="en-GB" w:eastAsia="en-AU"/>
        </w:rPr>
      </w:pPr>
      <w:r w:rsidRPr="00E85CC4">
        <w:rPr>
          <w:color w:val="000000"/>
          <w:szCs w:val="22"/>
          <w:lang w:val="en-GB" w:eastAsia="en-AU"/>
        </w:rPr>
        <w:t>389.</w:t>
      </w:r>
    </w:p>
    <w:p w14:paraId="021D7E7A" w14:textId="77777777" w:rsidR="00AB7CDB" w:rsidRPr="00E85CC4" w:rsidRDefault="00AB7CDB" w:rsidP="00E85CC4">
      <w:pPr>
        <w:suppressAutoHyphens w:val="0"/>
        <w:autoSpaceDE w:val="0"/>
        <w:autoSpaceDN w:val="0"/>
        <w:adjustRightInd w:val="0"/>
        <w:spacing w:after="0" w:line="240" w:lineRule="auto"/>
        <w:rPr>
          <w:color w:val="000000"/>
          <w:szCs w:val="22"/>
          <w:lang w:val="en-GB" w:eastAsia="en-AU"/>
        </w:rPr>
      </w:pPr>
    </w:p>
    <w:p w14:paraId="3D5B3BA0" w14:textId="6D80D2A2" w:rsidR="00167406" w:rsidRPr="00E85CC4" w:rsidRDefault="00167406" w:rsidP="00167406">
      <w:pPr>
        <w:suppressAutoHyphens w:val="0"/>
        <w:autoSpaceDE w:val="0"/>
        <w:autoSpaceDN w:val="0"/>
        <w:adjustRightInd w:val="0"/>
        <w:spacing w:after="0" w:line="240" w:lineRule="auto"/>
        <w:ind w:left="720" w:hanging="720"/>
        <w:rPr>
          <w:color w:val="000000"/>
          <w:szCs w:val="22"/>
          <w:lang w:val="en-GB" w:eastAsia="en-AU"/>
        </w:rPr>
      </w:pPr>
      <w:r w:rsidRPr="00E85CC4">
        <w:rPr>
          <w:color w:val="000000"/>
          <w:szCs w:val="22"/>
          <w:lang w:val="en-GB" w:eastAsia="en-AU"/>
        </w:rPr>
        <w:t xml:space="preserve">Filia, KM, Jackson, HJ, Cotton, SM, Gardner, A &amp; Killackey, EJ 2018, </w:t>
      </w:r>
    </w:p>
    <w:p w14:paraId="7A1ABAA7" w14:textId="77777777" w:rsidR="00167406" w:rsidRPr="00E85CC4" w:rsidRDefault="00167406" w:rsidP="00167406">
      <w:pPr>
        <w:suppressAutoHyphens w:val="0"/>
        <w:autoSpaceDE w:val="0"/>
        <w:autoSpaceDN w:val="0"/>
        <w:adjustRightInd w:val="0"/>
        <w:spacing w:after="0" w:line="240" w:lineRule="auto"/>
        <w:ind w:left="720" w:hanging="720"/>
        <w:rPr>
          <w:color w:val="000000"/>
          <w:szCs w:val="22"/>
          <w:lang w:val="en-GB" w:eastAsia="en-AU"/>
        </w:rPr>
      </w:pPr>
      <w:r w:rsidRPr="00E85CC4">
        <w:rPr>
          <w:color w:val="000000"/>
          <w:szCs w:val="22"/>
          <w:lang w:val="en-GB" w:eastAsia="en-AU"/>
        </w:rPr>
        <w:t xml:space="preserve">'What is social inclusion? A thematic analysis of professional opinion', </w:t>
      </w:r>
    </w:p>
    <w:p w14:paraId="3CD22228" w14:textId="700B3C71" w:rsidR="00167406" w:rsidRPr="00E85CC4" w:rsidRDefault="00167406" w:rsidP="00167406">
      <w:pPr>
        <w:suppressAutoHyphens w:val="0"/>
        <w:autoSpaceDE w:val="0"/>
        <w:autoSpaceDN w:val="0"/>
        <w:adjustRightInd w:val="0"/>
        <w:spacing w:after="0" w:line="240" w:lineRule="auto"/>
        <w:ind w:left="720" w:hanging="720"/>
        <w:rPr>
          <w:color w:val="000000"/>
          <w:szCs w:val="22"/>
          <w:lang w:val="en-GB" w:eastAsia="en-AU"/>
        </w:rPr>
      </w:pPr>
      <w:r w:rsidRPr="00E85CC4">
        <w:rPr>
          <w:i/>
          <w:iCs/>
          <w:color w:val="000000"/>
          <w:szCs w:val="22"/>
          <w:lang w:val="en-GB" w:eastAsia="en-AU"/>
        </w:rPr>
        <w:t>Psychiatric Rehabilitation Journal</w:t>
      </w:r>
      <w:r w:rsidRPr="00E85CC4">
        <w:rPr>
          <w:color w:val="000000"/>
          <w:szCs w:val="22"/>
          <w:lang w:val="en-GB" w:eastAsia="en-AU"/>
        </w:rPr>
        <w:t>, vol. 41, no. 3, pp. 183-195.</w:t>
      </w:r>
    </w:p>
    <w:p w14:paraId="5A61E34D" w14:textId="77777777" w:rsidR="00167406" w:rsidRPr="00E85CC4" w:rsidRDefault="00167406" w:rsidP="00267C03">
      <w:pPr>
        <w:pStyle w:val="EndNoteBibliography"/>
        <w:rPr>
          <w:rFonts w:ascii="Arial" w:hAnsi="Arial" w:cs="Arial"/>
          <w:noProof/>
          <w:sz w:val="22"/>
          <w:szCs w:val="22"/>
        </w:rPr>
      </w:pPr>
    </w:p>
    <w:p w14:paraId="74329FF5" w14:textId="655DCBD7" w:rsidR="00267C03" w:rsidRPr="00E85CC4" w:rsidRDefault="00267C03" w:rsidP="00267C03">
      <w:pPr>
        <w:pStyle w:val="EndNoteBibliography"/>
        <w:rPr>
          <w:rFonts w:ascii="Arial" w:hAnsi="Arial" w:cs="Arial"/>
          <w:noProof/>
          <w:sz w:val="22"/>
          <w:szCs w:val="22"/>
        </w:rPr>
      </w:pPr>
      <w:r w:rsidRPr="00E85CC4">
        <w:rPr>
          <w:rFonts w:ascii="Arial" w:hAnsi="Arial" w:cs="Arial"/>
          <w:noProof/>
          <w:sz w:val="22"/>
          <w:szCs w:val="22"/>
        </w:rPr>
        <w:t xml:space="preserve">Ferguson, KM 2017, 'Nonvocational Outcomes From a Randomized Controlled Trial of Two Employment Interventions for Homeless Youth', </w:t>
      </w:r>
      <w:r w:rsidRPr="00E85CC4">
        <w:rPr>
          <w:rFonts w:ascii="Arial" w:hAnsi="Arial" w:cs="Arial"/>
          <w:i/>
          <w:noProof/>
          <w:sz w:val="22"/>
          <w:szCs w:val="22"/>
        </w:rPr>
        <w:t>Research on Social Work Practice</w:t>
      </w:r>
      <w:r w:rsidRPr="00E85CC4">
        <w:rPr>
          <w:rFonts w:ascii="Arial" w:hAnsi="Arial" w:cs="Arial"/>
          <w:noProof/>
          <w:sz w:val="22"/>
          <w:szCs w:val="22"/>
        </w:rPr>
        <w:t>, vol. 28, no. 5, 2018/07/01, pp. 603-618.</w:t>
      </w:r>
    </w:p>
    <w:p w14:paraId="552F6394" w14:textId="77777777" w:rsidR="00267C03" w:rsidRPr="00E85CC4" w:rsidRDefault="00267C03" w:rsidP="00267C03">
      <w:pPr>
        <w:pStyle w:val="EndNoteBibliography"/>
        <w:rPr>
          <w:rFonts w:ascii="Arial" w:hAnsi="Arial" w:cs="Arial"/>
          <w:noProof/>
          <w:sz w:val="22"/>
          <w:szCs w:val="22"/>
        </w:rPr>
      </w:pPr>
    </w:p>
    <w:p w14:paraId="160BFC0F" w14:textId="77777777" w:rsidR="00267C03" w:rsidRPr="00E85CC4" w:rsidRDefault="00267C03" w:rsidP="00267C03">
      <w:pPr>
        <w:pStyle w:val="EndNoteBibliography"/>
        <w:rPr>
          <w:rFonts w:ascii="Arial" w:hAnsi="Arial" w:cs="Arial"/>
          <w:noProof/>
          <w:sz w:val="22"/>
          <w:szCs w:val="22"/>
        </w:rPr>
      </w:pPr>
      <w:r w:rsidRPr="00E85CC4">
        <w:rPr>
          <w:rFonts w:ascii="Arial" w:hAnsi="Arial" w:cs="Arial"/>
          <w:noProof/>
          <w:sz w:val="22"/>
          <w:szCs w:val="22"/>
        </w:rPr>
        <w:t xml:space="preserve">Ferguson, KM 2018, 'Employment Outcomes From a Randomized Controlled Trial of Two Employment Interventions With Homeless Youth', </w:t>
      </w:r>
      <w:r w:rsidRPr="00E85CC4">
        <w:rPr>
          <w:rFonts w:ascii="Arial" w:hAnsi="Arial" w:cs="Arial"/>
          <w:i/>
          <w:noProof/>
          <w:sz w:val="22"/>
          <w:szCs w:val="22"/>
        </w:rPr>
        <w:t>Journal of the Society for Social Work and Research</w:t>
      </w:r>
      <w:r w:rsidRPr="00E85CC4">
        <w:rPr>
          <w:rFonts w:ascii="Arial" w:hAnsi="Arial" w:cs="Arial"/>
          <w:noProof/>
          <w:sz w:val="22"/>
          <w:szCs w:val="22"/>
        </w:rPr>
        <w:t>, vol. 9, no. 1, 2018/03/01, pp. 1-21.</w:t>
      </w:r>
    </w:p>
    <w:p w14:paraId="64D19660" w14:textId="77777777" w:rsidR="00267C03" w:rsidRPr="00E85CC4" w:rsidRDefault="00267C03" w:rsidP="00267C03">
      <w:pPr>
        <w:pStyle w:val="EndNoteBibliography"/>
        <w:rPr>
          <w:rFonts w:ascii="Arial" w:hAnsi="Arial" w:cs="Arial"/>
          <w:noProof/>
          <w:sz w:val="22"/>
          <w:szCs w:val="22"/>
        </w:rPr>
      </w:pPr>
    </w:p>
    <w:p w14:paraId="5782D34A" w14:textId="77777777" w:rsidR="00267C03" w:rsidRPr="00E85CC4" w:rsidRDefault="00267C03" w:rsidP="00267C03">
      <w:pPr>
        <w:pStyle w:val="EndNoteBibliography"/>
        <w:rPr>
          <w:rFonts w:ascii="Arial" w:hAnsi="Arial" w:cs="Arial"/>
          <w:noProof/>
          <w:sz w:val="22"/>
          <w:szCs w:val="22"/>
        </w:rPr>
      </w:pPr>
      <w:r w:rsidRPr="00E85CC4">
        <w:rPr>
          <w:rFonts w:ascii="Arial" w:hAnsi="Arial" w:cs="Arial"/>
          <w:noProof/>
          <w:sz w:val="22"/>
          <w:szCs w:val="22"/>
        </w:rPr>
        <w:t xml:space="preserve">Gardner, A, Filia, K, Killackey, E &amp; Cotton, S 2018, 'The social inclusion of young people with serious mental illness: A narrative review of the literature and suggested future directions', </w:t>
      </w:r>
      <w:r w:rsidRPr="00E85CC4">
        <w:rPr>
          <w:rFonts w:ascii="Arial" w:hAnsi="Arial" w:cs="Arial"/>
          <w:i/>
          <w:iCs/>
          <w:noProof/>
          <w:sz w:val="22"/>
          <w:szCs w:val="22"/>
        </w:rPr>
        <w:t>Australian &amp; New Zealand Journal of Psychiatry</w:t>
      </w:r>
      <w:r w:rsidRPr="00E85CC4">
        <w:rPr>
          <w:rFonts w:ascii="Arial" w:hAnsi="Arial" w:cs="Arial"/>
          <w:noProof/>
          <w:sz w:val="22"/>
          <w:szCs w:val="22"/>
        </w:rPr>
        <w:t>, vol. 53, no. 1, 2019/01/01, pp. 15-26.</w:t>
      </w:r>
    </w:p>
    <w:p w14:paraId="50F0A5BC" w14:textId="77777777" w:rsidR="00267C03" w:rsidRPr="00E85CC4" w:rsidRDefault="00267C03" w:rsidP="00267C03">
      <w:pPr>
        <w:pStyle w:val="EndNoteBibliography"/>
        <w:rPr>
          <w:rFonts w:ascii="Arial" w:hAnsi="Arial" w:cs="Arial"/>
          <w:noProof/>
          <w:sz w:val="22"/>
          <w:szCs w:val="22"/>
        </w:rPr>
      </w:pPr>
    </w:p>
    <w:p w14:paraId="3B12EDB2" w14:textId="77777777" w:rsidR="00267C03" w:rsidRPr="00E85CC4" w:rsidRDefault="00267C03" w:rsidP="00267C03">
      <w:pPr>
        <w:pStyle w:val="EndNoteBibliography"/>
        <w:rPr>
          <w:rFonts w:ascii="Arial" w:hAnsi="Arial" w:cs="Arial"/>
          <w:noProof/>
          <w:sz w:val="22"/>
          <w:szCs w:val="22"/>
        </w:rPr>
      </w:pPr>
      <w:r w:rsidRPr="00E85CC4">
        <w:rPr>
          <w:rFonts w:ascii="Arial" w:hAnsi="Arial" w:cs="Arial"/>
          <w:noProof/>
          <w:sz w:val="22"/>
          <w:szCs w:val="22"/>
        </w:rPr>
        <w:t xml:space="preserve">Gilbert, E, Marwaha, S, Milton, A, Johnson, S, Morant, N, Parsons, N, Fisher, A, Singh, S &amp; Cunliffe, D 2013, 'Social firms as a means of vocational recovery for people with mental illness: A UK survey', </w:t>
      </w:r>
      <w:r w:rsidRPr="00E85CC4">
        <w:rPr>
          <w:rFonts w:ascii="Arial" w:hAnsi="Arial" w:cs="Arial"/>
          <w:i/>
          <w:noProof/>
          <w:sz w:val="22"/>
          <w:szCs w:val="22"/>
        </w:rPr>
        <w:t>BMC Health Services Research</w:t>
      </w:r>
      <w:r w:rsidRPr="00E85CC4">
        <w:rPr>
          <w:rFonts w:ascii="Arial" w:hAnsi="Arial" w:cs="Arial"/>
          <w:noProof/>
          <w:sz w:val="22"/>
          <w:szCs w:val="22"/>
        </w:rPr>
        <w:t>, vol. 13, no. 1</w:t>
      </w:r>
    </w:p>
    <w:p w14:paraId="60359BAE" w14:textId="77777777" w:rsidR="00267C03" w:rsidRPr="00E85CC4" w:rsidRDefault="00267C03" w:rsidP="00267C03">
      <w:pPr>
        <w:pStyle w:val="EndNoteBibliography"/>
        <w:rPr>
          <w:rFonts w:ascii="Arial" w:hAnsi="Arial" w:cs="Arial"/>
          <w:noProof/>
          <w:sz w:val="22"/>
          <w:szCs w:val="22"/>
        </w:rPr>
      </w:pPr>
    </w:p>
    <w:p w14:paraId="03A25022" w14:textId="77777777" w:rsidR="00267C03" w:rsidRPr="00E85CC4" w:rsidRDefault="00267C03" w:rsidP="00267C03">
      <w:pPr>
        <w:pStyle w:val="EndNoteBibliography"/>
        <w:rPr>
          <w:rFonts w:ascii="Arial" w:hAnsi="Arial" w:cs="Arial"/>
          <w:noProof/>
          <w:sz w:val="22"/>
          <w:szCs w:val="22"/>
        </w:rPr>
      </w:pPr>
      <w:r w:rsidRPr="00E85CC4">
        <w:rPr>
          <w:rFonts w:ascii="Arial" w:hAnsi="Arial" w:cs="Arial"/>
          <w:noProof/>
          <w:sz w:val="22"/>
          <w:szCs w:val="22"/>
        </w:rPr>
        <w:t xml:space="preserve">Ho, APY &amp; Chan, KT 2010, 'The social impact of work-integration social enterprise in Hong Kong', </w:t>
      </w:r>
      <w:r w:rsidRPr="00E85CC4">
        <w:rPr>
          <w:rFonts w:ascii="Arial" w:hAnsi="Arial" w:cs="Arial"/>
          <w:i/>
          <w:noProof/>
          <w:sz w:val="22"/>
          <w:szCs w:val="22"/>
        </w:rPr>
        <w:t>International Social Work</w:t>
      </w:r>
      <w:r w:rsidRPr="00E85CC4">
        <w:rPr>
          <w:rFonts w:ascii="Arial" w:hAnsi="Arial" w:cs="Arial"/>
          <w:noProof/>
          <w:sz w:val="22"/>
          <w:szCs w:val="22"/>
        </w:rPr>
        <w:t>, vol. 53, no. 1, Jan, pp. 33-45.</w:t>
      </w:r>
    </w:p>
    <w:p w14:paraId="04E8EDBD" w14:textId="77777777" w:rsidR="00267C03" w:rsidRPr="00E85CC4" w:rsidRDefault="00267C03" w:rsidP="00267C03">
      <w:pPr>
        <w:pStyle w:val="EndNoteBibliography"/>
        <w:rPr>
          <w:rFonts w:ascii="Arial" w:hAnsi="Arial" w:cs="Arial"/>
          <w:noProof/>
          <w:sz w:val="22"/>
          <w:szCs w:val="22"/>
        </w:rPr>
      </w:pPr>
    </w:p>
    <w:p w14:paraId="35DD8632" w14:textId="42D8F07F" w:rsidR="00267C03" w:rsidRPr="00E85CC4" w:rsidRDefault="00722550" w:rsidP="00267C03">
      <w:pPr>
        <w:pStyle w:val="EndNoteBibliography"/>
        <w:rPr>
          <w:rFonts w:ascii="Arial" w:hAnsi="Arial" w:cs="Arial"/>
          <w:color w:val="000000"/>
          <w:sz w:val="22"/>
          <w:szCs w:val="22"/>
          <w:lang w:val="en-GB" w:eastAsia="en-AU"/>
        </w:rPr>
      </w:pPr>
      <w:r w:rsidRPr="00E85CC4">
        <w:rPr>
          <w:rFonts w:ascii="Arial" w:hAnsi="Arial" w:cs="Arial"/>
          <w:color w:val="000000"/>
          <w:sz w:val="22"/>
          <w:szCs w:val="22"/>
          <w:lang w:val="en-GB" w:eastAsia="en-AU"/>
        </w:rPr>
        <w:t xml:space="preserve">Krupa, T, Sabetti, J &amp; Lysaght, R 2019, 'How work integration social enterprises impact the stigma of mental illness: Negotiating perceptions of legitimacy, value and competence', </w:t>
      </w:r>
      <w:r w:rsidRPr="00E85CC4">
        <w:rPr>
          <w:rFonts w:ascii="Arial" w:hAnsi="Arial" w:cs="Arial"/>
          <w:i/>
          <w:iCs/>
          <w:color w:val="000000"/>
          <w:sz w:val="22"/>
          <w:szCs w:val="22"/>
          <w:lang w:val="en-GB" w:eastAsia="en-AU"/>
        </w:rPr>
        <w:t>Social Enterprise Journal</w:t>
      </w:r>
      <w:r w:rsidRPr="00E85CC4">
        <w:rPr>
          <w:rFonts w:ascii="Arial" w:hAnsi="Arial" w:cs="Arial"/>
          <w:color w:val="000000"/>
          <w:sz w:val="22"/>
          <w:szCs w:val="22"/>
          <w:lang w:val="en-GB" w:eastAsia="en-AU"/>
        </w:rPr>
        <w:t>, vol. 15, no. 4, pp. 475-494.</w:t>
      </w:r>
    </w:p>
    <w:p w14:paraId="178F2349" w14:textId="77777777" w:rsidR="00722550" w:rsidRPr="00E85CC4" w:rsidRDefault="00722550" w:rsidP="00267C03">
      <w:pPr>
        <w:pStyle w:val="EndNoteBibliography"/>
        <w:rPr>
          <w:rFonts w:ascii="Arial" w:hAnsi="Arial" w:cs="Arial"/>
          <w:noProof/>
          <w:sz w:val="22"/>
          <w:szCs w:val="22"/>
        </w:rPr>
      </w:pPr>
    </w:p>
    <w:p w14:paraId="0E720735" w14:textId="77777777" w:rsidR="00267C03" w:rsidRPr="00E85CC4" w:rsidRDefault="00267C03" w:rsidP="00267C03">
      <w:pPr>
        <w:pStyle w:val="EndNoteBibliography"/>
        <w:rPr>
          <w:rFonts w:ascii="Arial" w:hAnsi="Arial" w:cs="Arial"/>
          <w:noProof/>
          <w:sz w:val="22"/>
          <w:szCs w:val="22"/>
        </w:rPr>
      </w:pPr>
      <w:r w:rsidRPr="00E85CC4">
        <w:rPr>
          <w:rFonts w:ascii="Arial" w:hAnsi="Arial" w:cs="Arial"/>
          <w:noProof/>
          <w:sz w:val="22"/>
          <w:szCs w:val="22"/>
        </w:rPr>
        <w:t xml:space="preserve">Macaulay, B, Mazzei, M, Roy, MJ, Teasdale, S &amp; Donaldson, C 2018, 'Differentiating the effect of social enterprise activities on health', </w:t>
      </w:r>
      <w:r w:rsidRPr="00E85CC4">
        <w:rPr>
          <w:rFonts w:ascii="Arial" w:hAnsi="Arial" w:cs="Arial"/>
          <w:i/>
          <w:noProof/>
          <w:sz w:val="22"/>
          <w:szCs w:val="22"/>
        </w:rPr>
        <w:t>Soc Sci Med</w:t>
      </w:r>
      <w:r w:rsidRPr="00E85CC4">
        <w:rPr>
          <w:rFonts w:ascii="Arial" w:hAnsi="Arial" w:cs="Arial"/>
          <w:noProof/>
          <w:sz w:val="22"/>
          <w:szCs w:val="22"/>
        </w:rPr>
        <w:t>, vol. 200, Mar, pp. 211-217.</w:t>
      </w:r>
    </w:p>
    <w:p w14:paraId="478B23F7" w14:textId="77777777" w:rsidR="00267C03" w:rsidRPr="00E85CC4" w:rsidRDefault="00267C03" w:rsidP="00267C03">
      <w:pPr>
        <w:pStyle w:val="EndNoteBibliography"/>
        <w:rPr>
          <w:rFonts w:ascii="Arial" w:hAnsi="Arial" w:cs="Arial"/>
          <w:noProof/>
          <w:sz w:val="22"/>
          <w:szCs w:val="22"/>
        </w:rPr>
      </w:pPr>
    </w:p>
    <w:p w14:paraId="3FEF9EE9" w14:textId="1C7A31CC" w:rsidR="00267C03" w:rsidRPr="00E85CC4" w:rsidRDefault="00267C03" w:rsidP="00267C03">
      <w:pPr>
        <w:pStyle w:val="EndNoteBibliography"/>
        <w:rPr>
          <w:rFonts w:ascii="Arial" w:hAnsi="Arial" w:cs="Arial"/>
          <w:noProof/>
          <w:sz w:val="22"/>
          <w:szCs w:val="22"/>
        </w:rPr>
      </w:pPr>
      <w:r w:rsidRPr="00E85CC4">
        <w:rPr>
          <w:rFonts w:ascii="Arial" w:hAnsi="Arial" w:cs="Arial"/>
          <w:noProof/>
          <w:sz w:val="22"/>
          <w:szCs w:val="22"/>
        </w:rPr>
        <w:t xml:space="preserve">Macaulay, B, Roy, MJ, Donaldson, C, Teasdale, S &amp; Kay, A 2017, 'Conceptualizing the health and well-being impacts of social enterprise: a UK-based study', </w:t>
      </w:r>
      <w:r w:rsidRPr="00E85CC4">
        <w:rPr>
          <w:rFonts w:ascii="Arial" w:hAnsi="Arial" w:cs="Arial"/>
          <w:i/>
          <w:noProof/>
          <w:sz w:val="22"/>
          <w:szCs w:val="22"/>
        </w:rPr>
        <w:t>Health Promot</w:t>
      </w:r>
      <w:r w:rsidR="00E85CC4">
        <w:rPr>
          <w:rFonts w:ascii="Arial" w:hAnsi="Arial" w:cs="Arial"/>
          <w:i/>
          <w:noProof/>
          <w:sz w:val="22"/>
          <w:szCs w:val="22"/>
        </w:rPr>
        <w:t>ion</w:t>
      </w:r>
      <w:r w:rsidRPr="00E85CC4">
        <w:rPr>
          <w:rFonts w:ascii="Arial" w:hAnsi="Arial" w:cs="Arial"/>
          <w:i/>
          <w:noProof/>
          <w:sz w:val="22"/>
          <w:szCs w:val="22"/>
        </w:rPr>
        <w:t xml:space="preserve"> Int</w:t>
      </w:r>
      <w:r w:rsidR="00E85CC4">
        <w:rPr>
          <w:rFonts w:ascii="Arial" w:hAnsi="Arial" w:cs="Arial"/>
          <w:i/>
          <w:noProof/>
          <w:sz w:val="22"/>
          <w:szCs w:val="22"/>
        </w:rPr>
        <w:t>ernational</w:t>
      </w:r>
      <w:r w:rsidRPr="00E85CC4">
        <w:rPr>
          <w:rFonts w:ascii="Arial" w:hAnsi="Arial" w:cs="Arial"/>
          <w:noProof/>
          <w:sz w:val="22"/>
          <w:szCs w:val="22"/>
        </w:rPr>
        <w:t>, Mar 28.</w:t>
      </w:r>
    </w:p>
    <w:p w14:paraId="66B024DD" w14:textId="77777777" w:rsidR="00267C03" w:rsidRPr="00E85CC4" w:rsidRDefault="00267C03" w:rsidP="00267C03">
      <w:pPr>
        <w:pStyle w:val="EndNoteBibliography"/>
        <w:rPr>
          <w:rFonts w:ascii="Arial" w:hAnsi="Arial" w:cs="Arial"/>
          <w:noProof/>
          <w:sz w:val="22"/>
          <w:szCs w:val="22"/>
        </w:rPr>
      </w:pPr>
    </w:p>
    <w:p w14:paraId="0E83126C" w14:textId="77777777" w:rsidR="00267C03" w:rsidRPr="00E85CC4" w:rsidRDefault="00267C03" w:rsidP="00267C03">
      <w:pPr>
        <w:pStyle w:val="EndNoteBibliography"/>
        <w:rPr>
          <w:rFonts w:ascii="Arial" w:hAnsi="Arial" w:cs="Arial"/>
          <w:noProof/>
          <w:sz w:val="22"/>
          <w:szCs w:val="22"/>
        </w:rPr>
      </w:pPr>
      <w:r w:rsidRPr="00E85CC4">
        <w:rPr>
          <w:rFonts w:ascii="Arial" w:hAnsi="Arial" w:cs="Arial"/>
          <w:noProof/>
          <w:sz w:val="22"/>
          <w:szCs w:val="22"/>
        </w:rPr>
        <w:t xml:space="preserve">Mason, C, Barraket, J, Friel, S, O'Rourke, K &amp; Stenta, CP 2015, 'Social innovation for the promotion of health equity', </w:t>
      </w:r>
      <w:r w:rsidRPr="00E85CC4">
        <w:rPr>
          <w:rFonts w:ascii="Arial" w:hAnsi="Arial" w:cs="Arial"/>
          <w:i/>
          <w:noProof/>
          <w:sz w:val="22"/>
          <w:szCs w:val="22"/>
        </w:rPr>
        <w:t>Health Promotion International</w:t>
      </w:r>
      <w:r w:rsidRPr="00E85CC4">
        <w:rPr>
          <w:rFonts w:ascii="Arial" w:hAnsi="Arial" w:cs="Arial"/>
          <w:noProof/>
          <w:sz w:val="22"/>
          <w:szCs w:val="22"/>
        </w:rPr>
        <w:t>, vol. 30, pp. ii116-ii125.</w:t>
      </w:r>
    </w:p>
    <w:p w14:paraId="55666E6F" w14:textId="77777777" w:rsidR="00267C03" w:rsidRPr="00E85CC4" w:rsidRDefault="00267C03" w:rsidP="00267C03">
      <w:pPr>
        <w:pStyle w:val="EndNoteBibliography"/>
        <w:rPr>
          <w:rFonts w:ascii="Arial" w:hAnsi="Arial" w:cs="Arial"/>
          <w:noProof/>
          <w:sz w:val="22"/>
          <w:szCs w:val="22"/>
        </w:rPr>
      </w:pPr>
    </w:p>
    <w:p w14:paraId="63E06BEF" w14:textId="2CDB0A8A" w:rsidR="000F7AAA" w:rsidRPr="00E85CC4" w:rsidRDefault="000F7AAA" w:rsidP="00267C03">
      <w:pPr>
        <w:pStyle w:val="EndNoteBibliography"/>
        <w:rPr>
          <w:rFonts w:ascii="Arial" w:hAnsi="Arial" w:cs="Arial"/>
          <w:color w:val="000000"/>
          <w:sz w:val="22"/>
          <w:szCs w:val="22"/>
          <w:lang w:val="en-GB" w:eastAsia="en-AU"/>
        </w:rPr>
      </w:pPr>
      <w:r w:rsidRPr="00E85CC4">
        <w:rPr>
          <w:rFonts w:ascii="Arial" w:hAnsi="Arial" w:cs="Arial"/>
          <w:color w:val="000000"/>
          <w:sz w:val="22"/>
          <w:szCs w:val="22"/>
          <w:lang w:val="en-GB" w:eastAsia="en-AU"/>
        </w:rPr>
        <w:t xml:space="preserve">Mann, F, Bone, JK, Lloyd-Evans, B, Frerichs, J, Pinfold, V, Ma, R, Wang, J &amp; Johnson, S 2017, 'A life less lonely: the state of the art in interventions to reduce loneliness in people with mental health problems', </w:t>
      </w:r>
      <w:r w:rsidRPr="00E85CC4">
        <w:rPr>
          <w:rFonts w:ascii="Arial" w:hAnsi="Arial" w:cs="Arial"/>
          <w:i/>
          <w:iCs/>
          <w:color w:val="000000"/>
          <w:sz w:val="22"/>
          <w:szCs w:val="22"/>
          <w:lang w:val="en-GB" w:eastAsia="en-AU"/>
        </w:rPr>
        <w:t>Social Psychiatry and Psychiatric Epidemiology</w:t>
      </w:r>
      <w:r w:rsidRPr="00E85CC4">
        <w:rPr>
          <w:rFonts w:ascii="Arial" w:hAnsi="Arial" w:cs="Arial"/>
          <w:color w:val="000000"/>
          <w:sz w:val="22"/>
          <w:szCs w:val="22"/>
          <w:lang w:val="en-GB" w:eastAsia="en-AU"/>
        </w:rPr>
        <w:t>, vol. 52, no. 6, 2017/06/01, pp. 627-638.</w:t>
      </w:r>
    </w:p>
    <w:p w14:paraId="25F51CE7" w14:textId="77777777" w:rsidR="000F7AAA" w:rsidRPr="00E85CC4" w:rsidRDefault="000F7AAA" w:rsidP="00267C03">
      <w:pPr>
        <w:pStyle w:val="EndNoteBibliography"/>
        <w:rPr>
          <w:rFonts w:ascii="Arial" w:hAnsi="Arial" w:cs="Arial"/>
          <w:color w:val="000000"/>
          <w:sz w:val="22"/>
          <w:szCs w:val="22"/>
          <w:lang w:val="en-GB" w:eastAsia="en-AU"/>
        </w:rPr>
      </w:pPr>
    </w:p>
    <w:p w14:paraId="2C2B69FE" w14:textId="339994FA" w:rsidR="000F7AAA" w:rsidRPr="00E85CC4" w:rsidRDefault="000F7AAA" w:rsidP="00267C03">
      <w:pPr>
        <w:pStyle w:val="EndNoteBibliography"/>
        <w:rPr>
          <w:rFonts w:ascii="Arial" w:hAnsi="Arial" w:cs="Arial"/>
          <w:noProof/>
          <w:sz w:val="22"/>
          <w:szCs w:val="22"/>
        </w:rPr>
      </w:pPr>
      <w:r w:rsidRPr="00E85CC4">
        <w:rPr>
          <w:rFonts w:ascii="Arial" w:hAnsi="Arial" w:cs="Arial"/>
          <w:color w:val="000000"/>
          <w:sz w:val="22"/>
          <w:szCs w:val="22"/>
          <w:lang w:val="en-GB" w:eastAsia="en-AU"/>
        </w:rPr>
        <w:t xml:space="preserve">Masi, CM, Chen, H-Y, Hawkley, LC &amp; Cacioppo, JT 2010, 'A Meta-Analysis of Interventions to Reduce Loneliness', </w:t>
      </w:r>
      <w:r w:rsidRPr="00E85CC4">
        <w:rPr>
          <w:rFonts w:ascii="Arial" w:hAnsi="Arial" w:cs="Arial"/>
          <w:i/>
          <w:iCs/>
          <w:color w:val="000000"/>
          <w:sz w:val="22"/>
          <w:szCs w:val="22"/>
          <w:lang w:val="en-GB" w:eastAsia="en-AU"/>
        </w:rPr>
        <w:t>Personality and Social Psychology Review</w:t>
      </w:r>
      <w:r w:rsidRPr="00E85CC4">
        <w:rPr>
          <w:rFonts w:ascii="Arial" w:hAnsi="Arial" w:cs="Arial"/>
          <w:color w:val="000000"/>
          <w:sz w:val="22"/>
          <w:szCs w:val="22"/>
          <w:lang w:val="en-GB" w:eastAsia="en-AU"/>
        </w:rPr>
        <w:t>, vol. 15, no. 3, 2011/08/01, pp. 219-266.</w:t>
      </w:r>
    </w:p>
    <w:p w14:paraId="1B45CFF6" w14:textId="77777777" w:rsidR="000F7AAA" w:rsidRPr="00E85CC4" w:rsidRDefault="000F7AAA" w:rsidP="00267C03">
      <w:pPr>
        <w:pStyle w:val="EndNoteBibliography"/>
        <w:rPr>
          <w:rFonts w:ascii="Arial" w:hAnsi="Arial" w:cs="Arial"/>
          <w:noProof/>
          <w:sz w:val="22"/>
          <w:szCs w:val="22"/>
        </w:rPr>
      </w:pPr>
    </w:p>
    <w:p w14:paraId="55A770D0" w14:textId="188E0440" w:rsidR="00267C03" w:rsidRPr="00E85CC4" w:rsidRDefault="00267C03" w:rsidP="00267C03">
      <w:pPr>
        <w:pStyle w:val="EndNoteBibliography"/>
        <w:rPr>
          <w:rFonts w:ascii="Arial" w:hAnsi="Arial" w:cs="Arial"/>
          <w:noProof/>
          <w:sz w:val="22"/>
          <w:szCs w:val="22"/>
        </w:rPr>
      </w:pPr>
      <w:r w:rsidRPr="00E85CC4">
        <w:rPr>
          <w:rFonts w:ascii="Arial" w:hAnsi="Arial" w:cs="Arial"/>
          <w:noProof/>
          <w:sz w:val="22"/>
          <w:szCs w:val="22"/>
        </w:rPr>
        <w:t xml:space="preserve">Merton, R &amp; Bateman, J 2007, </w:t>
      </w:r>
      <w:r w:rsidRPr="00E85CC4">
        <w:rPr>
          <w:rFonts w:ascii="Arial" w:hAnsi="Arial" w:cs="Arial"/>
          <w:i/>
          <w:iCs/>
          <w:noProof/>
          <w:sz w:val="22"/>
          <w:szCs w:val="22"/>
        </w:rPr>
        <w:t>Social Inclusion: Its importance to mental health</w:t>
      </w:r>
      <w:r w:rsidRPr="00E85CC4">
        <w:rPr>
          <w:rFonts w:ascii="Arial" w:hAnsi="Arial" w:cs="Arial"/>
          <w:noProof/>
          <w:sz w:val="22"/>
          <w:szCs w:val="22"/>
        </w:rPr>
        <w:t>. Rozelle, Australia: Mental Health Coordinating Council</w:t>
      </w:r>
    </w:p>
    <w:p w14:paraId="28E3A2C6" w14:textId="77777777" w:rsidR="00267C03" w:rsidRPr="00E85CC4" w:rsidRDefault="00267C03" w:rsidP="00267C03">
      <w:pPr>
        <w:pStyle w:val="EndNoteBibliography"/>
        <w:rPr>
          <w:rFonts w:ascii="Arial" w:hAnsi="Arial" w:cs="Arial"/>
          <w:noProof/>
          <w:sz w:val="22"/>
          <w:szCs w:val="22"/>
        </w:rPr>
      </w:pPr>
    </w:p>
    <w:p w14:paraId="3FE8447F" w14:textId="77777777" w:rsidR="00267C03" w:rsidRPr="00E85CC4" w:rsidRDefault="00267C03" w:rsidP="00267C03">
      <w:pPr>
        <w:pStyle w:val="EndNoteBibliography"/>
        <w:rPr>
          <w:rFonts w:ascii="Arial" w:hAnsi="Arial" w:cs="Arial"/>
          <w:noProof/>
          <w:sz w:val="22"/>
          <w:szCs w:val="22"/>
        </w:rPr>
      </w:pPr>
      <w:r w:rsidRPr="00E85CC4">
        <w:rPr>
          <w:rFonts w:ascii="Arial" w:hAnsi="Arial" w:cs="Arial"/>
          <w:noProof/>
          <w:sz w:val="22"/>
          <w:szCs w:val="22"/>
        </w:rPr>
        <w:t xml:space="preserve">Morrow, M, Wasik, A, Cohen, M &amp; Perry, KME 2009, 'Removing barriers to work: Building economic security for people with psychiatric disabilities', </w:t>
      </w:r>
      <w:r w:rsidRPr="00E85CC4">
        <w:rPr>
          <w:rFonts w:ascii="Arial" w:hAnsi="Arial" w:cs="Arial"/>
          <w:i/>
          <w:noProof/>
          <w:sz w:val="22"/>
          <w:szCs w:val="22"/>
        </w:rPr>
        <w:t>Critical Social Policy</w:t>
      </w:r>
      <w:r w:rsidRPr="00E85CC4">
        <w:rPr>
          <w:rFonts w:ascii="Arial" w:hAnsi="Arial" w:cs="Arial"/>
          <w:noProof/>
          <w:sz w:val="22"/>
          <w:szCs w:val="22"/>
        </w:rPr>
        <w:t>, vol. 29, no. 4, Nov, pp. 655-676.</w:t>
      </w:r>
    </w:p>
    <w:p w14:paraId="4C988950" w14:textId="77777777" w:rsidR="00267C03" w:rsidRPr="00E85CC4" w:rsidRDefault="00267C03" w:rsidP="00267C03">
      <w:pPr>
        <w:pStyle w:val="EndNoteBibliography"/>
        <w:rPr>
          <w:rFonts w:ascii="Arial" w:hAnsi="Arial" w:cs="Arial"/>
          <w:noProof/>
          <w:sz w:val="22"/>
          <w:szCs w:val="22"/>
        </w:rPr>
      </w:pPr>
    </w:p>
    <w:p w14:paraId="12D89F5A" w14:textId="77777777" w:rsidR="00267C03" w:rsidRPr="00E85CC4" w:rsidRDefault="00267C03" w:rsidP="00267C03">
      <w:pPr>
        <w:pStyle w:val="EndNoteBibliography"/>
        <w:rPr>
          <w:rFonts w:ascii="Arial" w:hAnsi="Arial" w:cs="Arial"/>
          <w:noProof/>
          <w:sz w:val="22"/>
          <w:szCs w:val="22"/>
        </w:rPr>
      </w:pPr>
      <w:r w:rsidRPr="00E85CC4">
        <w:rPr>
          <w:rFonts w:ascii="Arial" w:hAnsi="Arial" w:cs="Arial"/>
          <w:noProof/>
          <w:sz w:val="22"/>
          <w:szCs w:val="22"/>
        </w:rPr>
        <w:t xml:space="preserve">Munoz, S-A, Farmer, J, Winterton, R &amp; Barraket, J 2015, 'The social enterprise as a space of well-being: an exploratory case study', </w:t>
      </w:r>
      <w:r w:rsidRPr="00E85CC4">
        <w:rPr>
          <w:rFonts w:ascii="Arial" w:hAnsi="Arial" w:cs="Arial"/>
          <w:i/>
          <w:noProof/>
          <w:sz w:val="22"/>
          <w:szCs w:val="22"/>
        </w:rPr>
        <w:t>Social Enterprise Journal</w:t>
      </w:r>
      <w:r w:rsidRPr="00E85CC4">
        <w:rPr>
          <w:rFonts w:ascii="Arial" w:hAnsi="Arial" w:cs="Arial"/>
          <w:noProof/>
          <w:sz w:val="22"/>
          <w:szCs w:val="22"/>
        </w:rPr>
        <w:t>, vol. 11, no. 3, pp. 281-302.</w:t>
      </w:r>
    </w:p>
    <w:p w14:paraId="1B65F8A5" w14:textId="77777777" w:rsidR="00267C03" w:rsidRPr="00E85CC4" w:rsidRDefault="00267C03" w:rsidP="00267C03">
      <w:pPr>
        <w:pStyle w:val="EndNoteBibliography"/>
        <w:rPr>
          <w:rFonts w:ascii="Arial" w:hAnsi="Arial" w:cs="Arial"/>
          <w:noProof/>
          <w:sz w:val="22"/>
          <w:szCs w:val="22"/>
        </w:rPr>
      </w:pPr>
    </w:p>
    <w:p w14:paraId="54069DE9" w14:textId="77777777" w:rsidR="00E85CC4" w:rsidRPr="00E85CC4" w:rsidRDefault="00DD4B9F" w:rsidP="00267C03">
      <w:pPr>
        <w:pStyle w:val="Copyrightbodytext"/>
        <w:rPr>
          <w:rFonts w:ascii="Arial" w:eastAsiaTheme="minorHAnsi" w:hAnsi="Arial" w:cs="Arial"/>
          <w:noProof/>
          <w:sz w:val="22"/>
          <w:szCs w:val="22"/>
          <w:lang w:val="en-US" w:eastAsia="en-US"/>
        </w:rPr>
      </w:pPr>
      <w:r w:rsidRPr="00E85CC4">
        <w:rPr>
          <w:rFonts w:ascii="Arial" w:hAnsi="Arial" w:cs="Arial"/>
          <w:color w:val="000000"/>
          <w:sz w:val="22"/>
          <w:szCs w:val="22"/>
          <w:lang w:val="en-GB"/>
        </w:rPr>
        <w:t xml:space="preserve">Pereira, RB &amp; Whiteford, GE 2013, 'Understanding Social Inclusion as an International Discourse: Implications for Enabling Participation', </w:t>
      </w:r>
      <w:r w:rsidRPr="00E85CC4">
        <w:rPr>
          <w:rFonts w:ascii="Arial" w:hAnsi="Arial" w:cs="Arial"/>
          <w:i/>
          <w:iCs/>
          <w:color w:val="000000"/>
          <w:sz w:val="22"/>
          <w:szCs w:val="22"/>
          <w:lang w:val="en-GB"/>
        </w:rPr>
        <w:t>British Journal of Occupational Therapy</w:t>
      </w:r>
      <w:r w:rsidRPr="00E85CC4">
        <w:rPr>
          <w:rFonts w:ascii="Arial" w:hAnsi="Arial" w:cs="Arial"/>
          <w:color w:val="000000"/>
          <w:sz w:val="22"/>
          <w:szCs w:val="22"/>
          <w:lang w:val="en-GB"/>
        </w:rPr>
        <w:t>, vol. 76, no. 2, 2013/02/01, pp. 112-115.</w:t>
      </w:r>
    </w:p>
    <w:p w14:paraId="32008737" w14:textId="40D55ABB" w:rsidR="00267C03" w:rsidRPr="00E85CC4" w:rsidRDefault="00267C03" w:rsidP="00E85CC4">
      <w:pPr>
        <w:pStyle w:val="Copyrightbodytext"/>
        <w:spacing w:before="240"/>
        <w:rPr>
          <w:rFonts w:ascii="Arial" w:eastAsiaTheme="minorHAnsi" w:hAnsi="Arial" w:cs="Arial"/>
          <w:noProof/>
          <w:sz w:val="22"/>
          <w:szCs w:val="22"/>
          <w:lang w:val="en-US" w:eastAsia="en-US"/>
        </w:rPr>
      </w:pPr>
      <w:r w:rsidRPr="00E85CC4">
        <w:rPr>
          <w:rFonts w:ascii="Arial" w:eastAsiaTheme="minorHAnsi" w:hAnsi="Arial" w:cs="Arial"/>
          <w:noProof/>
          <w:sz w:val="22"/>
          <w:szCs w:val="22"/>
          <w:lang w:val="en-US" w:eastAsia="en-US"/>
        </w:rPr>
        <w:t xml:space="preserve">Productivity Commission 2019, </w:t>
      </w:r>
      <w:r w:rsidRPr="00E85CC4">
        <w:rPr>
          <w:rFonts w:ascii="Arial" w:eastAsiaTheme="minorHAnsi" w:hAnsi="Arial" w:cs="Arial"/>
          <w:i/>
          <w:iCs/>
          <w:noProof/>
          <w:sz w:val="22"/>
          <w:szCs w:val="22"/>
          <w:lang w:val="en-US" w:eastAsia="en-US"/>
        </w:rPr>
        <w:t>Mental Health, Draft Report</w:t>
      </w:r>
      <w:r w:rsidRPr="00E85CC4">
        <w:rPr>
          <w:rFonts w:ascii="Arial" w:eastAsiaTheme="minorHAnsi" w:hAnsi="Arial" w:cs="Arial"/>
          <w:noProof/>
          <w:sz w:val="22"/>
          <w:szCs w:val="22"/>
          <w:lang w:val="en-US" w:eastAsia="en-US"/>
        </w:rPr>
        <w:t>, Canberra.</w:t>
      </w:r>
    </w:p>
    <w:p w14:paraId="59502870" w14:textId="77777777" w:rsidR="00267C03" w:rsidRPr="00E85CC4" w:rsidRDefault="00267C03" w:rsidP="00267C03">
      <w:pPr>
        <w:pStyle w:val="EndNoteBibliography"/>
        <w:rPr>
          <w:rFonts w:ascii="Arial" w:hAnsi="Arial" w:cs="Arial"/>
          <w:noProof/>
          <w:sz w:val="22"/>
          <w:szCs w:val="22"/>
        </w:rPr>
      </w:pPr>
    </w:p>
    <w:p w14:paraId="732C3A42" w14:textId="77777777" w:rsidR="00267C03" w:rsidRPr="00E85CC4" w:rsidRDefault="00267C03" w:rsidP="00267C03">
      <w:pPr>
        <w:pStyle w:val="EndNoteBibliography"/>
        <w:rPr>
          <w:rFonts w:ascii="Arial" w:hAnsi="Arial" w:cs="Arial"/>
          <w:noProof/>
          <w:sz w:val="22"/>
          <w:szCs w:val="22"/>
        </w:rPr>
      </w:pPr>
      <w:r w:rsidRPr="00E85CC4">
        <w:rPr>
          <w:rFonts w:ascii="Arial" w:hAnsi="Arial" w:cs="Arial"/>
          <w:noProof/>
          <w:sz w:val="22"/>
          <w:szCs w:val="22"/>
        </w:rPr>
        <w:t xml:space="preserve">Roy, MJ, McHugh, N &amp; Hill O'Connor, C 2014, 'Social Innovation: Worklessness, Welfare and Well-being', </w:t>
      </w:r>
      <w:r w:rsidRPr="00E85CC4">
        <w:rPr>
          <w:rFonts w:ascii="Arial" w:hAnsi="Arial" w:cs="Arial"/>
          <w:i/>
          <w:noProof/>
          <w:sz w:val="22"/>
          <w:szCs w:val="22"/>
        </w:rPr>
        <w:t>Social Policy and Society</w:t>
      </w:r>
      <w:r w:rsidRPr="00E85CC4">
        <w:rPr>
          <w:rFonts w:ascii="Arial" w:hAnsi="Arial" w:cs="Arial"/>
          <w:noProof/>
          <w:sz w:val="22"/>
          <w:szCs w:val="22"/>
        </w:rPr>
        <w:t>, vol. 13, no. 3, pp. 457-467.</w:t>
      </w:r>
    </w:p>
    <w:p w14:paraId="02C3F38F" w14:textId="77777777" w:rsidR="00267C03" w:rsidRPr="00E85CC4" w:rsidRDefault="00267C03" w:rsidP="00267C03">
      <w:pPr>
        <w:pStyle w:val="EndNoteBibliography"/>
        <w:rPr>
          <w:rFonts w:ascii="Arial" w:hAnsi="Arial" w:cs="Arial"/>
          <w:noProof/>
          <w:sz w:val="22"/>
          <w:szCs w:val="22"/>
        </w:rPr>
      </w:pPr>
    </w:p>
    <w:p w14:paraId="6EF321B3" w14:textId="77777777" w:rsidR="00D470DC" w:rsidRPr="00E85CC4" w:rsidRDefault="00D470DC" w:rsidP="00D470DC">
      <w:pPr>
        <w:suppressAutoHyphens w:val="0"/>
        <w:autoSpaceDE w:val="0"/>
        <w:autoSpaceDN w:val="0"/>
        <w:adjustRightInd w:val="0"/>
        <w:spacing w:after="0" w:line="240" w:lineRule="auto"/>
        <w:ind w:left="720" w:hanging="720"/>
        <w:rPr>
          <w:color w:val="000000"/>
          <w:szCs w:val="22"/>
          <w:lang w:val="en-GB" w:eastAsia="en-AU"/>
        </w:rPr>
      </w:pPr>
      <w:r w:rsidRPr="00E85CC4">
        <w:rPr>
          <w:color w:val="000000"/>
          <w:szCs w:val="22"/>
          <w:lang w:val="en-GB" w:eastAsia="en-AU"/>
        </w:rPr>
        <w:t xml:space="preserve">Secker, J 2009, 'Mental health, social exclusion and social inclusion', </w:t>
      </w:r>
    </w:p>
    <w:p w14:paraId="7851F461" w14:textId="1A314364" w:rsidR="00D470DC" w:rsidRPr="00E85CC4" w:rsidRDefault="00D470DC" w:rsidP="00D470DC">
      <w:pPr>
        <w:suppressAutoHyphens w:val="0"/>
        <w:autoSpaceDE w:val="0"/>
        <w:autoSpaceDN w:val="0"/>
        <w:adjustRightInd w:val="0"/>
        <w:spacing w:after="0" w:line="240" w:lineRule="auto"/>
        <w:ind w:left="720" w:hanging="720"/>
        <w:rPr>
          <w:color w:val="000000"/>
          <w:szCs w:val="22"/>
          <w:lang w:val="en-GB" w:eastAsia="en-AU"/>
        </w:rPr>
      </w:pPr>
      <w:r w:rsidRPr="00E85CC4">
        <w:rPr>
          <w:i/>
          <w:iCs/>
          <w:color w:val="000000"/>
          <w:szCs w:val="22"/>
          <w:lang w:val="en-GB" w:eastAsia="en-AU"/>
        </w:rPr>
        <w:t>Mental Health Review Journal</w:t>
      </w:r>
      <w:r w:rsidRPr="00E85CC4">
        <w:rPr>
          <w:color w:val="000000"/>
          <w:szCs w:val="22"/>
          <w:lang w:val="en-GB" w:eastAsia="en-AU"/>
        </w:rPr>
        <w:t>, vol. 14, no. 4, pp. 4-11.</w:t>
      </w:r>
    </w:p>
    <w:p w14:paraId="4DDD6A6D" w14:textId="77777777" w:rsidR="00D470DC" w:rsidRPr="00E85CC4" w:rsidRDefault="00D470DC" w:rsidP="00267C03">
      <w:pPr>
        <w:pStyle w:val="EndNoteBibliography"/>
        <w:rPr>
          <w:rFonts w:ascii="Arial" w:hAnsi="Arial" w:cs="Arial"/>
          <w:noProof/>
          <w:sz w:val="22"/>
          <w:szCs w:val="22"/>
        </w:rPr>
      </w:pPr>
    </w:p>
    <w:p w14:paraId="2554D9BF" w14:textId="77777777" w:rsidR="00AB7CDB" w:rsidRPr="00E85CC4" w:rsidRDefault="00AB7CDB" w:rsidP="00AB7CDB">
      <w:pPr>
        <w:suppressAutoHyphens w:val="0"/>
        <w:autoSpaceDE w:val="0"/>
        <w:autoSpaceDN w:val="0"/>
        <w:adjustRightInd w:val="0"/>
        <w:spacing w:after="0" w:line="240" w:lineRule="auto"/>
        <w:ind w:left="720" w:hanging="720"/>
        <w:rPr>
          <w:color w:val="000000"/>
          <w:szCs w:val="22"/>
          <w:lang w:val="en-GB" w:eastAsia="en-AU"/>
        </w:rPr>
      </w:pPr>
      <w:r w:rsidRPr="00E85CC4">
        <w:rPr>
          <w:color w:val="000000"/>
          <w:szCs w:val="22"/>
          <w:lang w:val="en-GB" w:eastAsia="en-AU"/>
        </w:rPr>
        <w:t xml:space="preserve">Sheridan, AJ, Drennan, J, Coughlan, B, O’Keeffe, D, Frazer, K, Kemple, M, </w:t>
      </w:r>
    </w:p>
    <w:p w14:paraId="7A85A909" w14:textId="77777777" w:rsidR="00AB7CDB" w:rsidRPr="00E85CC4" w:rsidRDefault="00AB7CDB" w:rsidP="00AB7CDB">
      <w:pPr>
        <w:suppressAutoHyphens w:val="0"/>
        <w:autoSpaceDE w:val="0"/>
        <w:autoSpaceDN w:val="0"/>
        <w:adjustRightInd w:val="0"/>
        <w:spacing w:after="0" w:line="240" w:lineRule="auto"/>
        <w:ind w:left="720" w:hanging="720"/>
        <w:rPr>
          <w:color w:val="000000"/>
          <w:szCs w:val="22"/>
          <w:lang w:val="en-GB" w:eastAsia="en-AU"/>
        </w:rPr>
      </w:pPr>
      <w:r w:rsidRPr="00E85CC4">
        <w:rPr>
          <w:color w:val="000000"/>
          <w:szCs w:val="22"/>
          <w:lang w:val="en-GB" w:eastAsia="en-AU"/>
        </w:rPr>
        <w:t xml:space="preserve">Alexander, D, Howlin, F, Fahy, A, Kow, V &amp; O’Callaghan, E 2014, 'Improving </w:t>
      </w:r>
    </w:p>
    <w:p w14:paraId="05849943" w14:textId="77777777" w:rsidR="00AB7CDB" w:rsidRPr="00E85CC4" w:rsidRDefault="00AB7CDB" w:rsidP="00AB7CDB">
      <w:pPr>
        <w:suppressAutoHyphens w:val="0"/>
        <w:autoSpaceDE w:val="0"/>
        <w:autoSpaceDN w:val="0"/>
        <w:adjustRightInd w:val="0"/>
        <w:spacing w:after="0" w:line="240" w:lineRule="auto"/>
        <w:ind w:left="720" w:hanging="720"/>
        <w:rPr>
          <w:color w:val="000000"/>
          <w:szCs w:val="22"/>
          <w:lang w:val="en-GB" w:eastAsia="en-AU"/>
        </w:rPr>
      </w:pPr>
      <w:r w:rsidRPr="00E85CC4">
        <w:rPr>
          <w:color w:val="000000"/>
          <w:szCs w:val="22"/>
          <w:lang w:val="en-GB" w:eastAsia="en-AU"/>
        </w:rPr>
        <w:t xml:space="preserve">social functioning and reducing social isolation and loneliness among people </w:t>
      </w:r>
    </w:p>
    <w:p w14:paraId="35C15440" w14:textId="77777777" w:rsidR="00AB7CDB" w:rsidRPr="00E85CC4" w:rsidRDefault="00AB7CDB" w:rsidP="00AB7CDB">
      <w:pPr>
        <w:suppressAutoHyphens w:val="0"/>
        <w:autoSpaceDE w:val="0"/>
        <w:autoSpaceDN w:val="0"/>
        <w:adjustRightInd w:val="0"/>
        <w:spacing w:after="0" w:line="240" w:lineRule="auto"/>
        <w:ind w:left="720" w:hanging="720"/>
        <w:rPr>
          <w:color w:val="000000"/>
          <w:szCs w:val="22"/>
          <w:lang w:val="en-GB" w:eastAsia="en-AU"/>
        </w:rPr>
      </w:pPr>
      <w:r w:rsidRPr="00E85CC4">
        <w:rPr>
          <w:color w:val="000000"/>
          <w:szCs w:val="22"/>
          <w:lang w:val="en-GB" w:eastAsia="en-AU"/>
        </w:rPr>
        <w:t xml:space="preserve">with enduring mental illness: Report of a randomised controlled trial of </w:t>
      </w:r>
    </w:p>
    <w:p w14:paraId="626A896C" w14:textId="77777777" w:rsidR="00AB7CDB" w:rsidRPr="00E85CC4" w:rsidRDefault="00AB7CDB" w:rsidP="00AB7CDB">
      <w:pPr>
        <w:suppressAutoHyphens w:val="0"/>
        <w:autoSpaceDE w:val="0"/>
        <w:autoSpaceDN w:val="0"/>
        <w:adjustRightInd w:val="0"/>
        <w:spacing w:after="0" w:line="240" w:lineRule="auto"/>
        <w:ind w:left="720" w:hanging="720"/>
        <w:rPr>
          <w:color w:val="000000"/>
          <w:szCs w:val="22"/>
          <w:lang w:val="en-GB" w:eastAsia="en-AU"/>
        </w:rPr>
      </w:pPr>
      <w:r w:rsidRPr="00E85CC4">
        <w:rPr>
          <w:color w:val="000000"/>
          <w:szCs w:val="22"/>
          <w:lang w:val="en-GB" w:eastAsia="en-AU"/>
        </w:rPr>
        <w:t xml:space="preserve">supported socialisation', </w:t>
      </w:r>
      <w:r w:rsidRPr="00E85CC4">
        <w:rPr>
          <w:i/>
          <w:iCs/>
          <w:color w:val="000000"/>
          <w:szCs w:val="22"/>
          <w:lang w:val="en-GB" w:eastAsia="en-AU"/>
        </w:rPr>
        <w:t>International Journal of Social Psychiatry</w:t>
      </w:r>
      <w:r w:rsidRPr="00E85CC4">
        <w:rPr>
          <w:color w:val="000000"/>
          <w:szCs w:val="22"/>
          <w:lang w:val="en-GB" w:eastAsia="en-AU"/>
        </w:rPr>
        <w:t xml:space="preserve">, vol. 61, no. </w:t>
      </w:r>
    </w:p>
    <w:p w14:paraId="4FDB4B27" w14:textId="54C9F28A" w:rsidR="00AB7CDB" w:rsidRPr="00E85CC4" w:rsidRDefault="00AB7CDB" w:rsidP="00AB7CDB">
      <w:pPr>
        <w:suppressAutoHyphens w:val="0"/>
        <w:autoSpaceDE w:val="0"/>
        <w:autoSpaceDN w:val="0"/>
        <w:adjustRightInd w:val="0"/>
        <w:spacing w:after="0" w:line="240" w:lineRule="auto"/>
        <w:ind w:left="720" w:hanging="720"/>
        <w:rPr>
          <w:color w:val="000000"/>
          <w:szCs w:val="22"/>
          <w:lang w:val="en-GB" w:eastAsia="en-AU"/>
        </w:rPr>
      </w:pPr>
      <w:r w:rsidRPr="00E85CC4">
        <w:rPr>
          <w:color w:val="000000"/>
          <w:szCs w:val="22"/>
          <w:lang w:val="en-GB" w:eastAsia="en-AU"/>
        </w:rPr>
        <w:t>3, 2015/05/01, pp. 241-250.</w:t>
      </w:r>
    </w:p>
    <w:p w14:paraId="7BD9FD54" w14:textId="16690F39" w:rsidR="00D470DC" w:rsidRPr="00E85CC4" w:rsidRDefault="00D470DC" w:rsidP="00267C03">
      <w:pPr>
        <w:pStyle w:val="EndNoteBibliography"/>
        <w:rPr>
          <w:rFonts w:ascii="Arial" w:hAnsi="Arial" w:cs="Arial"/>
          <w:noProof/>
          <w:sz w:val="22"/>
          <w:szCs w:val="22"/>
        </w:rPr>
      </w:pPr>
    </w:p>
    <w:p w14:paraId="5779B2FB" w14:textId="55EBEDC1" w:rsidR="00AB7CDB" w:rsidRPr="00E85CC4" w:rsidRDefault="00480CA6" w:rsidP="00267C03">
      <w:pPr>
        <w:pStyle w:val="EndNoteBibliography"/>
        <w:rPr>
          <w:rFonts w:ascii="Arial" w:hAnsi="Arial" w:cs="Arial"/>
          <w:noProof/>
          <w:sz w:val="22"/>
          <w:szCs w:val="22"/>
        </w:rPr>
      </w:pPr>
      <w:r w:rsidRPr="00E85CC4">
        <w:rPr>
          <w:rFonts w:ascii="Arial" w:hAnsi="Arial" w:cs="Arial"/>
          <w:color w:val="000000"/>
          <w:sz w:val="22"/>
          <w:szCs w:val="22"/>
          <w:lang w:val="en-GB" w:eastAsia="en-AU"/>
        </w:rPr>
        <w:lastRenderedPageBreak/>
        <w:t xml:space="preserve">Spandler, H 2007, 'From Social Exclusion to Inclusion? A Critique of the Inclusion Imperative in Mental Health', </w:t>
      </w:r>
      <w:r w:rsidRPr="00E85CC4">
        <w:rPr>
          <w:rFonts w:ascii="Arial" w:hAnsi="Arial" w:cs="Arial"/>
          <w:i/>
          <w:iCs/>
          <w:color w:val="000000"/>
          <w:sz w:val="22"/>
          <w:szCs w:val="22"/>
          <w:lang w:val="en-GB" w:eastAsia="en-AU"/>
        </w:rPr>
        <w:t>Medical sociology online</w:t>
      </w:r>
      <w:r w:rsidRPr="00E85CC4">
        <w:rPr>
          <w:rFonts w:ascii="Arial" w:hAnsi="Arial" w:cs="Arial"/>
          <w:color w:val="000000"/>
          <w:sz w:val="22"/>
          <w:szCs w:val="22"/>
          <w:lang w:val="en-GB" w:eastAsia="en-AU"/>
        </w:rPr>
        <w:t>, vol. 2, 11/01, pp. 3-16.</w:t>
      </w:r>
    </w:p>
    <w:p w14:paraId="2D2252D2" w14:textId="77777777" w:rsidR="00267C03" w:rsidRPr="00E85CC4" w:rsidRDefault="00267C03" w:rsidP="00267C03">
      <w:pPr>
        <w:rPr>
          <w:noProof/>
          <w:szCs w:val="22"/>
          <w:lang w:val="en-US"/>
        </w:rPr>
      </w:pPr>
    </w:p>
    <w:p w14:paraId="7B5DDC8D" w14:textId="7AFA775E" w:rsidR="00AB7CDB" w:rsidRPr="00E85CC4" w:rsidRDefault="00AB7CDB" w:rsidP="00055B65">
      <w:pPr>
        <w:autoSpaceDE w:val="0"/>
        <w:autoSpaceDN w:val="0"/>
        <w:adjustRightInd w:val="0"/>
        <w:rPr>
          <w:noProof/>
          <w:szCs w:val="22"/>
          <w:lang w:val="en-US"/>
        </w:rPr>
      </w:pPr>
      <w:r w:rsidRPr="00E85CC4">
        <w:rPr>
          <w:color w:val="000000"/>
          <w:szCs w:val="22"/>
          <w:lang w:val="en-GB" w:eastAsia="en-AU"/>
        </w:rPr>
        <w:t xml:space="preserve">Webber, M &amp; Fendt-Newlin, M 2017, 'A review of social participation interventions for people with mental health problems', </w:t>
      </w:r>
      <w:r w:rsidRPr="00E85CC4">
        <w:rPr>
          <w:i/>
          <w:iCs/>
          <w:color w:val="000000"/>
          <w:szCs w:val="22"/>
          <w:lang w:val="en-GB" w:eastAsia="en-AU"/>
        </w:rPr>
        <w:t>Social Psychiatry and Psychiatric Epidemiology</w:t>
      </w:r>
      <w:r w:rsidRPr="00E85CC4">
        <w:rPr>
          <w:color w:val="000000"/>
          <w:szCs w:val="22"/>
          <w:lang w:val="en-GB" w:eastAsia="en-AU"/>
        </w:rPr>
        <w:t>, vol. 52, no. 4, pp. 369-380.</w:t>
      </w:r>
    </w:p>
    <w:p w14:paraId="70083621" w14:textId="0FD50CEF" w:rsidR="009E3A31" w:rsidRPr="00055B65" w:rsidRDefault="00267C03" w:rsidP="00E85CC4">
      <w:pPr>
        <w:autoSpaceDE w:val="0"/>
        <w:autoSpaceDN w:val="0"/>
        <w:adjustRightInd w:val="0"/>
        <w:spacing w:before="240"/>
        <w:rPr>
          <w:noProof/>
          <w:szCs w:val="22"/>
          <w:lang w:val="en-US"/>
        </w:rPr>
      </w:pPr>
      <w:r w:rsidRPr="00E85CC4">
        <w:rPr>
          <w:noProof/>
          <w:szCs w:val="22"/>
          <w:lang w:val="en-US"/>
        </w:rPr>
        <w:t>Wright, N &amp; Stickley, T 2013, 'Concepts of social inclusion, exclusion and mental health: a review of the</w:t>
      </w:r>
      <w:r w:rsidR="00055B65" w:rsidRPr="00E85CC4">
        <w:rPr>
          <w:noProof/>
          <w:szCs w:val="22"/>
          <w:lang w:val="en-US"/>
        </w:rPr>
        <w:t xml:space="preserve"> </w:t>
      </w:r>
      <w:r w:rsidRPr="00E85CC4">
        <w:rPr>
          <w:noProof/>
          <w:szCs w:val="22"/>
          <w:lang w:val="en-US"/>
        </w:rPr>
        <w:t xml:space="preserve">international literature', </w:t>
      </w:r>
      <w:r w:rsidRPr="00E85CC4">
        <w:rPr>
          <w:i/>
          <w:iCs/>
          <w:noProof/>
          <w:szCs w:val="22"/>
          <w:lang w:val="en-US"/>
        </w:rPr>
        <w:t>Journal of Psychiatric and Mental Health Nursing</w:t>
      </w:r>
      <w:r w:rsidRPr="00E85CC4">
        <w:rPr>
          <w:noProof/>
          <w:szCs w:val="22"/>
          <w:lang w:val="en-US"/>
        </w:rPr>
        <w:t>, vol. 20, no. 1, 2013/02/01, pp.</w:t>
      </w:r>
      <w:r w:rsidR="00055B65" w:rsidRPr="00E85CC4">
        <w:rPr>
          <w:noProof/>
          <w:szCs w:val="22"/>
          <w:lang w:val="en-US"/>
        </w:rPr>
        <w:t>71-81.</w:t>
      </w:r>
    </w:p>
    <w:sectPr w:rsidR="009E3A31" w:rsidRPr="00055B65" w:rsidSect="006A3F9E">
      <w:headerReference w:type="default" r:id="rId16"/>
      <w:footerReference w:type="default" r:id="rId17"/>
      <w:type w:val="continuous"/>
      <w:pgSz w:w="11906" w:h="16838" w:code="9"/>
      <w:pgMar w:top="374" w:right="2835" w:bottom="1701" w:left="1418" w:header="964" w:footer="454"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591929" w14:textId="77777777" w:rsidR="00276E8A" w:rsidRDefault="00276E8A">
      <w:r>
        <w:separator/>
      </w:r>
    </w:p>
  </w:endnote>
  <w:endnote w:type="continuationSeparator" w:id="0">
    <w:p w14:paraId="3500C200" w14:textId="77777777" w:rsidR="00276E8A" w:rsidRDefault="00276E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083628" w14:textId="77777777" w:rsidR="006A3F9E" w:rsidRDefault="006A3F9E">
    <w:pPr>
      <w:pStyle w:val="Footer"/>
      <w:pBdr>
        <w:top w:val="single" w:sz="2" w:space="1" w:color="auto"/>
      </w:pBdr>
      <w:tabs>
        <w:tab w:val="left" w:pos="6804"/>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1305198"/>
      <w:docPartObj>
        <w:docPartGallery w:val="Page Numbers (Bottom of Page)"/>
        <w:docPartUnique/>
      </w:docPartObj>
    </w:sdtPr>
    <w:sdtEndPr>
      <w:rPr>
        <w:noProof/>
      </w:rPr>
    </w:sdtEndPr>
    <w:sdtContent>
      <w:p w14:paraId="7008362D" w14:textId="71E68B92" w:rsidR="00D1030B" w:rsidRDefault="00D1030B">
        <w:pPr>
          <w:pStyle w:val="Footer"/>
          <w:jc w:val="right"/>
        </w:pPr>
        <w:r>
          <w:fldChar w:fldCharType="begin"/>
        </w:r>
        <w:r>
          <w:instrText xml:space="preserve"> PAGE   \* MERGEFORMAT </w:instrText>
        </w:r>
        <w:r>
          <w:fldChar w:fldCharType="separate"/>
        </w:r>
        <w:r w:rsidR="00D21483">
          <w:rPr>
            <w:noProof/>
          </w:rPr>
          <w:t>2</w:t>
        </w:r>
        <w:r>
          <w:rPr>
            <w:noProof/>
          </w:rPr>
          <w:fldChar w:fldCharType="end"/>
        </w:r>
      </w:p>
    </w:sdtContent>
  </w:sdt>
  <w:p w14:paraId="7008362E" w14:textId="77777777" w:rsidR="006A3F9E" w:rsidRPr="0044057C" w:rsidRDefault="006A3F9E" w:rsidP="00D1030B">
    <w:pPr>
      <w:pStyle w:val="Footer"/>
      <w:tabs>
        <w:tab w:val="clear" w:pos="284"/>
        <w:tab w:val="clear" w:pos="8222"/>
        <w:tab w:val="left" w:pos="143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BA7385" w14:textId="77777777" w:rsidR="00276E8A" w:rsidRDefault="00276E8A">
      <w:r>
        <w:separator/>
      </w:r>
    </w:p>
  </w:footnote>
  <w:footnote w:type="continuationSeparator" w:id="0">
    <w:p w14:paraId="702A29ED" w14:textId="77777777" w:rsidR="00276E8A" w:rsidRDefault="00276E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083629" w14:textId="77777777" w:rsidR="006A3F9E" w:rsidRDefault="006A3F9E">
    <w:pPr>
      <w:pStyle w:val="Header"/>
    </w:pPr>
  </w:p>
  <w:p w14:paraId="7008362A" w14:textId="77777777" w:rsidR="006A3F9E" w:rsidRDefault="006A3F9E">
    <w:pPr>
      <w:pStyle w:val="Header"/>
    </w:pPr>
  </w:p>
  <w:p w14:paraId="7008362B" w14:textId="77777777" w:rsidR="006A3F9E" w:rsidRDefault="00CA5E92">
    <w:pPr>
      <w:pStyle w:val="Header"/>
    </w:pPr>
    <w:r>
      <w:rPr>
        <w:noProof/>
        <w:lang w:eastAsia="en-AU"/>
      </w:rPr>
      <w:drawing>
        <wp:anchor distT="360045" distB="180340" distL="180340" distR="180340" simplePos="0" relativeHeight="251657728" behindDoc="0" locked="1" layoutInCell="1" allowOverlap="1" wp14:anchorId="7008362F" wp14:editId="70083630">
          <wp:simplePos x="0" y="0"/>
          <wp:positionH relativeFrom="column">
            <wp:posOffset>5143500</wp:posOffset>
          </wp:positionH>
          <wp:positionV relativeFrom="page">
            <wp:posOffset>360045</wp:posOffset>
          </wp:positionV>
          <wp:extent cx="967740" cy="1943100"/>
          <wp:effectExtent l="0" t="0" r="3810" b="0"/>
          <wp:wrapSquare wrapText="bothSides"/>
          <wp:docPr id="8" name="Picture 8" descr="Swinburn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winburn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7740" cy="19431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08362C" w14:textId="77777777" w:rsidR="006A3F9E" w:rsidRDefault="006A3F9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D0F4C19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5575341"/>
    <w:multiLevelType w:val="hybridMultilevel"/>
    <w:tmpl w:val="40BCEB6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51DA690C"/>
    <w:multiLevelType w:val="singleLevel"/>
    <w:tmpl w:val="3134DFA6"/>
    <w:lvl w:ilvl="0">
      <w:start w:val="1"/>
      <w:numFmt w:val="bullet"/>
      <w:pStyle w:val="bulletpoint"/>
      <w:lvlText w:val=""/>
      <w:lvlJc w:val="left"/>
      <w:pPr>
        <w:tabs>
          <w:tab w:val="num" w:pos="360"/>
        </w:tabs>
        <w:ind w:left="284" w:hanging="284"/>
      </w:pPr>
      <w:rPr>
        <w:rFonts w:ascii="Wingdings" w:hAnsi="Wingdings" w:hint="default"/>
        <w:b w:val="0"/>
        <w:i w:val="0"/>
        <w:sz w:val="18"/>
      </w:rPr>
    </w:lvl>
  </w:abstractNum>
  <w:abstractNum w:abstractNumId="3" w15:restartNumberingAfterBreak="0">
    <w:nsid w:val="5C447578"/>
    <w:multiLevelType w:val="hybridMultilevel"/>
    <w:tmpl w:val="3A44B47E"/>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C4858AD"/>
    <w:multiLevelType w:val="hybridMultilevel"/>
    <w:tmpl w:val="3D460A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771529AD"/>
    <w:multiLevelType w:val="hybridMultilevel"/>
    <w:tmpl w:val="179628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style="mso-position-vertical-relative:page"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34A5"/>
    <w:rsid w:val="00010CF5"/>
    <w:rsid w:val="00055B65"/>
    <w:rsid w:val="000619C8"/>
    <w:rsid w:val="00076704"/>
    <w:rsid w:val="000A5FDA"/>
    <w:rsid w:val="000F7AAA"/>
    <w:rsid w:val="00107FD6"/>
    <w:rsid w:val="001450B6"/>
    <w:rsid w:val="0015119A"/>
    <w:rsid w:val="00157007"/>
    <w:rsid w:val="00162278"/>
    <w:rsid w:val="00164037"/>
    <w:rsid w:val="00167406"/>
    <w:rsid w:val="001756B0"/>
    <w:rsid w:val="00186DDE"/>
    <w:rsid w:val="001C2A43"/>
    <w:rsid w:val="002031A2"/>
    <w:rsid w:val="0020595C"/>
    <w:rsid w:val="002311E3"/>
    <w:rsid w:val="00232DBC"/>
    <w:rsid w:val="002443D6"/>
    <w:rsid w:val="00245016"/>
    <w:rsid w:val="00246565"/>
    <w:rsid w:val="00255E38"/>
    <w:rsid w:val="00267C03"/>
    <w:rsid w:val="00275272"/>
    <w:rsid w:val="00276E8A"/>
    <w:rsid w:val="00283F7E"/>
    <w:rsid w:val="00294B76"/>
    <w:rsid w:val="002E018F"/>
    <w:rsid w:val="002F1C5C"/>
    <w:rsid w:val="003023A6"/>
    <w:rsid w:val="003074BB"/>
    <w:rsid w:val="003272D4"/>
    <w:rsid w:val="003324A8"/>
    <w:rsid w:val="00362640"/>
    <w:rsid w:val="00366DAC"/>
    <w:rsid w:val="003720B4"/>
    <w:rsid w:val="00383B04"/>
    <w:rsid w:val="003A2505"/>
    <w:rsid w:val="003B69A8"/>
    <w:rsid w:val="003C6033"/>
    <w:rsid w:val="003C7BB9"/>
    <w:rsid w:val="003D61C5"/>
    <w:rsid w:val="003E39DC"/>
    <w:rsid w:val="003E50C6"/>
    <w:rsid w:val="003E7519"/>
    <w:rsid w:val="003F2970"/>
    <w:rsid w:val="00430078"/>
    <w:rsid w:val="0044057C"/>
    <w:rsid w:val="0047757C"/>
    <w:rsid w:val="00480CA6"/>
    <w:rsid w:val="0049216D"/>
    <w:rsid w:val="004D78B8"/>
    <w:rsid w:val="00502F66"/>
    <w:rsid w:val="00541B9C"/>
    <w:rsid w:val="0055675E"/>
    <w:rsid w:val="005660BC"/>
    <w:rsid w:val="00592C9B"/>
    <w:rsid w:val="005A0DF6"/>
    <w:rsid w:val="005A6323"/>
    <w:rsid w:val="005B5C37"/>
    <w:rsid w:val="005D4B7B"/>
    <w:rsid w:val="005E6687"/>
    <w:rsid w:val="005F5EA7"/>
    <w:rsid w:val="006119D9"/>
    <w:rsid w:val="0061373C"/>
    <w:rsid w:val="006272C7"/>
    <w:rsid w:val="006419D2"/>
    <w:rsid w:val="006424B4"/>
    <w:rsid w:val="00642DAE"/>
    <w:rsid w:val="006667E9"/>
    <w:rsid w:val="00674808"/>
    <w:rsid w:val="006A3F9E"/>
    <w:rsid w:val="006C1D55"/>
    <w:rsid w:val="006D3BAD"/>
    <w:rsid w:val="006D3F95"/>
    <w:rsid w:val="006E7987"/>
    <w:rsid w:val="00722550"/>
    <w:rsid w:val="00725D30"/>
    <w:rsid w:val="00733AEF"/>
    <w:rsid w:val="007750BD"/>
    <w:rsid w:val="00787E1C"/>
    <w:rsid w:val="0079206F"/>
    <w:rsid w:val="007A19AD"/>
    <w:rsid w:val="007D5D09"/>
    <w:rsid w:val="00800A11"/>
    <w:rsid w:val="00817D2A"/>
    <w:rsid w:val="00851FFF"/>
    <w:rsid w:val="00862BA6"/>
    <w:rsid w:val="008A2BF5"/>
    <w:rsid w:val="008D479A"/>
    <w:rsid w:val="008F5E1C"/>
    <w:rsid w:val="009115FE"/>
    <w:rsid w:val="00940F2E"/>
    <w:rsid w:val="00971533"/>
    <w:rsid w:val="009A56DE"/>
    <w:rsid w:val="009C1E47"/>
    <w:rsid w:val="009E3A31"/>
    <w:rsid w:val="009E4B28"/>
    <w:rsid w:val="00A00CE1"/>
    <w:rsid w:val="00A07AD5"/>
    <w:rsid w:val="00A34491"/>
    <w:rsid w:val="00A36F16"/>
    <w:rsid w:val="00A74326"/>
    <w:rsid w:val="00A97B9E"/>
    <w:rsid w:val="00AA124C"/>
    <w:rsid w:val="00AA6942"/>
    <w:rsid w:val="00AB2DAB"/>
    <w:rsid w:val="00AB7CDB"/>
    <w:rsid w:val="00AC3D25"/>
    <w:rsid w:val="00AF045C"/>
    <w:rsid w:val="00AF78F2"/>
    <w:rsid w:val="00B11CBE"/>
    <w:rsid w:val="00B160E7"/>
    <w:rsid w:val="00B56618"/>
    <w:rsid w:val="00B570E1"/>
    <w:rsid w:val="00BA168F"/>
    <w:rsid w:val="00BC4468"/>
    <w:rsid w:val="00BF55B7"/>
    <w:rsid w:val="00C12768"/>
    <w:rsid w:val="00C33F4D"/>
    <w:rsid w:val="00C6113C"/>
    <w:rsid w:val="00C72DE1"/>
    <w:rsid w:val="00C83083"/>
    <w:rsid w:val="00C85DF5"/>
    <w:rsid w:val="00CA5854"/>
    <w:rsid w:val="00CA5E92"/>
    <w:rsid w:val="00CA63FC"/>
    <w:rsid w:val="00CE0C8C"/>
    <w:rsid w:val="00CE11F8"/>
    <w:rsid w:val="00CF1ED5"/>
    <w:rsid w:val="00D0690D"/>
    <w:rsid w:val="00D1030B"/>
    <w:rsid w:val="00D10AC2"/>
    <w:rsid w:val="00D21483"/>
    <w:rsid w:val="00D234A5"/>
    <w:rsid w:val="00D470DC"/>
    <w:rsid w:val="00D628BA"/>
    <w:rsid w:val="00D74A2C"/>
    <w:rsid w:val="00D840C0"/>
    <w:rsid w:val="00D85080"/>
    <w:rsid w:val="00D9189E"/>
    <w:rsid w:val="00DA17BD"/>
    <w:rsid w:val="00DD385D"/>
    <w:rsid w:val="00DD4B9F"/>
    <w:rsid w:val="00DE007C"/>
    <w:rsid w:val="00E35747"/>
    <w:rsid w:val="00E35B59"/>
    <w:rsid w:val="00E818F6"/>
    <w:rsid w:val="00E85CC4"/>
    <w:rsid w:val="00EA71FF"/>
    <w:rsid w:val="00EB2139"/>
    <w:rsid w:val="00ED0A22"/>
    <w:rsid w:val="00EF24E5"/>
    <w:rsid w:val="00EF2D3F"/>
    <w:rsid w:val="00F05541"/>
    <w:rsid w:val="00F14510"/>
    <w:rsid w:val="00F3226A"/>
    <w:rsid w:val="00F34919"/>
    <w:rsid w:val="00F41DF1"/>
    <w:rsid w:val="00F4360F"/>
    <w:rsid w:val="00F43BEE"/>
    <w:rsid w:val="00F51E30"/>
    <w:rsid w:val="00F53094"/>
    <w:rsid w:val="00F95003"/>
    <w:rsid w:val="00FB0E8D"/>
    <w:rsid w:val="00FB22C9"/>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style="mso-position-vertical-relative:page" fill="f" fillcolor="white" stroke="f">
      <v:fill color="white" on="f"/>
      <v:stroke on="f"/>
    </o:shapedefaults>
    <o:shapelayout v:ext="edit">
      <o:idmap v:ext="edit" data="1"/>
    </o:shapelayout>
  </w:shapeDefaults>
  <w:decimalSymbol w:val="."/>
  <w:listSeparator w:val=","/>
  <w14:docId w14:val="700835AB"/>
  <w15:docId w15:val="{8F0EECFF-005A-43AF-B247-933D41A0C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189E"/>
    <w:pPr>
      <w:suppressAutoHyphens/>
      <w:spacing w:after="120" w:line="280" w:lineRule="exact"/>
    </w:pPr>
    <w:rPr>
      <w:rFonts w:ascii="Arial" w:hAnsi="Arial" w:cs="Arial"/>
      <w:sz w:val="22"/>
      <w:szCs w:val="24"/>
      <w:lang w:eastAsia="en-US"/>
    </w:rPr>
  </w:style>
  <w:style w:type="paragraph" w:styleId="Heading1">
    <w:name w:val="heading 1"/>
    <w:basedOn w:val="Normal"/>
    <w:next w:val="Normal"/>
    <w:qFormat/>
    <w:rsid w:val="00AC3D25"/>
    <w:pPr>
      <w:keepNext/>
      <w:widowControl w:val="0"/>
      <w:tabs>
        <w:tab w:val="left" w:pos="284"/>
      </w:tabs>
      <w:outlineLvl w:val="0"/>
    </w:pPr>
    <w:rPr>
      <w:rFonts w:cs="Times New Roman"/>
      <w:b/>
      <w:szCs w:val="20"/>
    </w:rPr>
  </w:style>
  <w:style w:type="paragraph" w:styleId="Heading3">
    <w:name w:val="heading 3"/>
    <w:basedOn w:val="Normal"/>
    <w:next w:val="Normal"/>
    <w:link w:val="Heading3Char"/>
    <w:semiHidden/>
    <w:unhideWhenUsed/>
    <w:qFormat/>
    <w:rsid w:val="00A00CE1"/>
    <w:pPr>
      <w:keepNext/>
      <w:keepLines/>
      <w:spacing w:before="40" w:after="0"/>
      <w:outlineLvl w:val="2"/>
    </w:pPr>
    <w:rPr>
      <w:rFonts w:asciiTheme="majorHAnsi" w:eastAsiaTheme="majorEastAsia" w:hAnsiTheme="majorHAnsi" w:cstheme="majorBidi"/>
      <w:color w:val="243F60"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point">
    <w:name w:val="bullet point"/>
    <w:basedOn w:val="Normal"/>
    <w:rsid w:val="00AC3D25"/>
    <w:pPr>
      <w:widowControl w:val="0"/>
      <w:numPr>
        <w:numId w:val="2"/>
      </w:numPr>
      <w:tabs>
        <w:tab w:val="left" w:pos="284"/>
      </w:tabs>
    </w:pPr>
    <w:rPr>
      <w:rFonts w:cs="Times New Roman"/>
      <w:szCs w:val="20"/>
    </w:rPr>
  </w:style>
  <w:style w:type="paragraph" w:customStyle="1" w:styleId="addresspanel">
    <w:name w:val="address panel"/>
    <w:basedOn w:val="Normal"/>
    <w:rsid w:val="00AC3D25"/>
    <w:pPr>
      <w:spacing w:line="200" w:lineRule="exact"/>
    </w:pPr>
    <w:rPr>
      <w:rFonts w:ascii="Arial Narrow" w:hAnsi="Arial Narrow"/>
      <w:sz w:val="16"/>
    </w:rPr>
  </w:style>
  <w:style w:type="paragraph" w:styleId="Header">
    <w:name w:val="header"/>
    <w:basedOn w:val="Normal"/>
    <w:rsid w:val="00AC3D25"/>
    <w:pPr>
      <w:widowControl w:val="0"/>
      <w:tabs>
        <w:tab w:val="center" w:pos="4153"/>
        <w:tab w:val="right" w:pos="8306"/>
      </w:tabs>
    </w:pPr>
    <w:rPr>
      <w:rFonts w:cs="Times New Roman"/>
      <w:szCs w:val="20"/>
    </w:rPr>
  </w:style>
  <w:style w:type="paragraph" w:styleId="Footer">
    <w:name w:val="footer"/>
    <w:basedOn w:val="Normal"/>
    <w:link w:val="FooterChar"/>
    <w:uiPriority w:val="99"/>
    <w:rsid w:val="00AC3D25"/>
    <w:pPr>
      <w:widowControl w:val="0"/>
      <w:pBdr>
        <w:top w:val="single" w:sz="2" w:space="3" w:color="auto"/>
      </w:pBdr>
      <w:tabs>
        <w:tab w:val="left" w:pos="284"/>
        <w:tab w:val="right" w:pos="8222"/>
      </w:tabs>
    </w:pPr>
    <w:rPr>
      <w:rFonts w:cs="Times New Roman"/>
      <w:sz w:val="16"/>
      <w:szCs w:val="20"/>
    </w:rPr>
  </w:style>
  <w:style w:type="character" w:styleId="Hyperlink">
    <w:name w:val="Hyperlink"/>
    <w:rsid w:val="00AC3D25"/>
    <w:rPr>
      <w:rFonts w:ascii="Arial" w:hAnsi="Arial"/>
      <w:color w:val="0000FF"/>
      <w:sz w:val="20"/>
      <w:u w:val="single"/>
    </w:rPr>
  </w:style>
  <w:style w:type="paragraph" w:styleId="BalloonText">
    <w:name w:val="Balloon Text"/>
    <w:basedOn w:val="Normal"/>
    <w:link w:val="BalloonTextChar"/>
    <w:rsid w:val="00CA5E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CA5E92"/>
    <w:rPr>
      <w:rFonts w:ascii="Tahoma" w:hAnsi="Tahoma" w:cs="Tahoma"/>
      <w:sz w:val="16"/>
      <w:szCs w:val="16"/>
      <w:lang w:eastAsia="en-US"/>
    </w:rPr>
  </w:style>
  <w:style w:type="paragraph" w:styleId="ListParagraph">
    <w:name w:val="List Paragraph"/>
    <w:basedOn w:val="Normal"/>
    <w:uiPriority w:val="34"/>
    <w:qFormat/>
    <w:rsid w:val="00F05541"/>
    <w:pPr>
      <w:ind w:left="720"/>
      <w:contextualSpacing/>
    </w:pPr>
  </w:style>
  <w:style w:type="paragraph" w:styleId="Title">
    <w:name w:val="Title"/>
    <w:basedOn w:val="Normal"/>
    <w:next w:val="Normal"/>
    <w:link w:val="TitleChar"/>
    <w:qFormat/>
    <w:rsid w:val="00DD385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DD385D"/>
    <w:rPr>
      <w:rFonts w:asciiTheme="majorHAnsi" w:eastAsiaTheme="majorEastAsia" w:hAnsiTheme="majorHAnsi" w:cstheme="majorBidi"/>
      <w:spacing w:val="-10"/>
      <w:kern w:val="28"/>
      <w:sz w:val="56"/>
      <w:szCs w:val="56"/>
      <w:lang w:eastAsia="en-US"/>
    </w:rPr>
  </w:style>
  <w:style w:type="character" w:customStyle="1" w:styleId="Heading3Char">
    <w:name w:val="Heading 3 Char"/>
    <w:basedOn w:val="DefaultParagraphFont"/>
    <w:link w:val="Heading3"/>
    <w:semiHidden/>
    <w:rsid w:val="00A00CE1"/>
    <w:rPr>
      <w:rFonts w:asciiTheme="majorHAnsi" w:eastAsiaTheme="majorEastAsia" w:hAnsiTheme="majorHAnsi" w:cstheme="majorBidi"/>
      <w:color w:val="243F60" w:themeColor="accent1" w:themeShade="7F"/>
      <w:sz w:val="24"/>
      <w:szCs w:val="24"/>
      <w:lang w:eastAsia="en-US"/>
    </w:rPr>
  </w:style>
  <w:style w:type="paragraph" w:customStyle="1" w:styleId="EndNoteBibliography">
    <w:name w:val="EndNote Bibliography"/>
    <w:basedOn w:val="Normal"/>
    <w:link w:val="EndNoteBibliographyChar"/>
    <w:rsid w:val="003F2970"/>
    <w:pPr>
      <w:suppressAutoHyphens w:val="0"/>
      <w:spacing w:after="0" w:line="240" w:lineRule="auto"/>
    </w:pPr>
    <w:rPr>
      <w:rFonts w:ascii="Calibri" w:eastAsiaTheme="minorHAnsi" w:hAnsi="Calibri" w:cstheme="minorBidi"/>
      <w:sz w:val="24"/>
      <w:lang w:val="en-US"/>
    </w:rPr>
  </w:style>
  <w:style w:type="character" w:customStyle="1" w:styleId="EndNoteBibliographyChar">
    <w:name w:val="EndNote Bibliography Char"/>
    <w:basedOn w:val="DefaultParagraphFont"/>
    <w:link w:val="EndNoteBibliography"/>
    <w:rsid w:val="003F2970"/>
    <w:rPr>
      <w:rFonts w:ascii="Calibri" w:eastAsiaTheme="minorHAnsi" w:hAnsi="Calibri" w:cstheme="minorBidi"/>
      <w:sz w:val="24"/>
      <w:szCs w:val="24"/>
      <w:lang w:val="en-US" w:eastAsia="en-US"/>
    </w:rPr>
  </w:style>
  <w:style w:type="paragraph" w:styleId="NormalWeb">
    <w:name w:val="Normal (Web)"/>
    <w:basedOn w:val="Normal"/>
    <w:uiPriority w:val="99"/>
    <w:unhideWhenUsed/>
    <w:rsid w:val="00D628BA"/>
    <w:pPr>
      <w:suppressAutoHyphens w:val="0"/>
      <w:spacing w:before="100" w:beforeAutospacing="1" w:after="100" w:afterAutospacing="1" w:line="240" w:lineRule="auto"/>
    </w:pPr>
    <w:rPr>
      <w:rFonts w:ascii="Times New Roman" w:hAnsi="Times New Roman" w:cs="Times New Roman"/>
      <w:sz w:val="24"/>
    </w:rPr>
  </w:style>
  <w:style w:type="character" w:customStyle="1" w:styleId="UnresolvedMention1">
    <w:name w:val="Unresolved Mention1"/>
    <w:basedOn w:val="DefaultParagraphFont"/>
    <w:uiPriority w:val="99"/>
    <w:semiHidden/>
    <w:unhideWhenUsed/>
    <w:rsid w:val="00AA124C"/>
    <w:rPr>
      <w:color w:val="605E5C"/>
      <w:shd w:val="clear" w:color="auto" w:fill="E1DFDD"/>
    </w:rPr>
  </w:style>
  <w:style w:type="character" w:customStyle="1" w:styleId="FooterChar">
    <w:name w:val="Footer Char"/>
    <w:basedOn w:val="DefaultParagraphFont"/>
    <w:link w:val="Footer"/>
    <w:uiPriority w:val="99"/>
    <w:rsid w:val="00D1030B"/>
    <w:rPr>
      <w:rFonts w:ascii="Arial" w:hAnsi="Arial"/>
      <w:sz w:val="16"/>
      <w:lang w:eastAsia="en-US"/>
    </w:rPr>
  </w:style>
  <w:style w:type="paragraph" w:customStyle="1" w:styleId="Default">
    <w:name w:val="Default"/>
    <w:rsid w:val="00267C03"/>
    <w:pPr>
      <w:autoSpaceDE w:val="0"/>
      <w:autoSpaceDN w:val="0"/>
      <w:adjustRightInd w:val="0"/>
    </w:pPr>
    <w:rPr>
      <w:rFonts w:ascii="Arial" w:eastAsiaTheme="minorHAnsi" w:hAnsi="Arial" w:cs="Arial"/>
      <w:color w:val="000000"/>
      <w:sz w:val="24"/>
      <w:szCs w:val="24"/>
      <w:lang w:val="en-GB" w:eastAsia="en-US"/>
    </w:rPr>
  </w:style>
  <w:style w:type="paragraph" w:styleId="BodyText">
    <w:name w:val="Body Text"/>
    <w:link w:val="BodyTextChar"/>
    <w:qFormat/>
    <w:rsid w:val="00267C03"/>
    <w:pPr>
      <w:spacing w:before="240" w:line="300" w:lineRule="atLeast"/>
      <w:jc w:val="both"/>
    </w:pPr>
    <w:rPr>
      <w:sz w:val="24"/>
    </w:rPr>
  </w:style>
  <w:style w:type="character" w:customStyle="1" w:styleId="BodyTextChar">
    <w:name w:val="Body Text Char"/>
    <w:basedOn w:val="DefaultParagraphFont"/>
    <w:link w:val="BodyText"/>
    <w:rsid w:val="00267C03"/>
    <w:rPr>
      <w:sz w:val="24"/>
    </w:rPr>
  </w:style>
  <w:style w:type="paragraph" w:customStyle="1" w:styleId="Copyrightbodytext">
    <w:name w:val="Copyright bodytext"/>
    <w:basedOn w:val="BodyText"/>
    <w:link w:val="CopyrightbodytextChar"/>
    <w:qFormat/>
    <w:rsid w:val="00267C03"/>
    <w:pPr>
      <w:spacing w:before="60"/>
    </w:pPr>
  </w:style>
  <w:style w:type="character" w:customStyle="1" w:styleId="CopyrightbodytextChar">
    <w:name w:val="Copyright bodytext Char"/>
    <w:basedOn w:val="BodyTextChar"/>
    <w:link w:val="Copyrightbodytext"/>
    <w:rsid w:val="00267C03"/>
    <w:rPr>
      <w:sz w:val="24"/>
    </w:rPr>
  </w:style>
  <w:style w:type="character" w:styleId="CommentReference">
    <w:name w:val="annotation reference"/>
    <w:basedOn w:val="DefaultParagraphFont"/>
    <w:semiHidden/>
    <w:unhideWhenUsed/>
    <w:rsid w:val="00BA168F"/>
    <w:rPr>
      <w:sz w:val="16"/>
      <w:szCs w:val="16"/>
    </w:rPr>
  </w:style>
  <w:style w:type="paragraph" w:styleId="CommentText">
    <w:name w:val="annotation text"/>
    <w:basedOn w:val="Normal"/>
    <w:link w:val="CommentTextChar"/>
    <w:semiHidden/>
    <w:unhideWhenUsed/>
    <w:rsid w:val="00BA168F"/>
    <w:pPr>
      <w:spacing w:line="240" w:lineRule="auto"/>
    </w:pPr>
    <w:rPr>
      <w:sz w:val="20"/>
      <w:szCs w:val="20"/>
    </w:rPr>
  </w:style>
  <w:style w:type="character" w:customStyle="1" w:styleId="CommentTextChar">
    <w:name w:val="Comment Text Char"/>
    <w:basedOn w:val="DefaultParagraphFont"/>
    <w:link w:val="CommentText"/>
    <w:semiHidden/>
    <w:rsid w:val="00BA168F"/>
    <w:rPr>
      <w:rFonts w:ascii="Arial" w:hAnsi="Arial" w:cs="Arial"/>
      <w:lang w:eastAsia="en-US"/>
    </w:rPr>
  </w:style>
  <w:style w:type="paragraph" w:styleId="CommentSubject">
    <w:name w:val="annotation subject"/>
    <w:basedOn w:val="CommentText"/>
    <w:next w:val="CommentText"/>
    <w:link w:val="CommentSubjectChar"/>
    <w:semiHidden/>
    <w:unhideWhenUsed/>
    <w:rsid w:val="00BA168F"/>
    <w:rPr>
      <w:b/>
      <w:bCs/>
    </w:rPr>
  </w:style>
  <w:style w:type="character" w:customStyle="1" w:styleId="CommentSubjectChar">
    <w:name w:val="Comment Subject Char"/>
    <w:basedOn w:val="CommentTextChar"/>
    <w:link w:val="CommentSubject"/>
    <w:semiHidden/>
    <w:rsid w:val="00BA168F"/>
    <w:rPr>
      <w:rFonts w:ascii="Arial" w:hAnsi="Arial" w:cs="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573074">
      <w:bodyDiv w:val="1"/>
      <w:marLeft w:val="0"/>
      <w:marRight w:val="0"/>
      <w:marTop w:val="0"/>
      <w:marBottom w:val="0"/>
      <w:divBdr>
        <w:top w:val="none" w:sz="0" w:space="0" w:color="auto"/>
        <w:left w:val="none" w:sz="0" w:space="0" w:color="auto"/>
        <w:bottom w:val="none" w:sz="0" w:space="0" w:color="auto"/>
        <w:right w:val="none" w:sz="0" w:space="0" w:color="auto"/>
      </w:divBdr>
      <w:divsChild>
        <w:div w:id="2005014987">
          <w:marLeft w:val="0"/>
          <w:marRight w:val="0"/>
          <w:marTop w:val="0"/>
          <w:marBottom w:val="0"/>
          <w:divBdr>
            <w:top w:val="none" w:sz="0" w:space="0" w:color="auto"/>
            <w:left w:val="none" w:sz="0" w:space="0" w:color="auto"/>
            <w:bottom w:val="none" w:sz="0" w:space="0" w:color="auto"/>
            <w:right w:val="none" w:sz="0" w:space="0" w:color="auto"/>
          </w:divBdr>
        </w:div>
        <w:div w:id="495145099">
          <w:marLeft w:val="0"/>
          <w:marRight w:val="0"/>
          <w:marTop w:val="0"/>
          <w:marBottom w:val="0"/>
          <w:divBdr>
            <w:top w:val="none" w:sz="0" w:space="0" w:color="auto"/>
            <w:left w:val="none" w:sz="0" w:space="0" w:color="auto"/>
            <w:bottom w:val="none" w:sz="0" w:space="0" w:color="auto"/>
            <w:right w:val="none" w:sz="0" w:space="0" w:color="auto"/>
          </w:divBdr>
        </w:div>
        <w:div w:id="256520076">
          <w:marLeft w:val="0"/>
          <w:marRight w:val="0"/>
          <w:marTop w:val="0"/>
          <w:marBottom w:val="0"/>
          <w:divBdr>
            <w:top w:val="none" w:sz="0" w:space="0" w:color="auto"/>
            <w:left w:val="none" w:sz="0" w:space="0" w:color="auto"/>
            <w:bottom w:val="none" w:sz="0" w:space="0" w:color="auto"/>
            <w:right w:val="none" w:sz="0" w:space="0" w:color="auto"/>
          </w:divBdr>
        </w:div>
        <w:div w:id="766274116">
          <w:marLeft w:val="0"/>
          <w:marRight w:val="0"/>
          <w:marTop w:val="0"/>
          <w:marBottom w:val="0"/>
          <w:divBdr>
            <w:top w:val="none" w:sz="0" w:space="0" w:color="auto"/>
            <w:left w:val="none" w:sz="0" w:space="0" w:color="auto"/>
            <w:bottom w:val="none" w:sz="0" w:space="0" w:color="auto"/>
            <w:right w:val="none" w:sz="0" w:space="0" w:color="auto"/>
          </w:divBdr>
        </w:div>
        <w:div w:id="1289775275">
          <w:marLeft w:val="0"/>
          <w:marRight w:val="0"/>
          <w:marTop w:val="0"/>
          <w:marBottom w:val="0"/>
          <w:divBdr>
            <w:top w:val="none" w:sz="0" w:space="0" w:color="auto"/>
            <w:left w:val="none" w:sz="0" w:space="0" w:color="auto"/>
            <w:bottom w:val="none" w:sz="0" w:space="0" w:color="auto"/>
            <w:right w:val="none" w:sz="0" w:space="0" w:color="auto"/>
          </w:divBdr>
        </w:div>
        <w:div w:id="543060027">
          <w:marLeft w:val="0"/>
          <w:marRight w:val="0"/>
          <w:marTop w:val="0"/>
          <w:marBottom w:val="0"/>
          <w:divBdr>
            <w:top w:val="none" w:sz="0" w:space="0" w:color="auto"/>
            <w:left w:val="none" w:sz="0" w:space="0" w:color="auto"/>
            <w:bottom w:val="none" w:sz="0" w:space="0" w:color="auto"/>
            <w:right w:val="none" w:sz="0" w:space="0" w:color="auto"/>
          </w:divBdr>
        </w:div>
        <w:div w:id="660738282">
          <w:marLeft w:val="0"/>
          <w:marRight w:val="0"/>
          <w:marTop w:val="0"/>
          <w:marBottom w:val="0"/>
          <w:divBdr>
            <w:top w:val="none" w:sz="0" w:space="0" w:color="auto"/>
            <w:left w:val="none" w:sz="0" w:space="0" w:color="auto"/>
            <w:bottom w:val="none" w:sz="0" w:space="0" w:color="auto"/>
            <w:right w:val="none" w:sz="0" w:space="0" w:color="auto"/>
          </w:divBdr>
        </w:div>
        <w:div w:id="1913006166">
          <w:marLeft w:val="0"/>
          <w:marRight w:val="0"/>
          <w:marTop w:val="0"/>
          <w:marBottom w:val="0"/>
          <w:divBdr>
            <w:top w:val="none" w:sz="0" w:space="0" w:color="auto"/>
            <w:left w:val="none" w:sz="0" w:space="0" w:color="auto"/>
            <w:bottom w:val="none" w:sz="0" w:space="0" w:color="auto"/>
            <w:right w:val="none" w:sz="0" w:space="0" w:color="auto"/>
          </w:divBdr>
        </w:div>
        <w:div w:id="2137597794">
          <w:marLeft w:val="0"/>
          <w:marRight w:val="0"/>
          <w:marTop w:val="0"/>
          <w:marBottom w:val="0"/>
          <w:divBdr>
            <w:top w:val="none" w:sz="0" w:space="0" w:color="auto"/>
            <w:left w:val="none" w:sz="0" w:space="0" w:color="auto"/>
            <w:bottom w:val="none" w:sz="0" w:space="0" w:color="auto"/>
            <w:right w:val="none" w:sz="0" w:space="0" w:color="auto"/>
          </w:divBdr>
        </w:div>
        <w:div w:id="8878584">
          <w:marLeft w:val="0"/>
          <w:marRight w:val="0"/>
          <w:marTop w:val="0"/>
          <w:marBottom w:val="0"/>
          <w:divBdr>
            <w:top w:val="none" w:sz="0" w:space="0" w:color="auto"/>
            <w:left w:val="none" w:sz="0" w:space="0" w:color="auto"/>
            <w:bottom w:val="none" w:sz="0" w:space="0" w:color="auto"/>
            <w:right w:val="none" w:sz="0" w:space="0" w:color="auto"/>
          </w:divBdr>
        </w:div>
        <w:div w:id="1508209125">
          <w:marLeft w:val="0"/>
          <w:marRight w:val="0"/>
          <w:marTop w:val="0"/>
          <w:marBottom w:val="0"/>
          <w:divBdr>
            <w:top w:val="none" w:sz="0" w:space="0" w:color="auto"/>
            <w:left w:val="none" w:sz="0" w:space="0" w:color="auto"/>
            <w:bottom w:val="none" w:sz="0" w:space="0" w:color="auto"/>
            <w:right w:val="none" w:sz="0" w:space="0" w:color="auto"/>
          </w:divBdr>
        </w:div>
      </w:divsChild>
    </w:div>
    <w:div w:id="170876154">
      <w:bodyDiv w:val="1"/>
      <w:marLeft w:val="0"/>
      <w:marRight w:val="0"/>
      <w:marTop w:val="0"/>
      <w:marBottom w:val="0"/>
      <w:divBdr>
        <w:top w:val="none" w:sz="0" w:space="0" w:color="auto"/>
        <w:left w:val="none" w:sz="0" w:space="0" w:color="auto"/>
        <w:bottom w:val="none" w:sz="0" w:space="0" w:color="auto"/>
        <w:right w:val="none" w:sz="0" w:space="0" w:color="auto"/>
      </w:divBdr>
    </w:div>
    <w:div w:id="184485235">
      <w:bodyDiv w:val="1"/>
      <w:marLeft w:val="0"/>
      <w:marRight w:val="0"/>
      <w:marTop w:val="0"/>
      <w:marBottom w:val="0"/>
      <w:divBdr>
        <w:top w:val="none" w:sz="0" w:space="0" w:color="auto"/>
        <w:left w:val="none" w:sz="0" w:space="0" w:color="auto"/>
        <w:bottom w:val="none" w:sz="0" w:space="0" w:color="auto"/>
        <w:right w:val="none" w:sz="0" w:space="0" w:color="auto"/>
      </w:divBdr>
    </w:div>
    <w:div w:id="514149713">
      <w:bodyDiv w:val="1"/>
      <w:marLeft w:val="0"/>
      <w:marRight w:val="0"/>
      <w:marTop w:val="0"/>
      <w:marBottom w:val="0"/>
      <w:divBdr>
        <w:top w:val="none" w:sz="0" w:space="0" w:color="auto"/>
        <w:left w:val="none" w:sz="0" w:space="0" w:color="auto"/>
        <w:bottom w:val="none" w:sz="0" w:space="0" w:color="auto"/>
        <w:right w:val="none" w:sz="0" w:space="0" w:color="auto"/>
      </w:divBdr>
    </w:div>
    <w:div w:id="608971033">
      <w:bodyDiv w:val="1"/>
      <w:marLeft w:val="0"/>
      <w:marRight w:val="0"/>
      <w:marTop w:val="0"/>
      <w:marBottom w:val="0"/>
      <w:divBdr>
        <w:top w:val="none" w:sz="0" w:space="0" w:color="auto"/>
        <w:left w:val="none" w:sz="0" w:space="0" w:color="auto"/>
        <w:bottom w:val="none" w:sz="0" w:space="0" w:color="auto"/>
        <w:right w:val="none" w:sz="0" w:space="0" w:color="auto"/>
      </w:divBdr>
      <w:divsChild>
        <w:div w:id="1889611495">
          <w:marLeft w:val="0"/>
          <w:marRight w:val="0"/>
          <w:marTop w:val="0"/>
          <w:marBottom w:val="0"/>
          <w:divBdr>
            <w:top w:val="none" w:sz="0" w:space="0" w:color="auto"/>
            <w:left w:val="none" w:sz="0" w:space="0" w:color="auto"/>
            <w:bottom w:val="none" w:sz="0" w:space="0" w:color="auto"/>
            <w:right w:val="none" w:sz="0" w:space="0" w:color="auto"/>
          </w:divBdr>
        </w:div>
        <w:div w:id="1557935165">
          <w:marLeft w:val="0"/>
          <w:marRight w:val="0"/>
          <w:marTop w:val="0"/>
          <w:marBottom w:val="0"/>
          <w:divBdr>
            <w:top w:val="none" w:sz="0" w:space="0" w:color="auto"/>
            <w:left w:val="none" w:sz="0" w:space="0" w:color="auto"/>
            <w:bottom w:val="none" w:sz="0" w:space="0" w:color="auto"/>
            <w:right w:val="none" w:sz="0" w:space="0" w:color="auto"/>
          </w:divBdr>
        </w:div>
        <w:div w:id="707024246">
          <w:marLeft w:val="0"/>
          <w:marRight w:val="0"/>
          <w:marTop w:val="0"/>
          <w:marBottom w:val="0"/>
          <w:divBdr>
            <w:top w:val="none" w:sz="0" w:space="0" w:color="auto"/>
            <w:left w:val="none" w:sz="0" w:space="0" w:color="auto"/>
            <w:bottom w:val="none" w:sz="0" w:space="0" w:color="auto"/>
            <w:right w:val="none" w:sz="0" w:space="0" w:color="auto"/>
          </w:divBdr>
        </w:div>
      </w:divsChild>
    </w:div>
    <w:div w:id="712311014">
      <w:bodyDiv w:val="1"/>
      <w:marLeft w:val="0"/>
      <w:marRight w:val="0"/>
      <w:marTop w:val="0"/>
      <w:marBottom w:val="0"/>
      <w:divBdr>
        <w:top w:val="none" w:sz="0" w:space="0" w:color="auto"/>
        <w:left w:val="none" w:sz="0" w:space="0" w:color="auto"/>
        <w:bottom w:val="none" w:sz="0" w:space="0" w:color="auto"/>
        <w:right w:val="none" w:sz="0" w:space="0" w:color="auto"/>
      </w:divBdr>
    </w:div>
    <w:div w:id="1167330200">
      <w:bodyDiv w:val="1"/>
      <w:marLeft w:val="0"/>
      <w:marRight w:val="0"/>
      <w:marTop w:val="0"/>
      <w:marBottom w:val="0"/>
      <w:divBdr>
        <w:top w:val="none" w:sz="0" w:space="0" w:color="auto"/>
        <w:left w:val="none" w:sz="0" w:space="0" w:color="auto"/>
        <w:bottom w:val="none" w:sz="0" w:space="0" w:color="auto"/>
        <w:right w:val="none" w:sz="0" w:space="0" w:color="auto"/>
      </w:divBdr>
    </w:div>
    <w:div w:id="1352535640">
      <w:bodyDiv w:val="1"/>
      <w:marLeft w:val="0"/>
      <w:marRight w:val="0"/>
      <w:marTop w:val="0"/>
      <w:marBottom w:val="0"/>
      <w:divBdr>
        <w:top w:val="none" w:sz="0" w:space="0" w:color="auto"/>
        <w:left w:val="none" w:sz="0" w:space="0" w:color="auto"/>
        <w:bottom w:val="none" w:sz="0" w:space="0" w:color="auto"/>
        <w:right w:val="none" w:sz="0" w:space="0" w:color="auto"/>
      </w:divBdr>
    </w:div>
    <w:div w:id="1837570769">
      <w:bodyDiv w:val="1"/>
      <w:marLeft w:val="0"/>
      <w:marRight w:val="0"/>
      <w:marTop w:val="0"/>
      <w:marBottom w:val="0"/>
      <w:divBdr>
        <w:top w:val="none" w:sz="0" w:space="0" w:color="auto"/>
        <w:left w:val="none" w:sz="0" w:space="0" w:color="auto"/>
        <w:bottom w:val="none" w:sz="0" w:space="0" w:color="auto"/>
        <w:right w:val="none" w:sz="0" w:space="0" w:color="auto"/>
      </w:divBdr>
    </w:div>
    <w:div w:id="1921912498">
      <w:bodyDiv w:val="1"/>
      <w:marLeft w:val="0"/>
      <w:marRight w:val="0"/>
      <w:marTop w:val="0"/>
      <w:marBottom w:val="0"/>
      <w:divBdr>
        <w:top w:val="none" w:sz="0" w:space="0" w:color="auto"/>
        <w:left w:val="none" w:sz="0" w:space="0" w:color="auto"/>
        <w:bottom w:val="none" w:sz="0" w:space="0" w:color="auto"/>
        <w:right w:val="none" w:sz="0" w:space="0" w:color="auto"/>
      </w:divBdr>
      <w:divsChild>
        <w:div w:id="1657418418">
          <w:marLeft w:val="0"/>
          <w:marRight w:val="0"/>
          <w:marTop w:val="0"/>
          <w:marBottom w:val="0"/>
          <w:divBdr>
            <w:top w:val="none" w:sz="0" w:space="0" w:color="auto"/>
            <w:left w:val="none" w:sz="0" w:space="0" w:color="auto"/>
            <w:bottom w:val="none" w:sz="0" w:space="0" w:color="auto"/>
            <w:right w:val="none" w:sz="0" w:space="0" w:color="auto"/>
          </w:divBdr>
        </w:div>
        <w:div w:id="1813905486">
          <w:marLeft w:val="0"/>
          <w:marRight w:val="0"/>
          <w:marTop w:val="0"/>
          <w:marBottom w:val="0"/>
          <w:divBdr>
            <w:top w:val="none" w:sz="0" w:space="0" w:color="auto"/>
            <w:left w:val="none" w:sz="0" w:space="0" w:color="auto"/>
            <w:bottom w:val="none" w:sz="0" w:space="0" w:color="auto"/>
            <w:right w:val="none" w:sz="0" w:space="0" w:color="auto"/>
          </w:divBdr>
        </w:div>
        <w:div w:id="900215854">
          <w:marLeft w:val="0"/>
          <w:marRight w:val="0"/>
          <w:marTop w:val="0"/>
          <w:marBottom w:val="0"/>
          <w:divBdr>
            <w:top w:val="none" w:sz="0" w:space="0" w:color="auto"/>
            <w:left w:val="none" w:sz="0" w:space="0" w:color="auto"/>
            <w:bottom w:val="none" w:sz="0" w:space="0" w:color="auto"/>
            <w:right w:val="none" w:sz="0" w:space="0" w:color="auto"/>
          </w:divBdr>
        </w:div>
      </w:divsChild>
    </w:div>
    <w:div w:id="1927304082">
      <w:bodyDiv w:val="1"/>
      <w:marLeft w:val="0"/>
      <w:marRight w:val="0"/>
      <w:marTop w:val="0"/>
      <w:marBottom w:val="0"/>
      <w:divBdr>
        <w:top w:val="none" w:sz="0" w:space="0" w:color="auto"/>
        <w:left w:val="none" w:sz="0" w:space="0" w:color="auto"/>
        <w:bottom w:val="none" w:sz="0" w:space="0" w:color="auto"/>
        <w:right w:val="none" w:sz="0" w:space="0" w:color="auto"/>
      </w:divBdr>
    </w:div>
    <w:div w:id="2098357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Temp\XPgrpwise\Let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3" ma:contentTypeDescription="" ma:contentTypeScope="" ma:versionID="234fbb7258869991b6618dcb85331fb9">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70da5c63-8548-4ac8-9616-83b0f373280e" ContentTypeId="0x0101007916246811615643A710C6FEAFF56A871105" PreviousValue="false"/>
</file>

<file path=customXml/item5.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_dlc_DocId xmlns="3f4bcce7-ac1a-4c9d-aa3e-7e77695652db">PCDOC-1378080517-956</_dlc_DocId>
    <_dlc_DocIdUrl xmlns="3f4bcce7-ac1a-4c9d-aa3e-7e77695652db">
      <Url>http://inet.pc.gov.au/pmo/inq/mentalhealth/_layouts/15/DocIdRedir.aspx?ID=PCDOC-1378080517-956</Url>
      <Description>PCDOC-1378080517-956</Description>
    </_dlc_DocIdUrl>
  </documentManagement>
</p:properties>
</file>

<file path=customXml/item6.xml><?xml version="1.0" encoding="utf-8"?>
<?mso-contentType ?>
<customXsn xmlns="http://schemas.microsoft.com/office/2006/metadata/customXsn">
  <xsnLocation/>
  <cached>True</cached>
  <openByDefault>False</openByDefault>
  <xsnScope/>
</customXsn>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A356F9-2518-4BA9-A1E6-35BD0124123C}">
  <ds:schemaRefs>
    <ds:schemaRef ds:uri="http://schemas.microsoft.com/sharepoint/v3/contenttype/forms"/>
  </ds:schemaRefs>
</ds:datastoreItem>
</file>

<file path=customXml/itemProps2.xml><?xml version="1.0" encoding="utf-8"?>
<ds:datastoreItem xmlns:ds="http://schemas.openxmlformats.org/officeDocument/2006/customXml" ds:itemID="{9B60664F-29CA-4419-8480-384A796ED9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6529AC-E160-49B5-A105-E02EF9340BB4}">
  <ds:schemaRefs>
    <ds:schemaRef ds:uri="http://schemas.microsoft.com/sharepoint/events"/>
  </ds:schemaRefs>
</ds:datastoreItem>
</file>

<file path=customXml/itemProps4.xml><?xml version="1.0" encoding="utf-8"?>
<ds:datastoreItem xmlns:ds="http://schemas.openxmlformats.org/officeDocument/2006/customXml" ds:itemID="{46E16C1B-17E8-40BA-86FF-94D5865BB98A}">
  <ds:schemaRefs>
    <ds:schemaRef ds:uri="Microsoft.SharePoint.Taxonomy.ContentTypeSync"/>
  </ds:schemaRefs>
</ds:datastoreItem>
</file>

<file path=customXml/itemProps5.xml><?xml version="1.0" encoding="utf-8"?>
<ds:datastoreItem xmlns:ds="http://schemas.openxmlformats.org/officeDocument/2006/customXml" ds:itemID="{B228FA2F-50CE-4121-B82C-77CDD3E86164}">
  <ds:schemaRefs>
    <ds:schemaRef ds:uri="http://schemas.microsoft.com/office/2006/documentManagement/types"/>
    <ds:schemaRef ds:uri="http://schemas.openxmlformats.org/package/2006/metadata/core-properties"/>
    <ds:schemaRef ds:uri="http://schemas.microsoft.com/office/2006/metadata/properties"/>
    <ds:schemaRef ds:uri="http://purl.org/dc/elements/1.1/"/>
    <ds:schemaRef ds:uri="3f4bcce7-ac1a-4c9d-aa3e-7e77695652db"/>
    <ds:schemaRef ds:uri="http://purl.org/dc/terms/"/>
    <ds:schemaRef ds:uri="http://purl.org/dc/dcmitype/"/>
    <ds:schemaRef ds:uri="http://schemas.microsoft.com/office/infopath/2007/PartnerControls"/>
    <ds:schemaRef ds:uri="http://www.w3.org/XML/1998/namespace"/>
  </ds:schemaRefs>
</ds:datastoreItem>
</file>

<file path=customXml/itemProps6.xml><?xml version="1.0" encoding="utf-8"?>
<ds:datastoreItem xmlns:ds="http://schemas.openxmlformats.org/officeDocument/2006/customXml" ds:itemID="{75514FFE-305E-47E6-836C-FB30E99ACAF5}">
  <ds:schemaRefs>
    <ds:schemaRef ds:uri="http://schemas.microsoft.com/office/2006/metadata/customXsn"/>
  </ds:schemaRefs>
</ds:datastoreItem>
</file>

<file path=customXml/itemProps7.xml><?xml version="1.0" encoding="utf-8"?>
<ds:datastoreItem xmlns:ds="http://schemas.openxmlformats.org/officeDocument/2006/customXml" ds:itemID="{4FF0777E-8331-4800-BC3E-416FE21A7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Letter.dotx</Template>
  <TotalTime>3</TotalTime>
  <Pages>7</Pages>
  <Words>2070</Words>
  <Characters>11959</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Submission 716 - Centre for Social Impact Swinburne (CSI Swinburne) - Mental Health - Public inquiry</vt:lpstr>
    </vt:vector>
  </TitlesOfParts>
  <Company>Centre for Social Impact Swinburne (CSI Swinburne)</Company>
  <LinksUpToDate>false</LinksUpToDate>
  <CharactersWithSpaces>14001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716 - Centre for Social Impact Swinburne (CSI Swinburne) - Mental Health - Public inquiry</dc:title>
  <dc:creator>Centre for Social Impact Swinburne (CSI Swinburne)</dc:creator>
  <cp:keywords/>
  <cp:lastModifiedBy>Pimperl, Mark</cp:lastModifiedBy>
  <cp:revision>4</cp:revision>
  <cp:lastPrinted>2019-05-07T05:50:00Z</cp:lastPrinted>
  <dcterms:created xsi:type="dcterms:W3CDTF">2020-01-22T00:38:00Z</dcterms:created>
  <dcterms:modified xsi:type="dcterms:W3CDTF">2020-01-28T02:37:00Z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_dlc_DocIdItemGuid">
    <vt:lpwstr>2340cba0-c80d-490d-85b5-8b750e272fab</vt:lpwstr>
  </property>
  <property fmtid="{D5CDD505-2E9C-101B-9397-08002B2CF9AE}" pid="5" name="Record Tag">
    <vt:lpwstr>139;#Submissions|c6e0dbf8-5444-433c-844d-d567dd519a05</vt:lpwstr>
  </property>
  <property fmtid="{D5CDD505-2E9C-101B-9397-08002B2CF9AE}" pid="6" name="TaxKeyword">
    <vt:lpwstr/>
  </property>
  <property fmtid="{D5CDD505-2E9C-101B-9397-08002B2CF9AE}" pid="7" name="Retain">
    <vt:lpwstr>138;#Reference Only|923c7a19-3b10-4b1a-aa53-490b73d512fc</vt:lpwstr>
  </property>
</Properties>
</file>