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5C73A" w14:textId="284B2F48" w:rsidR="00074DE8" w:rsidRDefault="001D049D" w:rsidP="001D049D">
      <w:pPr>
        <w:jc w:val="both"/>
        <w:rPr>
          <w:lang w:val="en-US"/>
        </w:rPr>
      </w:pPr>
      <w:bookmarkStart w:id="0" w:name="_GoBack"/>
      <w:bookmarkEnd w:id="0"/>
      <w:r>
        <w:rPr>
          <w:lang w:val="en-US"/>
        </w:rPr>
        <w:t>Thank you for th</w:t>
      </w:r>
      <w:r w:rsidR="00243560">
        <w:rPr>
          <w:lang w:val="en-US"/>
        </w:rPr>
        <w:t>e</w:t>
      </w:r>
      <w:r>
        <w:rPr>
          <w:lang w:val="en-US"/>
        </w:rPr>
        <w:t xml:space="preserve"> opportunity to provide a submission to the Productivity Commission's draft response.</w:t>
      </w:r>
      <w:r w:rsidR="00AB63E9">
        <w:rPr>
          <w:lang w:val="en-US"/>
        </w:rPr>
        <w:t xml:space="preserve"> </w:t>
      </w:r>
      <w:r w:rsidR="00074DE8">
        <w:rPr>
          <w:lang w:val="en-US"/>
        </w:rPr>
        <w:t xml:space="preserve">I advised the PC through </w:t>
      </w:r>
      <w:r w:rsidR="00243560">
        <w:rPr>
          <w:lang w:val="en-US"/>
        </w:rPr>
        <w:t>submission</w:t>
      </w:r>
      <w:r w:rsidR="006F4DCD">
        <w:rPr>
          <w:lang w:val="en-US"/>
        </w:rPr>
        <w:t xml:space="preserve"> (</w:t>
      </w:r>
      <w:r w:rsidR="00243560">
        <w:rPr>
          <w:lang w:val="en-US"/>
        </w:rPr>
        <w:t>454</w:t>
      </w:r>
      <w:r w:rsidR="006F4DCD">
        <w:rPr>
          <w:lang w:val="en-US"/>
        </w:rPr>
        <w:t>)</w:t>
      </w:r>
      <w:r w:rsidR="00243560">
        <w:rPr>
          <w:lang w:val="en-US"/>
        </w:rPr>
        <w:t xml:space="preserve"> that </w:t>
      </w:r>
      <w:r w:rsidR="006978B9">
        <w:rPr>
          <w:lang w:val="en-US"/>
        </w:rPr>
        <w:t>the public remained at risk of an injur</w:t>
      </w:r>
      <w:r w:rsidR="002116B0">
        <w:rPr>
          <w:lang w:val="en-US"/>
        </w:rPr>
        <w:t>y or death,</w:t>
      </w:r>
      <w:r w:rsidR="00786942">
        <w:rPr>
          <w:lang w:val="en-US"/>
        </w:rPr>
        <w:t xml:space="preserve"> as a direct result of </w:t>
      </w:r>
      <w:r w:rsidR="002116B0">
        <w:rPr>
          <w:lang w:val="en-US"/>
        </w:rPr>
        <w:t>psychotropic</w:t>
      </w:r>
      <w:r w:rsidR="00074DE8">
        <w:rPr>
          <w:lang w:val="en-US"/>
        </w:rPr>
        <w:t xml:space="preserve"> </w:t>
      </w:r>
      <w:r w:rsidR="00786942">
        <w:rPr>
          <w:lang w:val="en-US"/>
        </w:rPr>
        <w:t>treatment.</w:t>
      </w:r>
      <w:r w:rsidR="00074DE8">
        <w:rPr>
          <w:lang w:val="en-US"/>
        </w:rPr>
        <w:t xml:space="preserve"> </w:t>
      </w:r>
      <w:r w:rsidR="002116B0">
        <w:rPr>
          <w:lang w:val="en-US"/>
        </w:rPr>
        <w:t>I provided r</w:t>
      </w:r>
      <w:r w:rsidR="00074DE8">
        <w:rPr>
          <w:lang w:val="en-US"/>
        </w:rPr>
        <w:t xml:space="preserve">eforms </w:t>
      </w:r>
      <w:r w:rsidR="002116B0">
        <w:rPr>
          <w:lang w:val="en-US"/>
        </w:rPr>
        <w:t>to mitigate the risks</w:t>
      </w:r>
      <w:r w:rsidR="00074DE8">
        <w:rPr>
          <w:lang w:val="en-US"/>
        </w:rPr>
        <w:t>.</w:t>
      </w:r>
      <w:r w:rsidR="00786942">
        <w:rPr>
          <w:lang w:val="en-US"/>
        </w:rPr>
        <w:t xml:space="preserve"> </w:t>
      </w:r>
      <w:r w:rsidR="00491193">
        <w:rPr>
          <w:lang w:val="en-US"/>
        </w:rPr>
        <w:t xml:space="preserve">I wanted to see a draft report that would protect current and future </w:t>
      </w:r>
      <w:r w:rsidR="00491193" w:rsidRPr="00996804">
        <w:rPr>
          <w:lang w:val="en-US"/>
        </w:rPr>
        <w:t>generations</w:t>
      </w:r>
      <w:r w:rsidR="00491193">
        <w:rPr>
          <w:lang w:val="en-US"/>
        </w:rPr>
        <w:t xml:space="preserve">. </w:t>
      </w:r>
      <w:r w:rsidR="002116B0">
        <w:rPr>
          <w:lang w:val="en-US"/>
        </w:rPr>
        <w:t xml:space="preserve">Instead, it </w:t>
      </w:r>
      <w:r w:rsidR="00074DE8">
        <w:rPr>
          <w:lang w:val="en-US"/>
        </w:rPr>
        <w:t xml:space="preserve">failed </w:t>
      </w:r>
      <w:r w:rsidR="002116B0">
        <w:rPr>
          <w:lang w:val="en-US"/>
        </w:rPr>
        <w:t>to close the gaps in access to</w:t>
      </w:r>
      <w:r w:rsidR="00074DE8">
        <w:rPr>
          <w:lang w:val="en-US"/>
        </w:rPr>
        <w:t xml:space="preserve"> safe </w:t>
      </w:r>
      <w:r w:rsidR="00491193">
        <w:rPr>
          <w:lang w:val="en-US"/>
        </w:rPr>
        <w:t xml:space="preserve">treatment despite the number of submissions from consumers, carers, advocacy groups, professional bodies and health care workers </w:t>
      </w:r>
      <w:r w:rsidR="002116B0">
        <w:rPr>
          <w:lang w:val="en-US"/>
        </w:rPr>
        <w:t>to the PC regarding similar injuries</w:t>
      </w:r>
      <w:r w:rsidR="00491193">
        <w:rPr>
          <w:lang w:val="en-US"/>
        </w:rPr>
        <w:t>.</w:t>
      </w:r>
      <w:r w:rsidR="00074DE8">
        <w:rPr>
          <w:lang w:val="en-US"/>
        </w:rPr>
        <w:t xml:space="preserve"> I am unable to walk away believing that the Productivity Commission’s draft report contains gaps that will continue to </w:t>
      </w:r>
      <w:r w:rsidR="002116B0">
        <w:rPr>
          <w:lang w:val="en-US"/>
        </w:rPr>
        <w:t>injure the next generation</w:t>
      </w:r>
      <w:r w:rsidR="00074DE8">
        <w:rPr>
          <w:lang w:val="en-US"/>
        </w:rPr>
        <w:t xml:space="preserve">. I </w:t>
      </w:r>
      <w:r w:rsidR="002241FB">
        <w:rPr>
          <w:lang w:val="en-US"/>
        </w:rPr>
        <w:t xml:space="preserve">need to know my </w:t>
      </w:r>
      <w:r w:rsidR="00074DE8">
        <w:rPr>
          <w:lang w:val="en-US"/>
        </w:rPr>
        <w:t xml:space="preserve">loss becomes a catalyst to protect others. </w:t>
      </w:r>
    </w:p>
    <w:p w14:paraId="75A3427C" w14:textId="4C7DC651" w:rsidR="002116B0" w:rsidRPr="002116B0" w:rsidRDefault="002116B0" w:rsidP="001D049D">
      <w:pPr>
        <w:jc w:val="both"/>
        <w:rPr>
          <w:color w:val="2F5496" w:themeColor="accent1" w:themeShade="BF"/>
          <w:sz w:val="28"/>
          <w:szCs w:val="28"/>
          <w:u w:val="single"/>
          <w:lang w:val="en-US"/>
        </w:rPr>
      </w:pPr>
      <w:r w:rsidRPr="002116B0">
        <w:rPr>
          <w:color w:val="2F5496" w:themeColor="accent1" w:themeShade="BF"/>
          <w:sz w:val="28"/>
          <w:szCs w:val="28"/>
          <w:u w:val="single"/>
          <w:lang w:val="en-US"/>
        </w:rPr>
        <w:t>DRAFT REPORT FEEDBACK</w:t>
      </w:r>
    </w:p>
    <w:p w14:paraId="6751B591" w14:textId="6E903426" w:rsidR="00F35D70" w:rsidRDefault="00F35D70" w:rsidP="00F35D70">
      <w:pPr>
        <w:pStyle w:val="ListParagraph"/>
        <w:numPr>
          <w:ilvl w:val="0"/>
          <w:numId w:val="11"/>
        </w:numPr>
        <w:jc w:val="both"/>
        <w:rPr>
          <w:lang w:val="en-US"/>
        </w:rPr>
      </w:pPr>
      <w:r w:rsidRPr="00433A20">
        <w:rPr>
          <w:b/>
          <w:bCs/>
          <w:sz w:val="28"/>
          <w:szCs w:val="28"/>
          <w:lang w:val="en-US"/>
        </w:rPr>
        <w:t>Stigma</w:t>
      </w:r>
      <w:r>
        <w:rPr>
          <w:b/>
          <w:bCs/>
          <w:sz w:val="28"/>
          <w:szCs w:val="28"/>
          <w:lang w:val="en-US"/>
        </w:rPr>
        <w:t>.</w:t>
      </w:r>
      <w:r w:rsidRPr="00433A20">
        <w:rPr>
          <w:b/>
          <w:bCs/>
          <w:sz w:val="28"/>
          <w:szCs w:val="28"/>
          <w:lang w:val="en-US"/>
        </w:rPr>
        <w:t xml:space="preserve"> </w:t>
      </w:r>
      <w:r w:rsidRPr="00433A20">
        <w:rPr>
          <w:lang w:val="en-US"/>
        </w:rPr>
        <w:t xml:space="preserve">The </w:t>
      </w:r>
      <w:r w:rsidR="000201E9">
        <w:rPr>
          <w:lang w:val="en-US"/>
        </w:rPr>
        <w:t xml:space="preserve">PC </w:t>
      </w:r>
      <w:r w:rsidRPr="00433A20">
        <w:rPr>
          <w:lang w:val="en-US"/>
        </w:rPr>
        <w:t>use</w:t>
      </w:r>
      <w:r w:rsidR="000201E9">
        <w:rPr>
          <w:lang w:val="en-US"/>
        </w:rPr>
        <w:t>s</w:t>
      </w:r>
      <w:r w:rsidRPr="00433A20">
        <w:rPr>
          <w:lang w:val="en-US"/>
        </w:rPr>
        <w:t xml:space="preserve"> </w:t>
      </w:r>
      <w:r w:rsidR="000201E9">
        <w:rPr>
          <w:lang w:val="en-US"/>
        </w:rPr>
        <w:t>t</w:t>
      </w:r>
      <w:r w:rsidRPr="00433A20">
        <w:rPr>
          <w:lang w:val="en-US"/>
        </w:rPr>
        <w:t xml:space="preserve">he term </w:t>
      </w:r>
      <w:r w:rsidRPr="00433A20">
        <w:rPr>
          <w:b/>
          <w:bCs/>
        </w:rPr>
        <w:t>“suicidal behaviour”</w:t>
      </w:r>
      <w:r>
        <w:rPr>
          <w:b/>
          <w:bCs/>
        </w:rPr>
        <w:t xml:space="preserve"> </w:t>
      </w:r>
      <w:r w:rsidRPr="00433A20">
        <w:t>to</w:t>
      </w:r>
      <w:r w:rsidRPr="009F5BCA">
        <w:t xml:space="preserve"> identify warning</w:t>
      </w:r>
      <w:r>
        <w:t xml:space="preserve"> signs</w:t>
      </w:r>
      <w:r w:rsidRPr="009F5BCA">
        <w:t xml:space="preserve"> of suicide. </w:t>
      </w:r>
      <w:r w:rsidRPr="009F5BCA">
        <w:br/>
        <w:t xml:space="preserve">‘Behaviour’ is not an appropriate term to describe something as important as suicidal risks. Society frequently confuses a ‘behaviour’ as something that can be controlled. Eg good behaviour, bad behaviour. </w:t>
      </w:r>
      <w:r>
        <w:t xml:space="preserve">A </w:t>
      </w:r>
      <w:r w:rsidR="006978B9">
        <w:t>more a</w:t>
      </w:r>
      <w:r w:rsidR="006978B9" w:rsidRPr="009F5BCA">
        <w:t>ccep</w:t>
      </w:r>
      <w:r w:rsidR="006978B9">
        <w:t>table</w:t>
      </w:r>
      <w:r w:rsidRPr="009F5BCA">
        <w:t xml:space="preserve"> describer</w:t>
      </w:r>
      <w:r>
        <w:t xml:space="preserve"> currently used</w:t>
      </w:r>
      <w:r w:rsidR="006978B9">
        <w:t xml:space="preserve"> is </w:t>
      </w:r>
      <w:r w:rsidRPr="009F5BCA">
        <w:t xml:space="preserve"> </w:t>
      </w:r>
      <w:r w:rsidRPr="00433A20">
        <w:rPr>
          <w:b/>
          <w:bCs/>
        </w:rPr>
        <w:t xml:space="preserve"> Signs of Suicide (SOS)</w:t>
      </w:r>
      <w:r w:rsidRPr="00433A20">
        <w:rPr>
          <w:lang w:val="en-US"/>
        </w:rPr>
        <w:t xml:space="preserve"> </w:t>
      </w:r>
    </w:p>
    <w:p w14:paraId="6DC8FC3B" w14:textId="56250967" w:rsidR="00F35D70" w:rsidRPr="0027664F" w:rsidRDefault="00F35D70" w:rsidP="001D049D">
      <w:pPr>
        <w:jc w:val="both"/>
        <w:rPr>
          <w:color w:val="2F5496" w:themeColor="accent1" w:themeShade="BF"/>
          <w:sz w:val="28"/>
          <w:szCs w:val="28"/>
          <w:u w:val="single"/>
          <w:lang w:val="en-US"/>
        </w:rPr>
      </w:pPr>
      <w:r w:rsidRPr="0027664F">
        <w:rPr>
          <w:color w:val="2F5496" w:themeColor="accent1" w:themeShade="BF"/>
          <w:sz w:val="28"/>
          <w:szCs w:val="28"/>
          <w:u w:val="single"/>
          <w:lang w:val="en-US"/>
        </w:rPr>
        <w:t>COUNTING MENTAL HEALTH</w:t>
      </w:r>
    </w:p>
    <w:p w14:paraId="006DB6A3" w14:textId="22D63016" w:rsidR="001172A7" w:rsidRDefault="006F4DCD" w:rsidP="001172A7">
      <w:pPr>
        <w:pStyle w:val="ListParagraph"/>
        <w:jc w:val="both"/>
        <w:rPr>
          <w:i/>
          <w:iCs/>
          <w:lang w:val="en-US"/>
        </w:rPr>
      </w:pPr>
      <w:r>
        <w:rPr>
          <w:lang w:val="en-US"/>
        </w:rPr>
        <w:t xml:space="preserve">I’ve frequently been told that there is not a test for mental health illness. This </w:t>
      </w:r>
      <w:r w:rsidR="00786942">
        <w:rPr>
          <w:lang w:val="en-US"/>
        </w:rPr>
        <w:t xml:space="preserve">fallacy supports </w:t>
      </w:r>
      <w:r w:rsidR="000201E9">
        <w:rPr>
          <w:lang w:val="en-US"/>
        </w:rPr>
        <w:t>a</w:t>
      </w:r>
      <w:r w:rsidR="00786942">
        <w:rPr>
          <w:lang w:val="en-US"/>
        </w:rPr>
        <w:t xml:space="preserve"> failure</w:t>
      </w:r>
      <w:r w:rsidR="00717119">
        <w:rPr>
          <w:lang w:val="en-US"/>
        </w:rPr>
        <w:t xml:space="preserve"> to guide treatment </w:t>
      </w:r>
      <w:r w:rsidR="000201E9">
        <w:rPr>
          <w:lang w:val="en-US"/>
        </w:rPr>
        <w:t>by</w:t>
      </w:r>
      <w:r w:rsidR="009112B3">
        <w:rPr>
          <w:lang w:val="en-US"/>
        </w:rPr>
        <w:t xml:space="preserve"> </w:t>
      </w:r>
      <w:r w:rsidR="00717119">
        <w:rPr>
          <w:lang w:val="en-US"/>
        </w:rPr>
        <w:t xml:space="preserve">using national rating scales. </w:t>
      </w:r>
      <w:r w:rsidR="000201E9">
        <w:rPr>
          <w:lang w:val="en-US"/>
        </w:rPr>
        <w:t>Uniform q</w:t>
      </w:r>
      <w:r w:rsidR="009112B3">
        <w:rPr>
          <w:lang w:val="en-US"/>
        </w:rPr>
        <w:t xml:space="preserve">uantitive data is the </w:t>
      </w:r>
      <w:r w:rsidR="00786942">
        <w:rPr>
          <w:lang w:val="en-US"/>
        </w:rPr>
        <w:t>foundation of a healthcare system</w:t>
      </w:r>
      <w:r w:rsidR="000201E9">
        <w:rPr>
          <w:lang w:val="en-US"/>
        </w:rPr>
        <w:t>.</w:t>
      </w:r>
      <w:r w:rsidR="001172A7">
        <w:rPr>
          <w:lang w:val="en-US"/>
        </w:rPr>
        <w:t xml:space="preserve"> </w:t>
      </w:r>
      <w:r w:rsidR="001172A7" w:rsidRPr="00034C60">
        <w:rPr>
          <w:lang w:val="en-US"/>
        </w:rPr>
        <w:t xml:space="preserve">These should be as mandatory as someone with hypertension having their blood pressure checked and documented.  </w:t>
      </w:r>
      <w:r w:rsidR="001172A7">
        <w:rPr>
          <w:i/>
          <w:iCs/>
          <w:lang w:val="en-US"/>
        </w:rPr>
        <w:t>I</w:t>
      </w:r>
      <w:r w:rsidR="001172A7" w:rsidRPr="00A81703">
        <w:rPr>
          <w:i/>
          <w:iCs/>
          <w:lang w:val="en-US"/>
        </w:rPr>
        <w:t>f we are not counted; we don’t count.</w:t>
      </w:r>
    </w:p>
    <w:p w14:paraId="4E540955" w14:textId="77777777" w:rsidR="001172A7" w:rsidRPr="001172A7" w:rsidRDefault="001172A7" w:rsidP="001172A7">
      <w:pPr>
        <w:pStyle w:val="ListParagraph"/>
        <w:jc w:val="both"/>
        <w:rPr>
          <w:lang w:val="en-US"/>
        </w:rPr>
      </w:pPr>
    </w:p>
    <w:p w14:paraId="1E77DAD2" w14:textId="4095CFDC" w:rsidR="00034C60" w:rsidRDefault="00A81703" w:rsidP="00433A20">
      <w:pPr>
        <w:pStyle w:val="ListParagraph"/>
        <w:numPr>
          <w:ilvl w:val="0"/>
          <w:numId w:val="11"/>
        </w:numPr>
        <w:jc w:val="both"/>
        <w:rPr>
          <w:lang w:val="en-US"/>
        </w:rPr>
      </w:pPr>
      <w:r w:rsidRPr="00A81703">
        <w:rPr>
          <w:b/>
          <w:bCs/>
          <w:sz w:val="28"/>
          <w:szCs w:val="28"/>
          <w:lang w:val="en-US"/>
        </w:rPr>
        <w:t>National Rating Scales</w:t>
      </w:r>
      <w:r w:rsidRPr="00A81703">
        <w:rPr>
          <w:sz w:val="28"/>
          <w:szCs w:val="28"/>
          <w:lang w:val="en-US"/>
        </w:rPr>
        <w:t>.</w:t>
      </w:r>
      <w:r w:rsidRPr="00A81703">
        <w:rPr>
          <w:lang w:val="en-US"/>
        </w:rPr>
        <w:t xml:space="preserve"> </w:t>
      </w:r>
      <w:r w:rsidR="00034C60">
        <w:rPr>
          <w:lang w:val="en-US"/>
        </w:rPr>
        <w:t>National, illness-specific, rating scales will assist in monitoring:-</w:t>
      </w:r>
    </w:p>
    <w:p w14:paraId="38BC5EAF" w14:textId="77777777" w:rsidR="00034C60" w:rsidRDefault="002C39E1" w:rsidP="00034C60">
      <w:pPr>
        <w:pStyle w:val="ListParagraph"/>
        <w:numPr>
          <w:ilvl w:val="1"/>
          <w:numId w:val="11"/>
        </w:numPr>
        <w:jc w:val="both"/>
        <w:rPr>
          <w:lang w:val="en-US"/>
        </w:rPr>
      </w:pPr>
      <w:r>
        <w:rPr>
          <w:lang w:val="en-US"/>
        </w:rPr>
        <w:t>early signs of improvement or deterioration</w:t>
      </w:r>
      <w:r w:rsidR="00034C60">
        <w:rPr>
          <w:lang w:val="en-US"/>
        </w:rPr>
        <w:t>;</w:t>
      </w:r>
    </w:p>
    <w:p w14:paraId="0852B98C" w14:textId="6461CCF1" w:rsidR="00034C60" w:rsidRDefault="001D049D" w:rsidP="00034C60">
      <w:pPr>
        <w:pStyle w:val="ListParagraph"/>
        <w:numPr>
          <w:ilvl w:val="1"/>
          <w:numId w:val="11"/>
        </w:numPr>
        <w:jc w:val="both"/>
        <w:rPr>
          <w:lang w:val="en-US"/>
        </w:rPr>
      </w:pPr>
      <w:r w:rsidRPr="00A81703">
        <w:rPr>
          <w:lang w:val="en-US"/>
        </w:rPr>
        <w:t xml:space="preserve">identifying </w:t>
      </w:r>
      <w:r w:rsidR="00034C60">
        <w:rPr>
          <w:lang w:val="en-US"/>
        </w:rPr>
        <w:t>response to treatment c</w:t>
      </w:r>
      <w:r w:rsidR="002C39E1">
        <w:rPr>
          <w:lang w:val="en-US"/>
        </w:rPr>
        <w:t>hanges</w:t>
      </w:r>
      <w:r w:rsidR="00034C60">
        <w:rPr>
          <w:lang w:val="en-US"/>
        </w:rPr>
        <w:t>;</w:t>
      </w:r>
    </w:p>
    <w:p w14:paraId="1700272C" w14:textId="29B5BC7B" w:rsidR="00424253" w:rsidRDefault="00424253" w:rsidP="00034C60">
      <w:pPr>
        <w:pStyle w:val="ListParagraph"/>
        <w:numPr>
          <w:ilvl w:val="1"/>
          <w:numId w:val="11"/>
        </w:numPr>
        <w:jc w:val="both"/>
        <w:rPr>
          <w:lang w:val="en-US"/>
        </w:rPr>
      </w:pPr>
      <w:r>
        <w:rPr>
          <w:lang w:val="en-US"/>
        </w:rPr>
        <w:t>identify medication reactions that mimic mental health symptoms;</w:t>
      </w:r>
    </w:p>
    <w:p w14:paraId="219EE787" w14:textId="38ED4FA4" w:rsidR="00034C60" w:rsidRDefault="00034C60" w:rsidP="00034C60">
      <w:pPr>
        <w:pStyle w:val="ListParagraph"/>
        <w:numPr>
          <w:ilvl w:val="1"/>
          <w:numId w:val="11"/>
        </w:numPr>
        <w:jc w:val="both"/>
        <w:rPr>
          <w:lang w:val="en-US"/>
        </w:rPr>
      </w:pPr>
      <w:r>
        <w:rPr>
          <w:lang w:val="en-US"/>
        </w:rPr>
        <w:t>support treatment changes;</w:t>
      </w:r>
    </w:p>
    <w:p w14:paraId="18829721" w14:textId="77777777" w:rsidR="00034C60" w:rsidRDefault="002C39E1" w:rsidP="00034C60">
      <w:pPr>
        <w:pStyle w:val="ListParagraph"/>
        <w:numPr>
          <w:ilvl w:val="1"/>
          <w:numId w:val="11"/>
        </w:numPr>
        <w:jc w:val="both"/>
        <w:rPr>
          <w:lang w:val="en-US"/>
        </w:rPr>
      </w:pPr>
      <w:r>
        <w:rPr>
          <w:lang w:val="en-US"/>
        </w:rPr>
        <w:t xml:space="preserve">provide a uniform tracking scale that can </w:t>
      </w:r>
      <w:r w:rsidR="00034C60">
        <w:rPr>
          <w:lang w:val="en-US"/>
        </w:rPr>
        <w:t>s</w:t>
      </w:r>
      <w:r>
        <w:rPr>
          <w:lang w:val="en-US"/>
        </w:rPr>
        <w:t xml:space="preserve">hared </w:t>
      </w:r>
      <w:r w:rsidR="000201E9">
        <w:rPr>
          <w:lang w:val="en-US"/>
        </w:rPr>
        <w:t>between</w:t>
      </w:r>
      <w:r>
        <w:rPr>
          <w:lang w:val="en-US"/>
        </w:rPr>
        <w:t xml:space="preserve"> health care workers</w:t>
      </w:r>
      <w:r w:rsidR="00034C60">
        <w:rPr>
          <w:lang w:val="en-US"/>
        </w:rPr>
        <w:t>;</w:t>
      </w:r>
    </w:p>
    <w:p w14:paraId="5D4CF1BF" w14:textId="538BD049" w:rsidR="00034C60" w:rsidRDefault="00034C60" w:rsidP="00034C60">
      <w:pPr>
        <w:pStyle w:val="ListParagraph"/>
        <w:numPr>
          <w:ilvl w:val="1"/>
          <w:numId w:val="11"/>
        </w:numPr>
        <w:jc w:val="both"/>
        <w:rPr>
          <w:lang w:val="en-US"/>
        </w:rPr>
      </w:pPr>
      <w:r>
        <w:rPr>
          <w:lang w:val="en-US"/>
        </w:rPr>
        <w:t xml:space="preserve">graph </w:t>
      </w:r>
      <w:r w:rsidR="001172A7">
        <w:rPr>
          <w:lang w:val="en-US"/>
        </w:rPr>
        <w:t xml:space="preserve">illness </w:t>
      </w:r>
      <w:r>
        <w:rPr>
          <w:lang w:val="en-US"/>
        </w:rPr>
        <w:t>pattern over long periods;</w:t>
      </w:r>
    </w:p>
    <w:p w14:paraId="57BE0789" w14:textId="0F4A6284" w:rsidR="00034C60" w:rsidRDefault="00034C60" w:rsidP="00034C60">
      <w:pPr>
        <w:pStyle w:val="ListParagraph"/>
        <w:numPr>
          <w:ilvl w:val="1"/>
          <w:numId w:val="11"/>
        </w:numPr>
        <w:jc w:val="both"/>
        <w:rPr>
          <w:lang w:val="en-US"/>
        </w:rPr>
      </w:pPr>
      <w:r>
        <w:rPr>
          <w:lang w:val="en-US"/>
        </w:rPr>
        <w:t>flag consumers who do not reach targets for early review;</w:t>
      </w:r>
    </w:p>
    <w:p w14:paraId="1FB38BA0" w14:textId="448F3980" w:rsidR="00034C60" w:rsidRDefault="00034C60" w:rsidP="00034C60">
      <w:pPr>
        <w:pStyle w:val="ListParagraph"/>
        <w:numPr>
          <w:ilvl w:val="1"/>
          <w:numId w:val="11"/>
        </w:numPr>
        <w:jc w:val="both"/>
        <w:rPr>
          <w:lang w:val="en-US"/>
        </w:rPr>
      </w:pPr>
      <w:r>
        <w:rPr>
          <w:lang w:val="en-US"/>
        </w:rPr>
        <w:t xml:space="preserve">provide transparency and accountability </w:t>
      </w:r>
      <w:r w:rsidR="001172A7">
        <w:rPr>
          <w:lang w:val="en-US"/>
        </w:rPr>
        <w:t xml:space="preserve">of </w:t>
      </w:r>
      <w:r>
        <w:rPr>
          <w:lang w:val="en-US"/>
        </w:rPr>
        <w:t>care provider/s;</w:t>
      </w:r>
    </w:p>
    <w:p w14:paraId="10DFB5AA" w14:textId="511A7E57" w:rsidR="00034C60" w:rsidRDefault="00034C60" w:rsidP="00034C60">
      <w:pPr>
        <w:pStyle w:val="ListParagraph"/>
        <w:numPr>
          <w:ilvl w:val="1"/>
          <w:numId w:val="11"/>
        </w:numPr>
        <w:jc w:val="both"/>
        <w:rPr>
          <w:lang w:val="en-US"/>
        </w:rPr>
      </w:pPr>
      <w:r>
        <w:rPr>
          <w:lang w:val="en-US"/>
        </w:rPr>
        <w:t xml:space="preserve">provides digital data for national health </w:t>
      </w:r>
      <w:r w:rsidR="001172A7">
        <w:rPr>
          <w:lang w:val="en-US"/>
        </w:rPr>
        <w:t>monitoring.</w:t>
      </w:r>
    </w:p>
    <w:p w14:paraId="7F49D9DD" w14:textId="6C6626E6" w:rsidR="00433A20" w:rsidRPr="00034C60" w:rsidRDefault="002C39E1" w:rsidP="00034C60">
      <w:pPr>
        <w:ind w:left="1080"/>
        <w:jc w:val="both"/>
        <w:rPr>
          <w:lang w:val="en-US"/>
        </w:rPr>
      </w:pPr>
      <w:r w:rsidRPr="00034C60">
        <w:rPr>
          <w:lang w:val="en-US"/>
        </w:rPr>
        <w:t xml:space="preserve">They are available digitally or even on Apps that can be </w:t>
      </w:r>
      <w:r w:rsidR="00A2610D" w:rsidRPr="00034C60">
        <w:rPr>
          <w:lang w:val="en-US"/>
        </w:rPr>
        <w:t xml:space="preserve">downloaded to clinicians to monitor. </w:t>
      </w:r>
    </w:p>
    <w:p w14:paraId="70C9BA56" w14:textId="77777777" w:rsidR="00BB60E8" w:rsidRPr="0027664F" w:rsidRDefault="00BB60E8" w:rsidP="00433A20">
      <w:pPr>
        <w:pStyle w:val="ListParagraph"/>
        <w:jc w:val="center"/>
        <w:rPr>
          <w:i/>
          <w:iCs/>
          <w:sz w:val="16"/>
          <w:szCs w:val="16"/>
          <w:lang w:val="en-US"/>
        </w:rPr>
      </w:pPr>
    </w:p>
    <w:p w14:paraId="3F9758AD" w14:textId="2152EC57" w:rsidR="0010052F" w:rsidRPr="00882C65" w:rsidRDefault="00307B16" w:rsidP="00307B16">
      <w:pPr>
        <w:pStyle w:val="ListParagraph"/>
        <w:numPr>
          <w:ilvl w:val="0"/>
          <w:numId w:val="11"/>
        </w:numPr>
        <w:jc w:val="both"/>
        <w:rPr>
          <w:lang w:val="en-US"/>
        </w:rPr>
      </w:pPr>
      <w:r w:rsidRPr="00A81703">
        <w:rPr>
          <w:rFonts w:cstheme="minorHAnsi"/>
          <w:b/>
          <w:bCs/>
          <w:sz w:val="28"/>
          <w:szCs w:val="28"/>
        </w:rPr>
        <w:t>Targets</w:t>
      </w:r>
      <w:r w:rsidR="001172A7">
        <w:rPr>
          <w:rFonts w:cstheme="minorHAnsi"/>
          <w:b/>
          <w:bCs/>
          <w:sz w:val="28"/>
          <w:szCs w:val="28"/>
        </w:rPr>
        <w:t xml:space="preserve">. </w:t>
      </w:r>
      <w:r w:rsidR="001172A7" w:rsidRPr="001172A7">
        <w:rPr>
          <w:rFonts w:cstheme="minorHAnsi"/>
        </w:rPr>
        <w:t xml:space="preserve">Setting safe parameters for </w:t>
      </w:r>
      <w:r w:rsidRPr="001172A7">
        <w:rPr>
          <w:rFonts w:cstheme="minorHAnsi"/>
        </w:rPr>
        <w:t>rating</w:t>
      </w:r>
      <w:r w:rsidRPr="00307B16">
        <w:rPr>
          <w:rFonts w:cstheme="minorHAnsi"/>
        </w:rPr>
        <w:t xml:space="preserve"> scales will encourage </w:t>
      </w:r>
      <w:r w:rsidR="0010052F">
        <w:rPr>
          <w:rFonts w:cstheme="minorHAnsi"/>
        </w:rPr>
        <w:t>:-</w:t>
      </w:r>
    </w:p>
    <w:p w14:paraId="054196E8" w14:textId="5B203B23" w:rsidR="00882C65" w:rsidRPr="00882C65" w:rsidRDefault="00882C65" w:rsidP="00882C65">
      <w:pPr>
        <w:pStyle w:val="ListParagraph"/>
        <w:numPr>
          <w:ilvl w:val="1"/>
          <w:numId w:val="11"/>
        </w:numPr>
        <w:jc w:val="both"/>
        <w:rPr>
          <w:lang w:val="en-US"/>
        </w:rPr>
      </w:pPr>
      <w:r w:rsidRPr="00882C65">
        <w:rPr>
          <w:rFonts w:cstheme="minorHAnsi"/>
        </w:rPr>
        <w:t>Reassessment of the cause.</w:t>
      </w:r>
    </w:p>
    <w:p w14:paraId="304F7977" w14:textId="220A937C" w:rsidR="00307B16" w:rsidRPr="00307B16" w:rsidRDefault="00882C65" w:rsidP="0010052F">
      <w:pPr>
        <w:pStyle w:val="ListParagraph"/>
        <w:numPr>
          <w:ilvl w:val="1"/>
          <w:numId w:val="11"/>
        </w:numPr>
        <w:jc w:val="both"/>
        <w:rPr>
          <w:lang w:val="en-US"/>
        </w:rPr>
      </w:pPr>
      <w:r>
        <w:rPr>
          <w:rFonts w:cstheme="minorHAnsi"/>
        </w:rPr>
        <w:t>C</w:t>
      </w:r>
      <w:r w:rsidR="00307B16" w:rsidRPr="00307B16">
        <w:rPr>
          <w:rFonts w:cstheme="minorHAnsi"/>
        </w:rPr>
        <w:t xml:space="preserve">hange in  </w:t>
      </w:r>
      <w:r>
        <w:rPr>
          <w:rFonts w:cstheme="minorHAnsi"/>
        </w:rPr>
        <w:t>treatment.</w:t>
      </w:r>
    </w:p>
    <w:p w14:paraId="5DE9C809" w14:textId="42AA6EC4" w:rsidR="0010052F" w:rsidRPr="00882C65" w:rsidRDefault="00882C65" w:rsidP="00882C65">
      <w:pPr>
        <w:pStyle w:val="ListParagraph"/>
        <w:numPr>
          <w:ilvl w:val="1"/>
          <w:numId w:val="11"/>
        </w:numPr>
        <w:jc w:val="both"/>
        <w:rPr>
          <w:lang w:val="en-US"/>
        </w:rPr>
      </w:pPr>
      <w:r>
        <w:rPr>
          <w:rFonts w:cstheme="minorHAnsi"/>
        </w:rPr>
        <w:t>I</w:t>
      </w:r>
      <w:r w:rsidR="00307B16" w:rsidRPr="00307B16">
        <w:rPr>
          <w:rFonts w:cstheme="minorHAnsi"/>
        </w:rPr>
        <w:t>dentify early patterns of medication induced symptoms</w:t>
      </w:r>
      <w:r>
        <w:rPr>
          <w:rFonts w:cstheme="minorHAnsi"/>
        </w:rPr>
        <w:t>.</w:t>
      </w:r>
    </w:p>
    <w:p w14:paraId="1F683C28" w14:textId="1C93E6A5" w:rsidR="00882C65" w:rsidRPr="00882C65" w:rsidRDefault="00882C65" w:rsidP="00882C65">
      <w:pPr>
        <w:pStyle w:val="ListParagraph"/>
        <w:numPr>
          <w:ilvl w:val="1"/>
          <w:numId w:val="11"/>
        </w:numPr>
        <w:jc w:val="both"/>
        <w:rPr>
          <w:lang w:val="en-US"/>
        </w:rPr>
      </w:pPr>
      <w:r>
        <w:rPr>
          <w:rFonts w:cstheme="minorHAnsi"/>
        </w:rPr>
        <w:t>Identify need to use refer to other care providers.</w:t>
      </w:r>
    </w:p>
    <w:p w14:paraId="4B986EB7" w14:textId="6234572D" w:rsidR="00307B16" w:rsidRPr="00882C65" w:rsidRDefault="00882C65" w:rsidP="00307B16">
      <w:pPr>
        <w:pStyle w:val="ListParagraph"/>
        <w:numPr>
          <w:ilvl w:val="1"/>
          <w:numId w:val="11"/>
        </w:numPr>
        <w:jc w:val="both"/>
        <w:rPr>
          <w:lang w:val="en-US"/>
        </w:rPr>
      </w:pPr>
      <w:r>
        <w:rPr>
          <w:rFonts w:cstheme="minorHAnsi"/>
        </w:rPr>
        <w:t>Identify need for referral to MH Clinic</w:t>
      </w:r>
      <w:r w:rsidR="0010052F">
        <w:rPr>
          <w:rFonts w:cstheme="minorHAnsi"/>
        </w:rPr>
        <w:t xml:space="preserve">. </w:t>
      </w:r>
      <w:r w:rsidR="00307B16" w:rsidRPr="00307B16">
        <w:rPr>
          <w:rFonts w:cstheme="minorHAnsi"/>
        </w:rPr>
        <w:t xml:space="preserve"> </w:t>
      </w:r>
    </w:p>
    <w:p w14:paraId="58C44FF9" w14:textId="313468EF" w:rsidR="00882C65" w:rsidRPr="00723CF7" w:rsidRDefault="00882C65" w:rsidP="00307B16">
      <w:pPr>
        <w:pStyle w:val="ListParagraph"/>
        <w:numPr>
          <w:ilvl w:val="1"/>
          <w:numId w:val="11"/>
        </w:numPr>
        <w:jc w:val="both"/>
        <w:rPr>
          <w:lang w:val="en-US"/>
        </w:rPr>
      </w:pPr>
      <w:r>
        <w:rPr>
          <w:rFonts w:cstheme="minorHAnsi"/>
        </w:rPr>
        <w:t>Justify use of other tests such as pharmacogenetics.</w:t>
      </w:r>
    </w:p>
    <w:p w14:paraId="26C87161" w14:textId="097B4572" w:rsidR="00307B16" w:rsidRPr="00723CF7" w:rsidRDefault="00824EBB" w:rsidP="00307B16">
      <w:pPr>
        <w:pStyle w:val="ListParagraph"/>
        <w:numPr>
          <w:ilvl w:val="1"/>
          <w:numId w:val="11"/>
        </w:numPr>
        <w:jc w:val="both"/>
        <w:rPr>
          <w:lang w:val="en-US"/>
        </w:rPr>
      </w:pPr>
      <w:r>
        <w:rPr>
          <w:rFonts w:cstheme="minorHAnsi"/>
        </w:rPr>
        <w:t>A tool for c</w:t>
      </w:r>
      <w:r w:rsidR="00307B16" w:rsidRPr="00307B16">
        <w:rPr>
          <w:rFonts w:cstheme="minorHAnsi"/>
        </w:rPr>
        <w:t>linical audits</w:t>
      </w:r>
      <w:r w:rsidR="00D54CDB">
        <w:rPr>
          <w:rFonts w:cstheme="minorHAnsi"/>
        </w:rPr>
        <w:t>.</w:t>
      </w:r>
    </w:p>
    <w:p w14:paraId="52D13D23" w14:textId="3834666F" w:rsidR="00723CF7" w:rsidRPr="00307B16" w:rsidRDefault="0010052F" w:rsidP="00307B16">
      <w:pPr>
        <w:pStyle w:val="ListParagraph"/>
        <w:numPr>
          <w:ilvl w:val="1"/>
          <w:numId w:val="11"/>
        </w:numPr>
        <w:jc w:val="both"/>
        <w:rPr>
          <w:lang w:val="en-US"/>
        </w:rPr>
      </w:pPr>
      <w:r>
        <w:rPr>
          <w:rFonts w:cstheme="minorHAnsi"/>
        </w:rPr>
        <w:t>Protect c</w:t>
      </w:r>
      <w:r w:rsidR="00723CF7">
        <w:rPr>
          <w:rFonts w:cstheme="minorHAnsi"/>
        </w:rPr>
        <w:t xml:space="preserve">onsumers </w:t>
      </w:r>
      <w:r>
        <w:rPr>
          <w:rFonts w:cstheme="minorHAnsi"/>
        </w:rPr>
        <w:t>by early intervention when treatment failed</w:t>
      </w:r>
      <w:r w:rsidR="00D54CDB">
        <w:rPr>
          <w:rFonts w:cstheme="minorHAnsi"/>
        </w:rPr>
        <w:t>.</w:t>
      </w:r>
    </w:p>
    <w:p w14:paraId="17380F69" w14:textId="3EFF545F" w:rsidR="00824EBB" w:rsidRPr="00307B16" w:rsidRDefault="00824EBB" w:rsidP="00307B16">
      <w:pPr>
        <w:pStyle w:val="ListParagraph"/>
        <w:numPr>
          <w:ilvl w:val="1"/>
          <w:numId w:val="11"/>
        </w:numPr>
        <w:jc w:val="both"/>
        <w:rPr>
          <w:lang w:val="en-US"/>
        </w:rPr>
      </w:pPr>
      <w:r>
        <w:rPr>
          <w:rFonts w:cstheme="minorHAnsi"/>
        </w:rPr>
        <w:t xml:space="preserve">A tool </w:t>
      </w:r>
      <w:r w:rsidR="009112B3">
        <w:rPr>
          <w:rFonts w:cstheme="minorHAnsi"/>
        </w:rPr>
        <w:t xml:space="preserve">for </w:t>
      </w:r>
      <w:r>
        <w:rPr>
          <w:rFonts w:cstheme="minorHAnsi"/>
        </w:rPr>
        <w:t>AHPRA to assess treatment</w:t>
      </w:r>
      <w:r w:rsidR="00D54CDB">
        <w:rPr>
          <w:rFonts w:cstheme="minorHAnsi"/>
        </w:rPr>
        <w:t>.</w:t>
      </w:r>
    </w:p>
    <w:p w14:paraId="493C99F6" w14:textId="1C7761F5" w:rsidR="00723CF7" w:rsidRPr="00161440" w:rsidRDefault="00307B16" w:rsidP="00723CF7">
      <w:pPr>
        <w:pStyle w:val="ListParagraph"/>
        <w:numPr>
          <w:ilvl w:val="1"/>
          <w:numId w:val="11"/>
        </w:numPr>
        <w:jc w:val="both"/>
        <w:rPr>
          <w:lang w:val="en-US"/>
        </w:rPr>
      </w:pPr>
      <w:r w:rsidRPr="00307B16">
        <w:rPr>
          <w:rFonts w:cstheme="minorHAnsi"/>
        </w:rPr>
        <w:t>Government use of de-identified data to support upgrade in resources.</w:t>
      </w:r>
      <w:r w:rsidRPr="00307B16">
        <w:rPr>
          <w:rFonts w:cstheme="minorHAnsi"/>
          <w:b/>
          <w:u w:val="single"/>
        </w:rPr>
        <w:t xml:space="preserve"> </w:t>
      </w:r>
    </w:p>
    <w:p w14:paraId="2AF5BA70" w14:textId="77777777" w:rsidR="00161440" w:rsidRPr="00723CF7" w:rsidRDefault="00161440" w:rsidP="00161440">
      <w:pPr>
        <w:pStyle w:val="ListParagraph"/>
        <w:ind w:left="1440"/>
        <w:jc w:val="both"/>
        <w:rPr>
          <w:lang w:val="en-US"/>
        </w:rPr>
      </w:pPr>
    </w:p>
    <w:p w14:paraId="32C57F9D" w14:textId="65E68DCE" w:rsidR="00715570" w:rsidRPr="00715570" w:rsidRDefault="00161440" w:rsidP="009112B3">
      <w:pPr>
        <w:pStyle w:val="ListParagraph"/>
        <w:ind w:left="0"/>
        <w:rPr>
          <w:bCs/>
          <w:lang w:val="en-US"/>
        </w:rPr>
      </w:pPr>
      <w:r w:rsidRPr="0027664F">
        <w:rPr>
          <w:color w:val="2F5496" w:themeColor="accent1" w:themeShade="BF"/>
          <w:sz w:val="28"/>
          <w:szCs w:val="28"/>
          <w:u w:val="single"/>
          <w:lang w:val="en-US"/>
        </w:rPr>
        <w:lastRenderedPageBreak/>
        <w:t xml:space="preserve">MAINTAIN </w:t>
      </w:r>
      <w:r w:rsidR="004E228D" w:rsidRPr="0027664F">
        <w:rPr>
          <w:color w:val="2F5496" w:themeColor="accent1" w:themeShade="BF"/>
          <w:sz w:val="28"/>
          <w:szCs w:val="28"/>
          <w:u w:val="single"/>
          <w:lang w:val="en-US"/>
        </w:rPr>
        <w:t>CLINICAL EXPERTISE</w:t>
      </w:r>
      <w:r w:rsidR="004E228D" w:rsidRPr="008116C6">
        <w:rPr>
          <w:sz w:val="28"/>
          <w:szCs w:val="28"/>
          <w:lang w:val="en-US"/>
        </w:rPr>
        <w:br/>
      </w:r>
      <w:r w:rsidR="009112B3">
        <w:rPr>
          <w:sz w:val="28"/>
          <w:szCs w:val="28"/>
          <w:lang w:val="en-US"/>
        </w:rPr>
        <w:t xml:space="preserve"> </w:t>
      </w:r>
      <w:r w:rsidR="00723CF7" w:rsidRPr="00D3063C">
        <w:rPr>
          <w:rFonts w:cstheme="minorHAnsi"/>
          <w:b/>
          <w:sz w:val="28"/>
          <w:szCs w:val="28"/>
        </w:rPr>
        <w:t xml:space="preserve">Right Door. </w:t>
      </w:r>
      <w:r w:rsidR="001D049D" w:rsidRPr="00D3063C">
        <w:rPr>
          <w:rFonts w:cstheme="minorHAnsi"/>
          <w:bCs/>
        </w:rPr>
        <w:t>There is a need for specialist health care workers to be both trained and identifiable so GPs and consumers can get the right treatment. Currently, the only</w:t>
      </w:r>
      <w:r w:rsidR="0010052F">
        <w:rPr>
          <w:rFonts w:cstheme="minorHAnsi"/>
          <w:bCs/>
        </w:rPr>
        <w:t xml:space="preserve"> way</w:t>
      </w:r>
      <w:r w:rsidR="001D049D" w:rsidRPr="00D3063C">
        <w:rPr>
          <w:rFonts w:cstheme="minorHAnsi"/>
          <w:bCs/>
        </w:rPr>
        <w:t xml:space="preserve"> to e</w:t>
      </w:r>
      <w:r w:rsidR="001D049D" w:rsidRPr="00D3063C">
        <w:rPr>
          <w:rFonts w:cstheme="minorHAnsi"/>
          <w:bCs/>
          <w:lang w:val="en-US"/>
        </w:rPr>
        <w:t xml:space="preserve">stablish a care-providers </w:t>
      </w:r>
      <w:r w:rsidR="001D049D" w:rsidRPr="00D3063C">
        <w:rPr>
          <w:rFonts w:cstheme="minorHAnsi"/>
          <w:bCs/>
          <w:i/>
          <w:iCs/>
          <w:lang w:val="en-US"/>
        </w:rPr>
        <w:t>scope of practice</w:t>
      </w:r>
      <w:r w:rsidR="001D049D" w:rsidRPr="00D3063C">
        <w:rPr>
          <w:rFonts w:cstheme="minorHAnsi"/>
          <w:bCs/>
          <w:lang w:val="en-US"/>
        </w:rPr>
        <w:t xml:space="preserve"> is through self-marketing on websites</w:t>
      </w:r>
      <w:r w:rsidR="001D049D">
        <w:rPr>
          <w:rFonts w:cstheme="minorHAnsi"/>
          <w:bCs/>
          <w:lang w:val="en-US"/>
        </w:rPr>
        <w:t>;</w:t>
      </w:r>
      <w:r w:rsidR="001D049D" w:rsidRPr="00D3063C">
        <w:rPr>
          <w:rFonts w:cstheme="minorHAnsi"/>
          <w:bCs/>
          <w:lang w:val="en-US"/>
        </w:rPr>
        <w:t xml:space="preserve"> word of mouth</w:t>
      </w:r>
      <w:r w:rsidR="001D049D">
        <w:rPr>
          <w:rFonts w:cstheme="minorHAnsi"/>
          <w:bCs/>
          <w:lang w:val="en-US"/>
        </w:rPr>
        <w:t>;</w:t>
      </w:r>
      <w:r w:rsidR="001D049D" w:rsidRPr="00D3063C">
        <w:rPr>
          <w:rFonts w:cstheme="minorHAnsi"/>
          <w:bCs/>
          <w:lang w:val="en-US"/>
        </w:rPr>
        <w:t xml:space="preserve"> trial and error</w:t>
      </w:r>
      <w:r w:rsidR="001D049D">
        <w:rPr>
          <w:rFonts w:cstheme="minorHAnsi"/>
          <w:bCs/>
          <w:lang w:val="en-US"/>
        </w:rPr>
        <w:t>;</w:t>
      </w:r>
      <w:r w:rsidR="001D049D" w:rsidRPr="00D3063C">
        <w:rPr>
          <w:rFonts w:cstheme="minorHAnsi"/>
          <w:bCs/>
          <w:lang w:val="en-US"/>
        </w:rPr>
        <w:t xml:space="preserve"> and internet ratings. None of these </w:t>
      </w:r>
      <w:r w:rsidR="0010052F">
        <w:rPr>
          <w:rFonts w:cstheme="minorHAnsi"/>
          <w:bCs/>
          <w:lang w:val="en-US"/>
        </w:rPr>
        <w:t>are</w:t>
      </w:r>
      <w:r w:rsidR="001D049D" w:rsidRPr="00D3063C">
        <w:rPr>
          <w:rFonts w:cstheme="minorHAnsi"/>
          <w:bCs/>
          <w:lang w:val="en-US"/>
        </w:rPr>
        <w:t xml:space="preserve"> reliable. </w:t>
      </w:r>
    </w:p>
    <w:p w14:paraId="35ADF17B" w14:textId="58BBC12D" w:rsidR="00A95408" w:rsidRPr="00A95408" w:rsidRDefault="00715570" w:rsidP="00A95408">
      <w:pPr>
        <w:pStyle w:val="ListParagraph"/>
        <w:numPr>
          <w:ilvl w:val="0"/>
          <w:numId w:val="11"/>
        </w:numPr>
        <w:jc w:val="both"/>
        <w:rPr>
          <w:bCs/>
          <w:lang w:val="en-US"/>
        </w:rPr>
      </w:pPr>
      <w:r w:rsidRPr="00286CED">
        <w:rPr>
          <w:rFonts w:cstheme="minorHAnsi"/>
          <w:bCs/>
          <w:lang w:val="en-US"/>
        </w:rPr>
        <w:t xml:space="preserve">Encouraging </w:t>
      </w:r>
      <w:r w:rsidR="001D049D" w:rsidRPr="00286CED">
        <w:rPr>
          <w:rFonts w:cstheme="minorHAnsi"/>
          <w:bCs/>
          <w:lang w:val="en-US"/>
        </w:rPr>
        <w:t>psychiatrist and MH allied health services to be generalist in all areas of mental health</w:t>
      </w:r>
      <w:r w:rsidRPr="00286CED">
        <w:rPr>
          <w:rFonts w:cstheme="minorHAnsi"/>
          <w:bCs/>
          <w:lang w:val="en-US"/>
        </w:rPr>
        <w:t xml:space="preserve"> treatments</w:t>
      </w:r>
      <w:r w:rsidR="001D049D" w:rsidRPr="00286CED">
        <w:rPr>
          <w:rFonts w:cstheme="minorHAnsi"/>
          <w:bCs/>
          <w:lang w:val="en-US"/>
        </w:rPr>
        <w:t xml:space="preserve"> is</w:t>
      </w:r>
      <w:r w:rsidR="0010052F" w:rsidRPr="00286CED">
        <w:rPr>
          <w:rFonts w:cstheme="minorHAnsi"/>
          <w:bCs/>
          <w:lang w:val="en-US"/>
        </w:rPr>
        <w:t xml:space="preserve"> </w:t>
      </w:r>
      <w:r w:rsidRPr="00286CED">
        <w:rPr>
          <w:rFonts w:cstheme="minorHAnsi"/>
          <w:bCs/>
          <w:lang w:val="en-US"/>
        </w:rPr>
        <w:t xml:space="preserve">supporting their </w:t>
      </w:r>
      <w:r w:rsidR="00286CED" w:rsidRPr="00286CED">
        <w:rPr>
          <w:rFonts w:cstheme="minorHAnsi"/>
          <w:bCs/>
          <w:lang w:val="en-US"/>
        </w:rPr>
        <w:t>deskilling and</w:t>
      </w:r>
      <w:r w:rsidRPr="00286CED">
        <w:rPr>
          <w:rFonts w:cstheme="minorHAnsi"/>
          <w:bCs/>
          <w:lang w:val="en-US"/>
        </w:rPr>
        <w:t xml:space="preserve"> increasing the difficulty for consumers to </w:t>
      </w:r>
      <w:r w:rsidR="00016875" w:rsidRPr="00286CED">
        <w:rPr>
          <w:rFonts w:cstheme="minorHAnsi"/>
          <w:bCs/>
          <w:lang w:val="en-US"/>
        </w:rPr>
        <w:t xml:space="preserve">access </w:t>
      </w:r>
      <w:r w:rsidRPr="00286CED">
        <w:rPr>
          <w:rFonts w:cstheme="minorHAnsi"/>
          <w:bCs/>
          <w:lang w:val="en-US"/>
        </w:rPr>
        <w:t>experts for complex needs</w:t>
      </w:r>
      <w:r w:rsidR="00E15857" w:rsidRPr="00286CED">
        <w:rPr>
          <w:rFonts w:cstheme="minorHAnsi"/>
          <w:bCs/>
          <w:lang w:val="en-US"/>
        </w:rPr>
        <w:t>. Bipolar disorder</w:t>
      </w:r>
      <w:r w:rsidR="002241FB">
        <w:rPr>
          <w:rFonts w:cstheme="minorHAnsi"/>
          <w:bCs/>
          <w:lang w:val="en-US"/>
        </w:rPr>
        <w:t xml:space="preserve"> is considered </w:t>
      </w:r>
      <w:r w:rsidR="00E15857" w:rsidRPr="00286CED">
        <w:rPr>
          <w:rFonts w:cstheme="minorHAnsi"/>
          <w:bCs/>
          <w:lang w:val="en-US"/>
        </w:rPr>
        <w:t>the ‘bread and butter’ of all psychiatrist</w:t>
      </w:r>
      <w:r w:rsidR="002241FB">
        <w:rPr>
          <w:rFonts w:cstheme="minorHAnsi"/>
          <w:bCs/>
          <w:lang w:val="en-US"/>
        </w:rPr>
        <w:t xml:space="preserve">. </w:t>
      </w:r>
      <w:r w:rsidRPr="00286CED">
        <w:rPr>
          <w:rFonts w:cstheme="minorHAnsi"/>
          <w:bCs/>
          <w:lang w:val="en-US"/>
        </w:rPr>
        <w:t>It</w:t>
      </w:r>
      <w:r w:rsidR="00E15857" w:rsidRPr="00286CED">
        <w:rPr>
          <w:rFonts w:cstheme="minorHAnsi"/>
          <w:bCs/>
          <w:lang w:val="en-US"/>
        </w:rPr>
        <w:t xml:space="preserve"> is a complex illness</w:t>
      </w:r>
      <w:r w:rsidR="00286CED" w:rsidRPr="00286CED">
        <w:rPr>
          <w:rFonts w:cstheme="minorHAnsi"/>
          <w:bCs/>
          <w:lang w:val="en-US"/>
        </w:rPr>
        <w:t xml:space="preserve">; has a </w:t>
      </w:r>
      <w:r w:rsidR="00E15857" w:rsidRPr="00286CED">
        <w:rPr>
          <w:rFonts w:cstheme="minorHAnsi"/>
          <w:bCs/>
          <w:lang w:val="en-US"/>
        </w:rPr>
        <w:t>high level of disability</w:t>
      </w:r>
      <w:r w:rsidR="00286CED" w:rsidRPr="00286CED">
        <w:rPr>
          <w:rFonts w:cstheme="minorHAnsi"/>
          <w:bCs/>
          <w:lang w:val="en-US"/>
        </w:rPr>
        <w:t xml:space="preserve"> which can be easily mismanaged; and has poor outcomes.</w:t>
      </w:r>
      <w:r w:rsidR="00016875" w:rsidRPr="00286CED">
        <w:rPr>
          <w:rFonts w:cstheme="minorHAnsi"/>
          <w:bCs/>
          <w:lang w:val="en-US"/>
        </w:rPr>
        <w:t xml:space="preserve"> The right door </w:t>
      </w:r>
      <w:r w:rsidR="00286CED">
        <w:rPr>
          <w:rFonts w:cstheme="minorHAnsi"/>
          <w:bCs/>
          <w:lang w:val="en-US"/>
        </w:rPr>
        <w:t xml:space="preserve">should not have been about </w:t>
      </w:r>
      <w:r w:rsidR="00016875" w:rsidRPr="00286CED">
        <w:rPr>
          <w:rFonts w:cstheme="minorHAnsi"/>
          <w:bCs/>
          <w:lang w:val="en-US"/>
        </w:rPr>
        <w:t xml:space="preserve">accessing any psychiatrist, but </w:t>
      </w:r>
      <w:r w:rsidR="00882C65">
        <w:rPr>
          <w:rFonts w:cstheme="minorHAnsi"/>
          <w:bCs/>
          <w:lang w:val="en-US"/>
        </w:rPr>
        <w:t xml:space="preserve">access to the </w:t>
      </w:r>
      <w:r w:rsidR="00016875" w:rsidRPr="00286CED">
        <w:rPr>
          <w:rFonts w:cstheme="minorHAnsi"/>
          <w:bCs/>
          <w:lang w:val="en-US"/>
        </w:rPr>
        <w:t xml:space="preserve">right </w:t>
      </w:r>
      <w:r w:rsidR="00882C65">
        <w:rPr>
          <w:rFonts w:cstheme="minorHAnsi"/>
          <w:bCs/>
          <w:lang w:val="en-US"/>
        </w:rPr>
        <w:t>psychiatrist</w:t>
      </w:r>
      <w:r w:rsidR="00016875" w:rsidRPr="00286CED">
        <w:rPr>
          <w:rFonts w:cstheme="minorHAnsi"/>
          <w:bCs/>
          <w:lang w:val="en-US"/>
        </w:rPr>
        <w:t xml:space="preserve">. </w:t>
      </w:r>
      <w:r w:rsidR="00E15857" w:rsidRPr="00286CED">
        <w:rPr>
          <w:rFonts w:cstheme="minorHAnsi"/>
          <w:bCs/>
          <w:lang w:val="en-US"/>
        </w:rPr>
        <w:t xml:space="preserve"> </w:t>
      </w:r>
    </w:p>
    <w:p w14:paraId="57CE40DB" w14:textId="326AE09B" w:rsidR="00D3063C" w:rsidRDefault="00D3063C" w:rsidP="00D3063C">
      <w:pPr>
        <w:pStyle w:val="ListParagraph"/>
        <w:numPr>
          <w:ilvl w:val="1"/>
          <w:numId w:val="11"/>
        </w:numPr>
        <w:jc w:val="both"/>
        <w:rPr>
          <w:lang w:val="en-US"/>
        </w:rPr>
      </w:pPr>
      <w:r w:rsidRPr="00D3063C">
        <w:rPr>
          <w:lang w:val="en-US"/>
        </w:rPr>
        <w:t xml:space="preserve">Support </w:t>
      </w:r>
      <w:r w:rsidR="000F1D34">
        <w:rPr>
          <w:lang w:val="en-US"/>
        </w:rPr>
        <w:t>RANZCP</w:t>
      </w:r>
      <w:r w:rsidR="00062801">
        <w:rPr>
          <w:lang w:val="en-US"/>
        </w:rPr>
        <w:t xml:space="preserve"> in establishing BPAD, and depression as sub-specialty areas</w:t>
      </w:r>
      <w:r w:rsidR="00E15857">
        <w:rPr>
          <w:lang w:val="en-US"/>
        </w:rPr>
        <w:t xml:space="preserve"> for training</w:t>
      </w:r>
      <w:r w:rsidR="00062801">
        <w:rPr>
          <w:lang w:val="en-US"/>
        </w:rPr>
        <w:t xml:space="preserve">. </w:t>
      </w:r>
    </w:p>
    <w:p w14:paraId="493758A6" w14:textId="7C4E6236" w:rsidR="00715570" w:rsidRDefault="00715570" w:rsidP="00D3063C">
      <w:pPr>
        <w:pStyle w:val="ListParagraph"/>
        <w:numPr>
          <w:ilvl w:val="1"/>
          <w:numId w:val="11"/>
        </w:numPr>
        <w:jc w:val="both"/>
        <w:rPr>
          <w:lang w:val="en-US"/>
        </w:rPr>
      </w:pPr>
      <w:r>
        <w:rPr>
          <w:lang w:val="en-US"/>
        </w:rPr>
        <w:t xml:space="preserve">Support this in </w:t>
      </w:r>
      <w:r w:rsidR="00424253">
        <w:rPr>
          <w:lang w:val="en-US"/>
        </w:rPr>
        <w:t xml:space="preserve">all </w:t>
      </w:r>
      <w:r>
        <w:rPr>
          <w:lang w:val="en-US"/>
        </w:rPr>
        <w:t>other allied health services</w:t>
      </w:r>
      <w:r w:rsidR="00424253">
        <w:rPr>
          <w:lang w:val="en-US"/>
        </w:rPr>
        <w:t>.</w:t>
      </w:r>
    </w:p>
    <w:p w14:paraId="74E9051F" w14:textId="77777777" w:rsidR="00424253" w:rsidRDefault="00424253" w:rsidP="005A733B">
      <w:pPr>
        <w:pStyle w:val="ListParagraph"/>
        <w:jc w:val="both"/>
        <w:rPr>
          <w:rFonts w:eastAsia="Times New Roman" w:cstheme="minorHAnsi"/>
          <w:color w:val="000000"/>
        </w:rPr>
      </w:pPr>
    </w:p>
    <w:p w14:paraId="71B0896D" w14:textId="080E2EF4" w:rsidR="00715570" w:rsidRDefault="00424253" w:rsidP="005A733B">
      <w:pPr>
        <w:pStyle w:val="ListParagraph"/>
        <w:jc w:val="both"/>
        <w:rPr>
          <w:rFonts w:eastAsia="Times New Roman" w:cstheme="minorHAnsi"/>
          <w:color w:val="000000"/>
        </w:rPr>
      </w:pPr>
      <w:r>
        <w:rPr>
          <w:rFonts w:eastAsia="Times New Roman" w:cstheme="minorHAnsi"/>
          <w:color w:val="000000"/>
        </w:rPr>
        <w:t xml:space="preserve">It’s </w:t>
      </w:r>
      <w:r w:rsidR="00715570">
        <w:rPr>
          <w:rFonts w:eastAsia="Times New Roman" w:cstheme="minorHAnsi"/>
          <w:color w:val="000000"/>
        </w:rPr>
        <w:t>not accept</w:t>
      </w:r>
      <w:r>
        <w:rPr>
          <w:rFonts w:eastAsia="Times New Roman" w:cstheme="minorHAnsi"/>
          <w:color w:val="000000"/>
        </w:rPr>
        <w:t>ed</w:t>
      </w:r>
      <w:r w:rsidR="00715570">
        <w:rPr>
          <w:rFonts w:eastAsia="Times New Roman" w:cstheme="minorHAnsi"/>
          <w:color w:val="000000"/>
        </w:rPr>
        <w:t xml:space="preserve"> </w:t>
      </w:r>
      <w:r>
        <w:rPr>
          <w:rFonts w:eastAsia="Times New Roman" w:cstheme="minorHAnsi"/>
          <w:color w:val="000000"/>
        </w:rPr>
        <w:t>that an</w:t>
      </w:r>
      <w:r w:rsidR="00715570">
        <w:rPr>
          <w:rFonts w:eastAsia="Times New Roman" w:cstheme="minorHAnsi"/>
          <w:color w:val="000000"/>
        </w:rPr>
        <w:t xml:space="preserve"> orthopaedic hand surgeon </w:t>
      </w:r>
      <w:r>
        <w:rPr>
          <w:rFonts w:eastAsia="Times New Roman" w:cstheme="minorHAnsi"/>
          <w:color w:val="000000"/>
        </w:rPr>
        <w:t xml:space="preserve">can </w:t>
      </w:r>
      <w:r w:rsidR="00715570">
        <w:rPr>
          <w:rFonts w:eastAsia="Times New Roman" w:cstheme="minorHAnsi"/>
          <w:color w:val="000000"/>
        </w:rPr>
        <w:t>p</w:t>
      </w:r>
      <w:r>
        <w:rPr>
          <w:rFonts w:eastAsia="Times New Roman" w:cstheme="minorHAnsi"/>
          <w:color w:val="000000"/>
        </w:rPr>
        <w:t>er</w:t>
      </w:r>
      <w:r w:rsidR="00715570">
        <w:rPr>
          <w:rFonts w:eastAsia="Times New Roman" w:cstheme="minorHAnsi"/>
          <w:color w:val="000000"/>
        </w:rPr>
        <w:t>form</w:t>
      </w:r>
      <w:r>
        <w:rPr>
          <w:rFonts w:eastAsia="Times New Roman" w:cstheme="minorHAnsi"/>
          <w:color w:val="000000"/>
        </w:rPr>
        <w:t xml:space="preserve"> orthopaedic</w:t>
      </w:r>
      <w:r w:rsidR="00715570">
        <w:rPr>
          <w:rFonts w:eastAsia="Times New Roman" w:cstheme="minorHAnsi"/>
          <w:color w:val="000000"/>
        </w:rPr>
        <w:t xml:space="preserve"> spinal surgery. </w:t>
      </w:r>
      <w:r w:rsidR="00016875">
        <w:rPr>
          <w:rFonts w:eastAsia="Times New Roman" w:cstheme="minorHAnsi"/>
          <w:color w:val="000000"/>
        </w:rPr>
        <w:t xml:space="preserve">The PC </w:t>
      </w:r>
      <w:r>
        <w:rPr>
          <w:rFonts w:eastAsia="Times New Roman" w:cstheme="minorHAnsi"/>
          <w:color w:val="000000"/>
        </w:rPr>
        <w:t xml:space="preserve">cannot support a system that continues to provide a lower </w:t>
      </w:r>
      <w:r w:rsidR="00715570">
        <w:rPr>
          <w:rFonts w:eastAsia="Times New Roman" w:cstheme="minorHAnsi"/>
          <w:color w:val="000000"/>
        </w:rPr>
        <w:t xml:space="preserve">standard </w:t>
      </w:r>
      <w:r>
        <w:rPr>
          <w:rFonts w:eastAsia="Times New Roman" w:cstheme="minorHAnsi"/>
          <w:color w:val="000000"/>
        </w:rPr>
        <w:t>to access</w:t>
      </w:r>
      <w:r w:rsidR="00715570">
        <w:rPr>
          <w:rFonts w:eastAsia="Times New Roman" w:cstheme="minorHAnsi"/>
          <w:color w:val="000000"/>
        </w:rPr>
        <w:t xml:space="preserve"> </w:t>
      </w:r>
      <w:r w:rsidR="002241FB">
        <w:rPr>
          <w:rFonts w:eastAsia="Times New Roman" w:cstheme="minorHAnsi"/>
          <w:color w:val="000000"/>
        </w:rPr>
        <w:t xml:space="preserve">specialty </w:t>
      </w:r>
      <w:r w:rsidR="00715570">
        <w:rPr>
          <w:rFonts w:eastAsia="Times New Roman" w:cstheme="minorHAnsi"/>
          <w:color w:val="000000"/>
        </w:rPr>
        <w:t xml:space="preserve">experts </w:t>
      </w:r>
      <w:r w:rsidR="00BE4822">
        <w:rPr>
          <w:rFonts w:eastAsia="Times New Roman" w:cstheme="minorHAnsi"/>
          <w:color w:val="000000"/>
        </w:rPr>
        <w:t>in</w:t>
      </w:r>
      <w:r w:rsidR="00715570">
        <w:rPr>
          <w:rFonts w:eastAsia="Times New Roman" w:cstheme="minorHAnsi"/>
          <w:color w:val="000000"/>
        </w:rPr>
        <w:t xml:space="preserve"> MH</w:t>
      </w:r>
      <w:r w:rsidR="002241FB">
        <w:rPr>
          <w:rFonts w:eastAsia="Times New Roman" w:cstheme="minorHAnsi"/>
          <w:color w:val="000000"/>
        </w:rPr>
        <w:t xml:space="preserve"> areas at high risk</w:t>
      </w:r>
      <w:r>
        <w:rPr>
          <w:rFonts w:eastAsia="Times New Roman" w:cstheme="minorHAnsi"/>
          <w:color w:val="000000"/>
        </w:rPr>
        <w:t>.</w:t>
      </w:r>
      <w:r w:rsidR="00715570">
        <w:rPr>
          <w:rFonts w:eastAsia="Times New Roman" w:cstheme="minorHAnsi"/>
          <w:color w:val="000000"/>
        </w:rPr>
        <w:t xml:space="preserve"> </w:t>
      </w:r>
    </w:p>
    <w:p w14:paraId="40546529" w14:textId="5921DFF8" w:rsidR="00824EBB" w:rsidRDefault="005A733B" w:rsidP="005A733B">
      <w:pPr>
        <w:pStyle w:val="ListParagraph"/>
        <w:jc w:val="both"/>
        <w:rPr>
          <w:lang w:val="en-US"/>
        </w:rPr>
      </w:pPr>
      <w:r w:rsidRPr="005A733B">
        <w:rPr>
          <w:lang w:val="en-US"/>
        </w:rPr>
        <w:t xml:space="preserve"> </w:t>
      </w:r>
      <w:r w:rsidRPr="005A733B">
        <w:rPr>
          <w:lang w:val="en-US"/>
        </w:rPr>
        <w:br/>
      </w:r>
      <w:r w:rsidR="004B5424" w:rsidRPr="00A81703">
        <w:rPr>
          <w:b/>
          <w:bCs/>
          <w:sz w:val="28"/>
          <w:szCs w:val="28"/>
          <w:lang w:val="en-US"/>
        </w:rPr>
        <w:t>CPDs</w:t>
      </w:r>
      <w:r w:rsidR="004B5424" w:rsidRPr="00A81703">
        <w:rPr>
          <w:sz w:val="28"/>
          <w:szCs w:val="28"/>
          <w:lang w:val="en-US"/>
        </w:rPr>
        <w:t>.</w:t>
      </w:r>
      <w:r w:rsidR="00424253">
        <w:rPr>
          <w:sz w:val="28"/>
          <w:szCs w:val="28"/>
          <w:lang w:val="en-US"/>
        </w:rPr>
        <w:t xml:space="preserve"> </w:t>
      </w:r>
      <w:r w:rsidR="00424253" w:rsidRPr="00424253">
        <w:rPr>
          <w:lang w:val="en-US"/>
        </w:rPr>
        <w:t>Medication s</w:t>
      </w:r>
      <w:r w:rsidR="001D049D" w:rsidRPr="00424253">
        <w:rPr>
          <w:lang w:val="en-US"/>
        </w:rPr>
        <w:t>ide effects</w:t>
      </w:r>
      <w:r w:rsidR="00424253" w:rsidRPr="00424253">
        <w:rPr>
          <w:lang w:val="en-US"/>
        </w:rPr>
        <w:t xml:space="preserve"> and adverse drug reactions</w:t>
      </w:r>
      <w:r w:rsidR="00424253">
        <w:rPr>
          <w:lang w:val="en-US"/>
        </w:rPr>
        <w:t xml:space="preserve"> (ADRs)</w:t>
      </w:r>
      <w:r w:rsidR="00424253" w:rsidRPr="00424253">
        <w:rPr>
          <w:lang w:val="en-US"/>
        </w:rPr>
        <w:t xml:space="preserve"> n</w:t>
      </w:r>
      <w:r w:rsidR="001D049D" w:rsidRPr="00424253">
        <w:rPr>
          <w:lang w:val="en-US"/>
        </w:rPr>
        <w:t xml:space="preserve">eed to be </w:t>
      </w:r>
      <w:r w:rsidR="00424253">
        <w:rPr>
          <w:lang w:val="en-US"/>
        </w:rPr>
        <w:t xml:space="preserve">better </w:t>
      </w:r>
      <w:r w:rsidR="001D049D" w:rsidRPr="00424253">
        <w:rPr>
          <w:lang w:val="en-US"/>
        </w:rPr>
        <w:t>identified and managed by care providers.</w:t>
      </w:r>
      <w:r w:rsidR="001D049D">
        <w:rPr>
          <w:lang w:val="en-US"/>
        </w:rPr>
        <w:t xml:space="preserve"> The PC recommended a CPD for </w:t>
      </w:r>
      <w:r w:rsidR="001D049D" w:rsidRPr="00BE4822">
        <w:rPr>
          <w:lang w:val="en-US"/>
        </w:rPr>
        <w:t>medication side effects</w:t>
      </w:r>
      <w:r w:rsidR="001D049D">
        <w:rPr>
          <w:lang w:val="en-US"/>
        </w:rPr>
        <w:t>.</w:t>
      </w:r>
      <w:r w:rsidR="001D049D" w:rsidRPr="006E44A6">
        <w:rPr>
          <w:lang w:val="en-US"/>
        </w:rPr>
        <w:t xml:space="preserve"> </w:t>
      </w:r>
      <w:r w:rsidR="001D049D">
        <w:rPr>
          <w:lang w:val="en-US"/>
        </w:rPr>
        <w:t xml:space="preserve">I don’t believe this is enough. The following </w:t>
      </w:r>
      <w:r w:rsidR="001D049D" w:rsidRPr="006E44A6">
        <w:rPr>
          <w:lang w:val="en-US"/>
        </w:rPr>
        <w:t>CPD</w:t>
      </w:r>
      <w:r w:rsidR="001D049D">
        <w:rPr>
          <w:lang w:val="en-US"/>
        </w:rPr>
        <w:t xml:space="preserve">s should </w:t>
      </w:r>
      <w:r w:rsidR="002241FB">
        <w:rPr>
          <w:lang w:val="en-US"/>
        </w:rPr>
        <w:t xml:space="preserve">also </w:t>
      </w:r>
      <w:r w:rsidR="001D049D">
        <w:rPr>
          <w:lang w:val="en-US"/>
        </w:rPr>
        <w:t>be recommended to ensure medication safety and current evidence-based practices.</w:t>
      </w:r>
    </w:p>
    <w:p w14:paraId="0455DF02" w14:textId="77777777" w:rsidR="00824EBB" w:rsidRDefault="00824EBB" w:rsidP="00A81703">
      <w:pPr>
        <w:pStyle w:val="ListParagraph"/>
        <w:numPr>
          <w:ilvl w:val="1"/>
          <w:numId w:val="11"/>
        </w:numPr>
        <w:jc w:val="both"/>
        <w:rPr>
          <w:lang w:val="en-US"/>
        </w:rPr>
      </w:pPr>
      <w:r w:rsidRPr="00824EBB">
        <w:rPr>
          <w:b/>
          <w:bCs/>
          <w:lang w:val="en-US"/>
        </w:rPr>
        <w:t>D</w:t>
      </w:r>
      <w:r w:rsidR="00AD1A3B" w:rsidRPr="00824EBB">
        <w:rPr>
          <w:b/>
          <w:bCs/>
          <w:lang w:val="en-US"/>
        </w:rPr>
        <w:t>eprescribing</w:t>
      </w:r>
      <w:r w:rsidR="006E44A6" w:rsidRPr="00824EBB">
        <w:rPr>
          <w:b/>
          <w:bCs/>
          <w:lang w:val="en-US"/>
        </w:rPr>
        <w:t xml:space="preserve"> </w:t>
      </w:r>
      <w:r w:rsidR="006E44A6" w:rsidRPr="00824EBB">
        <w:rPr>
          <w:lang w:val="en-US"/>
        </w:rPr>
        <w:t xml:space="preserve">medications </w:t>
      </w:r>
      <w:r w:rsidRPr="00824EBB">
        <w:rPr>
          <w:lang w:val="en-US"/>
        </w:rPr>
        <w:t>(see below)</w:t>
      </w:r>
      <w:r w:rsidR="00AD1A3B" w:rsidRPr="00824EBB">
        <w:rPr>
          <w:lang w:val="en-US"/>
        </w:rPr>
        <w:t>.</w:t>
      </w:r>
      <w:r w:rsidRPr="00824EBB">
        <w:rPr>
          <w:lang w:val="en-US"/>
        </w:rPr>
        <w:t xml:space="preserve"> </w:t>
      </w:r>
    </w:p>
    <w:p w14:paraId="0CE5FFB1" w14:textId="1A007827" w:rsidR="006E44A6" w:rsidRDefault="005546CC" w:rsidP="00A81703">
      <w:pPr>
        <w:pStyle w:val="ListParagraph"/>
        <w:numPr>
          <w:ilvl w:val="1"/>
          <w:numId w:val="11"/>
        </w:numPr>
        <w:jc w:val="both"/>
        <w:rPr>
          <w:lang w:val="en-US"/>
        </w:rPr>
      </w:pPr>
      <w:r>
        <w:t xml:space="preserve">Revised </w:t>
      </w:r>
      <w:r>
        <w:rPr>
          <w:i/>
          <w:iCs/>
        </w:rPr>
        <w:t xml:space="preserve">RANZCP </w:t>
      </w:r>
      <w:r w:rsidRPr="004347C3">
        <w:rPr>
          <w:b/>
          <w:bCs/>
          <w:i/>
          <w:iCs/>
        </w:rPr>
        <w:t>Clinical Practice Guidelines</w:t>
      </w:r>
      <w:r>
        <w:rPr>
          <w:i/>
          <w:iCs/>
        </w:rPr>
        <w:t xml:space="preserve"> </w:t>
      </w:r>
      <w:r>
        <w:t>are significant documents</w:t>
      </w:r>
      <w:r w:rsidR="00424253">
        <w:t xml:space="preserve">. These </w:t>
      </w:r>
      <w:r w:rsidR="00824EBB">
        <w:rPr>
          <w:lang w:val="en-US"/>
        </w:rPr>
        <w:t xml:space="preserve">should be made </w:t>
      </w:r>
      <w:r w:rsidR="006E44A6" w:rsidRPr="00824EBB">
        <w:rPr>
          <w:lang w:val="en-US"/>
        </w:rPr>
        <w:t>mandatory CPDs for psychiatrist</w:t>
      </w:r>
      <w:r w:rsidR="00424253">
        <w:rPr>
          <w:lang w:val="en-US"/>
        </w:rPr>
        <w:t xml:space="preserve"> to</w:t>
      </w:r>
      <w:r w:rsidR="006E44A6" w:rsidRPr="00824EBB">
        <w:rPr>
          <w:lang w:val="en-US"/>
        </w:rPr>
        <w:t xml:space="preserve"> </w:t>
      </w:r>
      <w:r w:rsidR="006E4459" w:rsidRPr="00824EBB">
        <w:rPr>
          <w:lang w:val="en-US"/>
        </w:rPr>
        <w:t>ensure</w:t>
      </w:r>
      <w:r w:rsidR="00BE4822">
        <w:rPr>
          <w:lang w:val="en-US"/>
        </w:rPr>
        <w:t xml:space="preserve"> </w:t>
      </w:r>
      <w:r w:rsidR="00424253">
        <w:rPr>
          <w:lang w:val="en-US"/>
        </w:rPr>
        <w:t>current</w:t>
      </w:r>
      <w:r w:rsidR="006E4459" w:rsidRPr="00824EBB">
        <w:rPr>
          <w:lang w:val="en-US"/>
        </w:rPr>
        <w:t xml:space="preserve"> practice </w:t>
      </w:r>
      <w:r w:rsidR="00BE4822">
        <w:rPr>
          <w:lang w:val="en-US"/>
        </w:rPr>
        <w:t>is maintained</w:t>
      </w:r>
      <w:r w:rsidR="00424253">
        <w:rPr>
          <w:lang w:val="en-US"/>
        </w:rPr>
        <w:t xml:space="preserve">. </w:t>
      </w:r>
      <w:r w:rsidR="006E44A6" w:rsidRPr="00824EBB">
        <w:rPr>
          <w:lang w:val="en-US"/>
        </w:rPr>
        <w:t xml:space="preserve"> </w:t>
      </w:r>
    </w:p>
    <w:p w14:paraId="470B0CF2" w14:textId="010FA3B3" w:rsidR="00C158F2" w:rsidRDefault="00C158F2" w:rsidP="00C158F2">
      <w:pPr>
        <w:ind w:left="720"/>
        <w:jc w:val="both"/>
      </w:pPr>
      <w:r>
        <w:t xml:space="preserve">As part of the </w:t>
      </w:r>
      <w:r w:rsidRPr="007A44E0">
        <w:rPr>
          <w:i/>
          <w:iCs/>
        </w:rPr>
        <w:t>‘Registration Standard'</w:t>
      </w:r>
      <w:r>
        <w:t xml:space="preserve"> annual registration renewal requires that health care professionals only provide </w:t>
      </w:r>
      <w:r>
        <w:rPr>
          <w:i/>
          <w:iCs/>
        </w:rPr>
        <w:t xml:space="preserve">"services that they are trained, qualified and competent to perform". </w:t>
      </w:r>
      <w:r>
        <w:t xml:space="preserve"> There is no method for myself or my GP to establish if</w:t>
      </w:r>
      <w:r w:rsidR="00BE4822">
        <w:t xml:space="preserve"> the consultant I am referred to has </w:t>
      </w:r>
      <w:r>
        <w:t>attended CPDs specific to my illness in the past two years</w:t>
      </w:r>
      <w:r w:rsidR="00BE4822">
        <w:t>;</w:t>
      </w:r>
      <w:r>
        <w:t xml:space="preserve"> or if twenty years had lapsed.</w:t>
      </w:r>
    </w:p>
    <w:p w14:paraId="5D8D32E2" w14:textId="5BA99264" w:rsidR="006E44A6" w:rsidRDefault="00C158F2" w:rsidP="00C158F2">
      <w:pPr>
        <w:ind w:left="720"/>
        <w:jc w:val="both"/>
      </w:pPr>
      <w:r>
        <w:t>It would seem reasonable for consumers to know that a psychiatrist had an endorsement from the RANZCP before they were permitted to promote on their websites that this was a field that they were currently trained, qualified and competent to perform. CPDs could attract an endorsement which was valid for 2 years. Not having an endorsement does not prevent them from practicing. Such a system would let the consumer know where the consultants interest lay.</w:t>
      </w:r>
    </w:p>
    <w:p w14:paraId="623CAB82" w14:textId="739C95BA" w:rsidR="004E228D" w:rsidRPr="0027664F" w:rsidRDefault="004E228D" w:rsidP="000447EB">
      <w:pPr>
        <w:spacing w:after="0"/>
        <w:jc w:val="both"/>
        <w:rPr>
          <w:sz w:val="28"/>
          <w:szCs w:val="28"/>
          <w:u w:val="single"/>
        </w:rPr>
      </w:pPr>
      <w:r w:rsidRPr="0027664F">
        <w:rPr>
          <w:color w:val="2F5496" w:themeColor="accent1" w:themeShade="BF"/>
          <w:sz w:val="28"/>
          <w:szCs w:val="28"/>
          <w:u w:val="single"/>
        </w:rPr>
        <w:t>SAFE TREATEMENT</w:t>
      </w:r>
    </w:p>
    <w:p w14:paraId="1B447C56" w14:textId="768E12BB" w:rsidR="007A44E0" w:rsidRDefault="005A22AC" w:rsidP="005A22AC">
      <w:pPr>
        <w:pStyle w:val="ListParagraph"/>
        <w:numPr>
          <w:ilvl w:val="0"/>
          <w:numId w:val="11"/>
        </w:numPr>
        <w:spacing w:after="240"/>
        <w:jc w:val="both"/>
        <w:rPr>
          <w:lang w:val="en-US"/>
        </w:rPr>
      </w:pPr>
      <w:r w:rsidRPr="00AC5450">
        <w:rPr>
          <w:b/>
          <w:bCs/>
          <w:sz w:val="28"/>
          <w:szCs w:val="28"/>
          <w:lang w:val="en-US"/>
        </w:rPr>
        <w:t>Deprescribing medications</w:t>
      </w:r>
      <w:r>
        <w:rPr>
          <w:b/>
          <w:bCs/>
          <w:sz w:val="28"/>
          <w:szCs w:val="28"/>
          <w:lang w:val="en-US"/>
        </w:rPr>
        <w:t xml:space="preserve"> </w:t>
      </w:r>
      <w:r w:rsidRPr="006963FE">
        <w:rPr>
          <w:lang w:val="en-US"/>
        </w:rPr>
        <w:t xml:space="preserve">is identified as </w:t>
      </w:r>
      <w:r>
        <w:rPr>
          <w:lang w:val="en-US"/>
        </w:rPr>
        <w:t xml:space="preserve">an essential part of minimising risks of pharmaceutical </w:t>
      </w:r>
      <w:r w:rsidRPr="006963FE">
        <w:rPr>
          <w:lang w:val="en-US"/>
        </w:rPr>
        <w:t>treatment</w:t>
      </w:r>
      <w:r>
        <w:rPr>
          <w:lang w:val="en-US"/>
        </w:rPr>
        <w:t xml:space="preserve">. It is a </w:t>
      </w:r>
      <w:r w:rsidRPr="006963FE">
        <w:rPr>
          <w:lang w:val="en-US"/>
        </w:rPr>
        <w:t>national crisis that requires a national strategic approach with attentio</w:t>
      </w:r>
      <w:r w:rsidRPr="00AC5450">
        <w:rPr>
          <w:lang w:val="en-US"/>
        </w:rPr>
        <w:t>n to psychotropic medications. Some individual bodies are attempting to identify this need, but this will result in an ad-hoc outcome</w:t>
      </w:r>
      <w:r w:rsidR="007A44E0">
        <w:rPr>
          <w:lang w:val="en-US"/>
        </w:rPr>
        <w:t xml:space="preserve">. It won’t reach </w:t>
      </w:r>
      <w:r w:rsidR="00D029C0">
        <w:rPr>
          <w:lang w:val="en-US"/>
        </w:rPr>
        <w:t>all</w:t>
      </w:r>
      <w:r w:rsidR="00016875">
        <w:rPr>
          <w:lang w:val="en-US"/>
        </w:rPr>
        <w:t xml:space="preserve"> </w:t>
      </w:r>
      <w:r w:rsidR="007A44E0">
        <w:rPr>
          <w:lang w:val="en-US"/>
        </w:rPr>
        <w:t xml:space="preserve">consumers </w:t>
      </w:r>
      <w:r w:rsidR="00016875">
        <w:rPr>
          <w:lang w:val="en-US"/>
        </w:rPr>
        <w:t>requir</w:t>
      </w:r>
      <w:r w:rsidR="007A44E0">
        <w:rPr>
          <w:lang w:val="en-US"/>
        </w:rPr>
        <w:t>ing</w:t>
      </w:r>
      <w:r w:rsidR="00016875">
        <w:rPr>
          <w:lang w:val="en-US"/>
        </w:rPr>
        <w:t xml:space="preserve"> th</w:t>
      </w:r>
      <w:r w:rsidR="00D029C0">
        <w:rPr>
          <w:lang w:val="en-US"/>
        </w:rPr>
        <w:t>e</w:t>
      </w:r>
      <w:r w:rsidR="00016875">
        <w:rPr>
          <w:lang w:val="en-US"/>
        </w:rPr>
        <w:t xml:space="preserve"> service</w:t>
      </w:r>
      <w:r w:rsidR="007A44E0">
        <w:rPr>
          <w:lang w:val="en-US"/>
        </w:rPr>
        <w:t>, nor be implemented by care providers who don’t believe this applies to them</w:t>
      </w:r>
      <w:r w:rsidRPr="00AC5450">
        <w:rPr>
          <w:lang w:val="en-US"/>
        </w:rPr>
        <w:t xml:space="preserve">. </w:t>
      </w:r>
    </w:p>
    <w:p w14:paraId="17D1E3E4" w14:textId="0C49046B" w:rsidR="005A22AC" w:rsidRPr="00AC5450" w:rsidRDefault="00FE6EEE" w:rsidP="007A44E0">
      <w:pPr>
        <w:pStyle w:val="ListParagraph"/>
        <w:spacing w:after="240"/>
        <w:jc w:val="both"/>
        <w:rPr>
          <w:lang w:val="en-US"/>
        </w:rPr>
      </w:pPr>
      <w:hyperlink r:id="rId14" w:history="1">
        <w:r w:rsidR="007A44E0" w:rsidRPr="00B843CC">
          <w:rPr>
            <w:rStyle w:val="Hyperlink"/>
          </w:rPr>
          <w:t>http://www.nswtag.org.au/wp-content/uploads/2018/06/1.3-Deprescribing-Guide-for-Selective-Serotonin-Reuptake-Inhibitors-SSRIs-and-Serotonin-Noradrenaline-Reuptake-Inhibitors-SNRIs.pdf</w:t>
        </w:r>
      </w:hyperlink>
      <w:r w:rsidR="005A22AC" w:rsidRPr="00AC5450">
        <w:rPr>
          <w:lang w:val="en-US"/>
        </w:rPr>
        <w:t xml:space="preserve"> </w:t>
      </w:r>
      <w:r w:rsidR="005A22AC" w:rsidRPr="00AC5450">
        <w:rPr>
          <w:lang w:val="en-US"/>
        </w:rPr>
        <w:br/>
      </w:r>
      <w:r w:rsidR="005A22AC" w:rsidRPr="00AC5450">
        <w:rPr>
          <w:lang w:val="en-US"/>
        </w:rPr>
        <w:br/>
      </w:r>
      <w:r w:rsidR="00016875">
        <w:rPr>
          <w:lang w:val="en-US"/>
        </w:rPr>
        <w:t xml:space="preserve">In </w:t>
      </w:r>
      <w:r w:rsidR="005A22AC" w:rsidRPr="00AC5450">
        <w:rPr>
          <w:lang w:val="en-US"/>
        </w:rPr>
        <w:t xml:space="preserve">my experience I found poor understanding by consultants on how to cease antidepressants despite documenting </w:t>
      </w:r>
      <w:r w:rsidR="005A22AC">
        <w:rPr>
          <w:lang w:val="en-US"/>
        </w:rPr>
        <w:t xml:space="preserve">life threatening </w:t>
      </w:r>
      <w:r w:rsidR="005A22AC" w:rsidRPr="00AC5450">
        <w:rPr>
          <w:lang w:val="en-US"/>
        </w:rPr>
        <w:t xml:space="preserve">ADRs. It was through my own research that I learnt that a second mood stabilizer with antidepressant properties was required before removing the </w:t>
      </w:r>
      <w:r w:rsidR="00BE4822">
        <w:rPr>
          <w:lang w:val="en-US"/>
        </w:rPr>
        <w:t>antidepressant</w:t>
      </w:r>
      <w:r w:rsidR="005A22AC" w:rsidRPr="00AC5450">
        <w:rPr>
          <w:lang w:val="en-US"/>
        </w:rPr>
        <w:t xml:space="preserve">; </w:t>
      </w:r>
      <w:r w:rsidR="00BE4822" w:rsidRPr="00AC5450">
        <w:rPr>
          <w:lang w:val="en-US"/>
        </w:rPr>
        <w:t>thus,</w:t>
      </w:r>
      <w:r w:rsidR="005A22AC" w:rsidRPr="00AC5450">
        <w:rPr>
          <w:lang w:val="en-US"/>
        </w:rPr>
        <w:t xml:space="preserve"> </w:t>
      </w:r>
      <w:r w:rsidR="005A22AC" w:rsidRPr="00AC5450">
        <w:rPr>
          <w:lang w:val="en-US"/>
        </w:rPr>
        <w:lastRenderedPageBreak/>
        <w:t xml:space="preserve">preventing rebound depression. This </w:t>
      </w:r>
      <w:r w:rsidR="007A44E0">
        <w:rPr>
          <w:lang w:val="en-US"/>
        </w:rPr>
        <w:t xml:space="preserve">should not have been the consumers </w:t>
      </w:r>
      <w:r w:rsidR="005A22AC">
        <w:rPr>
          <w:lang w:val="en-US"/>
        </w:rPr>
        <w:t xml:space="preserve">job to </w:t>
      </w:r>
      <w:r w:rsidR="007A44E0">
        <w:rPr>
          <w:lang w:val="en-US"/>
        </w:rPr>
        <w:t xml:space="preserve">find </w:t>
      </w:r>
      <w:r w:rsidR="005A22AC">
        <w:rPr>
          <w:lang w:val="en-US"/>
        </w:rPr>
        <w:t>solutions. Th</w:t>
      </w:r>
      <w:r w:rsidR="005A22AC" w:rsidRPr="00AC5450">
        <w:rPr>
          <w:lang w:val="en-US"/>
        </w:rPr>
        <w:t xml:space="preserve">e Government </w:t>
      </w:r>
      <w:r w:rsidR="00DE6C6F" w:rsidRPr="00AC5450">
        <w:rPr>
          <w:lang w:val="en-US"/>
        </w:rPr>
        <w:t>pa</w:t>
      </w:r>
      <w:r w:rsidR="00DE6C6F">
        <w:rPr>
          <w:lang w:val="en-US"/>
        </w:rPr>
        <w:t>ys</w:t>
      </w:r>
      <w:r w:rsidR="005A22AC" w:rsidRPr="00AC5450">
        <w:rPr>
          <w:lang w:val="en-US"/>
        </w:rPr>
        <w:t xml:space="preserve"> consultants to</w:t>
      </w:r>
      <w:r w:rsidR="005A22AC">
        <w:rPr>
          <w:lang w:val="en-US"/>
        </w:rPr>
        <w:t xml:space="preserve"> recognise </w:t>
      </w:r>
      <w:r w:rsidR="00016875">
        <w:rPr>
          <w:lang w:val="en-US"/>
        </w:rPr>
        <w:t xml:space="preserve">ADRs, and </w:t>
      </w:r>
      <w:r w:rsidR="005A22AC" w:rsidRPr="00AC5450">
        <w:rPr>
          <w:lang w:val="en-US"/>
        </w:rPr>
        <w:t>deprescrib</w:t>
      </w:r>
      <w:r w:rsidR="00016875">
        <w:rPr>
          <w:lang w:val="en-US"/>
        </w:rPr>
        <w:t xml:space="preserve">e them when treatment </w:t>
      </w:r>
      <w:r w:rsidR="005A22AC" w:rsidRPr="00AC5450">
        <w:rPr>
          <w:lang w:val="en-US"/>
        </w:rPr>
        <w:t>compromis</w:t>
      </w:r>
      <w:r w:rsidR="005A22AC">
        <w:rPr>
          <w:lang w:val="en-US"/>
        </w:rPr>
        <w:t>e</w:t>
      </w:r>
      <w:r w:rsidR="00016875">
        <w:rPr>
          <w:lang w:val="en-US"/>
        </w:rPr>
        <w:t>s</w:t>
      </w:r>
      <w:r w:rsidR="00D029C0">
        <w:rPr>
          <w:lang w:val="en-US"/>
        </w:rPr>
        <w:t xml:space="preserve"> the </w:t>
      </w:r>
      <w:r w:rsidR="005A22AC">
        <w:rPr>
          <w:lang w:val="en-US"/>
        </w:rPr>
        <w:t>consumers</w:t>
      </w:r>
      <w:r w:rsidR="00D029C0">
        <w:rPr>
          <w:lang w:val="en-US"/>
        </w:rPr>
        <w:t xml:space="preserve"> wellbeing</w:t>
      </w:r>
      <w:r w:rsidR="00BE4822">
        <w:rPr>
          <w:lang w:val="en-US"/>
        </w:rPr>
        <w:t xml:space="preserve">. Instead further </w:t>
      </w:r>
      <w:r w:rsidR="00D029C0">
        <w:rPr>
          <w:lang w:val="en-US"/>
        </w:rPr>
        <w:t>psychotropics</w:t>
      </w:r>
      <w:r w:rsidR="00BE4822">
        <w:rPr>
          <w:lang w:val="en-US"/>
        </w:rPr>
        <w:t xml:space="preserve"> were added to try </w:t>
      </w:r>
      <w:r w:rsidR="00D029C0">
        <w:rPr>
          <w:lang w:val="en-US"/>
        </w:rPr>
        <w:t>and treat the drug reactions.</w:t>
      </w:r>
      <w:r w:rsidR="00BE4822">
        <w:rPr>
          <w:lang w:val="en-US"/>
        </w:rPr>
        <w:t xml:space="preserve"> </w:t>
      </w:r>
    </w:p>
    <w:p w14:paraId="6A20505B" w14:textId="77777777" w:rsidR="005A22AC" w:rsidRPr="005D144A" w:rsidRDefault="005A22AC" w:rsidP="005A22AC">
      <w:pPr>
        <w:pStyle w:val="ListParagraph"/>
        <w:spacing w:after="240"/>
      </w:pPr>
    </w:p>
    <w:p w14:paraId="74B7AB8A" w14:textId="12ACA05B" w:rsidR="005A22AC" w:rsidRPr="00853AA9" w:rsidRDefault="005A22AC" w:rsidP="005A22AC">
      <w:pPr>
        <w:pStyle w:val="ListParagraph"/>
        <w:jc w:val="both"/>
        <w:rPr>
          <w:lang w:val="en-US"/>
        </w:rPr>
      </w:pPr>
      <w:r w:rsidRPr="00853AA9">
        <w:rPr>
          <w:lang w:val="en-US"/>
        </w:rPr>
        <w:t xml:space="preserve">Canada </w:t>
      </w:r>
      <w:r>
        <w:rPr>
          <w:lang w:val="en-US"/>
        </w:rPr>
        <w:t xml:space="preserve">is taking a </w:t>
      </w:r>
      <w:r w:rsidRPr="00853AA9">
        <w:rPr>
          <w:lang w:val="en-US"/>
        </w:rPr>
        <w:t xml:space="preserve">lead in national deprescribing strategies. </w:t>
      </w:r>
      <w:r>
        <w:rPr>
          <w:lang w:val="en-US"/>
        </w:rPr>
        <w:t xml:space="preserve">Below are </w:t>
      </w:r>
      <w:r w:rsidRPr="00853AA9">
        <w:rPr>
          <w:lang w:val="en-US"/>
        </w:rPr>
        <w:t xml:space="preserve">links on how </w:t>
      </w:r>
      <w:r>
        <w:rPr>
          <w:lang w:val="en-US"/>
        </w:rPr>
        <w:t>the</w:t>
      </w:r>
      <w:r w:rsidR="00DE6C6F">
        <w:rPr>
          <w:lang w:val="en-US"/>
        </w:rPr>
        <w:t>ir</w:t>
      </w:r>
      <w:r>
        <w:rPr>
          <w:lang w:val="en-US"/>
        </w:rPr>
        <w:t xml:space="preserve"> Government has </w:t>
      </w:r>
      <w:r w:rsidRPr="00853AA9">
        <w:rPr>
          <w:lang w:val="en-US"/>
        </w:rPr>
        <w:t xml:space="preserve">implemented this to </w:t>
      </w:r>
      <w:r w:rsidR="00DE6C6F">
        <w:rPr>
          <w:lang w:val="en-US"/>
        </w:rPr>
        <w:t xml:space="preserve">support care providers and protect </w:t>
      </w:r>
      <w:r w:rsidRPr="00853AA9">
        <w:rPr>
          <w:lang w:val="en-US"/>
        </w:rPr>
        <w:t>consumers.</w:t>
      </w:r>
    </w:p>
    <w:p w14:paraId="453CD055" w14:textId="77777777" w:rsidR="005A22AC" w:rsidRPr="00853AA9" w:rsidRDefault="00FE6EEE" w:rsidP="005A22AC">
      <w:pPr>
        <w:pStyle w:val="ListParagraph"/>
        <w:jc w:val="both"/>
        <w:rPr>
          <w:lang w:val="en-US"/>
        </w:rPr>
      </w:pPr>
      <w:hyperlink r:id="rId15" w:history="1">
        <w:r w:rsidR="005A22AC" w:rsidRPr="00AC4C0D">
          <w:rPr>
            <w:rStyle w:val="Hyperlink"/>
          </w:rPr>
          <w:t>https://deprescribing.org/</w:t>
        </w:r>
      </w:hyperlink>
      <w:r w:rsidR="005A22AC">
        <w:br/>
      </w:r>
      <w:hyperlink r:id="rId16" w:history="1">
        <w:r w:rsidR="005A22AC">
          <w:rPr>
            <w:rStyle w:val="Hyperlink"/>
          </w:rPr>
          <w:t>https://www.ismp-canada.org/download/safetyBulletins/2018/ISMPCSB2018-03-Deprescribing.pdf</w:t>
        </w:r>
      </w:hyperlink>
    </w:p>
    <w:p w14:paraId="491128D1" w14:textId="3257AEE5" w:rsidR="005A22AC" w:rsidRDefault="00FE6EEE" w:rsidP="005A22AC">
      <w:pPr>
        <w:pStyle w:val="ListParagraph"/>
        <w:spacing w:after="240"/>
        <w:rPr>
          <w:rStyle w:val="Hyperlink"/>
        </w:rPr>
      </w:pPr>
      <w:hyperlink r:id="rId17" w:history="1">
        <w:r w:rsidR="005A22AC" w:rsidRPr="00AC4C0D">
          <w:rPr>
            <w:rStyle w:val="Hyperlink"/>
          </w:rPr>
          <w:t>http://medstopper.com/</w:t>
        </w:r>
      </w:hyperlink>
    </w:p>
    <w:p w14:paraId="68DD6047" w14:textId="3006C854" w:rsidR="005A22AC" w:rsidRDefault="005A22AC" w:rsidP="005A22AC">
      <w:pPr>
        <w:pStyle w:val="ListParagraph"/>
        <w:spacing w:after="240"/>
        <w:rPr>
          <w:rStyle w:val="Hyperlink"/>
        </w:rPr>
      </w:pPr>
    </w:p>
    <w:p w14:paraId="0CAD9144" w14:textId="2A1FF4F9" w:rsidR="00161440" w:rsidRDefault="00161440" w:rsidP="007A44E0">
      <w:pPr>
        <w:pStyle w:val="ListParagraph"/>
        <w:numPr>
          <w:ilvl w:val="0"/>
          <w:numId w:val="11"/>
        </w:numPr>
        <w:spacing w:after="240"/>
        <w:jc w:val="both"/>
      </w:pPr>
      <w:r w:rsidRPr="00BA392C">
        <w:rPr>
          <w:b/>
          <w:bCs/>
          <w:sz w:val="28"/>
          <w:szCs w:val="28"/>
          <w:lang w:val="en-US"/>
        </w:rPr>
        <w:t>Pharmacogenomic Testing</w:t>
      </w:r>
      <w:r w:rsidR="00DE6C6F">
        <w:rPr>
          <w:b/>
          <w:bCs/>
          <w:sz w:val="28"/>
          <w:szCs w:val="28"/>
          <w:lang w:val="en-US"/>
        </w:rPr>
        <w:t>.</w:t>
      </w:r>
      <w:r w:rsidRPr="00BA392C">
        <w:rPr>
          <w:b/>
          <w:bCs/>
          <w:sz w:val="28"/>
          <w:szCs w:val="28"/>
          <w:lang w:val="en-US"/>
        </w:rPr>
        <w:t xml:space="preserve"> </w:t>
      </w:r>
      <w:r>
        <w:t>My test results were lik</w:t>
      </w:r>
      <w:r w:rsidR="00DE6C6F">
        <w:t>e</w:t>
      </w:r>
      <w:r>
        <w:t xml:space="preserve"> looking into a mirror. What I </w:t>
      </w:r>
      <w:r w:rsidR="00DE6C6F">
        <w:t xml:space="preserve">had </w:t>
      </w:r>
      <w:r>
        <w:t>explain</w:t>
      </w:r>
      <w:r w:rsidR="006E66B7">
        <w:t>ed</w:t>
      </w:r>
      <w:r>
        <w:t xml:space="preserve"> to my </w:t>
      </w:r>
      <w:r w:rsidR="00DE6C6F">
        <w:t xml:space="preserve">healthcare providers </w:t>
      </w:r>
      <w:r>
        <w:t>was real. The information included in this document,</w:t>
      </w:r>
      <w:r w:rsidR="00F10418">
        <w:t xml:space="preserve"> together with relevant clinical information, </w:t>
      </w:r>
      <w:r>
        <w:t>would have guided my treatment</w:t>
      </w:r>
      <w:r w:rsidR="006E66B7">
        <w:t>,</w:t>
      </w:r>
      <w:r>
        <w:t xml:space="preserve"> </w:t>
      </w:r>
      <w:r w:rsidR="00F10418">
        <w:t xml:space="preserve">and </w:t>
      </w:r>
      <w:r>
        <w:t>minimised risks</w:t>
      </w:r>
      <w:r w:rsidR="00F10418">
        <w:t xml:space="preserve"> of injury that I sustained. </w:t>
      </w:r>
      <w:r>
        <w:t>The experimenting could have happened in a test tube instead of</w:t>
      </w:r>
      <w:r w:rsidR="00F10418">
        <w:t xml:space="preserve"> the years of</w:t>
      </w:r>
      <w:r>
        <w:t xml:space="preserve"> </w:t>
      </w:r>
      <w:r w:rsidR="00D029C0">
        <w:t>unguided treatment i</w:t>
      </w:r>
      <w:r>
        <w:t>n my body</w:t>
      </w:r>
      <w:r w:rsidR="00F10418">
        <w:t xml:space="preserve"> that </w:t>
      </w:r>
      <w:r w:rsidR="007B6B73">
        <w:t xml:space="preserve">lead to </w:t>
      </w:r>
      <w:r w:rsidR="00F10418">
        <w:t xml:space="preserve">permanent </w:t>
      </w:r>
      <w:r w:rsidR="007B6B73">
        <w:t>injury</w:t>
      </w:r>
      <w:r>
        <w:t>. Key points:-</w:t>
      </w:r>
    </w:p>
    <w:p w14:paraId="79AA8496" w14:textId="77777777" w:rsidR="00161440" w:rsidRDefault="00161440" w:rsidP="00161440">
      <w:pPr>
        <w:pStyle w:val="ListParagraph"/>
        <w:numPr>
          <w:ilvl w:val="1"/>
          <w:numId w:val="11"/>
        </w:numPr>
        <w:spacing w:after="240"/>
      </w:pPr>
      <w:r>
        <w:t>minimise risk by using pharmacogenomic guided treatment decisions,</w:t>
      </w:r>
    </w:p>
    <w:p w14:paraId="1DAD791D" w14:textId="0556C917" w:rsidR="00161440" w:rsidRDefault="00161440" w:rsidP="00161440">
      <w:pPr>
        <w:pStyle w:val="ListParagraph"/>
        <w:numPr>
          <w:ilvl w:val="1"/>
          <w:numId w:val="11"/>
        </w:numPr>
        <w:spacing w:after="240"/>
      </w:pPr>
      <w:r>
        <w:t>one-off cost</w:t>
      </w:r>
      <w:r w:rsidR="007A44E0">
        <w:t xml:space="preserve"> ($197)</w:t>
      </w:r>
      <w:r>
        <w:t xml:space="preserve"> by PBS for non-responding and treatment-resistant consumers,</w:t>
      </w:r>
    </w:p>
    <w:p w14:paraId="06D6D3E7" w14:textId="71FC83EB" w:rsidR="006E66B7" w:rsidRDefault="00161440" w:rsidP="00161440">
      <w:pPr>
        <w:pStyle w:val="ListParagraph"/>
        <w:numPr>
          <w:ilvl w:val="1"/>
          <w:numId w:val="11"/>
        </w:numPr>
        <w:spacing w:after="240"/>
      </w:pPr>
      <w:r>
        <w:t>test results provide preventative measures</w:t>
      </w:r>
      <w:r w:rsidR="006E66B7">
        <w:t xml:space="preserve">, and  </w:t>
      </w:r>
    </w:p>
    <w:p w14:paraId="230C0283" w14:textId="2E84B3E2" w:rsidR="00161440" w:rsidRDefault="006E66B7" w:rsidP="00161440">
      <w:pPr>
        <w:pStyle w:val="ListParagraph"/>
        <w:numPr>
          <w:ilvl w:val="1"/>
          <w:numId w:val="11"/>
        </w:numPr>
        <w:spacing w:after="240"/>
      </w:pPr>
      <w:r>
        <w:t xml:space="preserve">they </w:t>
      </w:r>
      <w:r w:rsidR="00161440">
        <w:t xml:space="preserve">provide a guide to </w:t>
      </w:r>
      <w:r w:rsidR="00EE1495">
        <w:t>future treatment decisions, including yet undiagnosed illnesses</w:t>
      </w:r>
      <w:r w:rsidR="00161440">
        <w:t>.</w:t>
      </w:r>
    </w:p>
    <w:p w14:paraId="20B49217" w14:textId="593E9508" w:rsidR="00E975D4" w:rsidRDefault="00D029C0" w:rsidP="00D03BDD">
      <w:pPr>
        <w:spacing w:after="240"/>
        <w:ind w:left="680"/>
        <w:jc w:val="both"/>
        <w:rPr>
          <w:b/>
          <w:bCs/>
          <w:i/>
          <w:iCs/>
          <w:lang w:val="en-US"/>
        </w:rPr>
      </w:pPr>
      <w:r w:rsidRPr="00D029C0">
        <w:rPr>
          <w:lang w:val="en-US"/>
        </w:rPr>
        <w:t>In the</w:t>
      </w:r>
      <w:r>
        <w:rPr>
          <w:i/>
          <w:iCs/>
          <w:lang w:val="en-US"/>
        </w:rPr>
        <w:t xml:space="preserve"> </w:t>
      </w:r>
      <w:r w:rsidR="00F13540" w:rsidRPr="00BA392C">
        <w:rPr>
          <w:i/>
          <w:iCs/>
          <w:lang w:val="en-US"/>
        </w:rPr>
        <w:t>‘Impact of Phamacogenomics on Clinical Outcomes for Patients Taking Medications with Gene-Drug Interactions in a Randomized Controlled Trial’</w:t>
      </w:r>
      <w:r w:rsidR="006E66B7">
        <w:rPr>
          <w:i/>
          <w:iCs/>
          <w:lang w:val="en-US"/>
        </w:rPr>
        <w:t xml:space="preserve"> </w:t>
      </w:r>
      <w:r w:rsidR="00BE4822" w:rsidRPr="00E975D4">
        <w:rPr>
          <w:i/>
          <w:iCs/>
          <w:sz w:val="18"/>
          <w:szCs w:val="18"/>
          <w:lang w:val="en-US"/>
        </w:rPr>
        <w:t>(</w:t>
      </w:r>
      <w:r w:rsidR="00F13540" w:rsidRPr="00E975D4">
        <w:rPr>
          <w:sz w:val="18"/>
          <w:szCs w:val="18"/>
          <w:lang w:val="en-US"/>
        </w:rPr>
        <w:t>Thase, 2019</w:t>
      </w:r>
      <w:r w:rsidR="00BE4822" w:rsidRPr="00E975D4">
        <w:rPr>
          <w:sz w:val="18"/>
          <w:szCs w:val="18"/>
          <w:lang w:val="en-US"/>
        </w:rPr>
        <w:t>)</w:t>
      </w:r>
      <w:r w:rsidR="00F13540" w:rsidRPr="00BE4822">
        <w:rPr>
          <w:sz w:val="16"/>
          <w:szCs w:val="16"/>
          <w:lang w:val="en-US"/>
        </w:rPr>
        <w:t xml:space="preserve"> </w:t>
      </w:r>
      <w:r w:rsidRPr="00D029C0">
        <w:rPr>
          <w:lang w:val="en-US"/>
        </w:rPr>
        <w:t>they</w:t>
      </w:r>
      <w:r>
        <w:rPr>
          <w:sz w:val="16"/>
          <w:szCs w:val="16"/>
          <w:lang w:val="en-US"/>
        </w:rPr>
        <w:t xml:space="preserve"> </w:t>
      </w:r>
      <w:r w:rsidR="00E975D4">
        <w:rPr>
          <w:lang w:val="en-US"/>
        </w:rPr>
        <w:t>conclu</w:t>
      </w:r>
      <w:r w:rsidR="00F10418">
        <w:rPr>
          <w:lang w:val="en-US"/>
        </w:rPr>
        <w:t xml:space="preserve">de </w:t>
      </w:r>
      <w:r w:rsidR="00F10418" w:rsidRPr="00E975D4">
        <w:rPr>
          <w:b/>
          <w:bCs/>
          <w:i/>
          <w:iCs/>
          <w:lang w:val="en-US"/>
        </w:rPr>
        <w:t xml:space="preserve">“when patients who </w:t>
      </w:r>
      <w:r w:rsidR="00F87C35" w:rsidRPr="00E975D4">
        <w:rPr>
          <w:b/>
          <w:bCs/>
          <w:i/>
          <w:iCs/>
          <w:lang w:val="en-US"/>
        </w:rPr>
        <w:t>switched m</w:t>
      </w:r>
      <w:r w:rsidR="00F10418" w:rsidRPr="00E975D4">
        <w:rPr>
          <w:b/>
          <w:bCs/>
          <w:i/>
          <w:iCs/>
          <w:lang w:val="en-US"/>
        </w:rPr>
        <w:t>edications</w:t>
      </w:r>
      <w:r w:rsidR="00F87C35" w:rsidRPr="00E975D4">
        <w:rPr>
          <w:b/>
          <w:bCs/>
          <w:i/>
          <w:iCs/>
          <w:lang w:val="en-US"/>
        </w:rPr>
        <w:t xml:space="preserve"> were assessed, all outcomes were significantly improved in the guided-care arm compared to treatment as usual”;</w:t>
      </w:r>
      <w:r>
        <w:rPr>
          <w:b/>
          <w:bCs/>
          <w:i/>
          <w:iCs/>
          <w:lang w:val="en-US"/>
        </w:rPr>
        <w:t xml:space="preserve"> </w:t>
      </w:r>
      <w:r w:rsidRPr="00D029C0">
        <w:rPr>
          <w:lang w:val="en-US"/>
        </w:rPr>
        <w:t>and</w:t>
      </w:r>
      <w:r>
        <w:rPr>
          <w:b/>
          <w:bCs/>
          <w:i/>
          <w:iCs/>
          <w:lang w:val="en-US"/>
        </w:rPr>
        <w:t xml:space="preserve"> </w:t>
      </w:r>
      <w:r w:rsidR="00F87C35" w:rsidRPr="00E975D4">
        <w:rPr>
          <w:b/>
          <w:bCs/>
          <w:i/>
          <w:iCs/>
          <w:lang w:val="en-US"/>
        </w:rPr>
        <w:t>“pharmacogenomic testing significantly improved outcomes among patients with MMD and at least 1 prior medication failure.”</w:t>
      </w:r>
    </w:p>
    <w:p w14:paraId="622D2661" w14:textId="33F5C1A4" w:rsidR="00E975D4" w:rsidRDefault="006E66B7" w:rsidP="00D03BDD">
      <w:pPr>
        <w:spacing w:after="240"/>
        <w:ind w:left="680"/>
        <w:jc w:val="both"/>
      </w:pPr>
      <w:r>
        <w:t>This</w:t>
      </w:r>
      <w:r w:rsidR="008116C6">
        <w:t xml:space="preserve"> should</w:t>
      </w:r>
      <w:r>
        <w:t xml:space="preserve"> </w:t>
      </w:r>
      <w:r w:rsidR="008116C6">
        <w:t>be an</w:t>
      </w:r>
      <w:r w:rsidR="007B6B73">
        <w:t xml:space="preserve"> essential</w:t>
      </w:r>
      <w:r w:rsidR="008116C6">
        <w:t xml:space="preserve"> </w:t>
      </w:r>
      <w:r w:rsidR="001B5AA1">
        <w:t>test</w:t>
      </w:r>
      <w:r w:rsidR="007B6B73">
        <w:t xml:space="preserve"> for consumers who fail to respond or have adverse drug reactions. There </w:t>
      </w:r>
      <w:r w:rsidR="00EE1495">
        <w:t>is</w:t>
      </w:r>
      <w:r w:rsidR="007B6B73">
        <w:t xml:space="preserve"> </w:t>
      </w:r>
      <w:r w:rsidR="00EE1495">
        <w:t>limited</w:t>
      </w:r>
      <w:r w:rsidR="007B6B73">
        <w:t xml:space="preserve"> pathology test to </w:t>
      </w:r>
      <w:r w:rsidR="00D03BDD">
        <w:t>guide</w:t>
      </w:r>
      <w:r w:rsidR="007B6B73">
        <w:t xml:space="preserve"> psychiatrist in </w:t>
      </w:r>
      <w:r w:rsidR="00D03BDD">
        <w:t>treatment decisions</w:t>
      </w:r>
      <w:r w:rsidR="007B6B73">
        <w:t xml:space="preserve"> and help protect consumers when</w:t>
      </w:r>
      <w:r w:rsidR="00EE1495">
        <w:t xml:space="preserve"> so many</w:t>
      </w:r>
      <w:r w:rsidR="007B6B73">
        <w:t xml:space="preserve"> </w:t>
      </w:r>
      <w:r w:rsidR="00D03BDD">
        <w:t>ADRs can mimic</w:t>
      </w:r>
      <w:r w:rsidR="008116C6">
        <w:t xml:space="preserve"> </w:t>
      </w:r>
      <w:r w:rsidR="00D03BDD">
        <w:t>MH symptoms.</w:t>
      </w:r>
    </w:p>
    <w:p w14:paraId="01F6083D" w14:textId="56A6CAB9" w:rsidR="000447EB" w:rsidRDefault="00161440" w:rsidP="000447EB">
      <w:pPr>
        <w:pStyle w:val="ListParagraph"/>
        <w:spacing w:after="240"/>
        <w:ind w:left="0"/>
        <w:rPr>
          <w:rStyle w:val="Hyperlink"/>
          <w:color w:val="2F5496" w:themeColor="accent1" w:themeShade="BF"/>
          <w:sz w:val="28"/>
          <w:szCs w:val="28"/>
        </w:rPr>
      </w:pPr>
      <w:r w:rsidRPr="0027664F">
        <w:rPr>
          <w:rStyle w:val="Hyperlink"/>
          <w:color w:val="2F5496" w:themeColor="accent1" w:themeShade="BF"/>
          <w:sz w:val="28"/>
          <w:szCs w:val="28"/>
        </w:rPr>
        <w:t>ACCESS TO EXPERTS IN TREATMENT</w:t>
      </w:r>
      <w:r w:rsidR="008116C6" w:rsidRPr="0027664F">
        <w:rPr>
          <w:rStyle w:val="Hyperlink"/>
          <w:color w:val="2F5496" w:themeColor="accent1" w:themeShade="BF"/>
          <w:sz w:val="28"/>
          <w:szCs w:val="28"/>
        </w:rPr>
        <w:t>-</w:t>
      </w:r>
      <w:r w:rsidRPr="0027664F">
        <w:rPr>
          <w:rStyle w:val="Hyperlink"/>
          <w:color w:val="2F5496" w:themeColor="accent1" w:themeShade="BF"/>
          <w:sz w:val="28"/>
          <w:szCs w:val="28"/>
        </w:rPr>
        <w:t>RESISTAN</w:t>
      </w:r>
      <w:r w:rsidR="008116C6" w:rsidRPr="0027664F">
        <w:rPr>
          <w:rStyle w:val="Hyperlink"/>
          <w:color w:val="2F5496" w:themeColor="accent1" w:themeShade="BF"/>
          <w:sz w:val="28"/>
          <w:szCs w:val="28"/>
        </w:rPr>
        <w:t>T MENTAL HEALTH ILLNESS</w:t>
      </w:r>
    </w:p>
    <w:p w14:paraId="5A2290C6" w14:textId="5D4CF995" w:rsidR="002D6B56" w:rsidRPr="00BF66D4" w:rsidRDefault="002D6B56" w:rsidP="000447EB">
      <w:pPr>
        <w:pStyle w:val="ListParagraph"/>
        <w:spacing w:after="240"/>
        <w:jc w:val="both"/>
        <w:rPr>
          <w:rFonts w:eastAsia="Times New Roman" w:cstheme="minorHAnsi"/>
          <w:color w:val="000000"/>
        </w:rPr>
      </w:pPr>
      <w:r w:rsidRPr="002D6B56">
        <w:rPr>
          <w:rFonts w:eastAsia="Times New Roman" w:cstheme="minorHAnsi"/>
          <w:b/>
          <w:bCs/>
          <w:color w:val="000000"/>
          <w:sz w:val="28"/>
          <w:szCs w:val="28"/>
        </w:rPr>
        <w:t>Treatment-resistant.</w:t>
      </w:r>
      <w:r>
        <w:rPr>
          <w:rFonts w:eastAsia="Times New Roman" w:cstheme="minorHAnsi"/>
          <w:b/>
          <w:bCs/>
          <w:color w:val="000000"/>
          <w:sz w:val="28"/>
          <w:szCs w:val="28"/>
        </w:rPr>
        <w:t xml:space="preserve"> </w:t>
      </w:r>
      <w:r w:rsidRPr="00BF66D4">
        <w:rPr>
          <w:rFonts w:eastAsia="Times New Roman" w:cstheme="minorHAnsi"/>
          <w:color w:val="000000"/>
        </w:rPr>
        <w:t xml:space="preserve">Nobody starts </w:t>
      </w:r>
      <w:r w:rsidR="00BF66D4" w:rsidRPr="00BF66D4">
        <w:rPr>
          <w:rFonts w:eastAsia="Times New Roman" w:cstheme="minorHAnsi"/>
          <w:color w:val="000000"/>
        </w:rPr>
        <w:t xml:space="preserve">at </w:t>
      </w:r>
      <w:r w:rsidRPr="00BF66D4">
        <w:rPr>
          <w:rFonts w:eastAsia="Times New Roman" w:cstheme="minorHAnsi"/>
          <w:color w:val="000000"/>
        </w:rPr>
        <w:t>‘treatment-resistant'. The</w:t>
      </w:r>
      <w:r w:rsidR="00B54515">
        <w:rPr>
          <w:rFonts w:eastAsia="Times New Roman" w:cstheme="minorHAnsi"/>
          <w:color w:val="000000"/>
        </w:rPr>
        <w:t xml:space="preserve"> PC is putting preventative </w:t>
      </w:r>
      <w:r w:rsidR="00106A64">
        <w:rPr>
          <w:rFonts w:eastAsia="Times New Roman" w:cstheme="minorHAnsi"/>
          <w:color w:val="000000"/>
        </w:rPr>
        <w:t>strategies</w:t>
      </w:r>
      <w:r w:rsidR="00B54515">
        <w:rPr>
          <w:rFonts w:eastAsia="Times New Roman" w:cstheme="minorHAnsi"/>
          <w:color w:val="000000"/>
        </w:rPr>
        <w:t xml:space="preserve"> in place for </w:t>
      </w:r>
      <w:r w:rsidRPr="00BF66D4">
        <w:rPr>
          <w:rFonts w:eastAsia="Times New Roman" w:cstheme="minorHAnsi"/>
          <w:color w:val="000000"/>
        </w:rPr>
        <w:t>injuries</w:t>
      </w:r>
      <w:r w:rsidR="00BF66D4">
        <w:rPr>
          <w:rFonts w:eastAsia="Times New Roman" w:cstheme="minorHAnsi"/>
          <w:color w:val="000000"/>
        </w:rPr>
        <w:t xml:space="preserve"> </w:t>
      </w:r>
      <w:r w:rsidR="00B54515">
        <w:rPr>
          <w:rFonts w:eastAsia="Times New Roman" w:cstheme="minorHAnsi"/>
          <w:color w:val="000000"/>
        </w:rPr>
        <w:t xml:space="preserve">that </w:t>
      </w:r>
      <w:r w:rsidR="003C150B">
        <w:rPr>
          <w:rFonts w:eastAsia="Times New Roman" w:cstheme="minorHAnsi"/>
          <w:color w:val="000000"/>
        </w:rPr>
        <w:t xml:space="preserve">have their roots in childhood. </w:t>
      </w:r>
      <w:r w:rsidR="004865FC">
        <w:rPr>
          <w:rFonts w:eastAsia="Times New Roman" w:cstheme="minorHAnsi"/>
          <w:color w:val="000000"/>
        </w:rPr>
        <w:t>I support this</w:t>
      </w:r>
      <w:r w:rsidRPr="00BF66D4">
        <w:rPr>
          <w:rFonts w:eastAsia="Times New Roman" w:cstheme="minorHAnsi"/>
          <w:color w:val="000000"/>
        </w:rPr>
        <w:t>. However</w:t>
      </w:r>
      <w:r w:rsidR="00BF66D4" w:rsidRPr="00BF66D4">
        <w:rPr>
          <w:rFonts w:eastAsia="Times New Roman" w:cstheme="minorHAnsi"/>
          <w:color w:val="000000"/>
        </w:rPr>
        <w:t>,</w:t>
      </w:r>
      <w:r w:rsidRPr="00BF66D4">
        <w:rPr>
          <w:rFonts w:eastAsia="Times New Roman" w:cstheme="minorHAnsi"/>
          <w:color w:val="000000"/>
        </w:rPr>
        <w:t xml:space="preserve"> they </w:t>
      </w:r>
      <w:r w:rsidR="00B118BD">
        <w:rPr>
          <w:rFonts w:eastAsia="Times New Roman" w:cstheme="minorHAnsi"/>
          <w:color w:val="000000"/>
        </w:rPr>
        <w:t xml:space="preserve">are </w:t>
      </w:r>
      <w:r w:rsidRPr="00BF66D4">
        <w:rPr>
          <w:rFonts w:eastAsia="Times New Roman" w:cstheme="minorHAnsi"/>
          <w:color w:val="000000"/>
        </w:rPr>
        <w:t>fail</w:t>
      </w:r>
      <w:r w:rsidR="00B118BD">
        <w:rPr>
          <w:rFonts w:eastAsia="Times New Roman" w:cstheme="minorHAnsi"/>
          <w:color w:val="000000"/>
        </w:rPr>
        <w:t>ing</w:t>
      </w:r>
      <w:r w:rsidRPr="00BF66D4">
        <w:rPr>
          <w:rFonts w:eastAsia="Times New Roman" w:cstheme="minorHAnsi"/>
          <w:color w:val="000000"/>
        </w:rPr>
        <w:t xml:space="preserve"> to address the other side of the coin. </w:t>
      </w:r>
      <w:r w:rsidR="00B118BD">
        <w:rPr>
          <w:rFonts w:eastAsia="Times New Roman" w:cstheme="minorHAnsi"/>
          <w:color w:val="000000"/>
        </w:rPr>
        <w:t xml:space="preserve">The issues that cause </w:t>
      </w:r>
      <w:r w:rsidR="00A92BE8">
        <w:rPr>
          <w:rFonts w:eastAsia="Times New Roman" w:cstheme="minorHAnsi"/>
          <w:color w:val="000000"/>
        </w:rPr>
        <w:t xml:space="preserve">MH illnesses </w:t>
      </w:r>
      <w:r w:rsidR="00B118BD">
        <w:rPr>
          <w:rFonts w:eastAsia="Times New Roman" w:cstheme="minorHAnsi"/>
          <w:color w:val="000000"/>
        </w:rPr>
        <w:t>to</w:t>
      </w:r>
      <w:r w:rsidR="00A92BE8">
        <w:rPr>
          <w:rFonts w:eastAsia="Times New Roman" w:cstheme="minorHAnsi"/>
          <w:color w:val="000000"/>
        </w:rPr>
        <w:t xml:space="preserve"> </w:t>
      </w:r>
      <w:r w:rsidR="003C150B">
        <w:rPr>
          <w:rFonts w:eastAsia="Times New Roman" w:cstheme="minorHAnsi"/>
          <w:color w:val="000000"/>
        </w:rPr>
        <w:t xml:space="preserve">evolve into a </w:t>
      </w:r>
      <w:r w:rsidR="00A92BE8">
        <w:rPr>
          <w:rFonts w:eastAsia="Times New Roman" w:cstheme="minorHAnsi"/>
          <w:color w:val="000000"/>
        </w:rPr>
        <w:t>complex</w:t>
      </w:r>
      <w:r w:rsidR="003C150B">
        <w:rPr>
          <w:rFonts w:eastAsia="Times New Roman" w:cstheme="minorHAnsi"/>
          <w:color w:val="000000"/>
        </w:rPr>
        <w:t xml:space="preserve"> systemic presentation </w:t>
      </w:r>
      <w:r w:rsidR="00B118BD">
        <w:rPr>
          <w:rFonts w:eastAsia="Times New Roman" w:cstheme="minorHAnsi"/>
          <w:color w:val="000000"/>
        </w:rPr>
        <w:t xml:space="preserve">with significant </w:t>
      </w:r>
      <w:r w:rsidR="00A92BE8">
        <w:rPr>
          <w:rFonts w:eastAsia="Times New Roman" w:cstheme="minorHAnsi"/>
          <w:color w:val="000000"/>
        </w:rPr>
        <w:t>medical, psychological and social</w:t>
      </w:r>
      <w:r w:rsidR="00B118BD">
        <w:rPr>
          <w:rFonts w:eastAsia="Times New Roman" w:cstheme="minorHAnsi"/>
          <w:color w:val="000000"/>
        </w:rPr>
        <w:t xml:space="preserve"> </w:t>
      </w:r>
      <w:r w:rsidR="008116C6">
        <w:rPr>
          <w:rFonts w:eastAsia="Times New Roman" w:cstheme="minorHAnsi"/>
          <w:color w:val="000000"/>
        </w:rPr>
        <w:t>deterioration</w:t>
      </w:r>
      <w:r w:rsidR="00B118BD">
        <w:rPr>
          <w:rFonts w:eastAsia="Times New Roman" w:cstheme="minorHAnsi"/>
          <w:color w:val="000000"/>
        </w:rPr>
        <w:t xml:space="preserve">. </w:t>
      </w:r>
      <w:r w:rsidR="00941F0F">
        <w:rPr>
          <w:rFonts w:eastAsia="Times New Roman" w:cstheme="minorHAnsi"/>
          <w:i/>
          <w:color w:val="000000"/>
        </w:rPr>
        <w:t>(Sub 454 p</w:t>
      </w:r>
      <w:r w:rsidR="00842D2F">
        <w:rPr>
          <w:rFonts w:eastAsia="Times New Roman" w:cstheme="minorHAnsi"/>
          <w:i/>
          <w:color w:val="000000"/>
        </w:rPr>
        <w:t>6</w:t>
      </w:r>
      <w:r w:rsidR="00941F0F">
        <w:rPr>
          <w:rFonts w:eastAsia="Times New Roman" w:cstheme="minorHAnsi"/>
          <w:i/>
          <w:color w:val="000000"/>
        </w:rPr>
        <w:t>)</w:t>
      </w:r>
    </w:p>
    <w:p w14:paraId="4D1E805A" w14:textId="77777777" w:rsidR="00BF66D4" w:rsidRPr="002D6B56" w:rsidRDefault="00BF66D4" w:rsidP="00BF66D4">
      <w:pPr>
        <w:pStyle w:val="ListParagraph"/>
        <w:jc w:val="both"/>
        <w:rPr>
          <w:rFonts w:eastAsia="Times New Roman" w:cstheme="minorHAnsi"/>
          <w:color w:val="000000"/>
        </w:rPr>
      </w:pPr>
    </w:p>
    <w:p w14:paraId="676382D9" w14:textId="3DCE6625" w:rsidR="006C59D0" w:rsidRDefault="00B57427" w:rsidP="002D6B56">
      <w:pPr>
        <w:pStyle w:val="ListParagraph"/>
        <w:jc w:val="both"/>
        <w:rPr>
          <w:rFonts w:eastAsia="Times New Roman" w:cstheme="minorHAnsi"/>
          <w:color w:val="000000"/>
        </w:rPr>
      </w:pPr>
      <w:r>
        <w:rPr>
          <w:rFonts w:eastAsia="Times New Roman" w:cstheme="minorHAnsi"/>
          <w:color w:val="000000"/>
        </w:rPr>
        <w:t>Mental health treatment frequently focuses around</w:t>
      </w:r>
      <w:r w:rsidR="002D6B56" w:rsidRPr="002D6B56">
        <w:rPr>
          <w:rFonts w:eastAsia="Times New Roman" w:cstheme="minorHAnsi"/>
          <w:color w:val="000000"/>
        </w:rPr>
        <w:t xml:space="preserve"> </w:t>
      </w:r>
      <w:r w:rsidRPr="002D6B56">
        <w:rPr>
          <w:rFonts w:eastAsia="Times New Roman" w:cstheme="minorHAnsi"/>
          <w:color w:val="000000"/>
        </w:rPr>
        <w:t>psychotropic</w:t>
      </w:r>
      <w:r w:rsidR="00941F0F">
        <w:rPr>
          <w:rFonts w:eastAsia="Times New Roman" w:cstheme="minorHAnsi"/>
          <w:color w:val="000000"/>
        </w:rPr>
        <w:t xml:space="preserve"> </w:t>
      </w:r>
      <w:r>
        <w:rPr>
          <w:rFonts w:eastAsia="Times New Roman" w:cstheme="minorHAnsi"/>
          <w:color w:val="000000"/>
        </w:rPr>
        <w:t>medications</w:t>
      </w:r>
      <w:r w:rsidR="00941F0F">
        <w:rPr>
          <w:rFonts w:eastAsia="Times New Roman" w:cstheme="minorHAnsi"/>
          <w:color w:val="000000"/>
        </w:rPr>
        <w:t xml:space="preserve"> with </w:t>
      </w:r>
      <w:r w:rsidR="00B54515">
        <w:rPr>
          <w:rFonts w:eastAsia="Times New Roman" w:cstheme="minorHAnsi"/>
          <w:color w:val="000000"/>
        </w:rPr>
        <w:t xml:space="preserve"> psychological support. </w:t>
      </w:r>
      <w:r w:rsidR="006C59D0">
        <w:rPr>
          <w:rFonts w:eastAsia="Times New Roman" w:cstheme="minorHAnsi"/>
          <w:color w:val="000000"/>
        </w:rPr>
        <w:t xml:space="preserve">Silo’s in the </w:t>
      </w:r>
      <w:r w:rsidR="002D6B56" w:rsidRPr="002D6B56">
        <w:rPr>
          <w:rFonts w:eastAsia="Times New Roman" w:cstheme="minorHAnsi"/>
          <w:color w:val="000000"/>
        </w:rPr>
        <w:t xml:space="preserve">health care system </w:t>
      </w:r>
      <w:r w:rsidR="006C59D0">
        <w:rPr>
          <w:rFonts w:eastAsia="Times New Roman" w:cstheme="minorHAnsi"/>
          <w:color w:val="000000"/>
        </w:rPr>
        <w:t xml:space="preserve">are poorly equipped to </w:t>
      </w:r>
      <w:r w:rsidR="002D6B56" w:rsidRPr="002D6B56">
        <w:rPr>
          <w:rFonts w:eastAsia="Times New Roman" w:cstheme="minorHAnsi"/>
          <w:color w:val="000000"/>
        </w:rPr>
        <w:t>remov</w:t>
      </w:r>
      <w:r w:rsidR="00941F0F">
        <w:rPr>
          <w:rFonts w:eastAsia="Times New Roman" w:cstheme="minorHAnsi"/>
          <w:color w:val="000000"/>
        </w:rPr>
        <w:t>e</w:t>
      </w:r>
      <w:r w:rsidR="002D6B56" w:rsidRPr="002D6B56">
        <w:rPr>
          <w:rFonts w:eastAsia="Times New Roman" w:cstheme="minorHAnsi"/>
          <w:color w:val="000000"/>
        </w:rPr>
        <w:t xml:space="preserve"> the layers of the onion and </w:t>
      </w:r>
      <w:r w:rsidR="002718A7" w:rsidRPr="002D6B56">
        <w:rPr>
          <w:rFonts w:eastAsia="Times New Roman" w:cstheme="minorHAnsi"/>
          <w:color w:val="000000"/>
        </w:rPr>
        <w:t>address</w:t>
      </w:r>
      <w:r w:rsidR="002D6B56" w:rsidRPr="002D6B56">
        <w:rPr>
          <w:rFonts w:eastAsia="Times New Roman" w:cstheme="minorHAnsi"/>
          <w:color w:val="000000"/>
        </w:rPr>
        <w:t xml:space="preserve"> the </w:t>
      </w:r>
      <w:r w:rsidR="002D6B56" w:rsidRPr="002D6B56">
        <w:rPr>
          <w:rFonts w:eastAsia="Times New Roman" w:cstheme="minorHAnsi"/>
          <w:i/>
          <w:iCs/>
          <w:color w:val="000000"/>
        </w:rPr>
        <w:t>root causes</w:t>
      </w:r>
      <w:r>
        <w:rPr>
          <w:rFonts w:eastAsia="Times New Roman" w:cstheme="minorHAnsi"/>
          <w:i/>
          <w:iCs/>
          <w:color w:val="000000"/>
        </w:rPr>
        <w:t xml:space="preserve"> of treatment resistant consumers</w:t>
      </w:r>
      <w:r w:rsidR="006C59D0">
        <w:rPr>
          <w:rFonts w:eastAsia="Times New Roman" w:cstheme="minorHAnsi"/>
          <w:i/>
          <w:iCs/>
          <w:color w:val="000000"/>
        </w:rPr>
        <w:t>.</w:t>
      </w:r>
      <w:r w:rsidR="002D6B56" w:rsidRPr="002D6B56">
        <w:rPr>
          <w:rFonts w:eastAsia="Times New Roman" w:cstheme="minorHAnsi"/>
          <w:color w:val="000000"/>
        </w:rPr>
        <w:t xml:space="preserve"> </w:t>
      </w:r>
      <w:r w:rsidR="006C59D0">
        <w:rPr>
          <w:rFonts w:eastAsia="Times New Roman" w:cstheme="minorHAnsi"/>
          <w:color w:val="000000"/>
        </w:rPr>
        <w:t xml:space="preserve">A </w:t>
      </w:r>
      <w:r w:rsidR="00BF66D4">
        <w:rPr>
          <w:rFonts w:eastAsia="Times New Roman" w:cstheme="minorHAnsi"/>
          <w:color w:val="000000"/>
        </w:rPr>
        <w:t xml:space="preserve">team </w:t>
      </w:r>
      <w:r w:rsidR="002718A7">
        <w:rPr>
          <w:rFonts w:eastAsia="Times New Roman" w:cstheme="minorHAnsi"/>
          <w:color w:val="000000"/>
        </w:rPr>
        <w:t xml:space="preserve">of professionals are </w:t>
      </w:r>
      <w:r w:rsidR="006C59D0">
        <w:rPr>
          <w:rFonts w:eastAsia="Times New Roman" w:cstheme="minorHAnsi"/>
          <w:color w:val="000000"/>
        </w:rPr>
        <w:t xml:space="preserve">required. </w:t>
      </w:r>
    </w:p>
    <w:p w14:paraId="0451C6C9" w14:textId="08E14056" w:rsidR="002D6B56" w:rsidRPr="002D6B56" w:rsidRDefault="002D6B56" w:rsidP="002D6B56">
      <w:pPr>
        <w:pStyle w:val="ListParagraph"/>
        <w:jc w:val="both"/>
        <w:rPr>
          <w:rFonts w:eastAsia="Times New Roman" w:cstheme="minorHAnsi"/>
          <w:color w:val="000000"/>
        </w:rPr>
      </w:pPr>
    </w:p>
    <w:p w14:paraId="08959D6F" w14:textId="77777777" w:rsidR="00E577FA" w:rsidRDefault="004B5424" w:rsidP="00E577FA">
      <w:pPr>
        <w:pStyle w:val="ListParagraph"/>
        <w:jc w:val="both"/>
        <w:rPr>
          <w:lang w:val="en-US"/>
        </w:rPr>
      </w:pPr>
      <w:r w:rsidRPr="00203DCC">
        <w:rPr>
          <w:b/>
          <w:bCs/>
          <w:sz w:val="28"/>
          <w:szCs w:val="28"/>
          <w:lang w:val="en-US"/>
        </w:rPr>
        <w:t>MH Clinics</w:t>
      </w:r>
      <w:r w:rsidR="00B57427">
        <w:rPr>
          <w:b/>
          <w:bCs/>
          <w:sz w:val="28"/>
          <w:szCs w:val="28"/>
          <w:lang w:val="en-US"/>
        </w:rPr>
        <w:t xml:space="preserve">. </w:t>
      </w:r>
      <w:r w:rsidR="00122D53" w:rsidRPr="00203DCC">
        <w:rPr>
          <w:lang w:val="en-US"/>
        </w:rPr>
        <w:t xml:space="preserve">Failure to train and provide access to experts in specialty mental health fields </w:t>
      </w:r>
      <w:r w:rsidR="00EE21CD">
        <w:rPr>
          <w:lang w:val="en-US"/>
        </w:rPr>
        <w:t xml:space="preserve">has left gaps for safe treatment for complex presentations. </w:t>
      </w:r>
      <w:r w:rsidR="00B57427">
        <w:rPr>
          <w:lang w:val="en-US"/>
        </w:rPr>
        <w:t>This is known to</w:t>
      </w:r>
      <w:r w:rsidR="00122D53" w:rsidRPr="00203DCC">
        <w:rPr>
          <w:lang w:val="en-US"/>
        </w:rPr>
        <w:t xml:space="preserve"> </w:t>
      </w:r>
      <w:r w:rsidR="00DA22E3" w:rsidRPr="00203DCC">
        <w:rPr>
          <w:lang w:val="en-US"/>
        </w:rPr>
        <w:t>d</w:t>
      </w:r>
      <w:r w:rsidR="00122D53" w:rsidRPr="00203DCC">
        <w:rPr>
          <w:lang w:val="en-US"/>
        </w:rPr>
        <w:t>elay</w:t>
      </w:r>
      <w:r w:rsidR="00941F0F">
        <w:rPr>
          <w:lang w:val="en-US"/>
        </w:rPr>
        <w:t>ed</w:t>
      </w:r>
      <w:r w:rsidR="00122D53" w:rsidRPr="00203DCC">
        <w:rPr>
          <w:lang w:val="en-US"/>
        </w:rPr>
        <w:t xml:space="preserve"> appropriate treatment, increas</w:t>
      </w:r>
      <w:r w:rsidR="00B57427">
        <w:rPr>
          <w:lang w:val="en-US"/>
        </w:rPr>
        <w:t>e</w:t>
      </w:r>
      <w:r w:rsidR="00122D53" w:rsidRPr="00203DCC">
        <w:rPr>
          <w:lang w:val="en-US"/>
        </w:rPr>
        <w:t xml:space="preserve"> recurrence, chronicity, and suffering.</w:t>
      </w:r>
      <w:r w:rsidR="00B57427">
        <w:rPr>
          <w:lang w:val="en-US"/>
        </w:rPr>
        <w:t xml:space="preserve"> It</w:t>
      </w:r>
      <w:r w:rsidR="00122D53" w:rsidRPr="00203DCC">
        <w:rPr>
          <w:lang w:val="en-US"/>
        </w:rPr>
        <w:t xml:space="preserve"> worsens occupational, family, social and economic outcomes. There are associated increase healthcare costs and suicide attempts. </w:t>
      </w:r>
    </w:p>
    <w:p w14:paraId="263CDFDA" w14:textId="77777777" w:rsidR="00E577FA" w:rsidRDefault="00E577FA" w:rsidP="00E577FA">
      <w:pPr>
        <w:pStyle w:val="ListParagraph"/>
        <w:jc w:val="both"/>
        <w:rPr>
          <w:lang w:val="en-US"/>
        </w:rPr>
      </w:pPr>
    </w:p>
    <w:p w14:paraId="14C62AE5" w14:textId="3885A7B3" w:rsidR="005966BA" w:rsidRDefault="00E577FA" w:rsidP="0004002B">
      <w:pPr>
        <w:pStyle w:val="ListParagraph"/>
        <w:jc w:val="both"/>
        <w:rPr>
          <w:lang w:val="en-US"/>
        </w:rPr>
      </w:pPr>
      <w:r>
        <w:rPr>
          <w:lang w:val="en-US"/>
        </w:rPr>
        <w:t>N</w:t>
      </w:r>
      <w:r w:rsidR="00122D53" w:rsidRPr="00EE21CD">
        <w:rPr>
          <w:lang w:val="en-US"/>
        </w:rPr>
        <w:t xml:space="preserve">obody should be considered treatment-resistant without assessment by </w:t>
      </w:r>
      <w:r>
        <w:rPr>
          <w:lang w:val="en-US"/>
        </w:rPr>
        <w:t xml:space="preserve">multidisciplinary </w:t>
      </w:r>
      <w:r w:rsidR="00052B6D">
        <w:rPr>
          <w:lang w:val="en-US"/>
        </w:rPr>
        <w:t xml:space="preserve">team with </w:t>
      </w:r>
      <w:r w:rsidR="00052B6D" w:rsidRPr="00EE21CD">
        <w:rPr>
          <w:lang w:val="en-US"/>
        </w:rPr>
        <w:t>specialt</w:t>
      </w:r>
      <w:r w:rsidR="00052B6D">
        <w:rPr>
          <w:lang w:val="en-US"/>
        </w:rPr>
        <w:t>y knowledge in the consumers presentation</w:t>
      </w:r>
      <w:r w:rsidR="005756AD">
        <w:rPr>
          <w:lang w:val="en-US"/>
        </w:rPr>
        <w:t>, eg Bipolar Clinic</w:t>
      </w:r>
      <w:r w:rsidR="00E24F24" w:rsidRPr="00EE21CD">
        <w:rPr>
          <w:lang w:val="en-US"/>
        </w:rPr>
        <w:t>.</w:t>
      </w:r>
      <w:r w:rsidR="006C59D0" w:rsidRPr="00EE21CD">
        <w:rPr>
          <w:lang w:val="en-US"/>
        </w:rPr>
        <w:t xml:space="preserve"> </w:t>
      </w:r>
      <w:r>
        <w:rPr>
          <w:lang w:val="en-US"/>
        </w:rPr>
        <w:t xml:space="preserve">Mental Health Clinics should provide a one-off opportunity to </w:t>
      </w:r>
      <w:r w:rsidR="001D5115">
        <w:rPr>
          <w:lang w:val="en-US"/>
        </w:rPr>
        <w:t xml:space="preserve">identify </w:t>
      </w:r>
      <w:r>
        <w:rPr>
          <w:lang w:val="en-US"/>
        </w:rPr>
        <w:t xml:space="preserve">missed causes, optimise future treatment and provide consumer </w:t>
      </w:r>
      <w:r>
        <w:rPr>
          <w:lang w:val="en-US"/>
        </w:rPr>
        <w:lastRenderedPageBreak/>
        <w:t xml:space="preserve">resources. </w:t>
      </w:r>
      <w:r w:rsidR="005453F6">
        <w:rPr>
          <w:lang w:val="en-US"/>
        </w:rPr>
        <w:t xml:space="preserve">This is where the value of </w:t>
      </w:r>
      <w:r w:rsidR="004366C0">
        <w:rPr>
          <w:lang w:val="en-US"/>
        </w:rPr>
        <w:t xml:space="preserve">using a </w:t>
      </w:r>
      <w:r w:rsidR="005453F6">
        <w:rPr>
          <w:lang w:val="en-US"/>
        </w:rPr>
        <w:t xml:space="preserve">national, illness specific, </w:t>
      </w:r>
      <w:r w:rsidR="006F5189">
        <w:rPr>
          <w:lang w:val="en-US"/>
        </w:rPr>
        <w:t xml:space="preserve">rating scale </w:t>
      </w:r>
      <w:r w:rsidR="00387A97">
        <w:rPr>
          <w:lang w:val="en-US"/>
        </w:rPr>
        <w:t xml:space="preserve">with targets </w:t>
      </w:r>
      <w:r w:rsidR="004366C0">
        <w:rPr>
          <w:lang w:val="en-US"/>
        </w:rPr>
        <w:t>to protect consumers can be seen</w:t>
      </w:r>
      <w:r w:rsidR="005453F6">
        <w:rPr>
          <w:lang w:val="en-US"/>
        </w:rPr>
        <w:t>. Failure to reach targets would generate a require</w:t>
      </w:r>
      <w:r w:rsidR="005756AD">
        <w:rPr>
          <w:lang w:val="en-US"/>
        </w:rPr>
        <w:t xml:space="preserve">ment to </w:t>
      </w:r>
      <w:r w:rsidR="005453F6">
        <w:rPr>
          <w:lang w:val="en-US"/>
        </w:rPr>
        <w:t xml:space="preserve">step away from silo management. </w:t>
      </w:r>
      <w:r w:rsidR="001D5115">
        <w:rPr>
          <w:lang w:val="en-US"/>
        </w:rPr>
        <w:br/>
      </w:r>
      <w:r w:rsidR="001D5115">
        <w:rPr>
          <w:lang w:val="en-US"/>
        </w:rPr>
        <w:br/>
      </w:r>
      <w:r w:rsidR="0004002B">
        <w:rPr>
          <w:lang w:val="en-US"/>
        </w:rPr>
        <w:t>Exclude underlying causes should never be a sentence in the RANZCP treatment guidelines. It need</w:t>
      </w:r>
      <w:r w:rsidR="0045009D">
        <w:rPr>
          <w:lang w:val="en-US"/>
        </w:rPr>
        <w:t>s</w:t>
      </w:r>
      <w:r w:rsidR="0004002B">
        <w:rPr>
          <w:lang w:val="en-US"/>
        </w:rPr>
        <w:t xml:space="preserve"> to be a chapter</w:t>
      </w:r>
      <w:r w:rsidR="0045009D">
        <w:rPr>
          <w:lang w:val="en-US"/>
        </w:rPr>
        <w:t xml:space="preserve">. </w:t>
      </w:r>
      <w:r w:rsidR="0060528E">
        <w:rPr>
          <w:lang w:val="en-US"/>
        </w:rPr>
        <w:t xml:space="preserve">This is the </w:t>
      </w:r>
      <w:r w:rsidR="0045009D">
        <w:rPr>
          <w:lang w:val="en-US"/>
        </w:rPr>
        <w:t>foundation of a MH clinic.</w:t>
      </w:r>
    </w:p>
    <w:p w14:paraId="6968D469" w14:textId="77777777" w:rsidR="005966BA" w:rsidRDefault="005966BA" w:rsidP="005966BA">
      <w:pPr>
        <w:pStyle w:val="ListParagraph"/>
        <w:jc w:val="both"/>
        <w:rPr>
          <w:lang w:val="en-US"/>
        </w:rPr>
      </w:pPr>
    </w:p>
    <w:p w14:paraId="5591F660" w14:textId="448E38FF" w:rsidR="00DB7712" w:rsidRDefault="003916FC" w:rsidP="002F55AC">
      <w:pPr>
        <w:pStyle w:val="ListParagraph"/>
        <w:jc w:val="both"/>
        <w:rPr>
          <w:rFonts w:cstheme="minorHAnsi"/>
          <w:lang w:val="en-US"/>
        </w:rPr>
      </w:pPr>
      <w:r>
        <w:rPr>
          <w:rFonts w:cstheme="minorHAnsi"/>
          <w:b/>
        </w:rPr>
        <w:t xml:space="preserve">Mental Health </w:t>
      </w:r>
      <w:r w:rsidR="005966BA" w:rsidRPr="005966BA">
        <w:rPr>
          <w:rFonts w:cstheme="minorHAnsi"/>
          <w:b/>
        </w:rPr>
        <w:t>Clinic</w:t>
      </w:r>
      <w:r>
        <w:rPr>
          <w:rFonts w:cstheme="minorHAnsi"/>
          <w:b/>
        </w:rPr>
        <w:t xml:space="preserve">. </w:t>
      </w:r>
      <w:r w:rsidR="009D764F">
        <w:rPr>
          <w:rFonts w:cstheme="minorHAnsi"/>
          <w:lang w:val="en-US"/>
        </w:rPr>
        <w:t xml:space="preserve">Clinics </w:t>
      </w:r>
      <w:r w:rsidR="002F55AC">
        <w:rPr>
          <w:rFonts w:cstheme="minorHAnsi"/>
          <w:lang w:val="en-US"/>
        </w:rPr>
        <w:t xml:space="preserve">should be </w:t>
      </w:r>
      <w:r w:rsidR="009D764F">
        <w:rPr>
          <w:rFonts w:cstheme="minorHAnsi"/>
          <w:lang w:val="en-US"/>
        </w:rPr>
        <w:t>available in major centers with support extended to rural sites via skype</w:t>
      </w:r>
      <w:r w:rsidR="00897C94">
        <w:rPr>
          <w:rFonts w:cstheme="minorHAnsi"/>
          <w:lang w:val="en-US"/>
        </w:rPr>
        <w:t>. They provide comprehensive assessment</w:t>
      </w:r>
      <w:r w:rsidR="00DB7712">
        <w:rPr>
          <w:rFonts w:cstheme="minorHAnsi"/>
          <w:lang w:val="en-US"/>
        </w:rPr>
        <w:t xml:space="preserve"> </w:t>
      </w:r>
      <w:r w:rsidR="00897C94">
        <w:rPr>
          <w:rFonts w:cstheme="minorHAnsi"/>
          <w:lang w:val="en-US"/>
        </w:rPr>
        <w:t>of medical, psychological, psychiatric, nutritional, pharmaceutical, genetic and social causes that</w:t>
      </w:r>
      <w:r w:rsidR="0060528E">
        <w:rPr>
          <w:rFonts w:cstheme="minorHAnsi"/>
          <w:lang w:val="en-US"/>
        </w:rPr>
        <w:t xml:space="preserve"> </w:t>
      </w:r>
      <w:r w:rsidR="00897C94">
        <w:rPr>
          <w:rFonts w:cstheme="minorHAnsi"/>
          <w:lang w:val="en-US"/>
        </w:rPr>
        <w:t xml:space="preserve">prevent remission. </w:t>
      </w:r>
      <w:r w:rsidR="002F55AC">
        <w:rPr>
          <w:rFonts w:cstheme="minorHAnsi"/>
          <w:lang w:val="en-US"/>
        </w:rPr>
        <w:t>The purpose is</w:t>
      </w:r>
      <w:r w:rsidR="0045009D">
        <w:rPr>
          <w:rFonts w:cstheme="minorHAnsi"/>
          <w:lang w:val="en-US"/>
        </w:rPr>
        <w:t xml:space="preserve"> to provide multidisciplinary</w:t>
      </w:r>
      <w:r w:rsidR="002F55AC">
        <w:rPr>
          <w:rFonts w:cstheme="minorHAnsi"/>
          <w:lang w:val="en-US"/>
        </w:rPr>
        <w:t xml:space="preserve"> assessment, diagnosis and planning; </w:t>
      </w:r>
      <w:r w:rsidR="009D764F" w:rsidRPr="00897C94">
        <w:rPr>
          <w:rFonts w:cstheme="minorHAnsi"/>
          <w:lang w:val="en-US"/>
        </w:rPr>
        <w:t>but not implementation</w:t>
      </w:r>
      <w:r w:rsidR="00897C94">
        <w:rPr>
          <w:rFonts w:cstheme="minorHAnsi"/>
          <w:lang w:val="en-US"/>
        </w:rPr>
        <w:t xml:space="preserve">. </w:t>
      </w:r>
      <w:r w:rsidR="00D23B40">
        <w:rPr>
          <w:rFonts w:cstheme="minorHAnsi"/>
          <w:lang w:val="en-US"/>
        </w:rPr>
        <w:t xml:space="preserve">Below is </w:t>
      </w:r>
      <w:r w:rsidRPr="002F55AC">
        <w:rPr>
          <w:rFonts w:cstheme="minorHAnsi"/>
          <w:bCs/>
        </w:rPr>
        <w:t xml:space="preserve">an </w:t>
      </w:r>
      <w:r w:rsidRPr="002F55AC">
        <w:rPr>
          <w:rFonts w:cstheme="minorHAnsi"/>
          <w:bCs/>
          <w:lang w:val="en-US"/>
        </w:rPr>
        <w:t>example</w:t>
      </w:r>
      <w:r w:rsidRPr="002F55AC">
        <w:rPr>
          <w:rFonts w:cstheme="minorHAnsi"/>
          <w:lang w:val="en-US"/>
        </w:rPr>
        <w:t xml:space="preserve"> on how a </w:t>
      </w:r>
      <w:r w:rsidR="00D23B40">
        <w:rPr>
          <w:rFonts w:cstheme="minorHAnsi"/>
          <w:lang w:val="en-US"/>
        </w:rPr>
        <w:t>Mental Health C</w:t>
      </w:r>
      <w:r w:rsidRPr="002F55AC">
        <w:rPr>
          <w:rFonts w:cstheme="minorHAnsi"/>
          <w:lang w:val="en-US"/>
        </w:rPr>
        <w:t xml:space="preserve">linic could </w:t>
      </w:r>
      <w:r w:rsidR="000447EB">
        <w:rPr>
          <w:rFonts w:cstheme="minorHAnsi"/>
          <w:lang w:val="en-US"/>
        </w:rPr>
        <w:t>function</w:t>
      </w:r>
      <w:r w:rsidR="000447EB" w:rsidRPr="002F55AC">
        <w:rPr>
          <w:rFonts w:cstheme="minorHAnsi"/>
          <w:lang w:val="en-US"/>
        </w:rPr>
        <w:t>: -</w:t>
      </w:r>
      <w:r w:rsidRPr="002F55AC">
        <w:rPr>
          <w:rFonts w:cstheme="minorHAnsi"/>
          <w:lang w:val="en-US"/>
        </w:rPr>
        <w:t xml:space="preserve"> </w:t>
      </w:r>
    </w:p>
    <w:p w14:paraId="3630F896" w14:textId="7B343100" w:rsidR="002F55AC" w:rsidRPr="002F55AC" w:rsidRDefault="002F55AC" w:rsidP="002F55AC">
      <w:pPr>
        <w:pStyle w:val="ListParagraph"/>
        <w:jc w:val="both"/>
        <w:rPr>
          <w:rFonts w:cstheme="minorHAnsi"/>
          <w:lang w:val="en-US"/>
        </w:rPr>
      </w:pPr>
    </w:p>
    <w:p w14:paraId="2D6AAABB" w14:textId="0F79FD03" w:rsidR="0045009D" w:rsidRDefault="005966BA" w:rsidP="005966BA">
      <w:pPr>
        <w:pStyle w:val="ListParagraph"/>
        <w:numPr>
          <w:ilvl w:val="0"/>
          <w:numId w:val="20"/>
        </w:numPr>
        <w:spacing w:after="0" w:line="240" w:lineRule="auto"/>
        <w:contextualSpacing w:val="0"/>
        <w:jc w:val="both"/>
        <w:rPr>
          <w:rFonts w:cstheme="minorHAnsi"/>
          <w:lang w:val="en-US"/>
        </w:rPr>
      </w:pPr>
      <w:r>
        <w:rPr>
          <w:rFonts w:cstheme="minorHAnsi"/>
          <w:lang w:val="en-US"/>
        </w:rPr>
        <w:t>MH</w:t>
      </w:r>
      <w:r w:rsidRPr="00047FAD">
        <w:rPr>
          <w:rFonts w:cstheme="minorHAnsi"/>
          <w:lang w:val="en-US"/>
        </w:rPr>
        <w:t xml:space="preserve"> </w:t>
      </w:r>
      <w:r>
        <w:rPr>
          <w:rFonts w:cstheme="minorHAnsi"/>
          <w:lang w:val="en-US"/>
        </w:rPr>
        <w:t>Case Manager</w:t>
      </w:r>
      <w:r w:rsidR="0045009D">
        <w:rPr>
          <w:rFonts w:cstheme="minorHAnsi"/>
          <w:lang w:val="en-US"/>
        </w:rPr>
        <w:t xml:space="preserve"> allocated: -</w:t>
      </w:r>
      <w:r w:rsidRPr="00047FAD">
        <w:rPr>
          <w:rFonts w:cstheme="minorHAnsi"/>
          <w:lang w:val="en-US"/>
        </w:rPr>
        <w:t xml:space="preserve"> </w:t>
      </w:r>
    </w:p>
    <w:p w14:paraId="132A0F2C" w14:textId="3572BDC8" w:rsidR="0045009D" w:rsidRDefault="005966BA" w:rsidP="0045009D">
      <w:pPr>
        <w:pStyle w:val="ListParagraph"/>
        <w:numPr>
          <w:ilvl w:val="1"/>
          <w:numId w:val="20"/>
        </w:numPr>
        <w:spacing w:after="0" w:line="240" w:lineRule="auto"/>
        <w:contextualSpacing w:val="0"/>
        <w:jc w:val="both"/>
        <w:rPr>
          <w:rFonts w:cstheme="minorHAnsi"/>
          <w:lang w:val="en-US"/>
        </w:rPr>
      </w:pPr>
      <w:r w:rsidRPr="00047FAD">
        <w:rPr>
          <w:rFonts w:cstheme="minorHAnsi"/>
          <w:lang w:val="en-US"/>
        </w:rPr>
        <w:t>obtain</w:t>
      </w:r>
      <w:r>
        <w:rPr>
          <w:rFonts w:cstheme="minorHAnsi"/>
          <w:lang w:val="en-US"/>
        </w:rPr>
        <w:t xml:space="preserve"> </w:t>
      </w:r>
      <w:r w:rsidRPr="00047FAD">
        <w:rPr>
          <w:rFonts w:cstheme="minorHAnsi"/>
          <w:lang w:val="en-US"/>
        </w:rPr>
        <w:t>history from patient</w:t>
      </w:r>
      <w:r>
        <w:rPr>
          <w:rFonts w:cstheme="minorHAnsi"/>
          <w:lang w:val="en-US"/>
        </w:rPr>
        <w:t xml:space="preserve">, </w:t>
      </w:r>
      <w:r w:rsidRPr="00047FAD">
        <w:rPr>
          <w:rFonts w:cstheme="minorHAnsi"/>
          <w:lang w:val="en-US"/>
        </w:rPr>
        <w:t>care providers</w:t>
      </w:r>
      <w:r>
        <w:rPr>
          <w:rFonts w:cstheme="minorHAnsi"/>
          <w:lang w:val="en-US"/>
        </w:rPr>
        <w:t>, hospitals</w:t>
      </w:r>
      <w:r w:rsidR="0045009D">
        <w:rPr>
          <w:rFonts w:cstheme="minorHAnsi"/>
          <w:lang w:val="en-US"/>
        </w:rPr>
        <w:t xml:space="preserve">, </w:t>
      </w:r>
      <w:r>
        <w:rPr>
          <w:rFonts w:cstheme="minorHAnsi"/>
          <w:lang w:val="en-US"/>
        </w:rPr>
        <w:t>carers</w:t>
      </w:r>
      <w:r w:rsidR="0045009D">
        <w:rPr>
          <w:rFonts w:cstheme="minorHAnsi"/>
          <w:lang w:val="en-US"/>
        </w:rPr>
        <w:t>;</w:t>
      </w:r>
    </w:p>
    <w:p w14:paraId="27488455" w14:textId="77777777" w:rsidR="0045009D" w:rsidRDefault="0045009D" w:rsidP="0045009D">
      <w:pPr>
        <w:pStyle w:val="ListParagraph"/>
        <w:numPr>
          <w:ilvl w:val="1"/>
          <w:numId w:val="20"/>
        </w:numPr>
        <w:spacing w:after="0" w:line="240" w:lineRule="auto"/>
        <w:contextualSpacing w:val="0"/>
        <w:jc w:val="both"/>
        <w:rPr>
          <w:rFonts w:cstheme="minorHAnsi"/>
          <w:lang w:val="en-US"/>
        </w:rPr>
      </w:pPr>
      <w:r>
        <w:rPr>
          <w:rFonts w:cstheme="minorHAnsi"/>
          <w:lang w:val="en-US"/>
        </w:rPr>
        <w:t>c</w:t>
      </w:r>
      <w:r w:rsidR="005966BA">
        <w:rPr>
          <w:rFonts w:cstheme="minorHAnsi"/>
          <w:lang w:val="en-US"/>
        </w:rPr>
        <w:t>omplete subjective and clinical assessment ratings;</w:t>
      </w:r>
      <w:r w:rsidR="005966BA" w:rsidRPr="00047FAD">
        <w:rPr>
          <w:rFonts w:cstheme="minorHAnsi"/>
          <w:lang w:val="en-US"/>
        </w:rPr>
        <w:t xml:space="preserve"> </w:t>
      </w:r>
    </w:p>
    <w:p w14:paraId="1880FB8B" w14:textId="38EE2AD3" w:rsidR="0045009D" w:rsidRDefault="005966BA" w:rsidP="0045009D">
      <w:pPr>
        <w:pStyle w:val="ListParagraph"/>
        <w:numPr>
          <w:ilvl w:val="1"/>
          <w:numId w:val="20"/>
        </w:numPr>
        <w:spacing w:after="0" w:line="240" w:lineRule="auto"/>
        <w:contextualSpacing w:val="0"/>
        <w:jc w:val="both"/>
        <w:rPr>
          <w:rFonts w:cstheme="minorHAnsi"/>
          <w:lang w:val="en-US"/>
        </w:rPr>
      </w:pPr>
      <w:r w:rsidRPr="00047FAD">
        <w:rPr>
          <w:rFonts w:cstheme="minorHAnsi"/>
          <w:lang w:val="en-US"/>
        </w:rPr>
        <w:t>initiate</w:t>
      </w:r>
      <w:r w:rsidR="00DB7712">
        <w:rPr>
          <w:rFonts w:cstheme="minorHAnsi"/>
          <w:lang w:val="en-US"/>
        </w:rPr>
        <w:t xml:space="preserve"> relevant</w:t>
      </w:r>
      <w:r w:rsidRPr="00047FAD">
        <w:rPr>
          <w:rFonts w:cstheme="minorHAnsi"/>
          <w:lang w:val="en-US"/>
        </w:rPr>
        <w:t xml:space="preserve"> pathology (eg recommendations from Mood and Food Center, hormones, inflammatory markers, pharmacogenomics)</w:t>
      </w:r>
      <w:r>
        <w:rPr>
          <w:rFonts w:cstheme="minorHAnsi"/>
          <w:lang w:val="en-US"/>
        </w:rPr>
        <w:t xml:space="preserve">; </w:t>
      </w:r>
    </w:p>
    <w:p w14:paraId="744F9EFE" w14:textId="24096C00" w:rsidR="005966BA" w:rsidRPr="00047FAD" w:rsidRDefault="005966BA" w:rsidP="0045009D">
      <w:pPr>
        <w:pStyle w:val="ListParagraph"/>
        <w:numPr>
          <w:ilvl w:val="1"/>
          <w:numId w:val="20"/>
        </w:numPr>
        <w:spacing w:after="0" w:line="240" w:lineRule="auto"/>
        <w:contextualSpacing w:val="0"/>
        <w:jc w:val="both"/>
        <w:rPr>
          <w:rFonts w:cstheme="minorHAnsi"/>
          <w:lang w:val="en-US"/>
        </w:rPr>
      </w:pPr>
      <w:r>
        <w:rPr>
          <w:rFonts w:cstheme="minorHAnsi"/>
          <w:lang w:val="en-US"/>
        </w:rPr>
        <w:t>m</w:t>
      </w:r>
      <w:r w:rsidRPr="00047FAD">
        <w:rPr>
          <w:rFonts w:cstheme="minorHAnsi"/>
          <w:lang w:val="en-US"/>
        </w:rPr>
        <w:t xml:space="preserve">ake appointments </w:t>
      </w:r>
      <w:r>
        <w:rPr>
          <w:rFonts w:cstheme="minorHAnsi"/>
          <w:lang w:val="en-US"/>
        </w:rPr>
        <w:t>with</w:t>
      </w:r>
      <w:r w:rsidRPr="00047FAD">
        <w:rPr>
          <w:rFonts w:cstheme="minorHAnsi"/>
          <w:lang w:val="en-US"/>
        </w:rPr>
        <w:t xml:space="preserve"> practitioners depending on identified needs. </w:t>
      </w:r>
    </w:p>
    <w:p w14:paraId="2D937774" w14:textId="02994318" w:rsidR="005966BA" w:rsidRPr="00047FAD" w:rsidRDefault="005966BA" w:rsidP="005966BA">
      <w:pPr>
        <w:pStyle w:val="ListParagraph"/>
        <w:numPr>
          <w:ilvl w:val="0"/>
          <w:numId w:val="20"/>
        </w:numPr>
        <w:spacing w:after="0" w:line="240" w:lineRule="auto"/>
        <w:contextualSpacing w:val="0"/>
        <w:jc w:val="both"/>
        <w:rPr>
          <w:rFonts w:cstheme="minorHAnsi"/>
          <w:lang w:val="en-US"/>
        </w:rPr>
      </w:pPr>
      <w:r w:rsidRPr="00047FAD">
        <w:rPr>
          <w:rFonts w:cstheme="minorHAnsi"/>
          <w:lang w:val="en-US"/>
        </w:rPr>
        <w:t xml:space="preserve">One-off assessments completed </w:t>
      </w:r>
      <w:r w:rsidR="00DB7712">
        <w:rPr>
          <w:rFonts w:cstheme="minorHAnsi"/>
          <w:lang w:val="en-US"/>
        </w:rPr>
        <w:t>b</w:t>
      </w:r>
      <w:r w:rsidR="00D23B40">
        <w:rPr>
          <w:rFonts w:cstheme="minorHAnsi"/>
          <w:lang w:val="en-US"/>
        </w:rPr>
        <w:t>y</w:t>
      </w:r>
      <w:r w:rsidR="00DB7712">
        <w:rPr>
          <w:rFonts w:cstheme="minorHAnsi"/>
          <w:lang w:val="en-US"/>
        </w:rPr>
        <w:t xml:space="preserve"> relevant health care professional</w:t>
      </w:r>
      <w:r w:rsidR="00D23B40">
        <w:rPr>
          <w:rFonts w:cstheme="minorHAnsi"/>
          <w:lang w:val="en-US"/>
        </w:rPr>
        <w:t>s</w:t>
      </w:r>
      <w:r w:rsidRPr="00047FAD">
        <w:rPr>
          <w:rFonts w:cstheme="minorHAnsi"/>
          <w:lang w:val="en-US"/>
        </w:rPr>
        <w:t xml:space="preserve">. eg psychiatrist, clinical psychologist, dietitian, social worker, and /or occupational therapist. If there are comorbidities </w:t>
      </w:r>
      <w:r>
        <w:rPr>
          <w:rFonts w:cstheme="minorHAnsi"/>
          <w:lang w:val="en-US"/>
        </w:rPr>
        <w:t>then provisions could be made for further</w:t>
      </w:r>
      <w:r w:rsidR="00DB7712">
        <w:rPr>
          <w:rFonts w:cstheme="minorHAnsi"/>
          <w:lang w:val="en-US"/>
        </w:rPr>
        <w:t xml:space="preserve"> external </w:t>
      </w:r>
      <w:r>
        <w:rPr>
          <w:rFonts w:cstheme="minorHAnsi"/>
          <w:lang w:val="en-US"/>
        </w:rPr>
        <w:t>consult</w:t>
      </w:r>
      <w:r w:rsidR="00D23B40">
        <w:rPr>
          <w:rFonts w:cstheme="minorHAnsi"/>
          <w:lang w:val="en-US"/>
        </w:rPr>
        <w:t>ations</w:t>
      </w:r>
      <w:r>
        <w:rPr>
          <w:rFonts w:cstheme="minorHAnsi"/>
          <w:lang w:val="en-US"/>
        </w:rPr>
        <w:t xml:space="preserve"> </w:t>
      </w:r>
      <w:r w:rsidRPr="00047FAD">
        <w:rPr>
          <w:rFonts w:cstheme="minorHAnsi"/>
          <w:lang w:val="en-US"/>
        </w:rPr>
        <w:t xml:space="preserve">eg pharmacist, geriatrician, </w:t>
      </w:r>
      <w:r>
        <w:rPr>
          <w:rFonts w:cstheme="minorHAnsi"/>
          <w:lang w:val="en-US"/>
        </w:rPr>
        <w:t>I</w:t>
      </w:r>
      <w:r w:rsidRPr="00047FAD">
        <w:rPr>
          <w:rFonts w:cstheme="minorHAnsi"/>
          <w:lang w:val="en-US"/>
        </w:rPr>
        <w:t>ntegrative GP.</w:t>
      </w:r>
    </w:p>
    <w:p w14:paraId="0D5A5650" w14:textId="5D3E5F14" w:rsidR="005966BA" w:rsidRPr="00047FAD" w:rsidRDefault="005966BA" w:rsidP="005966BA">
      <w:pPr>
        <w:pStyle w:val="ListParagraph"/>
        <w:numPr>
          <w:ilvl w:val="0"/>
          <w:numId w:val="20"/>
        </w:numPr>
        <w:spacing w:after="0" w:line="240" w:lineRule="auto"/>
        <w:contextualSpacing w:val="0"/>
        <w:jc w:val="both"/>
        <w:rPr>
          <w:rFonts w:cstheme="minorHAnsi"/>
          <w:lang w:val="en-US"/>
        </w:rPr>
      </w:pPr>
      <w:r w:rsidRPr="00047FAD">
        <w:rPr>
          <w:rFonts w:cstheme="minorHAnsi"/>
          <w:lang w:val="en-US"/>
        </w:rPr>
        <w:t>Case conferenc</w:t>
      </w:r>
      <w:r w:rsidR="00DB7712">
        <w:rPr>
          <w:rFonts w:cstheme="minorHAnsi"/>
          <w:lang w:val="en-US"/>
        </w:rPr>
        <w:t>ing is used</w:t>
      </w:r>
      <w:r w:rsidRPr="00047FAD">
        <w:rPr>
          <w:rFonts w:cstheme="minorHAnsi"/>
          <w:lang w:val="en-US"/>
        </w:rPr>
        <w:t xml:space="preserve"> to develop</w:t>
      </w:r>
      <w:r>
        <w:rPr>
          <w:rFonts w:cstheme="minorHAnsi"/>
          <w:lang w:val="en-US"/>
        </w:rPr>
        <w:t xml:space="preserve"> a</w:t>
      </w:r>
      <w:r w:rsidRPr="00047FAD">
        <w:rPr>
          <w:rFonts w:cstheme="minorHAnsi"/>
          <w:lang w:val="en-US"/>
        </w:rPr>
        <w:t xml:space="preserve"> </w:t>
      </w:r>
      <w:r>
        <w:rPr>
          <w:rFonts w:cstheme="minorHAnsi"/>
          <w:lang w:val="en-US"/>
        </w:rPr>
        <w:t xml:space="preserve">consumer </w:t>
      </w:r>
      <w:r w:rsidRPr="00047FAD">
        <w:rPr>
          <w:rFonts w:cstheme="minorHAnsi"/>
          <w:lang w:val="en-US"/>
        </w:rPr>
        <w:t xml:space="preserve">tailored </w:t>
      </w:r>
      <w:r>
        <w:rPr>
          <w:rFonts w:cstheme="minorHAnsi"/>
          <w:lang w:val="en-US"/>
        </w:rPr>
        <w:t>treatment plan</w:t>
      </w:r>
      <w:r w:rsidRPr="00047FAD">
        <w:rPr>
          <w:rFonts w:cstheme="minorHAnsi"/>
          <w:lang w:val="en-US"/>
        </w:rPr>
        <w:t>.</w:t>
      </w:r>
    </w:p>
    <w:p w14:paraId="5DAE053D" w14:textId="578458C2" w:rsidR="005966BA" w:rsidRPr="00047FAD" w:rsidRDefault="005966BA" w:rsidP="005966BA">
      <w:pPr>
        <w:pStyle w:val="ListParagraph"/>
        <w:numPr>
          <w:ilvl w:val="0"/>
          <w:numId w:val="20"/>
        </w:numPr>
        <w:spacing w:after="0" w:line="240" w:lineRule="auto"/>
        <w:contextualSpacing w:val="0"/>
        <w:jc w:val="both"/>
        <w:rPr>
          <w:rFonts w:cstheme="minorHAnsi"/>
          <w:lang w:val="en-US"/>
        </w:rPr>
      </w:pPr>
      <w:r w:rsidRPr="00047FAD">
        <w:rPr>
          <w:rFonts w:cstheme="minorHAnsi"/>
          <w:lang w:val="en-US"/>
        </w:rPr>
        <w:t xml:space="preserve">A copy of the </w:t>
      </w:r>
      <w:r w:rsidR="00DB7712">
        <w:rPr>
          <w:rFonts w:cstheme="minorHAnsi"/>
          <w:lang w:val="en-US"/>
        </w:rPr>
        <w:t xml:space="preserve">plan </w:t>
      </w:r>
      <w:r w:rsidRPr="00047FAD">
        <w:rPr>
          <w:rFonts w:cstheme="minorHAnsi"/>
          <w:lang w:val="en-US"/>
        </w:rPr>
        <w:t>is provided to the psychiatrist, GP</w:t>
      </w:r>
      <w:r w:rsidR="00DB7712">
        <w:rPr>
          <w:rFonts w:cstheme="minorHAnsi"/>
          <w:lang w:val="en-US"/>
        </w:rPr>
        <w:t xml:space="preserve"> and other relevant health care workers</w:t>
      </w:r>
      <w:r w:rsidRPr="00047FAD">
        <w:rPr>
          <w:rFonts w:cstheme="minorHAnsi"/>
          <w:lang w:val="en-US"/>
        </w:rPr>
        <w:t xml:space="preserve">. </w:t>
      </w:r>
    </w:p>
    <w:p w14:paraId="780BEE9E" w14:textId="7A9040E5" w:rsidR="005966BA" w:rsidRPr="00047FAD" w:rsidRDefault="005966BA" w:rsidP="005966BA">
      <w:pPr>
        <w:pStyle w:val="ListParagraph"/>
        <w:numPr>
          <w:ilvl w:val="0"/>
          <w:numId w:val="20"/>
        </w:numPr>
        <w:spacing w:after="0" w:line="240" w:lineRule="auto"/>
        <w:contextualSpacing w:val="0"/>
        <w:jc w:val="both"/>
        <w:rPr>
          <w:rFonts w:cstheme="minorHAnsi"/>
          <w:lang w:val="en-US"/>
        </w:rPr>
      </w:pPr>
      <w:r w:rsidRPr="00047FAD">
        <w:rPr>
          <w:rFonts w:cstheme="minorHAnsi"/>
          <w:lang w:val="en-US"/>
        </w:rPr>
        <w:t xml:space="preserve">The </w:t>
      </w:r>
      <w:r>
        <w:rPr>
          <w:rFonts w:cstheme="minorHAnsi"/>
          <w:lang w:val="en-US"/>
        </w:rPr>
        <w:t>consumer</w:t>
      </w:r>
      <w:r w:rsidRPr="00047FAD">
        <w:rPr>
          <w:rFonts w:cstheme="minorHAnsi"/>
          <w:lang w:val="en-US"/>
        </w:rPr>
        <w:t xml:space="preserve"> will receive a</w:t>
      </w:r>
      <w:r w:rsidR="004176E8">
        <w:rPr>
          <w:rFonts w:cstheme="minorHAnsi"/>
          <w:lang w:val="en-US"/>
        </w:rPr>
        <w:t xml:space="preserve"> </w:t>
      </w:r>
      <w:r w:rsidRPr="00047FAD">
        <w:rPr>
          <w:rFonts w:cstheme="minorHAnsi"/>
          <w:lang w:val="en-US"/>
        </w:rPr>
        <w:t xml:space="preserve">package </w:t>
      </w:r>
      <w:r w:rsidR="004176E8">
        <w:rPr>
          <w:rFonts w:cstheme="minorHAnsi"/>
          <w:lang w:val="en-US"/>
        </w:rPr>
        <w:t>including</w:t>
      </w:r>
      <w:r w:rsidRPr="00047FAD">
        <w:rPr>
          <w:rFonts w:cstheme="minorHAnsi"/>
          <w:lang w:val="en-US"/>
        </w:rPr>
        <w:t>: -</w:t>
      </w:r>
    </w:p>
    <w:p w14:paraId="7CCE0E18" w14:textId="77777777" w:rsidR="005966BA" w:rsidRPr="00047FAD" w:rsidRDefault="005966BA" w:rsidP="005966BA">
      <w:pPr>
        <w:pStyle w:val="ListParagraph"/>
        <w:numPr>
          <w:ilvl w:val="1"/>
          <w:numId w:val="20"/>
        </w:numPr>
        <w:spacing w:after="0" w:line="240" w:lineRule="auto"/>
        <w:contextualSpacing w:val="0"/>
        <w:jc w:val="both"/>
        <w:rPr>
          <w:rFonts w:cstheme="minorHAnsi"/>
          <w:lang w:val="en-US"/>
        </w:rPr>
      </w:pPr>
      <w:r w:rsidRPr="00047FAD">
        <w:rPr>
          <w:rFonts w:cstheme="minorHAnsi"/>
          <w:lang w:val="en-US"/>
        </w:rPr>
        <w:t xml:space="preserve">crisis plan; </w:t>
      </w:r>
    </w:p>
    <w:p w14:paraId="07FFA1BD" w14:textId="2ECDBFA7" w:rsidR="005966BA" w:rsidRPr="00047FAD" w:rsidRDefault="005966BA" w:rsidP="005966BA">
      <w:pPr>
        <w:pStyle w:val="ListParagraph"/>
        <w:numPr>
          <w:ilvl w:val="1"/>
          <w:numId w:val="20"/>
        </w:numPr>
        <w:spacing w:after="0" w:line="240" w:lineRule="auto"/>
        <w:contextualSpacing w:val="0"/>
        <w:jc w:val="both"/>
        <w:rPr>
          <w:rFonts w:cstheme="minorHAnsi"/>
          <w:lang w:val="en-US"/>
        </w:rPr>
      </w:pPr>
      <w:r>
        <w:rPr>
          <w:rFonts w:cstheme="minorHAnsi"/>
          <w:lang w:val="en-US"/>
        </w:rPr>
        <w:t>s</w:t>
      </w:r>
      <w:r w:rsidRPr="00047FAD">
        <w:rPr>
          <w:rFonts w:cstheme="minorHAnsi"/>
          <w:lang w:val="en-US"/>
        </w:rPr>
        <w:t xml:space="preserve">ummary from each discipline providing beneficial pathways e.g. the type of psychotherapy recommended, pharmaceutical plan, </w:t>
      </w:r>
      <w:r>
        <w:rPr>
          <w:rFonts w:cstheme="minorHAnsi"/>
          <w:lang w:val="en-US"/>
        </w:rPr>
        <w:t>employment support</w:t>
      </w:r>
      <w:r w:rsidRPr="00047FAD">
        <w:rPr>
          <w:rFonts w:cstheme="minorHAnsi"/>
          <w:lang w:val="en-US"/>
        </w:rPr>
        <w:t>.</w:t>
      </w:r>
    </w:p>
    <w:p w14:paraId="74EC7C3D" w14:textId="205A3FEC" w:rsidR="005966BA" w:rsidRDefault="005966BA" w:rsidP="00D23B40">
      <w:pPr>
        <w:pStyle w:val="ListParagraph"/>
        <w:numPr>
          <w:ilvl w:val="1"/>
          <w:numId w:val="20"/>
        </w:numPr>
        <w:spacing w:after="0" w:line="240" w:lineRule="auto"/>
        <w:contextualSpacing w:val="0"/>
        <w:jc w:val="both"/>
        <w:rPr>
          <w:rFonts w:cstheme="minorHAnsi"/>
          <w:lang w:val="en-US"/>
        </w:rPr>
      </w:pPr>
      <w:r w:rsidRPr="00047FAD">
        <w:rPr>
          <w:rFonts w:cstheme="minorHAnsi"/>
          <w:lang w:val="en-US"/>
        </w:rPr>
        <w:t xml:space="preserve">List </w:t>
      </w:r>
      <w:r>
        <w:rPr>
          <w:rFonts w:cstheme="minorHAnsi"/>
          <w:lang w:val="en-US"/>
        </w:rPr>
        <w:t xml:space="preserve">of </w:t>
      </w:r>
      <w:r w:rsidR="00DB7712">
        <w:rPr>
          <w:rFonts w:cstheme="minorHAnsi"/>
          <w:lang w:val="en-US"/>
        </w:rPr>
        <w:t xml:space="preserve">relevant </w:t>
      </w:r>
      <w:r w:rsidRPr="00047FAD">
        <w:rPr>
          <w:rFonts w:cstheme="minorHAnsi"/>
          <w:lang w:val="en-US"/>
        </w:rPr>
        <w:t xml:space="preserve">resources that can </w:t>
      </w:r>
      <w:r>
        <w:rPr>
          <w:rFonts w:cstheme="minorHAnsi"/>
          <w:lang w:val="en-US"/>
        </w:rPr>
        <w:t xml:space="preserve">be </w:t>
      </w:r>
      <w:r w:rsidRPr="00047FAD">
        <w:rPr>
          <w:rFonts w:cstheme="minorHAnsi"/>
          <w:lang w:val="en-US"/>
        </w:rPr>
        <w:t>access</w:t>
      </w:r>
      <w:r>
        <w:rPr>
          <w:rFonts w:cstheme="minorHAnsi"/>
          <w:lang w:val="en-US"/>
        </w:rPr>
        <w:t>ed</w:t>
      </w:r>
      <w:r w:rsidRPr="00047FAD">
        <w:rPr>
          <w:rFonts w:cstheme="minorHAnsi"/>
          <w:lang w:val="en-US"/>
        </w:rPr>
        <w:t xml:space="preserve"> in the community, hospital, private practice and/or online.</w:t>
      </w:r>
      <w:r>
        <w:rPr>
          <w:rFonts w:cstheme="minorHAnsi"/>
          <w:lang w:val="en-US"/>
        </w:rPr>
        <w:t xml:space="preserve"> </w:t>
      </w:r>
    </w:p>
    <w:p w14:paraId="069C6C92" w14:textId="2B02E800" w:rsidR="00F50F32" w:rsidRDefault="005966BA" w:rsidP="00F50F32">
      <w:pPr>
        <w:pStyle w:val="ListParagraph"/>
        <w:numPr>
          <w:ilvl w:val="0"/>
          <w:numId w:val="20"/>
        </w:numPr>
        <w:spacing w:after="0" w:line="240" w:lineRule="auto"/>
        <w:contextualSpacing w:val="0"/>
        <w:jc w:val="both"/>
        <w:rPr>
          <w:rFonts w:cstheme="minorHAnsi"/>
          <w:lang w:val="en-US"/>
        </w:rPr>
      </w:pPr>
      <w:r w:rsidRPr="00047FAD">
        <w:rPr>
          <w:rFonts w:cstheme="minorHAnsi"/>
          <w:lang w:val="en-US"/>
        </w:rPr>
        <w:t xml:space="preserve">The </w:t>
      </w:r>
      <w:r>
        <w:rPr>
          <w:rFonts w:cstheme="minorHAnsi"/>
          <w:lang w:val="en-US"/>
        </w:rPr>
        <w:t>consumer</w:t>
      </w:r>
      <w:r w:rsidRPr="00047FAD">
        <w:rPr>
          <w:rFonts w:cstheme="minorHAnsi"/>
          <w:lang w:val="en-US"/>
        </w:rPr>
        <w:t>’s progress can be reassessed to measure outcomes</w:t>
      </w:r>
      <w:r w:rsidR="00F50F32">
        <w:rPr>
          <w:rFonts w:cstheme="minorHAnsi"/>
          <w:lang w:val="en-US"/>
        </w:rPr>
        <w:t xml:space="preserve"> at intervals</w:t>
      </w:r>
      <w:r w:rsidRPr="00047FAD">
        <w:rPr>
          <w:rFonts w:cstheme="minorHAnsi"/>
          <w:lang w:val="en-US"/>
        </w:rPr>
        <w:t>.</w:t>
      </w:r>
    </w:p>
    <w:p w14:paraId="701572AF" w14:textId="77777777" w:rsidR="00F50F32" w:rsidRDefault="005966BA" w:rsidP="00F50F32">
      <w:pPr>
        <w:pStyle w:val="ListParagraph"/>
        <w:numPr>
          <w:ilvl w:val="0"/>
          <w:numId w:val="20"/>
        </w:numPr>
        <w:spacing w:after="0" w:line="240" w:lineRule="auto"/>
        <w:contextualSpacing w:val="0"/>
        <w:jc w:val="both"/>
        <w:rPr>
          <w:rFonts w:cstheme="minorHAnsi"/>
          <w:lang w:val="en-US"/>
        </w:rPr>
      </w:pPr>
      <w:r w:rsidRPr="00F50F32">
        <w:rPr>
          <w:rFonts w:cstheme="minorHAnsi"/>
          <w:lang w:val="en-US"/>
        </w:rPr>
        <w:t>A list of illness specific treatment options</w:t>
      </w:r>
      <w:r w:rsidR="00DB7712" w:rsidRPr="00F50F32">
        <w:rPr>
          <w:rFonts w:cstheme="minorHAnsi"/>
          <w:lang w:val="en-US"/>
        </w:rPr>
        <w:t xml:space="preserve">, for example, bipolar disorder could receive </w:t>
      </w:r>
      <w:r w:rsidR="00F50F32" w:rsidRPr="00F50F32">
        <w:rPr>
          <w:rFonts w:cstheme="minorHAnsi"/>
          <w:lang w:val="en-US"/>
        </w:rPr>
        <w:t xml:space="preserve">added </w:t>
      </w:r>
      <w:r w:rsidR="00DB7712" w:rsidRPr="00F50F32">
        <w:rPr>
          <w:rFonts w:cstheme="minorHAnsi"/>
          <w:lang w:val="en-US"/>
        </w:rPr>
        <w:t>information about</w:t>
      </w:r>
      <w:r w:rsidR="00F50F32" w:rsidRPr="00F50F32">
        <w:rPr>
          <w:rFonts w:cstheme="minorHAnsi"/>
          <w:lang w:val="en-US"/>
        </w:rPr>
        <w:t>:-</w:t>
      </w:r>
    </w:p>
    <w:p w14:paraId="390B2A49" w14:textId="77777777" w:rsidR="00F50F32" w:rsidRDefault="007B36B2" w:rsidP="00F50F32">
      <w:pPr>
        <w:pStyle w:val="ListParagraph"/>
        <w:numPr>
          <w:ilvl w:val="1"/>
          <w:numId w:val="20"/>
        </w:numPr>
        <w:spacing w:after="0" w:line="240" w:lineRule="auto"/>
        <w:contextualSpacing w:val="0"/>
        <w:jc w:val="both"/>
        <w:rPr>
          <w:rFonts w:cstheme="minorHAnsi"/>
          <w:lang w:val="en-US"/>
        </w:rPr>
      </w:pPr>
      <w:r w:rsidRPr="00F50F32">
        <w:rPr>
          <w:rFonts w:cstheme="minorHAnsi"/>
          <w:lang w:val="en-US"/>
        </w:rPr>
        <w:t xml:space="preserve">Facial recognition or social media activity </w:t>
      </w:r>
      <w:r w:rsidR="005966BA" w:rsidRPr="00F50F32">
        <w:rPr>
          <w:rFonts w:cstheme="minorHAnsi"/>
          <w:lang w:val="en-US"/>
        </w:rPr>
        <w:t>Apps</w:t>
      </w:r>
      <w:r w:rsidRPr="00F50F32">
        <w:rPr>
          <w:rFonts w:cstheme="minorHAnsi"/>
          <w:lang w:val="en-US"/>
        </w:rPr>
        <w:t>;</w:t>
      </w:r>
    </w:p>
    <w:p w14:paraId="0C85EAD1" w14:textId="4FC9C486" w:rsidR="00F50F32" w:rsidRDefault="00F50F32" w:rsidP="00F50F32">
      <w:pPr>
        <w:pStyle w:val="ListParagraph"/>
        <w:numPr>
          <w:ilvl w:val="1"/>
          <w:numId w:val="20"/>
        </w:numPr>
        <w:spacing w:after="0" w:line="240" w:lineRule="auto"/>
        <w:contextualSpacing w:val="0"/>
        <w:jc w:val="both"/>
        <w:rPr>
          <w:rFonts w:cstheme="minorHAnsi"/>
          <w:lang w:val="en-US"/>
        </w:rPr>
      </w:pPr>
      <w:r>
        <w:rPr>
          <w:rFonts w:cstheme="minorHAnsi"/>
          <w:lang w:val="en-US"/>
        </w:rPr>
        <w:t>Bipolar support groups;</w:t>
      </w:r>
      <w:r w:rsidR="007B36B2" w:rsidRPr="00F50F32">
        <w:rPr>
          <w:rFonts w:cstheme="minorHAnsi"/>
          <w:lang w:val="en-US"/>
        </w:rPr>
        <w:t xml:space="preserve"> </w:t>
      </w:r>
    </w:p>
    <w:p w14:paraId="4EAD0A56" w14:textId="77777777" w:rsidR="00F50F32" w:rsidRDefault="007B36B2" w:rsidP="00F50F32">
      <w:pPr>
        <w:pStyle w:val="ListParagraph"/>
        <w:numPr>
          <w:ilvl w:val="1"/>
          <w:numId w:val="20"/>
        </w:numPr>
        <w:spacing w:after="0" w:line="240" w:lineRule="auto"/>
        <w:contextualSpacing w:val="0"/>
        <w:jc w:val="both"/>
        <w:rPr>
          <w:rFonts w:cstheme="minorHAnsi"/>
          <w:lang w:val="en-US"/>
        </w:rPr>
      </w:pPr>
      <w:r w:rsidRPr="00F50F32">
        <w:rPr>
          <w:rFonts w:cstheme="minorHAnsi"/>
          <w:lang w:val="en-US"/>
        </w:rPr>
        <w:t xml:space="preserve">Interpersonal and Social Rhythm Therapy (IPSRT); </w:t>
      </w:r>
    </w:p>
    <w:p w14:paraId="158CA9F2" w14:textId="77777777" w:rsidR="00F50F32" w:rsidRDefault="00F50F32" w:rsidP="00F50F32">
      <w:pPr>
        <w:pStyle w:val="ListParagraph"/>
        <w:numPr>
          <w:ilvl w:val="1"/>
          <w:numId w:val="20"/>
        </w:numPr>
        <w:spacing w:after="0" w:line="240" w:lineRule="auto"/>
        <w:contextualSpacing w:val="0"/>
        <w:jc w:val="both"/>
        <w:rPr>
          <w:rFonts w:cstheme="minorHAnsi"/>
          <w:lang w:val="en-US"/>
        </w:rPr>
      </w:pPr>
      <w:r>
        <w:rPr>
          <w:rFonts w:cstheme="minorHAnsi"/>
          <w:lang w:val="en-US"/>
        </w:rPr>
        <w:t>B</w:t>
      </w:r>
      <w:r w:rsidR="00CF2014" w:rsidRPr="00F50F32">
        <w:rPr>
          <w:rFonts w:cstheme="minorHAnsi"/>
          <w:lang w:val="en-US"/>
        </w:rPr>
        <w:t>lue-blocking glasses</w:t>
      </w:r>
      <w:r w:rsidR="007B36B2" w:rsidRPr="00F50F32">
        <w:rPr>
          <w:rFonts w:cstheme="minorHAnsi"/>
          <w:lang w:val="en-US"/>
        </w:rPr>
        <w:t xml:space="preserve"> for mania;</w:t>
      </w:r>
      <w:r w:rsidR="00CF2014" w:rsidRPr="00F50F32">
        <w:rPr>
          <w:rFonts w:cstheme="minorHAnsi"/>
          <w:lang w:val="en-US"/>
        </w:rPr>
        <w:t xml:space="preserve"> </w:t>
      </w:r>
    </w:p>
    <w:p w14:paraId="0CA1920E" w14:textId="77777777" w:rsidR="00F50F32" w:rsidRDefault="00F50F32" w:rsidP="00F50F32">
      <w:pPr>
        <w:pStyle w:val="ListParagraph"/>
        <w:numPr>
          <w:ilvl w:val="1"/>
          <w:numId w:val="20"/>
        </w:numPr>
        <w:spacing w:after="0" w:line="240" w:lineRule="auto"/>
        <w:contextualSpacing w:val="0"/>
        <w:jc w:val="both"/>
        <w:rPr>
          <w:rFonts w:cstheme="minorHAnsi"/>
          <w:lang w:val="en-US"/>
        </w:rPr>
      </w:pPr>
      <w:r>
        <w:rPr>
          <w:rFonts w:cstheme="minorHAnsi"/>
          <w:lang w:val="en-US"/>
        </w:rPr>
        <w:t>A</w:t>
      </w:r>
      <w:r w:rsidR="007B36B2" w:rsidRPr="00F50F32">
        <w:rPr>
          <w:rFonts w:cstheme="minorHAnsi"/>
          <w:lang w:val="en-US"/>
        </w:rPr>
        <w:t xml:space="preserve">ntioxidant and anti-inflammatory treatment; </w:t>
      </w:r>
    </w:p>
    <w:p w14:paraId="0BAD7117" w14:textId="3A8431F1" w:rsidR="00F50F32" w:rsidRDefault="00F50F32" w:rsidP="00F50F32">
      <w:pPr>
        <w:pStyle w:val="ListParagraph"/>
        <w:numPr>
          <w:ilvl w:val="1"/>
          <w:numId w:val="20"/>
        </w:numPr>
        <w:spacing w:after="0" w:line="240" w:lineRule="auto"/>
        <w:contextualSpacing w:val="0"/>
        <w:jc w:val="both"/>
        <w:rPr>
          <w:rFonts w:cstheme="minorHAnsi"/>
          <w:lang w:val="en-US"/>
        </w:rPr>
      </w:pPr>
      <w:r>
        <w:rPr>
          <w:rFonts w:cstheme="minorHAnsi"/>
          <w:lang w:val="en-US"/>
        </w:rPr>
        <w:t>M</w:t>
      </w:r>
      <w:r w:rsidR="007B36B2" w:rsidRPr="00F50F32">
        <w:rPr>
          <w:rFonts w:cstheme="minorHAnsi"/>
          <w:lang w:val="en-US"/>
        </w:rPr>
        <w:t>aybe</w:t>
      </w:r>
      <w:r w:rsidR="004176E8">
        <w:rPr>
          <w:rFonts w:cstheme="minorHAnsi"/>
          <w:lang w:val="en-US"/>
        </w:rPr>
        <w:t>,</w:t>
      </w:r>
      <w:r w:rsidR="007B36B2" w:rsidRPr="00F50F32">
        <w:rPr>
          <w:rFonts w:cstheme="minorHAnsi"/>
          <w:lang w:val="en-US"/>
        </w:rPr>
        <w:t xml:space="preserve"> </w:t>
      </w:r>
      <w:r w:rsidR="00CF2014" w:rsidRPr="00F50F32">
        <w:rPr>
          <w:rFonts w:cstheme="minorHAnsi"/>
          <w:lang w:val="en-US"/>
        </w:rPr>
        <w:t>faecal transplants</w:t>
      </w:r>
      <w:r>
        <w:rPr>
          <w:rFonts w:cstheme="minorHAnsi"/>
          <w:lang w:val="en-US"/>
        </w:rPr>
        <w:t xml:space="preserve"> in the future;</w:t>
      </w:r>
    </w:p>
    <w:p w14:paraId="01B2B745" w14:textId="77777777" w:rsidR="00A17977" w:rsidRDefault="00F50F32" w:rsidP="00F50F32">
      <w:pPr>
        <w:pStyle w:val="ListParagraph"/>
        <w:numPr>
          <w:ilvl w:val="1"/>
          <w:numId w:val="20"/>
        </w:numPr>
        <w:spacing w:after="0" w:line="240" w:lineRule="auto"/>
        <w:contextualSpacing w:val="0"/>
        <w:jc w:val="both"/>
        <w:rPr>
          <w:rFonts w:cstheme="minorHAnsi"/>
          <w:lang w:val="en-US"/>
        </w:rPr>
      </w:pPr>
      <w:r>
        <w:rPr>
          <w:rFonts w:cstheme="minorHAnsi"/>
          <w:lang w:val="en-US"/>
        </w:rPr>
        <w:t xml:space="preserve">Strategies for work, relationships, triggers, </w:t>
      </w:r>
    </w:p>
    <w:p w14:paraId="73270599" w14:textId="3995F657" w:rsidR="005966BA" w:rsidRPr="00F50F32" w:rsidRDefault="00A17977" w:rsidP="00F50F32">
      <w:pPr>
        <w:pStyle w:val="ListParagraph"/>
        <w:numPr>
          <w:ilvl w:val="1"/>
          <w:numId w:val="20"/>
        </w:numPr>
        <w:spacing w:after="0" w:line="240" w:lineRule="auto"/>
        <w:contextualSpacing w:val="0"/>
        <w:jc w:val="both"/>
        <w:rPr>
          <w:rFonts w:cstheme="minorHAnsi"/>
          <w:lang w:val="en-US"/>
        </w:rPr>
      </w:pPr>
      <w:r>
        <w:rPr>
          <w:rFonts w:cstheme="minorHAnsi"/>
          <w:lang w:val="en-US"/>
        </w:rPr>
        <w:t xml:space="preserve">Strategies to manage hypomania, bipolar depression … </w:t>
      </w:r>
      <w:r w:rsidR="007B36B2" w:rsidRPr="00F50F32">
        <w:rPr>
          <w:rFonts w:cstheme="minorHAnsi"/>
          <w:lang w:val="en-US"/>
        </w:rPr>
        <w:t xml:space="preserve"> </w:t>
      </w:r>
    </w:p>
    <w:p w14:paraId="25274C91" w14:textId="77777777" w:rsidR="005966BA" w:rsidRPr="00F50F32" w:rsidRDefault="005966BA" w:rsidP="005966BA">
      <w:pPr>
        <w:spacing w:after="0" w:line="240" w:lineRule="auto"/>
        <w:jc w:val="both"/>
        <w:rPr>
          <w:rFonts w:cstheme="minorHAnsi"/>
          <w:lang w:val="en-US"/>
        </w:rPr>
      </w:pPr>
    </w:p>
    <w:p w14:paraId="064E6A84" w14:textId="77777777" w:rsidR="005803D3" w:rsidRDefault="005966BA" w:rsidP="00E37BD0">
      <w:pPr>
        <w:spacing w:after="0" w:line="240" w:lineRule="auto"/>
        <w:ind w:left="720"/>
        <w:rPr>
          <w:lang w:val="en-US"/>
        </w:rPr>
      </w:pPr>
      <w:r w:rsidRPr="00F50F32">
        <w:rPr>
          <w:lang w:val="en-US"/>
        </w:rPr>
        <w:t>Failure</w:t>
      </w:r>
      <w:r w:rsidR="002718A7">
        <w:rPr>
          <w:lang w:val="en-US"/>
        </w:rPr>
        <w:t xml:space="preserve"> </w:t>
      </w:r>
      <w:r w:rsidRPr="00F50F32">
        <w:rPr>
          <w:lang w:val="en-US"/>
        </w:rPr>
        <w:t>to</w:t>
      </w:r>
      <w:r w:rsidR="002718A7">
        <w:rPr>
          <w:lang w:val="en-US"/>
        </w:rPr>
        <w:t xml:space="preserve"> </w:t>
      </w:r>
      <w:r w:rsidRPr="00F50F32">
        <w:rPr>
          <w:lang w:val="en-US"/>
        </w:rPr>
        <w:t xml:space="preserve">respond </w:t>
      </w:r>
      <w:r w:rsidR="00D35F46">
        <w:rPr>
          <w:lang w:val="en-US"/>
        </w:rPr>
        <w:t>is</w:t>
      </w:r>
      <w:r w:rsidR="002718A7">
        <w:rPr>
          <w:lang w:val="en-US"/>
        </w:rPr>
        <w:t xml:space="preserve"> </w:t>
      </w:r>
      <w:r w:rsidR="0067160C">
        <w:rPr>
          <w:lang w:val="en-US"/>
        </w:rPr>
        <w:t>just a starting point,</w:t>
      </w:r>
      <w:r w:rsidR="005803D3">
        <w:rPr>
          <w:lang w:val="en-US"/>
        </w:rPr>
        <w:t xml:space="preserve"> </w:t>
      </w:r>
    </w:p>
    <w:p w14:paraId="3480E7D6" w14:textId="76FF4FF0" w:rsidR="005803D3" w:rsidRDefault="005803D3" w:rsidP="00E37BD0">
      <w:pPr>
        <w:spacing w:after="0" w:line="240" w:lineRule="auto"/>
        <w:ind w:left="720"/>
        <w:rPr>
          <w:lang w:val="en-US"/>
        </w:rPr>
      </w:pPr>
      <w:r>
        <w:rPr>
          <w:lang w:val="en-US"/>
        </w:rPr>
        <w:t xml:space="preserve">a time to open a flow sheet of assessments and reassessment, </w:t>
      </w:r>
    </w:p>
    <w:p w14:paraId="5A1A2263" w14:textId="59DC2FD0" w:rsidR="006A68AF" w:rsidRPr="00F50F32" w:rsidRDefault="005803D3" w:rsidP="00E37BD0">
      <w:pPr>
        <w:spacing w:after="0" w:line="240" w:lineRule="auto"/>
        <w:ind w:left="720"/>
        <w:rPr>
          <w:lang w:val="en-US"/>
        </w:rPr>
      </w:pPr>
      <w:r>
        <w:rPr>
          <w:lang w:val="en-US"/>
        </w:rPr>
        <w:t xml:space="preserve">it </w:t>
      </w:r>
      <w:r w:rsidR="004176E8">
        <w:rPr>
          <w:lang w:val="en-US"/>
        </w:rPr>
        <w:t xml:space="preserve">should never be the </w:t>
      </w:r>
      <w:r>
        <w:rPr>
          <w:lang w:val="en-US"/>
        </w:rPr>
        <w:t xml:space="preserve">end of a treatment algorithm. </w:t>
      </w:r>
    </w:p>
    <w:p w14:paraId="7A0EFBC5" w14:textId="77777777" w:rsidR="006A68AF" w:rsidRDefault="006A68AF" w:rsidP="00CF2014">
      <w:pPr>
        <w:spacing w:after="0" w:line="240" w:lineRule="auto"/>
        <w:jc w:val="center"/>
        <w:rPr>
          <w:b/>
          <w:bCs/>
          <w:lang w:val="en-US"/>
        </w:rPr>
      </w:pPr>
    </w:p>
    <w:p w14:paraId="2BDDA5DC" w14:textId="7D19A26F" w:rsidR="006A68AF" w:rsidRDefault="006A68AF" w:rsidP="006A68AF">
      <w:pPr>
        <w:pStyle w:val="ListParagraph"/>
        <w:numPr>
          <w:ilvl w:val="0"/>
          <w:numId w:val="11"/>
        </w:numPr>
        <w:jc w:val="both"/>
      </w:pPr>
      <w:r w:rsidRPr="0054411B">
        <w:rPr>
          <w:b/>
          <w:bCs/>
          <w:sz w:val="28"/>
          <w:szCs w:val="28"/>
        </w:rPr>
        <w:t>Multidisciplinary service providers.</w:t>
      </w:r>
      <w:r w:rsidRPr="0054411B">
        <w:rPr>
          <w:b/>
          <w:bCs/>
        </w:rPr>
        <w:t xml:space="preserve"> </w:t>
      </w:r>
      <w:r w:rsidRPr="00963D31">
        <w:t>To fill the gaps the PC should consider expanding service providers beyond commonly recognised</w:t>
      </w:r>
      <w:r>
        <w:t xml:space="preserve"> GPs, psychiatrist, and allied health workers</w:t>
      </w:r>
      <w:r w:rsidRPr="00963D31">
        <w:t>.</w:t>
      </w:r>
    </w:p>
    <w:p w14:paraId="7130B4F9" w14:textId="77777777" w:rsidR="006A68AF" w:rsidRDefault="006A68AF" w:rsidP="006A68AF">
      <w:pPr>
        <w:pStyle w:val="ListParagraph"/>
        <w:jc w:val="both"/>
      </w:pPr>
    </w:p>
    <w:p w14:paraId="617B65BD" w14:textId="17D09B0C" w:rsidR="009A40FA" w:rsidRDefault="006A68AF" w:rsidP="009A40FA">
      <w:pPr>
        <w:pStyle w:val="ListParagraph"/>
        <w:jc w:val="both"/>
      </w:pPr>
      <w:r w:rsidRPr="00963D31">
        <w:lastRenderedPageBreak/>
        <w:t xml:space="preserve">It was an Integrative GP who provided the most comprehensive assessment of my MH, identified abnormal pathology, corrected this, and improved my mental health in doing so. </w:t>
      </w:r>
      <w:r>
        <w:t>This reduced my dependence on psychotropic medication</w:t>
      </w:r>
      <w:r w:rsidR="00B93FBD">
        <w:t>s</w:t>
      </w:r>
      <w:r>
        <w:t xml:space="preserve">. </w:t>
      </w:r>
      <w:r w:rsidR="00B93FBD">
        <w:t>Both m</w:t>
      </w:r>
      <w:r>
        <w:t xml:space="preserve">y regular GP and </w:t>
      </w:r>
      <w:r w:rsidR="00B93FBD">
        <w:t>p</w:t>
      </w:r>
      <w:r>
        <w:t>sychiatrist value</w:t>
      </w:r>
      <w:r w:rsidR="00E37BD0">
        <w:t>d</w:t>
      </w:r>
      <w:r>
        <w:t xml:space="preserve"> her input and support her treatment</w:t>
      </w:r>
      <w:r w:rsidR="00E37BD0">
        <w:t xml:space="preserve"> as</w:t>
      </w:r>
      <w:r>
        <w:t xml:space="preserve"> this </w:t>
      </w:r>
      <w:r w:rsidR="00BC4519">
        <w:t>was</w:t>
      </w:r>
      <w:r>
        <w:t xml:space="preserve"> outside their scope of practice. I believe that the Commission should include specialties such as </w:t>
      </w:r>
      <w:r w:rsidRPr="00963D31">
        <w:t xml:space="preserve">Integrative GPs, </w:t>
      </w:r>
      <w:r w:rsidR="00B93FBD">
        <w:t>p</w:t>
      </w:r>
      <w:r w:rsidRPr="00963D31">
        <w:t xml:space="preserve">harmacist, </w:t>
      </w:r>
      <w:r w:rsidR="00B93FBD">
        <w:t xml:space="preserve">and </w:t>
      </w:r>
      <w:r w:rsidRPr="00963D31">
        <w:t>co-morbidity providers</w:t>
      </w:r>
      <w:r w:rsidR="00B93FBD">
        <w:t xml:space="preserve"> who have an interest in mental health illness. </w:t>
      </w:r>
    </w:p>
    <w:p w14:paraId="1D2863E2" w14:textId="24C5A291" w:rsidR="002241FB" w:rsidRDefault="00161440" w:rsidP="002241FB">
      <w:pPr>
        <w:shd w:val="clear" w:color="auto" w:fill="FFFFFF"/>
        <w:jc w:val="both"/>
        <w:rPr>
          <w:color w:val="2F5496" w:themeColor="accent1" w:themeShade="BF"/>
          <w:sz w:val="28"/>
          <w:szCs w:val="28"/>
          <w:u w:val="single"/>
          <w:lang w:val="en-US"/>
        </w:rPr>
      </w:pPr>
      <w:r w:rsidRPr="0027664F">
        <w:rPr>
          <w:color w:val="2F5496" w:themeColor="accent1" w:themeShade="BF"/>
          <w:sz w:val="28"/>
          <w:szCs w:val="28"/>
          <w:u w:val="single"/>
          <w:lang w:val="en-US"/>
        </w:rPr>
        <w:t>MITIGAT</w:t>
      </w:r>
      <w:r w:rsidR="008F0B39" w:rsidRPr="0027664F">
        <w:rPr>
          <w:color w:val="2F5496" w:themeColor="accent1" w:themeShade="BF"/>
          <w:sz w:val="28"/>
          <w:szCs w:val="28"/>
          <w:u w:val="single"/>
          <w:lang w:val="en-US"/>
        </w:rPr>
        <w:t>E</w:t>
      </w:r>
      <w:r w:rsidRPr="0027664F">
        <w:rPr>
          <w:color w:val="2F5496" w:themeColor="accent1" w:themeShade="BF"/>
          <w:sz w:val="28"/>
          <w:szCs w:val="28"/>
          <w:u w:val="single"/>
          <w:lang w:val="en-US"/>
        </w:rPr>
        <w:t xml:space="preserve"> RISKS</w:t>
      </w:r>
    </w:p>
    <w:p w14:paraId="737032CA" w14:textId="2B952EF0" w:rsidR="000526FC" w:rsidRPr="000526FC" w:rsidRDefault="009153FE" w:rsidP="000526FC">
      <w:pPr>
        <w:shd w:val="clear" w:color="auto" w:fill="FFFFFF"/>
        <w:ind w:left="720"/>
        <w:jc w:val="both"/>
        <w:rPr>
          <w:rFonts w:cstheme="minorHAnsi"/>
          <w:lang w:val="en-US"/>
        </w:rPr>
      </w:pPr>
      <w:r w:rsidRPr="009153FE">
        <w:rPr>
          <w:lang w:val="en-US"/>
        </w:rPr>
        <w:t>I</w:t>
      </w:r>
      <w:r>
        <w:rPr>
          <w:lang w:val="en-US"/>
        </w:rPr>
        <w:t xml:space="preserve"> find the hardest thing in speaking out about my injury is the mental health stigma. The voice of those who have sustained an injury through psychotropic medications must always have the same value as any other</w:t>
      </w:r>
      <w:r w:rsidR="00BC3333">
        <w:rPr>
          <w:lang w:val="en-US"/>
        </w:rPr>
        <w:t xml:space="preserve"> individual</w:t>
      </w:r>
      <w:r>
        <w:rPr>
          <w:lang w:val="en-US"/>
        </w:rPr>
        <w:t>, but we don’t</w:t>
      </w:r>
      <w:r w:rsidRPr="000526FC">
        <w:rPr>
          <w:lang w:val="en-US"/>
        </w:rPr>
        <w:t>.</w:t>
      </w:r>
      <w:r w:rsidR="000526FC" w:rsidRPr="000526FC">
        <w:rPr>
          <w:lang w:val="en-US"/>
        </w:rPr>
        <w:t xml:space="preserve"> </w:t>
      </w:r>
      <w:r w:rsidR="000526FC" w:rsidRPr="000526FC">
        <w:rPr>
          <w:rFonts w:cstheme="minorHAnsi"/>
          <w:lang w:val="en-US"/>
        </w:rPr>
        <w:t xml:space="preserve">In all specialties severe drug reactions, near death or deaths would demand investigation with a </w:t>
      </w:r>
      <w:r w:rsidR="000526FC" w:rsidRPr="000526FC">
        <w:rPr>
          <w:rFonts w:cstheme="minorHAnsi"/>
          <w:color w:val="333333"/>
          <w:shd w:val="clear" w:color="auto" w:fill="FFFFFF"/>
        </w:rPr>
        <w:t>coordinated implementation of solutions. Mental health consumers have the same health right</w:t>
      </w:r>
      <w:r w:rsidR="000526FC">
        <w:rPr>
          <w:rFonts w:cstheme="minorHAnsi"/>
          <w:color w:val="333333"/>
          <w:shd w:val="clear" w:color="auto" w:fill="FFFFFF"/>
        </w:rPr>
        <w:t>s as every other Australian</w:t>
      </w:r>
      <w:r w:rsidR="000526FC" w:rsidRPr="000526FC">
        <w:rPr>
          <w:rFonts w:cstheme="minorHAnsi"/>
          <w:color w:val="333333"/>
          <w:shd w:val="clear" w:color="auto" w:fill="FFFFFF"/>
        </w:rPr>
        <w:t>.</w:t>
      </w:r>
    </w:p>
    <w:p w14:paraId="5737D1CF" w14:textId="574D13C8" w:rsidR="007C1DDB" w:rsidRDefault="007C1DDB" w:rsidP="00734E0D">
      <w:pPr>
        <w:pStyle w:val="ListParagraph"/>
        <w:jc w:val="both"/>
        <w:rPr>
          <w:lang w:val="en-US"/>
        </w:rPr>
      </w:pPr>
      <w:r w:rsidRPr="00734066">
        <w:rPr>
          <w:lang w:val="en-US"/>
        </w:rPr>
        <w:t xml:space="preserve">At the Hearing I discussed </w:t>
      </w:r>
      <w:r>
        <w:rPr>
          <w:lang w:val="en-US"/>
        </w:rPr>
        <w:t>a health</w:t>
      </w:r>
      <w:r w:rsidR="000526FC">
        <w:rPr>
          <w:lang w:val="en-US"/>
        </w:rPr>
        <w:t>care</w:t>
      </w:r>
      <w:r>
        <w:rPr>
          <w:lang w:val="en-US"/>
        </w:rPr>
        <w:t xml:space="preserve"> crisis in B</w:t>
      </w:r>
      <w:r w:rsidR="000526FC">
        <w:rPr>
          <w:lang w:val="en-US"/>
        </w:rPr>
        <w:t xml:space="preserve">ipolar </w:t>
      </w:r>
      <w:r>
        <w:rPr>
          <w:lang w:val="en-US"/>
        </w:rPr>
        <w:t>A</w:t>
      </w:r>
      <w:r w:rsidR="000526FC">
        <w:rPr>
          <w:lang w:val="en-US"/>
        </w:rPr>
        <w:t xml:space="preserve">ffective </w:t>
      </w:r>
      <w:r>
        <w:rPr>
          <w:lang w:val="en-US"/>
        </w:rPr>
        <w:t>D</w:t>
      </w:r>
      <w:r w:rsidR="000526FC">
        <w:rPr>
          <w:lang w:val="en-US"/>
        </w:rPr>
        <w:t>isorder</w:t>
      </w:r>
      <w:r w:rsidR="006E5D31">
        <w:rPr>
          <w:lang w:val="en-US"/>
        </w:rPr>
        <w:t xml:space="preserve"> as an example of the risks from psychotropic medications</w:t>
      </w:r>
      <w:r>
        <w:rPr>
          <w:lang w:val="en-US"/>
        </w:rPr>
        <w:t xml:space="preserve">. I make no apology for singling out this illness. It has poor outcomes, accounting for one quarter of national suicides. In 2015 </w:t>
      </w:r>
      <w:r w:rsidRPr="00734066">
        <w:rPr>
          <w:lang w:val="en-US"/>
        </w:rPr>
        <w:t xml:space="preserve">RANZCP </w:t>
      </w:r>
      <w:r>
        <w:rPr>
          <w:lang w:val="en-US"/>
        </w:rPr>
        <w:t>added a Recommendation Box for the use of antidepressants in bipolar disorder</w:t>
      </w:r>
      <w:r w:rsidR="000526FC">
        <w:rPr>
          <w:lang w:val="en-US"/>
        </w:rPr>
        <w:t xml:space="preserve"> </w:t>
      </w:r>
      <w:r w:rsidR="000526FC" w:rsidRPr="000526FC">
        <w:rPr>
          <w:sz w:val="16"/>
          <w:szCs w:val="16"/>
          <w:lang w:val="en-US"/>
        </w:rPr>
        <w:t>(Mahli,2015).</w:t>
      </w:r>
      <w:r>
        <w:rPr>
          <w:lang w:val="en-US"/>
        </w:rPr>
        <w:t xml:space="preserve"> Treatment guidelines were updated in line with a consensus report from the International Society of Bipolar Disorder </w:t>
      </w:r>
      <w:r w:rsidRPr="00695C32">
        <w:rPr>
          <w:sz w:val="18"/>
          <w:szCs w:val="18"/>
          <w:lang w:val="en-US"/>
        </w:rPr>
        <w:t>(</w:t>
      </w:r>
      <w:r w:rsidR="00695C32" w:rsidRPr="00695C32">
        <w:rPr>
          <w:rFonts w:cstheme="minorHAnsi"/>
          <w:sz w:val="16"/>
          <w:szCs w:val="16"/>
          <w:lang w:val="en-US"/>
        </w:rPr>
        <w:t>Pacchiarotti,2013</w:t>
      </w:r>
      <w:r w:rsidRPr="00695C32">
        <w:rPr>
          <w:sz w:val="18"/>
          <w:szCs w:val="18"/>
          <w:lang w:val="en-US"/>
        </w:rPr>
        <w:t xml:space="preserve">) </w:t>
      </w:r>
      <w:r>
        <w:rPr>
          <w:lang w:val="en-US"/>
        </w:rPr>
        <w:t xml:space="preserve">to protect </w:t>
      </w:r>
      <w:r w:rsidR="00695C32">
        <w:rPr>
          <w:lang w:val="en-US"/>
        </w:rPr>
        <w:t xml:space="preserve">at-risk </w:t>
      </w:r>
      <w:r>
        <w:rPr>
          <w:lang w:val="en-US"/>
        </w:rPr>
        <w:t>consumers</w:t>
      </w:r>
      <w:r w:rsidR="008C18F7">
        <w:rPr>
          <w:lang w:val="en-US"/>
        </w:rPr>
        <w:t xml:space="preserve"> from antidepressants</w:t>
      </w:r>
      <w:r>
        <w:rPr>
          <w:lang w:val="en-US"/>
        </w:rPr>
        <w:t xml:space="preserve">. This was not new, similar warnings and protective guidelines have been in place </w:t>
      </w:r>
      <w:r w:rsidR="00BC3333">
        <w:rPr>
          <w:lang w:val="en-US"/>
        </w:rPr>
        <w:t xml:space="preserve">in Australia </w:t>
      </w:r>
      <w:r>
        <w:rPr>
          <w:lang w:val="en-US"/>
        </w:rPr>
        <w:t xml:space="preserve">for </w:t>
      </w:r>
      <w:r w:rsidRPr="00734066">
        <w:rPr>
          <w:lang w:val="en-US"/>
        </w:rPr>
        <w:t>1</w:t>
      </w:r>
      <w:r>
        <w:rPr>
          <w:lang w:val="en-US"/>
        </w:rPr>
        <w:t>6</w:t>
      </w:r>
      <w:r w:rsidRPr="00734066">
        <w:rPr>
          <w:lang w:val="en-US"/>
        </w:rPr>
        <w:t xml:space="preserve"> years</w:t>
      </w:r>
      <w:r w:rsidR="00BC3333">
        <w:rPr>
          <w:lang w:val="en-US"/>
        </w:rPr>
        <w:t xml:space="preserve"> </w:t>
      </w:r>
      <w:r w:rsidR="00BC3333" w:rsidRPr="00BC3333">
        <w:rPr>
          <w:sz w:val="16"/>
          <w:szCs w:val="16"/>
          <w:lang w:val="en-US"/>
        </w:rPr>
        <w:t>(Mitchell,2004)</w:t>
      </w:r>
      <w:r w:rsidRPr="00BC3333">
        <w:rPr>
          <w:sz w:val="16"/>
          <w:szCs w:val="16"/>
          <w:lang w:val="en-US"/>
        </w:rPr>
        <w:t>.</w:t>
      </w:r>
      <w:r>
        <w:rPr>
          <w:lang w:val="en-US"/>
        </w:rPr>
        <w:t xml:space="preserve"> Despite this, my GP, pharmacist, social media, and other submissions to the PC indicate th</w:t>
      </w:r>
      <w:r w:rsidR="00BC3333">
        <w:rPr>
          <w:lang w:val="en-US"/>
        </w:rPr>
        <w:t xml:space="preserve">at the use of antidepressants in at-risk consumers </w:t>
      </w:r>
      <w:r>
        <w:rPr>
          <w:lang w:val="en-US"/>
        </w:rPr>
        <w:t xml:space="preserve">remains </w:t>
      </w:r>
      <w:r w:rsidR="008C18F7">
        <w:rPr>
          <w:lang w:val="en-US"/>
        </w:rPr>
        <w:t>common</w:t>
      </w:r>
      <w:r>
        <w:rPr>
          <w:lang w:val="en-US"/>
        </w:rPr>
        <w:t>.</w:t>
      </w:r>
    </w:p>
    <w:p w14:paraId="54BEBEE7" w14:textId="77777777" w:rsidR="007C1DDB" w:rsidRDefault="007C1DDB" w:rsidP="007C1DDB">
      <w:pPr>
        <w:pStyle w:val="ListParagraph"/>
        <w:jc w:val="both"/>
        <w:rPr>
          <w:lang w:val="en-US"/>
        </w:rPr>
      </w:pPr>
    </w:p>
    <w:p w14:paraId="5C408F90" w14:textId="0097D32E" w:rsidR="006E5D31" w:rsidRDefault="006E5D31" w:rsidP="007C1DDB">
      <w:pPr>
        <w:pStyle w:val="ListParagraph"/>
        <w:jc w:val="both"/>
        <w:rPr>
          <w:lang w:val="en-US"/>
        </w:rPr>
      </w:pPr>
      <w:r>
        <w:rPr>
          <w:b/>
          <w:bCs/>
          <w:sz w:val="28"/>
          <w:szCs w:val="28"/>
          <w:lang w:val="en-US"/>
        </w:rPr>
        <w:t xml:space="preserve">- </w:t>
      </w:r>
      <w:r w:rsidR="007C1DDB" w:rsidRPr="006E5D31">
        <w:rPr>
          <w:b/>
          <w:bCs/>
          <w:sz w:val="28"/>
          <w:szCs w:val="28"/>
          <w:lang w:val="en-US"/>
        </w:rPr>
        <w:t>AHPRA</w:t>
      </w:r>
      <w:r w:rsidR="007C1DDB">
        <w:rPr>
          <w:lang w:val="en-US"/>
        </w:rPr>
        <w:t xml:space="preserve"> investigated my injury and stated that in </w:t>
      </w:r>
      <w:r w:rsidR="008C18F7">
        <w:rPr>
          <w:lang w:val="en-US"/>
        </w:rPr>
        <w:t xml:space="preserve">complaints from </w:t>
      </w:r>
      <w:r w:rsidR="007C1DDB">
        <w:rPr>
          <w:lang w:val="en-US"/>
        </w:rPr>
        <w:t>M</w:t>
      </w:r>
      <w:r w:rsidR="00695C32">
        <w:rPr>
          <w:lang w:val="en-US"/>
        </w:rPr>
        <w:t xml:space="preserve">ental </w:t>
      </w:r>
      <w:r w:rsidR="007C1DDB">
        <w:rPr>
          <w:lang w:val="en-US"/>
        </w:rPr>
        <w:t>H</w:t>
      </w:r>
      <w:r w:rsidR="00695C32">
        <w:rPr>
          <w:lang w:val="en-US"/>
        </w:rPr>
        <w:t>ealth</w:t>
      </w:r>
      <w:r w:rsidR="004842D1">
        <w:rPr>
          <w:lang w:val="en-US"/>
        </w:rPr>
        <w:t xml:space="preserve"> co</w:t>
      </w:r>
      <w:r w:rsidR="008C18F7">
        <w:rPr>
          <w:lang w:val="en-US"/>
        </w:rPr>
        <w:t>nsumers, with no witnesses</w:t>
      </w:r>
      <w:r w:rsidR="007C1DDB">
        <w:rPr>
          <w:lang w:val="en-US"/>
        </w:rPr>
        <w:t xml:space="preserve">, </w:t>
      </w:r>
      <w:r w:rsidR="004842D1">
        <w:rPr>
          <w:lang w:val="en-US"/>
        </w:rPr>
        <w:t xml:space="preserve">the outcome would usually come down to the </w:t>
      </w:r>
      <w:r w:rsidR="007C1DDB">
        <w:rPr>
          <w:lang w:val="en-US"/>
        </w:rPr>
        <w:t>consultant’s word over mine</w:t>
      </w:r>
      <w:r w:rsidR="004842D1">
        <w:rPr>
          <w:lang w:val="en-US"/>
        </w:rPr>
        <w:t xml:space="preserve">. </w:t>
      </w:r>
      <w:r w:rsidR="00695C32">
        <w:rPr>
          <w:lang w:val="en-US"/>
        </w:rPr>
        <w:t xml:space="preserve">My right to complain was taken from me. </w:t>
      </w:r>
      <w:r w:rsidR="00CC4D14">
        <w:rPr>
          <w:lang w:val="en-US"/>
        </w:rPr>
        <w:t>Such a process fail</w:t>
      </w:r>
      <w:r w:rsidR="004D409F">
        <w:rPr>
          <w:lang w:val="en-US"/>
        </w:rPr>
        <w:t>ed</w:t>
      </w:r>
      <w:r w:rsidR="00CC4D14">
        <w:rPr>
          <w:lang w:val="en-US"/>
        </w:rPr>
        <w:t xml:space="preserve"> to provide a training opportunity; ensure </w:t>
      </w:r>
      <w:r w:rsidR="00BA045F">
        <w:rPr>
          <w:lang w:val="en-US"/>
        </w:rPr>
        <w:t>accountability</w:t>
      </w:r>
      <w:r w:rsidR="009431F5">
        <w:rPr>
          <w:lang w:val="en-US"/>
        </w:rPr>
        <w:t>;</w:t>
      </w:r>
      <w:r w:rsidR="007C1DDB">
        <w:rPr>
          <w:lang w:val="en-US"/>
        </w:rPr>
        <w:t xml:space="preserve"> </w:t>
      </w:r>
      <w:r w:rsidR="00AD10AD">
        <w:rPr>
          <w:lang w:val="en-US"/>
        </w:rPr>
        <w:t>le</w:t>
      </w:r>
      <w:r w:rsidR="004D409F">
        <w:rPr>
          <w:lang w:val="en-US"/>
        </w:rPr>
        <w:t>aves</w:t>
      </w:r>
      <w:r w:rsidR="00CC4D14">
        <w:rPr>
          <w:lang w:val="en-US"/>
        </w:rPr>
        <w:t xml:space="preserve"> </w:t>
      </w:r>
      <w:r w:rsidR="00AD10AD">
        <w:rPr>
          <w:lang w:val="en-US"/>
        </w:rPr>
        <w:t>other consumers</w:t>
      </w:r>
      <w:r w:rsidR="00CC4D14">
        <w:rPr>
          <w:lang w:val="en-US"/>
        </w:rPr>
        <w:t xml:space="preserve"> </w:t>
      </w:r>
      <w:r w:rsidR="00AD10AD">
        <w:rPr>
          <w:lang w:val="en-US"/>
        </w:rPr>
        <w:t>at risk</w:t>
      </w:r>
      <w:r w:rsidR="00BD6548">
        <w:rPr>
          <w:lang w:val="en-US"/>
        </w:rPr>
        <w:t xml:space="preserve">; </w:t>
      </w:r>
      <w:r w:rsidR="004D409F">
        <w:rPr>
          <w:lang w:val="en-US"/>
        </w:rPr>
        <w:t xml:space="preserve">and did not </w:t>
      </w:r>
      <w:r w:rsidR="00BA045F">
        <w:rPr>
          <w:lang w:val="en-US"/>
        </w:rPr>
        <w:t xml:space="preserve">report a </w:t>
      </w:r>
      <w:r w:rsidR="005B6BBC">
        <w:rPr>
          <w:lang w:val="en-US"/>
        </w:rPr>
        <w:t>serious drug injury to TGA</w:t>
      </w:r>
      <w:r w:rsidR="007C1DDB">
        <w:rPr>
          <w:lang w:val="en-US"/>
        </w:rPr>
        <w:t>.</w:t>
      </w:r>
      <w:r w:rsidR="00BA045F">
        <w:rPr>
          <w:lang w:val="en-US"/>
        </w:rPr>
        <w:t xml:space="preserve"> </w:t>
      </w:r>
      <w:r w:rsidR="00FD2754">
        <w:rPr>
          <w:lang w:val="en-US"/>
        </w:rPr>
        <w:t xml:space="preserve">The exercise </w:t>
      </w:r>
      <w:r w:rsidR="008C18F7">
        <w:rPr>
          <w:lang w:val="en-US"/>
        </w:rPr>
        <w:t xml:space="preserve">seemed </w:t>
      </w:r>
      <w:r w:rsidR="00FD2754">
        <w:rPr>
          <w:lang w:val="en-US"/>
        </w:rPr>
        <w:t xml:space="preserve">futile. </w:t>
      </w:r>
      <w:r w:rsidR="00BA045F">
        <w:rPr>
          <w:lang w:val="en-US"/>
        </w:rPr>
        <w:t xml:space="preserve">For this </w:t>
      </w:r>
      <w:r w:rsidR="00FD2754">
        <w:rPr>
          <w:lang w:val="en-US"/>
        </w:rPr>
        <w:t>reason,</w:t>
      </w:r>
      <w:r w:rsidR="00BA045F">
        <w:rPr>
          <w:lang w:val="en-US"/>
        </w:rPr>
        <w:t xml:space="preserve"> I believe that a </w:t>
      </w:r>
      <w:r w:rsidR="004D409F">
        <w:rPr>
          <w:lang w:val="en-US"/>
        </w:rPr>
        <w:t xml:space="preserve">MH </w:t>
      </w:r>
      <w:r w:rsidR="00BA045F">
        <w:rPr>
          <w:lang w:val="en-US"/>
        </w:rPr>
        <w:t xml:space="preserve">consumer advocate within AHPRA </w:t>
      </w:r>
      <w:r w:rsidR="004D409F">
        <w:rPr>
          <w:lang w:val="en-US"/>
        </w:rPr>
        <w:t xml:space="preserve">could </w:t>
      </w:r>
      <w:r>
        <w:rPr>
          <w:lang w:val="en-US"/>
        </w:rPr>
        <w:t xml:space="preserve">ensure the process </w:t>
      </w:r>
      <w:r w:rsidR="008C18F7">
        <w:rPr>
          <w:lang w:val="en-US"/>
        </w:rPr>
        <w:t>remains transparent</w:t>
      </w:r>
      <w:r>
        <w:rPr>
          <w:lang w:val="en-US"/>
        </w:rPr>
        <w:t>.</w:t>
      </w:r>
      <w:r w:rsidR="004D409F">
        <w:rPr>
          <w:lang w:val="en-US"/>
        </w:rPr>
        <w:t xml:space="preserve"> I would have also benefited from access to my medical records prior the investigation.</w:t>
      </w:r>
      <w:r>
        <w:rPr>
          <w:lang w:val="en-US"/>
        </w:rPr>
        <w:t xml:space="preserve"> </w:t>
      </w:r>
    </w:p>
    <w:p w14:paraId="5DAD1582" w14:textId="77777777" w:rsidR="006E5D31" w:rsidRDefault="006E5D31" w:rsidP="007C1DDB">
      <w:pPr>
        <w:pStyle w:val="ListParagraph"/>
        <w:jc w:val="both"/>
        <w:rPr>
          <w:lang w:val="en-US"/>
        </w:rPr>
      </w:pPr>
    </w:p>
    <w:p w14:paraId="772C77CB" w14:textId="396CA323" w:rsidR="00CC4D14" w:rsidRDefault="004D409F" w:rsidP="007C1DDB">
      <w:pPr>
        <w:pStyle w:val="ListParagraph"/>
        <w:jc w:val="both"/>
        <w:rPr>
          <w:lang w:val="en-US"/>
        </w:rPr>
      </w:pPr>
      <w:r>
        <w:rPr>
          <w:lang w:val="en-US"/>
        </w:rPr>
        <w:t xml:space="preserve">AHPRAs </w:t>
      </w:r>
      <w:r w:rsidR="00CC4D14">
        <w:rPr>
          <w:lang w:val="en-US"/>
        </w:rPr>
        <w:t xml:space="preserve">feedback stated - </w:t>
      </w:r>
      <w:r w:rsidR="00CC4D14" w:rsidRPr="000065C1">
        <w:rPr>
          <w:lang w:val="en-US"/>
        </w:rPr>
        <w:t>“</w:t>
      </w:r>
      <w:r w:rsidR="00CC4D14" w:rsidRPr="009126DF">
        <w:rPr>
          <w:rFonts w:cs="Arial"/>
          <w:i/>
          <w:iCs/>
        </w:rPr>
        <w:t>Board notes that while there is some conflicting evidence on the use of antidepressants for bipolar disorder, it is common and would generally not be considered a substantial deviation from accepted practice</w:t>
      </w:r>
      <w:r w:rsidR="00CC4D14" w:rsidRPr="009126DF">
        <w:rPr>
          <w:i/>
          <w:iCs/>
          <w:lang w:val="en-US"/>
        </w:rPr>
        <w:t>”</w:t>
      </w:r>
      <w:r w:rsidR="00CC4D14">
        <w:rPr>
          <w:lang w:val="en-US"/>
        </w:rPr>
        <w:t>.</w:t>
      </w:r>
    </w:p>
    <w:p w14:paraId="729679AC" w14:textId="35155A25" w:rsidR="00CD3C25" w:rsidRDefault="007C1DDB" w:rsidP="007C1DDB">
      <w:pPr>
        <w:pStyle w:val="ListParagraph"/>
        <w:jc w:val="both"/>
        <w:rPr>
          <w:lang w:val="en-US"/>
        </w:rPr>
      </w:pPr>
      <w:r>
        <w:rPr>
          <w:lang w:val="en-US"/>
        </w:rPr>
        <w:br/>
        <w:t>What bothered</w:t>
      </w:r>
      <w:r w:rsidR="009431F5">
        <w:rPr>
          <w:lang w:val="en-US"/>
        </w:rPr>
        <w:t xml:space="preserve"> </w:t>
      </w:r>
      <w:r>
        <w:rPr>
          <w:lang w:val="en-US"/>
        </w:rPr>
        <w:t xml:space="preserve">me </w:t>
      </w:r>
      <w:r w:rsidR="009431F5">
        <w:rPr>
          <w:lang w:val="en-US"/>
        </w:rPr>
        <w:t xml:space="preserve">most was </w:t>
      </w:r>
      <w:r w:rsidR="0012466B">
        <w:rPr>
          <w:lang w:val="en-US"/>
        </w:rPr>
        <w:t xml:space="preserve">that the Board </w:t>
      </w:r>
      <w:r w:rsidR="004D409F">
        <w:rPr>
          <w:lang w:val="en-US"/>
        </w:rPr>
        <w:t>descri</w:t>
      </w:r>
      <w:r w:rsidR="0012466B">
        <w:rPr>
          <w:lang w:val="en-US"/>
        </w:rPr>
        <w:t xml:space="preserve">bed </w:t>
      </w:r>
      <w:r w:rsidR="004D409F">
        <w:rPr>
          <w:lang w:val="en-US"/>
        </w:rPr>
        <w:t>my tr</w:t>
      </w:r>
      <w:r w:rsidR="004D409F" w:rsidRPr="004D409F">
        <w:rPr>
          <w:lang w:val="en-US"/>
        </w:rPr>
        <w:t xml:space="preserve">eatment </w:t>
      </w:r>
      <w:r w:rsidR="0012466B">
        <w:rPr>
          <w:lang w:val="en-US"/>
        </w:rPr>
        <w:t>a</w:t>
      </w:r>
      <w:r w:rsidR="004D409F" w:rsidRPr="004D409F">
        <w:rPr>
          <w:lang w:val="en-US"/>
        </w:rPr>
        <w:t xml:space="preserve">s </w:t>
      </w:r>
      <w:r w:rsidRPr="004D409F">
        <w:rPr>
          <w:lang w:val="en-US"/>
        </w:rPr>
        <w:t>‘</w:t>
      </w:r>
      <w:r w:rsidRPr="004D409F">
        <w:rPr>
          <w:i/>
          <w:iCs/>
          <w:lang w:val="en-US"/>
        </w:rPr>
        <w:t xml:space="preserve">common’ </w:t>
      </w:r>
      <w:r w:rsidRPr="004D409F">
        <w:rPr>
          <w:lang w:val="en-US"/>
        </w:rPr>
        <w:t xml:space="preserve">practice. </w:t>
      </w:r>
      <w:r w:rsidR="00CD3C25" w:rsidRPr="004D409F">
        <w:rPr>
          <w:lang w:val="en-US"/>
        </w:rPr>
        <w:t>‘</w:t>
      </w:r>
      <w:r w:rsidRPr="004D409F">
        <w:rPr>
          <w:lang w:val="en-US"/>
        </w:rPr>
        <w:t>Common</w:t>
      </w:r>
      <w:r w:rsidR="00CD3C25" w:rsidRPr="004D409F">
        <w:rPr>
          <w:lang w:val="en-US"/>
        </w:rPr>
        <w:t>’</w:t>
      </w:r>
      <w:r w:rsidR="0012466B">
        <w:rPr>
          <w:lang w:val="en-US"/>
        </w:rPr>
        <w:t xml:space="preserve"> </w:t>
      </w:r>
      <w:r w:rsidRPr="004D409F">
        <w:rPr>
          <w:lang w:val="en-US"/>
        </w:rPr>
        <w:t>does not mean</w:t>
      </w:r>
      <w:r w:rsidR="00107302" w:rsidRPr="004D409F">
        <w:rPr>
          <w:lang w:val="en-US"/>
        </w:rPr>
        <w:t xml:space="preserve"> safe or </w:t>
      </w:r>
      <w:r w:rsidRPr="004D409F">
        <w:rPr>
          <w:lang w:val="en-US"/>
        </w:rPr>
        <w:t>evidence</w:t>
      </w:r>
      <w:r w:rsidR="005B6BBC" w:rsidRPr="004D409F">
        <w:rPr>
          <w:lang w:val="en-US"/>
        </w:rPr>
        <w:t xml:space="preserve"> </w:t>
      </w:r>
      <w:r w:rsidRPr="004D409F">
        <w:rPr>
          <w:lang w:val="en-US"/>
        </w:rPr>
        <w:t xml:space="preserve">based. </w:t>
      </w:r>
      <w:r>
        <w:rPr>
          <w:lang w:val="en-US"/>
        </w:rPr>
        <w:t>It</w:t>
      </w:r>
      <w:r w:rsidR="009431F5">
        <w:rPr>
          <w:lang w:val="en-US"/>
        </w:rPr>
        <w:t xml:space="preserve"> does not mean it followed </w:t>
      </w:r>
      <w:r w:rsidR="005B6BBC">
        <w:rPr>
          <w:lang w:val="en-US"/>
        </w:rPr>
        <w:t xml:space="preserve">RANZCP </w:t>
      </w:r>
      <w:r w:rsidR="009431F5">
        <w:rPr>
          <w:lang w:val="en-US"/>
        </w:rPr>
        <w:t>Recommendation</w:t>
      </w:r>
      <w:r w:rsidR="005B6BBC">
        <w:rPr>
          <w:lang w:val="en-US"/>
        </w:rPr>
        <w:t xml:space="preserve"> Box</w:t>
      </w:r>
      <w:r w:rsidR="008F22A7">
        <w:rPr>
          <w:sz w:val="16"/>
          <w:szCs w:val="16"/>
          <w:lang w:val="en-US"/>
        </w:rPr>
        <w:t>.</w:t>
      </w:r>
      <w:r w:rsidR="008F22A7">
        <w:rPr>
          <w:lang w:val="en-US"/>
        </w:rPr>
        <w:t xml:space="preserve"> </w:t>
      </w:r>
      <w:r w:rsidR="0012466B">
        <w:rPr>
          <w:lang w:val="en-US"/>
        </w:rPr>
        <w:t xml:space="preserve">The </w:t>
      </w:r>
      <w:r w:rsidR="004D409F">
        <w:rPr>
          <w:lang w:val="en-US"/>
        </w:rPr>
        <w:t xml:space="preserve">common off-label </w:t>
      </w:r>
      <w:r w:rsidR="0012466B">
        <w:rPr>
          <w:lang w:val="en-US"/>
        </w:rPr>
        <w:t xml:space="preserve">prescription of antidepressants </w:t>
      </w:r>
      <w:r w:rsidR="004D409F">
        <w:rPr>
          <w:lang w:val="en-US"/>
        </w:rPr>
        <w:t>sustained</w:t>
      </w:r>
      <w:r w:rsidR="0012466B">
        <w:rPr>
          <w:lang w:val="en-US"/>
        </w:rPr>
        <w:t xml:space="preserve"> medication-induced mental health symptoms</w:t>
      </w:r>
      <w:r w:rsidR="004D409F">
        <w:rPr>
          <w:lang w:val="en-US"/>
        </w:rPr>
        <w:t xml:space="preserve"> in a previously health</w:t>
      </w:r>
      <w:r w:rsidR="0012466B">
        <w:rPr>
          <w:lang w:val="en-US"/>
        </w:rPr>
        <w:t>y</w:t>
      </w:r>
      <w:r w:rsidR="004D409F">
        <w:rPr>
          <w:lang w:val="en-US"/>
        </w:rPr>
        <w:t xml:space="preserve"> person for ten years. </w:t>
      </w:r>
      <w:r w:rsidR="0012466B">
        <w:rPr>
          <w:lang w:val="en-US"/>
        </w:rPr>
        <w:t xml:space="preserve">This should not have any place in our health system, let alone a ‘common’ one. If this is common, then AHPRA should have RED flags alerting the </w:t>
      </w:r>
      <w:r w:rsidR="006C0AC2">
        <w:rPr>
          <w:lang w:val="en-US"/>
        </w:rPr>
        <w:t xml:space="preserve">Government </w:t>
      </w:r>
      <w:r w:rsidR="0012466B">
        <w:rPr>
          <w:lang w:val="en-US"/>
        </w:rPr>
        <w:t>that too many Australians have been compromised or remain at risk, and this needs urgent intervention.</w:t>
      </w:r>
    </w:p>
    <w:p w14:paraId="1BF977CD" w14:textId="4239494A" w:rsidR="00107302" w:rsidRDefault="00CD3C25" w:rsidP="007C1DDB">
      <w:pPr>
        <w:pStyle w:val="ListParagraph"/>
        <w:jc w:val="both"/>
        <w:rPr>
          <w:lang w:val="en-US"/>
        </w:rPr>
      </w:pPr>
      <w:r>
        <w:rPr>
          <w:lang w:val="en-US"/>
        </w:rPr>
        <w:br/>
      </w:r>
      <w:r w:rsidR="009431F5">
        <w:rPr>
          <w:lang w:val="en-US"/>
        </w:rPr>
        <w:t xml:space="preserve">My injury </w:t>
      </w:r>
      <w:r w:rsidR="005B6BBC">
        <w:rPr>
          <w:lang w:val="en-US"/>
        </w:rPr>
        <w:t xml:space="preserve">proves </w:t>
      </w:r>
      <w:r w:rsidR="009431F5">
        <w:rPr>
          <w:lang w:val="en-US"/>
        </w:rPr>
        <w:t>that</w:t>
      </w:r>
      <w:r w:rsidR="00AD10AD">
        <w:rPr>
          <w:lang w:val="en-US"/>
        </w:rPr>
        <w:t xml:space="preserve"> a</w:t>
      </w:r>
      <w:r w:rsidR="007C1DDB">
        <w:rPr>
          <w:lang w:val="en-US"/>
        </w:rPr>
        <w:t xml:space="preserve"> sixteen-year </w:t>
      </w:r>
      <w:r w:rsidR="007C1DDB" w:rsidRPr="00734066">
        <w:rPr>
          <w:lang w:val="en-US"/>
        </w:rPr>
        <w:t>implementation</w:t>
      </w:r>
      <w:r w:rsidR="00107302">
        <w:rPr>
          <w:lang w:val="en-US"/>
        </w:rPr>
        <w:t xml:space="preserve"> period</w:t>
      </w:r>
      <w:r w:rsidR="000D1A02">
        <w:rPr>
          <w:lang w:val="en-US"/>
        </w:rPr>
        <w:t xml:space="preserve"> for change </w:t>
      </w:r>
      <w:r w:rsidR="00107302">
        <w:rPr>
          <w:lang w:val="en-US"/>
        </w:rPr>
        <w:t xml:space="preserve">has not </w:t>
      </w:r>
      <w:r w:rsidR="00BA045F">
        <w:rPr>
          <w:lang w:val="en-US"/>
        </w:rPr>
        <w:t>altered</w:t>
      </w:r>
      <w:r w:rsidR="00107302">
        <w:rPr>
          <w:lang w:val="en-US"/>
        </w:rPr>
        <w:t xml:space="preserve"> the practice of some psychiatris</w:t>
      </w:r>
      <w:r w:rsidR="00BA045F">
        <w:rPr>
          <w:lang w:val="en-US"/>
        </w:rPr>
        <w:t>t.</w:t>
      </w:r>
      <w:r w:rsidR="008F22A7">
        <w:rPr>
          <w:lang w:val="en-US"/>
        </w:rPr>
        <w:t xml:space="preserve"> </w:t>
      </w:r>
      <w:r w:rsidR="00107302">
        <w:rPr>
          <w:lang w:val="en-US"/>
        </w:rPr>
        <w:t>The</w:t>
      </w:r>
      <w:r w:rsidR="000D1A02">
        <w:rPr>
          <w:lang w:val="en-US"/>
        </w:rPr>
        <w:t xml:space="preserve"> </w:t>
      </w:r>
      <w:r w:rsidR="00107302">
        <w:rPr>
          <w:lang w:val="en-US"/>
        </w:rPr>
        <w:t>training phase is over</w:t>
      </w:r>
      <w:r w:rsidR="005B6BBC">
        <w:rPr>
          <w:lang w:val="en-US"/>
        </w:rPr>
        <w:t>.</w:t>
      </w:r>
      <w:r w:rsidR="00107302">
        <w:rPr>
          <w:lang w:val="en-US"/>
        </w:rPr>
        <w:t xml:space="preserve"> </w:t>
      </w:r>
      <w:r w:rsidR="005B6BBC">
        <w:rPr>
          <w:lang w:val="en-US"/>
        </w:rPr>
        <w:t>T</w:t>
      </w:r>
      <w:r w:rsidR="00AD10AD">
        <w:rPr>
          <w:lang w:val="en-US"/>
        </w:rPr>
        <w:t xml:space="preserve">he Government needs to </w:t>
      </w:r>
      <w:r w:rsidR="00107302">
        <w:rPr>
          <w:lang w:val="en-US"/>
        </w:rPr>
        <w:t>intervene, ensur</w:t>
      </w:r>
      <w:r w:rsidR="005B6BBC">
        <w:rPr>
          <w:lang w:val="en-US"/>
        </w:rPr>
        <w:t>ing</w:t>
      </w:r>
      <w:r>
        <w:rPr>
          <w:lang w:val="en-US"/>
        </w:rPr>
        <w:t xml:space="preserve"> </w:t>
      </w:r>
      <w:r w:rsidR="005B6BBC">
        <w:rPr>
          <w:lang w:val="en-US"/>
        </w:rPr>
        <w:t xml:space="preserve">practitioners are held </w:t>
      </w:r>
      <w:r w:rsidR="00AD10AD">
        <w:rPr>
          <w:lang w:val="en-US"/>
        </w:rPr>
        <w:t>accountable</w:t>
      </w:r>
      <w:r>
        <w:rPr>
          <w:lang w:val="en-US"/>
        </w:rPr>
        <w:t xml:space="preserve"> </w:t>
      </w:r>
      <w:r w:rsidR="004D409F">
        <w:rPr>
          <w:lang w:val="en-US"/>
        </w:rPr>
        <w:t xml:space="preserve">when </w:t>
      </w:r>
      <w:r>
        <w:rPr>
          <w:lang w:val="en-US"/>
        </w:rPr>
        <w:t>AHPRA</w:t>
      </w:r>
      <w:r w:rsidR="004D409F">
        <w:rPr>
          <w:lang w:val="en-US"/>
        </w:rPr>
        <w:t xml:space="preserve"> failed me. T</w:t>
      </w:r>
      <w:r w:rsidR="00107302">
        <w:rPr>
          <w:lang w:val="en-US"/>
        </w:rPr>
        <w:t>he</w:t>
      </w:r>
      <w:r w:rsidR="005B6BBC">
        <w:rPr>
          <w:lang w:val="en-US"/>
        </w:rPr>
        <w:t xml:space="preserve"> Governments </w:t>
      </w:r>
      <w:r w:rsidR="00107302">
        <w:rPr>
          <w:lang w:val="en-US"/>
        </w:rPr>
        <w:t xml:space="preserve">own shortcomings </w:t>
      </w:r>
      <w:r w:rsidR="005B6BBC">
        <w:rPr>
          <w:lang w:val="en-US"/>
        </w:rPr>
        <w:t xml:space="preserve">that </w:t>
      </w:r>
      <w:r w:rsidR="00107302">
        <w:rPr>
          <w:lang w:val="en-US"/>
        </w:rPr>
        <w:t xml:space="preserve">permitted my injury </w:t>
      </w:r>
      <w:r w:rsidR="005B6BBC">
        <w:rPr>
          <w:lang w:val="en-US"/>
        </w:rPr>
        <w:t xml:space="preserve">when they failed to </w:t>
      </w:r>
      <w:r w:rsidR="00107302">
        <w:rPr>
          <w:lang w:val="en-US"/>
        </w:rPr>
        <w:t xml:space="preserve">identify and </w:t>
      </w:r>
      <w:r w:rsidR="00AD10AD">
        <w:rPr>
          <w:lang w:val="en-US"/>
        </w:rPr>
        <w:t>mitigate risks. Please consider the fol</w:t>
      </w:r>
      <w:r w:rsidR="009431F5">
        <w:rPr>
          <w:lang w:val="en-US"/>
        </w:rPr>
        <w:t xml:space="preserve">lowing </w:t>
      </w:r>
      <w:r w:rsidR="00734E0D">
        <w:rPr>
          <w:lang w:val="en-US"/>
        </w:rPr>
        <w:t>strategies</w:t>
      </w:r>
      <w:r w:rsidR="009431F5">
        <w:rPr>
          <w:lang w:val="en-US"/>
        </w:rPr>
        <w:t xml:space="preserve"> </w:t>
      </w:r>
      <w:r w:rsidR="00AD10AD">
        <w:rPr>
          <w:lang w:val="en-US"/>
        </w:rPr>
        <w:t>for this healthcare crisis.</w:t>
      </w:r>
    </w:p>
    <w:p w14:paraId="03D942EF" w14:textId="7C5C3D6F" w:rsidR="007C1DDB" w:rsidRPr="003C1C87" w:rsidRDefault="007C1DDB" w:rsidP="009A40FA">
      <w:pPr>
        <w:pStyle w:val="ListParagraph"/>
        <w:ind w:left="0"/>
        <w:rPr>
          <w:color w:val="2F5496" w:themeColor="accent1" w:themeShade="BF"/>
          <w:sz w:val="20"/>
          <w:szCs w:val="20"/>
          <w:lang w:val="en-US"/>
        </w:rPr>
      </w:pPr>
    </w:p>
    <w:p w14:paraId="5629167C" w14:textId="1C83F939" w:rsidR="0034407B" w:rsidRDefault="00734E0D" w:rsidP="0034407B">
      <w:pPr>
        <w:pStyle w:val="ListParagraph"/>
        <w:ind w:left="737"/>
        <w:jc w:val="both"/>
        <w:rPr>
          <w:lang w:val="en-US"/>
        </w:rPr>
      </w:pPr>
      <w:r>
        <w:rPr>
          <w:b/>
          <w:bCs/>
          <w:sz w:val="28"/>
          <w:szCs w:val="28"/>
          <w:lang w:val="en-US"/>
        </w:rPr>
        <w:lastRenderedPageBreak/>
        <w:t xml:space="preserve">- </w:t>
      </w:r>
      <w:r w:rsidR="00180F3C" w:rsidRPr="00A81703">
        <w:rPr>
          <w:b/>
          <w:bCs/>
          <w:sz w:val="28"/>
          <w:szCs w:val="28"/>
          <w:lang w:val="en-US"/>
        </w:rPr>
        <w:t>Medication</w:t>
      </w:r>
      <w:r w:rsidR="0088207A" w:rsidRPr="00A81703">
        <w:rPr>
          <w:b/>
          <w:bCs/>
          <w:sz w:val="28"/>
          <w:szCs w:val="28"/>
          <w:lang w:val="en-US"/>
        </w:rPr>
        <w:t>-</w:t>
      </w:r>
      <w:r w:rsidR="00180F3C" w:rsidRPr="00A81703">
        <w:rPr>
          <w:b/>
          <w:bCs/>
          <w:sz w:val="28"/>
          <w:szCs w:val="28"/>
          <w:lang w:val="en-US"/>
        </w:rPr>
        <w:t>induced</w:t>
      </w:r>
      <w:r w:rsidR="00597570">
        <w:rPr>
          <w:b/>
          <w:bCs/>
          <w:sz w:val="28"/>
          <w:szCs w:val="28"/>
          <w:lang w:val="en-US"/>
        </w:rPr>
        <w:t xml:space="preserve"> </w:t>
      </w:r>
      <w:r w:rsidR="0088207A" w:rsidRPr="00A81703">
        <w:rPr>
          <w:b/>
          <w:bCs/>
          <w:sz w:val="28"/>
          <w:szCs w:val="28"/>
          <w:lang w:val="en-US"/>
        </w:rPr>
        <w:t>suicide</w:t>
      </w:r>
      <w:r w:rsidR="00734066">
        <w:rPr>
          <w:b/>
          <w:bCs/>
          <w:sz w:val="28"/>
          <w:szCs w:val="28"/>
          <w:lang w:val="en-US"/>
        </w:rPr>
        <w:t>s</w:t>
      </w:r>
      <w:r w:rsidR="008744EB" w:rsidRPr="00432AEC">
        <w:rPr>
          <w:lang w:val="en-US"/>
        </w:rPr>
        <w:t xml:space="preserve"> </w:t>
      </w:r>
      <w:r w:rsidR="00A873C0" w:rsidRPr="00432AEC">
        <w:rPr>
          <w:lang w:val="en-US"/>
        </w:rPr>
        <w:t>must be identified as a national priority.</w:t>
      </w:r>
      <w:r w:rsidR="00A873C0">
        <w:rPr>
          <w:lang w:val="en-US"/>
        </w:rPr>
        <w:t xml:space="preserve"> To achieve this m</w:t>
      </w:r>
      <w:r w:rsidR="00A873C0" w:rsidRPr="00432AEC">
        <w:rPr>
          <w:lang w:val="en-US"/>
        </w:rPr>
        <w:t>edication</w:t>
      </w:r>
      <w:r w:rsidR="00A873C0">
        <w:rPr>
          <w:lang w:val="en-US"/>
        </w:rPr>
        <w:t>-</w:t>
      </w:r>
      <w:r w:rsidR="00A873C0" w:rsidRPr="00432AEC">
        <w:rPr>
          <w:lang w:val="en-US"/>
        </w:rPr>
        <w:t xml:space="preserve">induced </w:t>
      </w:r>
      <w:r w:rsidR="00A873C0">
        <w:rPr>
          <w:lang w:val="en-US"/>
        </w:rPr>
        <w:t xml:space="preserve">suicides need to be </w:t>
      </w:r>
      <w:r w:rsidR="00E518CB">
        <w:rPr>
          <w:lang w:val="en-US"/>
        </w:rPr>
        <w:t xml:space="preserve">first </w:t>
      </w:r>
      <w:r w:rsidR="00A873C0">
        <w:rPr>
          <w:lang w:val="en-US"/>
        </w:rPr>
        <w:t>identified, and n</w:t>
      </w:r>
      <w:r w:rsidR="00A873C0" w:rsidRPr="00432AEC">
        <w:rPr>
          <w:lang w:val="en-US"/>
        </w:rPr>
        <w:t xml:space="preserve">ot </w:t>
      </w:r>
      <w:r w:rsidR="00A873C0">
        <w:rPr>
          <w:lang w:val="en-US"/>
        </w:rPr>
        <w:t>clumped in with other causes.</w:t>
      </w:r>
      <w:r w:rsidR="00A873C0" w:rsidRPr="00432AEC">
        <w:rPr>
          <w:lang w:val="en-US"/>
        </w:rPr>
        <w:t xml:space="preserve"> </w:t>
      </w:r>
      <w:r w:rsidR="00B93FBD">
        <w:rPr>
          <w:lang w:val="en-US"/>
        </w:rPr>
        <w:t xml:space="preserve">It requires a </w:t>
      </w:r>
      <w:r w:rsidR="00A873C0" w:rsidRPr="00432AEC">
        <w:rPr>
          <w:lang w:val="en-US"/>
        </w:rPr>
        <w:t>separate suicide prevention strat</w:t>
      </w:r>
      <w:r w:rsidR="00A873C0">
        <w:rPr>
          <w:lang w:val="en-US"/>
        </w:rPr>
        <w:t>e</w:t>
      </w:r>
      <w:r w:rsidR="00A873C0" w:rsidRPr="00432AEC">
        <w:rPr>
          <w:lang w:val="en-US"/>
        </w:rPr>
        <w:t>g</w:t>
      </w:r>
      <w:r w:rsidR="00A873C0">
        <w:rPr>
          <w:lang w:val="en-US"/>
        </w:rPr>
        <w:t xml:space="preserve">y; </w:t>
      </w:r>
      <w:r w:rsidR="00A873C0" w:rsidRPr="002D348A">
        <w:rPr>
          <w:b/>
          <w:bCs/>
          <w:lang w:val="en-US"/>
        </w:rPr>
        <w:t>and given the</w:t>
      </w:r>
      <w:r w:rsidR="00A873C0">
        <w:rPr>
          <w:lang w:val="en-US"/>
        </w:rPr>
        <w:t xml:space="preserve"> </w:t>
      </w:r>
      <w:r w:rsidR="00A873C0" w:rsidRPr="002D348A">
        <w:rPr>
          <w:b/>
          <w:bCs/>
          <w:lang w:val="en-US"/>
        </w:rPr>
        <w:t>same level of urgency that is provided to all other healthcare-related deaths</w:t>
      </w:r>
      <w:r w:rsidR="00A873C0">
        <w:rPr>
          <w:lang w:val="en-US"/>
        </w:rPr>
        <w:t xml:space="preserve">. </w:t>
      </w:r>
    </w:p>
    <w:p w14:paraId="069344F3" w14:textId="77777777" w:rsidR="0034407B" w:rsidRDefault="0034407B" w:rsidP="0034407B">
      <w:pPr>
        <w:pStyle w:val="ListParagraph"/>
        <w:ind w:left="737"/>
        <w:jc w:val="both"/>
        <w:rPr>
          <w:lang w:val="en-US"/>
        </w:rPr>
      </w:pPr>
    </w:p>
    <w:p w14:paraId="2A22045C" w14:textId="77777777" w:rsidR="00EE3EBD" w:rsidRDefault="00EE3EBD" w:rsidP="00E12583">
      <w:pPr>
        <w:pStyle w:val="ListParagraph"/>
        <w:ind w:left="737"/>
        <w:jc w:val="both"/>
        <w:rPr>
          <w:lang w:val="en-US"/>
        </w:rPr>
      </w:pPr>
      <w:r>
        <w:rPr>
          <w:lang w:val="en-US"/>
        </w:rPr>
        <w:t xml:space="preserve">Neurotoxicity of </w:t>
      </w:r>
      <w:r w:rsidR="00A873C0">
        <w:rPr>
          <w:lang w:val="en-US"/>
        </w:rPr>
        <w:t xml:space="preserve">medications is hard to quantitively measure. </w:t>
      </w:r>
      <w:r>
        <w:rPr>
          <w:lang w:val="en-US"/>
        </w:rPr>
        <w:t>However, t</w:t>
      </w:r>
      <w:r w:rsidR="00A873C0">
        <w:rPr>
          <w:lang w:val="en-US"/>
        </w:rPr>
        <w:t>h</w:t>
      </w:r>
      <w:r>
        <w:rPr>
          <w:lang w:val="en-US"/>
        </w:rPr>
        <w:t>e</w:t>
      </w:r>
      <w:r w:rsidR="00A873C0">
        <w:rPr>
          <w:lang w:val="en-US"/>
        </w:rPr>
        <w:t xml:space="preserve"> </w:t>
      </w:r>
      <w:r w:rsidR="002C2E5F">
        <w:rPr>
          <w:lang w:val="en-US"/>
        </w:rPr>
        <w:t xml:space="preserve">‘lack of evidence’ can no longer be </w:t>
      </w:r>
      <w:r>
        <w:rPr>
          <w:lang w:val="en-US"/>
        </w:rPr>
        <w:t xml:space="preserve">the </w:t>
      </w:r>
      <w:r w:rsidR="002C2E5F">
        <w:rPr>
          <w:lang w:val="en-US"/>
        </w:rPr>
        <w:t>justification to do</w:t>
      </w:r>
      <w:r w:rsidR="0034407B">
        <w:rPr>
          <w:lang w:val="en-US"/>
        </w:rPr>
        <w:t xml:space="preserve"> </w:t>
      </w:r>
      <w:r w:rsidR="002C2E5F">
        <w:rPr>
          <w:lang w:val="en-US"/>
        </w:rPr>
        <w:t>nothing.</w:t>
      </w:r>
      <w:r w:rsidR="00A873C0">
        <w:rPr>
          <w:lang w:val="en-US"/>
        </w:rPr>
        <w:t xml:space="preserve"> </w:t>
      </w:r>
      <w:r>
        <w:rPr>
          <w:lang w:val="en-US"/>
        </w:rPr>
        <w:t xml:space="preserve">This inaction only </w:t>
      </w:r>
      <w:r w:rsidR="00A873C0">
        <w:rPr>
          <w:lang w:val="en-US"/>
        </w:rPr>
        <w:t>support</w:t>
      </w:r>
      <w:r w:rsidR="0034407B">
        <w:rPr>
          <w:lang w:val="en-US"/>
        </w:rPr>
        <w:t>s</w:t>
      </w:r>
      <w:r w:rsidR="00A873C0">
        <w:rPr>
          <w:lang w:val="en-US"/>
        </w:rPr>
        <w:t xml:space="preserve"> a health system which bur</w:t>
      </w:r>
      <w:r w:rsidR="00BB60E8">
        <w:rPr>
          <w:lang w:val="en-US"/>
        </w:rPr>
        <w:t>ies</w:t>
      </w:r>
      <w:r w:rsidR="00A873C0">
        <w:rPr>
          <w:lang w:val="en-US"/>
        </w:rPr>
        <w:t xml:space="preserve"> its mistakes. Strategies that may assist include:</w:t>
      </w:r>
      <w:r w:rsidR="00BB60E8">
        <w:rPr>
          <w:lang w:val="en-US"/>
        </w:rPr>
        <w:t>-</w:t>
      </w:r>
    </w:p>
    <w:p w14:paraId="3B59B1E9" w14:textId="16D5FB9A" w:rsidR="00626409" w:rsidRDefault="00A873C0" w:rsidP="0034407B">
      <w:pPr>
        <w:pStyle w:val="ListParagraph"/>
        <w:ind w:left="737"/>
        <w:jc w:val="both"/>
        <w:rPr>
          <w:lang w:val="en-US"/>
        </w:rPr>
      </w:pPr>
      <w:r>
        <w:rPr>
          <w:lang w:val="en-US"/>
        </w:rPr>
        <w:t xml:space="preserve"> </w:t>
      </w:r>
    </w:p>
    <w:p w14:paraId="4A40F579" w14:textId="77C90173" w:rsidR="007F5C02" w:rsidRPr="0088207A" w:rsidRDefault="007F5C02" w:rsidP="007F5C02">
      <w:pPr>
        <w:pStyle w:val="ListParagraph"/>
        <w:numPr>
          <w:ilvl w:val="1"/>
          <w:numId w:val="11"/>
        </w:numPr>
        <w:jc w:val="both"/>
        <w:rPr>
          <w:lang w:val="en-US"/>
        </w:rPr>
      </w:pPr>
      <w:r w:rsidRPr="0088207A">
        <w:rPr>
          <w:lang w:val="en-US"/>
        </w:rPr>
        <w:t>Chang</w:t>
      </w:r>
      <w:r w:rsidR="00E33B8C">
        <w:rPr>
          <w:lang w:val="en-US"/>
        </w:rPr>
        <w:t>ing</w:t>
      </w:r>
      <w:r w:rsidRPr="0088207A">
        <w:rPr>
          <w:lang w:val="en-US"/>
        </w:rPr>
        <w:t xml:space="preserve"> terminology. </w:t>
      </w:r>
      <w:r w:rsidR="0088207A">
        <w:rPr>
          <w:lang w:val="en-US"/>
        </w:rPr>
        <w:t>Change ‘s</w:t>
      </w:r>
      <w:r w:rsidRPr="0088207A">
        <w:rPr>
          <w:lang w:val="en-US"/>
        </w:rPr>
        <w:t>uicide</w:t>
      </w:r>
      <w:r w:rsidR="0088207A">
        <w:rPr>
          <w:lang w:val="en-US"/>
        </w:rPr>
        <w:t>’</w:t>
      </w:r>
      <w:r w:rsidRPr="0088207A">
        <w:rPr>
          <w:lang w:val="en-US"/>
        </w:rPr>
        <w:t xml:space="preserve"> to </w:t>
      </w:r>
      <w:r w:rsidR="0088207A">
        <w:rPr>
          <w:lang w:val="en-US"/>
        </w:rPr>
        <w:t>‘</w:t>
      </w:r>
      <w:r w:rsidRPr="0088207A">
        <w:rPr>
          <w:lang w:val="en-US"/>
        </w:rPr>
        <w:t>medication-induced suicide</w:t>
      </w:r>
      <w:r w:rsidR="0088207A">
        <w:rPr>
          <w:lang w:val="en-US"/>
        </w:rPr>
        <w:t>’</w:t>
      </w:r>
      <w:r w:rsidR="00E33B8C">
        <w:rPr>
          <w:lang w:val="en-US"/>
        </w:rPr>
        <w:t xml:space="preserve"> when indicated</w:t>
      </w:r>
      <w:r w:rsidRPr="0088207A">
        <w:rPr>
          <w:lang w:val="en-US"/>
        </w:rPr>
        <w:t>.</w:t>
      </w:r>
    </w:p>
    <w:p w14:paraId="35097BB5" w14:textId="5AC8D2F4" w:rsidR="007F5C02" w:rsidRDefault="007F5C02" w:rsidP="00A81703">
      <w:pPr>
        <w:pStyle w:val="ListParagraph"/>
        <w:numPr>
          <w:ilvl w:val="1"/>
          <w:numId w:val="11"/>
        </w:numPr>
        <w:jc w:val="both"/>
        <w:rPr>
          <w:lang w:val="en-US"/>
        </w:rPr>
      </w:pPr>
      <w:r w:rsidRPr="0088207A">
        <w:rPr>
          <w:lang w:val="en-US"/>
        </w:rPr>
        <w:t>Make it a priority with the Coroner</w:t>
      </w:r>
      <w:r w:rsidR="00626409">
        <w:rPr>
          <w:lang w:val="en-US"/>
        </w:rPr>
        <w:t xml:space="preserve"> to</w:t>
      </w:r>
      <w:r w:rsidRPr="0088207A">
        <w:rPr>
          <w:lang w:val="en-US"/>
        </w:rPr>
        <w:t xml:space="preserve"> better identify medication-induced suicide</w:t>
      </w:r>
      <w:r w:rsidR="00B93FBD">
        <w:rPr>
          <w:lang w:val="en-US"/>
        </w:rPr>
        <w:t>s.</w:t>
      </w:r>
    </w:p>
    <w:p w14:paraId="6551B436" w14:textId="10477B4C" w:rsidR="0034407B" w:rsidRPr="0088207A" w:rsidRDefault="0034407B" w:rsidP="00A81703">
      <w:pPr>
        <w:pStyle w:val="ListParagraph"/>
        <w:numPr>
          <w:ilvl w:val="1"/>
          <w:numId w:val="11"/>
        </w:numPr>
        <w:jc w:val="both"/>
        <w:rPr>
          <w:lang w:val="en-US"/>
        </w:rPr>
      </w:pPr>
      <w:r>
        <w:rPr>
          <w:lang w:val="en-US"/>
        </w:rPr>
        <w:t>Coroners should meet with people with lived-experience of medication-induced near deaths to better understand th</w:t>
      </w:r>
      <w:r w:rsidR="00B44804">
        <w:rPr>
          <w:lang w:val="en-US"/>
        </w:rPr>
        <w:t>is</w:t>
      </w:r>
      <w:r>
        <w:rPr>
          <w:lang w:val="en-US"/>
        </w:rPr>
        <w:t xml:space="preserve"> ADR. </w:t>
      </w:r>
    </w:p>
    <w:p w14:paraId="5080C528" w14:textId="1265FA50" w:rsidR="007F5C02" w:rsidRPr="0088207A" w:rsidRDefault="00B44804" w:rsidP="00A81703">
      <w:pPr>
        <w:pStyle w:val="ListParagraph"/>
        <w:numPr>
          <w:ilvl w:val="1"/>
          <w:numId w:val="11"/>
        </w:numPr>
        <w:jc w:val="both"/>
        <w:rPr>
          <w:lang w:val="en-US"/>
        </w:rPr>
      </w:pPr>
      <w:r>
        <w:rPr>
          <w:lang w:val="en-US"/>
        </w:rPr>
        <w:t>F</w:t>
      </w:r>
      <w:r w:rsidR="007F5C02" w:rsidRPr="0088207A">
        <w:rPr>
          <w:lang w:val="en-US"/>
        </w:rPr>
        <w:t>urther educat</w:t>
      </w:r>
      <w:r>
        <w:rPr>
          <w:lang w:val="en-US"/>
        </w:rPr>
        <w:t xml:space="preserve">ion of GPs and </w:t>
      </w:r>
      <w:r w:rsidR="007F5C02" w:rsidRPr="0088207A">
        <w:rPr>
          <w:lang w:val="en-US"/>
        </w:rPr>
        <w:t>specialist</w:t>
      </w:r>
      <w:r w:rsidR="00B21A64">
        <w:rPr>
          <w:lang w:val="en-US"/>
        </w:rPr>
        <w:t>. Especially when consumers state “the medications are making me worse</w:t>
      </w:r>
      <w:r w:rsidR="00E518CB">
        <w:rPr>
          <w:lang w:val="en-US"/>
        </w:rPr>
        <w:t>, or not helping</w:t>
      </w:r>
      <w:r w:rsidR="00B21A64">
        <w:rPr>
          <w:lang w:val="en-US"/>
        </w:rPr>
        <w:t>.”</w:t>
      </w:r>
    </w:p>
    <w:p w14:paraId="5A083176" w14:textId="6AF569FC" w:rsidR="00B74F8D" w:rsidRDefault="009606AE" w:rsidP="00B74F8D">
      <w:pPr>
        <w:pStyle w:val="ListParagraph"/>
        <w:numPr>
          <w:ilvl w:val="1"/>
          <w:numId w:val="11"/>
        </w:numPr>
        <w:jc w:val="both"/>
        <w:rPr>
          <w:lang w:val="en-US"/>
        </w:rPr>
      </w:pPr>
      <w:r w:rsidRPr="00734066">
        <w:rPr>
          <w:lang w:val="en-US"/>
        </w:rPr>
        <w:t>Risk Cause Analysis</w:t>
      </w:r>
      <w:r w:rsidR="007F5C02" w:rsidRPr="00734066">
        <w:rPr>
          <w:lang w:val="en-US"/>
        </w:rPr>
        <w:t>.</w:t>
      </w:r>
      <w:r w:rsidR="00734066">
        <w:rPr>
          <w:lang w:val="en-US"/>
        </w:rPr>
        <w:t xml:space="preserve"> </w:t>
      </w:r>
      <w:r w:rsidR="0088207A" w:rsidRPr="00E14D81">
        <w:rPr>
          <w:lang w:val="en-US"/>
        </w:rPr>
        <w:t>I encourage the PC to support RCA for bipolar patients who are currently treated</w:t>
      </w:r>
      <w:r w:rsidR="00734066">
        <w:rPr>
          <w:lang w:val="en-US"/>
        </w:rPr>
        <w:t xml:space="preserve"> off-label</w:t>
      </w:r>
      <w:r w:rsidR="0088207A" w:rsidRPr="00E14D81">
        <w:rPr>
          <w:lang w:val="en-US"/>
        </w:rPr>
        <w:t xml:space="preserve"> with antidepressants and subsequently attempt or complete</w:t>
      </w:r>
      <w:r w:rsidR="00B93FBD">
        <w:rPr>
          <w:lang w:val="en-US"/>
        </w:rPr>
        <w:t xml:space="preserve"> </w:t>
      </w:r>
      <w:r w:rsidR="0088207A" w:rsidRPr="00E14D81">
        <w:rPr>
          <w:lang w:val="en-US"/>
        </w:rPr>
        <w:t>suicide.</w:t>
      </w:r>
      <w:r w:rsidR="00E14D81" w:rsidRPr="00E14D81">
        <w:rPr>
          <w:lang w:val="en-US"/>
        </w:rPr>
        <w:t xml:space="preserve"> This is the only way that the Government can start collecting data and change outcomes. </w:t>
      </w:r>
    </w:p>
    <w:p w14:paraId="50447BBC" w14:textId="49C04FE8" w:rsidR="0088207A" w:rsidRPr="00B74F8D" w:rsidRDefault="0088207A" w:rsidP="00B74F8D">
      <w:pPr>
        <w:pStyle w:val="ListParagraph"/>
        <w:numPr>
          <w:ilvl w:val="1"/>
          <w:numId w:val="11"/>
        </w:numPr>
        <w:jc w:val="both"/>
        <w:rPr>
          <w:lang w:val="en-US"/>
        </w:rPr>
      </w:pPr>
      <w:r w:rsidRPr="00B74F8D">
        <w:rPr>
          <w:lang w:val="en-US"/>
        </w:rPr>
        <w:t>Prioritise genetic research that will identify at risk groups</w:t>
      </w:r>
      <w:r w:rsidR="00E12583">
        <w:rPr>
          <w:lang w:val="en-US"/>
        </w:rPr>
        <w:t xml:space="preserve"> of suicide, see below</w:t>
      </w:r>
      <w:r w:rsidRPr="00B74F8D">
        <w:rPr>
          <w:lang w:val="en-US"/>
        </w:rPr>
        <w:t>.</w:t>
      </w:r>
    </w:p>
    <w:p w14:paraId="52BF18F7" w14:textId="66321068" w:rsidR="0088207A" w:rsidRDefault="0088207A" w:rsidP="00A81703">
      <w:pPr>
        <w:pStyle w:val="ListParagraph"/>
        <w:numPr>
          <w:ilvl w:val="1"/>
          <w:numId w:val="11"/>
        </w:numPr>
        <w:jc w:val="both"/>
        <w:rPr>
          <w:lang w:val="en-US"/>
        </w:rPr>
      </w:pPr>
      <w:r w:rsidRPr="0088207A">
        <w:rPr>
          <w:lang w:val="en-US"/>
        </w:rPr>
        <w:t>Support pharmacogenomic testin</w:t>
      </w:r>
      <w:r w:rsidR="002C7212">
        <w:rPr>
          <w:lang w:val="en-US"/>
        </w:rPr>
        <w:t>g.</w:t>
      </w:r>
    </w:p>
    <w:p w14:paraId="4D99DDEB" w14:textId="7CFD11F6" w:rsidR="00B74F8D" w:rsidRDefault="00B74F8D" w:rsidP="00A81703">
      <w:pPr>
        <w:pStyle w:val="ListParagraph"/>
        <w:numPr>
          <w:ilvl w:val="1"/>
          <w:numId w:val="11"/>
        </w:numPr>
        <w:jc w:val="both"/>
        <w:rPr>
          <w:lang w:val="en-US"/>
        </w:rPr>
      </w:pPr>
      <w:r>
        <w:rPr>
          <w:lang w:val="en-US"/>
        </w:rPr>
        <w:t xml:space="preserve">Support illness specific rating scales and treatment targets to early identify </w:t>
      </w:r>
      <w:r w:rsidR="00B93FBD">
        <w:rPr>
          <w:lang w:val="en-US"/>
        </w:rPr>
        <w:t>medication-</w:t>
      </w:r>
      <w:r>
        <w:rPr>
          <w:lang w:val="en-US"/>
        </w:rPr>
        <w:t>induced changes.</w:t>
      </w:r>
    </w:p>
    <w:p w14:paraId="59FDBB90" w14:textId="4CF2B546" w:rsidR="00597570" w:rsidRDefault="00B74F8D" w:rsidP="00597570">
      <w:pPr>
        <w:pStyle w:val="ListParagraph"/>
        <w:numPr>
          <w:ilvl w:val="1"/>
          <w:numId w:val="11"/>
        </w:numPr>
        <w:jc w:val="both"/>
        <w:rPr>
          <w:lang w:val="en-US"/>
        </w:rPr>
      </w:pPr>
      <w:r>
        <w:rPr>
          <w:lang w:val="en-US"/>
        </w:rPr>
        <w:t>Provide</w:t>
      </w:r>
      <w:r w:rsidR="0034407B">
        <w:rPr>
          <w:lang w:val="en-US"/>
        </w:rPr>
        <w:t xml:space="preserve"> </w:t>
      </w:r>
      <w:r>
        <w:rPr>
          <w:lang w:val="en-US"/>
        </w:rPr>
        <w:t>informed consent of risks</w:t>
      </w:r>
      <w:r w:rsidR="00624330">
        <w:rPr>
          <w:lang w:val="en-US"/>
        </w:rPr>
        <w:t xml:space="preserve"> to all consumers</w:t>
      </w:r>
      <w:r>
        <w:rPr>
          <w:lang w:val="en-US"/>
        </w:rPr>
        <w:t>.</w:t>
      </w:r>
    </w:p>
    <w:p w14:paraId="3A31A6D9" w14:textId="77777777" w:rsidR="00E12583" w:rsidRDefault="00624330" w:rsidP="00E12583">
      <w:pPr>
        <w:pStyle w:val="ListParagraph"/>
        <w:numPr>
          <w:ilvl w:val="1"/>
          <w:numId w:val="11"/>
        </w:numPr>
        <w:jc w:val="both"/>
        <w:rPr>
          <w:lang w:val="en-US"/>
        </w:rPr>
      </w:pPr>
      <w:r>
        <w:rPr>
          <w:lang w:val="en-US"/>
        </w:rPr>
        <w:t>Provide black box warnings by TGA.</w:t>
      </w:r>
    </w:p>
    <w:p w14:paraId="4865E68D" w14:textId="709647C1" w:rsidR="00261E78" w:rsidRPr="00E12583" w:rsidRDefault="00261E78" w:rsidP="00E12583">
      <w:pPr>
        <w:pStyle w:val="ListParagraph"/>
        <w:ind w:left="737"/>
        <w:jc w:val="both"/>
        <w:rPr>
          <w:lang w:val="en-US"/>
        </w:rPr>
      </w:pPr>
      <w:r w:rsidRPr="00E12583">
        <w:rPr>
          <w:color w:val="222222"/>
        </w:rPr>
        <w:br/>
      </w:r>
      <w:r w:rsidR="00E12583" w:rsidRPr="00E12583">
        <w:rPr>
          <w:rFonts w:cstheme="minorHAnsi"/>
          <w:color w:val="222222"/>
        </w:rPr>
        <w:t xml:space="preserve">“OPRM1 is a </w:t>
      </w:r>
      <w:r w:rsidRPr="00E12583">
        <w:rPr>
          <w:rFonts w:cstheme="minorHAnsi"/>
          <w:color w:val="222222"/>
        </w:rPr>
        <w:t xml:space="preserve">Polymorphism A118G </w:t>
      </w:r>
      <w:r w:rsidR="00E518CB">
        <w:rPr>
          <w:rFonts w:cstheme="minorHAnsi"/>
          <w:color w:val="222222"/>
        </w:rPr>
        <w:t xml:space="preserve">…. </w:t>
      </w:r>
      <w:r w:rsidRPr="00E12583">
        <w:rPr>
          <w:rFonts w:cstheme="minorHAnsi"/>
          <w:color w:val="222222"/>
        </w:rPr>
        <w:t xml:space="preserve"> is associated with emergence of suicidal ideation at antidepressant onset in a large naturalistic cohort of depressed outpatients</w:t>
      </w:r>
      <w:r w:rsidR="00E12583" w:rsidRPr="00E12583">
        <w:rPr>
          <w:rFonts w:cstheme="minorHAnsi"/>
          <w:color w:val="222222"/>
        </w:rPr>
        <w:t>”</w:t>
      </w:r>
      <w:r w:rsidR="00E518CB">
        <w:rPr>
          <w:rFonts w:cstheme="minorHAnsi"/>
          <w:color w:val="222222"/>
        </w:rPr>
        <w:t>.</w:t>
      </w:r>
      <w:r w:rsidR="00E12583" w:rsidRPr="00E12583">
        <w:rPr>
          <w:rFonts w:cstheme="minorHAnsi"/>
          <w:color w:val="222222"/>
        </w:rPr>
        <w:t xml:space="preserve"> My pharmacogenetics show I have this polymorphism. It would be interesting to see the role of this emerging science in preventative medicine. </w:t>
      </w:r>
      <w:hyperlink r:id="rId18" w:anchor="Tab5" w:history="1">
        <w:r w:rsidR="00E12583" w:rsidRPr="00E12583">
          <w:rPr>
            <w:rStyle w:val="Hyperlink"/>
            <w:rFonts w:cstheme="minorHAnsi"/>
          </w:rPr>
          <w:t>https://www.nature.com/articles/s41598-019-39622-3#Tab5</w:t>
        </w:r>
      </w:hyperlink>
      <w:r w:rsidR="00103341">
        <w:rPr>
          <w:rFonts w:cstheme="minorHAnsi"/>
        </w:rPr>
        <w:t>. There needs to be provisions to expedite rapidly changing science and technology to protect consumers.</w:t>
      </w:r>
    </w:p>
    <w:p w14:paraId="641449C8" w14:textId="17381837" w:rsidR="00103341" w:rsidRDefault="009154AB" w:rsidP="00532FD8">
      <w:pPr>
        <w:pStyle w:val="ListParagraph"/>
        <w:jc w:val="both"/>
        <w:rPr>
          <w:rFonts w:cstheme="minorHAnsi"/>
          <w:lang w:val="en-US"/>
        </w:rPr>
      </w:pPr>
      <w:r w:rsidRPr="00597570">
        <w:rPr>
          <w:lang w:val="en-US"/>
        </w:rPr>
        <w:br/>
      </w:r>
      <w:r w:rsidR="0058708C">
        <w:rPr>
          <w:rFonts w:cstheme="minorHAnsi"/>
          <w:lang w:val="en-US"/>
        </w:rPr>
        <w:t>T</w:t>
      </w:r>
      <w:r w:rsidR="0058708C" w:rsidRPr="00047FAD">
        <w:rPr>
          <w:rFonts w:cstheme="minorHAnsi"/>
          <w:lang w:val="en-US"/>
        </w:rPr>
        <w:t xml:space="preserve">reatment-emergent suicidal ideations </w:t>
      </w:r>
      <w:r w:rsidR="0058708C">
        <w:rPr>
          <w:rFonts w:cstheme="minorHAnsi"/>
          <w:lang w:val="en-US"/>
        </w:rPr>
        <w:t xml:space="preserve">are </w:t>
      </w:r>
      <w:r w:rsidR="0058708C" w:rsidRPr="00047FAD">
        <w:rPr>
          <w:rFonts w:cstheme="minorHAnsi"/>
          <w:lang w:val="en-US"/>
        </w:rPr>
        <w:t>not complex. The</w:t>
      </w:r>
      <w:r w:rsidR="0058708C">
        <w:rPr>
          <w:rFonts w:cstheme="minorHAnsi"/>
          <w:lang w:val="en-US"/>
        </w:rPr>
        <w:t xml:space="preserve"> </w:t>
      </w:r>
      <w:r w:rsidR="0058708C" w:rsidRPr="00047FAD">
        <w:rPr>
          <w:rFonts w:cstheme="minorHAnsi"/>
          <w:lang w:val="en-US"/>
        </w:rPr>
        <w:t>only intervention</w:t>
      </w:r>
      <w:r w:rsidR="0058708C">
        <w:rPr>
          <w:rFonts w:cstheme="minorHAnsi"/>
          <w:lang w:val="en-US"/>
        </w:rPr>
        <w:t xml:space="preserve"> required was to </w:t>
      </w:r>
      <w:r w:rsidR="0058708C" w:rsidRPr="00047FAD">
        <w:rPr>
          <w:rFonts w:cstheme="minorHAnsi"/>
          <w:lang w:val="en-US"/>
        </w:rPr>
        <w:t xml:space="preserve">follow </w:t>
      </w:r>
      <w:r w:rsidR="0058708C">
        <w:rPr>
          <w:rFonts w:cstheme="minorHAnsi"/>
          <w:lang w:val="en-US"/>
        </w:rPr>
        <w:t xml:space="preserve">the RANZCP </w:t>
      </w:r>
      <w:r w:rsidR="0058708C" w:rsidRPr="00047FAD">
        <w:rPr>
          <w:rFonts w:cstheme="minorHAnsi"/>
          <w:lang w:val="en-US"/>
        </w:rPr>
        <w:t>guidelines and heed TGA alerts</w:t>
      </w:r>
      <w:r w:rsidR="00CD3C25">
        <w:rPr>
          <w:rFonts w:cstheme="minorHAnsi"/>
          <w:lang w:val="en-US"/>
        </w:rPr>
        <w:t xml:space="preserve">, stop the </w:t>
      </w:r>
      <w:r w:rsidR="00E518CB">
        <w:rPr>
          <w:rFonts w:cstheme="minorHAnsi"/>
          <w:lang w:val="en-US"/>
        </w:rPr>
        <w:t xml:space="preserve">cause of the </w:t>
      </w:r>
      <w:r w:rsidR="00CD3C25">
        <w:rPr>
          <w:rFonts w:cstheme="minorHAnsi"/>
          <w:lang w:val="en-US"/>
        </w:rPr>
        <w:t>ADR</w:t>
      </w:r>
      <w:r w:rsidR="0058708C">
        <w:rPr>
          <w:rFonts w:cstheme="minorHAnsi"/>
          <w:lang w:val="en-US"/>
        </w:rPr>
        <w:t xml:space="preserve">. </w:t>
      </w:r>
    </w:p>
    <w:p w14:paraId="59E3125A" w14:textId="77777777" w:rsidR="00103341" w:rsidRDefault="00103341" w:rsidP="00532FD8">
      <w:pPr>
        <w:pStyle w:val="ListParagraph"/>
        <w:jc w:val="both"/>
        <w:rPr>
          <w:rFonts w:cstheme="minorHAnsi"/>
          <w:lang w:val="en-US"/>
        </w:rPr>
      </w:pPr>
    </w:p>
    <w:p w14:paraId="0A97D659" w14:textId="51768B7E" w:rsidR="00532FD8" w:rsidRDefault="00103341" w:rsidP="00532FD8">
      <w:pPr>
        <w:pStyle w:val="ListParagraph"/>
        <w:jc w:val="both"/>
        <w:rPr>
          <w:lang w:val="en-US"/>
        </w:rPr>
      </w:pPr>
      <w:r>
        <w:rPr>
          <w:rFonts w:cstheme="minorHAnsi"/>
          <w:lang w:val="en-US"/>
        </w:rPr>
        <w:t>O</w:t>
      </w:r>
      <w:r w:rsidR="00A63C1F">
        <w:rPr>
          <w:rFonts w:cstheme="minorHAnsi"/>
          <w:lang w:val="en-US"/>
        </w:rPr>
        <w:t xml:space="preserve">nly </w:t>
      </w:r>
      <w:r w:rsidR="0058708C">
        <w:rPr>
          <w:rFonts w:cstheme="minorHAnsi"/>
          <w:lang w:val="en-US"/>
        </w:rPr>
        <w:t>once</w:t>
      </w:r>
      <w:r>
        <w:rPr>
          <w:rFonts w:cstheme="minorHAnsi"/>
          <w:lang w:val="en-US"/>
        </w:rPr>
        <w:t xml:space="preserve"> </w:t>
      </w:r>
      <w:r w:rsidR="00E518CB">
        <w:rPr>
          <w:rFonts w:cstheme="minorHAnsi"/>
          <w:lang w:val="en-US"/>
        </w:rPr>
        <w:t xml:space="preserve">have </w:t>
      </w:r>
      <w:r>
        <w:rPr>
          <w:rFonts w:cstheme="minorHAnsi"/>
          <w:lang w:val="en-US"/>
        </w:rPr>
        <w:t xml:space="preserve">I </w:t>
      </w:r>
      <w:r w:rsidR="00E518CB">
        <w:rPr>
          <w:rFonts w:cstheme="minorHAnsi"/>
          <w:lang w:val="en-US"/>
        </w:rPr>
        <w:t xml:space="preserve">been </w:t>
      </w:r>
      <w:r w:rsidR="00A63C1F">
        <w:rPr>
          <w:rFonts w:cstheme="minorHAnsi"/>
          <w:lang w:val="en-US"/>
        </w:rPr>
        <w:t>a</w:t>
      </w:r>
      <w:r w:rsidR="0058708C">
        <w:rPr>
          <w:rFonts w:cstheme="minorHAnsi"/>
          <w:lang w:val="en-US"/>
        </w:rPr>
        <w:t xml:space="preserve">sked by </w:t>
      </w:r>
      <w:r w:rsidR="00065093">
        <w:rPr>
          <w:rFonts w:cstheme="minorHAnsi"/>
          <w:lang w:val="en-US"/>
        </w:rPr>
        <w:t>a</w:t>
      </w:r>
      <w:r w:rsidR="0058708C">
        <w:rPr>
          <w:rFonts w:cstheme="minorHAnsi"/>
          <w:lang w:val="en-US"/>
        </w:rPr>
        <w:t xml:space="preserve"> psychiatrist if I </w:t>
      </w:r>
      <w:r>
        <w:rPr>
          <w:rFonts w:cstheme="minorHAnsi"/>
          <w:lang w:val="en-US"/>
        </w:rPr>
        <w:t xml:space="preserve">had </w:t>
      </w:r>
      <w:r w:rsidR="0058708C">
        <w:rPr>
          <w:rFonts w:cstheme="minorHAnsi"/>
          <w:lang w:val="en-US"/>
        </w:rPr>
        <w:t xml:space="preserve">current </w:t>
      </w:r>
      <w:r w:rsidR="00065093">
        <w:rPr>
          <w:rFonts w:cstheme="minorHAnsi"/>
          <w:lang w:val="en-US"/>
        </w:rPr>
        <w:t>suicidal ideations</w:t>
      </w:r>
      <w:r w:rsidR="00CE267E">
        <w:rPr>
          <w:rFonts w:cstheme="minorHAnsi"/>
          <w:lang w:val="en-US"/>
        </w:rPr>
        <w:t xml:space="preserve">. </w:t>
      </w:r>
      <w:r>
        <w:rPr>
          <w:rFonts w:cstheme="minorHAnsi"/>
          <w:lang w:val="en-US"/>
        </w:rPr>
        <w:t xml:space="preserve">I </w:t>
      </w:r>
      <w:r w:rsidR="0058708C">
        <w:rPr>
          <w:rFonts w:cstheme="minorHAnsi"/>
          <w:lang w:val="en-US"/>
        </w:rPr>
        <w:t xml:space="preserve">brought it </w:t>
      </w:r>
      <w:r w:rsidR="00065093">
        <w:rPr>
          <w:rFonts w:cstheme="minorHAnsi"/>
          <w:lang w:val="en-US"/>
        </w:rPr>
        <w:t>up</w:t>
      </w:r>
      <w:r>
        <w:rPr>
          <w:rFonts w:cstheme="minorHAnsi"/>
          <w:lang w:val="en-US"/>
        </w:rPr>
        <w:t xml:space="preserve"> a few times, there was no follow up.</w:t>
      </w:r>
      <w:r w:rsidR="00CE267E">
        <w:rPr>
          <w:rFonts w:cstheme="minorHAnsi"/>
          <w:lang w:val="en-US"/>
        </w:rPr>
        <w:t xml:space="preserve"> </w:t>
      </w:r>
      <w:r w:rsidR="0058708C">
        <w:rPr>
          <w:rFonts w:cstheme="minorHAnsi"/>
          <w:lang w:val="en-US"/>
        </w:rPr>
        <w:t>I</w:t>
      </w:r>
      <w:r w:rsidR="001B6F6C">
        <w:rPr>
          <w:rFonts w:cstheme="minorHAnsi"/>
          <w:lang w:val="en-US"/>
        </w:rPr>
        <w:t xml:space="preserve"> </w:t>
      </w:r>
      <w:r w:rsidR="0058708C">
        <w:rPr>
          <w:rFonts w:cstheme="minorHAnsi"/>
          <w:lang w:val="en-US"/>
        </w:rPr>
        <w:t>learnt to live with this in silence</w:t>
      </w:r>
      <w:r w:rsidR="00065093">
        <w:rPr>
          <w:rFonts w:cstheme="minorHAnsi"/>
          <w:lang w:val="en-US"/>
        </w:rPr>
        <w:t>. W</w:t>
      </w:r>
      <w:r w:rsidR="0058708C">
        <w:rPr>
          <w:rFonts w:cstheme="minorHAnsi"/>
          <w:lang w:val="en-US"/>
        </w:rPr>
        <w:t xml:space="preserve">hen </w:t>
      </w:r>
      <w:r w:rsidR="00065093">
        <w:rPr>
          <w:rFonts w:cstheme="minorHAnsi"/>
          <w:lang w:val="en-US"/>
        </w:rPr>
        <w:t xml:space="preserve">it became </w:t>
      </w:r>
      <w:r>
        <w:rPr>
          <w:rFonts w:cstheme="minorHAnsi"/>
          <w:lang w:val="en-US"/>
        </w:rPr>
        <w:t>overwhelming,</w:t>
      </w:r>
      <w:r w:rsidR="00065093">
        <w:rPr>
          <w:rFonts w:cstheme="minorHAnsi"/>
          <w:lang w:val="en-US"/>
        </w:rPr>
        <w:t xml:space="preserve"> I</w:t>
      </w:r>
      <w:r w:rsidR="0058708C">
        <w:rPr>
          <w:rFonts w:cstheme="minorHAnsi"/>
          <w:lang w:val="en-US"/>
        </w:rPr>
        <w:t xml:space="preserve"> </w:t>
      </w:r>
      <w:r w:rsidR="001B6F6C">
        <w:rPr>
          <w:rFonts w:cstheme="minorHAnsi"/>
          <w:lang w:val="en-US"/>
        </w:rPr>
        <w:t>spoke to a stranger on L</w:t>
      </w:r>
      <w:r w:rsidR="0058708C">
        <w:rPr>
          <w:rFonts w:cstheme="minorHAnsi"/>
          <w:lang w:val="en-US"/>
        </w:rPr>
        <w:t xml:space="preserve">ifeline. </w:t>
      </w:r>
      <w:r w:rsidR="00A873C0">
        <w:rPr>
          <w:lang w:val="en-US"/>
        </w:rPr>
        <w:t>The extent of this health crisis is underestimate</w:t>
      </w:r>
      <w:r w:rsidR="00A63C1F">
        <w:rPr>
          <w:lang w:val="en-US"/>
        </w:rPr>
        <w:t xml:space="preserve">. Suicidal </w:t>
      </w:r>
      <w:r w:rsidR="00E518CB">
        <w:rPr>
          <w:lang w:val="en-US"/>
        </w:rPr>
        <w:t xml:space="preserve">dialogue needs to be opened periodically by care workers. </w:t>
      </w:r>
    </w:p>
    <w:p w14:paraId="680C00C3" w14:textId="77777777" w:rsidR="00532FD8" w:rsidRDefault="00532FD8" w:rsidP="00532FD8">
      <w:pPr>
        <w:pStyle w:val="ListParagraph"/>
        <w:jc w:val="both"/>
        <w:rPr>
          <w:lang w:val="en-US"/>
        </w:rPr>
      </w:pPr>
    </w:p>
    <w:p w14:paraId="487287AE" w14:textId="75C7B214" w:rsidR="00A63C1F" w:rsidRDefault="00A873C0" w:rsidP="00A63C1F">
      <w:pPr>
        <w:pStyle w:val="ListParagraph"/>
        <w:jc w:val="both"/>
        <w:rPr>
          <w:lang w:val="en-US"/>
        </w:rPr>
      </w:pPr>
      <w:r>
        <w:rPr>
          <w:lang w:val="en-US"/>
        </w:rPr>
        <w:t xml:space="preserve">The PC needs to identify </w:t>
      </w:r>
      <w:r w:rsidR="001C0B34">
        <w:rPr>
          <w:lang w:val="en-US"/>
        </w:rPr>
        <w:t xml:space="preserve">new </w:t>
      </w:r>
      <w:r>
        <w:rPr>
          <w:lang w:val="en-US"/>
        </w:rPr>
        <w:t xml:space="preserve">ways </w:t>
      </w:r>
      <w:r w:rsidR="00065093">
        <w:rPr>
          <w:lang w:val="en-US"/>
        </w:rPr>
        <w:t xml:space="preserve">to </w:t>
      </w:r>
      <w:r>
        <w:rPr>
          <w:lang w:val="en-US"/>
        </w:rPr>
        <w:t>provid</w:t>
      </w:r>
      <w:r w:rsidR="00065093">
        <w:rPr>
          <w:lang w:val="en-US"/>
        </w:rPr>
        <w:t>e</w:t>
      </w:r>
      <w:r>
        <w:rPr>
          <w:lang w:val="en-US"/>
        </w:rPr>
        <w:t xml:space="preserve"> monitoring safe care</w:t>
      </w:r>
      <w:r w:rsidR="00065093">
        <w:rPr>
          <w:lang w:val="en-US"/>
        </w:rPr>
        <w:t xml:space="preserve"> from treatment-emergent injuries</w:t>
      </w:r>
      <w:r w:rsidR="001C0B34">
        <w:rPr>
          <w:lang w:val="en-US"/>
        </w:rPr>
        <w:t>. Maybe a card that comes with new prescriptions that the user can document their own mood trends on, including SI. They can give it to their doctor when reviewed or need to review early if they meet certain criteria, including SI.</w:t>
      </w:r>
    </w:p>
    <w:p w14:paraId="6CF9CE32" w14:textId="65E89754" w:rsidR="00B725C9" w:rsidRDefault="00CE267E" w:rsidP="00A873C0">
      <w:pPr>
        <w:pStyle w:val="ListParagraph"/>
        <w:jc w:val="both"/>
        <w:rPr>
          <w:lang w:val="en-US"/>
        </w:rPr>
      </w:pPr>
      <w:r w:rsidRPr="00A63C1F">
        <w:rPr>
          <w:lang w:val="en-US"/>
        </w:rPr>
        <w:br/>
      </w:r>
      <w:r w:rsidR="006A68AF">
        <w:rPr>
          <w:b/>
          <w:bCs/>
          <w:sz w:val="28"/>
          <w:szCs w:val="28"/>
          <w:lang w:val="en-US"/>
        </w:rPr>
        <w:t xml:space="preserve">- </w:t>
      </w:r>
      <w:r w:rsidR="004B5424" w:rsidRPr="00A81703">
        <w:rPr>
          <w:b/>
          <w:bCs/>
          <w:sz w:val="28"/>
          <w:szCs w:val="28"/>
          <w:lang w:val="en-US"/>
        </w:rPr>
        <w:t>Adverse Drug Reaction Monitoring</w:t>
      </w:r>
      <w:r w:rsidR="004B5424" w:rsidRPr="00A81703">
        <w:rPr>
          <w:sz w:val="28"/>
          <w:szCs w:val="28"/>
          <w:lang w:val="en-US"/>
        </w:rPr>
        <w:t>.</w:t>
      </w:r>
      <w:r w:rsidR="004B5424" w:rsidRPr="006E4459">
        <w:rPr>
          <w:lang w:val="en-US"/>
        </w:rPr>
        <w:t xml:space="preserve"> </w:t>
      </w:r>
      <w:r w:rsidR="00B725C9">
        <w:rPr>
          <w:lang w:val="en-US"/>
        </w:rPr>
        <w:t xml:space="preserve">ADRs </w:t>
      </w:r>
      <w:r w:rsidR="00A873C0" w:rsidRPr="006E4459">
        <w:rPr>
          <w:lang w:val="en-US"/>
        </w:rPr>
        <w:t xml:space="preserve">can go unidentified </w:t>
      </w:r>
      <w:r w:rsidR="00AD6C6C">
        <w:rPr>
          <w:lang w:val="en-US"/>
        </w:rPr>
        <w:t xml:space="preserve">as </w:t>
      </w:r>
      <w:r w:rsidR="00A873C0" w:rsidRPr="006E4459">
        <w:rPr>
          <w:lang w:val="en-US"/>
        </w:rPr>
        <w:t>they</w:t>
      </w:r>
      <w:r w:rsidR="00F123A3">
        <w:rPr>
          <w:lang w:val="en-US"/>
        </w:rPr>
        <w:t xml:space="preserve"> </w:t>
      </w:r>
      <w:r w:rsidR="001C0B34">
        <w:rPr>
          <w:lang w:val="en-US"/>
        </w:rPr>
        <w:t xml:space="preserve">can </w:t>
      </w:r>
      <w:r w:rsidR="00A873C0" w:rsidRPr="006E4459">
        <w:rPr>
          <w:lang w:val="en-US"/>
        </w:rPr>
        <w:t>mimic mental health illness</w:t>
      </w:r>
      <w:r w:rsidR="00A873C0">
        <w:rPr>
          <w:lang w:val="en-US"/>
        </w:rPr>
        <w:t>es</w:t>
      </w:r>
      <w:r w:rsidR="00A873C0" w:rsidRPr="006E4459">
        <w:rPr>
          <w:lang w:val="en-US"/>
        </w:rPr>
        <w:t>.</w:t>
      </w:r>
      <w:r w:rsidR="00A873C0">
        <w:rPr>
          <w:lang w:val="en-US"/>
        </w:rPr>
        <w:t xml:space="preserve"> </w:t>
      </w:r>
      <w:r w:rsidR="00A873C0" w:rsidRPr="006E4459">
        <w:rPr>
          <w:lang w:val="en-US"/>
        </w:rPr>
        <w:t xml:space="preserve">The risks </w:t>
      </w:r>
      <w:r w:rsidR="00A873C0">
        <w:rPr>
          <w:lang w:val="en-US"/>
        </w:rPr>
        <w:t xml:space="preserve">of psychotropic medications are extensive. </w:t>
      </w:r>
      <w:r w:rsidR="00886E8A">
        <w:rPr>
          <w:lang w:val="en-US"/>
        </w:rPr>
        <w:t>Other s</w:t>
      </w:r>
      <w:r w:rsidR="00A873C0">
        <w:rPr>
          <w:lang w:val="en-US"/>
        </w:rPr>
        <w:t xml:space="preserve">ubmissions have discussed </w:t>
      </w:r>
      <w:r w:rsidR="00B725C9">
        <w:rPr>
          <w:lang w:val="en-US"/>
        </w:rPr>
        <w:t>these in detail. M</w:t>
      </w:r>
      <w:r w:rsidR="00A873C0">
        <w:rPr>
          <w:lang w:val="en-US"/>
        </w:rPr>
        <w:t>issed diagnosis</w:t>
      </w:r>
      <w:r w:rsidR="00B725C9">
        <w:rPr>
          <w:lang w:val="en-US"/>
        </w:rPr>
        <w:t xml:space="preserve">, or failure to manage </w:t>
      </w:r>
      <w:r w:rsidR="00A873C0">
        <w:rPr>
          <w:lang w:val="en-US"/>
        </w:rPr>
        <w:t>a drug reaction can lead to</w:t>
      </w:r>
      <w:r w:rsidR="00B725C9">
        <w:rPr>
          <w:lang w:val="en-US"/>
        </w:rPr>
        <w:t>:-</w:t>
      </w:r>
    </w:p>
    <w:p w14:paraId="071963BC" w14:textId="5D90F617" w:rsidR="00B725C9" w:rsidRDefault="00B725C9" w:rsidP="00B725C9">
      <w:pPr>
        <w:pStyle w:val="ListParagraph"/>
        <w:ind w:firstLine="720"/>
        <w:jc w:val="both"/>
        <w:rPr>
          <w:lang w:val="en-US"/>
        </w:rPr>
      </w:pPr>
      <w:r>
        <w:rPr>
          <w:lang w:val="en-US"/>
        </w:rPr>
        <w:t xml:space="preserve">- </w:t>
      </w:r>
      <w:r w:rsidR="00BB60E8">
        <w:rPr>
          <w:lang w:val="en-US"/>
        </w:rPr>
        <w:t>prolonged exposure to the</w:t>
      </w:r>
      <w:r w:rsidR="00EF2488">
        <w:rPr>
          <w:lang w:val="en-US"/>
        </w:rPr>
        <w:t xml:space="preserve"> causative medication</w:t>
      </w:r>
      <w:r w:rsidR="00F123A3">
        <w:rPr>
          <w:lang w:val="en-US"/>
        </w:rPr>
        <w:t>;</w:t>
      </w:r>
      <w:r w:rsidR="00BB60E8">
        <w:rPr>
          <w:lang w:val="en-US"/>
        </w:rPr>
        <w:t xml:space="preserve"> </w:t>
      </w:r>
    </w:p>
    <w:p w14:paraId="13299096" w14:textId="77777777" w:rsidR="00B725C9" w:rsidRDefault="00B725C9" w:rsidP="00B725C9">
      <w:pPr>
        <w:pStyle w:val="ListParagraph"/>
        <w:ind w:firstLine="720"/>
        <w:jc w:val="both"/>
        <w:rPr>
          <w:lang w:val="en-US"/>
        </w:rPr>
      </w:pPr>
      <w:r>
        <w:rPr>
          <w:lang w:val="en-US"/>
        </w:rPr>
        <w:lastRenderedPageBreak/>
        <w:t xml:space="preserve">- </w:t>
      </w:r>
      <w:r w:rsidR="00F123A3">
        <w:rPr>
          <w:lang w:val="en-US"/>
        </w:rPr>
        <w:t xml:space="preserve">unnecessary prescription of medications to </w:t>
      </w:r>
      <w:r>
        <w:rPr>
          <w:lang w:val="en-US"/>
        </w:rPr>
        <w:t>t</w:t>
      </w:r>
      <w:r w:rsidR="00F123A3">
        <w:rPr>
          <w:lang w:val="en-US"/>
        </w:rPr>
        <w:t>reat or mask the drug reaction</w:t>
      </w:r>
      <w:r>
        <w:rPr>
          <w:lang w:val="en-US"/>
        </w:rPr>
        <w:t>;</w:t>
      </w:r>
    </w:p>
    <w:p w14:paraId="26E5DC59" w14:textId="5B205C06" w:rsidR="00B725C9" w:rsidRDefault="00B725C9" w:rsidP="00B725C9">
      <w:pPr>
        <w:pStyle w:val="ListParagraph"/>
        <w:ind w:firstLine="720"/>
        <w:jc w:val="both"/>
        <w:rPr>
          <w:lang w:val="en-US"/>
        </w:rPr>
      </w:pPr>
      <w:r>
        <w:rPr>
          <w:lang w:val="en-US"/>
        </w:rPr>
        <w:t xml:space="preserve">- unnecessary interventions such as </w:t>
      </w:r>
      <w:r w:rsidR="00A873C0">
        <w:rPr>
          <w:lang w:val="en-US"/>
        </w:rPr>
        <w:t>ECT</w:t>
      </w:r>
      <w:r w:rsidR="00A63C1F">
        <w:rPr>
          <w:lang w:val="en-US"/>
        </w:rPr>
        <w:t xml:space="preserve"> and TMS</w:t>
      </w:r>
      <w:r>
        <w:rPr>
          <w:lang w:val="en-US"/>
        </w:rPr>
        <w:t>;</w:t>
      </w:r>
    </w:p>
    <w:p w14:paraId="6A7D658A" w14:textId="187ADC9A" w:rsidR="00B725C9" w:rsidRDefault="00B725C9" w:rsidP="00B725C9">
      <w:pPr>
        <w:pStyle w:val="ListParagraph"/>
        <w:ind w:firstLine="720"/>
        <w:jc w:val="both"/>
        <w:rPr>
          <w:lang w:val="en-US"/>
        </w:rPr>
      </w:pPr>
      <w:r>
        <w:rPr>
          <w:lang w:val="en-US"/>
        </w:rPr>
        <w:t>- unnecessary hospitalisations;</w:t>
      </w:r>
    </w:p>
    <w:p w14:paraId="09B283F3" w14:textId="2234265B" w:rsidR="00B725C9" w:rsidRDefault="00B725C9" w:rsidP="00B725C9">
      <w:pPr>
        <w:pStyle w:val="ListParagraph"/>
        <w:ind w:firstLine="720"/>
        <w:jc w:val="both"/>
        <w:rPr>
          <w:lang w:val="en-US"/>
        </w:rPr>
      </w:pPr>
      <w:r>
        <w:rPr>
          <w:lang w:val="en-US"/>
        </w:rPr>
        <w:t xml:space="preserve">- </w:t>
      </w:r>
      <w:r w:rsidR="00EF2488">
        <w:rPr>
          <w:lang w:val="en-US"/>
        </w:rPr>
        <w:t xml:space="preserve">trigger the </w:t>
      </w:r>
      <w:r>
        <w:rPr>
          <w:lang w:val="en-US"/>
        </w:rPr>
        <w:t>onset of other illnesses;</w:t>
      </w:r>
    </w:p>
    <w:p w14:paraId="3A97AD55" w14:textId="77777777" w:rsidR="00B725C9" w:rsidRDefault="00B725C9" w:rsidP="00B725C9">
      <w:pPr>
        <w:pStyle w:val="ListParagraph"/>
        <w:ind w:firstLine="720"/>
        <w:jc w:val="both"/>
        <w:rPr>
          <w:lang w:val="en-US"/>
        </w:rPr>
      </w:pPr>
      <w:r>
        <w:rPr>
          <w:lang w:val="en-US"/>
        </w:rPr>
        <w:t>- functional and social impacts;</w:t>
      </w:r>
    </w:p>
    <w:p w14:paraId="7DF6054F" w14:textId="08357EAA" w:rsidR="00734066" w:rsidRDefault="00B725C9" w:rsidP="00B725C9">
      <w:pPr>
        <w:pStyle w:val="ListParagraph"/>
        <w:ind w:firstLine="720"/>
        <w:jc w:val="both"/>
        <w:rPr>
          <w:lang w:val="en-US"/>
        </w:rPr>
      </w:pPr>
      <w:r>
        <w:rPr>
          <w:lang w:val="en-US"/>
        </w:rPr>
        <w:t xml:space="preserve">- and death. </w:t>
      </w:r>
      <w:r w:rsidR="00BB60E8">
        <w:rPr>
          <w:lang w:val="en-US"/>
        </w:rPr>
        <w:t xml:space="preserve"> </w:t>
      </w:r>
    </w:p>
    <w:p w14:paraId="74D6900C" w14:textId="66610B1A" w:rsidR="00BB60E8" w:rsidRPr="006C0AAC" w:rsidRDefault="00BB60E8" w:rsidP="00A873C0">
      <w:pPr>
        <w:pStyle w:val="ListParagraph"/>
        <w:jc w:val="both"/>
        <w:rPr>
          <w:sz w:val="12"/>
          <w:szCs w:val="12"/>
          <w:lang w:val="en-US"/>
        </w:rPr>
      </w:pPr>
    </w:p>
    <w:p w14:paraId="0FA7EB19" w14:textId="5DD1F5F8" w:rsidR="00203D80" w:rsidRDefault="00BB60E8" w:rsidP="00A873C0">
      <w:pPr>
        <w:pStyle w:val="ListParagraph"/>
        <w:jc w:val="both"/>
        <w:rPr>
          <w:lang w:val="en-US"/>
        </w:rPr>
      </w:pPr>
      <w:r>
        <w:rPr>
          <w:lang w:val="en-US"/>
        </w:rPr>
        <w:t xml:space="preserve">If an ADR caused nephrotoxicity, or hepatotoxicity then it would be </w:t>
      </w:r>
      <w:r w:rsidR="00645712">
        <w:rPr>
          <w:lang w:val="en-US"/>
        </w:rPr>
        <w:t>identified,</w:t>
      </w:r>
      <w:r>
        <w:rPr>
          <w:lang w:val="en-US"/>
        </w:rPr>
        <w:t xml:space="preserve"> and the causative agent would be reduced or ceased</w:t>
      </w:r>
      <w:r w:rsidR="00645712">
        <w:rPr>
          <w:lang w:val="en-US"/>
        </w:rPr>
        <w:t xml:space="preserve">. This </w:t>
      </w:r>
      <w:r w:rsidR="00F123A3">
        <w:rPr>
          <w:lang w:val="en-US"/>
        </w:rPr>
        <w:t xml:space="preserve">routine </w:t>
      </w:r>
      <w:r w:rsidR="00645712">
        <w:rPr>
          <w:lang w:val="en-US"/>
        </w:rPr>
        <w:t xml:space="preserve">monitoring and intervention </w:t>
      </w:r>
      <w:r w:rsidR="00912301">
        <w:rPr>
          <w:lang w:val="en-US"/>
        </w:rPr>
        <w:t>prevent</w:t>
      </w:r>
      <w:r w:rsidR="00645712">
        <w:rPr>
          <w:lang w:val="en-US"/>
        </w:rPr>
        <w:t xml:space="preserve"> injur</w:t>
      </w:r>
      <w:r w:rsidR="00912301">
        <w:rPr>
          <w:lang w:val="en-US"/>
        </w:rPr>
        <w:t>ies</w:t>
      </w:r>
      <w:r w:rsidR="00645712">
        <w:rPr>
          <w:lang w:val="en-US"/>
        </w:rPr>
        <w:t xml:space="preserve"> and saves lives</w:t>
      </w:r>
      <w:r>
        <w:rPr>
          <w:lang w:val="en-US"/>
        </w:rPr>
        <w:t xml:space="preserve">. </w:t>
      </w:r>
      <w:r w:rsidR="00F123A3">
        <w:rPr>
          <w:lang w:val="en-US"/>
        </w:rPr>
        <w:t>C</w:t>
      </w:r>
      <w:r>
        <w:rPr>
          <w:lang w:val="en-US"/>
        </w:rPr>
        <w:t xml:space="preserve">linical pathways </w:t>
      </w:r>
      <w:r w:rsidR="00F123A3">
        <w:rPr>
          <w:lang w:val="en-US"/>
        </w:rPr>
        <w:t xml:space="preserve">to identify and prevent </w:t>
      </w:r>
      <w:r w:rsidR="00645712">
        <w:rPr>
          <w:lang w:val="en-US"/>
        </w:rPr>
        <w:t xml:space="preserve">neurotoxicity </w:t>
      </w:r>
      <w:r w:rsidR="004955C9">
        <w:rPr>
          <w:lang w:val="en-US"/>
        </w:rPr>
        <w:t xml:space="preserve">is not as clear cut. </w:t>
      </w:r>
    </w:p>
    <w:p w14:paraId="77F9BCA8" w14:textId="77777777" w:rsidR="00203D80" w:rsidRDefault="00203D80" w:rsidP="00A873C0">
      <w:pPr>
        <w:pStyle w:val="ListParagraph"/>
        <w:jc w:val="both"/>
        <w:rPr>
          <w:lang w:val="en-US"/>
        </w:rPr>
      </w:pPr>
    </w:p>
    <w:p w14:paraId="634B0DA5" w14:textId="4CDBA7C0" w:rsidR="00734066" w:rsidRDefault="00A63C1F" w:rsidP="00203D80">
      <w:pPr>
        <w:pStyle w:val="ListParagraph"/>
        <w:jc w:val="both"/>
        <w:rPr>
          <w:lang w:val="en-US"/>
        </w:rPr>
      </w:pPr>
      <w:r>
        <w:rPr>
          <w:lang w:val="en-US"/>
        </w:rPr>
        <w:t>To date t</w:t>
      </w:r>
      <w:r w:rsidR="00645712">
        <w:rPr>
          <w:lang w:val="en-US"/>
        </w:rPr>
        <w:t xml:space="preserve">he PC has </w:t>
      </w:r>
      <w:r w:rsidR="00203D80">
        <w:rPr>
          <w:lang w:val="en-US"/>
        </w:rPr>
        <w:t xml:space="preserve">failed to adequately </w:t>
      </w:r>
      <w:r w:rsidR="00645712">
        <w:rPr>
          <w:lang w:val="en-US"/>
        </w:rPr>
        <w:t>addres</w:t>
      </w:r>
      <w:r w:rsidR="00AD6C6C">
        <w:rPr>
          <w:lang w:val="en-US"/>
        </w:rPr>
        <w:t>s</w:t>
      </w:r>
      <w:r w:rsidR="00645712">
        <w:rPr>
          <w:lang w:val="en-US"/>
        </w:rPr>
        <w:t xml:space="preserve"> </w:t>
      </w:r>
      <w:r w:rsidR="00AD6C6C">
        <w:rPr>
          <w:lang w:val="en-US"/>
        </w:rPr>
        <w:t xml:space="preserve">a </w:t>
      </w:r>
      <w:r w:rsidR="00645712">
        <w:rPr>
          <w:lang w:val="en-US"/>
        </w:rPr>
        <w:t>system</w:t>
      </w:r>
      <w:r w:rsidR="00B725C9">
        <w:rPr>
          <w:lang w:val="en-US"/>
        </w:rPr>
        <w:t xml:space="preserve"> </w:t>
      </w:r>
      <w:r w:rsidR="00203D80">
        <w:rPr>
          <w:lang w:val="en-US"/>
        </w:rPr>
        <w:t xml:space="preserve">that is adding to </w:t>
      </w:r>
      <w:r w:rsidR="00F123A3">
        <w:rPr>
          <w:lang w:val="en-US"/>
        </w:rPr>
        <w:t>morbidity and mortality of</w:t>
      </w:r>
      <w:r w:rsidR="00203D80">
        <w:rPr>
          <w:lang w:val="en-US"/>
        </w:rPr>
        <w:t xml:space="preserve"> some MH consumers</w:t>
      </w:r>
      <w:r w:rsidR="00912301">
        <w:rPr>
          <w:lang w:val="en-US"/>
        </w:rPr>
        <w:t xml:space="preserve"> from their medications</w:t>
      </w:r>
      <w:r w:rsidR="00B725C9">
        <w:rPr>
          <w:lang w:val="en-US"/>
        </w:rPr>
        <w:t xml:space="preserve">. </w:t>
      </w:r>
      <w:r w:rsidR="00203D80">
        <w:rPr>
          <w:lang w:val="en-US"/>
        </w:rPr>
        <w:t xml:space="preserve">This cannot improve if </w:t>
      </w:r>
      <w:r w:rsidR="00F123A3">
        <w:rPr>
          <w:lang w:val="en-US"/>
        </w:rPr>
        <w:t>Government agencies</w:t>
      </w:r>
      <w:r w:rsidR="00203D80">
        <w:rPr>
          <w:lang w:val="en-US"/>
        </w:rPr>
        <w:t xml:space="preserve"> such as t</w:t>
      </w:r>
      <w:r w:rsidR="00203D80" w:rsidRPr="00996804">
        <w:rPr>
          <w:lang w:val="en-US"/>
        </w:rPr>
        <w:t>he</w:t>
      </w:r>
      <w:r w:rsidR="00203D80">
        <w:rPr>
          <w:lang w:val="en-US"/>
        </w:rPr>
        <w:t xml:space="preserve"> Coroner, TGA and AHPRA fail to gather meaningful data to change outcomes. R</w:t>
      </w:r>
      <w:r w:rsidR="00A2610D">
        <w:rPr>
          <w:lang w:val="en-US"/>
        </w:rPr>
        <w:t>ating scales,</w:t>
      </w:r>
      <w:r w:rsidR="00F123A3">
        <w:rPr>
          <w:lang w:val="en-US"/>
        </w:rPr>
        <w:t xml:space="preserve"> targets, RCA are a starting point</w:t>
      </w:r>
      <w:r w:rsidR="00EF2488">
        <w:rPr>
          <w:lang w:val="en-US"/>
        </w:rPr>
        <w:t xml:space="preserve"> to improve outcomes and accountability</w:t>
      </w:r>
      <w:r w:rsidR="00F123A3">
        <w:rPr>
          <w:lang w:val="en-US"/>
        </w:rPr>
        <w:t xml:space="preserve">. </w:t>
      </w:r>
      <w:r w:rsidR="00491193">
        <w:rPr>
          <w:lang w:val="en-US"/>
        </w:rPr>
        <w:t>However, i</w:t>
      </w:r>
      <w:r w:rsidR="00A2610D">
        <w:rPr>
          <w:lang w:val="en-US"/>
        </w:rPr>
        <w:t xml:space="preserve">f </w:t>
      </w:r>
      <w:r w:rsidR="00203D80">
        <w:rPr>
          <w:lang w:val="en-US"/>
        </w:rPr>
        <w:t>there is an ongoing failure to</w:t>
      </w:r>
      <w:r w:rsidR="00912301">
        <w:rPr>
          <w:lang w:val="en-US"/>
        </w:rPr>
        <w:t xml:space="preserve"> collect </w:t>
      </w:r>
      <w:r w:rsidR="006816E1">
        <w:rPr>
          <w:lang w:val="en-US"/>
        </w:rPr>
        <w:t xml:space="preserve">meaningful </w:t>
      </w:r>
      <w:r w:rsidR="00912301">
        <w:rPr>
          <w:lang w:val="en-US"/>
        </w:rPr>
        <w:t>data on ADRs</w:t>
      </w:r>
      <w:r w:rsidR="00203D80">
        <w:rPr>
          <w:lang w:val="en-US"/>
        </w:rPr>
        <w:t>, then</w:t>
      </w:r>
      <w:r w:rsidR="00A2610D">
        <w:rPr>
          <w:lang w:val="en-US"/>
        </w:rPr>
        <w:t xml:space="preserve"> we </w:t>
      </w:r>
      <w:r w:rsidR="00F123A3">
        <w:rPr>
          <w:lang w:val="en-US"/>
        </w:rPr>
        <w:t xml:space="preserve">will continue not to </w:t>
      </w:r>
      <w:r w:rsidR="00A2610D">
        <w:rPr>
          <w:lang w:val="en-US"/>
        </w:rPr>
        <w:t>count.</w:t>
      </w:r>
    </w:p>
    <w:p w14:paraId="2DF6ACD5" w14:textId="77777777" w:rsidR="00203D80" w:rsidRPr="006C0AAC" w:rsidRDefault="00203D80" w:rsidP="00203D80">
      <w:pPr>
        <w:pStyle w:val="ListParagraph"/>
        <w:jc w:val="both"/>
        <w:rPr>
          <w:sz w:val="12"/>
          <w:szCs w:val="12"/>
          <w:lang w:val="en-US"/>
        </w:rPr>
      </w:pPr>
    </w:p>
    <w:p w14:paraId="078AB929" w14:textId="68CE1DB1" w:rsidR="00EF2488" w:rsidRPr="00EF2488" w:rsidRDefault="00D829C8" w:rsidP="00D829C8">
      <w:pPr>
        <w:pStyle w:val="ListParagraph"/>
        <w:jc w:val="both"/>
        <w:rPr>
          <w:lang w:val="en-US"/>
        </w:rPr>
      </w:pPr>
      <w:r>
        <w:rPr>
          <w:b/>
          <w:bCs/>
          <w:sz w:val="28"/>
          <w:szCs w:val="28"/>
          <w:lang w:val="en-US"/>
        </w:rPr>
        <w:t xml:space="preserve">- </w:t>
      </w:r>
      <w:r w:rsidR="00734066" w:rsidRPr="00A873C0">
        <w:rPr>
          <w:b/>
          <w:bCs/>
          <w:sz w:val="28"/>
          <w:szCs w:val="28"/>
          <w:lang w:val="en-US"/>
        </w:rPr>
        <w:t>R</w:t>
      </w:r>
      <w:r w:rsidR="001756EF">
        <w:rPr>
          <w:b/>
          <w:bCs/>
          <w:sz w:val="28"/>
          <w:szCs w:val="28"/>
          <w:lang w:val="en-US"/>
        </w:rPr>
        <w:t>oot</w:t>
      </w:r>
      <w:r w:rsidR="00734066" w:rsidRPr="00A873C0">
        <w:rPr>
          <w:b/>
          <w:bCs/>
          <w:sz w:val="28"/>
          <w:szCs w:val="28"/>
          <w:lang w:val="en-US"/>
        </w:rPr>
        <w:t xml:space="preserve"> Cause Analysis</w:t>
      </w:r>
      <w:r w:rsidR="00734066" w:rsidRPr="00A873C0">
        <w:rPr>
          <w:lang w:val="en-US"/>
        </w:rPr>
        <w:t xml:space="preserve">. </w:t>
      </w:r>
      <w:r w:rsidR="00EF2488">
        <w:rPr>
          <w:lang w:val="en-US"/>
        </w:rPr>
        <w:t>T</w:t>
      </w:r>
      <w:r w:rsidR="009D414A">
        <w:rPr>
          <w:lang w:val="en-US"/>
        </w:rPr>
        <w:t xml:space="preserve">he </w:t>
      </w:r>
      <w:r w:rsidR="00A873C0" w:rsidRPr="009D414A">
        <w:rPr>
          <w:lang w:val="en-US"/>
        </w:rPr>
        <w:t xml:space="preserve">PC </w:t>
      </w:r>
      <w:r w:rsidR="00DE3DDC">
        <w:rPr>
          <w:lang w:val="en-US"/>
        </w:rPr>
        <w:t xml:space="preserve">should </w:t>
      </w:r>
      <w:r w:rsidR="00993A59">
        <w:rPr>
          <w:lang w:val="en-US"/>
        </w:rPr>
        <w:t xml:space="preserve">recommend </w:t>
      </w:r>
      <w:r w:rsidR="00A873C0" w:rsidRPr="009D414A">
        <w:rPr>
          <w:lang w:val="en-US"/>
        </w:rPr>
        <w:t>RCA for bipolar patients</w:t>
      </w:r>
      <w:r w:rsidR="00491193">
        <w:rPr>
          <w:lang w:val="en-US"/>
        </w:rPr>
        <w:t>. I again select this group due to evidence of cause and effect</w:t>
      </w:r>
      <w:r w:rsidR="006862B1">
        <w:rPr>
          <w:lang w:val="en-US"/>
        </w:rPr>
        <w:t xml:space="preserve">. Those with BPAD on antidepressants who attempt suicide as ‘near misses’; completed suicides as </w:t>
      </w:r>
      <w:r w:rsidR="006862B1" w:rsidRPr="006862B1">
        <w:t>‘Sentinel Events’.</w:t>
      </w:r>
    </w:p>
    <w:p w14:paraId="3E82AA57" w14:textId="1060792E" w:rsidR="006862B1" w:rsidRDefault="006862B1" w:rsidP="00EF2488">
      <w:pPr>
        <w:pStyle w:val="ListParagraph"/>
        <w:jc w:val="both"/>
        <w:rPr>
          <w:lang w:val="en-US"/>
        </w:rPr>
      </w:pPr>
      <w:r>
        <w:br/>
      </w:r>
      <w:r w:rsidR="00A873C0" w:rsidRPr="009D414A">
        <w:rPr>
          <w:lang w:val="en-US"/>
        </w:rPr>
        <w:t>This is the only way that the Government can start collecting data and change outcomes</w:t>
      </w:r>
      <w:r w:rsidR="00491193">
        <w:rPr>
          <w:lang w:val="en-US"/>
        </w:rPr>
        <w:t xml:space="preserve">. Up to </w:t>
      </w:r>
      <w:r>
        <w:rPr>
          <w:lang w:val="en-US"/>
        </w:rPr>
        <w:t xml:space="preserve">14% of </w:t>
      </w:r>
      <w:r w:rsidR="00491193">
        <w:rPr>
          <w:lang w:val="en-US"/>
        </w:rPr>
        <w:t>people living with BPAD</w:t>
      </w:r>
      <w:r>
        <w:rPr>
          <w:lang w:val="en-US"/>
        </w:rPr>
        <w:t xml:space="preserve"> will</w:t>
      </w:r>
      <w:r w:rsidR="00EF2488">
        <w:rPr>
          <w:lang w:val="en-US"/>
        </w:rPr>
        <w:t xml:space="preserve"> complete</w:t>
      </w:r>
      <w:r>
        <w:rPr>
          <w:lang w:val="en-US"/>
        </w:rPr>
        <w:t xml:space="preserve"> suicide in </w:t>
      </w:r>
      <w:r w:rsidR="00FC466F">
        <w:rPr>
          <w:lang w:val="en-US"/>
        </w:rPr>
        <w:t>their</w:t>
      </w:r>
      <w:r>
        <w:rPr>
          <w:lang w:val="en-US"/>
        </w:rPr>
        <w:t xml:space="preserve"> lifetime</w:t>
      </w:r>
      <w:r w:rsidR="00FC466F">
        <w:rPr>
          <w:lang w:val="en-US"/>
        </w:rPr>
        <w:t>;</w:t>
      </w:r>
      <w:r>
        <w:rPr>
          <w:lang w:val="en-US"/>
        </w:rPr>
        <w:t xml:space="preserve"> a further 26% will attempt suicide</w:t>
      </w:r>
      <w:r w:rsidR="00FC466F">
        <w:rPr>
          <w:lang w:val="en-US"/>
        </w:rPr>
        <w:t>;</w:t>
      </w:r>
      <w:r>
        <w:rPr>
          <w:lang w:val="en-US"/>
        </w:rPr>
        <w:t xml:space="preserve"> and near</w:t>
      </w:r>
      <w:r w:rsidR="00FC466F">
        <w:rPr>
          <w:lang w:val="en-US"/>
        </w:rPr>
        <w:t xml:space="preserve">ly </w:t>
      </w:r>
      <w:r>
        <w:rPr>
          <w:lang w:val="en-US"/>
        </w:rPr>
        <w:t xml:space="preserve">all </w:t>
      </w:r>
      <w:r w:rsidR="00FC466F">
        <w:rPr>
          <w:lang w:val="en-US"/>
        </w:rPr>
        <w:t xml:space="preserve">will need to </w:t>
      </w:r>
      <w:r>
        <w:rPr>
          <w:lang w:val="en-US"/>
        </w:rPr>
        <w:t>find resilience to suicidal ideations</w:t>
      </w:r>
      <w:r w:rsidR="00A873C0" w:rsidRPr="009D414A">
        <w:rPr>
          <w:lang w:val="en-US"/>
        </w:rPr>
        <w:t>.</w:t>
      </w:r>
      <w:r w:rsidR="00FC466F">
        <w:rPr>
          <w:lang w:val="en-US"/>
        </w:rPr>
        <w:t xml:space="preserve"> Over</w:t>
      </w:r>
      <w:r>
        <w:rPr>
          <w:lang w:val="en-US"/>
        </w:rPr>
        <w:t xml:space="preserve"> </w:t>
      </w:r>
      <w:r w:rsidR="00491193">
        <w:rPr>
          <w:lang w:val="en-US"/>
        </w:rPr>
        <w:t xml:space="preserve">352,000 Australians with active bipolar disorder </w:t>
      </w:r>
      <w:r>
        <w:rPr>
          <w:lang w:val="en-US"/>
        </w:rPr>
        <w:t>need to know if th</w:t>
      </w:r>
      <w:r w:rsidR="00491193">
        <w:rPr>
          <w:lang w:val="en-US"/>
        </w:rPr>
        <w:t>ese</w:t>
      </w:r>
      <w:r>
        <w:rPr>
          <w:lang w:val="en-US"/>
        </w:rPr>
        <w:t xml:space="preserve"> </w:t>
      </w:r>
      <w:r w:rsidR="00491193">
        <w:rPr>
          <w:lang w:val="en-US"/>
        </w:rPr>
        <w:t xml:space="preserve">outcomes </w:t>
      </w:r>
      <w:r>
        <w:rPr>
          <w:lang w:val="en-US"/>
        </w:rPr>
        <w:t>could be prevented</w:t>
      </w:r>
      <w:r w:rsidR="00491193">
        <w:rPr>
          <w:lang w:val="en-US"/>
        </w:rPr>
        <w:t xml:space="preserve"> by better management</w:t>
      </w:r>
      <w:r>
        <w:rPr>
          <w:lang w:val="en-US"/>
        </w:rPr>
        <w:t>.</w:t>
      </w:r>
    </w:p>
    <w:p w14:paraId="196A2F2B" w14:textId="5D4A4D6D" w:rsidR="00996804" w:rsidRPr="0054411B" w:rsidRDefault="00D829C8" w:rsidP="006862B1">
      <w:pPr>
        <w:tabs>
          <w:tab w:val="num" w:pos="720"/>
        </w:tabs>
        <w:ind w:left="720"/>
        <w:jc w:val="both"/>
        <w:rPr>
          <w:lang w:val="en-US"/>
        </w:rPr>
      </w:pPr>
      <w:r>
        <w:rPr>
          <w:b/>
          <w:bCs/>
          <w:sz w:val="28"/>
          <w:szCs w:val="28"/>
          <w:lang w:val="en-US"/>
        </w:rPr>
        <w:t xml:space="preserve">- </w:t>
      </w:r>
      <w:r w:rsidR="00B74D6F" w:rsidRPr="00E55646">
        <w:rPr>
          <w:b/>
          <w:bCs/>
          <w:sz w:val="28"/>
          <w:szCs w:val="28"/>
          <w:lang w:val="en-US"/>
        </w:rPr>
        <w:t>Evidence</w:t>
      </w:r>
      <w:r w:rsidR="00491193">
        <w:rPr>
          <w:b/>
          <w:bCs/>
          <w:lang w:val="en-US"/>
        </w:rPr>
        <w:t xml:space="preserve">. </w:t>
      </w:r>
      <w:r w:rsidR="00A873C0" w:rsidRPr="00996804">
        <w:rPr>
          <w:lang w:val="en-US"/>
        </w:rPr>
        <w:t xml:space="preserve">I am led to believe that catastrophic </w:t>
      </w:r>
      <w:r w:rsidR="00047787" w:rsidRPr="00996804">
        <w:rPr>
          <w:lang w:val="en-US"/>
        </w:rPr>
        <w:t xml:space="preserve">outcomes </w:t>
      </w:r>
      <w:r w:rsidR="00405D76">
        <w:rPr>
          <w:lang w:val="en-US"/>
        </w:rPr>
        <w:t xml:space="preserve">occurring </w:t>
      </w:r>
      <w:r w:rsidR="00A873C0" w:rsidRPr="00996804">
        <w:rPr>
          <w:lang w:val="en-US"/>
        </w:rPr>
        <w:t>within our health system cannot be addressed because of the lack of evidence</w:t>
      </w:r>
      <w:r w:rsidR="00FC466F">
        <w:rPr>
          <w:lang w:val="en-US"/>
        </w:rPr>
        <w:t xml:space="preserve"> available in mental health</w:t>
      </w:r>
      <w:r w:rsidR="00A873C0" w:rsidRPr="00996804">
        <w:rPr>
          <w:lang w:val="en-US"/>
        </w:rPr>
        <w:t xml:space="preserve">. </w:t>
      </w:r>
      <w:r w:rsidR="00047787" w:rsidRPr="00996804">
        <w:rPr>
          <w:lang w:val="en-US"/>
        </w:rPr>
        <w:t>I would challenge that the issue is not the lac</w:t>
      </w:r>
      <w:r w:rsidR="00C1145A" w:rsidRPr="00996804">
        <w:rPr>
          <w:lang w:val="en-US"/>
        </w:rPr>
        <w:t xml:space="preserve">k of evidence, but rather the failure of the </w:t>
      </w:r>
      <w:r w:rsidR="00A873C0" w:rsidRPr="00996804">
        <w:rPr>
          <w:lang w:val="en-US"/>
        </w:rPr>
        <w:t xml:space="preserve">Government </w:t>
      </w:r>
      <w:r w:rsidR="00C1145A" w:rsidRPr="00996804">
        <w:rPr>
          <w:lang w:val="en-US"/>
        </w:rPr>
        <w:t xml:space="preserve">to collect </w:t>
      </w:r>
      <w:r w:rsidR="00A873C0" w:rsidRPr="00996804">
        <w:rPr>
          <w:lang w:val="en-US"/>
        </w:rPr>
        <w:t>th</w:t>
      </w:r>
      <w:r w:rsidR="00D90046">
        <w:rPr>
          <w:lang w:val="en-US"/>
        </w:rPr>
        <w:t xml:space="preserve">is and </w:t>
      </w:r>
      <w:r w:rsidR="00A873C0" w:rsidRPr="00996804">
        <w:rPr>
          <w:lang w:val="en-US"/>
        </w:rPr>
        <w:t>protect consumers</w:t>
      </w:r>
      <w:r w:rsidR="00C1145A" w:rsidRPr="00996804">
        <w:rPr>
          <w:lang w:val="en-US"/>
        </w:rPr>
        <w:t xml:space="preserve">. </w:t>
      </w:r>
      <w:r w:rsidR="00047787" w:rsidRPr="00996804">
        <w:rPr>
          <w:lang w:val="en-US"/>
        </w:rPr>
        <w:t>The</w:t>
      </w:r>
      <w:r w:rsidR="00405D76">
        <w:rPr>
          <w:lang w:val="en-US"/>
        </w:rPr>
        <w:t xml:space="preserve"> </w:t>
      </w:r>
      <w:r w:rsidR="00D90046">
        <w:rPr>
          <w:lang w:val="en-US"/>
        </w:rPr>
        <w:t>C</w:t>
      </w:r>
      <w:r w:rsidR="0007469F">
        <w:rPr>
          <w:lang w:val="en-US"/>
        </w:rPr>
        <w:t>oroner</w:t>
      </w:r>
      <w:r w:rsidR="00D90046">
        <w:rPr>
          <w:lang w:val="en-US"/>
        </w:rPr>
        <w:t>, TGA</w:t>
      </w:r>
      <w:r w:rsidR="0007469F">
        <w:rPr>
          <w:lang w:val="en-US"/>
        </w:rPr>
        <w:t xml:space="preserve"> and </w:t>
      </w:r>
      <w:r w:rsidR="00405D76">
        <w:rPr>
          <w:lang w:val="en-US"/>
        </w:rPr>
        <w:t>AHPRA</w:t>
      </w:r>
      <w:r w:rsidR="0007469F">
        <w:rPr>
          <w:lang w:val="en-US"/>
        </w:rPr>
        <w:t xml:space="preserve"> have been unable to collect meaningful statistics of injury or deaths t</w:t>
      </w:r>
      <w:r w:rsidR="00D90046">
        <w:rPr>
          <w:lang w:val="en-US"/>
        </w:rPr>
        <w:t>o identify the extent of prescribing</w:t>
      </w:r>
      <w:r w:rsidR="00B32B6E">
        <w:rPr>
          <w:lang w:val="en-US"/>
        </w:rPr>
        <w:t xml:space="preserve"> when it is </w:t>
      </w:r>
      <w:r w:rsidR="00D90046">
        <w:rPr>
          <w:lang w:val="en-US"/>
        </w:rPr>
        <w:t>not clinically</w:t>
      </w:r>
      <w:r w:rsidR="00B32B6E">
        <w:rPr>
          <w:lang w:val="en-US"/>
        </w:rPr>
        <w:t xml:space="preserve"> indicated or </w:t>
      </w:r>
      <w:r w:rsidR="00FC466F">
        <w:rPr>
          <w:lang w:val="en-US"/>
        </w:rPr>
        <w:t xml:space="preserve">when it </w:t>
      </w:r>
      <w:r w:rsidR="00B32B6E">
        <w:rPr>
          <w:lang w:val="en-US"/>
        </w:rPr>
        <w:t xml:space="preserve">leads to </w:t>
      </w:r>
      <w:r w:rsidR="00D90046">
        <w:rPr>
          <w:lang w:val="en-US"/>
        </w:rPr>
        <w:t xml:space="preserve">detrimental outcomes. </w:t>
      </w:r>
      <w:r w:rsidR="0007469F">
        <w:rPr>
          <w:lang w:val="en-US"/>
        </w:rPr>
        <w:t xml:space="preserve"> </w:t>
      </w:r>
      <w:r w:rsidR="00405D76" w:rsidRPr="0054411B">
        <w:rPr>
          <w:lang w:val="en-US"/>
        </w:rPr>
        <w:t xml:space="preserve"> </w:t>
      </w:r>
      <w:r w:rsidR="00047787" w:rsidRPr="0054411B">
        <w:rPr>
          <w:lang w:val="en-US"/>
        </w:rPr>
        <w:t xml:space="preserve"> </w:t>
      </w:r>
    </w:p>
    <w:p w14:paraId="1200BD41" w14:textId="203962E2" w:rsidR="00D327BC" w:rsidRPr="00D829C8" w:rsidRDefault="004955C9" w:rsidP="00D829C8">
      <w:pPr>
        <w:pStyle w:val="ListParagraph"/>
        <w:jc w:val="both"/>
        <w:rPr>
          <w:lang w:val="en-US"/>
        </w:rPr>
      </w:pPr>
      <w:r>
        <w:rPr>
          <w:lang w:val="en-US"/>
        </w:rPr>
        <w:t>I</w:t>
      </w:r>
      <w:r w:rsidR="00AC7CF4">
        <w:rPr>
          <w:lang w:val="en-US"/>
        </w:rPr>
        <w:t>n my submission I detailed how antidepressants ha</w:t>
      </w:r>
      <w:r w:rsidR="00FC466F">
        <w:rPr>
          <w:lang w:val="en-US"/>
        </w:rPr>
        <w:t>d</w:t>
      </w:r>
      <w:r w:rsidR="00AC7CF4">
        <w:rPr>
          <w:lang w:val="en-US"/>
        </w:rPr>
        <w:t xml:space="preserve"> a risk of causing mood instability in </w:t>
      </w:r>
      <w:r>
        <w:rPr>
          <w:lang w:val="en-US"/>
        </w:rPr>
        <w:t xml:space="preserve">bipolar disorder with a history of mania, mixed features, rapid cycling or </w:t>
      </w:r>
      <w:r w:rsidR="001E577E">
        <w:rPr>
          <w:lang w:val="en-US"/>
        </w:rPr>
        <w:t>a history</w:t>
      </w:r>
      <w:r>
        <w:rPr>
          <w:lang w:val="en-US"/>
        </w:rPr>
        <w:t xml:space="preserve"> of</w:t>
      </w:r>
      <w:r w:rsidR="001E577E">
        <w:rPr>
          <w:lang w:val="en-US"/>
        </w:rPr>
        <w:t xml:space="preserve"> a drug reaction known as ‘Treatment</w:t>
      </w:r>
      <w:r>
        <w:rPr>
          <w:lang w:val="en-US"/>
        </w:rPr>
        <w:t xml:space="preserve"> Emergent Affect Switch</w:t>
      </w:r>
      <w:r w:rsidR="001E577E">
        <w:rPr>
          <w:lang w:val="en-US"/>
        </w:rPr>
        <w:t>’</w:t>
      </w:r>
      <w:r>
        <w:rPr>
          <w:lang w:val="en-US"/>
        </w:rPr>
        <w:t xml:space="preserve"> (TEAS)</w:t>
      </w:r>
      <w:r w:rsidR="002476EE">
        <w:rPr>
          <w:lang w:val="en-US"/>
        </w:rPr>
        <w:t>.</w:t>
      </w:r>
      <w:r w:rsidR="001E577E">
        <w:rPr>
          <w:lang w:val="en-US"/>
        </w:rPr>
        <w:t xml:space="preserve"> TEAS is where a substance or medication causes a </w:t>
      </w:r>
      <w:r w:rsidR="002476EE">
        <w:rPr>
          <w:lang w:val="en-US"/>
        </w:rPr>
        <w:t>mood switch</w:t>
      </w:r>
      <w:r w:rsidR="001E577E">
        <w:rPr>
          <w:lang w:val="en-US"/>
        </w:rPr>
        <w:t>,</w:t>
      </w:r>
      <w:r w:rsidR="002476EE">
        <w:rPr>
          <w:lang w:val="en-US"/>
        </w:rPr>
        <w:t xml:space="preserve"> usually </w:t>
      </w:r>
      <w:r w:rsidR="002476EE" w:rsidRPr="002476EE">
        <w:rPr>
          <w:lang w:val="en-US"/>
        </w:rPr>
        <w:t xml:space="preserve">to hypomania, mania, rapid cycling and mixed </w:t>
      </w:r>
      <w:r w:rsidR="00AC7CF4">
        <w:rPr>
          <w:lang w:val="en-US"/>
        </w:rPr>
        <w:t>features</w:t>
      </w:r>
      <w:r w:rsidR="00DE3DDC">
        <w:rPr>
          <w:lang w:val="en-US"/>
        </w:rPr>
        <w:t xml:space="preserve">. However, when the switch is missed, consumers are led to believe the ADRs and associated disabilities are chronic symptoms of their illness. </w:t>
      </w:r>
      <w:r w:rsidR="002476EE">
        <w:rPr>
          <w:lang w:val="en-US"/>
        </w:rPr>
        <w:t xml:space="preserve"> Antidepressants can also induce bipolar disorder and cause </w:t>
      </w:r>
      <w:r w:rsidR="00FC466F">
        <w:rPr>
          <w:lang w:val="en-US"/>
        </w:rPr>
        <w:t xml:space="preserve">treatment-emergent </w:t>
      </w:r>
      <w:r w:rsidR="002476EE">
        <w:rPr>
          <w:lang w:val="en-US"/>
        </w:rPr>
        <w:t xml:space="preserve">suicidal ideations. </w:t>
      </w:r>
      <w:r w:rsidR="00DE3DDC">
        <w:rPr>
          <w:lang w:val="en-US"/>
        </w:rPr>
        <w:t xml:space="preserve">These </w:t>
      </w:r>
      <w:r w:rsidR="002476EE">
        <w:rPr>
          <w:lang w:val="en-US"/>
        </w:rPr>
        <w:t xml:space="preserve">could have been prevented by following treatment guidelines. </w:t>
      </w:r>
    </w:p>
    <w:p w14:paraId="719ED5CA" w14:textId="4F751A65" w:rsidR="00D327BC" w:rsidRPr="00D829C8" w:rsidRDefault="00762ACC" w:rsidP="00762ACC">
      <w:pPr>
        <w:pStyle w:val="ListParagraph"/>
        <w:ind w:left="0"/>
        <w:jc w:val="both"/>
        <w:rPr>
          <w:b/>
          <w:bCs/>
          <w:sz w:val="16"/>
          <w:szCs w:val="16"/>
          <w:lang w:val="en-US"/>
        </w:rPr>
      </w:pPr>
      <w:r w:rsidRPr="00D829C8">
        <w:rPr>
          <w:b/>
          <w:bCs/>
          <w:sz w:val="16"/>
          <w:szCs w:val="16"/>
          <w:lang w:val="en-US"/>
        </w:rPr>
        <w:t xml:space="preserve">Table </w:t>
      </w:r>
      <w:r w:rsidR="00D00776">
        <w:rPr>
          <w:b/>
          <w:bCs/>
          <w:sz w:val="16"/>
          <w:szCs w:val="16"/>
          <w:lang w:val="en-US"/>
        </w:rPr>
        <w:t>1</w:t>
      </w:r>
      <w:r w:rsidRPr="00D829C8">
        <w:rPr>
          <w:b/>
          <w:bCs/>
          <w:sz w:val="16"/>
          <w:szCs w:val="16"/>
          <w:lang w:val="en-US"/>
        </w:rPr>
        <w:t>.</w:t>
      </w:r>
    </w:p>
    <w:tbl>
      <w:tblPr>
        <w:tblStyle w:val="TableGrid"/>
        <w:tblW w:w="9776" w:type="dxa"/>
        <w:tblLook w:val="04A0" w:firstRow="1" w:lastRow="0" w:firstColumn="1" w:lastColumn="0" w:noHBand="0" w:noVBand="1"/>
      </w:tblPr>
      <w:tblGrid>
        <w:gridCol w:w="9072"/>
        <w:gridCol w:w="704"/>
      </w:tblGrid>
      <w:tr w:rsidR="00D327BC" w14:paraId="23868D01" w14:textId="77777777" w:rsidTr="00D327BC">
        <w:tc>
          <w:tcPr>
            <w:tcW w:w="9072" w:type="dxa"/>
            <w:tcBorders>
              <w:left w:val="nil"/>
            </w:tcBorders>
          </w:tcPr>
          <w:p w14:paraId="5AA9A0F5" w14:textId="77777777" w:rsidR="00D327BC" w:rsidRPr="00D327BC" w:rsidRDefault="00D327BC" w:rsidP="0007251D">
            <w:pPr>
              <w:pStyle w:val="Default"/>
              <w:spacing w:before="80" w:after="80"/>
              <w:rPr>
                <w:b/>
                <w:bCs/>
                <w:sz w:val="20"/>
                <w:szCs w:val="20"/>
                <w:lang w:val="en-US"/>
              </w:rPr>
            </w:pPr>
            <w:r w:rsidRPr="00D327BC">
              <w:rPr>
                <w:b/>
                <w:bCs/>
                <w:sz w:val="20"/>
                <w:szCs w:val="20"/>
                <w:lang w:val="en-US"/>
              </w:rPr>
              <w:t>Current warnings and guidelines to protect consumers</w:t>
            </w:r>
          </w:p>
        </w:tc>
        <w:tc>
          <w:tcPr>
            <w:tcW w:w="704" w:type="dxa"/>
            <w:tcBorders>
              <w:right w:val="nil"/>
            </w:tcBorders>
          </w:tcPr>
          <w:p w14:paraId="3890BBEF" w14:textId="21378DF8" w:rsidR="00D327BC" w:rsidRPr="00D327BC" w:rsidRDefault="00D327BC" w:rsidP="0007251D">
            <w:pPr>
              <w:pStyle w:val="Default"/>
              <w:rPr>
                <w:b/>
                <w:bCs/>
                <w:sz w:val="20"/>
                <w:szCs w:val="20"/>
                <w:lang w:val="en-US"/>
              </w:rPr>
            </w:pPr>
            <w:r w:rsidRPr="00D327BC">
              <w:rPr>
                <w:b/>
                <w:bCs/>
                <w:sz w:val="20"/>
                <w:szCs w:val="20"/>
                <w:lang w:val="en-US"/>
              </w:rPr>
              <w:t>Sub 454</w:t>
            </w:r>
          </w:p>
        </w:tc>
      </w:tr>
      <w:tr w:rsidR="00D327BC" w14:paraId="219819A8" w14:textId="77777777" w:rsidTr="00D327BC">
        <w:tc>
          <w:tcPr>
            <w:tcW w:w="9072" w:type="dxa"/>
            <w:tcBorders>
              <w:left w:val="nil"/>
            </w:tcBorders>
          </w:tcPr>
          <w:p w14:paraId="7BDC1648" w14:textId="77777777" w:rsidR="00D327BC" w:rsidRPr="00D327BC" w:rsidRDefault="00D327BC" w:rsidP="0007251D">
            <w:pPr>
              <w:pStyle w:val="Default"/>
              <w:spacing w:before="80" w:after="80"/>
              <w:rPr>
                <w:sz w:val="20"/>
                <w:szCs w:val="20"/>
                <w:lang w:val="en-US"/>
              </w:rPr>
            </w:pPr>
            <w:r w:rsidRPr="00D327BC">
              <w:rPr>
                <w:sz w:val="20"/>
                <w:szCs w:val="20"/>
                <w:lang w:val="en-US"/>
              </w:rPr>
              <w:t>TGA Product Information and Consumer Medicines Information documents warning of risks associated with the prescription of all antidepressants to consumers with bipolar disorder. (</w:t>
            </w:r>
            <w:r w:rsidRPr="00D327BC">
              <w:rPr>
                <w:sz w:val="20"/>
                <w:szCs w:val="20"/>
              </w:rPr>
              <w:t>TGA, 2018)</w:t>
            </w:r>
          </w:p>
        </w:tc>
        <w:tc>
          <w:tcPr>
            <w:tcW w:w="704" w:type="dxa"/>
            <w:tcBorders>
              <w:right w:val="nil"/>
            </w:tcBorders>
          </w:tcPr>
          <w:p w14:paraId="454FCDD4" w14:textId="77777777" w:rsidR="00D327BC" w:rsidRPr="00D327BC" w:rsidRDefault="00D327BC" w:rsidP="0007251D">
            <w:pPr>
              <w:pStyle w:val="Default"/>
              <w:rPr>
                <w:sz w:val="20"/>
                <w:szCs w:val="20"/>
                <w:lang w:val="en-US"/>
              </w:rPr>
            </w:pPr>
            <w:r w:rsidRPr="00D327BC">
              <w:rPr>
                <w:sz w:val="20"/>
                <w:szCs w:val="20"/>
                <w:lang w:val="en-US"/>
              </w:rPr>
              <w:t>p1</w:t>
            </w:r>
          </w:p>
        </w:tc>
      </w:tr>
      <w:tr w:rsidR="00D327BC" w14:paraId="0D714FBF" w14:textId="77777777" w:rsidTr="00D327BC">
        <w:tc>
          <w:tcPr>
            <w:tcW w:w="9072" w:type="dxa"/>
            <w:tcBorders>
              <w:left w:val="nil"/>
            </w:tcBorders>
          </w:tcPr>
          <w:p w14:paraId="631CFB20" w14:textId="7A11D331" w:rsidR="00D327BC" w:rsidRPr="00D327BC" w:rsidRDefault="00D327BC" w:rsidP="0007251D">
            <w:pPr>
              <w:pStyle w:val="Default"/>
              <w:spacing w:before="80" w:after="80"/>
              <w:rPr>
                <w:sz w:val="20"/>
                <w:szCs w:val="20"/>
                <w:lang w:val="en-US"/>
              </w:rPr>
            </w:pPr>
            <w:r w:rsidRPr="00D327BC">
              <w:rPr>
                <w:sz w:val="20"/>
                <w:szCs w:val="20"/>
                <w:lang w:val="en-US"/>
              </w:rPr>
              <w:t xml:space="preserve">2004, </w:t>
            </w:r>
            <w:r w:rsidRPr="00D327BC">
              <w:rPr>
                <w:sz w:val="20"/>
                <w:szCs w:val="20"/>
              </w:rPr>
              <w:t xml:space="preserve">RANZCP Clinical Practice Guidelines for the Treatment of Bipolar Disorder provided </w:t>
            </w:r>
            <w:r w:rsidRPr="00D327BC">
              <w:rPr>
                <w:sz w:val="20"/>
                <w:szCs w:val="20"/>
                <w:lang w:val="en-US"/>
              </w:rPr>
              <w:t xml:space="preserve">warning of the risks associated with antidepressants, and guidelines to protect consumers. </w:t>
            </w:r>
            <w:r w:rsidRPr="00D327BC">
              <w:rPr>
                <w:sz w:val="20"/>
                <w:szCs w:val="20"/>
              </w:rPr>
              <w:t xml:space="preserve"> (Mitchell, 2004).</w:t>
            </w:r>
          </w:p>
        </w:tc>
        <w:tc>
          <w:tcPr>
            <w:tcW w:w="704" w:type="dxa"/>
            <w:tcBorders>
              <w:right w:val="nil"/>
            </w:tcBorders>
          </w:tcPr>
          <w:p w14:paraId="69DAE432" w14:textId="77777777" w:rsidR="00D327BC" w:rsidRPr="00D327BC" w:rsidRDefault="00D327BC" w:rsidP="0007251D">
            <w:pPr>
              <w:pStyle w:val="Default"/>
              <w:rPr>
                <w:sz w:val="20"/>
                <w:szCs w:val="20"/>
                <w:lang w:val="en-US"/>
              </w:rPr>
            </w:pPr>
            <w:r w:rsidRPr="00D327BC">
              <w:rPr>
                <w:sz w:val="20"/>
                <w:szCs w:val="20"/>
                <w:lang w:val="en-US"/>
              </w:rPr>
              <w:t>p3</w:t>
            </w:r>
          </w:p>
        </w:tc>
      </w:tr>
      <w:tr w:rsidR="00D327BC" w14:paraId="79C85056" w14:textId="77777777" w:rsidTr="00D327BC">
        <w:tc>
          <w:tcPr>
            <w:tcW w:w="9072" w:type="dxa"/>
            <w:tcBorders>
              <w:left w:val="nil"/>
            </w:tcBorders>
          </w:tcPr>
          <w:p w14:paraId="4F0D1659" w14:textId="77777777" w:rsidR="00D327BC" w:rsidRPr="00D327BC" w:rsidRDefault="00D327BC" w:rsidP="0007251D">
            <w:pPr>
              <w:autoSpaceDE w:val="0"/>
              <w:autoSpaceDN w:val="0"/>
              <w:adjustRightInd w:val="0"/>
              <w:spacing w:before="80" w:after="80"/>
              <w:rPr>
                <w:rFonts w:ascii="Calibri" w:hAnsi="Calibri" w:cs="Calibri"/>
                <w:i/>
                <w:iCs/>
                <w:color w:val="000000"/>
                <w:sz w:val="20"/>
                <w:szCs w:val="20"/>
              </w:rPr>
            </w:pPr>
            <w:r w:rsidRPr="00D327BC">
              <w:rPr>
                <w:rFonts w:ascii="Calibri" w:hAnsi="Calibri" w:cs="Calibri"/>
                <w:i/>
                <w:iCs/>
                <w:color w:val="000000"/>
                <w:sz w:val="20"/>
                <w:szCs w:val="20"/>
              </w:rPr>
              <w:t>2005</w:t>
            </w:r>
            <w:r w:rsidRPr="00D327BC">
              <w:rPr>
                <w:rFonts w:ascii="Calibri" w:hAnsi="Calibri" w:cs="Calibri"/>
                <w:b/>
                <w:bCs/>
                <w:i/>
                <w:iCs/>
                <w:color w:val="000000"/>
                <w:sz w:val="20"/>
                <w:szCs w:val="20"/>
              </w:rPr>
              <w:t xml:space="preserve">, </w:t>
            </w:r>
            <w:r w:rsidRPr="00D327BC">
              <w:rPr>
                <w:b/>
                <w:bCs/>
                <w:sz w:val="20"/>
                <w:szCs w:val="20"/>
              </w:rPr>
              <w:t>Case studies</w:t>
            </w:r>
            <w:r w:rsidRPr="00D327BC">
              <w:rPr>
                <w:sz w:val="20"/>
                <w:szCs w:val="20"/>
              </w:rPr>
              <w:t xml:space="preserve"> show the marked improvement that people with bipolar make when treatment strategies are changed to exclude antidepressants (El-Mallakh, 2005).</w:t>
            </w:r>
          </w:p>
        </w:tc>
        <w:tc>
          <w:tcPr>
            <w:tcW w:w="704" w:type="dxa"/>
            <w:tcBorders>
              <w:right w:val="nil"/>
            </w:tcBorders>
          </w:tcPr>
          <w:p w14:paraId="441F2481" w14:textId="77777777" w:rsidR="00D327BC" w:rsidRPr="00D327BC" w:rsidRDefault="00D327BC" w:rsidP="0007251D">
            <w:pPr>
              <w:pStyle w:val="Default"/>
              <w:rPr>
                <w:sz w:val="20"/>
                <w:szCs w:val="20"/>
                <w:lang w:val="en-US"/>
              </w:rPr>
            </w:pPr>
            <w:r w:rsidRPr="00D327BC">
              <w:rPr>
                <w:sz w:val="20"/>
                <w:szCs w:val="20"/>
                <w:lang w:val="en-US"/>
              </w:rPr>
              <w:t>p8</w:t>
            </w:r>
          </w:p>
        </w:tc>
      </w:tr>
      <w:tr w:rsidR="00D327BC" w14:paraId="6DD02E04" w14:textId="77777777" w:rsidTr="00D327BC">
        <w:tc>
          <w:tcPr>
            <w:tcW w:w="9072" w:type="dxa"/>
            <w:tcBorders>
              <w:left w:val="nil"/>
            </w:tcBorders>
          </w:tcPr>
          <w:p w14:paraId="14BEED87"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i/>
                <w:iCs/>
                <w:color w:val="000000"/>
                <w:sz w:val="20"/>
                <w:szCs w:val="20"/>
              </w:rPr>
              <w:lastRenderedPageBreak/>
              <w:t xml:space="preserve">2007, "During treatment </w:t>
            </w:r>
            <w:r w:rsidRPr="00DA4582">
              <w:rPr>
                <w:rFonts w:ascii="Calibri" w:hAnsi="Calibri" w:cs="Calibri"/>
                <w:b/>
                <w:bCs/>
                <w:i/>
                <w:iCs/>
                <w:color w:val="000000"/>
                <w:sz w:val="20"/>
                <w:szCs w:val="20"/>
              </w:rPr>
              <w:t>with antidepressants</w:t>
            </w:r>
            <w:r w:rsidRPr="00916672">
              <w:rPr>
                <w:rFonts w:ascii="Calibri" w:hAnsi="Calibri" w:cs="Calibri"/>
                <w:i/>
                <w:iCs/>
                <w:color w:val="000000"/>
                <w:sz w:val="20"/>
                <w:szCs w:val="20"/>
              </w:rPr>
              <w:t xml:space="preserve"> (even when coupled with mood stabilizers), patients with bipolar disorder have </w:t>
            </w:r>
            <w:r w:rsidRPr="00DA4582">
              <w:rPr>
                <w:rFonts w:ascii="Calibri" w:hAnsi="Calibri" w:cs="Calibri"/>
                <w:b/>
                <w:bCs/>
                <w:i/>
                <w:iCs/>
                <w:color w:val="000000"/>
                <w:sz w:val="20"/>
                <w:szCs w:val="20"/>
              </w:rPr>
              <w:t>significantly higher rates of non-lethal suicidal behaviour</w:t>
            </w:r>
            <w:r w:rsidRPr="00916672">
              <w:rPr>
                <w:rFonts w:ascii="Calibri" w:hAnsi="Calibri" w:cs="Calibri"/>
                <w:i/>
                <w:iCs/>
                <w:color w:val="000000"/>
                <w:sz w:val="20"/>
                <w:szCs w:val="20"/>
              </w:rPr>
              <w:t xml:space="preserve"> compared to those on mood stabilizers without antidepressants, and thus require careful monitoring." </w:t>
            </w:r>
            <w:r w:rsidRPr="00916672">
              <w:rPr>
                <w:rFonts w:ascii="Calibri" w:hAnsi="Calibri" w:cs="Calibri"/>
                <w:color w:val="000000"/>
                <w:sz w:val="20"/>
                <w:szCs w:val="20"/>
              </w:rPr>
              <w:t xml:space="preserve">(Yerevanian, 2007). </w:t>
            </w:r>
          </w:p>
        </w:tc>
        <w:tc>
          <w:tcPr>
            <w:tcW w:w="704" w:type="dxa"/>
            <w:tcBorders>
              <w:right w:val="nil"/>
            </w:tcBorders>
          </w:tcPr>
          <w:p w14:paraId="7BAB184D" w14:textId="77777777" w:rsidR="00D327BC" w:rsidRPr="00D327BC" w:rsidRDefault="00D327BC" w:rsidP="0007251D">
            <w:pPr>
              <w:pStyle w:val="Default"/>
              <w:rPr>
                <w:sz w:val="20"/>
                <w:szCs w:val="20"/>
                <w:lang w:val="en-US"/>
              </w:rPr>
            </w:pPr>
            <w:r w:rsidRPr="00D327BC">
              <w:rPr>
                <w:sz w:val="20"/>
                <w:szCs w:val="20"/>
                <w:lang w:val="en-US"/>
              </w:rPr>
              <w:t>p5</w:t>
            </w:r>
          </w:p>
        </w:tc>
      </w:tr>
      <w:tr w:rsidR="00D327BC" w14:paraId="3B681B96" w14:textId="77777777" w:rsidTr="00D327BC">
        <w:tc>
          <w:tcPr>
            <w:tcW w:w="9072" w:type="dxa"/>
            <w:tcBorders>
              <w:left w:val="nil"/>
            </w:tcBorders>
          </w:tcPr>
          <w:p w14:paraId="66824CF5" w14:textId="7F836ED9"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2009</w:t>
            </w:r>
            <w:r w:rsidR="00762ACC" w:rsidRPr="00916672">
              <w:rPr>
                <w:rFonts w:ascii="Calibri" w:hAnsi="Calibri" w:cs="Calibri"/>
                <w:color w:val="000000"/>
                <w:sz w:val="20"/>
                <w:szCs w:val="20"/>
              </w:rPr>
              <w:t>,</w:t>
            </w:r>
            <w:r w:rsidRPr="00916672">
              <w:rPr>
                <w:rFonts w:ascii="Calibri" w:hAnsi="Calibri" w:cs="Calibri"/>
                <w:color w:val="000000"/>
                <w:sz w:val="20"/>
                <w:szCs w:val="20"/>
              </w:rPr>
              <w:t xml:space="preserve"> The Victorian Coroner investigated </w:t>
            </w:r>
            <w:r w:rsidRPr="00DA4582">
              <w:rPr>
                <w:rFonts w:ascii="Calibri" w:hAnsi="Calibri" w:cs="Calibri"/>
                <w:b/>
                <w:bCs/>
                <w:color w:val="000000"/>
                <w:sz w:val="20"/>
                <w:szCs w:val="20"/>
              </w:rPr>
              <w:t>35 suicides</w:t>
            </w:r>
            <w:r w:rsidRPr="00916672">
              <w:rPr>
                <w:rFonts w:ascii="Calibri" w:hAnsi="Calibri" w:cs="Calibri"/>
                <w:color w:val="000000"/>
                <w:sz w:val="20"/>
                <w:szCs w:val="20"/>
              </w:rPr>
              <w:t xml:space="preserve"> by people with bipolar disorder</w:t>
            </w:r>
            <w:r w:rsidR="00762ACC" w:rsidRPr="00916672">
              <w:rPr>
                <w:rFonts w:ascii="Calibri" w:hAnsi="Calibri" w:cs="Calibri"/>
                <w:color w:val="000000"/>
                <w:sz w:val="20"/>
                <w:szCs w:val="20"/>
              </w:rPr>
              <w:t xml:space="preserve"> and </w:t>
            </w:r>
            <w:r w:rsidRPr="00916672">
              <w:rPr>
                <w:rFonts w:ascii="Calibri" w:hAnsi="Calibri" w:cs="Calibri"/>
                <w:color w:val="000000"/>
                <w:sz w:val="20"/>
                <w:szCs w:val="20"/>
              </w:rPr>
              <w:t xml:space="preserve">found that </w:t>
            </w:r>
            <w:r w:rsidRPr="00DA4582">
              <w:rPr>
                <w:rFonts w:ascii="Calibri" w:hAnsi="Calibri" w:cs="Calibri"/>
                <w:b/>
                <w:bCs/>
                <w:color w:val="000000"/>
                <w:sz w:val="20"/>
                <w:szCs w:val="20"/>
              </w:rPr>
              <w:t xml:space="preserve">60% had not reached benchmark standards </w:t>
            </w:r>
            <w:r w:rsidRPr="00916672">
              <w:rPr>
                <w:rFonts w:ascii="Calibri" w:hAnsi="Calibri" w:cs="Calibri"/>
                <w:color w:val="000000"/>
                <w:sz w:val="20"/>
                <w:szCs w:val="20"/>
              </w:rPr>
              <w:t xml:space="preserve">in treatment, and </w:t>
            </w:r>
            <w:r w:rsidRPr="00DA4582">
              <w:rPr>
                <w:rFonts w:ascii="Calibri" w:hAnsi="Calibri" w:cs="Calibri"/>
                <w:b/>
                <w:bCs/>
                <w:color w:val="000000"/>
                <w:sz w:val="20"/>
                <w:szCs w:val="20"/>
              </w:rPr>
              <w:t>46% were taking antidepressants</w:t>
            </w:r>
            <w:r w:rsidRPr="00916672">
              <w:rPr>
                <w:rFonts w:ascii="Calibri" w:hAnsi="Calibri" w:cs="Calibri"/>
                <w:color w:val="000000"/>
                <w:sz w:val="20"/>
                <w:szCs w:val="20"/>
              </w:rPr>
              <w:t xml:space="preserve"> at their time of death. It was impossible </w:t>
            </w:r>
            <w:r w:rsidR="00762ACC" w:rsidRPr="00916672">
              <w:rPr>
                <w:rFonts w:ascii="Calibri" w:hAnsi="Calibri" w:cs="Calibri"/>
                <w:color w:val="000000"/>
                <w:sz w:val="20"/>
                <w:szCs w:val="20"/>
              </w:rPr>
              <w:t xml:space="preserve">to </w:t>
            </w:r>
            <w:r w:rsidRPr="00916672">
              <w:rPr>
                <w:rFonts w:ascii="Calibri" w:hAnsi="Calibri" w:cs="Calibri"/>
                <w:color w:val="000000"/>
                <w:sz w:val="20"/>
                <w:szCs w:val="20"/>
              </w:rPr>
              <w:t>conclude a relationship between antidepressants and suicide. (</w:t>
            </w:r>
            <w:r w:rsidRPr="00916672">
              <w:rPr>
                <w:sz w:val="20"/>
                <w:szCs w:val="20"/>
              </w:rPr>
              <w:t>Keks,2009)</w:t>
            </w:r>
          </w:p>
        </w:tc>
        <w:tc>
          <w:tcPr>
            <w:tcW w:w="704" w:type="dxa"/>
            <w:tcBorders>
              <w:right w:val="nil"/>
            </w:tcBorders>
          </w:tcPr>
          <w:p w14:paraId="2FCF366F" w14:textId="77777777" w:rsidR="00D327BC" w:rsidRPr="00D327BC" w:rsidRDefault="00D327BC" w:rsidP="0007251D">
            <w:pPr>
              <w:pStyle w:val="Default"/>
              <w:rPr>
                <w:sz w:val="20"/>
                <w:szCs w:val="20"/>
                <w:lang w:val="en-US"/>
              </w:rPr>
            </w:pPr>
            <w:r w:rsidRPr="00D327BC">
              <w:rPr>
                <w:sz w:val="20"/>
                <w:szCs w:val="20"/>
                <w:lang w:val="en-US"/>
              </w:rPr>
              <w:t>p5</w:t>
            </w:r>
          </w:p>
        </w:tc>
      </w:tr>
      <w:tr w:rsidR="00D327BC" w14:paraId="1AEE8247" w14:textId="77777777" w:rsidTr="00D327BC">
        <w:tc>
          <w:tcPr>
            <w:tcW w:w="9072" w:type="dxa"/>
            <w:tcBorders>
              <w:left w:val="nil"/>
            </w:tcBorders>
          </w:tcPr>
          <w:p w14:paraId="23F72C79" w14:textId="75E97CF8" w:rsidR="00D327BC" w:rsidRPr="00916672" w:rsidRDefault="00D327BC" w:rsidP="0007251D">
            <w:pPr>
              <w:pStyle w:val="Default"/>
              <w:spacing w:before="80" w:after="80"/>
              <w:rPr>
                <w:sz w:val="20"/>
                <w:szCs w:val="20"/>
              </w:rPr>
            </w:pPr>
            <w:r w:rsidRPr="00916672">
              <w:rPr>
                <w:sz w:val="20"/>
                <w:szCs w:val="20"/>
              </w:rPr>
              <w:t xml:space="preserve">2009, </w:t>
            </w:r>
            <w:r w:rsidRPr="00DA4582">
              <w:rPr>
                <w:b/>
                <w:bCs/>
                <w:sz w:val="20"/>
                <w:szCs w:val="20"/>
              </w:rPr>
              <w:t>Antidepressants</w:t>
            </w:r>
            <w:r w:rsidRPr="00916672">
              <w:rPr>
                <w:sz w:val="20"/>
                <w:szCs w:val="20"/>
              </w:rPr>
              <w:t xml:space="preserve"> with mood disorders were </w:t>
            </w:r>
            <w:r w:rsidRPr="00DA4582">
              <w:rPr>
                <w:b/>
                <w:bCs/>
                <w:sz w:val="20"/>
                <w:szCs w:val="20"/>
              </w:rPr>
              <w:t>not associated with a reduction of suicide rate</w:t>
            </w:r>
            <w:r w:rsidRPr="00916672">
              <w:rPr>
                <w:sz w:val="20"/>
                <w:szCs w:val="20"/>
              </w:rPr>
              <w:t xml:space="preserve">, and it was not possible to exclude that </w:t>
            </w:r>
            <w:r w:rsidRPr="00DA4582">
              <w:rPr>
                <w:b/>
                <w:bCs/>
                <w:sz w:val="20"/>
                <w:szCs w:val="20"/>
              </w:rPr>
              <w:t>they can induce, worsen, or precipitate suicidal behaviour</w:t>
            </w:r>
            <w:r w:rsidRPr="00916672">
              <w:rPr>
                <w:sz w:val="20"/>
                <w:szCs w:val="20"/>
              </w:rPr>
              <w:t xml:space="preserve">, especially in those affected by mood disorders with depressive or mixed features. (Raja, 2009) </w:t>
            </w:r>
          </w:p>
        </w:tc>
        <w:tc>
          <w:tcPr>
            <w:tcW w:w="704" w:type="dxa"/>
            <w:tcBorders>
              <w:right w:val="nil"/>
            </w:tcBorders>
          </w:tcPr>
          <w:p w14:paraId="5C71F5C6" w14:textId="77777777" w:rsidR="00D327BC" w:rsidRPr="00D327BC" w:rsidRDefault="00D327BC" w:rsidP="0007251D">
            <w:pPr>
              <w:pStyle w:val="Default"/>
              <w:rPr>
                <w:sz w:val="20"/>
                <w:szCs w:val="20"/>
                <w:lang w:val="en-US"/>
              </w:rPr>
            </w:pPr>
            <w:r w:rsidRPr="00D327BC">
              <w:rPr>
                <w:sz w:val="20"/>
                <w:szCs w:val="20"/>
                <w:lang w:val="en-US"/>
              </w:rPr>
              <w:t>P5</w:t>
            </w:r>
          </w:p>
        </w:tc>
      </w:tr>
      <w:tr w:rsidR="00D327BC" w14:paraId="3AB71E64" w14:textId="77777777" w:rsidTr="00D327BC">
        <w:tc>
          <w:tcPr>
            <w:tcW w:w="9072" w:type="dxa"/>
            <w:tcBorders>
              <w:left w:val="nil"/>
            </w:tcBorders>
          </w:tcPr>
          <w:p w14:paraId="4B088CFF" w14:textId="72061602" w:rsidR="00D327BC" w:rsidRPr="00DA4582" w:rsidRDefault="00D327BC" w:rsidP="0007251D">
            <w:pPr>
              <w:autoSpaceDE w:val="0"/>
              <w:autoSpaceDN w:val="0"/>
              <w:adjustRightInd w:val="0"/>
              <w:spacing w:before="80" w:after="80"/>
              <w:rPr>
                <w:rFonts w:ascii="Calibri" w:hAnsi="Calibri" w:cs="Calibri"/>
                <w:b/>
                <w:bCs/>
                <w:color w:val="000000"/>
                <w:sz w:val="20"/>
                <w:szCs w:val="20"/>
              </w:rPr>
            </w:pPr>
            <w:r w:rsidRPr="00916672">
              <w:rPr>
                <w:rFonts w:ascii="Calibri" w:hAnsi="Calibri" w:cs="Calibri"/>
                <w:color w:val="000000"/>
                <w:sz w:val="20"/>
                <w:szCs w:val="20"/>
              </w:rPr>
              <w:t xml:space="preserve">2009, The European mania in bipolar longitudinal evaluation of medication study in France (EMBLEM) found: </w:t>
            </w:r>
            <w:r w:rsidRPr="00916672">
              <w:rPr>
                <w:rFonts w:ascii="Calibri" w:hAnsi="Calibri" w:cs="Calibri"/>
                <w:color w:val="000000"/>
                <w:sz w:val="20"/>
                <w:szCs w:val="20"/>
              </w:rPr>
              <w:br/>
            </w:r>
            <w:r w:rsidRPr="00916672">
              <w:rPr>
                <w:rFonts w:ascii="Calibri" w:hAnsi="Calibri" w:cs="Calibri"/>
                <w:i/>
                <w:iCs/>
                <w:color w:val="000000"/>
                <w:sz w:val="20"/>
                <w:szCs w:val="20"/>
              </w:rPr>
              <w:t xml:space="preserve">- </w:t>
            </w:r>
            <w:r w:rsidRPr="00DA4582">
              <w:rPr>
                <w:rFonts w:ascii="Calibri" w:hAnsi="Calibri" w:cs="Calibri"/>
                <w:b/>
                <w:bCs/>
                <w:i/>
                <w:iCs/>
                <w:color w:val="000000"/>
                <w:sz w:val="20"/>
                <w:szCs w:val="20"/>
              </w:rPr>
              <w:t>Despite not being clinically indicated</w:t>
            </w:r>
            <w:r w:rsidRPr="00916672">
              <w:rPr>
                <w:rFonts w:ascii="Calibri" w:hAnsi="Calibri" w:cs="Calibri"/>
                <w:i/>
                <w:iCs/>
                <w:color w:val="000000"/>
                <w:sz w:val="20"/>
                <w:szCs w:val="20"/>
              </w:rPr>
              <w:t xml:space="preserve">, </w:t>
            </w:r>
            <w:r w:rsidRPr="00DA4582">
              <w:rPr>
                <w:rFonts w:ascii="Calibri" w:hAnsi="Calibri" w:cs="Calibri"/>
                <w:b/>
                <w:bCs/>
                <w:i/>
                <w:iCs/>
                <w:color w:val="000000"/>
                <w:sz w:val="20"/>
                <w:szCs w:val="20"/>
              </w:rPr>
              <w:t xml:space="preserve">antidepressants were used in 53% of patients with mixed state, and 28% of patients with pure mania. </w:t>
            </w:r>
          </w:p>
          <w:p w14:paraId="2215FD1D"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 xml:space="preserve">- Antidepressants were frequently prescribed, and the above usage pattern had not changed at the 24 months follow up. </w:t>
            </w:r>
          </w:p>
        </w:tc>
        <w:tc>
          <w:tcPr>
            <w:tcW w:w="704" w:type="dxa"/>
            <w:tcBorders>
              <w:right w:val="nil"/>
            </w:tcBorders>
          </w:tcPr>
          <w:p w14:paraId="409BF948" w14:textId="77777777" w:rsidR="00D327BC" w:rsidRPr="00D327BC" w:rsidRDefault="00D327BC" w:rsidP="0007251D">
            <w:pPr>
              <w:pStyle w:val="Default"/>
              <w:rPr>
                <w:sz w:val="20"/>
                <w:szCs w:val="20"/>
                <w:lang w:val="en-US"/>
              </w:rPr>
            </w:pPr>
            <w:r w:rsidRPr="00D327BC">
              <w:rPr>
                <w:sz w:val="20"/>
                <w:szCs w:val="20"/>
                <w:lang w:val="en-US"/>
              </w:rPr>
              <w:t>p4.</w:t>
            </w:r>
          </w:p>
        </w:tc>
      </w:tr>
      <w:tr w:rsidR="00D327BC" w14:paraId="33EA818A" w14:textId="77777777" w:rsidTr="00D327BC">
        <w:tc>
          <w:tcPr>
            <w:tcW w:w="9072" w:type="dxa"/>
            <w:tcBorders>
              <w:left w:val="nil"/>
            </w:tcBorders>
          </w:tcPr>
          <w:p w14:paraId="1E15B700" w14:textId="4B3AEA2B" w:rsidR="00D327BC" w:rsidRPr="00916672" w:rsidRDefault="00D327BC" w:rsidP="0007251D">
            <w:pPr>
              <w:pStyle w:val="Default"/>
              <w:spacing w:before="80" w:after="80"/>
              <w:rPr>
                <w:sz w:val="20"/>
                <w:szCs w:val="20"/>
              </w:rPr>
            </w:pPr>
            <w:r w:rsidRPr="00916672">
              <w:rPr>
                <w:sz w:val="20"/>
                <w:szCs w:val="20"/>
                <w:lang w:val="en-US"/>
              </w:rPr>
              <w:t xml:space="preserve">2010, </w:t>
            </w:r>
            <w:r w:rsidRPr="00916672">
              <w:rPr>
                <w:sz w:val="20"/>
                <w:szCs w:val="20"/>
              </w:rPr>
              <w:t>EMBLEM discussed reasons antidepressants were prescribed in patients with mixed state when not clinically indicated. They suggested</w:t>
            </w:r>
            <w:r w:rsidR="00701EB2">
              <w:rPr>
                <w:sz w:val="20"/>
                <w:szCs w:val="20"/>
              </w:rPr>
              <w:t>, and this is important in Australia</w:t>
            </w:r>
            <w:r w:rsidRPr="00916672">
              <w:rPr>
                <w:sz w:val="20"/>
                <w:szCs w:val="20"/>
              </w:rPr>
              <w:t xml:space="preserve">: - </w:t>
            </w:r>
          </w:p>
          <w:p w14:paraId="421A3837"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 xml:space="preserve">- </w:t>
            </w:r>
            <w:r w:rsidRPr="00916672">
              <w:rPr>
                <w:rFonts w:ascii="Calibri" w:hAnsi="Calibri" w:cs="Calibri"/>
                <w:i/>
                <w:iCs/>
                <w:color w:val="000000"/>
                <w:sz w:val="20"/>
                <w:szCs w:val="20"/>
              </w:rPr>
              <w:t xml:space="preserve">“co-occurrence of depressive symptoms with manic states, </w:t>
            </w:r>
          </w:p>
          <w:p w14:paraId="02EB7F2F"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 xml:space="preserve">- the continuation of a prescription for a depression, </w:t>
            </w:r>
          </w:p>
          <w:p w14:paraId="1F7AE274"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 xml:space="preserve">- </w:t>
            </w:r>
            <w:r w:rsidRPr="00916672">
              <w:rPr>
                <w:rFonts w:ascii="Calibri" w:hAnsi="Calibri" w:cs="Calibri"/>
                <w:i/>
                <w:iCs/>
                <w:color w:val="000000"/>
                <w:sz w:val="20"/>
                <w:szCs w:val="20"/>
              </w:rPr>
              <w:t xml:space="preserve">misgivings concerning a brutal discontinuation of antidepressants, </w:t>
            </w:r>
          </w:p>
          <w:p w14:paraId="484E2E58"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 xml:space="preserve">- anxiety concerning a depressive switch, </w:t>
            </w:r>
          </w:p>
          <w:p w14:paraId="7A54CB45" w14:textId="77777777" w:rsidR="00D327BC" w:rsidRPr="00916672" w:rsidRDefault="00D327BC" w:rsidP="0007251D">
            <w:pPr>
              <w:autoSpaceDE w:val="0"/>
              <w:autoSpaceDN w:val="0"/>
              <w:adjustRightInd w:val="0"/>
              <w:spacing w:before="80" w:after="80"/>
              <w:rPr>
                <w:rFonts w:ascii="Calibri" w:hAnsi="Calibri" w:cs="Calibri"/>
                <w:color w:val="000000"/>
                <w:sz w:val="20"/>
                <w:szCs w:val="20"/>
              </w:rPr>
            </w:pPr>
            <w:r w:rsidRPr="00916672">
              <w:rPr>
                <w:rFonts w:ascii="Calibri" w:hAnsi="Calibri" w:cs="Calibri"/>
                <w:color w:val="000000"/>
                <w:sz w:val="20"/>
                <w:szCs w:val="20"/>
              </w:rPr>
              <w:t xml:space="preserve">- the patient's insistence on maintaining his/her treatment, and </w:t>
            </w:r>
          </w:p>
          <w:p w14:paraId="22070616" w14:textId="77777777" w:rsidR="00D327BC" w:rsidRPr="00916672" w:rsidRDefault="00D327BC" w:rsidP="0007251D">
            <w:pPr>
              <w:pStyle w:val="Default"/>
              <w:spacing w:before="80" w:after="80"/>
              <w:rPr>
                <w:sz w:val="20"/>
                <w:szCs w:val="20"/>
                <w:lang w:val="en-US"/>
              </w:rPr>
            </w:pPr>
            <w:r w:rsidRPr="00916672">
              <w:rPr>
                <w:sz w:val="20"/>
                <w:szCs w:val="20"/>
              </w:rPr>
              <w:t>- certain psychopathological hypotheses which consider that mania constitutes a depressive.”</w:t>
            </w:r>
          </w:p>
        </w:tc>
        <w:tc>
          <w:tcPr>
            <w:tcW w:w="704" w:type="dxa"/>
            <w:tcBorders>
              <w:right w:val="nil"/>
            </w:tcBorders>
          </w:tcPr>
          <w:p w14:paraId="028142C0" w14:textId="77777777" w:rsidR="00D327BC" w:rsidRPr="00D327BC" w:rsidRDefault="00D327BC" w:rsidP="0007251D">
            <w:pPr>
              <w:pStyle w:val="Default"/>
              <w:rPr>
                <w:sz w:val="20"/>
                <w:szCs w:val="20"/>
                <w:lang w:val="en-US"/>
              </w:rPr>
            </w:pPr>
            <w:r w:rsidRPr="00D327BC">
              <w:rPr>
                <w:sz w:val="20"/>
                <w:szCs w:val="20"/>
                <w:lang w:val="en-US"/>
              </w:rPr>
              <w:t>p4.</w:t>
            </w:r>
          </w:p>
        </w:tc>
      </w:tr>
      <w:tr w:rsidR="00D327BC" w14:paraId="2DF71AC2" w14:textId="77777777" w:rsidTr="00D327BC">
        <w:tc>
          <w:tcPr>
            <w:tcW w:w="9072" w:type="dxa"/>
            <w:tcBorders>
              <w:left w:val="nil"/>
            </w:tcBorders>
          </w:tcPr>
          <w:p w14:paraId="4678510B" w14:textId="72C937FA" w:rsidR="00D327BC" w:rsidRPr="00D327BC" w:rsidRDefault="00D327BC" w:rsidP="0007251D">
            <w:pPr>
              <w:pStyle w:val="Default"/>
              <w:spacing w:before="80" w:after="80"/>
              <w:rPr>
                <w:sz w:val="20"/>
                <w:szCs w:val="20"/>
              </w:rPr>
            </w:pPr>
            <w:r w:rsidRPr="00D327BC">
              <w:rPr>
                <w:sz w:val="20"/>
                <w:szCs w:val="20"/>
                <w:lang w:val="en-US"/>
              </w:rPr>
              <w:t>2013, International Society of Bipolar Disorder (ISBD) task force reviewed the use of antidepressants in bipolar. They made these two points in their conclusion. “</w:t>
            </w:r>
            <w:r w:rsidRPr="00D327BC">
              <w:rPr>
                <w:i/>
                <w:iCs/>
                <w:sz w:val="20"/>
                <w:szCs w:val="20"/>
              </w:rPr>
              <w:t xml:space="preserve">There is a striking incongruity between the wide use of and the </w:t>
            </w:r>
            <w:r w:rsidRPr="00D327BC">
              <w:rPr>
                <w:b/>
                <w:bCs/>
                <w:i/>
                <w:iCs/>
                <w:sz w:val="20"/>
                <w:szCs w:val="20"/>
              </w:rPr>
              <w:t xml:space="preserve">weak evidence base </w:t>
            </w:r>
            <w:r w:rsidRPr="00D327BC">
              <w:rPr>
                <w:i/>
                <w:iCs/>
                <w:sz w:val="20"/>
                <w:szCs w:val="20"/>
              </w:rPr>
              <w:t>for the</w:t>
            </w:r>
            <w:r w:rsidRPr="00D327BC">
              <w:rPr>
                <w:b/>
                <w:bCs/>
                <w:i/>
                <w:iCs/>
                <w:sz w:val="20"/>
                <w:szCs w:val="20"/>
              </w:rPr>
              <w:t xml:space="preserve"> efficacy and safety of antidepressant drugs </w:t>
            </w:r>
            <w:r w:rsidRPr="00D327BC">
              <w:rPr>
                <w:i/>
                <w:iCs/>
                <w:sz w:val="20"/>
                <w:szCs w:val="20"/>
              </w:rPr>
              <w:t xml:space="preserve">in bipolar disorder. There is </w:t>
            </w:r>
            <w:r w:rsidRPr="00D327BC">
              <w:rPr>
                <w:b/>
                <w:bCs/>
                <w:i/>
                <w:iCs/>
                <w:sz w:val="20"/>
                <w:szCs w:val="20"/>
              </w:rPr>
              <w:t xml:space="preserve">insufficient evidence </w:t>
            </w:r>
            <w:r w:rsidRPr="00D327BC">
              <w:rPr>
                <w:i/>
                <w:iCs/>
                <w:sz w:val="20"/>
                <w:szCs w:val="20"/>
              </w:rPr>
              <w:t>for treatment benefits with</w:t>
            </w:r>
            <w:r w:rsidRPr="00D327BC">
              <w:rPr>
                <w:b/>
                <w:bCs/>
                <w:i/>
                <w:iCs/>
                <w:sz w:val="20"/>
                <w:szCs w:val="20"/>
              </w:rPr>
              <w:t xml:space="preserve"> antidepressants combined with mood stabilizers</w:t>
            </w:r>
            <w:r w:rsidRPr="00D327BC">
              <w:rPr>
                <w:i/>
                <w:iCs/>
                <w:sz w:val="20"/>
                <w:szCs w:val="20"/>
              </w:rPr>
              <w:t>.” (</w:t>
            </w:r>
            <w:r w:rsidRPr="00D327BC">
              <w:rPr>
                <w:sz w:val="20"/>
                <w:szCs w:val="20"/>
              </w:rPr>
              <w:t>Pacchiarotti, 2013)</w:t>
            </w:r>
          </w:p>
        </w:tc>
        <w:tc>
          <w:tcPr>
            <w:tcW w:w="704" w:type="dxa"/>
            <w:tcBorders>
              <w:right w:val="nil"/>
            </w:tcBorders>
          </w:tcPr>
          <w:p w14:paraId="10C9EF89" w14:textId="77777777" w:rsidR="00D327BC" w:rsidRPr="00D327BC" w:rsidRDefault="00D327BC" w:rsidP="0007251D">
            <w:pPr>
              <w:pStyle w:val="Default"/>
              <w:rPr>
                <w:sz w:val="20"/>
                <w:szCs w:val="20"/>
                <w:lang w:val="en-US"/>
              </w:rPr>
            </w:pPr>
            <w:r w:rsidRPr="00D327BC">
              <w:rPr>
                <w:sz w:val="20"/>
                <w:szCs w:val="20"/>
                <w:lang w:val="en-US"/>
              </w:rPr>
              <w:t xml:space="preserve">p4. </w:t>
            </w:r>
          </w:p>
        </w:tc>
      </w:tr>
      <w:tr w:rsidR="00D327BC" w14:paraId="17D70CB2" w14:textId="77777777" w:rsidTr="00D327BC">
        <w:tc>
          <w:tcPr>
            <w:tcW w:w="9072" w:type="dxa"/>
            <w:tcBorders>
              <w:left w:val="nil"/>
            </w:tcBorders>
          </w:tcPr>
          <w:p w14:paraId="7BCA62F5" w14:textId="413A313A" w:rsidR="00D327BC" w:rsidRPr="00D327BC" w:rsidRDefault="00D327BC" w:rsidP="0007251D">
            <w:pPr>
              <w:pStyle w:val="Default"/>
              <w:spacing w:before="80" w:after="80"/>
              <w:rPr>
                <w:sz w:val="20"/>
                <w:szCs w:val="20"/>
                <w:lang w:val="en-US"/>
              </w:rPr>
            </w:pPr>
            <w:r w:rsidRPr="00D327BC">
              <w:rPr>
                <w:sz w:val="20"/>
                <w:szCs w:val="20"/>
                <w:lang w:val="en-US"/>
              </w:rPr>
              <w:t xml:space="preserve">2015, RANZCP updated the clinical guidelines to reflect the outcome of ISBD. This included their highest warning, a identify high risk consumers; </w:t>
            </w:r>
            <w:r w:rsidRPr="00DA4582">
              <w:rPr>
                <w:b/>
                <w:bCs/>
                <w:sz w:val="20"/>
                <w:szCs w:val="20"/>
                <w:lang w:val="en-US"/>
              </w:rPr>
              <w:t>“Recommendation Box 8. Use of Antidepressants in Bipolar Disorder”</w:t>
            </w:r>
            <w:r w:rsidRPr="00D327BC">
              <w:rPr>
                <w:sz w:val="20"/>
                <w:szCs w:val="20"/>
                <w:lang w:val="en-US"/>
              </w:rPr>
              <w:t xml:space="preserve"> which identified bipolar consumers who were at high risk of developing TEAS. </w:t>
            </w:r>
            <w:r w:rsidRPr="00D327BC">
              <w:rPr>
                <w:sz w:val="20"/>
                <w:szCs w:val="20"/>
              </w:rPr>
              <w:t>(Malhi, 2015).</w:t>
            </w:r>
            <w:r w:rsidRPr="00D327BC">
              <w:rPr>
                <w:sz w:val="20"/>
                <w:szCs w:val="20"/>
              </w:rPr>
              <w:br/>
            </w:r>
            <w:r w:rsidRPr="00D327BC">
              <w:rPr>
                <w:noProof/>
                <w:sz w:val="20"/>
                <w:szCs w:val="20"/>
                <w:lang w:eastAsia="en-AU"/>
              </w:rPr>
              <w:drawing>
                <wp:inline distT="0" distB="0" distL="0" distR="0" wp14:anchorId="6FEE2463" wp14:editId="1DF6D663">
                  <wp:extent cx="4000500" cy="12201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66999" cy="1240398"/>
                          </a:xfrm>
                          <a:prstGeom prst="rect">
                            <a:avLst/>
                          </a:prstGeom>
                        </pic:spPr>
                      </pic:pic>
                    </a:graphicData>
                  </a:graphic>
                </wp:inline>
              </w:drawing>
            </w:r>
          </w:p>
        </w:tc>
        <w:tc>
          <w:tcPr>
            <w:tcW w:w="704" w:type="dxa"/>
            <w:tcBorders>
              <w:right w:val="nil"/>
            </w:tcBorders>
          </w:tcPr>
          <w:p w14:paraId="1E435315" w14:textId="77777777" w:rsidR="00D327BC" w:rsidRPr="00D327BC" w:rsidRDefault="00D327BC" w:rsidP="0007251D">
            <w:pPr>
              <w:pStyle w:val="Default"/>
              <w:rPr>
                <w:sz w:val="20"/>
                <w:szCs w:val="20"/>
                <w:lang w:val="en-US"/>
              </w:rPr>
            </w:pPr>
            <w:r w:rsidRPr="00D327BC">
              <w:rPr>
                <w:sz w:val="20"/>
                <w:szCs w:val="20"/>
                <w:lang w:val="en-US"/>
              </w:rPr>
              <w:t>p 2-3</w:t>
            </w:r>
            <w:r w:rsidRPr="00D327BC">
              <w:rPr>
                <w:sz w:val="20"/>
                <w:szCs w:val="20"/>
                <w:lang w:val="en-US"/>
              </w:rPr>
              <w:br/>
            </w:r>
          </w:p>
        </w:tc>
      </w:tr>
      <w:tr w:rsidR="00D327BC" w14:paraId="49CAF631" w14:textId="77777777" w:rsidTr="00D327BC">
        <w:tc>
          <w:tcPr>
            <w:tcW w:w="9072" w:type="dxa"/>
            <w:tcBorders>
              <w:left w:val="nil"/>
            </w:tcBorders>
          </w:tcPr>
          <w:p w14:paraId="300EC7C1" w14:textId="77777777" w:rsidR="00D327BC" w:rsidRPr="00D327BC" w:rsidRDefault="00D327BC" w:rsidP="0007251D">
            <w:pPr>
              <w:pStyle w:val="Default"/>
              <w:spacing w:before="80" w:after="80"/>
              <w:rPr>
                <w:sz w:val="20"/>
                <w:szCs w:val="20"/>
              </w:rPr>
            </w:pPr>
            <w:r w:rsidRPr="00D327BC">
              <w:rPr>
                <w:sz w:val="20"/>
                <w:szCs w:val="20"/>
                <w:lang w:val="en-US"/>
              </w:rPr>
              <w:t xml:space="preserve">2015, </w:t>
            </w:r>
            <w:r w:rsidRPr="00D327BC">
              <w:rPr>
                <w:sz w:val="20"/>
                <w:szCs w:val="20"/>
              </w:rPr>
              <w:t xml:space="preserve">ISBD task force found that </w:t>
            </w:r>
            <w:r w:rsidRPr="00DA4582">
              <w:rPr>
                <w:b/>
                <w:bCs/>
                <w:sz w:val="20"/>
                <w:szCs w:val="20"/>
              </w:rPr>
              <w:t>suicide in bipolar disorder accounted for 3.4–14% of all, suicide deaths and that 23–26% of people with bipolar disorder attempt suicide</w:t>
            </w:r>
            <w:r w:rsidRPr="00D327BC">
              <w:rPr>
                <w:sz w:val="20"/>
                <w:szCs w:val="20"/>
              </w:rPr>
              <w:t xml:space="preserve">. (Schaffe, 2015). </w:t>
            </w:r>
          </w:p>
        </w:tc>
        <w:tc>
          <w:tcPr>
            <w:tcW w:w="704" w:type="dxa"/>
            <w:tcBorders>
              <w:right w:val="nil"/>
            </w:tcBorders>
          </w:tcPr>
          <w:p w14:paraId="42120EB4" w14:textId="77777777" w:rsidR="00D327BC" w:rsidRPr="00D327BC" w:rsidRDefault="00D327BC" w:rsidP="0007251D">
            <w:pPr>
              <w:pStyle w:val="Default"/>
              <w:rPr>
                <w:sz w:val="20"/>
                <w:szCs w:val="20"/>
                <w:lang w:val="en-US"/>
              </w:rPr>
            </w:pPr>
            <w:r w:rsidRPr="00D327BC">
              <w:rPr>
                <w:sz w:val="20"/>
                <w:szCs w:val="20"/>
                <w:lang w:val="en-US"/>
              </w:rPr>
              <w:t>p5</w:t>
            </w:r>
          </w:p>
        </w:tc>
      </w:tr>
      <w:tr w:rsidR="00D327BC" w14:paraId="1AD099BB" w14:textId="77777777" w:rsidTr="00D327BC">
        <w:tc>
          <w:tcPr>
            <w:tcW w:w="9072" w:type="dxa"/>
            <w:tcBorders>
              <w:left w:val="nil"/>
            </w:tcBorders>
          </w:tcPr>
          <w:p w14:paraId="4A64FFB4" w14:textId="17FEC071" w:rsidR="00D327BC" w:rsidRPr="00D327BC" w:rsidRDefault="00D327BC" w:rsidP="0007251D">
            <w:pPr>
              <w:autoSpaceDE w:val="0"/>
              <w:autoSpaceDN w:val="0"/>
              <w:adjustRightInd w:val="0"/>
              <w:spacing w:before="80" w:after="80"/>
              <w:rPr>
                <w:rFonts w:ascii="Calibri" w:hAnsi="Calibri" w:cs="Calibri"/>
                <w:color w:val="000000"/>
                <w:sz w:val="20"/>
                <w:szCs w:val="20"/>
              </w:rPr>
            </w:pPr>
            <w:r w:rsidRPr="00D327BC">
              <w:rPr>
                <w:rFonts w:ascii="Calibri" w:hAnsi="Calibri" w:cs="Calibri"/>
                <w:color w:val="000000"/>
                <w:sz w:val="20"/>
                <w:szCs w:val="20"/>
              </w:rPr>
              <w:t xml:space="preserve">2015, </w:t>
            </w:r>
            <w:r w:rsidRPr="00D327BC">
              <w:rPr>
                <w:sz w:val="20"/>
                <w:szCs w:val="20"/>
              </w:rPr>
              <w:t xml:space="preserve">RANZCP states that </w:t>
            </w:r>
            <w:r w:rsidRPr="00DA4582">
              <w:rPr>
                <w:b/>
                <w:bCs/>
                <w:sz w:val="20"/>
                <w:szCs w:val="20"/>
              </w:rPr>
              <w:t>underlying causes</w:t>
            </w:r>
            <w:r w:rsidRPr="00D327BC">
              <w:rPr>
                <w:sz w:val="20"/>
                <w:szCs w:val="20"/>
              </w:rPr>
              <w:t xml:space="preserve"> of bipolar disorder and mood instability need to be identified and treated (Malhi, 2015).</w:t>
            </w:r>
          </w:p>
        </w:tc>
        <w:tc>
          <w:tcPr>
            <w:tcW w:w="704" w:type="dxa"/>
            <w:tcBorders>
              <w:right w:val="nil"/>
            </w:tcBorders>
          </w:tcPr>
          <w:p w14:paraId="1FB26B71" w14:textId="77777777" w:rsidR="00D327BC" w:rsidRPr="00D327BC" w:rsidRDefault="00D327BC" w:rsidP="0007251D">
            <w:pPr>
              <w:pStyle w:val="Default"/>
              <w:rPr>
                <w:sz w:val="20"/>
                <w:szCs w:val="20"/>
                <w:lang w:val="en-US"/>
              </w:rPr>
            </w:pPr>
            <w:r w:rsidRPr="00D327BC">
              <w:rPr>
                <w:sz w:val="20"/>
                <w:szCs w:val="20"/>
                <w:lang w:val="en-US"/>
              </w:rPr>
              <w:t>p6</w:t>
            </w:r>
          </w:p>
        </w:tc>
      </w:tr>
      <w:tr w:rsidR="00D327BC" w14:paraId="00FF6CBC" w14:textId="77777777" w:rsidTr="00D327BC">
        <w:tc>
          <w:tcPr>
            <w:tcW w:w="9072" w:type="dxa"/>
            <w:tcBorders>
              <w:left w:val="nil"/>
            </w:tcBorders>
          </w:tcPr>
          <w:p w14:paraId="4FA65FF1" w14:textId="76247B67" w:rsidR="00D327BC" w:rsidRPr="00D327BC" w:rsidRDefault="00D327BC" w:rsidP="0007251D">
            <w:pPr>
              <w:pStyle w:val="Default"/>
              <w:spacing w:before="80" w:after="80"/>
              <w:rPr>
                <w:sz w:val="20"/>
                <w:szCs w:val="20"/>
              </w:rPr>
            </w:pPr>
            <w:r w:rsidRPr="00D327BC">
              <w:rPr>
                <w:sz w:val="20"/>
                <w:szCs w:val="20"/>
                <w:lang w:val="en-US"/>
              </w:rPr>
              <w:t xml:space="preserve">2017, </w:t>
            </w:r>
            <w:r w:rsidRPr="00D327BC">
              <w:rPr>
                <w:sz w:val="20"/>
                <w:szCs w:val="20"/>
              </w:rPr>
              <w:t xml:space="preserve">The World Federation of Societies of Biological Psychiatry (WFSBP) reviewed treatment of mixed episodes and concluded </w:t>
            </w:r>
            <w:r w:rsidRPr="00D327BC">
              <w:rPr>
                <w:i/>
                <w:iCs/>
                <w:sz w:val="20"/>
                <w:szCs w:val="20"/>
              </w:rPr>
              <w:t>“</w:t>
            </w:r>
            <w:r w:rsidRPr="00762ACC">
              <w:rPr>
                <w:b/>
                <w:bCs/>
                <w:i/>
                <w:iCs/>
                <w:sz w:val="20"/>
                <w:szCs w:val="20"/>
              </w:rPr>
              <w:t xml:space="preserve">the use of antidepressants for the acute and continuation treatment of mixed episodes or for the prevention of mixed episodes cannot be recommended and may be potentially </w:t>
            </w:r>
            <w:r w:rsidRPr="00762ACC">
              <w:rPr>
                <w:b/>
                <w:bCs/>
                <w:i/>
                <w:iCs/>
                <w:sz w:val="22"/>
                <w:szCs w:val="22"/>
              </w:rPr>
              <w:t>hazardous</w:t>
            </w:r>
            <w:r w:rsidRPr="00762ACC">
              <w:rPr>
                <w:b/>
                <w:bCs/>
                <w:i/>
                <w:iCs/>
                <w:sz w:val="20"/>
                <w:szCs w:val="20"/>
              </w:rPr>
              <w:t>”</w:t>
            </w:r>
            <w:r w:rsidRPr="00D327BC">
              <w:rPr>
                <w:i/>
                <w:iCs/>
                <w:sz w:val="20"/>
                <w:szCs w:val="20"/>
              </w:rPr>
              <w:t xml:space="preserve"> </w:t>
            </w:r>
            <w:r w:rsidRPr="00D327BC">
              <w:rPr>
                <w:sz w:val="20"/>
                <w:szCs w:val="20"/>
              </w:rPr>
              <w:t>(Grunze, 201</w:t>
            </w:r>
            <w:r w:rsidR="00330E90">
              <w:rPr>
                <w:sz w:val="20"/>
                <w:szCs w:val="20"/>
              </w:rPr>
              <w:t>9</w:t>
            </w:r>
            <w:r w:rsidRPr="00D327BC">
              <w:rPr>
                <w:sz w:val="20"/>
                <w:szCs w:val="20"/>
              </w:rPr>
              <w:t>)</w:t>
            </w:r>
          </w:p>
        </w:tc>
        <w:tc>
          <w:tcPr>
            <w:tcW w:w="704" w:type="dxa"/>
            <w:tcBorders>
              <w:right w:val="nil"/>
            </w:tcBorders>
          </w:tcPr>
          <w:p w14:paraId="3CBB858E" w14:textId="77777777" w:rsidR="00D327BC" w:rsidRPr="00D327BC" w:rsidRDefault="00D327BC" w:rsidP="0007251D">
            <w:pPr>
              <w:pStyle w:val="Default"/>
              <w:rPr>
                <w:sz w:val="20"/>
                <w:szCs w:val="20"/>
                <w:lang w:val="en-US"/>
              </w:rPr>
            </w:pPr>
            <w:r w:rsidRPr="00D327BC">
              <w:rPr>
                <w:sz w:val="20"/>
                <w:szCs w:val="20"/>
                <w:lang w:val="en-US"/>
              </w:rPr>
              <w:t>p4.</w:t>
            </w:r>
          </w:p>
        </w:tc>
      </w:tr>
      <w:tr w:rsidR="00D327BC" w:rsidRPr="00873E3C" w14:paraId="2B803140" w14:textId="77777777" w:rsidTr="00D327BC">
        <w:tc>
          <w:tcPr>
            <w:tcW w:w="9072" w:type="dxa"/>
            <w:tcBorders>
              <w:left w:val="nil"/>
            </w:tcBorders>
          </w:tcPr>
          <w:p w14:paraId="224D4E8C" w14:textId="665DF909" w:rsidR="00701EB2" w:rsidRPr="00701EB2" w:rsidRDefault="00F04FB8" w:rsidP="0007251D">
            <w:pPr>
              <w:pStyle w:val="Default"/>
              <w:spacing w:before="80" w:after="80"/>
              <w:rPr>
                <w:rFonts w:asciiTheme="minorHAnsi" w:hAnsiTheme="minorHAnsi" w:cstheme="minorHAnsi"/>
                <w:sz w:val="20"/>
                <w:szCs w:val="20"/>
                <w:shd w:val="clear" w:color="auto" w:fill="FFFFFF"/>
              </w:rPr>
            </w:pPr>
            <w:r>
              <w:rPr>
                <w:rFonts w:asciiTheme="minorHAnsi" w:hAnsiTheme="minorHAnsi" w:cstheme="minorHAnsi"/>
                <w:sz w:val="20"/>
                <w:szCs w:val="20"/>
              </w:rPr>
              <w:t>201</w:t>
            </w:r>
            <w:r w:rsidR="00DB278D">
              <w:rPr>
                <w:rFonts w:asciiTheme="minorHAnsi" w:hAnsiTheme="minorHAnsi" w:cstheme="minorHAnsi"/>
                <w:sz w:val="20"/>
                <w:szCs w:val="20"/>
              </w:rPr>
              <w:t>7</w:t>
            </w:r>
            <w:r>
              <w:rPr>
                <w:rFonts w:asciiTheme="minorHAnsi" w:hAnsiTheme="minorHAnsi" w:cstheme="minorHAnsi"/>
                <w:sz w:val="20"/>
                <w:szCs w:val="20"/>
              </w:rPr>
              <w:t xml:space="preserve">, United Nations; </w:t>
            </w:r>
            <w:r w:rsidRPr="00F04FB8">
              <w:rPr>
                <w:rFonts w:asciiTheme="minorHAnsi" w:hAnsiTheme="minorHAnsi" w:cstheme="minorHAnsi"/>
                <w:i/>
                <w:iCs/>
                <w:sz w:val="20"/>
                <w:szCs w:val="20"/>
              </w:rPr>
              <w:t>“</w:t>
            </w:r>
            <w:r w:rsidRPr="00F04FB8">
              <w:rPr>
                <w:rFonts w:asciiTheme="minorHAnsi" w:hAnsiTheme="minorHAnsi" w:cstheme="minorHAnsi"/>
                <w:i/>
                <w:iCs/>
                <w:sz w:val="20"/>
                <w:szCs w:val="20"/>
                <w:shd w:val="clear" w:color="auto" w:fill="FFFFFF"/>
              </w:rPr>
              <w:t xml:space="preserve">Regrettably, recent decades have been marked with excessive medicalization of mental health and the overuse of biomedical interventions, including in the treatment of depression and </w:t>
            </w:r>
            <w:r w:rsidRPr="00F04FB8">
              <w:rPr>
                <w:rFonts w:asciiTheme="minorHAnsi" w:hAnsiTheme="minorHAnsi" w:cstheme="minorHAnsi"/>
                <w:i/>
                <w:iCs/>
                <w:sz w:val="20"/>
                <w:szCs w:val="20"/>
                <w:shd w:val="clear" w:color="auto" w:fill="FFFFFF"/>
              </w:rPr>
              <w:lastRenderedPageBreak/>
              <w:t xml:space="preserve">suicide prevention. The biased and selective use of research outcomes has negatively influenced mental health policies and services. Important stakeholders, including the general public, rights holders using mental health services, policymakers, medical students, and medical doctors have been misinformed.  </w:t>
            </w:r>
            <w:r w:rsidRPr="00DA4582">
              <w:rPr>
                <w:rFonts w:asciiTheme="minorHAnsi" w:hAnsiTheme="minorHAnsi" w:cstheme="minorHAnsi"/>
                <w:b/>
                <w:bCs/>
                <w:i/>
                <w:iCs/>
                <w:sz w:val="20"/>
                <w:szCs w:val="20"/>
                <w:shd w:val="clear" w:color="auto" w:fill="FFFFFF"/>
              </w:rPr>
              <w:t>The use of psychotropic medications as the first line treatment for depression and other conditions is, quite simply, unsupported by the evidence.</w:t>
            </w:r>
            <w:r w:rsidRPr="00F04FB8">
              <w:rPr>
                <w:rFonts w:asciiTheme="minorHAnsi" w:hAnsiTheme="minorHAnsi" w:cstheme="minorHAnsi"/>
                <w:i/>
                <w:iCs/>
                <w:sz w:val="20"/>
                <w:szCs w:val="20"/>
                <w:shd w:val="clear" w:color="auto" w:fill="FFFFFF"/>
              </w:rPr>
              <w:t xml:space="preserve"> The excessive use of medications and other biomedical interventions, based on a reductive neurobiological paradigm </w:t>
            </w:r>
            <w:r w:rsidRPr="00DA4582">
              <w:rPr>
                <w:rFonts w:asciiTheme="minorHAnsi" w:hAnsiTheme="minorHAnsi" w:cstheme="minorHAnsi"/>
                <w:b/>
                <w:bCs/>
                <w:i/>
                <w:iCs/>
                <w:sz w:val="20"/>
                <w:szCs w:val="20"/>
                <w:shd w:val="clear" w:color="auto" w:fill="FFFFFF"/>
              </w:rPr>
              <w:t>causes more harm than good, undermines the right to health, and must be abandoned</w:t>
            </w:r>
            <w:r w:rsidRPr="00F04FB8">
              <w:rPr>
                <w:rFonts w:asciiTheme="minorHAnsi" w:hAnsiTheme="minorHAnsi" w:cstheme="minorHAnsi"/>
                <w:i/>
                <w:iCs/>
                <w:sz w:val="20"/>
                <w:szCs w:val="20"/>
                <w:shd w:val="clear" w:color="auto" w:fill="FFFFFF"/>
              </w:rPr>
              <w:t>.</w:t>
            </w:r>
            <w:r>
              <w:rPr>
                <w:rFonts w:asciiTheme="minorHAnsi" w:hAnsiTheme="minorHAnsi" w:cstheme="minorHAnsi"/>
                <w:i/>
                <w:iCs/>
                <w:sz w:val="20"/>
                <w:szCs w:val="20"/>
                <w:shd w:val="clear" w:color="auto" w:fill="FFFFFF"/>
              </w:rPr>
              <w:t xml:space="preserve">” </w:t>
            </w:r>
            <w:r w:rsidR="00EC6921" w:rsidRPr="00EC6921">
              <w:rPr>
                <w:rFonts w:asciiTheme="minorHAnsi" w:hAnsiTheme="minorHAnsi" w:cstheme="minorHAnsi"/>
                <w:i/>
                <w:iCs/>
                <w:sz w:val="20"/>
                <w:szCs w:val="20"/>
                <w:shd w:val="clear" w:color="auto" w:fill="FFFFFF"/>
              </w:rPr>
              <w:t>(</w:t>
            </w:r>
            <w:r w:rsidR="00EC6921" w:rsidRPr="00EC6921">
              <w:rPr>
                <w:rFonts w:asciiTheme="minorHAnsi" w:hAnsiTheme="minorHAnsi" w:cstheme="minorHAnsi"/>
                <w:sz w:val="20"/>
                <w:szCs w:val="20"/>
                <w:shd w:val="clear" w:color="auto" w:fill="FFFFFF"/>
              </w:rPr>
              <w:t>Dainius Pūras)</w:t>
            </w:r>
          </w:p>
        </w:tc>
        <w:tc>
          <w:tcPr>
            <w:tcW w:w="704" w:type="dxa"/>
            <w:tcBorders>
              <w:right w:val="nil"/>
            </w:tcBorders>
          </w:tcPr>
          <w:p w14:paraId="0ACB120D" w14:textId="77777777" w:rsidR="00D327BC" w:rsidRPr="00D327BC" w:rsidRDefault="00D327BC" w:rsidP="0007251D">
            <w:pPr>
              <w:pStyle w:val="Default"/>
              <w:rPr>
                <w:rFonts w:asciiTheme="minorHAnsi" w:hAnsiTheme="minorHAnsi" w:cstheme="minorHAnsi"/>
                <w:sz w:val="20"/>
                <w:szCs w:val="20"/>
                <w:lang w:val="en-US"/>
              </w:rPr>
            </w:pPr>
          </w:p>
        </w:tc>
      </w:tr>
    </w:tbl>
    <w:p w14:paraId="4E14D816" w14:textId="77777777" w:rsidR="00C24620" w:rsidRDefault="00C24620" w:rsidP="00D90046">
      <w:pPr>
        <w:pStyle w:val="ListParagraph"/>
        <w:jc w:val="both"/>
        <w:rPr>
          <w:lang w:val="en-US"/>
        </w:rPr>
      </w:pPr>
    </w:p>
    <w:p w14:paraId="38A95AA6" w14:textId="756DC441" w:rsidR="00C425F2" w:rsidRDefault="00762ACC" w:rsidP="00D327BC">
      <w:pPr>
        <w:pStyle w:val="ListParagraph"/>
        <w:jc w:val="both"/>
        <w:rPr>
          <w:lang w:val="en-US"/>
        </w:rPr>
      </w:pPr>
      <w:r>
        <w:rPr>
          <w:lang w:val="en-US"/>
        </w:rPr>
        <w:t>Th</w:t>
      </w:r>
      <w:r w:rsidR="001E577E">
        <w:rPr>
          <w:lang w:val="en-US"/>
        </w:rPr>
        <w:t>e above</w:t>
      </w:r>
      <w:r w:rsidR="00DE3DDC">
        <w:rPr>
          <w:lang w:val="en-US"/>
        </w:rPr>
        <w:t xml:space="preserve"> is</w:t>
      </w:r>
      <w:r w:rsidR="001E577E">
        <w:rPr>
          <w:lang w:val="en-US"/>
        </w:rPr>
        <w:t xml:space="preserve"> </w:t>
      </w:r>
      <w:r>
        <w:rPr>
          <w:lang w:val="en-US"/>
        </w:rPr>
        <w:t>strong evidence</w:t>
      </w:r>
      <w:r w:rsidR="001E577E">
        <w:rPr>
          <w:lang w:val="en-US"/>
        </w:rPr>
        <w:t xml:space="preserve">. </w:t>
      </w:r>
      <w:r w:rsidR="00C87589">
        <w:rPr>
          <w:lang w:val="en-US"/>
        </w:rPr>
        <w:t xml:space="preserve">However, there will always be a voice looking for a way to say that this remains </w:t>
      </w:r>
      <w:r w:rsidR="001E577E">
        <w:rPr>
          <w:lang w:val="en-US"/>
        </w:rPr>
        <w:t>controversial. The only thing that</w:t>
      </w:r>
      <w:r w:rsidR="00DB278D">
        <w:rPr>
          <w:lang w:val="en-US"/>
        </w:rPr>
        <w:t xml:space="preserve"> should ever</w:t>
      </w:r>
      <w:r w:rsidR="001E577E">
        <w:rPr>
          <w:lang w:val="en-US"/>
        </w:rPr>
        <w:t xml:space="preserve"> matter </w:t>
      </w:r>
      <w:r w:rsidR="00DE3DDC">
        <w:rPr>
          <w:lang w:val="en-US"/>
        </w:rPr>
        <w:t xml:space="preserve">is </w:t>
      </w:r>
      <w:r w:rsidR="00996B0E">
        <w:rPr>
          <w:lang w:val="en-US"/>
        </w:rPr>
        <w:t xml:space="preserve">the </w:t>
      </w:r>
      <w:r>
        <w:rPr>
          <w:lang w:val="en-US"/>
        </w:rPr>
        <w:t>person sitting in front</w:t>
      </w:r>
      <w:r w:rsidR="0007251D">
        <w:rPr>
          <w:lang w:val="en-US"/>
        </w:rPr>
        <w:t xml:space="preserve"> of </w:t>
      </w:r>
      <w:r w:rsidR="006D14DF">
        <w:rPr>
          <w:lang w:val="en-US"/>
        </w:rPr>
        <w:t xml:space="preserve">the </w:t>
      </w:r>
      <w:r w:rsidR="0007251D">
        <w:rPr>
          <w:lang w:val="en-US"/>
        </w:rPr>
        <w:t>doctor</w:t>
      </w:r>
      <w:r w:rsidR="00337CBC">
        <w:rPr>
          <w:lang w:val="en-US"/>
        </w:rPr>
        <w:t xml:space="preserve">, and how they responded to prescribed treatment. </w:t>
      </w:r>
      <w:r w:rsidR="00996B0E">
        <w:rPr>
          <w:lang w:val="en-US"/>
        </w:rPr>
        <w:t xml:space="preserve">I </w:t>
      </w:r>
      <w:r w:rsidR="00337CBC">
        <w:rPr>
          <w:lang w:val="en-US"/>
        </w:rPr>
        <w:t>attended</w:t>
      </w:r>
      <w:r w:rsidR="00996B0E">
        <w:rPr>
          <w:lang w:val="en-US"/>
        </w:rPr>
        <w:t xml:space="preserve"> over 150 appointment</w:t>
      </w:r>
      <w:r w:rsidR="006D14DF">
        <w:rPr>
          <w:lang w:val="en-US"/>
        </w:rPr>
        <w:t>s</w:t>
      </w:r>
      <w:r w:rsidR="00996B0E">
        <w:rPr>
          <w:lang w:val="en-US"/>
        </w:rPr>
        <w:t xml:space="preserve"> with psychiatrist</w:t>
      </w:r>
      <w:r w:rsidR="001E577E">
        <w:rPr>
          <w:lang w:val="en-US"/>
        </w:rPr>
        <w:t xml:space="preserve"> in that </w:t>
      </w:r>
      <w:r w:rsidR="00996B0E">
        <w:rPr>
          <w:lang w:val="en-US"/>
        </w:rPr>
        <w:t>ten</w:t>
      </w:r>
      <w:r w:rsidR="001E577E">
        <w:rPr>
          <w:lang w:val="en-US"/>
        </w:rPr>
        <w:t>-</w:t>
      </w:r>
      <w:r w:rsidR="00996B0E">
        <w:rPr>
          <w:lang w:val="en-US"/>
        </w:rPr>
        <w:t>year period, I was unstable</w:t>
      </w:r>
      <w:r w:rsidR="006D14DF">
        <w:rPr>
          <w:lang w:val="en-US"/>
        </w:rPr>
        <w:t xml:space="preserve">. </w:t>
      </w:r>
      <w:r w:rsidR="00337CBC">
        <w:rPr>
          <w:lang w:val="en-US"/>
        </w:rPr>
        <w:t>Despite this, n</w:t>
      </w:r>
      <w:r w:rsidR="00996B0E">
        <w:rPr>
          <w:lang w:val="en-US"/>
        </w:rPr>
        <w:t xml:space="preserve">ot once did </w:t>
      </w:r>
      <w:r w:rsidR="00337CBC">
        <w:rPr>
          <w:lang w:val="en-US"/>
        </w:rPr>
        <w:t xml:space="preserve">my psychiatrist </w:t>
      </w:r>
      <w:r w:rsidR="00C339D9">
        <w:rPr>
          <w:lang w:val="en-US"/>
        </w:rPr>
        <w:t xml:space="preserve">revert to the RANZCP clinical </w:t>
      </w:r>
      <w:r w:rsidR="00C87589">
        <w:rPr>
          <w:lang w:val="en-US"/>
        </w:rPr>
        <w:t xml:space="preserve">treatment </w:t>
      </w:r>
      <w:r w:rsidR="00996B0E">
        <w:rPr>
          <w:lang w:val="en-US"/>
        </w:rPr>
        <w:t>guidelines</w:t>
      </w:r>
      <w:r w:rsidR="00C87589">
        <w:rPr>
          <w:lang w:val="en-US"/>
        </w:rPr>
        <w:t>.</w:t>
      </w:r>
    </w:p>
    <w:p w14:paraId="2E766A57" w14:textId="2DEACD6B" w:rsidR="00330E90" w:rsidRDefault="00762ACC" w:rsidP="00996B0E">
      <w:pPr>
        <w:pStyle w:val="ListParagraph"/>
        <w:jc w:val="both"/>
        <w:rPr>
          <w:lang w:val="en-US"/>
        </w:rPr>
      </w:pPr>
      <w:r>
        <w:rPr>
          <w:lang w:val="en-US"/>
        </w:rPr>
        <w:br/>
      </w:r>
      <w:r w:rsidR="00C24620">
        <w:rPr>
          <w:lang w:val="en-US"/>
        </w:rPr>
        <w:t>Prof White</w:t>
      </w:r>
      <w:r w:rsidR="00F0241C">
        <w:rPr>
          <w:lang w:val="en-US"/>
        </w:rPr>
        <w:t>ford</w:t>
      </w:r>
      <w:r w:rsidR="00C24620">
        <w:rPr>
          <w:lang w:val="en-US"/>
        </w:rPr>
        <w:t xml:space="preserve"> asked </w:t>
      </w:r>
      <w:r w:rsidR="00BD42B9">
        <w:rPr>
          <w:lang w:val="en-US"/>
        </w:rPr>
        <w:t xml:space="preserve">me </w:t>
      </w:r>
      <w:r w:rsidR="00C24620">
        <w:rPr>
          <w:lang w:val="en-US"/>
        </w:rPr>
        <w:t xml:space="preserve">at the Hearing if my treatment was </w:t>
      </w:r>
      <w:r w:rsidR="00DB278D">
        <w:rPr>
          <w:lang w:val="en-US"/>
        </w:rPr>
        <w:t>off</w:t>
      </w:r>
      <w:r w:rsidR="00E547E2">
        <w:rPr>
          <w:lang w:val="en-US"/>
        </w:rPr>
        <w:t>-</w:t>
      </w:r>
      <w:r w:rsidR="00DB278D">
        <w:rPr>
          <w:lang w:val="en-US"/>
        </w:rPr>
        <w:t>label</w:t>
      </w:r>
      <w:r w:rsidR="00E547E2">
        <w:rPr>
          <w:lang w:val="en-US"/>
        </w:rPr>
        <w:t xml:space="preserve"> </w:t>
      </w:r>
      <w:r w:rsidR="00E547E2" w:rsidRPr="00E547E2">
        <w:rPr>
          <w:sz w:val="16"/>
          <w:szCs w:val="16"/>
          <w:lang w:val="en-US"/>
        </w:rPr>
        <w:t>(</w:t>
      </w:r>
      <w:r w:rsidR="00E547E2" w:rsidRPr="00E547E2">
        <w:rPr>
          <w:rFonts w:cstheme="minorHAnsi"/>
          <w:color w:val="000000"/>
          <w:sz w:val="16"/>
          <w:szCs w:val="16"/>
          <w:shd w:val="clear" w:color="auto" w:fill="FFFFFF"/>
        </w:rPr>
        <w:t>RANZCP,2018)</w:t>
      </w:r>
      <w:r w:rsidR="00C24620" w:rsidRPr="00E547E2">
        <w:rPr>
          <w:sz w:val="16"/>
          <w:szCs w:val="16"/>
          <w:lang w:val="en-US"/>
        </w:rPr>
        <w:t xml:space="preserve">. </w:t>
      </w:r>
      <w:r w:rsidR="00BD42B9">
        <w:rPr>
          <w:lang w:val="en-US"/>
        </w:rPr>
        <w:t xml:space="preserve">I would like to </w:t>
      </w:r>
      <w:r w:rsidR="001E577E">
        <w:rPr>
          <w:lang w:val="en-US"/>
        </w:rPr>
        <w:t>clarify</w:t>
      </w:r>
      <w:r w:rsidR="00F0241C">
        <w:rPr>
          <w:lang w:val="en-US"/>
        </w:rPr>
        <w:t xml:space="preserve"> my response. It was not off</w:t>
      </w:r>
      <w:r w:rsidR="00D02B48">
        <w:rPr>
          <w:lang w:val="en-US"/>
        </w:rPr>
        <w:t xml:space="preserve"> </w:t>
      </w:r>
      <w:r w:rsidR="00DB278D">
        <w:rPr>
          <w:lang w:val="en-US"/>
        </w:rPr>
        <w:t>label</w:t>
      </w:r>
      <w:r w:rsidR="005570C6">
        <w:rPr>
          <w:lang w:val="en-US"/>
        </w:rPr>
        <w:t xml:space="preserve">, as none of the following </w:t>
      </w:r>
      <w:r w:rsidR="00337CBC">
        <w:rPr>
          <w:lang w:val="en-US"/>
        </w:rPr>
        <w:t xml:space="preserve">steps </w:t>
      </w:r>
      <w:r w:rsidR="005570C6">
        <w:rPr>
          <w:lang w:val="en-US"/>
        </w:rPr>
        <w:t>occurred</w:t>
      </w:r>
      <w:r w:rsidR="00DB278D">
        <w:rPr>
          <w:lang w:val="en-US"/>
        </w:rPr>
        <w:t>: -</w:t>
      </w:r>
      <w:r w:rsidR="00330E90">
        <w:rPr>
          <w:lang w:val="en-US"/>
        </w:rPr>
        <w:t xml:space="preserve"> </w:t>
      </w:r>
    </w:p>
    <w:p w14:paraId="48DE8053" w14:textId="04312C1A" w:rsidR="00280AD4" w:rsidRDefault="00330E90" w:rsidP="00280AD4">
      <w:pPr>
        <w:pStyle w:val="ListParagraph"/>
        <w:ind w:left="1440"/>
        <w:jc w:val="both"/>
        <w:rPr>
          <w:sz w:val="20"/>
          <w:szCs w:val="20"/>
          <w:lang w:val="en-US"/>
        </w:rPr>
      </w:pPr>
      <w:r>
        <w:rPr>
          <w:lang w:val="en-US"/>
        </w:rPr>
        <w:t>- O</w:t>
      </w:r>
      <w:r w:rsidR="00BD42B9">
        <w:rPr>
          <w:lang w:val="en-US"/>
        </w:rPr>
        <w:t>ff</w:t>
      </w:r>
      <w:r w:rsidR="00FC6ECA">
        <w:rPr>
          <w:lang w:val="en-US"/>
        </w:rPr>
        <w:t>-</w:t>
      </w:r>
      <w:r w:rsidR="00BD42B9">
        <w:rPr>
          <w:lang w:val="en-US"/>
        </w:rPr>
        <w:t>label</w:t>
      </w:r>
      <w:r>
        <w:rPr>
          <w:lang w:val="en-US"/>
        </w:rPr>
        <w:t xml:space="preserve"> </w:t>
      </w:r>
      <w:r w:rsidR="00C24620">
        <w:rPr>
          <w:lang w:val="en-US"/>
        </w:rPr>
        <w:t>would have</w:t>
      </w:r>
      <w:r w:rsidR="00DB555B">
        <w:rPr>
          <w:lang w:val="en-US"/>
        </w:rPr>
        <w:t xml:space="preserve"> required </w:t>
      </w:r>
      <w:r w:rsidR="00C339D9">
        <w:rPr>
          <w:lang w:val="en-US"/>
        </w:rPr>
        <w:t xml:space="preserve">using standard </w:t>
      </w:r>
      <w:r w:rsidR="00DB555B">
        <w:rPr>
          <w:lang w:val="en-US"/>
        </w:rPr>
        <w:t>treat</w:t>
      </w:r>
      <w:r w:rsidR="00C339D9">
        <w:rPr>
          <w:lang w:val="en-US"/>
        </w:rPr>
        <w:t xml:space="preserve">ment for my presentation first. </w:t>
      </w:r>
      <w:r w:rsidR="00DB555B">
        <w:rPr>
          <w:lang w:val="en-US"/>
        </w:rPr>
        <w:t xml:space="preserve">Not once </w:t>
      </w:r>
      <w:r w:rsidR="00AE31D9" w:rsidRPr="00AE31D9">
        <w:rPr>
          <w:lang w:val="en-US"/>
        </w:rPr>
        <w:t>f</w:t>
      </w:r>
      <w:r w:rsidR="00CE7727" w:rsidRPr="00AE31D9">
        <w:rPr>
          <w:lang w:val="en-US"/>
        </w:rPr>
        <w:t xml:space="preserve">rom 2006-2016 </w:t>
      </w:r>
      <w:r w:rsidR="00AE31D9" w:rsidRPr="00AE31D9">
        <w:rPr>
          <w:lang w:val="en-US"/>
        </w:rPr>
        <w:t xml:space="preserve">were </w:t>
      </w:r>
      <w:r w:rsidR="00DB278D" w:rsidRPr="00AE31D9">
        <w:rPr>
          <w:lang w:val="en-US"/>
        </w:rPr>
        <w:t>antidepressants</w:t>
      </w:r>
      <w:r w:rsidR="00AE31D9" w:rsidRPr="00AE31D9">
        <w:rPr>
          <w:lang w:val="en-US"/>
        </w:rPr>
        <w:t xml:space="preserve"> excluded in my treatment</w:t>
      </w:r>
      <w:r w:rsidR="00CE7727" w:rsidRPr="00AE31D9">
        <w:rPr>
          <w:lang w:val="en-US"/>
        </w:rPr>
        <w:t xml:space="preserve">. </w:t>
      </w:r>
      <w:r w:rsidR="00280AD4" w:rsidRPr="00280AD4">
        <w:rPr>
          <w:sz w:val="20"/>
          <w:szCs w:val="20"/>
          <w:lang w:val="en-US"/>
        </w:rPr>
        <w:t>“antidepressant therapy should be avoided during mixed state”</w:t>
      </w:r>
      <w:r w:rsidR="00F73CC0">
        <w:rPr>
          <w:sz w:val="20"/>
          <w:szCs w:val="20"/>
          <w:lang w:val="en-US"/>
        </w:rPr>
        <w:t xml:space="preserve"> </w:t>
      </w:r>
      <w:r w:rsidR="00F73CC0" w:rsidRPr="00F73CC0">
        <w:rPr>
          <w:sz w:val="16"/>
          <w:szCs w:val="16"/>
          <w:lang w:val="en-US"/>
        </w:rPr>
        <w:t>(RANZCP</w:t>
      </w:r>
      <w:r w:rsidR="00F73CC0">
        <w:rPr>
          <w:sz w:val="16"/>
          <w:szCs w:val="16"/>
          <w:lang w:val="en-US"/>
        </w:rPr>
        <w:t>,</w:t>
      </w:r>
      <w:r w:rsidR="00F73CC0" w:rsidRPr="00F73CC0">
        <w:rPr>
          <w:sz w:val="16"/>
          <w:szCs w:val="16"/>
          <w:lang w:val="en-US"/>
        </w:rPr>
        <w:t>2015)</w:t>
      </w:r>
    </w:p>
    <w:p w14:paraId="01185394" w14:textId="614A3FBE" w:rsidR="00330E90" w:rsidRPr="00280AD4" w:rsidRDefault="00330E90" w:rsidP="00280AD4">
      <w:pPr>
        <w:pStyle w:val="ListParagraph"/>
        <w:ind w:left="1440"/>
        <w:jc w:val="both"/>
        <w:rPr>
          <w:sz w:val="20"/>
          <w:szCs w:val="20"/>
          <w:lang w:val="en-US"/>
        </w:rPr>
      </w:pPr>
      <w:r w:rsidRPr="00280AD4">
        <w:rPr>
          <w:lang w:val="en-US"/>
        </w:rPr>
        <w:t xml:space="preserve">- </w:t>
      </w:r>
      <w:r w:rsidR="00DB555B">
        <w:rPr>
          <w:lang w:val="en-US"/>
        </w:rPr>
        <w:t>O</w:t>
      </w:r>
      <w:r w:rsidR="00C24620" w:rsidRPr="00280AD4">
        <w:rPr>
          <w:lang w:val="en-US"/>
        </w:rPr>
        <w:t>ff</w:t>
      </w:r>
      <w:r w:rsidR="00FC6ECA">
        <w:rPr>
          <w:lang w:val="en-US"/>
        </w:rPr>
        <w:t>-</w:t>
      </w:r>
      <w:r w:rsidR="00C24620" w:rsidRPr="00280AD4">
        <w:rPr>
          <w:lang w:val="en-US"/>
        </w:rPr>
        <w:t xml:space="preserve">label </w:t>
      </w:r>
      <w:r w:rsidR="00DB555B">
        <w:rPr>
          <w:lang w:val="en-US"/>
        </w:rPr>
        <w:t xml:space="preserve">treatment </w:t>
      </w:r>
      <w:r w:rsidR="00996B0E" w:rsidRPr="00280AD4">
        <w:rPr>
          <w:lang w:val="en-US"/>
        </w:rPr>
        <w:t>benefit</w:t>
      </w:r>
      <w:r w:rsidR="00C339D9">
        <w:rPr>
          <w:lang w:val="en-US"/>
        </w:rPr>
        <w:t>s</w:t>
      </w:r>
      <w:r w:rsidR="00996B0E" w:rsidRPr="00280AD4">
        <w:rPr>
          <w:lang w:val="en-US"/>
        </w:rPr>
        <w:t xml:space="preserve"> </w:t>
      </w:r>
      <w:r w:rsidR="00AE31D9">
        <w:rPr>
          <w:lang w:val="en-US"/>
        </w:rPr>
        <w:t>would</w:t>
      </w:r>
      <w:r w:rsidR="00C339D9">
        <w:rPr>
          <w:lang w:val="en-US"/>
        </w:rPr>
        <w:t xml:space="preserve"> </w:t>
      </w:r>
      <w:r w:rsidR="00996B0E" w:rsidRPr="00280AD4">
        <w:rPr>
          <w:lang w:val="en-US"/>
        </w:rPr>
        <w:t>outweigh</w:t>
      </w:r>
      <w:r w:rsidR="00AE31D9">
        <w:rPr>
          <w:lang w:val="en-US"/>
        </w:rPr>
        <w:t xml:space="preserve"> </w:t>
      </w:r>
      <w:r w:rsidR="00C339D9">
        <w:rPr>
          <w:lang w:val="en-US"/>
        </w:rPr>
        <w:t xml:space="preserve">the </w:t>
      </w:r>
      <w:r w:rsidR="00996B0E" w:rsidRPr="00280AD4">
        <w:rPr>
          <w:lang w:val="en-US"/>
        </w:rPr>
        <w:t>risks</w:t>
      </w:r>
      <w:r w:rsidRPr="00280AD4">
        <w:rPr>
          <w:lang w:val="en-US"/>
        </w:rPr>
        <w:t xml:space="preserve">. </w:t>
      </w:r>
      <w:r w:rsidRPr="00C339D9">
        <w:rPr>
          <w:sz w:val="20"/>
          <w:szCs w:val="20"/>
          <w:lang w:val="en-US"/>
        </w:rPr>
        <w:t>“</w:t>
      </w:r>
      <w:r w:rsidR="00C339D9" w:rsidRPr="00C339D9">
        <w:rPr>
          <w:i/>
          <w:iCs/>
          <w:sz w:val="20"/>
          <w:szCs w:val="20"/>
          <w:lang w:val="en-US"/>
        </w:rPr>
        <w:t xml:space="preserve">antidepressants </w:t>
      </w:r>
      <w:r w:rsidRPr="00C339D9">
        <w:rPr>
          <w:i/>
          <w:iCs/>
          <w:sz w:val="20"/>
          <w:szCs w:val="20"/>
          <w:lang w:val="en-US"/>
        </w:rPr>
        <w:t xml:space="preserve">cannot be </w:t>
      </w:r>
      <w:r w:rsidRPr="00C339D9">
        <w:rPr>
          <w:i/>
          <w:iCs/>
          <w:sz w:val="20"/>
          <w:szCs w:val="20"/>
        </w:rPr>
        <w:t xml:space="preserve">recommended and may be potentially hazardous” </w:t>
      </w:r>
      <w:r w:rsidRPr="00F73CC0">
        <w:rPr>
          <w:i/>
          <w:iCs/>
          <w:sz w:val="16"/>
          <w:szCs w:val="16"/>
        </w:rPr>
        <w:t>(</w:t>
      </w:r>
      <w:r w:rsidRPr="00F73CC0">
        <w:rPr>
          <w:sz w:val="16"/>
          <w:szCs w:val="16"/>
        </w:rPr>
        <w:t>WFSBP</w:t>
      </w:r>
      <w:r w:rsidR="00F73CC0" w:rsidRPr="00F73CC0">
        <w:rPr>
          <w:sz w:val="16"/>
          <w:szCs w:val="16"/>
        </w:rPr>
        <w:t>,2019</w:t>
      </w:r>
      <w:r w:rsidRPr="00F73CC0">
        <w:rPr>
          <w:sz w:val="16"/>
          <w:szCs w:val="16"/>
        </w:rPr>
        <w:t>).</w:t>
      </w:r>
    </w:p>
    <w:p w14:paraId="0CB450CD" w14:textId="3E13C732" w:rsidR="006C0AAC" w:rsidRDefault="00330E90" w:rsidP="008731D1">
      <w:pPr>
        <w:pStyle w:val="ListParagraph"/>
        <w:ind w:left="1440"/>
        <w:jc w:val="both"/>
        <w:rPr>
          <w:rFonts w:cstheme="minorHAnsi"/>
        </w:rPr>
      </w:pPr>
      <w:r>
        <w:rPr>
          <w:sz w:val="20"/>
          <w:szCs w:val="20"/>
        </w:rPr>
        <w:t>-</w:t>
      </w:r>
      <w:r>
        <w:rPr>
          <w:lang w:val="en-US"/>
        </w:rPr>
        <w:t xml:space="preserve"> </w:t>
      </w:r>
      <w:r w:rsidR="00DB555B">
        <w:rPr>
          <w:lang w:val="en-US"/>
        </w:rPr>
        <w:t xml:space="preserve">Identified </w:t>
      </w:r>
      <w:r w:rsidR="006D14DF">
        <w:rPr>
          <w:lang w:val="en-US"/>
        </w:rPr>
        <w:t>risks w</w:t>
      </w:r>
      <w:r w:rsidR="00DB555B">
        <w:rPr>
          <w:lang w:val="en-US"/>
        </w:rPr>
        <w:t xml:space="preserve">ere not </w:t>
      </w:r>
      <w:r w:rsidR="006D14DF">
        <w:rPr>
          <w:lang w:val="en-US"/>
        </w:rPr>
        <w:t>discussed</w:t>
      </w:r>
      <w:r w:rsidR="00DB555B">
        <w:rPr>
          <w:lang w:val="en-US"/>
        </w:rPr>
        <w:t xml:space="preserve"> or consent signed</w:t>
      </w:r>
      <w:r w:rsidR="006D14DF">
        <w:rPr>
          <w:lang w:val="en-US"/>
        </w:rPr>
        <w:t xml:space="preserve">. </w:t>
      </w:r>
      <w:r w:rsidR="00280AD4">
        <w:rPr>
          <w:lang w:val="en-US"/>
        </w:rPr>
        <w:t>“</w:t>
      </w:r>
      <w:r w:rsidR="00280AD4" w:rsidRPr="00280AD4">
        <w:rPr>
          <w:rFonts w:cstheme="minorHAnsi"/>
          <w:i/>
          <w:iCs/>
          <w:sz w:val="20"/>
          <w:szCs w:val="20"/>
        </w:rPr>
        <w:t>previous reaction to serotonergic drugs</w:t>
      </w:r>
      <w:r w:rsidR="00280AD4" w:rsidRPr="00F73CC0">
        <w:rPr>
          <w:rFonts w:cstheme="minorHAnsi"/>
          <w:i/>
          <w:iCs/>
          <w:sz w:val="18"/>
          <w:szCs w:val="18"/>
        </w:rPr>
        <w:t>”</w:t>
      </w:r>
      <w:r w:rsidR="00AE31D9">
        <w:rPr>
          <w:rFonts w:cstheme="minorHAnsi"/>
          <w:i/>
          <w:iCs/>
          <w:sz w:val="18"/>
          <w:szCs w:val="18"/>
        </w:rPr>
        <w:t xml:space="preserve"> </w:t>
      </w:r>
      <w:r w:rsidR="00F73CC0" w:rsidRPr="00F73CC0">
        <w:rPr>
          <w:rFonts w:cstheme="minorHAnsi"/>
          <w:i/>
          <w:iCs/>
          <w:sz w:val="16"/>
          <w:szCs w:val="16"/>
        </w:rPr>
        <w:t>(Med Records)</w:t>
      </w:r>
      <w:r w:rsidR="00F73CC0">
        <w:rPr>
          <w:rFonts w:cstheme="minorHAnsi"/>
          <w:i/>
          <w:iCs/>
          <w:sz w:val="16"/>
          <w:szCs w:val="16"/>
        </w:rPr>
        <w:t xml:space="preserve">. </w:t>
      </w:r>
      <w:r w:rsidR="00F73CC0" w:rsidRPr="00F73CC0">
        <w:rPr>
          <w:rFonts w:cstheme="minorHAnsi"/>
        </w:rPr>
        <w:t xml:space="preserve"> </w:t>
      </w:r>
    </w:p>
    <w:p w14:paraId="5C81E582" w14:textId="34DDD079" w:rsidR="00FC6ECA" w:rsidRDefault="00330E90" w:rsidP="00FC6ECA">
      <w:pPr>
        <w:pStyle w:val="ListParagraph"/>
        <w:ind w:left="1440"/>
        <w:jc w:val="both"/>
        <w:rPr>
          <w:rFonts w:eastAsia="Times New Roman" w:cstheme="minorHAnsi"/>
          <w:i/>
          <w:iCs/>
        </w:rPr>
      </w:pPr>
      <w:r>
        <w:rPr>
          <w:lang w:val="en-US"/>
        </w:rPr>
        <w:t xml:space="preserve">- </w:t>
      </w:r>
      <w:r w:rsidR="00DB555B">
        <w:rPr>
          <w:lang w:val="en-US"/>
        </w:rPr>
        <w:t xml:space="preserve">The </w:t>
      </w:r>
      <w:r w:rsidR="00FC6ECA">
        <w:rPr>
          <w:lang w:val="en-US"/>
        </w:rPr>
        <w:t>off-label</w:t>
      </w:r>
      <w:r w:rsidR="00DB555B">
        <w:rPr>
          <w:lang w:val="en-US"/>
        </w:rPr>
        <w:t xml:space="preserve"> trial should have been s</w:t>
      </w:r>
      <w:r w:rsidR="00FC6ECA">
        <w:rPr>
          <w:lang w:val="en-US"/>
        </w:rPr>
        <w:t>t</w:t>
      </w:r>
      <w:r w:rsidR="00DB555B">
        <w:rPr>
          <w:lang w:val="en-US"/>
        </w:rPr>
        <w:t>opped if risk</w:t>
      </w:r>
      <w:r w:rsidR="00FC6ECA">
        <w:rPr>
          <w:lang w:val="en-US"/>
        </w:rPr>
        <w:t xml:space="preserve">s were higher than benefits. </w:t>
      </w:r>
      <w:r w:rsidR="00280AD4" w:rsidRPr="00280AD4">
        <w:rPr>
          <w:i/>
          <w:iCs/>
          <w:sz w:val="20"/>
          <w:szCs w:val="20"/>
          <w:lang w:val="en-US"/>
        </w:rPr>
        <w:t>“prescription of antidepressants should take into account past history of TEAS”</w:t>
      </w:r>
      <w:r w:rsidR="00F73CC0" w:rsidRPr="00F73CC0">
        <w:rPr>
          <w:sz w:val="16"/>
          <w:szCs w:val="16"/>
          <w:lang w:val="en-US"/>
        </w:rPr>
        <w:t xml:space="preserve"> (RANZCP</w:t>
      </w:r>
      <w:r w:rsidR="00F73CC0">
        <w:rPr>
          <w:sz w:val="16"/>
          <w:szCs w:val="16"/>
          <w:lang w:val="en-US"/>
        </w:rPr>
        <w:t>,</w:t>
      </w:r>
      <w:r w:rsidR="00F73CC0" w:rsidRPr="00F73CC0">
        <w:rPr>
          <w:sz w:val="16"/>
          <w:szCs w:val="16"/>
          <w:lang w:val="en-US"/>
        </w:rPr>
        <w:t>2015)</w:t>
      </w:r>
      <w:r w:rsidR="00280AD4" w:rsidRPr="00280AD4">
        <w:rPr>
          <w:i/>
          <w:iCs/>
          <w:sz w:val="20"/>
          <w:szCs w:val="20"/>
          <w:lang w:val="en-US"/>
        </w:rPr>
        <w:t>;</w:t>
      </w:r>
      <w:r w:rsidR="00280AD4">
        <w:rPr>
          <w:lang w:val="en-US"/>
        </w:rPr>
        <w:t xml:space="preserve"> </w:t>
      </w:r>
      <w:r w:rsidR="008731D1">
        <w:rPr>
          <w:lang w:val="en-US"/>
        </w:rPr>
        <w:t xml:space="preserve">including </w:t>
      </w:r>
      <w:r w:rsidRPr="008731D1">
        <w:rPr>
          <w:rFonts w:eastAsia="Times New Roman" w:cstheme="minorHAnsi"/>
          <w:i/>
          <w:iCs/>
        </w:rPr>
        <w:t>“</w:t>
      </w:r>
      <w:r w:rsidRPr="00F73CC0">
        <w:rPr>
          <w:rFonts w:eastAsia="Times New Roman" w:cstheme="minorHAnsi"/>
          <w:i/>
          <w:iCs/>
          <w:sz w:val="20"/>
          <w:szCs w:val="20"/>
        </w:rPr>
        <w:t>lethal suicidal plan”</w:t>
      </w:r>
      <w:r w:rsidR="00FC6ECA" w:rsidRPr="00F73CC0">
        <w:rPr>
          <w:rFonts w:cstheme="minorHAnsi"/>
          <w:i/>
          <w:iCs/>
          <w:sz w:val="14"/>
          <w:szCs w:val="14"/>
        </w:rPr>
        <w:t xml:space="preserve"> </w:t>
      </w:r>
      <w:r w:rsidR="00FC6ECA" w:rsidRPr="00F73CC0">
        <w:rPr>
          <w:rFonts w:cstheme="minorHAnsi"/>
          <w:i/>
          <w:iCs/>
          <w:sz w:val="16"/>
          <w:szCs w:val="16"/>
        </w:rPr>
        <w:t>(Med Records)</w:t>
      </w:r>
      <w:r w:rsidR="00FC6ECA">
        <w:rPr>
          <w:rFonts w:eastAsia="Times New Roman" w:cstheme="minorHAnsi"/>
          <w:i/>
          <w:iCs/>
          <w:sz w:val="20"/>
          <w:szCs w:val="20"/>
        </w:rPr>
        <w:t xml:space="preserve">, TMS and </w:t>
      </w:r>
      <w:r w:rsidR="00FC6ECA" w:rsidRPr="00F73CC0">
        <w:rPr>
          <w:rFonts w:cstheme="minorHAnsi"/>
          <w:i/>
          <w:iCs/>
          <w:sz w:val="20"/>
          <w:szCs w:val="20"/>
          <w:lang w:val="en-US"/>
        </w:rPr>
        <w:t>“possibility of future course of ECT”</w:t>
      </w:r>
      <w:r w:rsidR="00FC6ECA" w:rsidRPr="00F73CC0">
        <w:rPr>
          <w:rFonts w:cstheme="minorHAnsi"/>
          <w:i/>
          <w:iCs/>
          <w:sz w:val="14"/>
          <w:szCs w:val="14"/>
        </w:rPr>
        <w:t xml:space="preserve"> </w:t>
      </w:r>
      <w:r w:rsidR="00FC6ECA" w:rsidRPr="00F73CC0">
        <w:rPr>
          <w:rFonts w:cstheme="minorHAnsi"/>
          <w:i/>
          <w:iCs/>
          <w:sz w:val="16"/>
          <w:szCs w:val="16"/>
        </w:rPr>
        <w:t>(Med Records)</w:t>
      </w:r>
      <w:r w:rsidR="00FC6ECA">
        <w:rPr>
          <w:rFonts w:cstheme="minorHAnsi"/>
          <w:i/>
          <w:iCs/>
          <w:sz w:val="16"/>
          <w:szCs w:val="16"/>
        </w:rPr>
        <w:t xml:space="preserve"> </w:t>
      </w:r>
      <w:r w:rsidR="00FC6ECA" w:rsidRPr="00FC6ECA">
        <w:rPr>
          <w:rFonts w:cstheme="minorHAnsi"/>
        </w:rPr>
        <w:t>to treat my drug reaction</w:t>
      </w:r>
      <w:r w:rsidR="00FC6ECA" w:rsidRPr="00FC6ECA">
        <w:rPr>
          <w:rFonts w:eastAsia="Times New Roman" w:cstheme="minorHAnsi"/>
        </w:rPr>
        <w:t>.</w:t>
      </w:r>
    </w:p>
    <w:p w14:paraId="4BB13279" w14:textId="537570FD" w:rsidR="00CE7727" w:rsidRDefault="008731D1" w:rsidP="008731D1">
      <w:pPr>
        <w:pStyle w:val="ListParagraph"/>
        <w:ind w:left="1440"/>
        <w:jc w:val="both"/>
        <w:rPr>
          <w:rFonts w:eastAsia="Times New Roman" w:cstheme="minorHAnsi"/>
          <w:i/>
          <w:iCs/>
        </w:rPr>
      </w:pPr>
      <w:r>
        <w:rPr>
          <w:rFonts w:eastAsia="Times New Roman" w:cstheme="minorHAnsi"/>
          <w:i/>
          <w:iCs/>
        </w:rPr>
        <w:t xml:space="preserve">- </w:t>
      </w:r>
      <w:r w:rsidRPr="008731D1">
        <w:rPr>
          <w:rFonts w:eastAsia="Times New Roman" w:cstheme="minorHAnsi"/>
        </w:rPr>
        <w:t>O</w:t>
      </w:r>
      <w:r w:rsidR="00CE7727" w:rsidRPr="008731D1">
        <w:rPr>
          <w:rFonts w:eastAsia="Times New Roman" w:cstheme="minorHAnsi"/>
        </w:rPr>
        <w:t>ngoing plans were</w:t>
      </w:r>
      <w:r w:rsidR="00CE7727" w:rsidRPr="00F0241C">
        <w:rPr>
          <w:rFonts w:eastAsia="Times New Roman" w:cstheme="minorHAnsi"/>
        </w:rPr>
        <w:t>:-</w:t>
      </w:r>
      <w:r w:rsidR="00CE7727">
        <w:rPr>
          <w:rFonts w:eastAsia="Times New Roman" w:cstheme="minorHAnsi"/>
          <w:i/>
          <w:iCs/>
        </w:rPr>
        <w:t xml:space="preserve">  </w:t>
      </w:r>
      <w:r w:rsidR="00CE7727" w:rsidRPr="00F73CC0">
        <w:rPr>
          <w:rFonts w:cstheme="minorHAnsi"/>
          <w:i/>
          <w:sz w:val="20"/>
          <w:szCs w:val="20"/>
          <w:lang w:val="en-US"/>
        </w:rPr>
        <w:t xml:space="preserve">“there is also the option of trialling or re-trialling an antidepressant”; </w:t>
      </w:r>
      <w:r w:rsidR="00CE7727" w:rsidRPr="00F73CC0">
        <w:rPr>
          <w:rFonts w:eastAsia="Times New Roman" w:cstheme="minorHAnsi"/>
          <w:i/>
          <w:iCs/>
          <w:sz w:val="20"/>
          <w:szCs w:val="20"/>
        </w:rPr>
        <w:t>“I cannot permanently exclude the option of antidepressants in the future”</w:t>
      </w:r>
      <w:r w:rsidR="00F73CC0" w:rsidRPr="00F73CC0">
        <w:rPr>
          <w:rFonts w:cstheme="minorHAnsi"/>
          <w:i/>
          <w:iCs/>
          <w:sz w:val="14"/>
          <w:szCs w:val="14"/>
        </w:rPr>
        <w:t xml:space="preserve"> </w:t>
      </w:r>
      <w:r w:rsidR="00F73CC0" w:rsidRPr="00F73CC0">
        <w:rPr>
          <w:rFonts w:cstheme="minorHAnsi"/>
          <w:i/>
          <w:iCs/>
          <w:sz w:val="16"/>
          <w:szCs w:val="16"/>
        </w:rPr>
        <w:t>(Med Records)</w:t>
      </w:r>
      <w:r w:rsidR="00CE7727">
        <w:rPr>
          <w:rFonts w:eastAsia="Times New Roman" w:cstheme="minorHAnsi"/>
          <w:i/>
          <w:iCs/>
        </w:rPr>
        <w:t>.</w:t>
      </w:r>
    </w:p>
    <w:p w14:paraId="3EDC9550" w14:textId="3DF729D6" w:rsidR="00CE7727" w:rsidRPr="00F0241C" w:rsidRDefault="00FC6ECA" w:rsidP="008731D1">
      <w:pPr>
        <w:pStyle w:val="Default"/>
        <w:spacing w:before="80" w:after="120"/>
        <w:ind w:left="7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My treatment was </w:t>
      </w:r>
      <w:r w:rsidR="008731D1">
        <w:rPr>
          <w:rFonts w:asciiTheme="minorHAnsi" w:hAnsiTheme="minorHAnsi" w:cstheme="minorHAnsi"/>
          <w:sz w:val="22"/>
          <w:szCs w:val="22"/>
          <w:lang w:val="en-US"/>
        </w:rPr>
        <w:t>reckless, not off</w:t>
      </w:r>
      <w:r w:rsidR="00B04F55">
        <w:rPr>
          <w:rFonts w:asciiTheme="minorHAnsi" w:hAnsiTheme="minorHAnsi" w:cstheme="minorHAnsi"/>
          <w:sz w:val="22"/>
          <w:szCs w:val="22"/>
          <w:lang w:val="en-US"/>
        </w:rPr>
        <w:t>-</w:t>
      </w:r>
      <w:r w:rsidR="008731D1">
        <w:rPr>
          <w:rFonts w:asciiTheme="minorHAnsi" w:hAnsiTheme="minorHAnsi" w:cstheme="minorHAnsi"/>
          <w:sz w:val="22"/>
          <w:szCs w:val="22"/>
          <w:lang w:val="en-US"/>
        </w:rPr>
        <w:t xml:space="preserve">label. </w:t>
      </w:r>
      <w:r w:rsidR="00CE7727" w:rsidRPr="00F0241C">
        <w:rPr>
          <w:rFonts w:asciiTheme="minorHAnsi" w:hAnsiTheme="minorHAnsi" w:cstheme="minorHAnsi"/>
          <w:sz w:val="22"/>
          <w:szCs w:val="22"/>
          <w:lang w:val="en-US"/>
        </w:rPr>
        <w:t>I was vulnerable</w:t>
      </w:r>
      <w:r w:rsidR="00B04F55">
        <w:rPr>
          <w:rFonts w:asciiTheme="minorHAnsi" w:hAnsiTheme="minorHAnsi" w:cstheme="minorHAnsi"/>
          <w:sz w:val="22"/>
          <w:szCs w:val="22"/>
          <w:lang w:val="en-US"/>
        </w:rPr>
        <w:t xml:space="preserve"> and had no choice but to believe the system </w:t>
      </w:r>
      <w:r w:rsidR="00C97E0E">
        <w:rPr>
          <w:rFonts w:asciiTheme="minorHAnsi" w:hAnsiTheme="minorHAnsi" w:cstheme="minorHAnsi"/>
          <w:sz w:val="22"/>
          <w:szCs w:val="22"/>
          <w:lang w:val="en-US"/>
        </w:rPr>
        <w:t xml:space="preserve">that </w:t>
      </w:r>
      <w:r w:rsidR="00B41E71">
        <w:rPr>
          <w:rFonts w:asciiTheme="minorHAnsi" w:hAnsiTheme="minorHAnsi" w:cstheme="minorHAnsi"/>
          <w:sz w:val="22"/>
          <w:szCs w:val="22"/>
          <w:lang w:val="en-US"/>
        </w:rPr>
        <w:t xml:space="preserve">failed me. </w:t>
      </w:r>
      <w:r w:rsidR="00CE7727" w:rsidRPr="00F0241C">
        <w:rPr>
          <w:rFonts w:asciiTheme="minorHAnsi" w:hAnsiTheme="minorHAnsi" w:cstheme="minorHAnsi"/>
          <w:sz w:val="22"/>
          <w:szCs w:val="22"/>
          <w:lang w:val="en-US"/>
        </w:rPr>
        <w:t>This does not need</w:t>
      </w:r>
      <w:r w:rsidR="00C97E0E">
        <w:rPr>
          <w:rFonts w:asciiTheme="minorHAnsi" w:hAnsiTheme="minorHAnsi" w:cstheme="minorHAnsi"/>
          <w:sz w:val="22"/>
          <w:szCs w:val="22"/>
          <w:lang w:val="en-US"/>
        </w:rPr>
        <w:t>s</w:t>
      </w:r>
      <w:r w:rsidR="00CE7727" w:rsidRPr="00F0241C">
        <w:rPr>
          <w:rFonts w:asciiTheme="minorHAnsi" w:hAnsiTheme="minorHAnsi" w:cstheme="minorHAnsi"/>
          <w:sz w:val="22"/>
          <w:szCs w:val="22"/>
          <w:lang w:val="en-US"/>
        </w:rPr>
        <w:t xml:space="preserve"> </w:t>
      </w:r>
      <w:r w:rsidR="00C97E0E">
        <w:rPr>
          <w:rFonts w:asciiTheme="minorHAnsi" w:hAnsiTheme="minorHAnsi" w:cstheme="minorHAnsi"/>
          <w:sz w:val="22"/>
          <w:szCs w:val="22"/>
          <w:lang w:val="en-US"/>
        </w:rPr>
        <w:t>more than</w:t>
      </w:r>
      <w:r w:rsidR="00CE7727" w:rsidRPr="00F0241C">
        <w:rPr>
          <w:rFonts w:asciiTheme="minorHAnsi" w:hAnsiTheme="minorHAnsi" w:cstheme="minorHAnsi"/>
          <w:sz w:val="22"/>
          <w:szCs w:val="22"/>
          <w:lang w:val="en-US"/>
        </w:rPr>
        <w:t xml:space="preserve"> CPD on side effects </w:t>
      </w:r>
      <w:r w:rsidR="00F0241C">
        <w:rPr>
          <w:rFonts w:asciiTheme="minorHAnsi" w:hAnsiTheme="minorHAnsi" w:cstheme="minorHAnsi"/>
          <w:sz w:val="22"/>
          <w:szCs w:val="22"/>
          <w:lang w:val="en-US"/>
        </w:rPr>
        <w:t xml:space="preserve">to stop widespread </w:t>
      </w:r>
      <w:r w:rsidR="00CE7727" w:rsidRPr="00F0241C">
        <w:rPr>
          <w:rFonts w:asciiTheme="minorHAnsi" w:hAnsiTheme="minorHAnsi" w:cstheme="minorHAnsi"/>
          <w:sz w:val="22"/>
          <w:szCs w:val="22"/>
          <w:lang w:val="en-US"/>
        </w:rPr>
        <w:t xml:space="preserve">intrenched treatment </w:t>
      </w:r>
      <w:r w:rsidR="00F0241C">
        <w:rPr>
          <w:rFonts w:asciiTheme="minorHAnsi" w:hAnsiTheme="minorHAnsi" w:cstheme="minorHAnsi"/>
          <w:sz w:val="22"/>
          <w:szCs w:val="22"/>
          <w:lang w:val="en-US"/>
        </w:rPr>
        <w:t xml:space="preserve">beliefs that if you add a mood stabilizer, </w:t>
      </w:r>
      <w:r w:rsidR="008731D1">
        <w:rPr>
          <w:rFonts w:asciiTheme="minorHAnsi" w:hAnsiTheme="minorHAnsi" w:cstheme="minorHAnsi"/>
          <w:sz w:val="22"/>
          <w:szCs w:val="22"/>
          <w:lang w:val="en-US"/>
        </w:rPr>
        <w:t xml:space="preserve">then </w:t>
      </w:r>
      <w:r w:rsidR="00F0241C">
        <w:rPr>
          <w:rFonts w:asciiTheme="minorHAnsi" w:hAnsiTheme="minorHAnsi" w:cstheme="minorHAnsi"/>
          <w:sz w:val="22"/>
          <w:szCs w:val="22"/>
          <w:lang w:val="en-US"/>
        </w:rPr>
        <w:t>ongoing prescription of antidepressants are o</w:t>
      </w:r>
      <w:r w:rsidR="00C97E0E">
        <w:rPr>
          <w:rFonts w:asciiTheme="minorHAnsi" w:hAnsiTheme="minorHAnsi" w:cstheme="minorHAnsi"/>
          <w:sz w:val="22"/>
          <w:szCs w:val="22"/>
          <w:lang w:val="en-US"/>
        </w:rPr>
        <w:t xml:space="preserve">k when </w:t>
      </w:r>
      <w:r w:rsidR="008731D1" w:rsidRPr="00FD40E2">
        <w:rPr>
          <w:rFonts w:asciiTheme="minorHAnsi" w:hAnsiTheme="minorHAnsi" w:cstheme="minorHAnsi"/>
          <w:b/>
          <w:bCs/>
          <w:sz w:val="22"/>
          <w:szCs w:val="22"/>
          <w:lang w:val="en-US"/>
        </w:rPr>
        <w:t>“</w:t>
      </w:r>
      <w:r w:rsidR="008731D1" w:rsidRPr="00FD40E2">
        <w:rPr>
          <w:b/>
          <w:bCs/>
          <w:i/>
          <w:iCs/>
          <w:sz w:val="22"/>
          <w:szCs w:val="22"/>
        </w:rPr>
        <w:t>There is insufficient evidence for treatment benefits with antidepressants combined with mood stabilizers”</w:t>
      </w:r>
      <w:r w:rsidR="008731D1" w:rsidRPr="00FD40E2">
        <w:rPr>
          <w:i/>
          <w:iCs/>
          <w:sz w:val="22"/>
          <w:szCs w:val="22"/>
        </w:rPr>
        <w:t xml:space="preserve"> (</w:t>
      </w:r>
      <w:r w:rsidR="00320C95">
        <w:rPr>
          <w:i/>
          <w:iCs/>
          <w:sz w:val="20"/>
          <w:szCs w:val="20"/>
        </w:rPr>
        <w:t xml:space="preserve">ISBD, </w:t>
      </w:r>
      <w:r w:rsidR="008731D1" w:rsidRPr="00D327BC">
        <w:rPr>
          <w:sz w:val="20"/>
          <w:szCs w:val="20"/>
        </w:rPr>
        <w:t>2013)</w:t>
      </w:r>
      <w:r w:rsidR="00CE7727" w:rsidRPr="00F0241C">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The Government should be outraged that this </w:t>
      </w:r>
      <w:r w:rsidR="00B04F55">
        <w:rPr>
          <w:rFonts w:asciiTheme="minorHAnsi" w:hAnsiTheme="minorHAnsi" w:cstheme="minorHAnsi"/>
          <w:sz w:val="22"/>
          <w:szCs w:val="22"/>
          <w:lang w:val="en-US"/>
        </w:rPr>
        <w:t>c</w:t>
      </w:r>
      <w:r>
        <w:rPr>
          <w:rFonts w:asciiTheme="minorHAnsi" w:hAnsiTheme="minorHAnsi" w:cstheme="minorHAnsi"/>
          <w:sz w:val="22"/>
          <w:szCs w:val="22"/>
          <w:lang w:val="en-US"/>
        </w:rPr>
        <w:t xml:space="preserve">ommon practice is still happening. </w:t>
      </w:r>
      <w:r w:rsidR="00297ED8" w:rsidRPr="00F0241C">
        <w:rPr>
          <w:rFonts w:asciiTheme="minorHAnsi" w:hAnsiTheme="minorHAnsi" w:cstheme="minorHAnsi"/>
          <w:sz w:val="22"/>
          <w:szCs w:val="22"/>
          <w:lang w:val="en-US"/>
        </w:rPr>
        <w:t xml:space="preserve"> </w:t>
      </w:r>
      <w:r w:rsidR="00F0241C">
        <w:rPr>
          <w:rFonts w:asciiTheme="minorHAnsi" w:hAnsiTheme="minorHAnsi" w:cstheme="minorHAnsi"/>
          <w:sz w:val="22"/>
          <w:szCs w:val="22"/>
          <w:lang w:val="en-US"/>
        </w:rPr>
        <w:t xml:space="preserve"> </w:t>
      </w:r>
    </w:p>
    <w:p w14:paraId="0903EA74" w14:textId="77777777" w:rsidR="00723406" w:rsidRDefault="00723406" w:rsidP="00D327BC">
      <w:pPr>
        <w:pStyle w:val="ListParagraph"/>
        <w:jc w:val="both"/>
        <w:rPr>
          <w:lang w:val="en-US"/>
        </w:rPr>
      </w:pPr>
    </w:p>
    <w:p w14:paraId="6D4D493D" w14:textId="5508B1A4" w:rsidR="00723406" w:rsidRPr="00320C95" w:rsidRDefault="00723406" w:rsidP="00723406">
      <w:pPr>
        <w:pStyle w:val="ListParagraph"/>
        <w:ind w:left="0"/>
        <w:jc w:val="both"/>
        <w:rPr>
          <w:b/>
          <w:bCs/>
          <w:sz w:val="16"/>
          <w:szCs w:val="16"/>
          <w:lang w:val="en-US"/>
        </w:rPr>
      </w:pPr>
      <w:r w:rsidRPr="00320C95">
        <w:rPr>
          <w:b/>
          <w:bCs/>
          <w:sz w:val="16"/>
          <w:szCs w:val="16"/>
          <w:lang w:val="en-US"/>
        </w:rPr>
        <w:t xml:space="preserve">Table </w:t>
      </w:r>
      <w:r w:rsidR="00D00776">
        <w:rPr>
          <w:b/>
          <w:bCs/>
          <w:sz w:val="16"/>
          <w:szCs w:val="16"/>
          <w:lang w:val="en-US"/>
        </w:rPr>
        <w:t>2. M</w:t>
      </w:r>
      <w:r w:rsidRPr="00320C95">
        <w:rPr>
          <w:b/>
          <w:bCs/>
          <w:sz w:val="16"/>
          <w:szCs w:val="16"/>
          <w:lang w:val="en-US"/>
        </w:rPr>
        <w:t xml:space="preserve">edical records. </w:t>
      </w:r>
    </w:p>
    <w:tbl>
      <w:tblPr>
        <w:tblStyle w:val="TableGrid"/>
        <w:tblW w:w="9781" w:type="dxa"/>
        <w:tblBorders>
          <w:left w:val="none" w:sz="0" w:space="0" w:color="auto"/>
          <w:right w:val="none" w:sz="0" w:space="0" w:color="auto"/>
        </w:tblBorders>
        <w:tblLook w:val="04A0" w:firstRow="1" w:lastRow="0" w:firstColumn="1" w:lastColumn="0" w:noHBand="0" w:noVBand="1"/>
      </w:tblPr>
      <w:tblGrid>
        <w:gridCol w:w="9781"/>
      </w:tblGrid>
      <w:tr w:rsidR="00C425F2" w:rsidRPr="00873E3C" w14:paraId="600FEE35" w14:textId="77777777" w:rsidTr="0007251D">
        <w:tc>
          <w:tcPr>
            <w:tcW w:w="9781" w:type="dxa"/>
          </w:tcPr>
          <w:p w14:paraId="67C3DD5C" w14:textId="5542E77A"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“Bipolar disorder type 1”; “genetic-weighted”; “</w:t>
            </w:r>
            <w:r w:rsidRPr="00320C95">
              <w:rPr>
                <w:rFonts w:asciiTheme="minorHAnsi" w:hAnsiTheme="minorHAnsi" w:cstheme="minorHAnsi"/>
                <w:i/>
                <w:sz w:val="20"/>
                <w:szCs w:val="20"/>
                <w:lang w:val="en-US"/>
              </w:rPr>
              <w:t>mixed mood state”; “profound mood lability”; “rapid cycling”; “some psychotic symptoms”; “has auditory hallucinations”; “psychosis”</w:t>
            </w:r>
          </w:p>
        </w:tc>
      </w:tr>
      <w:tr w:rsidR="00C425F2" w:rsidRPr="00873E3C" w14:paraId="4BE645A3" w14:textId="77777777" w:rsidTr="0007251D">
        <w:tc>
          <w:tcPr>
            <w:tcW w:w="9781" w:type="dxa"/>
          </w:tcPr>
          <w:p w14:paraId="5E3254A6" w14:textId="09AD0A59"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“limited response to antidepressant &amp; mood stabilizer”</w:t>
            </w:r>
            <w:r w:rsidR="00320C95" w:rsidRPr="00320C95">
              <w:rPr>
                <w:rFonts w:asciiTheme="minorHAnsi" w:hAnsiTheme="minorHAnsi" w:cstheme="minorHAnsi"/>
                <w:i/>
                <w:iCs/>
                <w:sz w:val="20"/>
                <w:szCs w:val="20"/>
                <w:lang w:val="en-US"/>
              </w:rPr>
              <w:t>;</w:t>
            </w:r>
            <w:r w:rsidRPr="00320C95">
              <w:rPr>
                <w:rFonts w:asciiTheme="minorHAnsi" w:hAnsiTheme="minorHAnsi" w:cstheme="minorHAnsi"/>
                <w:i/>
                <w:iCs/>
                <w:sz w:val="20"/>
                <w:szCs w:val="20"/>
                <w:lang w:val="en-US"/>
              </w:rPr>
              <w:br/>
              <w:t>“her illness has worsened to the point that she is not able to function effectively”</w:t>
            </w:r>
            <w:r w:rsidR="00320C95" w:rsidRPr="00320C95">
              <w:rPr>
                <w:rFonts w:asciiTheme="minorHAnsi" w:hAnsiTheme="minorHAnsi" w:cstheme="minorHAnsi"/>
                <w:i/>
                <w:iCs/>
                <w:sz w:val="20"/>
                <w:szCs w:val="20"/>
                <w:lang w:val="en-US"/>
              </w:rPr>
              <w:t>;</w:t>
            </w:r>
            <w:r w:rsidRPr="00320C95">
              <w:rPr>
                <w:rFonts w:asciiTheme="minorHAnsi" w:hAnsiTheme="minorHAnsi" w:cstheme="minorHAnsi"/>
                <w:i/>
                <w:iCs/>
                <w:sz w:val="20"/>
                <w:szCs w:val="20"/>
                <w:lang w:val="en-US"/>
              </w:rPr>
              <w:br/>
              <w:t>“her recovery is seriously limited due to persisting symptoms of bipolar disorder”</w:t>
            </w:r>
            <w:r w:rsidR="00320C95" w:rsidRPr="00320C95">
              <w:rPr>
                <w:rFonts w:asciiTheme="minorHAnsi" w:hAnsiTheme="minorHAnsi" w:cstheme="minorHAnsi"/>
                <w:i/>
                <w:iCs/>
                <w:sz w:val="20"/>
                <w:szCs w:val="20"/>
                <w:lang w:val="en-US"/>
              </w:rPr>
              <w:t>.</w:t>
            </w:r>
          </w:p>
        </w:tc>
      </w:tr>
      <w:tr w:rsidR="00C425F2" w:rsidRPr="00873E3C" w14:paraId="139905FE" w14:textId="77777777" w:rsidTr="0007251D">
        <w:tc>
          <w:tcPr>
            <w:tcW w:w="9781" w:type="dxa"/>
          </w:tcPr>
          <w:p w14:paraId="5C0A562E" w14:textId="77777777"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“limited benefit from prescription medication and her mood instability persists”</w:t>
            </w:r>
          </w:p>
        </w:tc>
      </w:tr>
      <w:tr w:rsidR="00C425F2" w:rsidRPr="00873E3C" w14:paraId="20420ECF" w14:textId="77777777" w:rsidTr="0007251D">
        <w:tc>
          <w:tcPr>
            <w:tcW w:w="9781" w:type="dxa"/>
          </w:tcPr>
          <w:p w14:paraId="7087AE99" w14:textId="77777777"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“possibility of future course of ECT”</w:t>
            </w:r>
          </w:p>
        </w:tc>
      </w:tr>
      <w:tr w:rsidR="00C425F2" w:rsidRPr="00873E3C" w14:paraId="0124192E" w14:textId="77777777" w:rsidTr="0007251D">
        <w:tc>
          <w:tcPr>
            <w:tcW w:w="9781" w:type="dxa"/>
          </w:tcPr>
          <w:p w14:paraId="213ECBFB" w14:textId="77777777"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“despite long term and full compliance with treatment, she has been totally unable to return to her previous high level of functioning. She is unlikely to have any further recovery and therefore unfit for any paid employment”</w:t>
            </w:r>
          </w:p>
        </w:tc>
      </w:tr>
      <w:tr w:rsidR="00C425F2" w:rsidRPr="00873E3C" w14:paraId="0BBA25AF" w14:textId="77777777" w:rsidTr="0007251D">
        <w:tc>
          <w:tcPr>
            <w:tcW w:w="9781" w:type="dxa"/>
          </w:tcPr>
          <w:p w14:paraId="60E6A7A4" w14:textId="77777777" w:rsidR="00C425F2" w:rsidRPr="00320C95" w:rsidRDefault="00C425F2" w:rsidP="00BD42B9">
            <w:pPr>
              <w:pStyle w:val="Default"/>
              <w:spacing w:before="80" w:after="120"/>
              <w:rPr>
                <w:rFonts w:asciiTheme="minorHAnsi" w:hAnsiTheme="minorHAnsi" w:cstheme="minorHAnsi"/>
                <w:sz w:val="20"/>
                <w:szCs w:val="20"/>
                <w:lang w:val="en-US"/>
              </w:rPr>
            </w:pPr>
            <w:r w:rsidRPr="00320C95">
              <w:rPr>
                <w:rFonts w:asciiTheme="minorHAnsi" w:hAnsiTheme="minorHAnsi" w:cstheme="minorHAnsi"/>
                <w:i/>
                <w:sz w:val="20"/>
                <w:szCs w:val="20"/>
                <w:lang w:val="en-US"/>
              </w:rPr>
              <w:t>“When I first saw her</w:t>
            </w:r>
            <w:r w:rsidRPr="00320C95">
              <w:rPr>
                <w:rFonts w:asciiTheme="minorHAnsi" w:hAnsiTheme="minorHAnsi" w:cstheme="minorHAnsi"/>
                <w:sz w:val="20"/>
                <w:szCs w:val="20"/>
                <w:lang w:val="en-US"/>
              </w:rPr>
              <w:t xml:space="preserve">  … </w:t>
            </w:r>
            <w:r w:rsidRPr="00320C95">
              <w:rPr>
                <w:rFonts w:asciiTheme="minorHAnsi" w:hAnsiTheme="minorHAnsi" w:cstheme="minorHAnsi"/>
                <w:i/>
                <w:sz w:val="20"/>
                <w:szCs w:val="20"/>
                <w:lang w:val="en-US"/>
              </w:rPr>
              <w:t>I felt she has a mixed mood state”</w:t>
            </w:r>
            <w:r w:rsidRPr="00320C95">
              <w:rPr>
                <w:rFonts w:asciiTheme="minorHAnsi" w:hAnsiTheme="minorHAnsi" w:cstheme="minorHAnsi"/>
                <w:sz w:val="20"/>
                <w:szCs w:val="20"/>
                <w:lang w:val="en-US"/>
              </w:rPr>
              <w:t>;</w:t>
            </w:r>
            <w:r w:rsidRPr="00320C95">
              <w:rPr>
                <w:rFonts w:asciiTheme="minorHAnsi" w:hAnsiTheme="minorHAnsi" w:cstheme="minorHAnsi"/>
                <w:i/>
                <w:sz w:val="20"/>
                <w:szCs w:val="20"/>
                <w:lang w:val="en-US"/>
              </w:rPr>
              <w:t xml:space="preserve"> </w:t>
            </w:r>
          </w:p>
        </w:tc>
      </w:tr>
      <w:tr w:rsidR="00C425F2" w:rsidRPr="00873E3C" w14:paraId="7E34BABE" w14:textId="77777777" w:rsidTr="0007251D">
        <w:tc>
          <w:tcPr>
            <w:tcW w:w="9781" w:type="dxa"/>
          </w:tcPr>
          <w:p w14:paraId="7F44671D" w14:textId="09EC0625" w:rsidR="00C425F2" w:rsidRPr="00320C95" w:rsidRDefault="00C425F2" w:rsidP="00BD42B9">
            <w:pPr>
              <w:pStyle w:val="Default"/>
              <w:spacing w:before="80" w:after="120"/>
              <w:rPr>
                <w:rFonts w:asciiTheme="minorHAnsi" w:hAnsiTheme="minorHAnsi" w:cstheme="minorHAnsi"/>
                <w:sz w:val="20"/>
                <w:szCs w:val="20"/>
                <w:lang w:val="en-US"/>
              </w:rPr>
            </w:pPr>
            <w:r w:rsidRPr="00320C95">
              <w:rPr>
                <w:rFonts w:asciiTheme="minorHAnsi" w:hAnsiTheme="minorHAnsi" w:cstheme="minorHAnsi"/>
                <w:i/>
                <w:sz w:val="20"/>
                <w:szCs w:val="20"/>
                <w:lang w:val="en-US"/>
              </w:rPr>
              <w:lastRenderedPageBreak/>
              <w:t>“I believe that Christine remains in mixed mood state with more depressive features</w:t>
            </w:r>
            <w:r w:rsidR="00320C95" w:rsidRPr="00320C95">
              <w:rPr>
                <w:rFonts w:asciiTheme="minorHAnsi" w:hAnsiTheme="minorHAnsi" w:cstheme="minorHAnsi"/>
                <w:i/>
                <w:sz w:val="20"/>
                <w:szCs w:val="20"/>
                <w:lang w:val="en-US"/>
              </w:rPr>
              <w:t xml:space="preserve"> … </w:t>
            </w:r>
            <w:r w:rsidRPr="00320C95">
              <w:rPr>
                <w:rFonts w:asciiTheme="minorHAnsi" w:hAnsiTheme="minorHAnsi" w:cstheme="minorHAnsi"/>
                <w:i/>
                <w:sz w:val="20"/>
                <w:szCs w:val="20"/>
                <w:lang w:val="en-US"/>
              </w:rPr>
              <w:t>there is also the option of trialling or re-trialling an antidepressant”</w:t>
            </w:r>
          </w:p>
        </w:tc>
      </w:tr>
      <w:tr w:rsidR="00C425F2" w:rsidRPr="00873E3C" w14:paraId="6BC90255" w14:textId="77777777" w:rsidTr="0007251D">
        <w:tc>
          <w:tcPr>
            <w:tcW w:w="9781" w:type="dxa"/>
          </w:tcPr>
          <w:p w14:paraId="47ED0AED" w14:textId="37184BF0" w:rsidR="00C425F2" w:rsidRPr="00873E3C" w:rsidRDefault="00C425F2" w:rsidP="00BD42B9">
            <w:pPr>
              <w:pStyle w:val="Default"/>
              <w:spacing w:before="80" w:after="120"/>
              <w:rPr>
                <w:rFonts w:asciiTheme="minorHAnsi" w:hAnsiTheme="minorHAnsi" w:cstheme="minorHAnsi"/>
                <w:sz w:val="22"/>
                <w:szCs w:val="22"/>
                <w:lang w:val="en-US"/>
              </w:rPr>
            </w:pPr>
            <w:r w:rsidRPr="00320C95">
              <w:rPr>
                <w:rFonts w:asciiTheme="minorHAnsi" w:hAnsiTheme="minorHAnsi" w:cstheme="minorHAnsi"/>
                <w:sz w:val="20"/>
                <w:szCs w:val="20"/>
                <w:lang w:val="en-US"/>
              </w:rPr>
              <w:t>“</w:t>
            </w:r>
            <w:r w:rsidRPr="00320C95">
              <w:rPr>
                <w:rFonts w:asciiTheme="minorHAnsi" w:hAnsiTheme="minorHAnsi" w:cstheme="minorHAnsi"/>
                <w:i/>
                <w:iCs/>
                <w:sz w:val="20"/>
                <w:szCs w:val="20"/>
                <w:lang w:val="en-US"/>
              </w:rPr>
              <w:t>I wonder if she had a delayed reaction to it</w:t>
            </w:r>
            <w:r w:rsidR="00320C95" w:rsidRPr="00320C95">
              <w:rPr>
                <w:rFonts w:asciiTheme="minorHAnsi" w:hAnsiTheme="minorHAnsi" w:cstheme="minorHAnsi"/>
                <w:i/>
                <w:iCs/>
                <w:sz w:val="20"/>
                <w:szCs w:val="20"/>
                <w:lang w:val="en-US"/>
              </w:rPr>
              <w:t>”</w:t>
            </w:r>
            <w:r w:rsidR="00320C95" w:rsidRPr="00320C95">
              <w:rPr>
                <w:rFonts w:asciiTheme="minorHAnsi" w:hAnsiTheme="minorHAnsi" w:cstheme="minorHAnsi"/>
                <w:sz w:val="20"/>
                <w:szCs w:val="20"/>
                <w:lang w:val="en-US"/>
              </w:rPr>
              <w:t xml:space="preserve"> </w:t>
            </w:r>
            <w:r w:rsidR="00320C95" w:rsidRPr="00873E3C">
              <w:rPr>
                <w:rFonts w:asciiTheme="minorHAnsi" w:hAnsiTheme="minorHAnsi" w:cstheme="minorHAnsi"/>
                <w:sz w:val="22"/>
                <w:szCs w:val="22"/>
                <w:lang w:val="en-US"/>
              </w:rPr>
              <w:t>(</w:t>
            </w:r>
            <w:r w:rsidR="00320C95">
              <w:rPr>
                <w:rFonts w:asciiTheme="minorHAnsi" w:hAnsiTheme="minorHAnsi" w:cstheme="minorHAnsi"/>
                <w:sz w:val="22"/>
                <w:szCs w:val="22"/>
                <w:lang w:val="en-US"/>
              </w:rPr>
              <w:t>antidepressant</w:t>
            </w:r>
            <w:r w:rsidR="00320C95" w:rsidRPr="00873E3C">
              <w:rPr>
                <w:rFonts w:asciiTheme="minorHAnsi" w:hAnsiTheme="minorHAnsi" w:cstheme="minorHAnsi"/>
                <w:sz w:val="22"/>
                <w:szCs w:val="22"/>
                <w:lang w:val="en-US"/>
              </w:rPr>
              <w:t>)</w:t>
            </w:r>
          </w:p>
        </w:tc>
      </w:tr>
      <w:tr w:rsidR="00C425F2" w:rsidRPr="00873E3C" w14:paraId="4876ECF6" w14:textId="77777777" w:rsidTr="0007251D">
        <w:tc>
          <w:tcPr>
            <w:tcW w:w="9781" w:type="dxa"/>
          </w:tcPr>
          <w:p w14:paraId="196B67B9" w14:textId="77777777"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“a history of notable sensitivity, side effects and adverse reactions to many of the serotonergic antidepressants”</w:t>
            </w:r>
          </w:p>
        </w:tc>
      </w:tr>
      <w:tr w:rsidR="00C425F2" w:rsidRPr="00873E3C" w14:paraId="250E913A" w14:textId="77777777" w:rsidTr="0007251D">
        <w:tc>
          <w:tcPr>
            <w:tcW w:w="9781" w:type="dxa"/>
          </w:tcPr>
          <w:p w14:paraId="156D8185" w14:textId="77777777" w:rsidR="00C425F2" w:rsidRPr="00320C95" w:rsidRDefault="00C425F2" w:rsidP="00BD42B9">
            <w:pPr>
              <w:pStyle w:val="Default"/>
              <w:spacing w:before="80" w:after="120"/>
              <w:rPr>
                <w:rFonts w:asciiTheme="minorHAnsi" w:hAnsiTheme="minorHAnsi" w:cstheme="minorHAnsi"/>
                <w:i/>
                <w:iCs/>
                <w:sz w:val="20"/>
                <w:szCs w:val="20"/>
                <w:lang w:val="en-US"/>
              </w:rPr>
            </w:pPr>
            <w:r w:rsidRPr="00320C95">
              <w:rPr>
                <w:rFonts w:asciiTheme="minorHAnsi" w:hAnsiTheme="minorHAnsi" w:cstheme="minorHAnsi"/>
                <w:i/>
                <w:iCs/>
                <w:sz w:val="20"/>
                <w:szCs w:val="20"/>
                <w:lang w:val="en-US"/>
              </w:rPr>
              <w:t>"a complex history," "a history of … adverse reactions to many of the serotonergic antidepressants”</w:t>
            </w:r>
          </w:p>
        </w:tc>
      </w:tr>
      <w:tr w:rsidR="00C425F2" w:rsidRPr="00873E3C" w14:paraId="5B9C7433" w14:textId="77777777" w:rsidTr="0007251D">
        <w:tc>
          <w:tcPr>
            <w:tcW w:w="9781" w:type="dxa"/>
          </w:tcPr>
          <w:p w14:paraId="132A5F73" w14:textId="77777777" w:rsidR="00C425F2" w:rsidRPr="00873E3C" w:rsidRDefault="00C425F2" w:rsidP="00BD42B9">
            <w:pPr>
              <w:pStyle w:val="Default"/>
              <w:spacing w:before="80" w:after="120"/>
              <w:rPr>
                <w:rFonts w:asciiTheme="minorHAnsi" w:hAnsiTheme="minorHAnsi" w:cstheme="minorHAnsi"/>
                <w:sz w:val="22"/>
                <w:szCs w:val="22"/>
                <w:lang w:val="en-US"/>
              </w:rPr>
            </w:pPr>
            <w:r w:rsidRPr="00320C95">
              <w:rPr>
                <w:rFonts w:asciiTheme="minorHAnsi" w:hAnsiTheme="minorHAnsi" w:cstheme="minorHAnsi"/>
                <w:i/>
                <w:iCs/>
                <w:sz w:val="20"/>
                <w:szCs w:val="20"/>
              </w:rPr>
              <w:t>“When she is depressed</w:t>
            </w:r>
            <w:r w:rsidRPr="00320C95">
              <w:rPr>
                <w:rFonts w:asciiTheme="minorHAnsi" w:hAnsiTheme="minorHAnsi" w:cstheme="minorHAnsi"/>
                <w:sz w:val="20"/>
                <w:szCs w:val="20"/>
              </w:rPr>
              <w:t xml:space="preserve"> </w:t>
            </w:r>
            <w:r w:rsidRPr="00873E3C">
              <w:rPr>
                <w:rFonts w:asciiTheme="minorHAnsi" w:hAnsiTheme="minorHAnsi" w:cstheme="minorHAnsi"/>
                <w:sz w:val="22"/>
                <w:szCs w:val="22"/>
              </w:rPr>
              <w:t>(including mixed states and rapid cycling</w:t>
            </w:r>
            <w:r>
              <w:rPr>
                <w:rFonts w:asciiTheme="minorHAnsi" w:hAnsiTheme="minorHAnsi" w:cstheme="minorHAnsi"/>
                <w:sz w:val="22"/>
                <w:szCs w:val="22"/>
              </w:rPr>
              <w:t xml:space="preserve"> on antidepressants</w:t>
            </w:r>
            <w:r w:rsidRPr="00873E3C">
              <w:rPr>
                <w:rFonts w:asciiTheme="minorHAnsi" w:hAnsiTheme="minorHAnsi" w:cstheme="minorHAnsi"/>
                <w:sz w:val="22"/>
                <w:szCs w:val="22"/>
              </w:rPr>
              <w:t xml:space="preserve">), </w:t>
            </w:r>
            <w:r w:rsidRPr="00320C95">
              <w:rPr>
                <w:rFonts w:asciiTheme="minorHAnsi" w:hAnsiTheme="minorHAnsi" w:cstheme="minorHAnsi"/>
                <w:i/>
                <w:iCs/>
                <w:sz w:val="20"/>
                <w:szCs w:val="20"/>
              </w:rPr>
              <w:t>she has constant thoughts of suicide and images to do with death and dying. She has always been able to resist any suicidal thoughts.”</w:t>
            </w:r>
          </w:p>
        </w:tc>
      </w:tr>
      <w:tr w:rsidR="00C425F2" w:rsidRPr="00873E3C" w14:paraId="7AAA0010" w14:textId="77777777" w:rsidTr="0007251D">
        <w:tc>
          <w:tcPr>
            <w:tcW w:w="9781" w:type="dxa"/>
          </w:tcPr>
          <w:p w14:paraId="1C22B5ED" w14:textId="5EDFFE3D" w:rsidR="00C425F2" w:rsidRPr="00873E3C" w:rsidRDefault="00C425F2" w:rsidP="00BD42B9">
            <w:pPr>
              <w:pStyle w:val="Default"/>
              <w:spacing w:before="80" w:after="120"/>
              <w:rPr>
                <w:rFonts w:asciiTheme="minorHAnsi" w:hAnsiTheme="minorHAnsi" w:cstheme="minorHAnsi"/>
                <w:sz w:val="22"/>
                <w:szCs w:val="22"/>
              </w:rPr>
            </w:pPr>
            <w:r w:rsidRPr="00320C95">
              <w:rPr>
                <w:rFonts w:asciiTheme="minorHAnsi" w:eastAsia="Times New Roman" w:hAnsiTheme="minorHAnsi" w:cstheme="minorHAnsi"/>
                <w:b/>
                <w:bCs/>
                <w:i/>
                <w:iCs/>
                <w:sz w:val="20"/>
                <w:szCs w:val="20"/>
              </w:rPr>
              <w:t>“</w:t>
            </w:r>
            <w:r w:rsidRPr="00320C95">
              <w:rPr>
                <w:rFonts w:asciiTheme="minorHAnsi" w:eastAsia="Times New Roman" w:hAnsiTheme="minorHAnsi" w:cstheme="minorHAnsi"/>
                <w:i/>
                <w:iCs/>
                <w:sz w:val="20"/>
                <w:szCs w:val="20"/>
              </w:rPr>
              <w:t>lethal suicidal plan”</w:t>
            </w:r>
            <w:r w:rsidRPr="00320C95">
              <w:rPr>
                <w:rFonts w:asciiTheme="minorHAnsi" w:eastAsia="Times New Roman" w:hAnsiTheme="minorHAnsi" w:cstheme="minorHAnsi"/>
                <w:sz w:val="20"/>
                <w:szCs w:val="20"/>
              </w:rPr>
              <w:t xml:space="preserve"> </w:t>
            </w:r>
            <w:r>
              <w:rPr>
                <w:rFonts w:asciiTheme="minorHAnsi" w:eastAsia="Times New Roman" w:hAnsiTheme="minorHAnsi" w:cstheme="minorHAnsi"/>
                <w:sz w:val="22"/>
                <w:szCs w:val="22"/>
              </w:rPr>
              <w:t>(ultradian cycling immediately after starting a</w:t>
            </w:r>
            <w:r w:rsidR="00320C95">
              <w:rPr>
                <w:rFonts w:asciiTheme="minorHAnsi" w:eastAsia="Times New Roman" w:hAnsiTheme="minorHAnsi" w:cstheme="minorHAnsi"/>
                <w:sz w:val="22"/>
                <w:szCs w:val="22"/>
              </w:rPr>
              <w:t xml:space="preserve"> further</w:t>
            </w:r>
            <w:r>
              <w:rPr>
                <w:rFonts w:asciiTheme="minorHAnsi" w:eastAsia="Times New Roman" w:hAnsiTheme="minorHAnsi" w:cstheme="minorHAnsi"/>
                <w:sz w:val="22"/>
                <w:szCs w:val="22"/>
              </w:rPr>
              <w:t xml:space="preserve"> antidepressant</w:t>
            </w:r>
            <w:r w:rsidR="00996B0E">
              <w:rPr>
                <w:rFonts w:asciiTheme="minorHAnsi" w:eastAsia="Times New Roman" w:hAnsiTheme="minorHAnsi" w:cstheme="minorHAnsi"/>
                <w:sz w:val="22"/>
                <w:szCs w:val="22"/>
              </w:rPr>
              <w:t>)</w:t>
            </w:r>
            <w:r w:rsidRPr="00873E3C">
              <w:rPr>
                <w:rFonts w:asciiTheme="minorHAnsi" w:eastAsia="Times New Roman" w:hAnsiTheme="minorHAnsi" w:cstheme="minorHAnsi"/>
                <w:sz w:val="22"/>
                <w:szCs w:val="22"/>
              </w:rPr>
              <w:t>.</w:t>
            </w:r>
          </w:p>
        </w:tc>
      </w:tr>
      <w:tr w:rsidR="00C425F2" w:rsidRPr="00873E3C" w14:paraId="19CFEA34" w14:textId="77777777" w:rsidTr="0007251D">
        <w:tc>
          <w:tcPr>
            <w:tcW w:w="9781" w:type="dxa"/>
          </w:tcPr>
          <w:p w14:paraId="1EA42298" w14:textId="4329D3B2" w:rsidR="00C425F2" w:rsidRPr="0048433E" w:rsidRDefault="00C425F2" w:rsidP="00BD42B9">
            <w:pPr>
              <w:pStyle w:val="Default"/>
              <w:spacing w:before="80" w:after="120"/>
              <w:rPr>
                <w:rFonts w:asciiTheme="minorHAnsi" w:eastAsia="Times New Roman" w:hAnsiTheme="minorHAnsi" w:cstheme="minorHAnsi"/>
                <w:i/>
                <w:iCs/>
                <w:sz w:val="22"/>
                <w:szCs w:val="22"/>
              </w:rPr>
            </w:pPr>
            <w:r w:rsidRPr="00B026DD">
              <w:rPr>
                <w:rFonts w:asciiTheme="minorHAnsi" w:hAnsiTheme="minorHAnsi" w:cstheme="minorHAnsi"/>
                <w:i/>
                <w:iCs/>
                <w:sz w:val="22"/>
                <w:szCs w:val="22"/>
                <w:lang w:val="en-US"/>
              </w:rPr>
              <w:t>“Epilim has helped her, particularly in combination with gabapentin”</w:t>
            </w:r>
            <w:r w:rsidR="00BD42B9">
              <w:rPr>
                <w:rFonts w:asciiTheme="minorHAnsi" w:hAnsiTheme="minorHAnsi" w:cstheme="minorHAnsi"/>
                <w:i/>
                <w:iCs/>
                <w:sz w:val="22"/>
                <w:szCs w:val="22"/>
                <w:lang w:val="en-US"/>
              </w:rPr>
              <w:t xml:space="preserve"> </w:t>
            </w:r>
            <w:r w:rsidRPr="00B026DD">
              <w:rPr>
                <w:rFonts w:asciiTheme="minorHAnsi" w:hAnsiTheme="minorHAnsi" w:cstheme="minorHAnsi"/>
                <w:i/>
                <w:iCs/>
                <w:sz w:val="22"/>
                <w:szCs w:val="22"/>
                <w:lang w:val="en-US"/>
              </w:rPr>
              <w:t xml:space="preserve"> </w:t>
            </w:r>
            <w:r w:rsidR="00BD42B9">
              <w:rPr>
                <w:rFonts w:asciiTheme="minorHAnsi" w:hAnsiTheme="minorHAnsi" w:cstheme="minorHAnsi"/>
                <w:i/>
                <w:iCs/>
                <w:sz w:val="22"/>
                <w:szCs w:val="22"/>
                <w:lang w:val="en-US"/>
              </w:rPr>
              <w:br/>
            </w:r>
            <w:r w:rsidRPr="00B026DD">
              <w:rPr>
                <w:rFonts w:asciiTheme="minorHAnsi" w:hAnsiTheme="minorHAnsi" w:cstheme="minorHAnsi"/>
                <w:i/>
                <w:iCs/>
                <w:sz w:val="22"/>
                <w:szCs w:val="22"/>
                <w:lang w:val="en-US"/>
              </w:rPr>
              <w:t xml:space="preserve">"the best I've ever seen Christine." </w:t>
            </w:r>
            <w:r>
              <w:rPr>
                <w:rFonts w:asciiTheme="minorHAnsi" w:hAnsiTheme="minorHAnsi" w:cstheme="minorHAnsi"/>
                <w:i/>
                <w:iCs/>
                <w:sz w:val="22"/>
                <w:szCs w:val="22"/>
                <w:lang w:val="en-US"/>
              </w:rPr>
              <w:t xml:space="preserve"> </w:t>
            </w:r>
            <w:r w:rsidRPr="00C425F2">
              <w:rPr>
                <w:rFonts w:asciiTheme="minorHAnsi" w:hAnsiTheme="minorHAnsi" w:cstheme="minorHAnsi"/>
                <w:sz w:val="22"/>
                <w:szCs w:val="22"/>
                <w:lang w:val="en-US"/>
              </w:rPr>
              <w:t>I had ceased the last antidepressant</w:t>
            </w:r>
          </w:p>
        </w:tc>
      </w:tr>
      <w:tr w:rsidR="00280AD4" w:rsidRPr="00873E3C" w14:paraId="21A7484A" w14:textId="77777777" w:rsidTr="0007251D">
        <w:tc>
          <w:tcPr>
            <w:tcW w:w="9781" w:type="dxa"/>
          </w:tcPr>
          <w:p w14:paraId="7F66B128" w14:textId="22683FB5" w:rsidR="00280AD4" w:rsidRPr="00280AD4" w:rsidRDefault="00280AD4" w:rsidP="00BD42B9">
            <w:pPr>
              <w:pStyle w:val="Default"/>
              <w:spacing w:before="80" w:after="120"/>
              <w:rPr>
                <w:rFonts w:asciiTheme="minorHAnsi" w:hAnsiTheme="minorHAnsi" w:cstheme="minorHAnsi"/>
                <w:i/>
                <w:iCs/>
                <w:sz w:val="20"/>
                <w:szCs w:val="20"/>
                <w:lang w:val="en-US"/>
              </w:rPr>
            </w:pPr>
            <w:r w:rsidRPr="00280AD4">
              <w:rPr>
                <w:rFonts w:asciiTheme="minorHAnsi" w:hAnsiTheme="minorHAnsi" w:cstheme="minorHAnsi"/>
                <w:i/>
                <w:iCs/>
                <w:sz w:val="20"/>
                <w:szCs w:val="20"/>
              </w:rPr>
              <w:t>“buspirone is a specific 5HT1A receptor partial agonist and her previous reaction to serotonergic drugs would mean an even higher degree of caution on my part (in truth, I think she would tolerate it perfectly well).</w:t>
            </w:r>
            <w:r w:rsidRPr="00280AD4">
              <w:rPr>
                <w:rFonts w:asciiTheme="minorHAnsi" w:hAnsiTheme="minorHAnsi" w:cstheme="minorHAnsi"/>
                <w:i/>
                <w:iCs/>
                <w:sz w:val="20"/>
                <w:szCs w:val="20"/>
                <w:lang w:val="en-US"/>
              </w:rPr>
              <w:t xml:space="preserve">"  </w:t>
            </w:r>
            <w:r w:rsidR="00320C95" w:rsidRPr="00320C95">
              <w:rPr>
                <w:rFonts w:asciiTheme="minorHAnsi" w:hAnsiTheme="minorHAnsi" w:cstheme="minorHAnsi"/>
                <w:sz w:val="22"/>
                <w:szCs w:val="22"/>
                <w:lang w:val="en-US"/>
              </w:rPr>
              <w:t>Risks not discussed</w:t>
            </w:r>
            <w:r w:rsidR="00B04F55">
              <w:rPr>
                <w:rFonts w:asciiTheme="minorHAnsi" w:hAnsiTheme="minorHAnsi" w:cstheme="minorHAnsi"/>
                <w:sz w:val="22"/>
                <w:szCs w:val="22"/>
                <w:lang w:val="en-US"/>
              </w:rPr>
              <w:t xml:space="preserve"> with me</w:t>
            </w:r>
            <w:r w:rsidR="00320C95" w:rsidRPr="00320C95">
              <w:rPr>
                <w:rFonts w:asciiTheme="minorHAnsi" w:hAnsiTheme="minorHAnsi" w:cstheme="minorHAnsi"/>
                <w:sz w:val="22"/>
                <w:szCs w:val="22"/>
                <w:lang w:val="en-US"/>
              </w:rPr>
              <w:t>.</w:t>
            </w:r>
          </w:p>
        </w:tc>
      </w:tr>
      <w:tr w:rsidR="00C425F2" w:rsidRPr="00873E3C" w14:paraId="09FB9C83" w14:textId="77777777" w:rsidTr="0007251D">
        <w:tc>
          <w:tcPr>
            <w:tcW w:w="9781" w:type="dxa"/>
          </w:tcPr>
          <w:p w14:paraId="66D16424" w14:textId="77777777" w:rsidR="00C425F2" w:rsidRPr="0048433E" w:rsidRDefault="00C425F2" w:rsidP="0007251D">
            <w:pPr>
              <w:pStyle w:val="Default"/>
              <w:spacing w:before="120" w:after="120"/>
              <w:rPr>
                <w:rFonts w:asciiTheme="minorHAnsi" w:eastAsia="Times New Roman" w:hAnsiTheme="minorHAnsi" w:cstheme="minorHAnsi"/>
                <w:i/>
                <w:iCs/>
                <w:sz w:val="22"/>
                <w:szCs w:val="22"/>
              </w:rPr>
            </w:pPr>
            <w:r w:rsidRPr="00320C95">
              <w:rPr>
                <w:rFonts w:asciiTheme="minorHAnsi" w:eastAsia="Times New Roman" w:hAnsiTheme="minorHAnsi" w:cstheme="minorHAnsi"/>
                <w:i/>
                <w:iCs/>
                <w:sz w:val="20"/>
                <w:szCs w:val="20"/>
              </w:rPr>
              <w:t>“I cannot permanently exclude the option of antidepressants in the future”</w:t>
            </w:r>
          </w:p>
        </w:tc>
      </w:tr>
    </w:tbl>
    <w:p w14:paraId="2C20F12E" w14:textId="77777777" w:rsidR="00996B0E" w:rsidRDefault="00996B0E" w:rsidP="00D327BC">
      <w:pPr>
        <w:pStyle w:val="ListParagraph"/>
        <w:jc w:val="both"/>
        <w:rPr>
          <w:lang w:val="en-US"/>
        </w:rPr>
      </w:pPr>
    </w:p>
    <w:p w14:paraId="4F7B2915" w14:textId="77777777" w:rsidR="006D14DF" w:rsidRDefault="00996B0E" w:rsidP="00996B0E">
      <w:pPr>
        <w:pStyle w:val="ListParagraph"/>
        <w:jc w:val="both"/>
        <w:rPr>
          <w:lang w:val="en-US"/>
        </w:rPr>
      </w:pPr>
      <w:r w:rsidRPr="00996B0E">
        <w:rPr>
          <w:lang w:val="en-US"/>
        </w:rPr>
        <w:t xml:space="preserve">Given the number of healthcare providers I had contact with, and the duration this occurred </w:t>
      </w:r>
      <w:r w:rsidR="006D14DF">
        <w:rPr>
          <w:lang w:val="en-US"/>
        </w:rPr>
        <w:t xml:space="preserve">over, </w:t>
      </w:r>
      <w:r w:rsidRPr="00996B0E">
        <w:rPr>
          <w:lang w:val="en-US"/>
        </w:rPr>
        <w:t>I believe there is a significant healthcare crisis that needs a</w:t>
      </w:r>
      <w:r w:rsidR="006D14DF">
        <w:rPr>
          <w:lang w:val="en-US"/>
        </w:rPr>
        <w:t>n urgent</w:t>
      </w:r>
      <w:r w:rsidRPr="00996B0E">
        <w:rPr>
          <w:lang w:val="en-US"/>
        </w:rPr>
        <w:t xml:space="preserve"> Government response. </w:t>
      </w:r>
    </w:p>
    <w:p w14:paraId="4D009380" w14:textId="559456BB" w:rsidR="008458EF" w:rsidRDefault="00996B0E" w:rsidP="006D14DF">
      <w:pPr>
        <w:pStyle w:val="ListParagraph"/>
        <w:jc w:val="both"/>
        <w:rPr>
          <w:lang w:val="en-US"/>
        </w:rPr>
      </w:pPr>
      <w:r w:rsidRPr="00996B0E">
        <w:rPr>
          <w:lang w:val="en-US"/>
        </w:rPr>
        <w:br/>
        <w:t xml:space="preserve">Investigated </w:t>
      </w:r>
      <w:r w:rsidR="006D14DF">
        <w:rPr>
          <w:lang w:val="en-US"/>
        </w:rPr>
        <w:t xml:space="preserve">bipolar </w:t>
      </w:r>
      <w:r w:rsidRPr="00996B0E">
        <w:rPr>
          <w:lang w:val="en-US"/>
        </w:rPr>
        <w:t xml:space="preserve">suicides by the Victorian Coroner found </w:t>
      </w:r>
      <w:r w:rsidR="00916672" w:rsidRPr="00916672">
        <w:rPr>
          <w:lang w:val="en-US"/>
        </w:rPr>
        <w:t>“</w:t>
      </w:r>
      <w:r w:rsidRPr="00916672">
        <w:rPr>
          <w:rFonts w:ascii="Calibri" w:hAnsi="Calibri" w:cs="Calibri"/>
          <w:color w:val="000000"/>
        </w:rPr>
        <w:t>60% had not reached benchmark standards in treatment, and 46% were taking antidepressants at their time of death.”</w:t>
      </w:r>
      <w:r w:rsidRPr="00996B0E">
        <w:rPr>
          <w:rFonts w:ascii="Calibri" w:hAnsi="Calibri" w:cs="Calibri"/>
          <w:color w:val="000000"/>
        </w:rPr>
        <w:t xml:space="preserve"> (Keks, 2009) </w:t>
      </w:r>
      <w:r w:rsidR="00320C95">
        <w:rPr>
          <w:rFonts w:ascii="Calibri" w:hAnsi="Calibri" w:cs="Calibri"/>
          <w:color w:val="000000"/>
        </w:rPr>
        <w:t>(See a</w:t>
      </w:r>
      <w:r w:rsidRPr="00320C95">
        <w:rPr>
          <w:rFonts w:ascii="Calibri" w:hAnsi="Calibri" w:cs="Calibri"/>
          <w:color w:val="000000"/>
          <w:sz w:val="20"/>
          <w:szCs w:val="20"/>
        </w:rPr>
        <w:t>ttachment 2</w:t>
      </w:r>
      <w:r w:rsidR="00320C95">
        <w:rPr>
          <w:rFonts w:ascii="Calibri" w:hAnsi="Calibri" w:cs="Calibri"/>
          <w:color w:val="000000"/>
          <w:sz w:val="20"/>
          <w:szCs w:val="20"/>
        </w:rPr>
        <w:t>)</w:t>
      </w:r>
      <w:r w:rsidRPr="00320C95">
        <w:rPr>
          <w:rFonts w:ascii="Calibri" w:hAnsi="Calibri" w:cs="Calibri"/>
          <w:color w:val="000000"/>
          <w:sz w:val="20"/>
          <w:szCs w:val="20"/>
        </w:rPr>
        <w:t>.</w:t>
      </w:r>
      <w:r w:rsidRPr="00320C95">
        <w:rPr>
          <w:sz w:val="20"/>
          <w:szCs w:val="20"/>
          <w:lang w:val="en-US"/>
        </w:rPr>
        <w:t xml:space="preserve"> </w:t>
      </w:r>
      <w:r w:rsidR="00B00F7B">
        <w:rPr>
          <w:lang w:val="en-US"/>
        </w:rPr>
        <w:t>BPAD is an</w:t>
      </w:r>
      <w:r w:rsidRPr="00996B0E">
        <w:rPr>
          <w:lang w:val="en-US"/>
        </w:rPr>
        <w:t xml:space="preserve"> eas</w:t>
      </w:r>
      <w:r w:rsidR="006D14DF">
        <w:rPr>
          <w:lang w:val="en-US"/>
        </w:rPr>
        <w:t>y</w:t>
      </w:r>
      <w:r w:rsidRPr="00996B0E">
        <w:rPr>
          <w:lang w:val="en-US"/>
        </w:rPr>
        <w:t xml:space="preserve"> entry point for the Government to address injury from </w:t>
      </w:r>
      <w:r w:rsidR="006D14DF">
        <w:rPr>
          <w:lang w:val="en-US"/>
        </w:rPr>
        <w:t>a</w:t>
      </w:r>
      <w:r w:rsidRPr="00996B0E">
        <w:rPr>
          <w:lang w:val="en-US"/>
        </w:rPr>
        <w:t>ntidepressants</w:t>
      </w:r>
      <w:r w:rsidR="00B00F7B">
        <w:rPr>
          <w:lang w:val="en-US"/>
        </w:rPr>
        <w:t>.</w:t>
      </w:r>
      <w:r w:rsidRPr="00996B0E">
        <w:rPr>
          <w:lang w:val="en-US"/>
        </w:rPr>
        <w:t xml:space="preserve"> Some data is already available to the Government. Consider </w:t>
      </w:r>
      <w:r w:rsidR="00916672">
        <w:rPr>
          <w:lang w:val="en-US"/>
        </w:rPr>
        <w:t xml:space="preserve">these </w:t>
      </w:r>
      <w:r w:rsidR="00B00F7B">
        <w:rPr>
          <w:lang w:val="en-US"/>
        </w:rPr>
        <w:t xml:space="preserve">current and future </w:t>
      </w:r>
      <w:r w:rsidRPr="00996B0E">
        <w:rPr>
          <w:lang w:val="en-US"/>
        </w:rPr>
        <w:t xml:space="preserve">data </w:t>
      </w:r>
      <w:r w:rsidR="00B00F7B">
        <w:rPr>
          <w:lang w:val="en-US"/>
        </w:rPr>
        <w:t>sources</w:t>
      </w:r>
      <w:r w:rsidRPr="00996B0E">
        <w:rPr>
          <w:lang w:val="en-US"/>
        </w:rPr>
        <w:t>:-</w:t>
      </w:r>
    </w:p>
    <w:p w14:paraId="587A3B52" w14:textId="2A278286" w:rsidR="006D14DF" w:rsidRDefault="006D14DF" w:rsidP="006D14DF">
      <w:pPr>
        <w:pStyle w:val="ListParagraph"/>
        <w:jc w:val="both"/>
        <w:rPr>
          <w:lang w:val="en-US"/>
        </w:rPr>
      </w:pPr>
    </w:p>
    <w:p w14:paraId="242FCA36" w14:textId="77B787BF" w:rsidR="00996B0E" w:rsidRPr="00996B0E" w:rsidRDefault="00996B0E" w:rsidP="00996B0E">
      <w:pPr>
        <w:pStyle w:val="ListParagraph"/>
        <w:numPr>
          <w:ilvl w:val="2"/>
          <w:numId w:val="11"/>
        </w:numPr>
        <w:jc w:val="both"/>
        <w:rPr>
          <w:lang w:val="en-US"/>
        </w:rPr>
      </w:pPr>
      <w:r w:rsidRPr="00996B0E">
        <w:rPr>
          <w:lang w:val="en-US"/>
        </w:rPr>
        <w:t>ICD codes. Diagnosis of bipolar with specifier</w:t>
      </w:r>
      <w:r w:rsidR="006D14DF">
        <w:rPr>
          <w:lang w:val="en-US"/>
        </w:rPr>
        <w:t>s</w:t>
      </w:r>
      <w:r w:rsidRPr="00996B0E">
        <w:rPr>
          <w:lang w:val="en-US"/>
        </w:rPr>
        <w:t xml:space="preserve"> of mixed features, mania, or rapid cycling</w:t>
      </w:r>
      <w:r w:rsidR="006D14DF">
        <w:rPr>
          <w:lang w:val="en-US"/>
        </w:rPr>
        <w:t xml:space="preserve"> with </w:t>
      </w:r>
      <w:r w:rsidR="00916672">
        <w:rPr>
          <w:lang w:val="en-US"/>
        </w:rPr>
        <w:t xml:space="preserve">a list of </w:t>
      </w:r>
      <w:r w:rsidR="006D14DF">
        <w:rPr>
          <w:lang w:val="en-US"/>
        </w:rPr>
        <w:t>discharge medications</w:t>
      </w:r>
      <w:r w:rsidRPr="00996B0E">
        <w:rPr>
          <w:lang w:val="en-US"/>
        </w:rPr>
        <w:t xml:space="preserve">. </w:t>
      </w:r>
    </w:p>
    <w:p w14:paraId="586D3423" w14:textId="5DFD255F" w:rsidR="00996B0E" w:rsidRDefault="00996B0E" w:rsidP="00996B0E">
      <w:pPr>
        <w:pStyle w:val="ListParagraph"/>
        <w:numPr>
          <w:ilvl w:val="2"/>
          <w:numId w:val="11"/>
        </w:numPr>
        <w:jc w:val="both"/>
        <w:rPr>
          <w:lang w:val="en-US"/>
        </w:rPr>
      </w:pPr>
      <w:r w:rsidRPr="00996B0E">
        <w:rPr>
          <w:lang w:val="en-US"/>
        </w:rPr>
        <w:t>Deidentified research data, eg QIMR Berghofer Australian Genetics of Bipolar Disorder Study</w:t>
      </w:r>
      <w:r w:rsidR="00916672">
        <w:rPr>
          <w:lang w:val="en-US"/>
        </w:rPr>
        <w:t xml:space="preserve">. </w:t>
      </w:r>
      <w:r w:rsidR="00FC19C0">
        <w:rPr>
          <w:lang w:val="en-US"/>
        </w:rPr>
        <w:t xml:space="preserve">They gathered </w:t>
      </w:r>
      <w:r w:rsidR="00916672">
        <w:rPr>
          <w:lang w:val="en-US"/>
        </w:rPr>
        <w:t>information about my mood</w:t>
      </w:r>
      <w:r w:rsidR="00FC19C0">
        <w:rPr>
          <w:lang w:val="en-US"/>
        </w:rPr>
        <w:t>s</w:t>
      </w:r>
      <w:r w:rsidR="00916672">
        <w:rPr>
          <w:lang w:val="en-US"/>
        </w:rPr>
        <w:t xml:space="preserve"> and medications.</w:t>
      </w:r>
    </w:p>
    <w:p w14:paraId="0960C3DD" w14:textId="77777777" w:rsidR="00916672" w:rsidRPr="00996B0E" w:rsidRDefault="00916672" w:rsidP="00916672">
      <w:pPr>
        <w:pStyle w:val="ListParagraph"/>
        <w:numPr>
          <w:ilvl w:val="2"/>
          <w:numId w:val="11"/>
        </w:numPr>
        <w:jc w:val="both"/>
        <w:rPr>
          <w:lang w:val="en-US"/>
        </w:rPr>
      </w:pPr>
      <w:r w:rsidRPr="00996B0E">
        <w:rPr>
          <w:lang w:val="en-US"/>
        </w:rPr>
        <w:t>Deidentified data collected by Black Dog Institute Bipolar Clinic</w:t>
      </w:r>
      <w:r>
        <w:rPr>
          <w:lang w:val="en-US"/>
        </w:rPr>
        <w:t>. This will have information about mood specifier and presentation medications.</w:t>
      </w:r>
      <w:r w:rsidRPr="00996B0E">
        <w:rPr>
          <w:lang w:val="en-US"/>
        </w:rPr>
        <w:t xml:space="preserve">  </w:t>
      </w:r>
    </w:p>
    <w:p w14:paraId="7075F73B" w14:textId="77777777" w:rsidR="00996B0E" w:rsidRPr="00996B0E" w:rsidRDefault="00996B0E" w:rsidP="00996B0E">
      <w:pPr>
        <w:pStyle w:val="ListParagraph"/>
        <w:numPr>
          <w:ilvl w:val="2"/>
          <w:numId w:val="11"/>
        </w:numPr>
        <w:jc w:val="both"/>
        <w:rPr>
          <w:lang w:val="en-US"/>
        </w:rPr>
      </w:pPr>
      <w:r w:rsidRPr="00996B0E">
        <w:rPr>
          <w:lang w:val="en-US"/>
        </w:rPr>
        <w:t>RCA (as above)</w:t>
      </w:r>
    </w:p>
    <w:p w14:paraId="789A8E70" w14:textId="77777777" w:rsidR="00996B0E" w:rsidRPr="00996B0E" w:rsidRDefault="00996B0E" w:rsidP="00996B0E">
      <w:pPr>
        <w:pStyle w:val="ListParagraph"/>
        <w:numPr>
          <w:ilvl w:val="2"/>
          <w:numId w:val="11"/>
        </w:numPr>
        <w:jc w:val="both"/>
        <w:rPr>
          <w:lang w:val="en-US"/>
        </w:rPr>
      </w:pPr>
      <w:r w:rsidRPr="00996B0E">
        <w:rPr>
          <w:lang w:val="en-US"/>
        </w:rPr>
        <w:t xml:space="preserve">MH illness specific rating scales (as above) </w:t>
      </w:r>
    </w:p>
    <w:p w14:paraId="3C3140DB" w14:textId="18A8E778" w:rsidR="00D829C8" w:rsidRDefault="00593AE4" w:rsidP="00996B0E">
      <w:pPr>
        <w:ind w:left="720"/>
        <w:jc w:val="both"/>
      </w:pPr>
      <w:r>
        <w:t xml:space="preserve">The evidence of ADRs is hard to identify in consumers with a sustained </w:t>
      </w:r>
      <w:r w:rsidR="00916672">
        <w:t xml:space="preserve">treatment-emergent affect </w:t>
      </w:r>
      <w:r>
        <w:t xml:space="preserve">switch. The answer is in reviewing those who have failed to </w:t>
      </w:r>
      <w:r w:rsidR="00916672">
        <w:t xml:space="preserve">achieve </w:t>
      </w:r>
      <w:r w:rsidR="00FC19C0">
        <w:t>remission and</w:t>
      </w:r>
      <w:r w:rsidR="00916672">
        <w:t xml:space="preserve"> </w:t>
      </w:r>
      <w:r w:rsidR="00FC19C0">
        <w:t xml:space="preserve">on </w:t>
      </w:r>
      <w:r>
        <w:t>antidepressant</w:t>
      </w:r>
      <w:r w:rsidR="00FC19C0">
        <w:t>s</w:t>
      </w:r>
      <w:r>
        <w:t>. See Attachment 3, which discussed case studies of chronic mixed features whe</w:t>
      </w:r>
      <w:r w:rsidR="004C4A0A">
        <w:t>re</w:t>
      </w:r>
      <w:r>
        <w:t xml:space="preserve"> antidepressants </w:t>
      </w:r>
      <w:r w:rsidR="004C4A0A">
        <w:t xml:space="preserve">are successfully </w:t>
      </w:r>
      <w:r>
        <w:t>withdrawn</w:t>
      </w:r>
      <w:r w:rsidR="004C4A0A">
        <w:t>.</w:t>
      </w:r>
      <w:r>
        <w:t xml:space="preserve"> (El-Mallakh, 2005).</w:t>
      </w:r>
    </w:p>
    <w:p w14:paraId="1CACBBED" w14:textId="53B336C0" w:rsidR="00C61E30" w:rsidRDefault="00996B0E" w:rsidP="00996B0E">
      <w:pPr>
        <w:ind w:left="720"/>
        <w:jc w:val="both"/>
      </w:pPr>
      <w:r w:rsidRPr="00996B0E">
        <w:t xml:space="preserve">Audits </w:t>
      </w:r>
      <w:r w:rsidR="008935C1">
        <w:t xml:space="preserve">and RCAs </w:t>
      </w:r>
      <w:r w:rsidRPr="00996B0E">
        <w:t xml:space="preserve">are an accepted part of maintaining standards of care in specialties to prevent negative outcomes, e.g. surgery. My life should have been provided the same value as a surgical patient. </w:t>
      </w:r>
      <w:r w:rsidR="00C61E30">
        <w:br/>
      </w:r>
    </w:p>
    <w:p w14:paraId="1D48338D" w14:textId="77777777" w:rsidR="00C61E30" w:rsidRDefault="00C61E30">
      <w:r>
        <w:br w:type="page"/>
      </w:r>
    </w:p>
    <w:p w14:paraId="097D1A49" w14:textId="15BE8E43" w:rsidR="00C425F2" w:rsidRPr="0027664F" w:rsidRDefault="00996B0E" w:rsidP="00996B0E">
      <w:pPr>
        <w:pStyle w:val="ListParagraph"/>
        <w:ind w:left="0"/>
        <w:jc w:val="both"/>
        <w:rPr>
          <w:b/>
          <w:bCs/>
          <w:sz w:val="28"/>
          <w:szCs w:val="28"/>
          <w:u w:val="single"/>
          <w:lang w:val="en-US"/>
        </w:rPr>
      </w:pPr>
      <w:r w:rsidRPr="006C0AAC">
        <w:rPr>
          <w:sz w:val="12"/>
          <w:szCs w:val="12"/>
          <w:lang w:val="en-US"/>
        </w:rPr>
        <w:lastRenderedPageBreak/>
        <w:br/>
      </w:r>
      <w:r w:rsidRPr="0027664F">
        <w:rPr>
          <w:b/>
          <w:bCs/>
          <w:color w:val="1F3864" w:themeColor="accent1" w:themeShade="80"/>
          <w:sz w:val="28"/>
          <w:szCs w:val="28"/>
          <w:u w:val="single"/>
          <w:lang w:val="en-US"/>
        </w:rPr>
        <w:t xml:space="preserve">GOVERNMENT </w:t>
      </w:r>
      <w:r w:rsidR="006D14DF" w:rsidRPr="0027664F">
        <w:rPr>
          <w:b/>
          <w:bCs/>
          <w:color w:val="1F3864" w:themeColor="accent1" w:themeShade="80"/>
          <w:sz w:val="28"/>
          <w:szCs w:val="28"/>
          <w:u w:val="single"/>
          <w:lang w:val="en-US"/>
        </w:rPr>
        <w:t>I</w:t>
      </w:r>
      <w:r w:rsidRPr="0027664F">
        <w:rPr>
          <w:b/>
          <w:bCs/>
          <w:color w:val="1F3864" w:themeColor="accent1" w:themeShade="80"/>
          <w:sz w:val="28"/>
          <w:szCs w:val="28"/>
          <w:u w:val="single"/>
          <w:lang w:val="en-US"/>
        </w:rPr>
        <w:t>NQUIRY</w:t>
      </w:r>
    </w:p>
    <w:p w14:paraId="0F59F538" w14:textId="58C30D68" w:rsidR="00C62326" w:rsidRDefault="00F9126E" w:rsidP="00F9126E">
      <w:pPr>
        <w:shd w:val="clear" w:color="auto" w:fill="FFFFFF"/>
        <w:ind w:left="720"/>
        <w:jc w:val="both"/>
        <w:rPr>
          <w:rFonts w:cstheme="minorHAnsi"/>
          <w:lang w:val="en-US"/>
        </w:rPr>
      </w:pPr>
      <w:r w:rsidRPr="00047FAD">
        <w:rPr>
          <w:rFonts w:cstheme="minorHAnsi"/>
          <w:lang w:val="en-US"/>
        </w:rPr>
        <w:t>A simple perimenopausal depression was grossly mismana</w:t>
      </w:r>
      <w:r w:rsidR="009B0590">
        <w:rPr>
          <w:rFonts w:cstheme="minorHAnsi"/>
          <w:lang w:val="en-US"/>
        </w:rPr>
        <w:t>g</w:t>
      </w:r>
      <w:r w:rsidRPr="00047FAD">
        <w:rPr>
          <w:rFonts w:cstheme="minorHAnsi"/>
          <w:lang w:val="en-US"/>
        </w:rPr>
        <w:t>ed, I found myself in a vulnerable situation with a serious mental health illness. The only pe</w:t>
      </w:r>
      <w:r w:rsidR="009B0590">
        <w:rPr>
          <w:rFonts w:cstheme="minorHAnsi"/>
          <w:lang w:val="en-US"/>
        </w:rPr>
        <w:t>rson</w:t>
      </w:r>
      <w:r>
        <w:rPr>
          <w:rFonts w:cstheme="minorHAnsi"/>
          <w:lang w:val="en-US"/>
        </w:rPr>
        <w:t xml:space="preserve"> </w:t>
      </w:r>
      <w:r w:rsidRPr="00047FAD">
        <w:rPr>
          <w:rFonts w:cstheme="minorHAnsi"/>
          <w:lang w:val="en-US"/>
        </w:rPr>
        <w:t xml:space="preserve">I trusted </w:t>
      </w:r>
      <w:r w:rsidR="009B0590">
        <w:rPr>
          <w:rFonts w:cstheme="minorHAnsi"/>
          <w:lang w:val="en-US"/>
        </w:rPr>
        <w:t xml:space="preserve">was </w:t>
      </w:r>
      <w:r w:rsidRPr="00047FAD">
        <w:rPr>
          <w:rFonts w:cstheme="minorHAnsi"/>
          <w:lang w:val="en-US"/>
        </w:rPr>
        <w:t>my psychiatrist. Nobody knew they cause</w:t>
      </w:r>
      <w:r w:rsidR="00FC19C0">
        <w:rPr>
          <w:rFonts w:cstheme="minorHAnsi"/>
          <w:lang w:val="en-US"/>
        </w:rPr>
        <w:t>d and sustained</w:t>
      </w:r>
      <w:r>
        <w:rPr>
          <w:rFonts w:cstheme="minorHAnsi"/>
          <w:lang w:val="en-US"/>
        </w:rPr>
        <w:t xml:space="preserve"> my illness</w:t>
      </w:r>
      <w:r w:rsidRPr="00047FAD">
        <w:rPr>
          <w:rFonts w:cstheme="minorHAnsi"/>
          <w:lang w:val="en-US"/>
        </w:rPr>
        <w:t>.</w:t>
      </w:r>
      <w:r w:rsidR="00FC19C0">
        <w:rPr>
          <w:rFonts w:cstheme="minorHAnsi"/>
          <w:lang w:val="en-US"/>
        </w:rPr>
        <w:t xml:space="preserve"> </w:t>
      </w:r>
      <w:r w:rsidRPr="00047FAD">
        <w:rPr>
          <w:rFonts w:cstheme="minorHAnsi"/>
          <w:lang w:val="en-US"/>
        </w:rPr>
        <w:t xml:space="preserve"> </w:t>
      </w:r>
    </w:p>
    <w:p w14:paraId="7B058288" w14:textId="094E538B" w:rsidR="004D682D" w:rsidRDefault="00BB3BC2" w:rsidP="00417AAD">
      <w:pPr>
        <w:ind w:left="720"/>
        <w:jc w:val="both"/>
        <w:rPr>
          <w:lang w:val="en-US"/>
        </w:rPr>
      </w:pPr>
      <w:r>
        <w:rPr>
          <w:lang w:val="en-US"/>
        </w:rPr>
        <w:t>You should be outraged that this is happening</w:t>
      </w:r>
      <w:r w:rsidR="00F9126E">
        <w:rPr>
          <w:lang w:val="en-US"/>
        </w:rPr>
        <w:t xml:space="preserve"> and scrambling for solutions to</w:t>
      </w:r>
      <w:r w:rsidR="007A024B">
        <w:rPr>
          <w:lang w:val="en-US"/>
        </w:rPr>
        <w:t xml:space="preserve"> close gaps that leave future generations at risk</w:t>
      </w:r>
      <w:r w:rsidR="00F9126E">
        <w:rPr>
          <w:lang w:val="en-US"/>
        </w:rPr>
        <w:t>.</w:t>
      </w:r>
      <w:r w:rsidR="002F5544">
        <w:rPr>
          <w:lang w:val="en-US"/>
        </w:rPr>
        <w:t xml:space="preserve"> </w:t>
      </w:r>
      <w:r w:rsidR="004D682D">
        <w:rPr>
          <w:lang w:val="en-US"/>
        </w:rPr>
        <w:t>Consultants are not above treatment guidelines that were in place to protect me. Those who</w:t>
      </w:r>
      <w:r w:rsidR="007A024B">
        <w:rPr>
          <w:lang w:val="en-US"/>
        </w:rPr>
        <w:t xml:space="preserve"> </w:t>
      </w:r>
      <w:r w:rsidR="00FC19C0">
        <w:rPr>
          <w:lang w:val="en-US"/>
        </w:rPr>
        <w:t xml:space="preserve">are still </w:t>
      </w:r>
      <w:r w:rsidR="004D682D">
        <w:rPr>
          <w:lang w:val="en-US"/>
        </w:rPr>
        <w:t>cling</w:t>
      </w:r>
      <w:r w:rsidR="00FC19C0">
        <w:rPr>
          <w:lang w:val="en-US"/>
        </w:rPr>
        <w:t>ing</w:t>
      </w:r>
      <w:r w:rsidR="004D682D">
        <w:rPr>
          <w:lang w:val="en-US"/>
        </w:rPr>
        <w:t xml:space="preserve"> onto old practices need to be identified and their patients protected.  </w:t>
      </w:r>
    </w:p>
    <w:p w14:paraId="75319259" w14:textId="6F3D8F69" w:rsidR="00062C4A" w:rsidRDefault="004D682D" w:rsidP="00417AAD">
      <w:pPr>
        <w:ind w:left="720"/>
        <w:jc w:val="both"/>
        <w:rPr>
          <w:lang w:val="en-US"/>
        </w:rPr>
      </w:pPr>
      <w:r>
        <w:rPr>
          <w:lang w:val="en-US"/>
        </w:rPr>
        <w:t xml:space="preserve">The biggest domino effect on patient care into the future is to discuss with the </w:t>
      </w:r>
      <w:r w:rsidR="000D01F3">
        <w:rPr>
          <w:lang w:val="en-US"/>
        </w:rPr>
        <w:t xml:space="preserve">current </w:t>
      </w:r>
      <w:r>
        <w:rPr>
          <w:lang w:val="en-US"/>
        </w:rPr>
        <w:t xml:space="preserve">Government </w:t>
      </w:r>
      <w:r w:rsidR="00DA4582">
        <w:rPr>
          <w:lang w:val="en-US"/>
        </w:rPr>
        <w:t>the</w:t>
      </w:r>
      <w:r>
        <w:rPr>
          <w:lang w:val="en-US"/>
        </w:rPr>
        <w:t xml:space="preserve"> need for an urgent Inquiry to </w:t>
      </w:r>
      <w:r w:rsidR="007A024B">
        <w:rPr>
          <w:lang w:val="en-US"/>
        </w:rPr>
        <w:t xml:space="preserve">investigate factors that </w:t>
      </w:r>
      <w:r w:rsidR="00FC19C0">
        <w:rPr>
          <w:lang w:val="en-US"/>
        </w:rPr>
        <w:t>still</w:t>
      </w:r>
      <w:r w:rsidR="00DA4582">
        <w:rPr>
          <w:lang w:val="en-US"/>
        </w:rPr>
        <w:t xml:space="preserve"> obstruct </w:t>
      </w:r>
      <w:r w:rsidR="007A024B">
        <w:rPr>
          <w:lang w:val="en-US"/>
        </w:rPr>
        <w:t>consumers</w:t>
      </w:r>
      <w:r w:rsidR="00DA4582">
        <w:rPr>
          <w:lang w:val="en-US"/>
        </w:rPr>
        <w:t xml:space="preserve"> receiving safe care</w:t>
      </w:r>
      <w:r w:rsidR="007A024B">
        <w:rPr>
          <w:lang w:val="en-US"/>
        </w:rPr>
        <w:t>.</w:t>
      </w:r>
      <w:r w:rsidR="00FC19C0">
        <w:rPr>
          <w:lang w:val="en-US"/>
        </w:rPr>
        <w:t xml:space="preserve"> This will provide and </w:t>
      </w:r>
      <w:r w:rsidR="00DA4582">
        <w:rPr>
          <w:lang w:val="en-US"/>
        </w:rPr>
        <w:t xml:space="preserve">immediate </w:t>
      </w:r>
      <w:r w:rsidR="00FC19C0">
        <w:rPr>
          <w:lang w:val="en-US"/>
        </w:rPr>
        <w:t xml:space="preserve">change for </w:t>
      </w:r>
      <w:r w:rsidR="00DA4582">
        <w:rPr>
          <w:lang w:val="en-US"/>
        </w:rPr>
        <w:t>consumer</w:t>
      </w:r>
      <w:r w:rsidR="00FC19C0">
        <w:rPr>
          <w:lang w:val="en-US"/>
        </w:rPr>
        <w:t>s</w:t>
      </w:r>
      <w:r w:rsidR="007A024B">
        <w:rPr>
          <w:lang w:val="en-US"/>
        </w:rPr>
        <w:t xml:space="preserve"> who are unable to </w:t>
      </w:r>
      <w:r w:rsidR="00DA4582">
        <w:rPr>
          <w:lang w:val="en-US"/>
        </w:rPr>
        <w:t xml:space="preserve">obtain </w:t>
      </w:r>
      <w:r w:rsidR="007A024B">
        <w:rPr>
          <w:lang w:val="en-US"/>
        </w:rPr>
        <w:t xml:space="preserve">stability because </w:t>
      </w:r>
      <w:r w:rsidR="00DA4582">
        <w:rPr>
          <w:lang w:val="en-US"/>
        </w:rPr>
        <w:t>the</w:t>
      </w:r>
      <w:r w:rsidR="00FC19C0">
        <w:rPr>
          <w:lang w:val="en-US"/>
        </w:rPr>
        <w:t>ir</w:t>
      </w:r>
      <w:r w:rsidR="00DA4582">
        <w:rPr>
          <w:lang w:val="en-US"/>
        </w:rPr>
        <w:t xml:space="preserve"> treatment does not reach benchmark</w:t>
      </w:r>
      <w:r w:rsidR="00FC19C0">
        <w:rPr>
          <w:lang w:val="en-US"/>
        </w:rPr>
        <w:t xml:space="preserve"> standards</w:t>
      </w:r>
      <w:r w:rsidR="007A024B">
        <w:rPr>
          <w:lang w:val="en-US"/>
        </w:rPr>
        <w:t xml:space="preserve">. </w:t>
      </w:r>
    </w:p>
    <w:p w14:paraId="0066D74D" w14:textId="77777777" w:rsidR="00C61E30" w:rsidRDefault="00A212E6" w:rsidP="00C61E30">
      <w:pPr>
        <w:ind w:left="720"/>
        <w:jc w:val="both"/>
        <w:rPr>
          <w:rFonts w:cstheme="minorHAnsi"/>
        </w:rPr>
      </w:pPr>
      <w:r w:rsidRPr="00A212E6">
        <w:rPr>
          <w:sz w:val="28"/>
          <w:szCs w:val="28"/>
          <w:lang w:val="en-US"/>
        </w:rPr>
        <w:t>Mixed hope.</w:t>
      </w:r>
      <w:r>
        <w:rPr>
          <w:sz w:val="28"/>
          <w:szCs w:val="28"/>
          <w:lang w:val="en-US"/>
        </w:rPr>
        <w:t xml:space="preserve"> </w:t>
      </w:r>
      <w:r w:rsidR="00F9126E" w:rsidRPr="00047FAD">
        <w:rPr>
          <w:rFonts w:cstheme="minorHAnsi"/>
        </w:rPr>
        <w:t>I attend</w:t>
      </w:r>
      <w:r w:rsidR="00417AAD">
        <w:rPr>
          <w:rFonts w:cstheme="minorHAnsi"/>
        </w:rPr>
        <w:t xml:space="preserve">ed </w:t>
      </w:r>
      <w:r w:rsidR="00F9126E" w:rsidRPr="00047FAD">
        <w:rPr>
          <w:rFonts w:cstheme="minorHAnsi"/>
        </w:rPr>
        <w:t xml:space="preserve">the International Society of Bipolar Disorder conference in Sydney </w:t>
      </w:r>
      <w:r w:rsidR="00417AAD">
        <w:rPr>
          <w:rFonts w:cstheme="minorHAnsi"/>
        </w:rPr>
        <w:t>last year</w:t>
      </w:r>
      <w:r w:rsidR="00062C4A">
        <w:rPr>
          <w:rFonts w:cstheme="minorHAnsi"/>
        </w:rPr>
        <w:t>.</w:t>
      </w:r>
      <w:r w:rsidR="00F9126E" w:rsidRPr="00047FAD">
        <w:rPr>
          <w:rFonts w:cstheme="minorHAnsi"/>
        </w:rPr>
        <w:t xml:space="preserve"> The use of antidepressants was barely mentioned, it seemed a given that it was detrimental in the treatment of at-risk bipolar patients. </w:t>
      </w:r>
      <w:r>
        <w:rPr>
          <w:rFonts w:cstheme="minorHAnsi"/>
        </w:rPr>
        <w:t>S</w:t>
      </w:r>
      <w:r w:rsidR="00F9126E" w:rsidRPr="00047FAD">
        <w:rPr>
          <w:rFonts w:cstheme="minorHAnsi"/>
        </w:rPr>
        <w:t>everal psychiatrists whom I spoke with who chose never to use antidepressants in the management of any of their bipolar patients. I was reassured and hopeful for the future.</w:t>
      </w:r>
      <w:r w:rsidR="000D01F3">
        <w:rPr>
          <w:rFonts w:cstheme="minorHAnsi"/>
        </w:rPr>
        <w:t xml:space="preserve"> </w:t>
      </w:r>
      <w:r w:rsidR="00C61E30">
        <w:rPr>
          <w:rFonts w:cstheme="minorHAnsi"/>
        </w:rPr>
        <w:br/>
      </w:r>
      <w:r w:rsidR="00C61E30">
        <w:rPr>
          <w:rFonts w:cstheme="minorHAnsi"/>
        </w:rPr>
        <w:br/>
      </w:r>
      <w:r w:rsidR="000D01F3">
        <w:rPr>
          <w:rFonts w:cstheme="minorHAnsi"/>
        </w:rPr>
        <w:t>Social media is sh</w:t>
      </w:r>
      <w:r w:rsidR="00C61E30">
        <w:rPr>
          <w:rFonts w:cstheme="minorHAnsi"/>
        </w:rPr>
        <w:t xml:space="preserve">aring </w:t>
      </w:r>
      <w:r w:rsidR="000D01F3">
        <w:rPr>
          <w:rFonts w:cstheme="minorHAnsi"/>
        </w:rPr>
        <w:t>more consumers</w:t>
      </w:r>
      <w:r>
        <w:rPr>
          <w:rFonts w:cstheme="minorHAnsi"/>
        </w:rPr>
        <w:t xml:space="preserve"> and their psychiatrist </w:t>
      </w:r>
      <w:r w:rsidR="000D01F3">
        <w:rPr>
          <w:rFonts w:cstheme="minorHAnsi"/>
        </w:rPr>
        <w:t>are aware of the risks of antidepressants</w:t>
      </w:r>
      <w:r>
        <w:rPr>
          <w:rFonts w:cstheme="minorHAnsi"/>
        </w:rPr>
        <w:t xml:space="preserve">. But too many </w:t>
      </w:r>
      <w:r w:rsidR="00C61E30">
        <w:rPr>
          <w:rFonts w:cstheme="minorHAnsi"/>
        </w:rPr>
        <w:t xml:space="preserve">still </w:t>
      </w:r>
      <w:r>
        <w:rPr>
          <w:rFonts w:cstheme="minorHAnsi"/>
        </w:rPr>
        <w:t>talk about current episodes of  rapid cycling, mania or mixed features whilst on antidepressant therapy. Others are constantly having the antidepressant changed in hope that they will find the one that works for them. Lamot</w:t>
      </w:r>
      <w:r w:rsidR="000D01F3">
        <w:rPr>
          <w:rFonts w:cstheme="minorHAnsi"/>
        </w:rPr>
        <w:t>rigine seems to be the flavour of the month to manage bipolar depression</w:t>
      </w:r>
      <w:r>
        <w:rPr>
          <w:rFonts w:cstheme="minorHAnsi"/>
        </w:rPr>
        <w:t>,</w:t>
      </w:r>
      <w:r w:rsidR="000D01F3">
        <w:rPr>
          <w:rFonts w:cstheme="minorHAnsi"/>
        </w:rPr>
        <w:t xml:space="preserve"> with good outcomes. </w:t>
      </w:r>
      <w:r>
        <w:rPr>
          <w:rFonts w:cstheme="minorHAnsi"/>
        </w:rPr>
        <w:t>Sadly,</w:t>
      </w:r>
      <w:r w:rsidR="000D01F3">
        <w:rPr>
          <w:rFonts w:cstheme="minorHAnsi"/>
        </w:rPr>
        <w:t xml:space="preserve"> it is not on PBS, so out of the reach of many.  </w:t>
      </w:r>
    </w:p>
    <w:tbl>
      <w:tblPr>
        <w:tblStyle w:val="TableGrid"/>
        <w:tblW w:w="9776" w:type="dxa"/>
        <w:tblBorders>
          <w:left w:val="none" w:sz="0" w:space="0" w:color="auto"/>
          <w:right w:val="none" w:sz="0" w:space="0" w:color="auto"/>
        </w:tblBorders>
        <w:tblLook w:val="04A0" w:firstRow="1" w:lastRow="0" w:firstColumn="1" w:lastColumn="0" w:noHBand="0" w:noVBand="1"/>
      </w:tblPr>
      <w:tblGrid>
        <w:gridCol w:w="9776"/>
      </w:tblGrid>
      <w:tr w:rsidR="00FA7651" w14:paraId="5DCDB0DF" w14:textId="77777777" w:rsidTr="00BD42B9">
        <w:tc>
          <w:tcPr>
            <w:tcW w:w="9776" w:type="dxa"/>
          </w:tcPr>
          <w:p w14:paraId="0D982110" w14:textId="2C2287E1" w:rsidR="00FA7651" w:rsidRPr="00C61E30" w:rsidRDefault="00FA7651" w:rsidP="00FA7651">
            <w:pPr>
              <w:pStyle w:val="Default"/>
              <w:rPr>
                <w:rFonts w:asciiTheme="minorHAnsi" w:hAnsiTheme="minorHAnsi" w:cstheme="minorHAnsi"/>
                <w:b/>
                <w:bCs/>
                <w:color w:val="2F5496" w:themeColor="accent1" w:themeShade="BF"/>
                <w:sz w:val="20"/>
                <w:szCs w:val="20"/>
              </w:rPr>
            </w:pPr>
            <w:r w:rsidRPr="00C61E30">
              <w:rPr>
                <w:rFonts w:asciiTheme="minorHAnsi" w:hAnsiTheme="minorHAnsi" w:cstheme="minorHAnsi"/>
                <w:b/>
                <w:bCs/>
                <w:color w:val="2F5496" w:themeColor="accent1" w:themeShade="BF"/>
                <w:shd w:val="clear" w:color="auto" w:fill="FFFFFF"/>
              </w:rPr>
              <w:t>“The use of psychotropic medications as the first line treatment for depression and other conditions is, quite simply, unsupported by the evidence. The excessive use of medications and other biomedical interventions, based on a reductive neurobiological paradigm causes more harm than good, undermines the right to health, and must be abandoned.”</w:t>
            </w:r>
          </w:p>
          <w:p w14:paraId="3578291B" w14:textId="3CF126F2" w:rsidR="00FA7651" w:rsidRPr="00BD42B9" w:rsidRDefault="00FA7651" w:rsidP="00FA7651">
            <w:pPr>
              <w:pStyle w:val="Default"/>
              <w:jc w:val="right"/>
              <w:rPr>
                <w:b/>
                <w:bCs/>
                <w:color w:val="2F5496" w:themeColor="accent1" w:themeShade="BF"/>
                <w:lang w:val="en-US"/>
              </w:rPr>
            </w:pPr>
            <w:r w:rsidRPr="00FA7651">
              <w:rPr>
                <w:rFonts w:asciiTheme="minorHAnsi" w:hAnsiTheme="minorHAnsi" w:cstheme="minorHAnsi"/>
                <w:color w:val="2F5496" w:themeColor="accent1" w:themeShade="BF"/>
                <w:sz w:val="20"/>
                <w:szCs w:val="20"/>
              </w:rPr>
              <w:t xml:space="preserve">United Nations Human Rights High Commissioners Office. </w:t>
            </w:r>
            <w:r w:rsidRPr="00FA7651">
              <w:rPr>
                <w:rFonts w:asciiTheme="minorHAnsi" w:hAnsiTheme="minorHAnsi" w:cstheme="minorHAnsi"/>
                <w:color w:val="2F5496" w:themeColor="accent1" w:themeShade="BF"/>
                <w:sz w:val="20"/>
                <w:szCs w:val="20"/>
              </w:rPr>
              <w:br/>
              <w:t>(Puras, 2017)</w:t>
            </w:r>
            <w:r w:rsidR="00C61E30">
              <w:rPr>
                <w:rFonts w:asciiTheme="minorHAnsi" w:hAnsiTheme="minorHAnsi" w:cstheme="minorHAnsi"/>
                <w:color w:val="2F5496" w:themeColor="accent1" w:themeShade="BF"/>
                <w:sz w:val="20"/>
                <w:szCs w:val="20"/>
              </w:rPr>
              <w:br/>
            </w:r>
          </w:p>
        </w:tc>
      </w:tr>
      <w:tr w:rsidR="00996B0E" w14:paraId="15419DD6" w14:textId="77777777" w:rsidTr="00BD42B9">
        <w:tc>
          <w:tcPr>
            <w:tcW w:w="9776" w:type="dxa"/>
          </w:tcPr>
          <w:p w14:paraId="120BC8B6" w14:textId="77777777" w:rsidR="00C61E30" w:rsidRPr="00C61E30" w:rsidRDefault="00C61E30" w:rsidP="00C61E30">
            <w:pPr>
              <w:autoSpaceDE w:val="0"/>
              <w:autoSpaceDN w:val="0"/>
              <w:adjustRightInd w:val="0"/>
              <w:jc w:val="center"/>
              <w:rPr>
                <w:b/>
                <w:bCs/>
                <w:color w:val="2F5496" w:themeColor="accent1" w:themeShade="BF"/>
                <w:sz w:val="24"/>
                <w:szCs w:val="24"/>
                <w:lang w:val="en-US"/>
              </w:rPr>
            </w:pPr>
            <w:r w:rsidRPr="00C61E30">
              <w:rPr>
                <w:b/>
                <w:bCs/>
                <w:color w:val="2F5496" w:themeColor="accent1" w:themeShade="BF"/>
                <w:sz w:val="24"/>
                <w:szCs w:val="24"/>
                <w:lang w:val="en-US"/>
              </w:rPr>
              <w:t>There exists complacency in following treatment guidelines by some clinicians;</w:t>
            </w:r>
          </w:p>
          <w:p w14:paraId="691F9EE5" w14:textId="77777777" w:rsidR="00C61E30" w:rsidRPr="00C61E30" w:rsidRDefault="00C61E30" w:rsidP="00C61E30">
            <w:pPr>
              <w:autoSpaceDE w:val="0"/>
              <w:autoSpaceDN w:val="0"/>
              <w:adjustRightInd w:val="0"/>
              <w:jc w:val="center"/>
              <w:rPr>
                <w:b/>
                <w:bCs/>
                <w:color w:val="2F5496" w:themeColor="accent1" w:themeShade="BF"/>
                <w:sz w:val="24"/>
                <w:szCs w:val="24"/>
                <w:lang w:val="en-US"/>
              </w:rPr>
            </w:pPr>
            <w:r w:rsidRPr="00C61E30">
              <w:rPr>
                <w:b/>
                <w:bCs/>
                <w:color w:val="2F5496" w:themeColor="accent1" w:themeShade="BF"/>
                <w:sz w:val="24"/>
                <w:szCs w:val="24"/>
                <w:lang w:val="en-US"/>
              </w:rPr>
              <w:t>complexity of diagnosing a drug reaction that mimics bipolar disorder;</w:t>
            </w:r>
            <w:r w:rsidRPr="00C61E30">
              <w:rPr>
                <w:b/>
                <w:bCs/>
                <w:color w:val="2F5496" w:themeColor="accent1" w:themeShade="BF"/>
                <w:sz w:val="24"/>
                <w:szCs w:val="24"/>
                <w:lang w:val="en-US"/>
              </w:rPr>
              <w:br/>
              <w:t>a lack of tools to evaluate and monitor for neurotoxic drug reactions;</w:t>
            </w:r>
            <w:r w:rsidRPr="00C61E30">
              <w:rPr>
                <w:b/>
                <w:bCs/>
                <w:color w:val="2F5496" w:themeColor="accent1" w:themeShade="BF"/>
                <w:sz w:val="24"/>
                <w:szCs w:val="24"/>
                <w:lang w:val="en-US"/>
              </w:rPr>
              <w:br/>
              <w:t>an inability of Government agencies to respond; and</w:t>
            </w:r>
            <w:r w:rsidRPr="00C61E30">
              <w:rPr>
                <w:b/>
                <w:bCs/>
                <w:color w:val="2F5496" w:themeColor="accent1" w:themeShade="BF"/>
                <w:sz w:val="24"/>
                <w:szCs w:val="24"/>
                <w:lang w:val="en-US"/>
              </w:rPr>
              <w:br/>
              <w:t xml:space="preserve">outcomes of high-level dysfunction or medication-induced suicide from antidepressants. </w:t>
            </w:r>
          </w:p>
          <w:p w14:paraId="5E1E93A0" w14:textId="05E2CACB" w:rsidR="00996B0E" w:rsidRPr="00BD42B9" w:rsidRDefault="00996B0E" w:rsidP="00BD42B9">
            <w:pPr>
              <w:pStyle w:val="Default"/>
              <w:jc w:val="right"/>
              <w:rPr>
                <w:color w:val="2F5496" w:themeColor="accent1" w:themeShade="BF"/>
                <w:sz w:val="20"/>
                <w:szCs w:val="20"/>
              </w:rPr>
            </w:pPr>
          </w:p>
        </w:tc>
      </w:tr>
      <w:tr w:rsidR="00996B0E" w14:paraId="778450E1" w14:textId="77777777" w:rsidTr="00BD42B9">
        <w:tc>
          <w:tcPr>
            <w:tcW w:w="9776" w:type="dxa"/>
          </w:tcPr>
          <w:p w14:paraId="7396DC57" w14:textId="77777777" w:rsidR="00C61E30" w:rsidRPr="00184BC8" w:rsidRDefault="00C61E30" w:rsidP="00C61E30">
            <w:pPr>
              <w:autoSpaceDE w:val="0"/>
              <w:autoSpaceDN w:val="0"/>
              <w:adjustRightInd w:val="0"/>
              <w:jc w:val="center"/>
              <w:rPr>
                <w:b/>
                <w:bCs/>
                <w:color w:val="2F5496" w:themeColor="accent1" w:themeShade="BF"/>
                <w:sz w:val="36"/>
                <w:szCs w:val="36"/>
                <w:lang w:val="en-US"/>
              </w:rPr>
            </w:pPr>
            <w:r w:rsidRPr="00184BC8">
              <w:rPr>
                <w:b/>
                <w:bCs/>
                <w:color w:val="2F5496" w:themeColor="accent1" w:themeShade="BF"/>
                <w:sz w:val="36"/>
                <w:szCs w:val="36"/>
                <w:lang w:val="en-US"/>
              </w:rPr>
              <w:t xml:space="preserve">Not one Australian should ever </w:t>
            </w:r>
            <w:r w:rsidRPr="00184BC8">
              <w:rPr>
                <w:b/>
                <w:bCs/>
                <w:color w:val="2F5496" w:themeColor="accent1" w:themeShade="BF"/>
                <w:sz w:val="36"/>
                <w:szCs w:val="36"/>
                <w:lang w:val="en-US"/>
              </w:rPr>
              <w:br/>
              <w:t xml:space="preserve">be exposed to prescription </w:t>
            </w:r>
          </w:p>
          <w:p w14:paraId="53D55002" w14:textId="77777777" w:rsidR="00C61E30" w:rsidRDefault="00C61E30" w:rsidP="00C61E30">
            <w:pPr>
              <w:autoSpaceDE w:val="0"/>
              <w:autoSpaceDN w:val="0"/>
              <w:adjustRightInd w:val="0"/>
              <w:jc w:val="center"/>
              <w:rPr>
                <w:b/>
                <w:bCs/>
                <w:color w:val="2F5496" w:themeColor="accent1" w:themeShade="BF"/>
                <w:sz w:val="36"/>
                <w:szCs w:val="36"/>
                <w:lang w:val="en-US"/>
              </w:rPr>
            </w:pPr>
            <w:r w:rsidRPr="00184BC8">
              <w:rPr>
                <w:b/>
                <w:bCs/>
                <w:color w:val="2F5496" w:themeColor="accent1" w:themeShade="BF"/>
                <w:sz w:val="36"/>
                <w:szCs w:val="36"/>
                <w:lang w:val="en-US"/>
              </w:rPr>
              <w:t xml:space="preserve">medications that sustain </w:t>
            </w:r>
            <w:r>
              <w:rPr>
                <w:b/>
                <w:bCs/>
                <w:color w:val="2F5496" w:themeColor="accent1" w:themeShade="BF"/>
                <w:sz w:val="36"/>
                <w:szCs w:val="36"/>
                <w:lang w:val="en-US"/>
              </w:rPr>
              <w:br/>
            </w:r>
            <w:r w:rsidRPr="00184BC8">
              <w:rPr>
                <w:b/>
                <w:bCs/>
                <w:color w:val="2F5496" w:themeColor="accent1" w:themeShade="BF"/>
                <w:sz w:val="36"/>
                <w:szCs w:val="36"/>
                <w:lang w:val="en-US"/>
              </w:rPr>
              <w:t>a mental health illness.</w:t>
            </w:r>
          </w:p>
          <w:p w14:paraId="7D8FFA60" w14:textId="60BD2E7C" w:rsidR="00C61E30" w:rsidRPr="00184BC8" w:rsidRDefault="00C61E30" w:rsidP="00C61E30">
            <w:pPr>
              <w:autoSpaceDE w:val="0"/>
              <w:autoSpaceDN w:val="0"/>
              <w:adjustRightInd w:val="0"/>
              <w:jc w:val="center"/>
              <w:rPr>
                <w:b/>
                <w:bCs/>
                <w:color w:val="2F5496" w:themeColor="accent1" w:themeShade="BF"/>
                <w:sz w:val="36"/>
                <w:szCs w:val="36"/>
                <w:lang w:val="en-US"/>
              </w:rPr>
            </w:pPr>
            <w:r w:rsidRPr="00C61E30">
              <w:rPr>
                <w:b/>
                <w:bCs/>
                <w:color w:val="2F5496" w:themeColor="accent1" w:themeShade="BF"/>
                <w:sz w:val="16"/>
                <w:szCs w:val="16"/>
                <w:lang w:val="en-US"/>
              </w:rPr>
              <w:br/>
            </w:r>
            <w:r w:rsidRPr="00D829C8">
              <w:rPr>
                <w:b/>
                <w:bCs/>
                <w:i/>
                <w:iCs/>
                <w:color w:val="2F5496" w:themeColor="accent1" w:themeShade="BF"/>
                <w:sz w:val="32"/>
                <w:szCs w:val="32"/>
                <w:lang w:val="en-US"/>
              </w:rPr>
              <w:t xml:space="preserve">This is </w:t>
            </w:r>
            <w:r>
              <w:rPr>
                <w:b/>
                <w:bCs/>
                <w:i/>
                <w:iCs/>
                <w:color w:val="2F5496" w:themeColor="accent1" w:themeShade="BF"/>
                <w:sz w:val="32"/>
                <w:szCs w:val="32"/>
                <w:lang w:val="en-US"/>
              </w:rPr>
              <w:t>our</w:t>
            </w:r>
            <w:r w:rsidRPr="00D829C8">
              <w:rPr>
                <w:b/>
                <w:bCs/>
                <w:i/>
                <w:iCs/>
                <w:color w:val="2F5496" w:themeColor="accent1" w:themeShade="BF"/>
                <w:sz w:val="32"/>
                <w:szCs w:val="32"/>
                <w:lang w:val="en-US"/>
              </w:rPr>
              <w:t xml:space="preserve"> basic health right.</w:t>
            </w:r>
          </w:p>
          <w:p w14:paraId="2FDE2027" w14:textId="5434BA7A" w:rsidR="006E36C6" w:rsidRPr="00996B0E" w:rsidRDefault="006E36C6" w:rsidP="00BD42B9">
            <w:pPr>
              <w:autoSpaceDE w:val="0"/>
              <w:autoSpaceDN w:val="0"/>
              <w:adjustRightInd w:val="0"/>
              <w:jc w:val="right"/>
              <w:rPr>
                <w:color w:val="2F5496" w:themeColor="accent1" w:themeShade="BF"/>
                <w:sz w:val="24"/>
                <w:szCs w:val="24"/>
                <w:lang w:val="en-US"/>
              </w:rPr>
            </w:pPr>
          </w:p>
        </w:tc>
      </w:tr>
    </w:tbl>
    <w:p w14:paraId="1BA2654F" w14:textId="1C2770BF" w:rsidR="00C61E30" w:rsidRDefault="00C61E30" w:rsidP="00CE162E">
      <w:pPr>
        <w:pStyle w:val="Default"/>
        <w:rPr>
          <w:lang w:val="en-US"/>
        </w:rPr>
      </w:pPr>
    </w:p>
    <w:p w14:paraId="0E7923CB" w14:textId="7AEFC969" w:rsidR="00CE162E" w:rsidRPr="00C61E30" w:rsidRDefault="00B93E14" w:rsidP="00C61E30">
      <w:pPr>
        <w:rPr>
          <w:rFonts w:ascii="Calibri" w:hAnsi="Calibri" w:cs="Calibri"/>
          <w:color w:val="000000"/>
          <w:sz w:val="24"/>
          <w:szCs w:val="24"/>
          <w:lang w:val="en-US"/>
        </w:rPr>
      </w:pPr>
      <w:r w:rsidRPr="006E36C6">
        <w:rPr>
          <w:color w:val="2F5496" w:themeColor="accent1" w:themeShade="BF"/>
          <w:sz w:val="20"/>
          <w:szCs w:val="20"/>
          <w:u w:val="single"/>
          <w:lang w:val="en-US"/>
        </w:rPr>
        <w:t>A</w:t>
      </w:r>
      <w:r w:rsidR="00CA1D25" w:rsidRPr="006E36C6">
        <w:rPr>
          <w:color w:val="2F5496" w:themeColor="accent1" w:themeShade="BF"/>
          <w:sz w:val="20"/>
          <w:szCs w:val="20"/>
          <w:u w:val="single"/>
          <w:lang w:val="en-US"/>
        </w:rPr>
        <w:t>TTACHMENTS</w:t>
      </w:r>
    </w:p>
    <w:p w14:paraId="2EE7EF3E" w14:textId="77777777" w:rsidR="007A024B" w:rsidRDefault="007A024B" w:rsidP="00CE162E">
      <w:pPr>
        <w:pStyle w:val="Default"/>
        <w:rPr>
          <w:sz w:val="20"/>
          <w:szCs w:val="20"/>
          <w:lang w:val="en-US"/>
        </w:rPr>
      </w:pPr>
    </w:p>
    <w:p w14:paraId="28C5969B" w14:textId="24FCBA05" w:rsidR="00D2787D" w:rsidRPr="006E36C6" w:rsidRDefault="006E36C6" w:rsidP="00CE162E">
      <w:pPr>
        <w:pStyle w:val="Default"/>
        <w:ind w:left="360"/>
        <w:rPr>
          <w:sz w:val="20"/>
          <w:szCs w:val="20"/>
          <w:lang w:val="en-US"/>
        </w:rPr>
      </w:pPr>
      <w:r w:rsidRPr="006E36C6">
        <w:rPr>
          <w:sz w:val="20"/>
          <w:szCs w:val="20"/>
          <w:lang w:val="en-US"/>
        </w:rPr>
        <w:t xml:space="preserve">1.   </w:t>
      </w:r>
      <w:r w:rsidR="00CA1D25" w:rsidRPr="006E36C6">
        <w:rPr>
          <w:sz w:val="20"/>
          <w:szCs w:val="20"/>
          <w:lang w:val="en-US"/>
        </w:rPr>
        <w:t>Thase, et al. 2019. Impact of Phamacogenomics on Clinical Outcomes for Patients Taking Medications with Gene-Drug Interactions in a Randomized Controlled Trial.</w:t>
      </w:r>
    </w:p>
    <w:p w14:paraId="450E1406" w14:textId="77777777" w:rsidR="00CC6DAA" w:rsidRPr="00CC6DAA" w:rsidRDefault="00D2787D" w:rsidP="006E36C6">
      <w:pPr>
        <w:pStyle w:val="ListParagraph"/>
        <w:numPr>
          <w:ilvl w:val="0"/>
          <w:numId w:val="23"/>
        </w:numPr>
        <w:autoSpaceDE w:val="0"/>
        <w:autoSpaceDN w:val="0"/>
        <w:adjustRightInd w:val="0"/>
        <w:spacing w:after="0" w:line="240" w:lineRule="auto"/>
        <w:rPr>
          <w:lang w:val="en-US"/>
        </w:rPr>
      </w:pPr>
      <w:r w:rsidRPr="006E36C6">
        <w:rPr>
          <w:sz w:val="20"/>
          <w:szCs w:val="20"/>
          <w:lang w:val="en-US"/>
        </w:rPr>
        <w:t>Keks, 2009.</w:t>
      </w:r>
      <w:r w:rsidRPr="006E36C6">
        <w:rPr>
          <w:rFonts w:ascii="AdvHELVB" w:hAnsi="AdvHELVB" w:cs="AdvHELVB"/>
          <w:sz w:val="20"/>
          <w:szCs w:val="20"/>
        </w:rPr>
        <w:t xml:space="preserve"> </w:t>
      </w:r>
      <w:r w:rsidRPr="006E36C6">
        <w:rPr>
          <w:rFonts w:cstheme="minorHAnsi"/>
          <w:sz w:val="20"/>
          <w:szCs w:val="20"/>
        </w:rPr>
        <w:t>Evaluation of treatment in 35 cases of bipolar suicide.</w:t>
      </w:r>
    </w:p>
    <w:p w14:paraId="16F8BD30" w14:textId="17C72D9B" w:rsidR="006421FA" w:rsidRDefault="00CC6DAA" w:rsidP="006E36C6">
      <w:pPr>
        <w:pStyle w:val="ListParagraph"/>
        <w:numPr>
          <w:ilvl w:val="0"/>
          <w:numId w:val="23"/>
        </w:numPr>
        <w:autoSpaceDE w:val="0"/>
        <w:autoSpaceDN w:val="0"/>
        <w:adjustRightInd w:val="0"/>
        <w:spacing w:after="0" w:line="240" w:lineRule="auto"/>
        <w:rPr>
          <w:lang w:val="en-US"/>
        </w:rPr>
      </w:pPr>
      <w:r w:rsidRPr="0043032A">
        <w:rPr>
          <w:rFonts w:cstheme="minorHAnsi"/>
          <w:sz w:val="20"/>
          <w:szCs w:val="20"/>
          <w:lang w:val="en-US"/>
        </w:rPr>
        <w:t>El-Mallakh, Karippot, 2005. Antidepressant-associated chronic irritable dysphoria (acid) in bipolar disorder: a case series</w:t>
      </w:r>
      <w:r w:rsidR="00BD42B9" w:rsidRPr="006E36C6">
        <w:rPr>
          <w:rFonts w:cstheme="minorHAnsi"/>
        </w:rPr>
        <w:br/>
      </w:r>
    </w:p>
    <w:p w14:paraId="4F2D3F71" w14:textId="77777777" w:rsidR="007A024B" w:rsidRPr="006E36C6" w:rsidRDefault="007A024B" w:rsidP="007A024B">
      <w:pPr>
        <w:pStyle w:val="ListParagraph"/>
        <w:autoSpaceDE w:val="0"/>
        <w:autoSpaceDN w:val="0"/>
        <w:adjustRightInd w:val="0"/>
        <w:spacing w:after="0" w:line="240" w:lineRule="auto"/>
        <w:rPr>
          <w:lang w:val="en-US"/>
        </w:rPr>
      </w:pPr>
    </w:p>
    <w:p w14:paraId="13F1CEC7" w14:textId="73346EB4" w:rsidR="006421FA" w:rsidRPr="0043032A" w:rsidRDefault="006421FA" w:rsidP="006421FA">
      <w:pPr>
        <w:rPr>
          <w:rFonts w:cstheme="minorHAnsi"/>
          <w:sz w:val="8"/>
          <w:szCs w:val="8"/>
          <w:lang w:val="en-US"/>
        </w:rPr>
      </w:pPr>
      <w:r w:rsidRPr="001429D6">
        <w:rPr>
          <w:rFonts w:cstheme="minorHAnsi"/>
          <w:color w:val="2F5496" w:themeColor="accent1" w:themeShade="BF"/>
          <w:u w:val="single"/>
          <w:lang w:val="en-US"/>
        </w:rPr>
        <w:t>REFERENCES</w:t>
      </w:r>
      <w:r>
        <w:rPr>
          <w:rFonts w:cstheme="minorHAnsi"/>
          <w:color w:val="2F5496" w:themeColor="accent1" w:themeShade="BF"/>
          <w:u w:val="single"/>
          <w:lang w:val="en-US"/>
        </w:rPr>
        <w:br/>
      </w:r>
      <w:r w:rsidRPr="0043032A">
        <w:rPr>
          <w:rFonts w:cstheme="minorHAnsi"/>
          <w:sz w:val="20"/>
          <w:szCs w:val="20"/>
          <w:lang w:val="en-US"/>
        </w:rPr>
        <w:t xml:space="preserve">AHPRA, 2016. Registration Standard. </w:t>
      </w:r>
      <w:hyperlink r:id="rId20" w:history="1">
        <w:r w:rsidR="00FA7651" w:rsidRPr="00514658">
          <w:rPr>
            <w:rStyle w:val="Hyperlink"/>
            <w:rFonts w:cstheme="minorHAnsi"/>
            <w:sz w:val="20"/>
            <w:szCs w:val="20"/>
            <w:lang w:val="en-US"/>
          </w:rPr>
          <w:t>file:///C:/Users/User/Downloads/Medical-Board---Registration-standard---Continuing-professional-development---1-October-2016.PDF</w:t>
        </w:r>
      </w:hyperlink>
      <w:r w:rsidRPr="00047FAD">
        <w:rPr>
          <w:rFonts w:cstheme="minorHAnsi"/>
          <w:lang w:val="en-US"/>
        </w:rPr>
        <w:br/>
      </w:r>
      <w:r w:rsidRPr="0043032A">
        <w:rPr>
          <w:rFonts w:cstheme="minorHAnsi"/>
          <w:sz w:val="8"/>
          <w:szCs w:val="8"/>
          <w:lang w:val="en-US"/>
        </w:rPr>
        <w:br/>
      </w:r>
      <w:r w:rsidRPr="0043032A">
        <w:rPr>
          <w:rFonts w:cstheme="minorHAnsi"/>
          <w:sz w:val="20"/>
          <w:szCs w:val="20"/>
          <w:lang w:val="en-US"/>
        </w:rPr>
        <w:t>Azorin et al, 2009. Mixed states vs pure mania in the French sample of the EMBLEM study: results at baseline and 24 months: European Mania in Bipolar Longitudinal Evaluation of Medication. BMC Psychiatry 2009; 9:33</w:t>
      </w:r>
      <w:r w:rsidRPr="00047FAD">
        <w:rPr>
          <w:rFonts w:cstheme="minorHAnsi"/>
          <w:lang w:val="en-US"/>
        </w:rPr>
        <w:br/>
      </w:r>
      <w:r w:rsidRPr="0043032A">
        <w:rPr>
          <w:rFonts w:cstheme="minorHAnsi"/>
          <w:sz w:val="8"/>
          <w:szCs w:val="8"/>
          <w:lang w:val="en-US"/>
        </w:rPr>
        <w:br/>
      </w:r>
      <w:r w:rsidRPr="0043032A">
        <w:rPr>
          <w:rFonts w:cstheme="minorHAnsi"/>
          <w:sz w:val="20"/>
          <w:szCs w:val="20"/>
          <w:lang w:val="en-US"/>
        </w:rPr>
        <w:t>El-Mallakh, Karippot, 2005. Antidepressant-associated chronic irritable dysphoria (acid) in bipolar disorder: a case series; Journal of Affective Disorders 84 (2005) 267-272</w:t>
      </w:r>
      <w:r>
        <w:rPr>
          <w:rFonts w:cstheme="minorHAnsi"/>
          <w:sz w:val="20"/>
          <w:szCs w:val="20"/>
          <w:lang w:val="en-US"/>
        </w:rPr>
        <w:br/>
      </w:r>
    </w:p>
    <w:p w14:paraId="3E965912" w14:textId="77777777" w:rsidR="006421FA" w:rsidRPr="0043032A" w:rsidRDefault="006421FA" w:rsidP="006421FA">
      <w:pPr>
        <w:jc w:val="both"/>
        <w:rPr>
          <w:rFonts w:cstheme="minorHAnsi"/>
          <w:sz w:val="20"/>
          <w:szCs w:val="20"/>
          <w:shd w:val="clear" w:color="auto" w:fill="FFFFFF"/>
        </w:rPr>
      </w:pPr>
      <w:r w:rsidRPr="0043032A">
        <w:rPr>
          <w:rFonts w:cstheme="minorHAnsi"/>
          <w:sz w:val="20"/>
          <w:szCs w:val="20"/>
          <w:shd w:val="clear" w:color="auto" w:fill="FFFFFF"/>
        </w:rPr>
        <w:t xml:space="preserve">Grunze et al, 2017. The World Federation of Societies of Biological Psychiatry (WFSBP) Guidelines for the Biological Treatment of Bipolar Disorders: Acute and long-term treatment of mixed states in bipolar disorder. The World Journal of Biological Psychiatry, 2017. </w:t>
      </w:r>
    </w:p>
    <w:p w14:paraId="4AB7277C" w14:textId="21BBE899" w:rsidR="006421FA" w:rsidRPr="006421FA" w:rsidRDefault="006421FA" w:rsidP="006421FA">
      <w:pPr>
        <w:jc w:val="both"/>
        <w:rPr>
          <w:rFonts w:cstheme="minorHAnsi"/>
          <w:sz w:val="20"/>
          <w:szCs w:val="20"/>
        </w:rPr>
      </w:pPr>
      <w:r w:rsidRPr="00E37DEB">
        <w:rPr>
          <w:rFonts w:cstheme="minorHAnsi"/>
          <w:sz w:val="12"/>
          <w:szCs w:val="12"/>
        </w:rPr>
        <w:br/>
      </w:r>
      <w:r w:rsidRPr="0043032A">
        <w:rPr>
          <w:rFonts w:cstheme="minorHAnsi"/>
          <w:sz w:val="20"/>
          <w:szCs w:val="20"/>
        </w:rPr>
        <w:t xml:space="preserve">Harper, 2016. Bipolar Australia. Achieving Cost Savings in Bipolar Disorder – A Preliminary Evaluation. </w:t>
      </w:r>
      <w:r>
        <w:rPr>
          <w:rFonts w:cstheme="minorHAnsi"/>
          <w:sz w:val="20"/>
          <w:szCs w:val="20"/>
        </w:rPr>
        <w:br/>
      </w:r>
      <w:hyperlink r:id="rId21" w:history="1">
        <w:r w:rsidRPr="00B06D2F">
          <w:rPr>
            <w:rStyle w:val="Hyperlink"/>
            <w:rFonts w:cstheme="minorHAnsi"/>
            <w:sz w:val="20"/>
            <w:szCs w:val="20"/>
          </w:rPr>
          <w:t>http://www.bipolaraustralia.org.au/wp-content/uploads/2018/03/Cost-Savings-in-Bipolar-Disorder.pdf</w:t>
        </w:r>
      </w:hyperlink>
      <w:r w:rsidRPr="0043032A">
        <w:rPr>
          <w:rFonts w:cstheme="minorHAnsi"/>
          <w:sz w:val="20"/>
          <w:szCs w:val="20"/>
        </w:rPr>
        <w:br/>
      </w:r>
      <w:r w:rsidRPr="00E37DEB">
        <w:rPr>
          <w:rFonts w:cstheme="minorHAnsi"/>
          <w:sz w:val="16"/>
          <w:szCs w:val="16"/>
        </w:rPr>
        <w:br/>
      </w:r>
      <w:r w:rsidRPr="0043032A">
        <w:rPr>
          <w:rFonts w:cstheme="minorHAnsi"/>
          <w:sz w:val="20"/>
          <w:szCs w:val="20"/>
          <w:lang w:val="en-US"/>
        </w:rPr>
        <w:t>Keks, 2009. Evaluation of treatment in 35 cases of bipolar suicide. The Royal Australian and New Zealand College of Psychiatry 2009; 43:503-508.</w:t>
      </w:r>
    </w:p>
    <w:p w14:paraId="1C833440" w14:textId="77777777" w:rsidR="006421FA" w:rsidRPr="00E37DEB" w:rsidRDefault="006421FA" w:rsidP="006421FA">
      <w:pPr>
        <w:rPr>
          <w:rFonts w:cstheme="minorHAnsi"/>
          <w:lang w:val="en-US"/>
        </w:rPr>
      </w:pPr>
      <w:r w:rsidRPr="0043032A">
        <w:rPr>
          <w:rFonts w:cstheme="minorHAnsi"/>
          <w:sz w:val="20"/>
          <w:szCs w:val="20"/>
          <w:lang w:val="en-US"/>
        </w:rPr>
        <w:t xml:space="preserve">Malhi et al, 2015. </w:t>
      </w:r>
      <w:r w:rsidRPr="0043032A">
        <w:rPr>
          <w:rFonts w:cstheme="minorHAnsi"/>
          <w:i/>
          <w:sz w:val="20"/>
          <w:szCs w:val="20"/>
          <w:lang w:val="en-US"/>
        </w:rPr>
        <w:t>Royal Australian and New Zealand College of Psychiatrists clinical practice guidelines for mood disorders.</w:t>
      </w:r>
      <w:r w:rsidRPr="0043032A">
        <w:rPr>
          <w:rFonts w:cstheme="minorHAnsi"/>
          <w:sz w:val="20"/>
          <w:szCs w:val="20"/>
          <w:lang w:val="en-US"/>
        </w:rPr>
        <w:t xml:space="preserve"> Australian and New Zealand Journal of Psychiatry 2015, Vol. 49(12) 1-185.</w:t>
      </w:r>
      <w:r w:rsidRPr="00E37DEB">
        <w:rPr>
          <w:rFonts w:cstheme="minorHAnsi"/>
          <w:lang w:val="en-US"/>
        </w:rPr>
        <w:br/>
      </w:r>
      <w:r w:rsidRPr="00E37DEB">
        <w:rPr>
          <w:rFonts w:cstheme="minorHAnsi"/>
          <w:sz w:val="12"/>
          <w:szCs w:val="12"/>
          <w:lang w:val="en-US"/>
        </w:rPr>
        <w:br/>
      </w:r>
      <w:r w:rsidRPr="0043032A">
        <w:rPr>
          <w:rFonts w:cstheme="minorHAnsi"/>
          <w:sz w:val="20"/>
          <w:szCs w:val="20"/>
          <w:lang w:val="en-US"/>
        </w:rPr>
        <w:t>Mitchell et al, 2004</w:t>
      </w:r>
      <w:r w:rsidRPr="0043032A">
        <w:rPr>
          <w:rFonts w:cstheme="minorHAnsi"/>
          <w:i/>
          <w:sz w:val="20"/>
          <w:szCs w:val="20"/>
          <w:lang w:val="en-US"/>
        </w:rPr>
        <w:t>.  Australian and New Zealand clinical practice guidelines for the treatment of bipolar disorder.</w:t>
      </w:r>
      <w:r w:rsidRPr="0043032A">
        <w:rPr>
          <w:rFonts w:cstheme="minorHAnsi"/>
          <w:sz w:val="20"/>
          <w:szCs w:val="20"/>
          <w:lang w:val="en-US"/>
        </w:rPr>
        <w:t xml:space="preserve"> Australian and New Zealand Journal of Psychiatry 2004; 38:280–305.</w:t>
      </w:r>
    </w:p>
    <w:p w14:paraId="4D82E8CB" w14:textId="77777777" w:rsidR="006421FA" w:rsidRPr="0043032A" w:rsidRDefault="006421FA" w:rsidP="006421FA">
      <w:pPr>
        <w:pStyle w:val="ListParagraph"/>
        <w:ind w:left="0"/>
        <w:rPr>
          <w:rFonts w:cstheme="minorHAnsi"/>
          <w:sz w:val="8"/>
          <w:szCs w:val="8"/>
          <w:lang w:val="en-US"/>
        </w:rPr>
      </w:pPr>
      <w:r w:rsidRPr="0043032A">
        <w:rPr>
          <w:rFonts w:cstheme="minorHAnsi"/>
          <w:sz w:val="20"/>
          <w:szCs w:val="20"/>
          <w:lang w:val="en-US"/>
        </w:rPr>
        <w:t xml:space="preserve">Mood and Food Centre, Deakin University. </w:t>
      </w:r>
      <w:hyperlink r:id="rId22" w:history="1">
        <w:r w:rsidRPr="0043032A">
          <w:rPr>
            <w:rStyle w:val="Hyperlink"/>
            <w:rFonts w:cstheme="minorHAnsi"/>
            <w:sz w:val="20"/>
            <w:szCs w:val="20"/>
          </w:rPr>
          <w:t>http://foodandmoodcentre.com.au/</w:t>
        </w:r>
      </w:hyperlink>
      <w:r>
        <w:rPr>
          <w:rStyle w:val="Hyperlink"/>
          <w:rFonts w:cstheme="minorHAnsi"/>
          <w:sz w:val="20"/>
          <w:szCs w:val="20"/>
        </w:rPr>
        <w:br/>
      </w:r>
    </w:p>
    <w:p w14:paraId="20C6DE6F" w14:textId="77777777" w:rsidR="00FF3EE9" w:rsidRDefault="006421FA" w:rsidP="006421FA">
      <w:pPr>
        <w:pStyle w:val="Heading1"/>
        <w:shd w:val="clear" w:color="auto" w:fill="FFFFFF"/>
        <w:spacing w:before="0"/>
        <w:rPr>
          <w:rFonts w:asciiTheme="minorHAnsi" w:hAnsiTheme="minorHAnsi" w:cstheme="minorHAnsi"/>
          <w:color w:val="auto"/>
          <w:sz w:val="20"/>
          <w:szCs w:val="20"/>
          <w:lang w:val="en-US"/>
        </w:rPr>
      </w:pPr>
      <w:r w:rsidRPr="0043032A">
        <w:rPr>
          <w:rFonts w:asciiTheme="minorHAnsi" w:hAnsiTheme="minorHAnsi" w:cstheme="minorHAnsi"/>
          <w:color w:val="auto"/>
          <w:sz w:val="20"/>
          <w:szCs w:val="20"/>
          <w:lang w:val="en-US"/>
        </w:rPr>
        <w:t>Pacchiarotti et al, 2013. The International Society for Bipolar Disorders (ISBD) Task Force Report on Antidepressant Use in Bipolar Disorders. Am J Psychiatry 2013; 170:1249–1262</w:t>
      </w:r>
    </w:p>
    <w:p w14:paraId="0030D100" w14:textId="77777777" w:rsidR="00FF3EE9" w:rsidRDefault="00FF3EE9" w:rsidP="006421FA">
      <w:pPr>
        <w:pStyle w:val="Heading1"/>
        <w:shd w:val="clear" w:color="auto" w:fill="FFFFFF"/>
        <w:spacing w:before="0"/>
        <w:rPr>
          <w:rFonts w:asciiTheme="minorHAnsi" w:hAnsiTheme="minorHAnsi" w:cstheme="minorHAnsi"/>
          <w:color w:val="auto"/>
          <w:sz w:val="20"/>
          <w:szCs w:val="20"/>
          <w:lang w:val="en-US"/>
        </w:rPr>
      </w:pPr>
    </w:p>
    <w:p w14:paraId="32299860" w14:textId="12CA9055" w:rsidR="006421FA" w:rsidRPr="0043032A" w:rsidRDefault="00FF3EE9" w:rsidP="006421FA">
      <w:pPr>
        <w:pStyle w:val="Heading1"/>
        <w:shd w:val="clear" w:color="auto" w:fill="FFFFFF"/>
        <w:spacing w:before="0"/>
        <w:rPr>
          <w:rFonts w:asciiTheme="minorHAnsi" w:eastAsia="Times New Roman" w:hAnsiTheme="minorHAnsi" w:cstheme="minorHAnsi"/>
          <w:color w:val="000000"/>
          <w:sz w:val="8"/>
          <w:szCs w:val="8"/>
        </w:rPr>
      </w:pPr>
      <w:r w:rsidRPr="007E32CD">
        <w:rPr>
          <w:rFonts w:asciiTheme="minorHAnsi" w:hAnsiTheme="minorHAnsi" w:cstheme="minorHAnsi"/>
          <w:sz w:val="20"/>
          <w:szCs w:val="20"/>
        </w:rPr>
        <w:t>Puras</w:t>
      </w:r>
      <w:r w:rsidR="00F04FB8">
        <w:rPr>
          <w:rFonts w:asciiTheme="minorHAnsi" w:hAnsiTheme="minorHAnsi" w:cstheme="minorHAnsi"/>
          <w:sz w:val="20"/>
          <w:szCs w:val="20"/>
        </w:rPr>
        <w:t xml:space="preserve"> D</w:t>
      </w:r>
      <w:r w:rsidRPr="007E32CD">
        <w:rPr>
          <w:rFonts w:asciiTheme="minorHAnsi" w:hAnsiTheme="minorHAnsi" w:cstheme="minorHAnsi"/>
          <w:sz w:val="20"/>
          <w:szCs w:val="20"/>
        </w:rPr>
        <w:t>, 2017. United Nations Human Rights High Commissioners Office. Depression</w:t>
      </w:r>
      <w:r w:rsidR="007E32CD" w:rsidRPr="007E32CD">
        <w:rPr>
          <w:rFonts w:asciiTheme="minorHAnsi" w:hAnsiTheme="minorHAnsi" w:cstheme="minorHAnsi"/>
          <w:sz w:val="20"/>
          <w:szCs w:val="20"/>
        </w:rPr>
        <w:t xml:space="preserve"> </w:t>
      </w:r>
      <w:r w:rsidRPr="007E32CD">
        <w:rPr>
          <w:rFonts w:asciiTheme="minorHAnsi" w:hAnsiTheme="minorHAnsi" w:cstheme="minorHAnsi"/>
          <w:sz w:val="20"/>
          <w:szCs w:val="20"/>
        </w:rPr>
        <w:t>:</w:t>
      </w:r>
      <w:r w:rsidR="007E32CD" w:rsidRPr="007E32CD">
        <w:rPr>
          <w:rFonts w:asciiTheme="minorHAnsi" w:hAnsiTheme="minorHAnsi" w:cstheme="minorHAnsi"/>
          <w:sz w:val="20"/>
          <w:szCs w:val="20"/>
        </w:rPr>
        <w:t xml:space="preserve"> </w:t>
      </w:r>
      <w:r w:rsidRPr="007E32CD">
        <w:rPr>
          <w:rFonts w:asciiTheme="minorHAnsi" w:hAnsiTheme="minorHAnsi" w:cstheme="minorHAnsi"/>
          <w:sz w:val="20"/>
          <w:szCs w:val="20"/>
        </w:rPr>
        <w:t xml:space="preserve">Let’s talk about how we address mental health. </w:t>
      </w:r>
      <w:hyperlink r:id="rId23" w:history="1">
        <w:r w:rsidRPr="007E32CD">
          <w:rPr>
            <w:rStyle w:val="Hyperlink"/>
            <w:rFonts w:asciiTheme="minorHAnsi" w:hAnsiTheme="minorHAnsi" w:cstheme="minorHAnsi"/>
            <w:sz w:val="20"/>
            <w:szCs w:val="20"/>
          </w:rPr>
          <w:t>https://www.ohchr.org/EN/NewsEvents/Pages/DisplayNews.aspx?NewsID=21480&amp;LangID=E</w:t>
        </w:r>
      </w:hyperlink>
      <w:r w:rsidR="006421FA" w:rsidRPr="007E32CD">
        <w:rPr>
          <w:rFonts w:asciiTheme="minorHAnsi" w:hAnsiTheme="minorHAnsi" w:cstheme="minorHAnsi"/>
          <w:color w:val="auto"/>
          <w:sz w:val="20"/>
          <w:szCs w:val="20"/>
          <w:lang w:val="en-US"/>
        </w:rPr>
        <w:br/>
      </w:r>
      <w:r w:rsidR="006421FA" w:rsidRPr="00E37DEB">
        <w:rPr>
          <w:rFonts w:asciiTheme="minorHAnsi" w:hAnsiTheme="minorHAnsi" w:cstheme="minorHAnsi"/>
          <w:color w:val="auto"/>
          <w:sz w:val="12"/>
          <w:szCs w:val="12"/>
          <w:lang w:val="en-US"/>
        </w:rPr>
        <w:br/>
      </w:r>
      <w:hyperlink r:id="rId24" w:history="1">
        <w:r w:rsidR="006421FA" w:rsidRPr="0043032A">
          <w:rPr>
            <w:rStyle w:val="Hyperlink"/>
            <w:rFonts w:asciiTheme="minorHAnsi" w:hAnsiTheme="minorHAnsi" w:cstheme="minorHAnsi"/>
            <w:color w:val="auto"/>
            <w:sz w:val="20"/>
            <w:szCs w:val="20"/>
            <w:shd w:val="clear" w:color="auto" w:fill="FFFFFF"/>
          </w:rPr>
          <w:t xml:space="preserve">Rahikainen et al, 2019. </w:t>
        </w:r>
      </w:hyperlink>
      <w:r w:rsidR="006421FA" w:rsidRPr="0043032A">
        <w:rPr>
          <w:rFonts w:asciiTheme="minorHAnsi" w:hAnsiTheme="minorHAnsi" w:cstheme="minorHAnsi"/>
          <w:color w:val="auto"/>
          <w:sz w:val="20"/>
          <w:szCs w:val="20"/>
        </w:rPr>
        <w:t xml:space="preserve">Completed </w:t>
      </w:r>
      <w:r w:rsidR="006421FA" w:rsidRPr="0043032A">
        <w:rPr>
          <w:rFonts w:asciiTheme="minorHAnsi" w:hAnsiTheme="minorHAnsi" w:cstheme="minorHAnsi"/>
          <w:color w:val="000000"/>
          <w:sz w:val="20"/>
          <w:szCs w:val="20"/>
        </w:rPr>
        <w:t>suicides of citalopram users-the role of CYP genotypes and adverse drug interactions</w:t>
      </w:r>
      <w:r w:rsidR="006421FA" w:rsidRPr="0043032A">
        <w:rPr>
          <w:rFonts w:asciiTheme="minorHAnsi" w:hAnsiTheme="minorHAnsi" w:cstheme="minorHAnsi"/>
          <w:color w:val="auto"/>
          <w:sz w:val="20"/>
          <w:szCs w:val="20"/>
        </w:rPr>
        <w:t xml:space="preserve">. </w:t>
      </w:r>
      <w:hyperlink r:id="rId25" w:tooltip="International journal of legal medicine." w:history="1">
        <w:r w:rsidR="006421FA" w:rsidRPr="0043032A">
          <w:rPr>
            <w:rStyle w:val="Hyperlink"/>
            <w:rFonts w:asciiTheme="minorHAnsi" w:hAnsiTheme="minorHAnsi" w:cstheme="minorHAnsi"/>
            <w:color w:val="auto"/>
            <w:sz w:val="20"/>
            <w:szCs w:val="20"/>
            <w:shd w:val="clear" w:color="auto" w:fill="FFFFFF"/>
          </w:rPr>
          <w:t>Int J Legal Med.</w:t>
        </w:r>
      </w:hyperlink>
      <w:r w:rsidR="006421FA" w:rsidRPr="0043032A">
        <w:rPr>
          <w:rFonts w:asciiTheme="minorHAnsi" w:hAnsiTheme="minorHAnsi" w:cstheme="minorHAnsi"/>
          <w:color w:val="auto"/>
          <w:sz w:val="20"/>
          <w:szCs w:val="20"/>
          <w:shd w:val="clear" w:color="auto" w:fill="FFFFFF"/>
        </w:rPr>
        <w:t> </w:t>
      </w:r>
      <w:r w:rsidR="006421FA" w:rsidRPr="0043032A">
        <w:rPr>
          <w:rFonts w:asciiTheme="minorHAnsi" w:hAnsiTheme="minorHAnsi" w:cstheme="minorHAnsi"/>
          <w:color w:val="000000"/>
          <w:sz w:val="20"/>
          <w:szCs w:val="20"/>
          <w:shd w:val="clear" w:color="auto" w:fill="FFFFFF"/>
        </w:rPr>
        <w:t>2019 Mar;133(2):353-363</w:t>
      </w:r>
      <w:r w:rsidR="00E547E2">
        <w:rPr>
          <w:rFonts w:asciiTheme="minorHAnsi" w:hAnsiTheme="minorHAnsi" w:cstheme="minorHAnsi"/>
          <w:color w:val="000000"/>
          <w:sz w:val="20"/>
          <w:szCs w:val="20"/>
          <w:shd w:val="clear" w:color="auto" w:fill="FFFFFF"/>
        </w:rPr>
        <w:br/>
      </w:r>
      <w:r w:rsidR="00E547E2">
        <w:rPr>
          <w:rFonts w:asciiTheme="minorHAnsi" w:hAnsiTheme="minorHAnsi" w:cstheme="minorHAnsi"/>
          <w:color w:val="000000"/>
          <w:sz w:val="20"/>
          <w:szCs w:val="20"/>
          <w:shd w:val="clear" w:color="auto" w:fill="FFFFFF"/>
        </w:rPr>
        <w:br/>
        <w:t xml:space="preserve">RANZCP,2018  Off-label prescribing in psychiatry. </w:t>
      </w:r>
      <w:hyperlink r:id="rId26" w:history="1">
        <w:r w:rsidR="00E547E2" w:rsidRPr="00E547E2">
          <w:rPr>
            <w:rStyle w:val="Hyperlink"/>
            <w:sz w:val="20"/>
            <w:szCs w:val="20"/>
          </w:rPr>
          <w:t>https://www.ranzcp.org/files/resources/college_statements/practice_guidelines/ppg-4-off-label-prescribing-in-psychiatry.aspx</w:t>
        </w:r>
      </w:hyperlink>
      <w:r w:rsidR="006421FA">
        <w:rPr>
          <w:rFonts w:asciiTheme="minorHAnsi" w:hAnsiTheme="minorHAnsi" w:cstheme="minorHAnsi"/>
          <w:color w:val="000000"/>
          <w:sz w:val="22"/>
          <w:szCs w:val="22"/>
          <w:shd w:val="clear" w:color="auto" w:fill="FFFFFF"/>
        </w:rPr>
        <w:br/>
      </w:r>
    </w:p>
    <w:p w14:paraId="7E8205E6" w14:textId="73A5FC67" w:rsidR="006421FA" w:rsidRPr="0043032A" w:rsidRDefault="006421FA" w:rsidP="007A024B">
      <w:pPr>
        <w:rPr>
          <w:rFonts w:cstheme="minorHAnsi"/>
          <w:sz w:val="20"/>
          <w:szCs w:val="20"/>
        </w:rPr>
      </w:pPr>
      <w:r w:rsidRPr="0043032A">
        <w:rPr>
          <w:rFonts w:cstheme="minorHAnsi"/>
          <w:sz w:val="20"/>
          <w:szCs w:val="20"/>
          <w:lang w:val="en-US"/>
        </w:rPr>
        <w:t>Raja et al, 2009. Psychopharmacological treatment before suicide attempts among patients admitted to a psychiatric intensive care unit. J Affect Disord 113:37-44</w:t>
      </w:r>
      <w:r w:rsidRPr="0043032A">
        <w:rPr>
          <w:rFonts w:cstheme="minorHAnsi"/>
          <w:sz w:val="20"/>
          <w:szCs w:val="20"/>
          <w:lang w:val="en-US"/>
        </w:rPr>
        <w:br/>
      </w:r>
      <w:r w:rsidR="007A024B">
        <w:rPr>
          <w:rFonts w:cstheme="minorHAnsi"/>
          <w:color w:val="000000"/>
          <w:sz w:val="20"/>
          <w:szCs w:val="20"/>
        </w:rPr>
        <w:br/>
      </w:r>
      <w:r w:rsidRPr="0043032A">
        <w:rPr>
          <w:rFonts w:cstheme="minorHAnsi"/>
          <w:color w:val="000000"/>
          <w:sz w:val="20"/>
          <w:szCs w:val="20"/>
        </w:rPr>
        <w:t>Rosa et al, 2010.  Why do clinicians maintain antidepressants in some patients with acute mania? Hints from the European Mania in Bipolar Longitudinal Evaluation of Medication (EMBLEM), a large naturalistic study</w:t>
      </w:r>
      <w:r w:rsidRPr="0043032A">
        <w:rPr>
          <w:rFonts w:cstheme="minorHAnsi"/>
          <w:sz w:val="20"/>
          <w:szCs w:val="20"/>
        </w:rPr>
        <w:t xml:space="preserve">. </w:t>
      </w:r>
      <w:hyperlink r:id="rId27" w:tooltip="The Journal of clinical psychiatry." w:history="1">
        <w:r w:rsidRPr="0043032A">
          <w:rPr>
            <w:rStyle w:val="Hyperlink"/>
            <w:rFonts w:cstheme="minorHAnsi"/>
            <w:color w:val="auto"/>
            <w:sz w:val="20"/>
            <w:szCs w:val="20"/>
            <w:shd w:val="clear" w:color="auto" w:fill="FFFFFF"/>
          </w:rPr>
          <w:t>J Clin Psychiatry.</w:t>
        </w:r>
      </w:hyperlink>
      <w:r w:rsidRPr="0043032A">
        <w:rPr>
          <w:rFonts w:cstheme="minorHAnsi"/>
          <w:sz w:val="20"/>
          <w:szCs w:val="20"/>
          <w:shd w:val="clear" w:color="auto" w:fill="FFFFFF"/>
        </w:rPr>
        <w:t> 2010 Aug;71(8):1000-6</w:t>
      </w:r>
    </w:p>
    <w:p w14:paraId="1DCC31A0" w14:textId="2B7917FF" w:rsidR="006421FA" w:rsidRPr="006421FA" w:rsidRDefault="006421FA" w:rsidP="006421FA">
      <w:pPr>
        <w:rPr>
          <w:sz w:val="20"/>
          <w:szCs w:val="20"/>
          <w:lang w:val="en-US"/>
        </w:rPr>
      </w:pPr>
      <w:r>
        <w:rPr>
          <w:rFonts w:cstheme="minorHAnsi"/>
          <w:sz w:val="20"/>
          <w:szCs w:val="20"/>
          <w:lang w:val="en-US"/>
        </w:rPr>
        <w:lastRenderedPageBreak/>
        <w:br/>
      </w:r>
      <w:r w:rsidRPr="006421FA">
        <w:rPr>
          <w:rFonts w:cstheme="minorHAnsi"/>
          <w:sz w:val="20"/>
          <w:szCs w:val="20"/>
          <w:lang w:val="en-US"/>
        </w:rPr>
        <w:t>Schaffe et al, 2015. Epidemiology, neurobiology and pharmacological interventions related to suicide deaths and suicide attempts in bipolar disorder: Part I of a report of the International Society for Bipolar Disorders Task Force on Suicide in Bipolar Disorder. ANZJP. 2015, Vol. 49(9) 785 –80</w:t>
      </w:r>
      <w:r>
        <w:rPr>
          <w:rFonts w:cstheme="minorHAnsi"/>
          <w:sz w:val="20"/>
          <w:szCs w:val="20"/>
          <w:lang w:val="en-US"/>
        </w:rPr>
        <w:br/>
      </w:r>
      <w:r w:rsidRPr="006421FA">
        <w:rPr>
          <w:rFonts w:cstheme="minorHAnsi"/>
          <w:sz w:val="20"/>
          <w:szCs w:val="20"/>
          <w:lang w:val="en-US"/>
        </w:rPr>
        <w:br/>
      </w:r>
      <w:r w:rsidRPr="006421FA">
        <w:rPr>
          <w:sz w:val="20"/>
          <w:szCs w:val="20"/>
          <w:lang w:val="en-US"/>
        </w:rPr>
        <w:t>Thase, et al. 2019. Impact of Phamacogenomics on Clinical Outcomes for Patients Taking Medications with Gene-Drug Interactions in a Randomized Controlled Trial.</w:t>
      </w:r>
    </w:p>
    <w:p w14:paraId="4ACB15D9" w14:textId="1FBA1255" w:rsidR="00CA1D25" w:rsidRPr="006421FA" w:rsidRDefault="006421FA" w:rsidP="00274719">
      <w:pPr>
        <w:rPr>
          <w:lang w:val="en-US"/>
        </w:rPr>
      </w:pPr>
      <w:r w:rsidRPr="0043032A">
        <w:rPr>
          <w:rFonts w:cstheme="minorHAnsi"/>
          <w:sz w:val="20"/>
          <w:szCs w:val="20"/>
          <w:lang w:val="en-US"/>
        </w:rPr>
        <w:t>TGA, 2018. Safety Update. https://www.tga.gov.au/publication-issue/medicines-safety-update-volume-9-number-2-june-2018</w:t>
      </w:r>
      <w:r w:rsidRPr="00047FAD">
        <w:rPr>
          <w:rStyle w:val="Hyperlink"/>
          <w:rFonts w:cstheme="minorHAnsi"/>
          <w:lang w:val="en-US"/>
        </w:rPr>
        <w:br/>
      </w:r>
      <w:r w:rsidRPr="00031F74">
        <w:rPr>
          <w:rStyle w:val="Hyperlink"/>
          <w:rFonts w:cstheme="minorHAnsi"/>
          <w:sz w:val="12"/>
          <w:szCs w:val="12"/>
          <w:lang w:val="en-US"/>
        </w:rPr>
        <w:br/>
      </w:r>
      <w:r w:rsidRPr="0043032A">
        <w:rPr>
          <w:rFonts w:ascii="Calibri" w:hAnsi="Calibri" w:cs="Arial"/>
          <w:sz w:val="20"/>
          <w:szCs w:val="20"/>
        </w:rPr>
        <w:t xml:space="preserve">Yerevanian et al, 2007. Bipolar pharmacotherapy and suicidal behavior Part 2. The impact of antidepressants. </w:t>
      </w:r>
      <w:hyperlink r:id="rId28" w:tooltip="Journal of affective disorders." w:history="1">
        <w:r w:rsidRPr="0043032A">
          <w:rPr>
            <w:rStyle w:val="Hyperlink"/>
            <w:rFonts w:ascii="Calibri" w:hAnsi="Calibri" w:cs="Arial"/>
            <w:sz w:val="20"/>
            <w:szCs w:val="20"/>
          </w:rPr>
          <w:t>J Affect Disord.</w:t>
        </w:r>
      </w:hyperlink>
      <w:r w:rsidRPr="0043032A">
        <w:rPr>
          <w:rFonts w:ascii="Calibri" w:hAnsi="Calibri" w:cs="Arial"/>
          <w:sz w:val="20"/>
          <w:szCs w:val="20"/>
        </w:rPr>
        <w:t> 2007 Nov;103(1-3):13-21.</w:t>
      </w:r>
    </w:p>
    <w:sectPr w:rsidR="00CA1D25" w:rsidRPr="006421FA" w:rsidSect="000447EB">
      <w:headerReference w:type="default" r:id="rId29"/>
      <w:footerReference w:type="default" r:id="rId30"/>
      <w:pgSz w:w="11906" w:h="16838"/>
      <w:pgMar w:top="1361" w:right="907" w:bottom="1361"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FCE71" w14:textId="77777777" w:rsidR="005A281C" w:rsidRDefault="005A281C" w:rsidP="000065C1">
      <w:pPr>
        <w:spacing w:after="0" w:line="240" w:lineRule="auto"/>
      </w:pPr>
      <w:r>
        <w:separator/>
      </w:r>
    </w:p>
  </w:endnote>
  <w:endnote w:type="continuationSeparator" w:id="0">
    <w:p w14:paraId="599B6AAA" w14:textId="77777777" w:rsidR="005A281C" w:rsidRDefault="005A281C" w:rsidP="0000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HELV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443595"/>
      <w:docPartObj>
        <w:docPartGallery w:val="Page Numbers (Bottom of Page)"/>
        <w:docPartUnique/>
      </w:docPartObj>
    </w:sdtPr>
    <w:sdtEndPr>
      <w:rPr>
        <w:noProof/>
      </w:rPr>
    </w:sdtEndPr>
    <w:sdtContent>
      <w:p w14:paraId="2B3FEDEF" w14:textId="2DB05426" w:rsidR="00BC4519" w:rsidRDefault="00BC4519">
        <w:pPr>
          <w:pStyle w:val="Footer"/>
          <w:jc w:val="right"/>
        </w:pPr>
        <w:r>
          <w:fldChar w:fldCharType="begin"/>
        </w:r>
        <w:r>
          <w:instrText xml:space="preserve"> PAGE   \* MERGEFORMAT </w:instrText>
        </w:r>
        <w:r>
          <w:fldChar w:fldCharType="separate"/>
        </w:r>
        <w:r w:rsidR="00FE6EEE">
          <w:rPr>
            <w:noProof/>
          </w:rPr>
          <w:t>2</w:t>
        </w:r>
        <w:r>
          <w:rPr>
            <w:noProof/>
          </w:rPr>
          <w:fldChar w:fldCharType="end"/>
        </w:r>
      </w:p>
    </w:sdtContent>
  </w:sdt>
  <w:p w14:paraId="3490CCA8" w14:textId="31BC98D5" w:rsidR="00BC4519" w:rsidRPr="000065C1" w:rsidRDefault="00BC451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A6B9" w14:textId="77777777" w:rsidR="005A281C" w:rsidRDefault="005A281C" w:rsidP="000065C1">
      <w:pPr>
        <w:spacing w:after="0" w:line="240" w:lineRule="auto"/>
      </w:pPr>
      <w:r>
        <w:separator/>
      </w:r>
    </w:p>
  </w:footnote>
  <w:footnote w:type="continuationSeparator" w:id="0">
    <w:p w14:paraId="6825F867" w14:textId="77777777" w:rsidR="005A281C" w:rsidRDefault="005A281C" w:rsidP="00006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973B" w14:textId="279B7378" w:rsidR="00BC4519" w:rsidRDefault="00BC4519">
    <w:pPr>
      <w:pStyle w:val="Header"/>
    </w:pPr>
    <w:r>
      <w:t>Christine Newton</w:t>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23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345D1"/>
    <w:multiLevelType w:val="hybridMultilevel"/>
    <w:tmpl w:val="9776F28A"/>
    <w:lvl w:ilvl="0" w:tplc="0C090003">
      <w:start w:val="1"/>
      <w:numFmt w:val="bullet"/>
      <w:lvlText w:val="o"/>
      <w:lvlJc w:val="left"/>
      <w:pPr>
        <w:ind w:left="1440" w:hanging="360"/>
      </w:pPr>
      <w:rPr>
        <w:rFonts w:ascii="Courier New" w:hAnsi="Courier New" w:cs="Courier New" w:hint="default"/>
      </w:rPr>
    </w:lvl>
    <w:lvl w:ilvl="1" w:tplc="B64E54B8">
      <w:start w:val="10"/>
      <w:numFmt w:val="bullet"/>
      <w:lvlText w:val="-"/>
      <w:lvlJc w:val="left"/>
      <w:pPr>
        <w:ind w:left="2160" w:hanging="360"/>
      </w:pPr>
      <w:rPr>
        <w:rFonts w:ascii="Calibri" w:eastAsiaTheme="minorHAnsi" w:hAnsi="Calibri" w:cs="Calibri" w:hint="default"/>
      </w:rPr>
    </w:lvl>
    <w:lvl w:ilvl="2" w:tplc="6FF0C33E" w:tentative="1">
      <w:start w:val="1"/>
      <w:numFmt w:val="bullet"/>
      <w:lvlText w:val=""/>
      <w:lvlJc w:val="left"/>
      <w:pPr>
        <w:ind w:left="2880" w:hanging="360"/>
      </w:pPr>
      <w:rPr>
        <w:rFonts w:ascii="Wingdings" w:hAnsi="Wingdings" w:hint="default"/>
      </w:rPr>
    </w:lvl>
    <w:lvl w:ilvl="3" w:tplc="9AA42AF2" w:tentative="1">
      <w:start w:val="1"/>
      <w:numFmt w:val="bullet"/>
      <w:lvlText w:val=""/>
      <w:lvlJc w:val="left"/>
      <w:pPr>
        <w:ind w:left="3600" w:hanging="360"/>
      </w:pPr>
      <w:rPr>
        <w:rFonts w:ascii="Symbol" w:hAnsi="Symbol" w:hint="default"/>
      </w:rPr>
    </w:lvl>
    <w:lvl w:ilvl="4" w:tplc="F73C644C" w:tentative="1">
      <w:start w:val="1"/>
      <w:numFmt w:val="bullet"/>
      <w:lvlText w:val="o"/>
      <w:lvlJc w:val="left"/>
      <w:pPr>
        <w:ind w:left="4320" w:hanging="360"/>
      </w:pPr>
      <w:rPr>
        <w:rFonts w:ascii="Courier New" w:hAnsi="Courier New" w:cs="Courier New" w:hint="default"/>
      </w:rPr>
    </w:lvl>
    <w:lvl w:ilvl="5" w:tplc="34DA1A2E" w:tentative="1">
      <w:start w:val="1"/>
      <w:numFmt w:val="bullet"/>
      <w:lvlText w:val=""/>
      <w:lvlJc w:val="left"/>
      <w:pPr>
        <w:ind w:left="5040" w:hanging="360"/>
      </w:pPr>
      <w:rPr>
        <w:rFonts w:ascii="Wingdings" w:hAnsi="Wingdings" w:hint="default"/>
      </w:rPr>
    </w:lvl>
    <w:lvl w:ilvl="6" w:tplc="A30EE9C8" w:tentative="1">
      <w:start w:val="1"/>
      <w:numFmt w:val="bullet"/>
      <w:lvlText w:val=""/>
      <w:lvlJc w:val="left"/>
      <w:pPr>
        <w:ind w:left="5760" w:hanging="360"/>
      </w:pPr>
      <w:rPr>
        <w:rFonts w:ascii="Symbol" w:hAnsi="Symbol" w:hint="default"/>
      </w:rPr>
    </w:lvl>
    <w:lvl w:ilvl="7" w:tplc="573AABC0" w:tentative="1">
      <w:start w:val="1"/>
      <w:numFmt w:val="bullet"/>
      <w:lvlText w:val="o"/>
      <w:lvlJc w:val="left"/>
      <w:pPr>
        <w:ind w:left="6480" w:hanging="360"/>
      </w:pPr>
      <w:rPr>
        <w:rFonts w:ascii="Courier New" w:hAnsi="Courier New" w:cs="Courier New" w:hint="default"/>
      </w:rPr>
    </w:lvl>
    <w:lvl w:ilvl="8" w:tplc="97C88114" w:tentative="1">
      <w:start w:val="1"/>
      <w:numFmt w:val="bullet"/>
      <w:lvlText w:val=""/>
      <w:lvlJc w:val="left"/>
      <w:pPr>
        <w:ind w:left="7200" w:hanging="360"/>
      </w:pPr>
      <w:rPr>
        <w:rFonts w:ascii="Wingdings" w:hAnsi="Wingdings" w:hint="default"/>
      </w:rPr>
    </w:lvl>
  </w:abstractNum>
  <w:abstractNum w:abstractNumId="2" w15:restartNumberingAfterBreak="0">
    <w:nsid w:val="14FD6140"/>
    <w:multiLevelType w:val="hybridMultilevel"/>
    <w:tmpl w:val="17B49E54"/>
    <w:lvl w:ilvl="0" w:tplc="F68029A4">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0E70F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C5AA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EE51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5B5731"/>
    <w:multiLevelType w:val="multilevel"/>
    <w:tmpl w:val="95E290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A84EC1"/>
    <w:multiLevelType w:val="multilevel"/>
    <w:tmpl w:val="95E290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3A7E74"/>
    <w:multiLevelType w:val="hybridMultilevel"/>
    <w:tmpl w:val="651A1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B109B6"/>
    <w:multiLevelType w:val="multilevel"/>
    <w:tmpl w:val="6868D3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F46478"/>
    <w:multiLevelType w:val="hybridMultilevel"/>
    <w:tmpl w:val="651A1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C676AC"/>
    <w:multiLevelType w:val="hybridMultilevel"/>
    <w:tmpl w:val="FDF43DB8"/>
    <w:lvl w:ilvl="0" w:tplc="2DBCE228">
      <w:start w:val="1"/>
      <w:numFmt w:val="bullet"/>
      <w:lvlText w:val=""/>
      <w:lvlJc w:val="left"/>
      <w:pPr>
        <w:tabs>
          <w:tab w:val="num" w:pos="720"/>
        </w:tabs>
        <w:ind w:left="720" w:hanging="360"/>
      </w:pPr>
      <w:rPr>
        <w:rFonts w:ascii="Wingdings 3" w:hAnsi="Wingdings 3" w:hint="default"/>
      </w:rPr>
    </w:lvl>
    <w:lvl w:ilvl="1" w:tplc="976A4EBA" w:tentative="1">
      <w:start w:val="1"/>
      <w:numFmt w:val="bullet"/>
      <w:lvlText w:val=""/>
      <w:lvlJc w:val="left"/>
      <w:pPr>
        <w:tabs>
          <w:tab w:val="num" w:pos="1440"/>
        </w:tabs>
        <w:ind w:left="1440" w:hanging="360"/>
      </w:pPr>
      <w:rPr>
        <w:rFonts w:ascii="Wingdings 3" w:hAnsi="Wingdings 3" w:hint="default"/>
      </w:rPr>
    </w:lvl>
    <w:lvl w:ilvl="2" w:tplc="C7083C1E" w:tentative="1">
      <w:start w:val="1"/>
      <w:numFmt w:val="bullet"/>
      <w:lvlText w:val=""/>
      <w:lvlJc w:val="left"/>
      <w:pPr>
        <w:tabs>
          <w:tab w:val="num" w:pos="2160"/>
        </w:tabs>
        <w:ind w:left="2160" w:hanging="360"/>
      </w:pPr>
      <w:rPr>
        <w:rFonts w:ascii="Wingdings 3" w:hAnsi="Wingdings 3" w:hint="default"/>
      </w:rPr>
    </w:lvl>
    <w:lvl w:ilvl="3" w:tplc="C506FD3A" w:tentative="1">
      <w:start w:val="1"/>
      <w:numFmt w:val="bullet"/>
      <w:lvlText w:val=""/>
      <w:lvlJc w:val="left"/>
      <w:pPr>
        <w:tabs>
          <w:tab w:val="num" w:pos="2880"/>
        </w:tabs>
        <w:ind w:left="2880" w:hanging="360"/>
      </w:pPr>
      <w:rPr>
        <w:rFonts w:ascii="Wingdings 3" w:hAnsi="Wingdings 3" w:hint="default"/>
      </w:rPr>
    </w:lvl>
    <w:lvl w:ilvl="4" w:tplc="3F4496CC" w:tentative="1">
      <w:start w:val="1"/>
      <w:numFmt w:val="bullet"/>
      <w:lvlText w:val=""/>
      <w:lvlJc w:val="left"/>
      <w:pPr>
        <w:tabs>
          <w:tab w:val="num" w:pos="3600"/>
        </w:tabs>
        <w:ind w:left="3600" w:hanging="360"/>
      </w:pPr>
      <w:rPr>
        <w:rFonts w:ascii="Wingdings 3" w:hAnsi="Wingdings 3" w:hint="default"/>
      </w:rPr>
    </w:lvl>
    <w:lvl w:ilvl="5" w:tplc="87A66AD0" w:tentative="1">
      <w:start w:val="1"/>
      <w:numFmt w:val="bullet"/>
      <w:lvlText w:val=""/>
      <w:lvlJc w:val="left"/>
      <w:pPr>
        <w:tabs>
          <w:tab w:val="num" w:pos="4320"/>
        </w:tabs>
        <w:ind w:left="4320" w:hanging="360"/>
      </w:pPr>
      <w:rPr>
        <w:rFonts w:ascii="Wingdings 3" w:hAnsi="Wingdings 3" w:hint="default"/>
      </w:rPr>
    </w:lvl>
    <w:lvl w:ilvl="6" w:tplc="3BDE0A7C" w:tentative="1">
      <w:start w:val="1"/>
      <w:numFmt w:val="bullet"/>
      <w:lvlText w:val=""/>
      <w:lvlJc w:val="left"/>
      <w:pPr>
        <w:tabs>
          <w:tab w:val="num" w:pos="5040"/>
        </w:tabs>
        <w:ind w:left="5040" w:hanging="360"/>
      </w:pPr>
      <w:rPr>
        <w:rFonts w:ascii="Wingdings 3" w:hAnsi="Wingdings 3" w:hint="default"/>
      </w:rPr>
    </w:lvl>
    <w:lvl w:ilvl="7" w:tplc="816CA12E" w:tentative="1">
      <w:start w:val="1"/>
      <w:numFmt w:val="bullet"/>
      <w:lvlText w:val=""/>
      <w:lvlJc w:val="left"/>
      <w:pPr>
        <w:tabs>
          <w:tab w:val="num" w:pos="5760"/>
        </w:tabs>
        <w:ind w:left="5760" w:hanging="360"/>
      </w:pPr>
      <w:rPr>
        <w:rFonts w:ascii="Wingdings 3" w:hAnsi="Wingdings 3" w:hint="default"/>
      </w:rPr>
    </w:lvl>
    <w:lvl w:ilvl="8" w:tplc="EFC0590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B893D51"/>
    <w:multiLevelType w:val="hybridMultilevel"/>
    <w:tmpl w:val="38940ACC"/>
    <w:lvl w:ilvl="0" w:tplc="B8E4B21C">
      <w:start w:val="10"/>
      <w:numFmt w:val="bullet"/>
      <w:lvlText w:val="-"/>
      <w:lvlJc w:val="left"/>
      <w:pPr>
        <w:ind w:left="720" w:hanging="360"/>
      </w:pPr>
      <w:rPr>
        <w:rFonts w:ascii="Calibri" w:eastAsiaTheme="minorHAnsi" w:hAnsi="Calibri" w:cs="Calibri" w:hint="default"/>
      </w:rPr>
    </w:lvl>
    <w:lvl w:ilvl="1" w:tplc="658E5AE0" w:tentative="1">
      <w:start w:val="1"/>
      <w:numFmt w:val="bullet"/>
      <w:lvlText w:val="o"/>
      <w:lvlJc w:val="left"/>
      <w:pPr>
        <w:ind w:left="1440" w:hanging="360"/>
      </w:pPr>
      <w:rPr>
        <w:rFonts w:ascii="Courier New" w:hAnsi="Courier New" w:cs="Courier New" w:hint="default"/>
      </w:rPr>
    </w:lvl>
    <w:lvl w:ilvl="2" w:tplc="BD447802" w:tentative="1">
      <w:start w:val="1"/>
      <w:numFmt w:val="bullet"/>
      <w:lvlText w:val=""/>
      <w:lvlJc w:val="left"/>
      <w:pPr>
        <w:ind w:left="2160" w:hanging="360"/>
      </w:pPr>
      <w:rPr>
        <w:rFonts w:ascii="Wingdings" w:hAnsi="Wingdings" w:hint="default"/>
      </w:rPr>
    </w:lvl>
    <w:lvl w:ilvl="3" w:tplc="625A9402" w:tentative="1">
      <w:start w:val="1"/>
      <w:numFmt w:val="bullet"/>
      <w:lvlText w:val=""/>
      <w:lvlJc w:val="left"/>
      <w:pPr>
        <w:ind w:left="2880" w:hanging="360"/>
      </w:pPr>
      <w:rPr>
        <w:rFonts w:ascii="Symbol" w:hAnsi="Symbol" w:hint="default"/>
      </w:rPr>
    </w:lvl>
    <w:lvl w:ilvl="4" w:tplc="B222321E" w:tentative="1">
      <w:start w:val="1"/>
      <w:numFmt w:val="bullet"/>
      <w:lvlText w:val="o"/>
      <w:lvlJc w:val="left"/>
      <w:pPr>
        <w:ind w:left="3600" w:hanging="360"/>
      </w:pPr>
      <w:rPr>
        <w:rFonts w:ascii="Courier New" w:hAnsi="Courier New" w:cs="Courier New" w:hint="default"/>
      </w:rPr>
    </w:lvl>
    <w:lvl w:ilvl="5" w:tplc="FD4CD7D8" w:tentative="1">
      <w:start w:val="1"/>
      <w:numFmt w:val="bullet"/>
      <w:lvlText w:val=""/>
      <w:lvlJc w:val="left"/>
      <w:pPr>
        <w:ind w:left="4320" w:hanging="360"/>
      </w:pPr>
      <w:rPr>
        <w:rFonts w:ascii="Wingdings" w:hAnsi="Wingdings" w:hint="default"/>
      </w:rPr>
    </w:lvl>
    <w:lvl w:ilvl="6" w:tplc="2F22B3BC" w:tentative="1">
      <w:start w:val="1"/>
      <w:numFmt w:val="bullet"/>
      <w:lvlText w:val=""/>
      <w:lvlJc w:val="left"/>
      <w:pPr>
        <w:ind w:left="5040" w:hanging="360"/>
      </w:pPr>
      <w:rPr>
        <w:rFonts w:ascii="Symbol" w:hAnsi="Symbol" w:hint="default"/>
      </w:rPr>
    </w:lvl>
    <w:lvl w:ilvl="7" w:tplc="9FEA401A" w:tentative="1">
      <w:start w:val="1"/>
      <w:numFmt w:val="bullet"/>
      <w:lvlText w:val="o"/>
      <w:lvlJc w:val="left"/>
      <w:pPr>
        <w:ind w:left="5760" w:hanging="360"/>
      </w:pPr>
      <w:rPr>
        <w:rFonts w:ascii="Courier New" w:hAnsi="Courier New" w:cs="Courier New" w:hint="default"/>
      </w:rPr>
    </w:lvl>
    <w:lvl w:ilvl="8" w:tplc="840C2458" w:tentative="1">
      <w:start w:val="1"/>
      <w:numFmt w:val="bullet"/>
      <w:lvlText w:val=""/>
      <w:lvlJc w:val="left"/>
      <w:pPr>
        <w:ind w:left="6480" w:hanging="360"/>
      </w:pPr>
      <w:rPr>
        <w:rFonts w:ascii="Wingdings" w:hAnsi="Wingdings" w:hint="default"/>
      </w:rPr>
    </w:lvl>
  </w:abstractNum>
  <w:abstractNum w:abstractNumId="13" w15:restartNumberingAfterBreak="0">
    <w:nsid w:val="443148EC"/>
    <w:multiLevelType w:val="hybridMultilevel"/>
    <w:tmpl w:val="A6E06828"/>
    <w:lvl w:ilvl="0" w:tplc="37D42BA6">
      <w:start w:val="1"/>
      <w:numFmt w:val="bullet"/>
      <w:lvlText w:val=""/>
      <w:lvlJc w:val="left"/>
      <w:pPr>
        <w:tabs>
          <w:tab w:val="num" w:pos="720"/>
        </w:tabs>
        <w:ind w:left="720" w:hanging="360"/>
      </w:pPr>
      <w:rPr>
        <w:rFonts w:ascii="Wingdings 3" w:hAnsi="Wingdings 3" w:hint="default"/>
      </w:rPr>
    </w:lvl>
    <w:lvl w:ilvl="1" w:tplc="CBD06A9A" w:tentative="1">
      <w:start w:val="1"/>
      <w:numFmt w:val="bullet"/>
      <w:lvlText w:val=""/>
      <w:lvlJc w:val="left"/>
      <w:pPr>
        <w:tabs>
          <w:tab w:val="num" w:pos="1440"/>
        </w:tabs>
        <w:ind w:left="1440" w:hanging="360"/>
      </w:pPr>
      <w:rPr>
        <w:rFonts w:ascii="Wingdings 3" w:hAnsi="Wingdings 3" w:hint="default"/>
      </w:rPr>
    </w:lvl>
    <w:lvl w:ilvl="2" w:tplc="2F6479DA" w:tentative="1">
      <w:start w:val="1"/>
      <w:numFmt w:val="bullet"/>
      <w:lvlText w:val=""/>
      <w:lvlJc w:val="left"/>
      <w:pPr>
        <w:tabs>
          <w:tab w:val="num" w:pos="2160"/>
        </w:tabs>
        <w:ind w:left="2160" w:hanging="360"/>
      </w:pPr>
      <w:rPr>
        <w:rFonts w:ascii="Wingdings 3" w:hAnsi="Wingdings 3" w:hint="default"/>
      </w:rPr>
    </w:lvl>
    <w:lvl w:ilvl="3" w:tplc="1D6C1192" w:tentative="1">
      <w:start w:val="1"/>
      <w:numFmt w:val="bullet"/>
      <w:lvlText w:val=""/>
      <w:lvlJc w:val="left"/>
      <w:pPr>
        <w:tabs>
          <w:tab w:val="num" w:pos="2880"/>
        </w:tabs>
        <w:ind w:left="2880" w:hanging="360"/>
      </w:pPr>
      <w:rPr>
        <w:rFonts w:ascii="Wingdings 3" w:hAnsi="Wingdings 3" w:hint="default"/>
      </w:rPr>
    </w:lvl>
    <w:lvl w:ilvl="4" w:tplc="5FAC9CB4" w:tentative="1">
      <w:start w:val="1"/>
      <w:numFmt w:val="bullet"/>
      <w:lvlText w:val=""/>
      <w:lvlJc w:val="left"/>
      <w:pPr>
        <w:tabs>
          <w:tab w:val="num" w:pos="3600"/>
        </w:tabs>
        <w:ind w:left="3600" w:hanging="360"/>
      </w:pPr>
      <w:rPr>
        <w:rFonts w:ascii="Wingdings 3" w:hAnsi="Wingdings 3" w:hint="default"/>
      </w:rPr>
    </w:lvl>
    <w:lvl w:ilvl="5" w:tplc="3F3EAD38" w:tentative="1">
      <w:start w:val="1"/>
      <w:numFmt w:val="bullet"/>
      <w:lvlText w:val=""/>
      <w:lvlJc w:val="left"/>
      <w:pPr>
        <w:tabs>
          <w:tab w:val="num" w:pos="4320"/>
        </w:tabs>
        <w:ind w:left="4320" w:hanging="360"/>
      </w:pPr>
      <w:rPr>
        <w:rFonts w:ascii="Wingdings 3" w:hAnsi="Wingdings 3" w:hint="default"/>
      </w:rPr>
    </w:lvl>
    <w:lvl w:ilvl="6" w:tplc="BC407742" w:tentative="1">
      <w:start w:val="1"/>
      <w:numFmt w:val="bullet"/>
      <w:lvlText w:val=""/>
      <w:lvlJc w:val="left"/>
      <w:pPr>
        <w:tabs>
          <w:tab w:val="num" w:pos="5040"/>
        </w:tabs>
        <w:ind w:left="5040" w:hanging="360"/>
      </w:pPr>
      <w:rPr>
        <w:rFonts w:ascii="Wingdings 3" w:hAnsi="Wingdings 3" w:hint="default"/>
      </w:rPr>
    </w:lvl>
    <w:lvl w:ilvl="7" w:tplc="B122E494" w:tentative="1">
      <w:start w:val="1"/>
      <w:numFmt w:val="bullet"/>
      <w:lvlText w:val=""/>
      <w:lvlJc w:val="left"/>
      <w:pPr>
        <w:tabs>
          <w:tab w:val="num" w:pos="5760"/>
        </w:tabs>
        <w:ind w:left="5760" w:hanging="360"/>
      </w:pPr>
      <w:rPr>
        <w:rFonts w:ascii="Wingdings 3" w:hAnsi="Wingdings 3" w:hint="default"/>
      </w:rPr>
    </w:lvl>
    <w:lvl w:ilvl="8" w:tplc="AFEC848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6EA46FD"/>
    <w:multiLevelType w:val="multilevel"/>
    <w:tmpl w:val="54E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D64E5"/>
    <w:multiLevelType w:val="hybridMultilevel"/>
    <w:tmpl w:val="C87E3E54"/>
    <w:lvl w:ilvl="0" w:tplc="2C8672F8">
      <w:start w:val="10"/>
      <w:numFmt w:val="bullet"/>
      <w:lvlText w:val="-"/>
      <w:lvlJc w:val="left"/>
      <w:pPr>
        <w:ind w:left="720" w:hanging="360"/>
      </w:pPr>
      <w:rPr>
        <w:rFonts w:ascii="Calibri" w:eastAsiaTheme="minorHAnsi" w:hAnsi="Calibri" w:cs="Calibri" w:hint="default"/>
      </w:rPr>
    </w:lvl>
    <w:lvl w:ilvl="1" w:tplc="034E0502" w:tentative="1">
      <w:start w:val="1"/>
      <w:numFmt w:val="bullet"/>
      <w:lvlText w:val="o"/>
      <w:lvlJc w:val="left"/>
      <w:pPr>
        <w:ind w:left="1440" w:hanging="360"/>
      </w:pPr>
      <w:rPr>
        <w:rFonts w:ascii="Courier New" w:hAnsi="Courier New" w:cs="Courier New" w:hint="default"/>
      </w:rPr>
    </w:lvl>
    <w:lvl w:ilvl="2" w:tplc="5708417A" w:tentative="1">
      <w:start w:val="1"/>
      <w:numFmt w:val="bullet"/>
      <w:lvlText w:val=""/>
      <w:lvlJc w:val="left"/>
      <w:pPr>
        <w:ind w:left="2160" w:hanging="360"/>
      </w:pPr>
      <w:rPr>
        <w:rFonts w:ascii="Wingdings" w:hAnsi="Wingdings" w:hint="default"/>
      </w:rPr>
    </w:lvl>
    <w:lvl w:ilvl="3" w:tplc="67848ED6" w:tentative="1">
      <w:start w:val="1"/>
      <w:numFmt w:val="bullet"/>
      <w:lvlText w:val=""/>
      <w:lvlJc w:val="left"/>
      <w:pPr>
        <w:ind w:left="2880" w:hanging="360"/>
      </w:pPr>
      <w:rPr>
        <w:rFonts w:ascii="Symbol" w:hAnsi="Symbol" w:hint="default"/>
      </w:rPr>
    </w:lvl>
    <w:lvl w:ilvl="4" w:tplc="349CAF54" w:tentative="1">
      <w:start w:val="1"/>
      <w:numFmt w:val="bullet"/>
      <w:lvlText w:val="o"/>
      <w:lvlJc w:val="left"/>
      <w:pPr>
        <w:ind w:left="3600" w:hanging="360"/>
      </w:pPr>
      <w:rPr>
        <w:rFonts w:ascii="Courier New" w:hAnsi="Courier New" w:cs="Courier New" w:hint="default"/>
      </w:rPr>
    </w:lvl>
    <w:lvl w:ilvl="5" w:tplc="C65AF97E" w:tentative="1">
      <w:start w:val="1"/>
      <w:numFmt w:val="bullet"/>
      <w:lvlText w:val=""/>
      <w:lvlJc w:val="left"/>
      <w:pPr>
        <w:ind w:left="4320" w:hanging="360"/>
      </w:pPr>
      <w:rPr>
        <w:rFonts w:ascii="Wingdings" w:hAnsi="Wingdings" w:hint="default"/>
      </w:rPr>
    </w:lvl>
    <w:lvl w:ilvl="6" w:tplc="02302B0E" w:tentative="1">
      <w:start w:val="1"/>
      <w:numFmt w:val="bullet"/>
      <w:lvlText w:val=""/>
      <w:lvlJc w:val="left"/>
      <w:pPr>
        <w:ind w:left="5040" w:hanging="360"/>
      </w:pPr>
      <w:rPr>
        <w:rFonts w:ascii="Symbol" w:hAnsi="Symbol" w:hint="default"/>
      </w:rPr>
    </w:lvl>
    <w:lvl w:ilvl="7" w:tplc="094C1788" w:tentative="1">
      <w:start w:val="1"/>
      <w:numFmt w:val="bullet"/>
      <w:lvlText w:val="o"/>
      <w:lvlJc w:val="left"/>
      <w:pPr>
        <w:ind w:left="5760" w:hanging="360"/>
      </w:pPr>
      <w:rPr>
        <w:rFonts w:ascii="Courier New" w:hAnsi="Courier New" w:cs="Courier New" w:hint="default"/>
      </w:rPr>
    </w:lvl>
    <w:lvl w:ilvl="8" w:tplc="2FF096F0" w:tentative="1">
      <w:start w:val="1"/>
      <w:numFmt w:val="bullet"/>
      <w:lvlText w:val=""/>
      <w:lvlJc w:val="left"/>
      <w:pPr>
        <w:ind w:left="6480" w:hanging="360"/>
      </w:pPr>
      <w:rPr>
        <w:rFonts w:ascii="Wingdings" w:hAnsi="Wingdings" w:hint="default"/>
      </w:rPr>
    </w:lvl>
  </w:abstractNum>
  <w:abstractNum w:abstractNumId="16" w15:restartNumberingAfterBreak="0">
    <w:nsid w:val="4B6F38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84231E"/>
    <w:multiLevelType w:val="hybridMultilevel"/>
    <w:tmpl w:val="F530F1A8"/>
    <w:lvl w:ilvl="0" w:tplc="71F2F072">
      <w:start w:val="1"/>
      <w:numFmt w:val="bullet"/>
      <w:lvlText w:val=""/>
      <w:lvlJc w:val="left"/>
      <w:pPr>
        <w:tabs>
          <w:tab w:val="num" w:pos="720"/>
        </w:tabs>
        <w:ind w:left="720" w:hanging="360"/>
      </w:pPr>
      <w:rPr>
        <w:rFonts w:ascii="Wingdings 3" w:hAnsi="Wingdings 3" w:hint="default"/>
      </w:rPr>
    </w:lvl>
    <w:lvl w:ilvl="1" w:tplc="F68038B2" w:tentative="1">
      <w:start w:val="1"/>
      <w:numFmt w:val="bullet"/>
      <w:lvlText w:val=""/>
      <w:lvlJc w:val="left"/>
      <w:pPr>
        <w:tabs>
          <w:tab w:val="num" w:pos="1440"/>
        </w:tabs>
        <w:ind w:left="1440" w:hanging="360"/>
      </w:pPr>
      <w:rPr>
        <w:rFonts w:ascii="Wingdings 3" w:hAnsi="Wingdings 3" w:hint="default"/>
      </w:rPr>
    </w:lvl>
    <w:lvl w:ilvl="2" w:tplc="84AEA170" w:tentative="1">
      <w:start w:val="1"/>
      <w:numFmt w:val="bullet"/>
      <w:lvlText w:val=""/>
      <w:lvlJc w:val="left"/>
      <w:pPr>
        <w:tabs>
          <w:tab w:val="num" w:pos="2160"/>
        </w:tabs>
        <w:ind w:left="2160" w:hanging="360"/>
      </w:pPr>
      <w:rPr>
        <w:rFonts w:ascii="Wingdings 3" w:hAnsi="Wingdings 3" w:hint="default"/>
      </w:rPr>
    </w:lvl>
    <w:lvl w:ilvl="3" w:tplc="B2ECBBC4" w:tentative="1">
      <w:start w:val="1"/>
      <w:numFmt w:val="bullet"/>
      <w:lvlText w:val=""/>
      <w:lvlJc w:val="left"/>
      <w:pPr>
        <w:tabs>
          <w:tab w:val="num" w:pos="2880"/>
        </w:tabs>
        <w:ind w:left="2880" w:hanging="360"/>
      </w:pPr>
      <w:rPr>
        <w:rFonts w:ascii="Wingdings 3" w:hAnsi="Wingdings 3" w:hint="default"/>
      </w:rPr>
    </w:lvl>
    <w:lvl w:ilvl="4" w:tplc="DEE6D0CC" w:tentative="1">
      <w:start w:val="1"/>
      <w:numFmt w:val="bullet"/>
      <w:lvlText w:val=""/>
      <w:lvlJc w:val="left"/>
      <w:pPr>
        <w:tabs>
          <w:tab w:val="num" w:pos="3600"/>
        </w:tabs>
        <w:ind w:left="3600" w:hanging="360"/>
      </w:pPr>
      <w:rPr>
        <w:rFonts w:ascii="Wingdings 3" w:hAnsi="Wingdings 3" w:hint="default"/>
      </w:rPr>
    </w:lvl>
    <w:lvl w:ilvl="5" w:tplc="D7402C72" w:tentative="1">
      <w:start w:val="1"/>
      <w:numFmt w:val="bullet"/>
      <w:lvlText w:val=""/>
      <w:lvlJc w:val="left"/>
      <w:pPr>
        <w:tabs>
          <w:tab w:val="num" w:pos="4320"/>
        </w:tabs>
        <w:ind w:left="4320" w:hanging="360"/>
      </w:pPr>
      <w:rPr>
        <w:rFonts w:ascii="Wingdings 3" w:hAnsi="Wingdings 3" w:hint="default"/>
      </w:rPr>
    </w:lvl>
    <w:lvl w:ilvl="6" w:tplc="7B004938" w:tentative="1">
      <w:start w:val="1"/>
      <w:numFmt w:val="bullet"/>
      <w:lvlText w:val=""/>
      <w:lvlJc w:val="left"/>
      <w:pPr>
        <w:tabs>
          <w:tab w:val="num" w:pos="5040"/>
        </w:tabs>
        <w:ind w:left="5040" w:hanging="360"/>
      </w:pPr>
      <w:rPr>
        <w:rFonts w:ascii="Wingdings 3" w:hAnsi="Wingdings 3" w:hint="default"/>
      </w:rPr>
    </w:lvl>
    <w:lvl w:ilvl="7" w:tplc="49C0D98A" w:tentative="1">
      <w:start w:val="1"/>
      <w:numFmt w:val="bullet"/>
      <w:lvlText w:val=""/>
      <w:lvlJc w:val="left"/>
      <w:pPr>
        <w:tabs>
          <w:tab w:val="num" w:pos="5760"/>
        </w:tabs>
        <w:ind w:left="5760" w:hanging="360"/>
      </w:pPr>
      <w:rPr>
        <w:rFonts w:ascii="Wingdings 3" w:hAnsi="Wingdings 3" w:hint="default"/>
      </w:rPr>
    </w:lvl>
    <w:lvl w:ilvl="8" w:tplc="34388F8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B45C79"/>
    <w:multiLevelType w:val="hybridMultilevel"/>
    <w:tmpl w:val="B56A2CA8"/>
    <w:lvl w:ilvl="0" w:tplc="B7D4CF48">
      <w:start w:val="1"/>
      <w:numFmt w:val="bullet"/>
      <w:lvlText w:val=""/>
      <w:lvlJc w:val="left"/>
      <w:pPr>
        <w:tabs>
          <w:tab w:val="num" w:pos="720"/>
        </w:tabs>
        <w:ind w:left="720" w:hanging="360"/>
      </w:pPr>
      <w:rPr>
        <w:rFonts w:ascii="Wingdings 3" w:hAnsi="Wingdings 3" w:hint="default"/>
      </w:rPr>
    </w:lvl>
    <w:lvl w:ilvl="1" w:tplc="9D4AA7EA" w:tentative="1">
      <w:start w:val="1"/>
      <w:numFmt w:val="bullet"/>
      <w:lvlText w:val=""/>
      <w:lvlJc w:val="left"/>
      <w:pPr>
        <w:tabs>
          <w:tab w:val="num" w:pos="1440"/>
        </w:tabs>
        <w:ind w:left="1440" w:hanging="360"/>
      </w:pPr>
      <w:rPr>
        <w:rFonts w:ascii="Wingdings 3" w:hAnsi="Wingdings 3" w:hint="default"/>
      </w:rPr>
    </w:lvl>
    <w:lvl w:ilvl="2" w:tplc="56B4CA78" w:tentative="1">
      <w:start w:val="1"/>
      <w:numFmt w:val="bullet"/>
      <w:lvlText w:val=""/>
      <w:lvlJc w:val="left"/>
      <w:pPr>
        <w:tabs>
          <w:tab w:val="num" w:pos="2160"/>
        </w:tabs>
        <w:ind w:left="2160" w:hanging="360"/>
      </w:pPr>
      <w:rPr>
        <w:rFonts w:ascii="Wingdings 3" w:hAnsi="Wingdings 3" w:hint="default"/>
      </w:rPr>
    </w:lvl>
    <w:lvl w:ilvl="3" w:tplc="E880339A" w:tentative="1">
      <w:start w:val="1"/>
      <w:numFmt w:val="bullet"/>
      <w:lvlText w:val=""/>
      <w:lvlJc w:val="left"/>
      <w:pPr>
        <w:tabs>
          <w:tab w:val="num" w:pos="2880"/>
        </w:tabs>
        <w:ind w:left="2880" w:hanging="360"/>
      </w:pPr>
      <w:rPr>
        <w:rFonts w:ascii="Wingdings 3" w:hAnsi="Wingdings 3" w:hint="default"/>
      </w:rPr>
    </w:lvl>
    <w:lvl w:ilvl="4" w:tplc="2906190A" w:tentative="1">
      <w:start w:val="1"/>
      <w:numFmt w:val="bullet"/>
      <w:lvlText w:val=""/>
      <w:lvlJc w:val="left"/>
      <w:pPr>
        <w:tabs>
          <w:tab w:val="num" w:pos="3600"/>
        </w:tabs>
        <w:ind w:left="3600" w:hanging="360"/>
      </w:pPr>
      <w:rPr>
        <w:rFonts w:ascii="Wingdings 3" w:hAnsi="Wingdings 3" w:hint="default"/>
      </w:rPr>
    </w:lvl>
    <w:lvl w:ilvl="5" w:tplc="FC388FC2" w:tentative="1">
      <w:start w:val="1"/>
      <w:numFmt w:val="bullet"/>
      <w:lvlText w:val=""/>
      <w:lvlJc w:val="left"/>
      <w:pPr>
        <w:tabs>
          <w:tab w:val="num" w:pos="4320"/>
        </w:tabs>
        <w:ind w:left="4320" w:hanging="360"/>
      </w:pPr>
      <w:rPr>
        <w:rFonts w:ascii="Wingdings 3" w:hAnsi="Wingdings 3" w:hint="default"/>
      </w:rPr>
    </w:lvl>
    <w:lvl w:ilvl="6" w:tplc="B1AC8FBA" w:tentative="1">
      <w:start w:val="1"/>
      <w:numFmt w:val="bullet"/>
      <w:lvlText w:val=""/>
      <w:lvlJc w:val="left"/>
      <w:pPr>
        <w:tabs>
          <w:tab w:val="num" w:pos="5040"/>
        </w:tabs>
        <w:ind w:left="5040" w:hanging="360"/>
      </w:pPr>
      <w:rPr>
        <w:rFonts w:ascii="Wingdings 3" w:hAnsi="Wingdings 3" w:hint="default"/>
      </w:rPr>
    </w:lvl>
    <w:lvl w:ilvl="7" w:tplc="73482F1A" w:tentative="1">
      <w:start w:val="1"/>
      <w:numFmt w:val="bullet"/>
      <w:lvlText w:val=""/>
      <w:lvlJc w:val="left"/>
      <w:pPr>
        <w:tabs>
          <w:tab w:val="num" w:pos="5760"/>
        </w:tabs>
        <w:ind w:left="5760" w:hanging="360"/>
      </w:pPr>
      <w:rPr>
        <w:rFonts w:ascii="Wingdings 3" w:hAnsi="Wingdings 3" w:hint="default"/>
      </w:rPr>
    </w:lvl>
    <w:lvl w:ilvl="8" w:tplc="5C2C62E0"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D2F1ADA"/>
    <w:multiLevelType w:val="hybridMultilevel"/>
    <w:tmpl w:val="AF98FBD8"/>
    <w:lvl w:ilvl="0" w:tplc="5988421C">
      <w:start w:val="1"/>
      <w:numFmt w:val="bullet"/>
      <w:lvlText w:val=""/>
      <w:lvlJc w:val="left"/>
      <w:pPr>
        <w:tabs>
          <w:tab w:val="num" w:pos="720"/>
        </w:tabs>
        <w:ind w:left="720" w:hanging="360"/>
      </w:pPr>
      <w:rPr>
        <w:rFonts w:ascii="Wingdings 3" w:hAnsi="Wingdings 3" w:hint="default"/>
      </w:rPr>
    </w:lvl>
    <w:lvl w:ilvl="1" w:tplc="8EEC9386" w:tentative="1">
      <w:start w:val="1"/>
      <w:numFmt w:val="bullet"/>
      <w:lvlText w:val=""/>
      <w:lvlJc w:val="left"/>
      <w:pPr>
        <w:tabs>
          <w:tab w:val="num" w:pos="1440"/>
        </w:tabs>
        <w:ind w:left="1440" w:hanging="360"/>
      </w:pPr>
      <w:rPr>
        <w:rFonts w:ascii="Wingdings 3" w:hAnsi="Wingdings 3" w:hint="default"/>
      </w:rPr>
    </w:lvl>
    <w:lvl w:ilvl="2" w:tplc="154A0994" w:tentative="1">
      <w:start w:val="1"/>
      <w:numFmt w:val="bullet"/>
      <w:lvlText w:val=""/>
      <w:lvlJc w:val="left"/>
      <w:pPr>
        <w:tabs>
          <w:tab w:val="num" w:pos="2160"/>
        </w:tabs>
        <w:ind w:left="2160" w:hanging="360"/>
      </w:pPr>
      <w:rPr>
        <w:rFonts w:ascii="Wingdings 3" w:hAnsi="Wingdings 3" w:hint="default"/>
      </w:rPr>
    </w:lvl>
    <w:lvl w:ilvl="3" w:tplc="EB32A56C" w:tentative="1">
      <w:start w:val="1"/>
      <w:numFmt w:val="bullet"/>
      <w:lvlText w:val=""/>
      <w:lvlJc w:val="left"/>
      <w:pPr>
        <w:tabs>
          <w:tab w:val="num" w:pos="2880"/>
        </w:tabs>
        <w:ind w:left="2880" w:hanging="360"/>
      </w:pPr>
      <w:rPr>
        <w:rFonts w:ascii="Wingdings 3" w:hAnsi="Wingdings 3" w:hint="default"/>
      </w:rPr>
    </w:lvl>
    <w:lvl w:ilvl="4" w:tplc="B63481A8" w:tentative="1">
      <w:start w:val="1"/>
      <w:numFmt w:val="bullet"/>
      <w:lvlText w:val=""/>
      <w:lvlJc w:val="left"/>
      <w:pPr>
        <w:tabs>
          <w:tab w:val="num" w:pos="3600"/>
        </w:tabs>
        <w:ind w:left="3600" w:hanging="360"/>
      </w:pPr>
      <w:rPr>
        <w:rFonts w:ascii="Wingdings 3" w:hAnsi="Wingdings 3" w:hint="default"/>
      </w:rPr>
    </w:lvl>
    <w:lvl w:ilvl="5" w:tplc="8960BD82" w:tentative="1">
      <w:start w:val="1"/>
      <w:numFmt w:val="bullet"/>
      <w:lvlText w:val=""/>
      <w:lvlJc w:val="left"/>
      <w:pPr>
        <w:tabs>
          <w:tab w:val="num" w:pos="4320"/>
        </w:tabs>
        <w:ind w:left="4320" w:hanging="360"/>
      </w:pPr>
      <w:rPr>
        <w:rFonts w:ascii="Wingdings 3" w:hAnsi="Wingdings 3" w:hint="default"/>
      </w:rPr>
    </w:lvl>
    <w:lvl w:ilvl="6" w:tplc="BACE2170" w:tentative="1">
      <w:start w:val="1"/>
      <w:numFmt w:val="bullet"/>
      <w:lvlText w:val=""/>
      <w:lvlJc w:val="left"/>
      <w:pPr>
        <w:tabs>
          <w:tab w:val="num" w:pos="5040"/>
        </w:tabs>
        <w:ind w:left="5040" w:hanging="360"/>
      </w:pPr>
      <w:rPr>
        <w:rFonts w:ascii="Wingdings 3" w:hAnsi="Wingdings 3" w:hint="default"/>
      </w:rPr>
    </w:lvl>
    <w:lvl w:ilvl="7" w:tplc="121C35B8" w:tentative="1">
      <w:start w:val="1"/>
      <w:numFmt w:val="bullet"/>
      <w:lvlText w:val=""/>
      <w:lvlJc w:val="left"/>
      <w:pPr>
        <w:tabs>
          <w:tab w:val="num" w:pos="5760"/>
        </w:tabs>
        <w:ind w:left="5760" w:hanging="360"/>
      </w:pPr>
      <w:rPr>
        <w:rFonts w:ascii="Wingdings 3" w:hAnsi="Wingdings 3" w:hint="default"/>
      </w:rPr>
    </w:lvl>
    <w:lvl w:ilvl="8" w:tplc="2AB4969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DF30A5F"/>
    <w:multiLevelType w:val="multilevel"/>
    <w:tmpl w:val="42307956"/>
    <w:lvl w:ilvl="0">
      <w:start w:val="1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D0452B"/>
    <w:multiLevelType w:val="hybridMultilevel"/>
    <w:tmpl w:val="83CC8F60"/>
    <w:lvl w:ilvl="0" w:tplc="D0EC7E08">
      <w:start w:val="1"/>
      <w:numFmt w:val="bullet"/>
      <w:lvlText w:val=""/>
      <w:lvlJc w:val="left"/>
      <w:pPr>
        <w:tabs>
          <w:tab w:val="num" w:pos="720"/>
        </w:tabs>
        <w:ind w:left="720" w:hanging="360"/>
      </w:pPr>
      <w:rPr>
        <w:rFonts w:ascii="Wingdings 3" w:hAnsi="Wingdings 3" w:hint="default"/>
      </w:rPr>
    </w:lvl>
    <w:lvl w:ilvl="1" w:tplc="62CED1F8" w:tentative="1">
      <w:start w:val="1"/>
      <w:numFmt w:val="bullet"/>
      <w:lvlText w:val=""/>
      <w:lvlJc w:val="left"/>
      <w:pPr>
        <w:tabs>
          <w:tab w:val="num" w:pos="1440"/>
        </w:tabs>
        <w:ind w:left="1440" w:hanging="360"/>
      </w:pPr>
      <w:rPr>
        <w:rFonts w:ascii="Wingdings 3" w:hAnsi="Wingdings 3" w:hint="default"/>
      </w:rPr>
    </w:lvl>
    <w:lvl w:ilvl="2" w:tplc="AB3A79F8" w:tentative="1">
      <w:start w:val="1"/>
      <w:numFmt w:val="bullet"/>
      <w:lvlText w:val=""/>
      <w:lvlJc w:val="left"/>
      <w:pPr>
        <w:tabs>
          <w:tab w:val="num" w:pos="2160"/>
        </w:tabs>
        <w:ind w:left="2160" w:hanging="360"/>
      </w:pPr>
      <w:rPr>
        <w:rFonts w:ascii="Wingdings 3" w:hAnsi="Wingdings 3" w:hint="default"/>
      </w:rPr>
    </w:lvl>
    <w:lvl w:ilvl="3" w:tplc="C2C23B10" w:tentative="1">
      <w:start w:val="1"/>
      <w:numFmt w:val="bullet"/>
      <w:lvlText w:val=""/>
      <w:lvlJc w:val="left"/>
      <w:pPr>
        <w:tabs>
          <w:tab w:val="num" w:pos="2880"/>
        </w:tabs>
        <w:ind w:left="2880" w:hanging="360"/>
      </w:pPr>
      <w:rPr>
        <w:rFonts w:ascii="Wingdings 3" w:hAnsi="Wingdings 3" w:hint="default"/>
      </w:rPr>
    </w:lvl>
    <w:lvl w:ilvl="4" w:tplc="47D65190" w:tentative="1">
      <w:start w:val="1"/>
      <w:numFmt w:val="bullet"/>
      <w:lvlText w:val=""/>
      <w:lvlJc w:val="left"/>
      <w:pPr>
        <w:tabs>
          <w:tab w:val="num" w:pos="3600"/>
        </w:tabs>
        <w:ind w:left="3600" w:hanging="360"/>
      </w:pPr>
      <w:rPr>
        <w:rFonts w:ascii="Wingdings 3" w:hAnsi="Wingdings 3" w:hint="default"/>
      </w:rPr>
    </w:lvl>
    <w:lvl w:ilvl="5" w:tplc="7BB8E42C" w:tentative="1">
      <w:start w:val="1"/>
      <w:numFmt w:val="bullet"/>
      <w:lvlText w:val=""/>
      <w:lvlJc w:val="left"/>
      <w:pPr>
        <w:tabs>
          <w:tab w:val="num" w:pos="4320"/>
        </w:tabs>
        <w:ind w:left="4320" w:hanging="360"/>
      </w:pPr>
      <w:rPr>
        <w:rFonts w:ascii="Wingdings 3" w:hAnsi="Wingdings 3" w:hint="default"/>
      </w:rPr>
    </w:lvl>
    <w:lvl w:ilvl="6" w:tplc="19149E96" w:tentative="1">
      <w:start w:val="1"/>
      <w:numFmt w:val="bullet"/>
      <w:lvlText w:val=""/>
      <w:lvlJc w:val="left"/>
      <w:pPr>
        <w:tabs>
          <w:tab w:val="num" w:pos="5040"/>
        </w:tabs>
        <w:ind w:left="5040" w:hanging="360"/>
      </w:pPr>
      <w:rPr>
        <w:rFonts w:ascii="Wingdings 3" w:hAnsi="Wingdings 3" w:hint="default"/>
      </w:rPr>
    </w:lvl>
    <w:lvl w:ilvl="7" w:tplc="901A9D68" w:tentative="1">
      <w:start w:val="1"/>
      <w:numFmt w:val="bullet"/>
      <w:lvlText w:val=""/>
      <w:lvlJc w:val="left"/>
      <w:pPr>
        <w:tabs>
          <w:tab w:val="num" w:pos="5760"/>
        </w:tabs>
        <w:ind w:left="5760" w:hanging="360"/>
      </w:pPr>
      <w:rPr>
        <w:rFonts w:ascii="Wingdings 3" w:hAnsi="Wingdings 3" w:hint="default"/>
      </w:rPr>
    </w:lvl>
    <w:lvl w:ilvl="8" w:tplc="0B6EF10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54D4D5B"/>
    <w:multiLevelType w:val="hybridMultilevel"/>
    <w:tmpl w:val="198A34D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8E5A24"/>
    <w:multiLevelType w:val="hybridMultilevel"/>
    <w:tmpl w:val="651A1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6"/>
  </w:num>
  <w:num w:numId="6">
    <w:abstractNumId w:val="6"/>
  </w:num>
  <w:num w:numId="7">
    <w:abstractNumId w:val="7"/>
  </w:num>
  <w:num w:numId="8">
    <w:abstractNumId w:val="8"/>
  </w:num>
  <w:num w:numId="9">
    <w:abstractNumId w:val="20"/>
  </w:num>
  <w:num w:numId="10">
    <w:abstractNumId w:val="9"/>
  </w:num>
  <w:num w:numId="11">
    <w:abstractNumId w:val="2"/>
  </w:num>
  <w:num w:numId="12">
    <w:abstractNumId w:val="17"/>
  </w:num>
  <w:num w:numId="13">
    <w:abstractNumId w:val="18"/>
  </w:num>
  <w:num w:numId="14">
    <w:abstractNumId w:val="21"/>
  </w:num>
  <w:num w:numId="15">
    <w:abstractNumId w:val="19"/>
  </w:num>
  <w:num w:numId="16">
    <w:abstractNumId w:val="2"/>
  </w:num>
  <w:num w:numId="17">
    <w:abstractNumId w:val="23"/>
  </w:num>
  <w:num w:numId="18">
    <w:abstractNumId w:val="12"/>
  </w:num>
  <w:num w:numId="19">
    <w:abstractNumId w:val="15"/>
  </w:num>
  <w:num w:numId="20">
    <w:abstractNumId w:val="1"/>
  </w:num>
  <w:num w:numId="21">
    <w:abstractNumId w:val="10"/>
  </w:num>
  <w:num w:numId="22">
    <w:abstractNumId w:val="13"/>
  </w:num>
  <w:num w:numId="23">
    <w:abstractNumId w:val="22"/>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5A"/>
    <w:rsid w:val="00000A9B"/>
    <w:rsid w:val="000012E7"/>
    <w:rsid w:val="0000382B"/>
    <w:rsid w:val="000065C1"/>
    <w:rsid w:val="00016875"/>
    <w:rsid w:val="000201E9"/>
    <w:rsid w:val="00023B46"/>
    <w:rsid w:val="000273A8"/>
    <w:rsid w:val="00033EAC"/>
    <w:rsid w:val="00034C60"/>
    <w:rsid w:val="0004002B"/>
    <w:rsid w:val="0004069C"/>
    <w:rsid w:val="000447EB"/>
    <w:rsid w:val="000453FD"/>
    <w:rsid w:val="00045887"/>
    <w:rsid w:val="00047787"/>
    <w:rsid w:val="00050AAA"/>
    <w:rsid w:val="000526FC"/>
    <w:rsid w:val="0005281B"/>
    <w:rsid w:val="00052B6D"/>
    <w:rsid w:val="00053F58"/>
    <w:rsid w:val="00055A8C"/>
    <w:rsid w:val="000565CA"/>
    <w:rsid w:val="00062801"/>
    <w:rsid w:val="00062C4A"/>
    <w:rsid w:val="00065093"/>
    <w:rsid w:val="00066960"/>
    <w:rsid w:val="0007251D"/>
    <w:rsid w:val="0007469F"/>
    <w:rsid w:val="00074DE8"/>
    <w:rsid w:val="000858C0"/>
    <w:rsid w:val="0008639D"/>
    <w:rsid w:val="000A7EB9"/>
    <w:rsid w:val="000B1307"/>
    <w:rsid w:val="000B1CAD"/>
    <w:rsid w:val="000B36C7"/>
    <w:rsid w:val="000C7AFD"/>
    <w:rsid w:val="000D01F3"/>
    <w:rsid w:val="000D0E09"/>
    <w:rsid w:val="000D1A02"/>
    <w:rsid w:val="000D4B5A"/>
    <w:rsid w:val="000D5D60"/>
    <w:rsid w:val="000D6755"/>
    <w:rsid w:val="000F1D34"/>
    <w:rsid w:val="000F466A"/>
    <w:rsid w:val="000F6370"/>
    <w:rsid w:val="0010052F"/>
    <w:rsid w:val="00103341"/>
    <w:rsid w:val="00106A64"/>
    <w:rsid w:val="001072D6"/>
    <w:rsid w:val="00107302"/>
    <w:rsid w:val="001172A7"/>
    <w:rsid w:val="0012283C"/>
    <w:rsid w:val="00122D53"/>
    <w:rsid w:val="0012466B"/>
    <w:rsid w:val="00131E92"/>
    <w:rsid w:val="00133134"/>
    <w:rsid w:val="00133182"/>
    <w:rsid w:val="00147A14"/>
    <w:rsid w:val="0015550C"/>
    <w:rsid w:val="00157C56"/>
    <w:rsid w:val="00161440"/>
    <w:rsid w:val="001647F5"/>
    <w:rsid w:val="00166749"/>
    <w:rsid w:val="00167379"/>
    <w:rsid w:val="00171E19"/>
    <w:rsid w:val="00174C43"/>
    <w:rsid w:val="001756EF"/>
    <w:rsid w:val="00175773"/>
    <w:rsid w:val="00180F3C"/>
    <w:rsid w:val="00184BC8"/>
    <w:rsid w:val="00187975"/>
    <w:rsid w:val="001B3D16"/>
    <w:rsid w:val="001B495D"/>
    <w:rsid w:val="001B5AA1"/>
    <w:rsid w:val="001B6F6C"/>
    <w:rsid w:val="001C0B34"/>
    <w:rsid w:val="001C5DE6"/>
    <w:rsid w:val="001C71AC"/>
    <w:rsid w:val="001D0310"/>
    <w:rsid w:val="001D049D"/>
    <w:rsid w:val="001D0946"/>
    <w:rsid w:val="001D5115"/>
    <w:rsid w:val="001D6065"/>
    <w:rsid w:val="001D712B"/>
    <w:rsid w:val="001E0DFF"/>
    <w:rsid w:val="001E577E"/>
    <w:rsid w:val="001F015A"/>
    <w:rsid w:val="001F4A30"/>
    <w:rsid w:val="00203D80"/>
    <w:rsid w:val="00203DCC"/>
    <w:rsid w:val="002116B0"/>
    <w:rsid w:val="00215C1A"/>
    <w:rsid w:val="002241FB"/>
    <w:rsid w:val="00243560"/>
    <w:rsid w:val="002435C2"/>
    <w:rsid w:val="00246169"/>
    <w:rsid w:val="002476EE"/>
    <w:rsid w:val="00261E78"/>
    <w:rsid w:val="00263412"/>
    <w:rsid w:val="0027065D"/>
    <w:rsid w:val="002718A7"/>
    <w:rsid w:val="00274719"/>
    <w:rsid w:val="0027664F"/>
    <w:rsid w:val="00280AD4"/>
    <w:rsid w:val="00281FDC"/>
    <w:rsid w:val="00286CED"/>
    <w:rsid w:val="0028786B"/>
    <w:rsid w:val="00297ED8"/>
    <w:rsid w:val="002B114E"/>
    <w:rsid w:val="002B5A60"/>
    <w:rsid w:val="002C1D48"/>
    <w:rsid w:val="002C2E5F"/>
    <w:rsid w:val="002C39E1"/>
    <w:rsid w:val="002C7212"/>
    <w:rsid w:val="002D348A"/>
    <w:rsid w:val="002D6B56"/>
    <w:rsid w:val="002D7282"/>
    <w:rsid w:val="002F5544"/>
    <w:rsid w:val="002F55AC"/>
    <w:rsid w:val="002F6F43"/>
    <w:rsid w:val="00301CD9"/>
    <w:rsid w:val="00307B16"/>
    <w:rsid w:val="003108E1"/>
    <w:rsid w:val="00310AEA"/>
    <w:rsid w:val="00312C4D"/>
    <w:rsid w:val="003161CB"/>
    <w:rsid w:val="00320C95"/>
    <w:rsid w:val="00330E90"/>
    <w:rsid w:val="0033108C"/>
    <w:rsid w:val="00336ED2"/>
    <w:rsid w:val="00337481"/>
    <w:rsid w:val="00337CBC"/>
    <w:rsid w:val="0034407B"/>
    <w:rsid w:val="00346EC8"/>
    <w:rsid w:val="00350D1D"/>
    <w:rsid w:val="00350DF0"/>
    <w:rsid w:val="003517AA"/>
    <w:rsid w:val="003560A1"/>
    <w:rsid w:val="00365C13"/>
    <w:rsid w:val="003826A9"/>
    <w:rsid w:val="0038515E"/>
    <w:rsid w:val="00387A97"/>
    <w:rsid w:val="003916FC"/>
    <w:rsid w:val="003937F4"/>
    <w:rsid w:val="003A092B"/>
    <w:rsid w:val="003A45C2"/>
    <w:rsid w:val="003B53BE"/>
    <w:rsid w:val="003C150B"/>
    <w:rsid w:val="003C1C55"/>
    <w:rsid w:val="003C1C87"/>
    <w:rsid w:val="003C2291"/>
    <w:rsid w:val="003C56F3"/>
    <w:rsid w:val="003D1123"/>
    <w:rsid w:val="003D1CEE"/>
    <w:rsid w:val="003E4470"/>
    <w:rsid w:val="003E7D05"/>
    <w:rsid w:val="003F27D0"/>
    <w:rsid w:val="003F5EF7"/>
    <w:rsid w:val="00403215"/>
    <w:rsid w:val="00405D76"/>
    <w:rsid w:val="00406048"/>
    <w:rsid w:val="004176E8"/>
    <w:rsid w:val="00417AAD"/>
    <w:rsid w:val="00422AB4"/>
    <w:rsid w:val="00424253"/>
    <w:rsid w:val="00432AEC"/>
    <w:rsid w:val="00433A20"/>
    <w:rsid w:val="004347C3"/>
    <w:rsid w:val="004366C0"/>
    <w:rsid w:val="00436FC4"/>
    <w:rsid w:val="00441E97"/>
    <w:rsid w:val="004469C4"/>
    <w:rsid w:val="0045009D"/>
    <w:rsid w:val="0045533D"/>
    <w:rsid w:val="004553A3"/>
    <w:rsid w:val="00456965"/>
    <w:rsid w:val="004648DC"/>
    <w:rsid w:val="00466825"/>
    <w:rsid w:val="00470308"/>
    <w:rsid w:val="00470FE2"/>
    <w:rsid w:val="004717E3"/>
    <w:rsid w:val="00474DE8"/>
    <w:rsid w:val="004842D1"/>
    <w:rsid w:val="0048433E"/>
    <w:rsid w:val="004865FC"/>
    <w:rsid w:val="00491193"/>
    <w:rsid w:val="004955C9"/>
    <w:rsid w:val="004A0816"/>
    <w:rsid w:val="004B5424"/>
    <w:rsid w:val="004B6FEA"/>
    <w:rsid w:val="004C4A0A"/>
    <w:rsid w:val="004D2F1D"/>
    <w:rsid w:val="004D409F"/>
    <w:rsid w:val="004D682D"/>
    <w:rsid w:val="004E228D"/>
    <w:rsid w:val="004F42AE"/>
    <w:rsid w:val="005018E9"/>
    <w:rsid w:val="005048D4"/>
    <w:rsid w:val="005074A2"/>
    <w:rsid w:val="00511041"/>
    <w:rsid w:val="005153EB"/>
    <w:rsid w:val="00530466"/>
    <w:rsid w:val="00532892"/>
    <w:rsid w:val="00532FD8"/>
    <w:rsid w:val="0054411B"/>
    <w:rsid w:val="005453C9"/>
    <w:rsid w:val="005453F6"/>
    <w:rsid w:val="00550E33"/>
    <w:rsid w:val="005546CC"/>
    <w:rsid w:val="005570C6"/>
    <w:rsid w:val="00562FD2"/>
    <w:rsid w:val="005651EC"/>
    <w:rsid w:val="005665D6"/>
    <w:rsid w:val="005712A1"/>
    <w:rsid w:val="00572266"/>
    <w:rsid w:val="005756AD"/>
    <w:rsid w:val="005803D3"/>
    <w:rsid w:val="00580BD8"/>
    <w:rsid w:val="00581AFA"/>
    <w:rsid w:val="0058708C"/>
    <w:rsid w:val="00593AE4"/>
    <w:rsid w:val="00594E24"/>
    <w:rsid w:val="005966BA"/>
    <w:rsid w:val="00597570"/>
    <w:rsid w:val="005A1A70"/>
    <w:rsid w:val="005A22AC"/>
    <w:rsid w:val="005A281C"/>
    <w:rsid w:val="005A4E86"/>
    <w:rsid w:val="005A5117"/>
    <w:rsid w:val="005A733B"/>
    <w:rsid w:val="005B1D3D"/>
    <w:rsid w:val="005B5714"/>
    <w:rsid w:val="005B5BC8"/>
    <w:rsid w:val="005B6BBC"/>
    <w:rsid w:val="005C51E4"/>
    <w:rsid w:val="005C5C68"/>
    <w:rsid w:val="005D11BD"/>
    <w:rsid w:val="005D144A"/>
    <w:rsid w:val="005D3A5E"/>
    <w:rsid w:val="005D7278"/>
    <w:rsid w:val="005E5FFF"/>
    <w:rsid w:val="005F6917"/>
    <w:rsid w:val="0060528E"/>
    <w:rsid w:val="00607C16"/>
    <w:rsid w:val="00617B96"/>
    <w:rsid w:val="006201FB"/>
    <w:rsid w:val="0062288F"/>
    <w:rsid w:val="00624330"/>
    <w:rsid w:val="006243B3"/>
    <w:rsid w:val="00626409"/>
    <w:rsid w:val="00637FED"/>
    <w:rsid w:val="006421FA"/>
    <w:rsid w:val="00645712"/>
    <w:rsid w:val="00647882"/>
    <w:rsid w:val="00671213"/>
    <w:rsid w:val="0067160C"/>
    <w:rsid w:val="006721B1"/>
    <w:rsid w:val="0067645A"/>
    <w:rsid w:val="006816E1"/>
    <w:rsid w:val="006862B1"/>
    <w:rsid w:val="00693FFB"/>
    <w:rsid w:val="00695C32"/>
    <w:rsid w:val="006963FE"/>
    <w:rsid w:val="0069688F"/>
    <w:rsid w:val="006978B9"/>
    <w:rsid w:val="006A45D5"/>
    <w:rsid w:val="006A561C"/>
    <w:rsid w:val="006A68AF"/>
    <w:rsid w:val="006B3D9E"/>
    <w:rsid w:val="006B4240"/>
    <w:rsid w:val="006C0AAC"/>
    <w:rsid w:val="006C0AC2"/>
    <w:rsid w:val="006C2622"/>
    <w:rsid w:val="006C59D0"/>
    <w:rsid w:val="006D14DF"/>
    <w:rsid w:val="006E36C6"/>
    <w:rsid w:val="006E4459"/>
    <w:rsid w:val="006E44A6"/>
    <w:rsid w:val="006E5D31"/>
    <w:rsid w:val="006E66B7"/>
    <w:rsid w:val="006F2B62"/>
    <w:rsid w:val="006F4DCD"/>
    <w:rsid w:val="006F5189"/>
    <w:rsid w:val="006F796A"/>
    <w:rsid w:val="00701EB2"/>
    <w:rsid w:val="00706EE9"/>
    <w:rsid w:val="00715570"/>
    <w:rsid w:val="0071594B"/>
    <w:rsid w:val="00717119"/>
    <w:rsid w:val="007173D9"/>
    <w:rsid w:val="00723406"/>
    <w:rsid w:val="00723CF7"/>
    <w:rsid w:val="00730F9B"/>
    <w:rsid w:val="00734066"/>
    <w:rsid w:val="00734E0D"/>
    <w:rsid w:val="00736C66"/>
    <w:rsid w:val="00741C5A"/>
    <w:rsid w:val="00743601"/>
    <w:rsid w:val="00744AB5"/>
    <w:rsid w:val="00762ACC"/>
    <w:rsid w:val="00762C56"/>
    <w:rsid w:val="00775434"/>
    <w:rsid w:val="00786942"/>
    <w:rsid w:val="00792F0A"/>
    <w:rsid w:val="007935D5"/>
    <w:rsid w:val="007967F0"/>
    <w:rsid w:val="007A024B"/>
    <w:rsid w:val="007A0F4B"/>
    <w:rsid w:val="007A44E0"/>
    <w:rsid w:val="007A7DD3"/>
    <w:rsid w:val="007B0258"/>
    <w:rsid w:val="007B36B2"/>
    <w:rsid w:val="007B4335"/>
    <w:rsid w:val="007B6B73"/>
    <w:rsid w:val="007C04A6"/>
    <w:rsid w:val="007C1DDB"/>
    <w:rsid w:val="007C441D"/>
    <w:rsid w:val="007E23F2"/>
    <w:rsid w:val="007E32CD"/>
    <w:rsid w:val="007E3945"/>
    <w:rsid w:val="007E7059"/>
    <w:rsid w:val="007F42C8"/>
    <w:rsid w:val="007F5C02"/>
    <w:rsid w:val="007F7201"/>
    <w:rsid w:val="008116C6"/>
    <w:rsid w:val="00822D06"/>
    <w:rsid w:val="00824EBB"/>
    <w:rsid w:val="008363F8"/>
    <w:rsid w:val="00841006"/>
    <w:rsid w:val="00841293"/>
    <w:rsid w:val="00842D2F"/>
    <w:rsid w:val="00842FF1"/>
    <w:rsid w:val="008458EF"/>
    <w:rsid w:val="00853AA9"/>
    <w:rsid w:val="00861C48"/>
    <w:rsid w:val="00867D22"/>
    <w:rsid w:val="008731D1"/>
    <w:rsid w:val="00873E3C"/>
    <w:rsid w:val="008744EB"/>
    <w:rsid w:val="00875EA1"/>
    <w:rsid w:val="008819DD"/>
    <w:rsid w:val="0088207A"/>
    <w:rsid w:val="00882C65"/>
    <w:rsid w:val="00886E8A"/>
    <w:rsid w:val="008935C1"/>
    <w:rsid w:val="008955E9"/>
    <w:rsid w:val="008963BC"/>
    <w:rsid w:val="00897C94"/>
    <w:rsid w:val="008A79FD"/>
    <w:rsid w:val="008B09A0"/>
    <w:rsid w:val="008B1B2D"/>
    <w:rsid w:val="008C18F7"/>
    <w:rsid w:val="008C2F55"/>
    <w:rsid w:val="008D481D"/>
    <w:rsid w:val="008D6548"/>
    <w:rsid w:val="008F0B39"/>
    <w:rsid w:val="008F22A7"/>
    <w:rsid w:val="008F77D7"/>
    <w:rsid w:val="00902EFD"/>
    <w:rsid w:val="009112B3"/>
    <w:rsid w:val="00911EC0"/>
    <w:rsid w:val="00912301"/>
    <w:rsid w:val="009126DF"/>
    <w:rsid w:val="0091512C"/>
    <w:rsid w:val="009153FE"/>
    <w:rsid w:val="009154AB"/>
    <w:rsid w:val="00916672"/>
    <w:rsid w:val="00922AB3"/>
    <w:rsid w:val="009253CB"/>
    <w:rsid w:val="009407D5"/>
    <w:rsid w:val="00941F0F"/>
    <w:rsid w:val="00942446"/>
    <w:rsid w:val="009431F5"/>
    <w:rsid w:val="00944BE5"/>
    <w:rsid w:val="009524B5"/>
    <w:rsid w:val="00953033"/>
    <w:rsid w:val="009606AE"/>
    <w:rsid w:val="00963D31"/>
    <w:rsid w:val="00967C84"/>
    <w:rsid w:val="00976DE5"/>
    <w:rsid w:val="00985D09"/>
    <w:rsid w:val="00993A59"/>
    <w:rsid w:val="009950C4"/>
    <w:rsid w:val="00996804"/>
    <w:rsid w:val="00996B0E"/>
    <w:rsid w:val="009A1260"/>
    <w:rsid w:val="009A1455"/>
    <w:rsid w:val="009A40FA"/>
    <w:rsid w:val="009A423D"/>
    <w:rsid w:val="009B0590"/>
    <w:rsid w:val="009D01A9"/>
    <w:rsid w:val="009D414A"/>
    <w:rsid w:val="009D764F"/>
    <w:rsid w:val="009E1F2E"/>
    <w:rsid w:val="009E30A3"/>
    <w:rsid w:val="009F283C"/>
    <w:rsid w:val="009F5328"/>
    <w:rsid w:val="009F5867"/>
    <w:rsid w:val="009F5BCA"/>
    <w:rsid w:val="00A10E44"/>
    <w:rsid w:val="00A1764A"/>
    <w:rsid w:val="00A17977"/>
    <w:rsid w:val="00A212E6"/>
    <w:rsid w:val="00A2610D"/>
    <w:rsid w:val="00A346EF"/>
    <w:rsid w:val="00A373CC"/>
    <w:rsid w:val="00A4776A"/>
    <w:rsid w:val="00A63C1F"/>
    <w:rsid w:val="00A74CED"/>
    <w:rsid w:val="00A7539D"/>
    <w:rsid w:val="00A80541"/>
    <w:rsid w:val="00A81293"/>
    <w:rsid w:val="00A81703"/>
    <w:rsid w:val="00A81C99"/>
    <w:rsid w:val="00A82547"/>
    <w:rsid w:val="00A85E57"/>
    <w:rsid w:val="00A873C0"/>
    <w:rsid w:val="00A92BE8"/>
    <w:rsid w:val="00A93FCE"/>
    <w:rsid w:val="00A94AD1"/>
    <w:rsid w:val="00A95408"/>
    <w:rsid w:val="00A95E3E"/>
    <w:rsid w:val="00AA58B4"/>
    <w:rsid w:val="00AB0008"/>
    <w:rsid w:val="00AB1FE0"/>
    <w:rsid w:val="00AB63E9"/>
    <w:rsid w:val="00AC5450"/>
    <w:rsid w:val="00AC7CF4"/>
    <w:rsid w:val="00AD10AD"/>
    <w:rsid w:val="00AD190B"/>
    <w:rsid w:val="00AD1A3B"/>
    <w:rsid w:val="00AD4E22"/>
    <w:rsid w:val="00AD6C6C"/>
    <w:rsid w:val="00AD726A"/>
    <w:rsid w:val="00AE31D9"/>
    <w:rsid w:val="00AE391D"/>
    <w:rsid w:val="00AF7E4C"/>
    <w:rsid w:val="00B00F7B"/>
    <w:rsid w:val="00B026DD"/>
    <w:rsid w:val="00B0313E"/>
    <w:rsid w:val="00B04F55"/>
    <w:rsid w:val="00B05B22"/>
    <w:rsid w:val="00B10A13"/>
    <w:rsid w:val="00B118BD"/>
    <w:rsid w:val="00B11B29"/>
    <w:rsid w:val="00B21A64"/>
    <w:rsid w:val="00B32A76"/>
    <w:rsid w:val="00B32B6E"/>
    <w:rsid w:val="00B41E71"/>
    <w:rsid w:val="00B437FB"/>
    <w:rsid w:val="00B44804"/>
    <w:rsid w:val="00B54515"/>
    <w:rsid w:val="00B57427"/>
    <w:rsid w:val="00B70403"/>
    <w:rsid w:val="00B725C9"/>
    <w:rsid w:val="00B73F15"/>
    <w:rsid w:val="00B74D6F"/>
    <w:rsid w:val="00B74F8D"/>
    <w:rsid w:val="00B82128"/>
    <w:rsid w:val="00B825B2"/>
    <w:rsid w:val="00B82B2B"/>
    <w:rsid w:val="00B87422"/>
    <w:rsid w:val="00B93E14"/>
    <w:rsid w:val="00B93FBD"/>
    <w:rsid w:val="00B94DD0"/>
    <w:rsid w:val="00BA045F"/>
    <w:rsid w:val="00BA392C"/>
    <w:rsid w:val="00BB3BC2"/>
    <w:rsid w:val="00BB60E8"/>
    <w:rsid w:val="00BB7697"/>
    <w:rsid w:val="00BC3333"/>
    <w:rsid w:val="00BC4519"/>
    <w:rsid w:val="00BC4EF8"/>
    <w:rsid w:val="00BD42B9"/>
    <w:rsid w:val="00BD6548"/>
    <w:rsid w:val="00BD6612"/>
    <w:rsid w:val="00BE08A2"/>
    <w:rsid w:val="00BE4822"/>
    <w:rsid w:val="00BF43E6"/>
    <w:rsid w:val="00BF66D4"/>
    <w:rsid w:val="00C1145A"/>
    <w:rsid w:val="00C1516F"/>
    <w:rsid w:val="00C158F2"/>
    <w:rsid w:val="00C15F9E"/>
    <w:rsid w:val="00C16DD7"/>
    <w:rsid w:val="00C24620"/>
    <w:rsid w:val="00C328CE"/>
    <w:rsid w:val="00C339D9"/>
    <w:rsid w:val="00C425F2"/>
    <w:rsid w:val="00C449B4"/>
    <w:rsid w:val="00C44C47"/>
    <w:rsid w:val="00C6068D"/>
    <w:rsid w:val="00C61E30"/>
    <w:rsid w:val="00C62326"/>
    <w:rsid w:val="00C6281D"/>
    <w:rsid w:val="00C80F25"/>
    <w:rsid w:val="00C837A5"/>
    <w:rsid w:val="00C87589"/>
    <w:rsid w:val="00C93F41"/>
    <w:rsid w:val="00C95F34"/>
    <w:rsid w:val="00C97E0E"/>
    <w:rsid w:val="00CA1D25"/>
    <w:rsid w:val="00CA4665"/>
    <w:rsid w:val="00CB1CFF"/>
    <w:rsid w:val="00CB511E"/>
    <w:rsid w:val="00CC4D14"/>
    <w:rsid w:val="00CC6DAA"/>
    <w:rsid w:val="00CD3C25"/>
    <w:rsid w:val="00CE162E"/>
    <w:rsid w:val="00CE267E"/>
    <w:rsid w:val="00CE26A2"/>
    <w:rsid w:val="00CE7727"/>
    <w:rsid w:val="00CF2014"/>
    <w:rsid w:val="00CF253A"/>
    <w:rsid w:val="00CF77F4"/>
    <w:rsid w:val="00D00776"/>
    <w:rsid w:val="00D029C0"/>
    <w:rsid w:val="00D02B48"/>
    <w:rsid w:val="00D03BDD"/>
    <w:rsid w:val="00D07C90"/>
    <w:rsid w:val="00D12DF2"/>
    <w:rsid w:val="00D23B40"/>
    <w:rsid w:val="00D2787D"/>
    <w:rsid w:val="00D3063C"/>
    <w:rsid w:val="00D327BC"/>
    <w:rsid w:val="00D335A7"/>
    <w:rsid w:val="00D356CA"/>
    <w:rsid w:val="00D35F46"/>
    <w:rsid w:val="00D421F8"/>
    <w:rsid w:val="00D45451"/>
    <w:rsid w:val="00D516FD"/>
    <w:rsid w:val="00D54CDB"/>
    <w:rsid w:val="00D65717"/>
    <w:rsid w:val="00D7703F"/>
    <w:rsid w:val="00D80710"/>
    <w:rsid w:val="00D829C8"/>
    <w:rsid w:val="00D84E32"/>
    <w:rsid w:val="00D90046"/>
    <w:rsid w:val="00D9167B"/>
    <w:rsid w:val="00D91943"/>
    <w:rsid w:val="00D93CF3"/>
    <w:rsid w:val="00D946E8"/>
    <w:rsid w:val="00DA22E3"/>
    <w:rsid w:val="00DA4582"/>
    <w:rsid w:val="00DA5D78"/>
    <w:rsid w:val="00DB0ADE"/>
    <w:rsid w:val="00DB1C8C"/>
    <w:rsid w:val="00DB278D"/>
    <w:rsid w:val="00DB555B"/>
    <w:rsid w:val="00DB6475"/>
    <w:rsid w:val="00DB7712"/>
    <w:rsid w:val="00DE1F4F"/>
    <w:rsid w:val="00DE232F"/>
    <w:rsid w:val="00DE3DDC"/>
    <w:rsid w:val="00DE659F"/>
    <w:rsid w:val="00DE6C6F"/>
    <w:rsid w:val="00DF3DCB"/>
    <w:rsid w:val="00DF3DF6"/>
    <w:rsid w:val="00E03328"/>
    <w:rsid w:val="00E12583"/>
    <w:rsid w:val="00E148F4"/>
    <w:rsid w:val="00E14D81"/>
    <w:rsid w:val="00E15857"/>
    <w:rsid w:val="00E17884"/>
    <w:rsid w:val="00E24F24"/>
    <w:rsid w:val="00E3206B"/>
    <w:rsid w:val="00E33B8C"/>
    <w:rsid w:val="00E37B51"/>
    <w:rsid w:val="00E37BD0"/>
    <w:rsid w:val="00E518CB"/>
    <w:rsid w:val="00E547E2"/>
    <w:rsid w:val="00E55646"/>
    <w:rsid w:val="00E577FA"/>
    <w:rsid w:val="00E711E8"/>
    <w:rsid w:val="00E7377E"/>
    <w:rsid w:val="00E7486E"/>
    <w:rsid w:val="00E76A1A"/>
    <w:rsid w:val="00E8017F"/>
    <w:rsid w:val="00E81A97"/>
    <w:rsid w:val="00E86C72"/>
    <w:rsid w:val="00E946C5"/>
    <w:rsid w:val="00E975D4"/>
    <w:rsid w:val="00EA53CF"/>
    <w:rsid w:val="00EB5DD4"/>
    <w:rsid w:val="00EC1535"/>
    <w:rsid w:val="00EC6921"/>
    <w:rsid w:val="00ED07ED"/>
    <w:rsid w:val="00ED65F4"/>
    <w:rsid w:val="00EE1495"/>
    <w:rsid w:val="00EE19B9"/>
    <w:rsid w:val="00EE21CD"/>
    <w:rsid w:val="00EE3EBD"/>
    <w:rsid w:val="00EF2488"/>
    <w:rsid w:val="00EF2F3A"/>
    <w:rsid w:val="00EF5059"/>
    <w:rsid w:val="00F0241C"/>
    <w:rsid w:val="00F04FB8"/>
    <w:rsid w:val="00F050B0"/>
    <w:rsid w:val="00F10418"/>
    <w:rsid w:val="00F123A3"/>
    <w:rsid w:val="00F13540"/>
    <w:rsid w:val="00F1712B"/>
    <w:rsid w:val="00F2752A"/>
    <w:rsid w:val="00F27640"/>
    <w:rsid w:val="00F35D70"/>
    <w:rsid w:val="00F43294"/>
    <w:rsid w:val="00F43773"/>
    <w:rsid w:val="00F50F32"/>
    <w:rsid w:val="00F53535"/>
    <w:rsid w:val="00F544A1"/>
    <w:rsid w:val="00F56B8C"/>
    <w:rsid w:val="00F73CC0"/>
    <w:rsid w:val="00F87C35"/>
    <w:rsid w:val="00F9126E"/>
    <w:rsid w:val="00FA7651"/>
    <w:rsid w:val="00FB0B59"/>
    <w:rsid w:val="00FB5E60"/>
    <w:rsid w:val="00FB633B"/>
    <w:rsid w:val="00FB712B"/>
    <w:rsid w:val="00FC19C0"/>
    <w:rsid w:val="00FC466F"/>
    <w:rsid w:val="00FC6ECA"/>
    <w:rsid w:val="00FD2754"/>
    <w:rsid w:val="00FD3B9C"/>
    <w:rsid w:val="00FD40E2"/>
    <w:rsid w:val="00FE530B"/>
    <w:rsid w:val="00FE6EEE"/>
    <w:rsid w:val="00FF3EE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3FF8"/>
  <w15:docId w15:val="{3C2CC20A-A4EB-419E-8278-17E33A45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C16"/>
  </w:style>
  <w:style w:type="paragraph" w:styleId="Heading1">
    <w:name w:val="heading 1"/>
    <w:basedOn w:val="Normal"/>
    <w:next w:val="Normal"/>
    <w:link w:val="Heading1Char"/>
    <w:uiPriority w:val="9"/>
    <w:qFormat/>
    <w:rsid w:val="006421F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74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0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1535"/>
    <w:rPr>
      <w:sz w:val="16"/>
      <w:szCs w:val="16"/>
    </w:rPr>
  </w:style>
  <w:style w:type="paragraph" w:styleId="CommentText">
    <w:name w:val="annotation text"/>
    <w:basedOn w:val="Normal"/>
    <w:link w:val="CommentTextChar"/>
    <w:uiPriority w:val="99"/>
    <w:semiHidden/>
    <w:unhideWhenUsed/>
    <w:rsid w:val="00EC1535"/>
    <w:pPr>
      <w:spacing w:line="240" w:lineRule="auto"/>
    </w:pPr>
    <w:rPr>
      <w:sz w:val="20"/>
      <w:szCs w:val="20"/>
    </w:rPr>
  </w:style>
  <w:style w:type="character" w:customStyle="1" w:styleId="CommentTextChar">
    <w:name w:val="Comment Text Char"/>
    <w:basedOn w:val="DefaultParagraphFont"/>
    <w:link w:val="CommentText"/>
    <w:uiPriority w:val="99"/>
    <w:semiHidden/>
    <w:rsid w:val="00EC1535"/>
    <w:rPr>
      <w:sz w:val="20"/>
      <w:szCs w:val="20"/>
    </w:rPr>
  </w:style>
  <w:style w:type="paragraph" w:styleId="CommentSubject">
    <w:name w:val="annotation subject"/>
    <w:basedOn w:val="CommentText"/>
    <w:next w:val="CommentText"/>
    <w:link w:val="CommentSubjectChar"/>
    <w:uiPriority w:val="99"/>
    <w:semiHidden/>
    <w:unhideWhenUsed/>
    <w:rsid w:val="00EC1535"/>
    <w:rPr>
      <w:b/>
      <w:bCs/>
    </w:rPr>
  </w:style>
  <w:style w:type="character" w:customStyle="1" w:styleId="CommentSubjectChar">
    <w:name w:val="Comment Subject Char"/>
    <w:basedOn w:val="CommentTextChar"/>
    <w:link w:val="CommentSubject"/>
    <w:uiPriority w:val="99"/>
    <w:semiHidden/>
    <w:rsid w:val="00EC1535"/>
    <w:rPr>
      <w:b/>
      <w:bCs/>
      <w:sz w:val="20"/>
      <w:szCs w:val="20"/>
    </w:rPr>
  </w:style>
  <w:style w:type="paragraph" w:styleId="BalloonText">
    <w:name w:val="Balloon Text"/>
    <w:basedOn w:val="Normal"/>
    <w:link w:val="BalloonTextChar"/>
    <w:uiPriority w:val="99"/>
    <w:semiHidden/>
    <w:unhideWhenUsed/>
    <w:rsid w:val="00EC1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535"/>
    <w:rPr>
      <w:rFonts w:ascii="Segoe UI" w:hAnsi="Segoe UI" w:cs="Segoe UI"/>
      <w:sz w:val="18"/>
      <w:szCs w:val="18"/>
    </w:rPr>
  </w:style>
  <w:style w:type="character" w:styleId="Hyperlink">
    <w:name w:val="Hyperlink"/>
    <w:basedOn w:val="DefaultParagraphFont"/>
    <w:uiPriority w:val="99"/>
    <w:unhideWhenUsed/>
    <w:rsid w:val="003A092B"/>
    <w:rPr>
      <w:color w:val="0000FF"/>
      <w:u w:val="single"/>
    </w:rPr>
  </w:style>
  <w:style w:type="character" w:customStyle="1" w:styleId="UnresolvedMention1">
    <w:name w:val="Unresolved Mention1"/>
    <w:basedOn w:val="DefaultParagraphFont"/>
    <w:uiPriority w:val="99"/>
    <w:semiHidden/>
    <w:unhideWhenUsed/>
    <w:rsid w:val="00FD3B9C"/>
    <w:rPr>
      <w:color w:val="605E5C"/>
      <w:shd w:val="clear" w:color="auto" w:fill="E1DFDD"/>
    </w:rPr>
  </w:style>
  <w:style w:type="paragraph" w:styleId="ListParagraph">
    <w:name w:val="List Paragraph"/>
    <w:basedOn w:val="Normal"/>
    <w:uiPriority w:val="34"/>
    <w:qFormat/>
    <w:rsid w:val="00CA1D25"/>
    <w:pPr>
      <w:ind w:left="720"/>
      <w:contextualSpacing/>
    </w:pPr>
  </w:style>
  <w:style w:type="character" w:customStyle="1" w:styleId="UnresolvedMention">
    <w:name w:val="Unresolved Mention"/>
    <w:basedOn w:val="DefaultParagraphFont"/>
    <w:uiPriority w:val="99"/>
    <w:semiHidden/>
    <w:unhideWhenUsed/>
    <w:rsid w:val="00853AA9"/>
    <w:rPr>
      <w:color w:val="605E5C"/>
      <w:shd w:val="clear" w:color="auto" w:fill="E1DFDD"/>
    </w:rPr>
  </w:style>
  <w:style w:type="paragraph" w:styleId="NormalWeb">
    <w:name w:val="Normal (Web)"/>
    <w:basedOn w:val="Normal"/>
    <w:uiPriority w:val="99"/>
    <w:semiHidden/>
    <w:unhideWhenUsed/>
    <w:rsid w:val="00CF20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6421FA"/>
    <w:rPr>
      <w:rFonts w:asciiTheme="majorHAnsi" w:eastAsiaTheme="majorEastAsia" w:hAnsiTheme="majorHAnsi" w:cstheme="majorBidi"/>
      <w:color w:val="2F5496" w:themeColor="accent1" w:themeShade="BF"/>
      <w:sz w:val="32"/>
      <w:szCs w:val="32"/>
      <w:lang w:eastAsia="en-AU"/>
    </w:rPr>
  </w:style>
  <w:style w:type="paragraph" w:styleId="Header">
    <w:name w:val="header"/>
    <w:basedOn w:val="Normal"/>
    <w:link w:val="HeaderChar"/>
    <w:uiPriority w:val="99"/>
    <w:unhideWhenUsed/>
    <w:rsid w:val="00006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5C1"/>
  </w:style>
  <w:style w:type="paragraph" w:styleId="Footer">
    <w:name w:val="footer"/>
    <w:basedOn w:val="Normal"/>
    <w:link w:val="FooterChar"/>
    <w:uiPriority w:val="99"/>
    <w:unhideWhenUsed/>
    <w:rsid w:val="00006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5C1"/>
  </w:style>
  <w:style w:type="paragraph" w:styleId="Revision">
    <w:name w:val="Revision"/>
    <w:hidden/>
    <w:uiPriority w:val="99"/>
    <w:semiHidden/>
    <w:rsid w:val="00F0241C"/>
    <w:pPr>
      <w:spacing w:after="0" w:line="240" w:lineRule="auto"/>
    </w:pPr>
  </w:style>
  <w:style w:type="character" w:styleId="Emphasis">
    <w:name w:val="Emphasis"/>
    <w:basedOn w:val="DefaultParagraphFont"/>
    <w:uiPriority w:val="20"/>
    <w:qFormat/>
    <w:rsid w:val="002241FB"/>
    <w:rPr>
      <w:i/>
      <w:iCs/>
    </w:rPr>
  </w:style>
  <w:style w:type="paragraph" w:customStyle="1" w:styleId="c-article-identifiersitem">
    <w:name w:val="c-article-identifiers__item"/>
    <w:basedOn w:val="Normal"/>
    <w:rsid w:val="00261E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article-identifiersopen">
    <w:name w:val="c-article-identifiers__open"/>
    <w:basedOn w:val="DefaultParagraphFont"/>
    <w:rsid w:val="0026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1454">
      <w:bodyDiv w:val="1"/>
      <w:marLeft w:val="0"/>
      <w:marRight w:val="0"/>
      <w:marTop w:val="0"/>
      <w:marBottom w:val="0"/>
      <w:divBdr>
        <w:top w:val="none" w:sz="0" w:space="0" w:color="auto"/>
        <w:left w:val="none" w:sz="0" w:space="0" w:color="auto"/>
        <w:bottom w:val="none" w:sz="0" w:space="0" w:color="auto"/>
        <w:right w:val="none" w:sz="0" w:space="0" w:color="auto"/>
      </w:divBdr>
    </w:div>
    <w:div w:id="369038322">
      <w:bodyDiv w:val="1"/>
      <w:marLeft w:val="0"/>
      <w:marRight w:val="0"/>
      <w:marTop w:val="0"/>
      <w:marBottom w:val="0"/>
      <w:divBdr>
        <w:top w:val="none" w:sz="0" w:space="0" w:color="auto"/>
        <w:left w:val="none" w:sz="0" w:space="0" w:color="auto"/>
        <w:bottom w:val="none" w:sz="0" w:space="0" w:color="auto"/>
        <w:right w:val="none" w:sz="0" w:space="0" w:color="auto"/>
      </w:divBdr>
      <w:divsChild>
        <w:div w:id="949315638">
          <w:marLeft w:val="547"/>
          <w:marRight w:val="0"/>
          <w:marTop w:val="200"/>
          <w:marBottom w:val="0"/>
          <w:divBdr>
            <w:top w:val="none" w:sz="0" w:space="0" w:color="auto"/>
            <w:left w:val="none" w:sz="0" w:space="0" w:color="auto"/>
            <w:bottom w:val="none" w:sz="0" w:space="0" w:color="auto"/>
            <w:right w:val="none" w:sz="0" w:space="0" w:color="auto"/>
          </w:divBdr>
        </w:div>
      </w:divsChild>
    </w:div>
    <w:div w:id="832570458">
      <w:bodyDiv w:val="1"/>
      <w:marLeft w:val="0"/>
      <w:marRight w:val="0"/>
      <w:marTop w:val="0"/>
      <w:marBottom w:val="0"/>
      <w:divBdr>
        <w:top w:val="none" w:sz="0" w:space="0" w:color="auto"/>
        <w:left w:val="none" w:sz="0" w:space="0" w:color="auto"/>
        <w:bottom w:val="none" w:sz="0" w:space="0" w:color="auto"/>
        <w:right w:val="none" w:sz="0" w:space="0" w:color="auto"/>
      </w:divBdr>
      <w:divsChild>
        <w:div w:id="552078163">
          <w:marLeft w:val="547"/>
          <w:marRight w:val="0"/>
          <w:marTop w:val="200"/>
          <w:marBottom w:val="0"/>
          <w:divBdr>
            <w:top w:val="none" w:sz="0" w:space="0" w:color="auto"/>
            <w:left w:val="none" w:sz="0" w:space="0" w:color="auto"/>
            <w:bottom w:val="none" w:sz="0" w:space="0" w:color="auto"/>
            <w:right w:val="none" w:sz="0" w:space="0" w:color="auto"/>
          </w:divBdr>
        </w:div>
        <w:div w:id="1792698959">
          <w:marLeft w:val="547"/>
          <w:marRight w:val="0"/>
          <w:marTop w:val="200"/>
          <w:marBottom w:val="0"/>
          <w:divBdr>
            <w:top w:val="none" w:sz="0" w:space="0" w:color="auto"/>
            <w:left w:val="none" w:sz="0" w:space="0" w:color="auto"/>
            <w:bottom w:val="none" w:sz="0" w:space="0" w:color="auto"/>
            <w:right w:val="none" w:sz="0" w:space="0" w:color="auto"/>
          </w:divBdr>
        </w:div>
        <w:div w:id="1120608934">
          <w:marLeft w:val="547"/>
          <w:marRight w:val="0"/>
          <w:marTop w:val="200"/>
          <w:marBottom w:val="0"/>
          <w:divBdr>
            <w:top w:val="none" w:sz="0" w:space="0" w:color="auto"/>
            <w:left w:val="none" w:sz="0" w:space="0" w:color="auto"/>
            <w:bottom w:val="none" w:sz="0" w:space="0" w:color="auto"/>
            <w:right w:val="none" w:sz="0" w:space="0" w:color="auto"/>
          </w:divBdr>
        </w:div>
        <w:div w:id="270666587">
          <w:marLeft w:val="547"/>
          <w:marRight w:val="0"/>
          <w:marTop w:val="200"/>
          <w:marBottom w:val="0"/>
          <w:divBdr>
            <w:top w:val="none" w:sz="0" w:space="0" w:color="auto"/>
            <w:left w:val="none" w:sz="0" w:space="0" w:color="auto"/>
            <w:bottom w:val="none" w:sz="0" w:space="0" w:color="auto"/>
            <w:right w:val="none" w:sz="0" w:space="0" w:color="auto"/>
          </w:divBdr>
        </w:div>
        <w:div w:id="1278836149">
          <w:marLeft w:val="547"/>
          <w:marRight w:val="0"/>
          <w:marTop w:val="200"/>
          <w:marBottom w:val="0"/>
          <w:divBdr>
            <w:top w:val="none" w:sz="0" w:space="0" w:color="auto"/>
            <w:left w:val="none" w:sz="0" w:space="0" w:color="auto"/>
            <w:bottom w:val="none" w:sz="0" w:space="0" w:color="auto"/>
            <w:right w:val="none" w:sz="0" w:space="0" w:color="auto"/>
          </w:divBdr>
        </w:div>
      </w:divsChild>
    </w:div>
    <w:div w:id="876549072">
      <w:bodyDiv w:val="1"/>
      <w:marLeft w:val="0"/>
      <w:marRight w:val="0"/>
      <w:marTop w:val="0"/>
      <w:marBottom w:val="0"/>
      <w:divBdr>
        <w:top w:val="none" w:sz="0" w:space="0" w:color="auto"/>
        <w:left w:val="none" w:sz="0" w:space="0" w:color="auto"/>
        <w:bottom w:val="none" w:sz="0" w:space="0" w:color="auto"/>
        <w:right w:val="none" w:sz="0" w:space="0" w:color="auto"/>
      </w:divBdr>
      <w:divsChild>
        <w:div w:id="849489931">
          <w:marLeft w:val="547"/>
          <w:marRight w:val="0"/>
          <w:marTop w:val="200"/>
          <w:marBottom w:val="0"/>
          <w:divBdr>
            <w:top w:val="none" w:sz="0" w:space="0" w:color="auto"/>
            <w:left w:val="none" w:sz="0" w:space="0" w:color="auto"/>
            <w:bottom w:val="none" w:sz="0" w:space="0" w:color="auto"/>
            <w:right w:val="none" w:sz="0" w:space="0" w:color="auto"/>
          </w:divBdr>
        </w:div>
      </w:divsChild>
    </w:div>
    <w:div w:id="1037123925">
      <w:bodyDiv w:val="1"/>
      <w:marLeft w:val="0"/>
      <w:marRight w:val="0"/>
      <w:marTop w:val="0"/>
      <w:marBottom w:val="0"/>
      <w:divBdr>
        <w:top w:val="none" w:sz="0" w:space="0" w:color="auto"/>
        <w:left w:val="none" w:sz="0" w:space="0" w:color="auto"/>
        <w:bottom w:val="none" w:sz="0" w:space="0" w:color="auto"/>
        <w:right w:val="none" w:sz="0" w:space="0" w:color="auto"/>
      </w:divBdr>
    </w:div>
    <w:div w:id="1365327993">
      <w:bodyDiv w:val="1"/>
      <w:marLeft w:val="0"/>
      <w:marRight w:val="0"/>
      <w:marTop w:val="0"/>
      <w:marBottom w:val="0"/>
      <w:divBdr>
        <w:top w:val="none" w:sz="0" w:space="0" w:color="auto"/>
        <w:left w:val="none" w:sz="0" w:space="0" w:color="auto"/>
        <w:bottom w:val="none" w:sz="0" w:space="0" w:color="auto"/>
        <w:right w:val="none" w:sz="0" w:space="0" w:color="auto"/>
      </w:divBdr>
      <w:divsChild>
        <w:div w:id="1902593778">
          <w:marLeft w:val="547"/>
          <w:marRight w:val="0"/>
          <w:marTop w:val="200"/>
          <w:marBottom w:val="0"/>
          <w:divBdr>
            <w:top w:val="none" w:sz="0" w:space="0" w:color="auto"/>
            <w:left w:val="none" w:sz="0" w:space="0" w:color="auto"/>
            <w:bottom w:val="none" w:sz="0" w:space="0" w:color="auto"/>
            <w:right w:val="none" w:sz="0" w:space="0" w:color="auto"/>
          </w:divBdr>
        </w:div>
      </w:divsChild>
    </w:div>
    <w:div w:id="1379671133">
      <w:bodyDiv w:val="1"/>
      <w:marLeft w:val="0"/>
      <w:marRight w:val="0"/>
      <w:marTop w:val="0"/>
      <w:marBottom w:val="0"/>
      <w:divBdr>
        <w:top w:val="none" w:sz="0" w:space="0" w:color="auto"/>
        <w:left w:val="none" w:sz="0" w:space="0" w:color="auto"/>
        <w:bottom w:val="none" w:sz="0" w:space="0" w:color="auto"/>
        <w:right w:val="none" w:sz="0" w:space="0" w:color="auto"/>
      </w:divBdr>
    </w:div>
    <w:div w:id="1475099614">
      <w:bodyDiv w:val="1"/>
      <w:marLeft w:val="0"/>
      <w:marRight w:val="0"/>
      <w:marTop w:val="0"/>
      <w:marBottom w:val="0"/>
      <w:divBdr>
        <w:top w:val="none" w:sz="0" w:space="0" w:color="auto"/>
        <w:left w:val="none" w:sz="0" w:space="0" w:color="auto"/>
        <w:bottom w:val="none" w:sz="0" w:space="0" w:color="auto"/>
        <w:right w:val="none" w:sz="0" w:space="0" w:color="auto"/>
      </w:divBdr>
    </w:div>
    <w:div w:id="1820001598">
      <w:bodyDiv w:val="1"/>
      <w:marLeft w:val="0"/>
      <w:marRight w:val="0"/>
      <w:marTop w:val="0"/>
      <w:marBottom w:val="0"/>
      <w:divBdr>
        <w:top w:val="none" w:sz="0" w:space="0" w:color="auto"/>
        <w:left w:val="none" w:sz="0" w:space="0" w:color="auto"/>
        <w:bottom w:val="none" w:sz="0" w:space="0" w:color="auto"/>
        <w:right w:val="none" w:sz="0" w:space="0" w:color="auto"/>
      </w:divBdr>
      <w:divsChild>
        <w:div w:id="410539580">
          <w:marLeft w:val="547"/>
          <w:marRight w:val="0"/>
          <w:marTop w:val="200"/>
          <w:marBottom w:val="0"/>
          <w:divBdr>
            <w:top w:val="none" w:sz="0" w:space="0" w:color="auto"/>
            <w:left w:val="none" w:sz="0" w:space="0" w:color="auto"/>
            <w:bottom w:val="none" w:sz="0" w:space="0" w:color="auto"/>
            <w:right w:val="none" w:sz="0" w:space="0" w:color="auto"/>
          </w:divBdr>
        </w:div>
      </w:divsChild>
    </w:div>
    <w:div w:id="1912421228">
      <w:bodyDiv w:val="1"/>
      <w:marLeft w:val="0"/>
      <w:marRight w:val="0"/>
      <w:marTop w:val="0"/>
      <w:marBottom w:val="0"/>
      <w:divBdr>
        <w:top w:val="none" w:sz="0" w:space="0" w:color="auto"/>
        <w:left w:val="none" w:sz="0" w:space="0" w:color="auto"/>
        <w:bottom w:val="none" w:sz="0" w:space="0" w:color="auto"/>
        <w:right w:val="none" w:sz="0" w:space="0" w:color="auto"/>
      </w:divBdr>
      <w:divsChild>
        <w:div w:id="23213749">
          <w:marLeft w:val="547"/>
          <w:marRight w:val="0"/>
          <w:marTop w:val="200"/>
          <w:marBottom w:val="0"/>
          <w:divBdr>
            <w:top w:val="none" w:sz="0" w:space="0" w:color="auto"/>
            <w:left w:val="none" w:sz="0" w:space="0" w:color="auto"/>
            <w:bottom w:val="none" w:sz="0" w:space="0" w:color="auto"/>
            <w:right w:val="none" w:sz="0" w:space="0" w:color="auto"/>
          </w:divBdr>
        </w:div>
        <w:div w:id="61938189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ature.com/articles/s41598-019-39622-3" TargetMode="External"/><Relationship Id="rId26" Type="http://schemas.openxmlformats.org/officeDocument/2006/relationships/hyperlink" Target="https://www.ranzcp.org/files/resources/college_statements/practice_guidelines/ppg-4-off-label-prescribing-in-psychiatry.aspx" TargetMode="External"/><Relationship Id="rId3" Type="http://schemas.openxmlformats.org/officeDocument/2006/relationships/customXml" Target="../customXml/item3.xml"/><Relationship Id="rId21" Type="http://schemas.openxmlformats.org/officeDocument/2006/relationships/hyperlink" Target="http://www.bipolaraustralia.org.au/wp-content/uploads/2018/03/Cost-Savings-in-Bipolar-Disorder.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medstopper.com/" TargetMode="External"/><Relationship Id="rId25" Type="http://schemas.openxmlformats.org/officeDocument/2006/relationships/hyperlink" Target="https://www.ncbi.nlm.nih.gov/pubmed/30173302" TargetMode="External"/><Relationship Id="rId2" Type="http://schemas.openxmlformats.org/officeDocument/2006/relationships/customXml" Target="../customXml/item2.xml"/><Relationship Id="rId16" Type="http://schemas.openxmlformats.org/officeDocument/2006/relationships/hyperlink" Target="https://www.ismp-canada.org/download/safetyBulletins/2018/ISMPCSB2018-03-Deprescribing.pdf" TargetMode="External"/><Relationship Id="rId20" Type="http://schemas.openxmlformats.org/officeDocument/2006/relationships/hyperlink" Target="file:///C:/Users/User/Downloads/Medical-Board---Registration-standard---Continuing-professional-development---1-October-2016.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ncbi.nlm.nih.gov/pubmed/?term=Rahikainen%20AL%5BAuthor%5D&amp;cauthor=true&amp;cauthor_uid=3017330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prescribing.org/" TargetMode="External"/><Relationship Id="rId23" Type="http://schemas.openxmlformats.org/officeDocument/2006/relationships/hyperlink" Target="https://www.ohchr.org/EN/NewsEvents/Pages/DisplayNews.aspx?NewsID=21480&amp;LangID=E" TargetMode="External"/><Relationship Id="rId28" Type="http://schemas.openxmlformats.org/officeDocument/2006/relationships/hyperlink" Target="https://www.ncbi.nlm.nih.gov/pubmed/17617467" TargetMode="Externa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swtag.org.au/wp-content/uploads/2018/06/1.3-Deprescribing-Guide-for-Selective-Serotonin-Reuptake-Inhibitors-SSRIs-and-Serotonin-Noradrenaline-Reuptake-Inhibitors-SNRIs.pdf" TargetMode="External"/><Relationship Id="rId22" Type="http://schemas.openxmlformats.org/officeDocument/2006/relationships/hyperlink" Target="http://foodandmoodcentre.com.au/" TargetMode="External"/><Relationship Id="rId27" Type="http://schemas.openxmlformats.org/officeDocument/2006/relationships/hyperlink" Target="https://www.ncbi.nlm.nih.gov/pubmed/2036191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PCDOC-1378080517-1478</_dlc_DocId>
    <_dlc_DocIdUrl xmlns="3f4bcce7-ac1a-4c9d-aa3e-7e77695652db">
      <Url>http://inet.pc.gov.au/pmo/inq/mentalhealth/_layouts/15/DocIdRedir.aspx?ID=PCDOC-1378080517-1478</Url>
      <Description>PCDOC-1378080517-1478</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42C-1ACD-45D4-9D8E-F5C64A85011F}">
  <ds:schemaRefs>
    <ds:schemaRef ds:uri="Microsoft.SharePoint.Taxonomy.ContentTypeSync"/>
  </ds:schemaRefs>
</ds:datastoreItem>
</file>

<file path=customXml/itemProps2.xml><?xml version="1.0" encoding="utf-8"?>
<ds:datastoreItem xmlns:ds="http://schemas.openxmlformats.org/officeDocument/2006/customXml" ds:itemID="{A4B23642-A137-41C4-9410-F1FBCE9E07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96170EAE-9293-4C3B-810D-EC9499F10EE0}">
  <ds:schemaRefs>
    <ds:schemaRef ds:uri="http://schemas.microsoft.com/office/2006/metadata/customXsn"/>
  </ds:schemaRefs>
</ds:datastoreItem>
</file>

<file path=customXml/itemProps4.xml><?xml version="1.0" encoding="utf-8"?>
<ds:datastoreItem xmlns:ds="http://schemas.openxmlformats.org/officeDocument/2006/customXml" ds:itemID="{946BFAFD-9CD4-485D-81B8-7CDA94CDAF2E}">
  <ds:schemaRefs>
    <ds:schemaRef ds:uri="http://schemas.microsoft.com/sharepoint/v3/contenttype/forms"/>
  </ds:schemaRefs>
</ds:datastoreItem>
</file>

<file path=customXml/itemProps5.xml><?xml version="1.0" encoding="utf-8"?>
<ds:datastoreItem xmlns:ds="http://schemas.openxmlformats.org/officeDocument/2006/customXml" ds:itemID="{4270090E-5A84-4D1F-AFD9-5F13A26F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A53B4A-865A-45A3-BBA8-26C158D8FB12}">
  <ds:schemaRefs>
    <ds:schemaRef ds:uri="http://schemas.microsoft.com/sharepoint/events"/>
  </ds:schemaRefs>
</ds:datastoreItem>
</file>

<file path=customXml/itemProps7.xml><?xml version="1.0" encoding="utf-8"?>
<ds:datastoreItem xmlns:ds="http://schemas.openxmlformats.org/officeDocument/2006/customXml" ds:itemID="{F3E684C9-2A7A-49D4-B363-A93FFA1B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6480</TotalTime>
  <Pages>13</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Submission 1183 - Christine Newton - Mental Health - Public inquiry</vt:lpstr>
    </vt:vector>
  </TitlesOfParts>
  <Company/>
  <LinksUpToDate>false</LinksUpToDate>
  <CharactersWithSpaces>41158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1183 - Christine Newton - Mental Health - Public inquiry</dc:title>
  <dc:creator>Christine Newton</dc:creator>
  <cp:keywords/>
  <cp:lastModifiedBy>Pimperl, Mark</cp:lastModifiedBy>
  <cp:revision>163</cp:revision>
  <dcterms:created xsi:type="dcterms:W3CDTF">2020-02-01T03:09:00Z</dcterms:created>
  <dcterms:modified xsi:type="dcterms:W3CDTF">2020-02-19T22:42:00Z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0871de37-c338-4636-8982-75495d08dce8</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