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B55AF" w14:textId="56A1DD77" w:rsidR="00750992" w:rsidRDefault="00C40846">
      <w:r>
        <w:rPr>
          <w:noProof/>
          <w:lang w:eastAsia="en-AU"/>
        </w:rPr>
        <w:drawing>
          <wp:anchor distT="0" distB="0" distL="114300" distR="114300" simplePos="0" relativeHeight="251661312" behindDoc="0" locked="0" layoutInCell="1" allowOverlap="1" wp14:anchorId="7B25CC8E" wp14:editId="55ABF009">
            <wp:simplePos x="0" y="0"/>
            <wp:positionH relativeFrom="column">
              <wp:posOffset>-261938</wp:posOffset>
            </wp:positionH>
            <wp:positionV relativeFrom="paragraph">
              <wp:posOffset>-57150</wp:posOffset>
            </wp:positionV>
            <wp:extent cx="2909888" cy="686532"/>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logo.png"/>
                    <pic:cNvPicPr/>
                  </pic:nvPicPr>
                  <pic:blipFill>
                    <a:blip r:embed="rId8">
                      <a:extLst>
                        <a:ext uri="{28A0092B-C50C-407E-A947-70E740481C1C}">
                          <a14:useLocalDpi xmlns:a14="http://schemas.microsoft.com/office/drawing/2010/main" val="0"/>
                        </a:ext>
                      </a:extLst>
                    </a:blip>
                    <a:stretch>
                      <a:fillRect/>
                    </a:stretch>
                  </pic:blipFill>
                  <pic:spPr>
                    <a:xfrm>
                      <a:off x="0" y="0"/>
                      <a:ext cx="2909888" cy="686532"/>
                    </a:xfrm>
                    <a:prstGeom prst="rect">
                      <a:avLst/>
                    </a:prstGeom>
                  </pic:spPr>
                </pic:pic>
              </a:graphicData>
            </a:graphic>
            <wp14:sizeRelH relativeFrom="margin">
              <wp14:pctWidth>0</wp14:pctWidth>
            </wp14:sizeRelH>
            <wp14:sizeRelV relativeFrom="margin">
              <wp14:pctHeight>0</wp14:pctHeight>
            </wp14:sizeRelV>
          </wp:anchor>
        </w:drawing>
      </w:r>
    </w:p>
    <w:p w14:paraId="01E75208" w14:textId="6917F1BD" w:rsidR="00750992" w:rsidRDefault="00750992"/>
    <w:p w14:paraId="752D3D7C" w14:textId="77777777" w:rsidR="00750992" w:rsidRDefault="00750992"/>
    <w:p w14:paraId="30AC3264" w14:textId="1A8BAF11" w:rsidR="00750992" w:rsidRPr="005A612D" w:rsidRDefault="00750992" w:rsidP="00EB1441">
      <w:pPr>
        <w:spacing w:after="0" w:line="360" w:lineRule="auto"/>
      </w:pPr>
      <w:r w:rsidRPr="005A612D">
        <w:t>3 August 2020</w:t>
      </w:r>
    </w:p>
    <w:p w14:paraId="754365B2" w14:textId="77777777" w:rsidR="00EB1441" w:rsidRPr="005A612D" w:rsidRDefault="00EB1441" w:rsidP="00EB1441">
      <w:pPr>
        <w:spacing w:after="0" w:line="360" w:lineRule="auto"/>
      </w:pPr>
    </w:p>
    <w:p w14:paraId="176F52E3" w14:textId="4ED5A5B8" w:rsidR="00B94EB4" w:rsidRPr="005A612D" w:rsidRDefault="00750992" w:rsidP="00EB1441">
      <w:pPr>
        <w:spacing w:after="0" w:line="360" w:lineRule="auto"/>
      </w:pPr>
      <w:r w:rsidRPr="005A612D">
        <w:t xml:space="preserve">To: Mr </w:t>
      </w:r>
      <w:proofErr w:type="spellStart"/>
      <w:r w:rsidRPr="005A612D">
        <w:t>Romlie</w:t>
      </w:r>
      <w:proofErr w:type="spellEnd"/>
      <w:r w:rsidRPr="005A612D">
        <w:t xml:space="preserve"> </w:t>
      </w:r>
      <w:proofErr w:type="spellStart"/>
      <w:r w:rsidRPr="005A612D">
        <w:t>Mokak</w:t>
      </w:r>
      <w:proofErr w:type="spellEnd"/>
      <w:r w:rsidRPr="005A612D">
        <w:t>, Commissioner</w:t>
      </w:r>
    </w:p>
    <w:p w14:paraId="2438364E" w14:textId="77777777" w:rsidR="00257686" w:rsidRPr="005A612D" w:rsidRDefault="00257686" w:rsidP="00EB1441">
      <w:pPr>
        <w:spacing w:after="0" w:line="360" w:lineRule="auto"/>
      </w:pPr>
    </w:p>
    <w:p w14:paraId="10D0F30C" w14:textId="6F9CC523" w:rsidR="00EB1441" w:rsidRPr="005A612D" w:rsidRDefault="00937088" w:rsidP="00EB1441">
      <w:pPr>
        <w:spacing w:after="0" w:line="360" w:lineRule="auto"/>
        <w:rPr>
          <w:rStyle w:val="eop"/>
          <w:rFonts w:cstheme="minorHAnsi"/>
        </w:rPr>
      </w:pPr>
      <w:r w:rsidRPr="005A612D">
        <w:rPr>
          <w:rFonts w:cstheme="minorHAnsi"/>
        </w:rPr>
        <w:t>Thank you for the opportunity to comment on the draft Indigenous Evaluation Strategy and its companion documents</w:t>
      </w:r>
      <w:r w:rsidR="00267FAC" w:rsidRPr="005A612D">
        <w:rPr>
          <w:rFonts w:cstheme="minorHAnsi"/>
        </w:rPr>
        <w:t xml:space="preserve"> (Guide and Background Paper)</w:t>
      </w:r>
      <w:r w:rsidRPr="005A612D">
        <w:t xml:space="preserve">. </w:t>
      </w:r>
      <w:r w:rsidR="007D521F" w:rsidRPr="005A612D">
        <w:rPr>
          <w:rFonts w:cstheme="minorHAnsi"/>
        </w:rPr>
        <w:t>O</w:t>
      </w:r>
      <w:r w:rsidR="007D521F" w:rsidRPr="005A612D">
        <w:rPr>
          <w:rStyle w:val="normaltextrun"/>
          <w:rFonts w:cstheme="minorHAnsi"/>
        </w:rPr>
        <w:t xml:space="preserve">verall, we commend the new Strategy for its clear focus on key principles. Placing the </w:t>
      </w:r>
      <w:r w:rsidR="00EB1441" w:rsidRPr="005A612D">
        <w:rPr>
          <w:rStyle w:val="normaltextrun"/>
          <w:rFonts w:cstheme="minorHAnsi"/>
        </w:rPr>
        <w:t xml:space="preserve">needs, perspectives, priorities and knowledges </w:t>
      </w:r>
      <w:r w:rsidR="007D521F" w:rsidRPr="005A612D">
        <w:rPr>
          <w:rStyle w:val="normaltextrun"/>
          <w:rFonts w:cstheme="minorHAnsi"/>
        </w:rPr>
        <w:t>of Aboriginal and Torres Strait Islander People at the centre of the Strategy is critically important for evaluation to play a constructive role in improving outcomes for Aboriginal and Torres Strait Islander People. The other principles are also important – in particular, the clear message that evaluations need to be useful, credible, ethical and transparent.</w:t>
      </w:r>
      <w:r w:rsidR="007D521F" w:rsidRPr="005A612D">
        <w:rPr>
          <w:rStyle w:val="eop"/>
          <w:rFonts w:cstheme="minorHAnsi"/>
        </w:rPr>
        <w:t> </w:t>
      </w:r>
    </w:p>
    <w:p w14:paraId="5E950550" w14:textId="77777777" w:rsidR="00EB1441" w:rsidRPr="005A612D" w:rsidRDefault="00EB1441" w:rsidP="00EB1441">
      <w:pPr>
        <w:spacing w:after="0" w:line="360" w:lineRule="auto"/>
        <w:rPr>
          <w:rStyle w:val="eop"/>
          <w:rFonts w:cstheme="minorHAnsi"/>
        </w:rPr>
      </w:pPr>
    </w:p>
    <w:p w14:paraId="4494C2B2" w14:textId="712CEF8B" w:rsidR="001B5C2F" w:rsidRPr="005A612D" w:rsidRDefault="00EB1441" w:rsidP="001B5C2F">
      <w:pPr>
        <w:spacing w:after="0" w:line="360" w:lineRule="auto"/>
        <w:rPr>
          <w:rStyle w:val="normaltextrun"/>
          <w:rFonts w:cstheme="minorHAnsi"/>
        </w:rPr>
      </w:pPr>
      <w:r w:rsidRPr="005A612D">
        <w:rPr>
          <w:rFonts w:cstheme="minorHAnsi"/>
        </w:rPr>
        <w:t xml:space="preserve">BetterEvaluation is </w:t>
      </w:r>
      <w:r w:rsidR="00E20DE0" w:rsidRPr="005A612D">
        <w:rPr>
          <w:rFonts w:cstheme="minorHAnsi"/>
        </w:rPr>
        <w:t xml:space="preserve">a </w:t>
      </w:r>
      <w:r w:rsidRPr="005A612D">
        <w:rPr>
          <w:rFonts w:cstheme="minorHAnsi"/>
          <w:color w:val="333B3E"/>
        </w:rPr>
        <w:t xml:space="preserve">not-for-profit organisation and registered charity that operates globally. Our mission is to work collaboratively with our global community to create, share and support use of knowledge about how to better plan, manage, conduct and use evaluation. </w:t>
      </w:r>
      <w:r w:rsidR="00E61461" w:rsidRPr="005A612D">
        <w:rPr>
          <w:rFonts w:cstheme="minorHAnsi"/>
          <w:color w:val="333B3E"/>
        </w:rPr>
        <w:t xml:space="preserve">Our work is guided by </w:t>
      </w:r>
      <w:r w:rsidR="001B5C2F" w:rsidRPr="005A612D">
        <w:rPr>
          <w:rFonts w:cstheme="minorHAnsi"/>
          <w:color w:val="333B3E"/>
        </w:rPr>
        <w:t>principles [</w:t>
      </w:r>
      <w:hyperlink r:id="rId9" w:history="1">
        <w:r w:rsidR="001B5C2F" w:rsidRPr="005A612D">
          <w:rPr>
            <w:rStyle w:val="Hyperlink"/>
            <w:rFonts w:cstheme="minorHAnsi"/>
          </w:rPr>
          <w:t>https://www.betterevaluation.org/en/principles</w:t>
        </w:r>
      </w:hyperlink>
      <w:r w:rsidR="001B5C2F" w:rsidRPr="005A612D">
        <w:rPr>
          <w:rFonts w:cstheme="minorHAnsi"/>
          <w:color w:val="333B3E"/>
        </w:rPr>
        <w:t xml:space="preserve">] and we have a </w:t>
      </w:r>
      <w:r w:rsidR="007D521F" w:rsidRPr="005A612D">
        <w:rPr>
          <w:rStyle w:val="normaltextrun"/>
          <w:rFonts w:cstheme="minorHAnsi"/>
        </w:rPr>
        <w:t xml:space="preserve">particular interest in supporting efforts to improve the evaluation </w:t>
      </w:r>
      <w:r w:rsidR="001B5C2F" w:rsidRPr="005A612D">
        <w:rPr>
          <w:rStyle w:val="normaltextrun"/>
          <w:rFonts w:cstheme="minorHAnsi"/>
        </w:rPr>
        <w:t xml:space="preserve">involving </w:t>
      </w:r>
      <w:r w:rsidR="007D521F" w:rsidRPr="005A612D">
        <w:rPr>
          <w:rStyle w:val="normaltextrun"/>
          <w:rFonts w:cstheme="minorHAnsi"/>
        </w:rPr>
        <w:t>Aboriginal and Torres Strait Island</w:t>
      </w:r>
      <w:r w:rsidR="001B5C2F" w:rsidRPr="005A612D">
        <w:rPr>
          <w:rStyle w:val="normaltextrun"/>
          <w:rFonts w:cstheme="minorHAnsi"/>
        </w:rPr>
        <w:t xml:space="preserve">er People </w:t>
      </w:r>
      <w:r w:rsidR="00267FAC" w:rsidRPr="005A612D">
        <w:rPr>
          <w:rStyle w:val="normaltextrun"/>
          <w:rFonts w:cstheme="minorHAnsi"/>
        </w:rPr>
        <w:t xml:space="preserve">such as </w:t>
      </w:r>
      <w:r w:rsidR="001B5C2F" w:rsidRPr="005A612D">
        <w:rPr>
          <w:rStyle w:val="normaltextrun"/>
          <w:rFonts w:cstheme="minorHAnsi"/>
        </w:rPr>
        <w:t>through our project focusing on identifying and sharing good practice in this context [</w:t>
      </w:r>
      <w:hyperlink r:id="rId10" w:history="1">
        <w:r w:rsidR="001B5C2F" w:rsidRPr="005A612D">
          <w:rPr>
            <w:rStyle w:val="Hyperlink"/>
            <w:rFonts w:cstheme="minorHAnsi"/>
          </w:rPr>
          <w:t>https://www.betterevaluation.org/en/themes/evaluation-practice-aboriginal-and-torres-strait-islander-settings</w:t>
        </w:r>
      </w:hyperlink>
      <w:r w:rsidR="001B5C2F" w:rsidRPr="005A612D">
        <w:rPr>
          <w:rStyle w:val="normaltextrun"/>
          <w:rFonts w:cstheme="minorHAnsi"/>
        </w:rPr>
        <w:t>].</w:t>
      </w:r>
    </w:p>
    <w:p w14:paraId="623ADAB2" w14:textId="77777777" w:rsidR="001B5C2F" w:rsidRPr="005A612D" w:rsidRDefault="001B5C2F" w:rsidP="001B5C2F">
      <w:pPr>
        <w:spacing w:after="0" w:line="360" w:lineRule="auto"/>
        <w:rPr>
          <w:rFonts w:cstheme="minorHAnsi"/>
        </w:rPr>
      </w:pPr>
    </w:p>
    <w:p w14:paraId="17ACC201" w14:textId="3C3D1E72" w:rsidR="007D521F" w:rsidRDefault="007D521F" w:rsidP="00EB1441">
      <w:pPr>
        <w:pStyle w:val="paragraph"/>
        <w:spacing w:before="0" w:beforeAutospacing="0" w:after="0" w:afterAutospacing="0" w:line="360" w:lineRule="auto"/>
        <w:textAlignment w:val="baseline"/>
        <w:rPr>
          <w:rStyle w:val="eop"/>
          <w:rFonts w:asciiTheme="minorHAnsi" w:hAnsiTheme="minorHAnsi" w:cstheme="minorHAnsi"/>
          <w:sz w:val="22"/>
          <w:szCs w:val="22"/>
        </w:rPr>
      </w:pPr>
      <w:r w:rsidRPr="005A612D">
        <w:rPr>
          <w:rStyle w:val="normaltextrun"/>
          <w:rFonts w:ascii="Calibri" w:hAnsi="Calibri" w:cs="Calibri"/>
          <w:sz w:val="22"/>
          <w:szCs w:val="22"/>
        </w:rPr>
        <w:t xml:space="preserve">Our comments and suggestions for revisions </w:t>
      </w:r>
      <w:r w:rsidR="00937088" w:rsidRPr="005A612D">
        <w:rPr>
          <w:rStyle w:val="normaltextrun"/>
          <w:rFonts w:ascii="Calibri" w:hAnsi="Calibri" w:cs="Calibri"/>
          <w:sz w:val="22"/>
          <w:szCs w:val="22"/>
        </w:rPr>
        <w:t>to the</w:t>
      </w:r>
      <w:r w:rsidRPr="005A612D">
        <w:rPr>
          <w:rStyle w:val="normaltextrun"/>
          <w:rFonts w:ascii="Calibri" w:hAnsi="Calibri" w:cs="Calibri"/>
          <w:sz w:val="22"/>
          <w:szCs w:val="22"/>
        </w:rPr>
        <w:t xml:space="preserve"> </w:t>
      </w:r>
      <w:r w:rsidR="00937088" w:rsidRPr="005A612D">
        <w:rPr>
          <w:rStyle w:val="normaltextrun"/>
          <w:rFonts w:ascii="Calibri" w:hAnsi="Calibri" w:cs="Calibri"/>
          <w:sz w:val="22"/>
          <w:szCs w:val="22"/>
        </w:rPr>
        <w:t>S</w:t>
      </w:r>
      <w:r w:rsidRPr="005A612D">
        <w:rPr>
          <w:rStyle w:val="normaltextrun"/>
          <w:rFonts w:ascii="Calibri" w:hAnsi="Calibri" w:cs="Calibri"/>
          <w:sz w:val="22"/>
          <w:szCs w:val="22"/>
        </w:rPr>
        <w:t xml:space="preserve">trategy </w:t>
      </w:r>
      <w:r w:rsidR="00937088" w:rsidRPr="005A612D">
        <w:rPr>
          <w:rStyle w:val="normaltextrun"/>
          <w:rFonts w:ascii="Calibri" w:hAnsi="Calibri" w:cs="Calibri"/>
          <w:sz w:val="22"/>
          <w:szCs w:val="22"/>
        </w:rPr>
        <w:t xml:space="preserve">and its companion documents </w:t>
      </w:r>
      <w:r w:rsidRPr="005A612D">
        <w:rPr>
          <w:rStyle w:val="normaltextrun"/>
          <w:rFonts w:ascii="Calibri" w:hAnsi="Calibri" w:cs="Calibri"/>
          <w:sz w:val="22"/>
          <w:szCs w:val="22"/>
        </w:rPr>
        <w:t>relate to areas where we believe the</w:t>
      </w:r>
      <w:r w:rsidR="00937088" w:rsidRPr="005A612D">
        <w:rPr>
          <w:rStyle w:val="normaltextrun"/>
          <w:rFonts w:ascii="Calibri" w:hAnsi="Calibri" w:cs="Calibri"/>
          <w:sz w:val="22"/>
          <w:szCs w:val="22"/>
        </w:rPr>
        <w:t>y are</w:t>
      </w:r>
      <w:r w:rsidRPr="005A612D">
        <w:rPr>
          <w:rStyle w:val="normaltextrun"/>
          <w:rFonts w:ascii="Calibri" w:hAnsi="Calibri" w:cs="Calibri"/>
          <w:sz w:val="22"/>
          <w:szCs w:val="22"/>
        </w:rPr>
        <w:t xml:space="preserve"> not consistent with the</w:t>
      </w:r>
      <w:r w:rsidR="00937088" w:rsidRPr="005A612D">
        <w:rPr>
          <w:rStyle w:val="normaltextrun"/>
          <w:rFonts w:ascii="Calibri" w:hAnsi="Calibri" w:cs="Calibri"/>
          <w:sz w:val="22"/>
          <w:szCs w:val="22"/>
        </w:rPr>
        <w:t xml:space="preserve"> </w:t>
      </w:r>
      <w:r w:rsidR="001B5C2F" w:rsidRPr="005A612D">
        <w:rPr>
          <w:rStyle w:val="normaltextrun"/>
          <w:rFonts w:ascii="Calibri" w:hAnsi="Calibri" w:cs="Calibri"/>
          <w:sz w:val="22"/>
          <w:szCs w:val="22"/>
        </w:rPr>
        <w:t xml:space="preserve">guiding </w:t>
      </w:r>
      <w:r w:rsidRPr="005A612D">
        <w:rPr>
          <w:rStyle w:val="normaltextrun"/>
          <w:rFonts w:ascii="Calibri" w:hAnsi="Calibri" w:cs="Calibri"/>
          <w:sz w:val="22"/>
          <w:szCs w:val="22"/>
        </w:rPr>
        <w:t>principles or not sufficiently clear about how to enact the</w:t>
      </w:r>
      <w:r w:rsidR="00937088" w:rsidRPr="005A612D">
        <w:rPr>
          <w:rStyle w:val="normaltextrun"/>
          <w:rFonts w:ascii="Calibri" w:hAnsi="Calibri" w:cs="Calibri"/>
          <w:sz w:val="22"/>
          <w:szCs w:val="22"/>
        </w:rPr>
        <w:t>m</w:t>
      </w:r>
      <w:r w:rsidRPr="005A612D">
        <w:rPr>
          <w:rStyle w:val="normaltextrun"/>
          <w:rFonts w:ascii="Calibri" w:hAnsi="Calibri" w:cs="Calibri"/>
          <w:sz w:val="22"/>
          <w:szCs w:val="22"/>
        </w:rPr>
        <w:t>.</w:t>
      </w:r>
      <w:r w:rsidR="00937088" w:rsidRPr="005A612D">
        <w:rPr>
          <w:rStyle w:val="normaltextrun"/>
          <w:rFonts w:ascii="Calibri" w:hAnsi="Calibri" w:cs="Calibri"/>
          <w:sz w:val="22"/>
          <w:szCs w:val="22"/>
        </w:rPr>
        <w:t xml:space="preserve"> </w:t>
      </w:r>
      <w:r w:rsidRPr="005A612D">
        <w:rPr>
          <w:rStyle w:val="normaltextrun"/>
          <w:rFonts w:ascii="Calibri" w:hAnsi="Calibri" w:cs="Calibri"/>
          <w:sz w:val="22"/>
          <w:szCs w:val="22"/>
        </w:rPr>
        <w:t xml:space="preserve">These </w:t>
      </w:r>
      <w:r w:rsidRPr="005A612D">
        <w:rPr>
          <w:rStyle w:val="normaltextrun"/>
          <w:rFonts w:asciiTheme="minorHAnsi" w:hAnsiTheme="minorHAnsi" w:cstheme="minorHAnsi"/>
          <w:sz w:val="22"/>
          <w:szCs w:val="22"/>
        </w:rPr>
        <w:t>concerns relate to three main areas:</w:t>
      </w:r>
      <w:r w:rsidRPr="005A612D">
        <w:rPr>
          <w:rStyle w:val="eop"/>
          <w:rFonts w:asciiTheme="minorHAnsi" w:hAnsiTheme="minorHAnsi" w:cstheme="minorHAnsi"/>
          <w:sz w:val="22"/>
          <w:szCs w:val="22"/>
        </w:rPr>
        <w:t> </w:t>
      </w:r>
    </w:p>
    <w:p w14:paraId="0FC5E00C" w14:textId="77777777" w:rsidR="007F047E" w:rsidRPr="005A612D" w:rsidRDefault="007F047E" w:rsidP="00EB1441">
      <w:pPr>
        <w:pStyle w:val="paragraph"/>
        <w:spacing w:before="0" w:beforeAutospacing="0" w:after="0" w:afterAutospacing="0" w:line="360" w:lineRule="auto"/>
        <w:textAlignment w:val="baseline"/>
        <w:rPr>
          <w:rFonts w:asciiTheme="minorHAnsi" w:hAnsiTheme="minorHAnsi" w:cstheme="minorHAnsi"/>
          <w:sz w:val="22"/>
          <w:szCs w:val="22"/>
        </w:rPr>
      </w:pPr>
    </w:p>
    <w:p w14:paraId="599B5962" w14:textId="483A11C7" w:rsidR="007D521F" w:rsidRPr="00423506" w:rsidRDefault="007D521F" w:rsidP="00422FFB">
      <w:pPr>
        <w:pStyle w:val="paragraph"/>
        <w:numPr>
          <w:ilvl w:val="0"/>
          <w:numId w:val="5"/>
        </w:numPr>
        <w:tabs>
          <w:tab w:val="clear" w:pos="720"/>
          <w:tab w:val="num" w:pos="-360"/>
        </w:tabs>
        <w:spacing w:before="0" w:beforeAutospacing="0" w:after="0" w:afterAutospacing="0" w:line="360" w:lineRule="auto"/>
        <w:ind w:left="284" w:hanging="284"/>
        <w:textAlignment w:val="baseline"/>
        <w:rPr>
          <w:rStyle w:val="normaltextrun"/>
          <w:rFonts w:asciiTheme="minorHAnsi" w:hAnsiTheme="minorHAnsi" w:cstheme="minorHAnsi"/>
          <w:sz w:val="22"/>
          <w:szCs w:val="22"/>
        </w:rPr>
      </w:pPr>
      <w:r w:rsidRPr="00423506">
        <w:rPr>
          <w:rStyle w:val="normaltextrun"/>
          <w:rFonts w:asciiTheme="minorHAnsi" w:hAnsiTheme="minorHAnsi" w:cstheme="minorHAnsi"/>
          <w:i/>
          <w:iCs/>
          <w:sz w:val="22"/>
          <w:szCs w:val="22"/>
        </w:rPr>
        <w:t xml:space="preserve">The primacy of Aboriginal and Torres Strait Islander People’s </w:t>
      </w:r>
      <w:r w:rsidR="001B5C2F" w:rsidRPr="00423506">
        <w:rPr>
          <w:rStyle w:val="normaltextrun"/>
          <w:rFonts w:asciiTheme="minorHAnsi" w:hAnsiTheme="minorHAnsi" w:cstheme="minorHAnsi"/>
          <w:i/>
          <w:iCs/>
          <w:sz w:val="22"/>
          <w:szCs w:val="22"/>
        </w:rPr>
        <w:t>perspectives, priorities and knowledges</w:t>
      </w:r>
      <w:r w:rsidR="001B5C2F" w:rsidRPr="00423506">
        <w:rPr>
          <w:rStyle w:val="normaltextrun"/>
          <w:rFonts w:asciiTheme="minorHAnsi" w:hAnsiTheme="minorHAnsi" w:cstheme="minorHAnsi"/>
          <w:sz w:val="22"/>
          <w:szCs w:val="22"/>
        </w:rPr>
        <w:t xml:space="preserve"> </w:t>
      </w:r>
      <w:r w:rsidRPr="00423506">
        <w:rPr>
          <w:rStyle w:val="normaltextrun"/>
          <w:rFonts w:asciiTheme="minorHAnsi" w:hAnsiTheme="minorHAnsi" w:cstheme="minorHAnsi"/>
          <w:sz w:val="22"/>
          <w:szCs w:val="22"/>
        </w:rPr>
        <w:t xml:space="preserve">in evaluations that relate to them – we are concerned </w:t>
      </w:r>
      <w:r w:rsidR="001F47E7" w:rsidRPr="00423506">
        <w:rPr>
          <w:rStyle w:val="normaltextrun"/>
          <w:rFonts w:asciiTheme="minorHAnsi" w:hAnsiTheme="minorHAnsi" w:cstheme="minorHAnsi"/>
          <w:sz w:val="22"/>
          <w:szCs w:val="22"/>
        </w:rPr>
        <w:t xml:space="preserve">of the lack of explicit standards and benchmarks for putting this </w:t>
      </w:r>
      <w:r w:rsidR="005C4A32" w:rsidRPr="00423506">
        <w:rPr>
          <w:rStyle w:val="normaltextrun"/>
          <w:rFonts w:asciiTheme="minorHAnsi" w:hAnsiTheme="minorHAnsi" w:cstheme="minorHAnsi"/>
          <w:sz w:val="22"/>
          <w:szCs w:val="22"/>
        </w:rPr>
        <w:t>overarching</w:t>
      </w:r>
      <w:r w:rsidR="001F47E7" w:rsidRPr="00423506">
        <w:rPr>
          <w:rStyle w:val="normaltextrun"/>
          <w:rFonts w:asciiTheme="minorHAnsi" w:hAnsiTheme="minorHAnsi" w:cstheme="minorHAnsi"/>
          <w:sz w:val="22"/>
          <w:szCs w:val="22"/>
        </w:rPr>
        <w:t xml:space="preserve"> principle into practice across </w:t>
      </w:r>
      <w:r w:rsidR="001F47E7" w:rsidRPr="00423506">
        <w:rPr>
          <w:rStyle w:val="normaltextrun"/>
          <w:rFonts w:asciiTheme="minorHAnsi" w:hAnsiTheme="minorHAnsi" w:cstheme="minorHAnsi"/>
          <w:i/>
          <w:iCs/>
          <w:sz w:val="22"/>
          <w:szCs w:val="22"/>
        </w:rPr>
        <w:t xml:space="preserve">all </w:t>
      </w:r>
      <w:r w:rsidR="001F47E7" w:rsidRPr="00423506">
        <w:rPr>
          <w:rStyle w:val="normaltextrun"/>
          <w:rFonts w:asciiTheme="minorHAnsi" w:hAnsiTheme="minorHAnsi" w:cstheme="minorHAnsi"/>
          <w:sz w:val="22"/>
          <w:szCs w:val="22"/>
        </w:rPr>
        <w:t xml:space="preserve">stages of the evaluation process, from prioritizing what to evaluate to </w:t>
      </w:r>
      <w:r w:rsidR="00423506">
        <w:rPr>
          <w:rStyle w:val="normaltextrun"/>
          <w:rFonts w:asciiTheme="minorHAnsi" w:hAnsiTheme="minorHAnsi" w:cstheme="minorHAnsi"/>
          <w:sz w:val="22"/>
          <w:szCs w:val="22"/>
        </w:rPr>
        <w:t xml:space="preserve">making sure </w:t>
      </w:r>
      <w:r w:rsidR="001F47E7" w:rsidRPr="00423506">
        <w:rPr>
          <w:rStyle w:val="normaltextrun"/>
          <w:rFonts w:asciiTheme="minorHAnsi" w:hAnsiTheme="minorHAnsi" w:cstheme="minorHAnsi"/>
          <w:sz w:val="22"/>
          <w:szCs w:val="22"/>
        </w:rPr>
        <w:t xml:space="preserve">agencies </w:t>
      </w:r>
      <w:r w:rsidR="00423506">
        <w:rPr>
          <w:rStyle w:val="normaltextrun"/>
          <w:rFonts w:asciiTheme="minorHAnsi" w:hAnsiTheme="minorHAnsi" w:cstheme="minorHAnsi"/>
          <w:sz w:val="22"/>
          <w:szCs w:val="22"/>
        </w:rPr>
        <w:t>act on e</w:t>
      </w:r>
      <w:r w:rsidR="001F47E7" w:rsidRPr="00423506">
        <w:rPr>
          <w:rStyle w:val="normaltextrun"/>
          <w:rFonts w:asciiTheme="minorHAnsi" w:hAnsiTheme="minorHAnsi" w:cstheme="minorHAnsi"/>
          <w:sz w:val="22"/>
          <w:szCs w:val="22"/>
        </w:rPr>
        <w:t>valuation</w:t>
      </w:r>
      <w:r w:rsidR="00423506">
        <w:rPr>
          <w:rStyle w:val="normaltextrun"/>
          <w:rFonts w:asciiTheme="minorHAnsi" w:hAnsiTheme="minorHAnsi" w:cstheme="minorHAnsi"/>
          <w:sz w:val="22"/>
          <w:szCs w:val="22"/>
        </w:rPr>
        <w:t xml:space="preserve"> finding</w:t>
      </w:r>
      <w:r w:rsidR="001F47E7" w:rsidRPr="00423506">
        <w:rPr>
          <w:rStyle w:val="normaltextrun"/>
          <w:rFonts w:asciiTheme="minorHAnsi" w:hAnsiTheme="minorHAnsi" w:cstheme="minorHAnsi"/>
          <w:sz w:val="22"/>
          <w:szCs w:val="22"/>
        </w:rPr>
        <w:t>s appropriately. We fear that, without</w:t>
      </w:r>
      <w:r w:rsidR="00F717B5" w:rsidRPr="00423506">
        <w:rPr>
          <w:rStyle w:val="normaltextrun"/>
          <w:rFonts w:asciiTheme="minorHAnsi" w:hAnsiTheme="minorHAnsi" w:cstheme="minorHAnsi"/>
          <w:sz w:val="22"/>
          <w:szCs w:val="22"/>
        </w:rPr>
        <w:t xml:space="preserve"> setting clear expectations</w:t>
      </w:r>
      <w:r w:rsidR="001F47E7" w:rsidRPr="00423506">
        <w:rPr>
          <w:rStyle w:val="normaltextrun"/>
          <w:rFonts w:asciiTheme="minorHAnsi" w:hAnsiTheme="minorHAnsi" w:cstheme="minorHAnsi"/>
          <w:sz w:val="22"/>
          <w:szCs w:val="22"/>
        </w:rPr>
        <w:t>, the cultural change in government’s actions that is envisaged by the Strategy will not occur with</w:t>
      </w:r>
      <w:r w:rsidR="00267FAC" w:rsidRPr="00423506">
        <w:rPr>
          <w:rStyle w:val="normaltextrun"/>
          <w:rFonts w:asciiTheme="minorHAnsi" w:hAnsiTheme="minorHAnsi" w:cstheme="minorHAnsi"/>
          <w:sz w:val="22"/>
          <w:szCs w:val="22"/>
        </w:rPr>
        <w:t xml:space="preserve"> the</w:t>
      </w:r>
      <w:r w:rsidR="001F47E7" w:rsidRPr="00423506">
        <w:rPr>
          <w:rStyle w:val="normaltextrun"/>
          <w:rFonts w:asciiTheme="minorHAnsi" w:hAnsiTheme="minorHAnsi" w:cstheme="minorHAnsi"/>
          <w:sz w:val="22"/>
          <w:szCs w:val="22"/>
        </w:rPr>
        <w:t xml:space="preserve"> depth </w:t>
      </w:r>
      <w:r w:rsidR="001F47E7" w:rsidRPr="00423506">
        <w:rPr>
          <w:rStyle w:val="normaltextrun"/>
          <w:rFonts w:asciiTheme="minorHAnsi" w:hAnsiTheme="minorHAnsi" w:cstheme="minorHAnsi"/>
          <w:sz w:val="22"/>
          <w:szCs w:val="22"/>
        </w:rPr>
        <w:lastRenderedPageBreak/>
        <w:t xml:space="preserve">and speed needed </w:t>
      </w:r>
      <w:r w:rsidR="00267FAC" w:rsidRPr="00423506">
        <w:rPr>
          <w:rStyle w:val="normaltextrun"/>
          <w:rFonts w:asciiTheme="minorHAnsi" w:hAnsiTheme="minorHAnsi" w:cstheme="minorHAnsi"/>
          <w:sz w:val="22"/>
          <w:szCs w:val="22"/>
        </w:rPr>
        <w:t>in order to gain parity on key health and welfare indicators between Indigenous and non-Indigenous Australians.</w:t>
      </w:r>
    </w:p>
    <w:p w14:paraId="2EB48A2A" w14:textId="77777777" w:rsidR="007F047E" w:rsidRPr="005A612D" w:rsidRDefault="007F047E" w:rsidP="007F047E">
      <w:pPr>
        <w:pStyle w:val="paragraph"/>
        <w:spacing w:before="0" w:beforeAutospacing="0" w:after="0" w:afterAutospacing="0" w:line="360" w:lineRule="auto"/>
        <w:ind w:left="284"/>
        <w:textAlignment w:val="baseline"/>
        <w:rPr>
          <w:rFonts w:asciiTheme="minorHAnsi" w:hAnsiTheme="minorHAnsi" w:cstheme="minorHAnsi"/>
          <w:sz w:val="22"/>
          <w:szCs w:val="22"/>
        </w:rPr>
      </w:pPr>
    </w:p>
    <w:p w14:paraId="7BEDDAC9" w14:textId="5F254B11" w:rsidR="007F047E" w:rsidRDefault="00795489" w:rsidP="007F047E">
      <w:pPr>
        <w:pStyle w:val="paragraph"/>
        <w:numPr>
          <w:ilvl w:val="0"/>
          <w:numId w:val="6"/>
        </w:numPr>
        <w:tabs>
          <w:tab w:val="clear" w:pos="720"/>
          <w:tab w:val="num" w:pos="-360"/>
        </w:tabs>
        <w:spacing w:before="0" w:beforeAutospacing="0" w:after="0" w:afterAutospacing="0" w:line="360" w:lineRule="auto"/>
        <w:ind w:left="284" w:hanging="284"/>
        <w:textAlignment w:val="baseline"/>
        <w:rPr>
          <w:rStyle w:val="eop"/>
          <w:rFonts w:ascii="Calibri" w:hAnsi="Calibri" w:cs="Calibri"/>
          <w:sz w:val="22"/>
          <w:szCs w:val="22"/>
        </w:rPr>
      </w:pPr>
      <w:r w:rsidRPr="005A612D">
        <w:rPr>
          <w:rStyle w:val="normaltextrun"/>
          <w:rFonts w:ascii="Calibri" w:hAnsi="Calibri" w:cs="Calibri"/>
          <w:i/>
          <w:iCs/>
          <w:sz w:val="22"/>
          <w:szCs w:val="22"/>
        </w:rPr>
        <w:t xml:space="preserve">The need for the Strategy, guidance and background document to cover all the types of evaluation that it identifies and which are needed to improve performance </w:t>
      </w:r>
      <w:r w:rsidR="007D521F" w:rsidRPr="005A612D">
        <w:rPr>
          <w:rStyle w:val="normaltextrun"/>
          <w:rFonts w:ascii="Calibri" w:hAnsi="Calibri" w:cs="Calibri"/>
          <w:sz w:val="22"/>
          <w:szCs w:val="22"/>
        </w:rPr>
        <w:t xml:space="preserve">– </w:t>
      </w:r>
      <w:r w:rsidRPr="005A612D">
        <w:rPr>
          <w:rStyle w:val="normaltextrun"/>
          <w:rFonts w:ascii="Calibri" w:hAnsi="Calibri" w:cs="Calibri"/>
          <w:sz w:val="22"/>
          <w:szCs w:val="22"/>
        </w:rPr>
        <w:t>d</w:t>
      </w:r>
      <w:r w:rsidR="007D521F" w:rsidRPr="005A612D">
        <w:rPr>
          <w:rStyle w:val="normaltextrun"/>
          <w:rFonts w:ascii="Calibri" w:hAnsi="Calibri" w:cs="Calibri"/>
          <w:sz w:val="22"/>
          <w:szCs w:val="22"/>
        </w:rPr>
        <w:t xml:space="preserve">espite other types of </w:t>
      </w:r>
      <w:r w:rsidR="007D521F" w:rsidRPr="007F047E">
        <w:rPr>
          <w:rStyle w:val="normaltextrun"/>
          <w:rFonts w:ascii="Calibri" w:hAnsi="Calibri" w:cs="Calibri"/>
          <w:sz w:val="22"/>
          <w:szCs w:val="22"/>
        </w:rPr>
        <w:t xml:space="preserve">evaluation being named, the </w:t>
      </w:r>
      <w:r w:rsidR="00937088" w:rsidRPr="007F047E">
        <w:rPr>
          <w:rStyle w:val="normaltextrun"/>
          <w:rFonts w:ascii="Calibri" w:hAnsi="Calibri" w:cs="Calibri"/>
          <w:sz w:val="22"/>
          <w:szCs w:val="22"/>
        </w:rPr>
        <w:t>S</w:t>
      </w:r>
      <w:r w:rsidR="007D521F" w:rsidRPr="007F047E">
        <w:rPr>
          <w:rStyle w:val="normaltextrun"/>
          <w:rFonts w:ascii="Calibri" w:hAnsi="Calibri" w:cs="Calibri"/>
          <w:sz w:val="22"/>
          <w:szCs w:val="22"/>
        </w:rPr>
        <w:t xml:space="preserve">trategy seems to focus exclusively on impact evaluations designed to inform policy decisions, leaving out other types of evaluations that are critically important to guide and learn from implementation, </w:t>
      </w:r>
      <w:r w:rsidR="00937088" w:rsidRPr="007F047E">
        <w:rPr>
          <w:rStyle w:val="normaltextrun"/>
          <w:rFonts w:ascii="Calibri" w:hAnsi="Calibri" w:cs="Calibri"/>
          <w:sz w:val="22"/>
          <w:szCs w:val="22"/>
        </w:rPr>
        <w:t xml:space="preserve">including </w:t>
      </w:r>
      <w:r w:rsidR="007D521F" w:rsidRPr="007F047E">
        <w:rPr>
          <w:rStyle w:val="normaltextrun"/>
          <w:rFonts w:ascii="Calibri" w:hAnsi="Calibri" w:cs="Calibri"/>
          <w:sz w:val="22"/>
          <w:szCs w:val="22"/>
        </w:rPr>
        <w:t>in situations where adaptive management is needed</w:t>
      </w:r>
      <w:r w:rsidR="00937088" w:rsidRPr="007F047E">
        <w:rPr>
          <w:rStyle w:val="eop"/>
          <w:rFonts w:ascii="Calibri" w:hAnsi="Calibri" w:cs="Calibri"/>
          <w:sz w:val="22"/>
          <w:szCs w:val="22"/>
        </w:rPr>
        <w:t>.</w:t>
      </w:r>
    </w:p>
    <w:p w14:paraId="34BDB4E7" w14:textId="77777777" w:rsidR="007F047E" w:rsidRPr="007F047E" w:rsidRDefault="007F047E" w:rsidP="007F047E">
      <w:pPr>
        <w:pStyle w:val="paragraph"/>
        <w:spacing w:before="0" w:beforeAutospacing="0" w:after="0" w:afterAutospacing="0" w:line="360" w:lineRule="auto"/>
        <w:ind w:left="284"/>
        <w:textAlignment w:val="baseline"/>
        <w:rPr>
          <w:rStyle w:val="eop"/>
          <w:rFonts w:ascii="Calibri" w:hAnsi="Calibri" w:cs="Calibri"/>
          <w:sz w:val="22"/>
          <w:szCs w:val="22"/>
        </w:rPr>
      </w:pPr>
    </w:p>
    <w:p w14:paraId="7E72B797" w14:textId="6CD1C0B5" w:rsidR="007D521F" w:rsidRDefault="00CA289C" w:rsidP="007F047E">
      <w:pPr>
        <w:pStyle w:val="paragraph"/>
        <w:numPr>
          <w:ilvl w:val="0"/>
          <w:numId w:val="6"/>
        </w:numPr>
        <w:tabs>
          <w:tab w:val="clear" w:pos="720"/>
          <w:tab w:val="num" w:pos="-360"/>
        </w:tabs>
        <w:spacing w:before="0" w:beforeAutospacing="0" w:after="0" w:afterAutospacing="0" w:line="360" w:lineRule="auto"/>
        <w:ind w:left="284" w:hanging="284"/>
        <w:textAlignment w:val="baseline"/>
        <w:rPr>
          <w:rStyle w:val="eop"/>
          <w:rFonts w:ascii="Calibri" w:hAnsi="Calibri" w:cs="Calibri"/>
          <w:sz w:val="22"/>
          <w:szCs w:val="22"/>
        </w:rPr>
      </w:pPr>
      <w:r w:rsidRPr="007F047E">
        <w:rPr>
          <w:rStyle w:val="normaltextrun"/>
          <w:rFonts w:ascii="Calibri" w:hAnsi="Calibri" w:cs="Calibri"/>
          <w:i/>
          <w:iCs/>
          <w:sz w:val="22"/>
          <w:szCs w:val="22"/>
        </w:rPr>
        <w:t xml:space="preserve">The need to include the full range of designs and approaches that can be used for high quality impact evaluation. </w:t>
      </w:r>
      <w:r w:rsidRPr="007F047E">
        <w:rPr>
          <w:rStyle w:val="normaltextrun"/>
          <w:rFonts w:ascii="Calibri" w:hAnsi="Calibri" w:cs="Calibri"/>
          <w:sz w:val="22"/>
          <w:szCs w:val="22"/>
        </w:rPr>
        <w:t xml:space="preserve">The </w:t>
      </w:r>
      <w:r w:rsidR="00937088" w:rsidRPr="007F047E">
        <w:rPr>
          <w:rStyle w:val="normaltextrun"/>
          <w:rFonts w:ascii="Calibri" w:hAnsi="Calibri" w:cs="Calibri"/>
          <w:sz w:val="22"/>
          <w:szCs w:val="22"/>
        </w:rPr>
        <w:t>S</w:t>
      </w:r>
      <w:r w:rsidR="007D521F" w:rsidRPr="007F047E">
        <w:rPr>
          <w:rStyle w:val="normaltextrun"/>
          <w:rFonts w:ascii="Calibri" w:hAnsi="Calibri" w:cs="Calibri"/>
          <w:sz w:val="22"/>
          <w:szCs w:val="22"/>
        </w:rPr>
        <w:t>trategy focuses only on ‘rigorous’ evaluations</w:t>
      </w:r>
      <w:r w:rsidR="00AD462F" w:rsidRPr="007F047E">
        <w:rPr>
          <w:rStyle w:val="normaltextrun"/>
          <w:rFonts w:ascii="Calibri" w:hAnsi="Calibri" w:cs="Calibri"/>
          <w:sz w:val="22"/>
          <w:szCs w:val="22"/>
        </w:rPr>
        <w:t xml:space="preserve"> and </w:t>
      </w:r>
      <w:r w:rsidR="007D521F" w:rsidRPr="007F047E">
        <w:rPr>
          <w:rStyle w:val="normaltextrun"/>
          <w:rFonts w:ascii="Calibri" w:hAnsi="Calibri" w:cs="Calibri"/>
          <w:sz w:val="22"/>
          <w:szCs w:val="22"/>
        </w:rPr>
        <w:t xml:space="preserve">the background paper </w:t>
      </w:r>
      <w:r w:rsidRPr="007F047E">
        <w:rPr>
          <w:rStyle w:val="normaltextrun"/>
          <w:rFonts w:ascii="Calibri" w:hAnsi="Calibri" w:cs="Calibri"/>
          <w:sz w:val="22"/>
          <w:szCs w:val="22"/>
        </w:rPr>
        <w:t xml:space="preserve">that this </w:t>
      </w:r>
      <w:r w:rsidR="007D521F" w:rsidRPr="007F047E">
        <w:rPr>
          <w:rStyle w:val="normaltextrun"/>
          <w:rFonts w:ascii="Calibri" w:hAnsi="Calibri" w:cs="Calibri"/>
          <w:sz w:val="22"/>
          <w:szCs w:val="22"/>
        </w:rPr>
        <w:t xml:space="preserve">refers to a narrow set of experimental and quasi-experimental designs which will only be suitable in a limited range of situations, leaving out systematic non-experimental impact evaluations which are likely to be highly appropriate in many situations, </w:t>
      </w:r>
      <w:r w:rsidR="00EB1441" w:rsidRPr="007F047E">
        <w:rPr>
          <w:rStyle w:val="normaltextrun"/>
          <w:rFonts w:ascii="Calibri" w:hAnsi="Calibri" w:cs="Calibri"/>
          <w:sz w:val="22"/>
          <w:szCs w:val="22"/>
        </w:rPr>
        <w:t xml:space="preserve">including </w:t>
      </w:r>
      <w:r w:rsidR="007D521F" w:rsidRPr="007F047E">
        <w:rPr>
          <w:rStyle w:val="normaltextrun"/>
          <w:rFonts w:ascii="Calibri" w:hAnsi="Calibri" w:cs="Calibri"/>
          <w:sz w:val="22"/>
          <w:szCs w:val="22"/>
        </w:rPr>
        <w:t>those that are affected by complexity.</w:t>
      </w:r>
      <w:r w:rsidR="007D521F" w:rsidRPr="007F047E">
        <w:rPr>
          <w:rStyle w:val="eop"/>
          <w:rFonts w:ascii="Calibri" w:hAnsi="Calibri" w:cs="Calibri"/>
          <w:sz w:val="22"/>
          <w:szCs w:val="22"/>
        </w:rPr>
        <w:t> </w:t>
      </w:r>
    </w:p>
    <w:p w14:paraId="45DAC1D6" w14:textId="77777777" w:rsidR="007F047E" w:rsidRPr="007F047E" w:rsidRDefault="007F047E" w:rsidP="007F047E">
      <w:pPr>
        <w:pStyle w:val="paragraph"/>
        <w:spacing w:before="0" w:beforeAutospacing="0" w:after="0" w:afterAutospacing="0" w:line="360" w:lineRule="auto"/>
        <w:textAlignment w:val="baseline"/>
        <w:rPr>
          <w:rFonts w:ascii="Calibri" w:hAnsi="Calibri" w:cs="Calibri"/>
          <w:sz w:val="22"/>
          <w:szCs w:val="22"/>
        </w:rPr>
      </w:pPr>
    </w:p>
    <w:p w14:paraId="11FA05CF" w14:textId="74B8EE25" w:rsidR="007D521F" w:rsidRPr="007F047E" w:rsidRDefault="007D521F" w:rsidP="00EB1441">
      <w:pPr>
        <w:pStyle w:val="paragraph"/>
        <w:spacing w:before="0" w:beforeAutospacing="0" w:after="0" w:afterAutospacing="0" w:line="360" w:lineRule="auto"/>
        <w:textAlignment w:val="baseline"/>
        <w:rPr>
          <w:rStyle w:val="eop"/>
          <w:rFonts w:ascii="Calibri" w:hAnsi="Calibri" w:cs="Calibri"/>
          <w:sz w:val="22"/>
          <w:szCs w:val="22"/>
        </w:rPr>
      </w:pPr>
      <w:r w:rsidRPr="007F047E">
        <w:rPr>
          <w:rStyle w:val="normaltextrun"/>
          <w:rFonts w:ascii="Calibri" w:hAnsi="Calibri" w:cs="Calibri"/>
          <w:sz w:val="22"/>
          <w:szCs w:val="22"/>
        </w:rPr>
        <w:t xml:space="preserve">These </w:t>
      </w:r>
      <w:r w:rsidR="001B5C2F" w:rsidRPr="007F047E">
        <w:rPr>
          <w:rStyle w:val="normaltextrun"/>
          <w:rFonts w:ascii="Calibri" w:hAnsi="Calibri" w:cs="Calibri"/>
          <w:sz w:val="22"/>
          <w:szCs w:val="22"/>
        </w:rPr>
        <w:t xml:space="preserve">areas </w:t>
      </w:r>
      <w:r w:rsidRPr="007F047E">
        <w:rPr>
          <w:rStyle w:val="normaltextrun"/>
          <w:rFonts w:ascii="Calibri" w:hAnsi="Calibri" w:cs="Calibri"/>
          <w:sz w:val="22"/>
          <w:szCs w:val="22"/>
        </w:rPr>
        <w:t xml:space="preserve">are </w:t>
      </w:r>
      <w:r w:rsidR="00EB1441" w:rsidRPr="007F047E">
        <w:rPr>
          <w:rStyle w:val="normaltextrun"/>
          <w:rFonts w:ascii="Calibri" w:hAnsi="Calibri" w:cs="Calibri"/>
          <w:sz w:val="22"/>
          <w:szCs w:val="22"/>
        </w:rPr>
        <w:t xml:space="preserve">further </w:t>
      </w:r>
      <w:r w:rsidRPr="007F047E">
        <w:rPr>
          <w:rStyle w:val="normaltextrun"/>
          <w:rFonts w:ascii="Calibri" w:hAnsi="Calibri" w:cs="Calibri"/>
          <w:sz w:val="22"/>
          <w:szCs w:val="22"/>
        </w:rPr>
        <w:t>detailed below.</w:t>
      </w:r>
      <w:r w:rsidR="00AD462F" w:rsidRPr="007F047E">
        <w:rPr>
          <w:rStyle w:val="normaltextrun"/>
          <w:rFonts w:ascii="Calibri" w:hAnsi="Calibri" w:cs="Calibri"/>
          <w:sz w:val="22"/>
          <w:szCs w:val="22"/>
        </w:rPr>
        <w:t xml:space="preserve"> </w:t>
      </w:r>
      <w:r w:rsidRPr="007F047E">
        <w:rPr>
          <w:rStyle w:val="normaltextrun"/>
          <w:rFonts w:ascii="Calibri" w:hAnsi="Calibri" w:cs="Calibri"/>
          <w:sz w:val="22"/>
          <w:szCs w:val="22"/>
        </w:rPr>
        <w:t xml:space="preserve">In addition, we have identified some other resource materials which would be useful to add to the </w:t>
      </w:r>
      <w:r w:rsidR="00EB1441" w:rsidRPr="007F047E">
        <w:rPr>
          <w:rStyle w:val="normaltextrun"/>
          <w:rFonts w:ascii="Calibri" w:hAnsi="Calibri" w:cs="Calibri"/>
          <w:sz w:val="22"/>
          <w:szCs w:val="22"/>
        </w:rPr>
        <w:t>g</w:t>
      </w:r>
      <w:r w:rsidRPr="007F047E">
        <w:rPr>
          <w:rStyle w:val="normaltextrun"/>
          <w:rFonts w:ascii="Calibri" w:hAnsi="Calibri" w:cs="Calibri"/>
          <w:sz w:val="22"/>
          <w:szCs w:val="22"/>
        </w:rPr>
        <w:t>uidance document.</w:t>
      </w:r>
      <w:r w:rsidRPr="007F047E">
        <w:rPr>
          <w:rStyle w:val="eop"/>
          <w:rFonts w:ascii="Calibri" w:hAnsi="Calibri" w:cs="Calibri"/>
          <w:sz w:val="22"/>
          <w:szCs w:val="22"/>
        </w:rPr>
        <w:t> </w:t>
      </w:r>
    </w:p>
    <w:p w14:paraId="5FF146B3" w14:textId="77777777" w:rsidR="001B5C2F" w:rsidRPr="005A612D" w:rsidRDefault="001B5C2F" w:rsidP="00EB1441">
      <w:pPr>
        <w:pStyle w:val="paragraph"/>
        <w:spacing w:before="0" w:beforeAutospacing="0" w:after="0" w:afterAutospacing="0" w:line="360" w:lineRule="auto"/>
        <w:textAlignment w:val="baseline"/>
        <w:rPr>
          <w:sz w:val="22"/>
          <w:szCs w:val="22"/>
        </w:rPr>
      </w:pPr>
    </w:p>
    <w:p w14:paraId="268885BF" w14:textId="5633BD74" w:rsidR="00002FC5" w:rsidRPr="00EB1441" w:rsidRDefault="00002FC5" w:rsidP="00EB1441">
      <w:pPr>
        <w:spacing w:after="0" w:line="360" w:lineRule="auto"/>
      </w:pPr>
      <w:r w:rsidRPr="005A612D">
        <w:t xml:space="preserve">We are </w:t>
      </w:r>
      <w:r w:rsidR="00750992" w:rsidRPr="005A612D">
        <w:t xml:space="preserve">available for further clarification or </w:t>
      </w:r>
      <w:r w:rsidRPr="005A612D">
        <w:t>more detailed comments. Please do not hesitate to contact us.</w:t>
      </w:r>
    </w:p>
    <w:p w14:paraId="15F43F79" w14:textId="77777777" w:rsidR="00002FC5" w:rsidRPr="00EB1441" w:rsidRDefault="00002FC5" w:rsidP="00EB1441">
      <w:pPr>
        <w:spacing w:after="0" w:line="360" w:lineRule="auto"/>
      </w:pPr>
    </w:p>
    <w:p w14:paraId="0D5B0F6A" w14:textId="3BD7BE65" w:rsidR="00002FC5" w:rsidRDefault="00002FC5" w:rsidP="00EB1441">
      <w:pPr>
        <w:spacing w:after="0" w:line="360" w:lineRule="auto"/>
      </w:pPr>
      <w:r w:rsidRPr="00EB1441">
        <w:t>With very best wishes,</w:t>
      </w:r>
    </w:p>
    <w:p w14:paraId="5EB00B12" w14:textId="77777777" w:rsidR="001B5C2F" w:rsidRPr="00EB1441" w:rsidRDefault="001B5C2F" w:rsidP="00EB1441">
      <w:pPr>
        <w:spacing w:after="0" w:line="360" w:lineRule="auto"/>
      </w:pPr>
    </w:p>
    <w:p w14:paraId="0D83881D" w14:textId="622DFD43" w:rsidR="00002FC5" w:rsidRDefault="00002FC5" w:rsidP="00EB1441">
      <w:pPr>
        <w:spacing w:after="0" w:line="360" w:lineRule="auto"/>
      </w:pPr>
      <w:r w:rsidRPr="00EB1441">
        <w:t>Dr Greet Peersman, Director M&amp;E capacity strengthening</w:t>
      </w:r>
      <w:r w:rsidR="00081E29">
        <w:t>;</w:t>
      </w:r>
    </w:p>
    <w:p w14:paraId="1F28AB71" w14:textId="145D870B" w:rsidR="00002FC5" w:rsidRDefault="00002FC5" w:rsidP="00EB1441">
      <w:pPr>
        <w:spacing w:after="0" w:line="360" w:lineRule="auto"/>
      </w:pPr>
      <w:r w:rsidRPr="00EB1441">
        <w:t>Prof Patricia Rogers, Chief Executive Officer</w:t>
      </w:r>
      <w:r w:rsidR="001B5C2F">
        <w:t xml:space="preserve">; </w:t>
      </w:r>
    </w:p>
    <w:p w14:paraId="0798B4B7" w14:textId="6312776D" w:rsidR="00002FC5" w:rsidRDefault="00002FC5" w:rsidP="00EB1441">
      <w:pPr>
        <w:spacing w:after="0" w:line="360" w:lineRule="auto"/>
      </w:pPr>
      <w:r w:rsidRPr="00EB1441">
        <w:t>Alice Macfarlan, Knowledge Platform Manager</w:t>
      </w:r>
      <w:r w:rsidR="001B5C2F">
        <w:t xml:space="preserve">; </w:t>
      </w:r>
    </w:p>
    <w:p w14:paraId="7C6C5E77" w14:textId="2D17D4A5" w:rsidR="001B5C2F" w:rsidRDefault="000776A5" w:rsidP="00EB1441">
      <w:pPr>
        <w:spacing w:after="0" w:line="360" w:lineRule="auto"/>
      </w:pPr>
      <w:r>
        <w:t>BetterEvaluation Inc</w:t>
      </w:r>
      <w:r w:rsidR="00AB4D6C">
        <w:t>., Level 6, 126 Wellington Parade, East Melbourne 3002</w:t>
      </w:r>
      <w:bookmarkStart w:id="0" w:name="_GoBack"/>
      <w:bookmarkEnd w:id="0"/>
    </w:p>
    <w:p w14:paraId="6DB10CB0" w14:textId="77777777" w:rsidR="00AB4D6C" w:rsidRPr="00AB4D6C" w:rsidRDefault="00AB4D6C" w:rsidP="00AB4D6C">
      <w:pPr>
        <w:autoSpaceDE w:val="0"/>
        <w:autoSpaceDN w:val="0"/>
        <w:adjustRightInd w:val="0"/>
        <w:spacing w:after="0" w:line="240" w:lineRule="auto"/>
        <w:rPr>
          <w:rFonts w:ascii="Calibri" w:hAnsi="Calibri" w:cs="Calibri"/>
          <w:color w:val="000000"/>
          <w:sz w:val="24"/>
          <w:szCs w:val="24"/>
        </w:rPr>
      </w:pPr>
    </w:p>
    <w:p w14:paraId="185B666B" w14:textId="7C41DD0F" w:rsidR="001B5C2F" w:rsidRDefault="00002FC5" w:rsidP="00EB1441">
      <w:pPr>
        <w:spacing w:after="0" w:line="360" w:lineRule="auto"/>
      </w:pPr>
      <w:r w:rsidRPr="00EB1441">
        <w:t>BetterEvaluation.org</w:t>
      </w:r>
      <w:r w:rsidR="001B5C2F">
        <w:t xml:space="preserve"> [</w:t>
      </w:r>
      <w:hyperlink r:id="rId11" w:history="1">
        <w:r w:rsidR="001B5C2F" w:rsidRPr="00E76C33">
          <w:rPr>
            <w:rStyle w:val="Hyperlink"/>
          </w:rPr>
          <w:t>https://www.betterevaluation.org/en</w:t>
        </w:r>
      </w:hyperlink>
      <w:r w:rsidR="001B5C2F">
        <w:t>]</w:t>
      </w:r>
    </w:p>
    <w:p w14:paraId="5BB987E2" w14:textId="77777777" w:rsidR="001B5C2F" w:rsidRDefault="001B5C2F" w:rsidP="00EB1441">
      <w:pPr>
        <w:spacing w:after="0" w:line="360" w:lineRule="auto"/>
      </w:pPr>
    </w:p>
    <w:p w14:paraId="25C925CA" w14:textId="77777777" w:rsidR="001B5C2F" w:rsidRDefault="001B5C2F" w:rsidP="00EB1441">
      <w:pPr>
        <w:spacing w:after="0" w:line="360" w:lineRule="auto"/>
      </w:pPr>
    </w:p>
    <w:p w14:paraId="0B7425DE" w14:textId="77777777" w:rsidR="001B5C2F" w:rsidRPr="00EB1441" w:rsidRDefault="001B5C2F" w:rsidP="00EB1441">
      <w:pPr>
        <w:spacing w:after="0" w:line="360" w:lineRule="auto"/>
      </w:pPr>
    </w:p>
    <w:p w14:paraId="72866AB0" w14:textId="29B7E104" w:rsidR="00257686" w:rsidRDefault="00257686">
      <w:r>
        <w:br w:type="page"/>
      </w:r>
    </w:p>
    <w:p w14:paraId="63044C59" w14:textId="77777777" w:rsidR="00FB5F72" w:rsidRDefault="00257686" w:rsidP="005A612D">
      <w:pPr>
        <w:pStyle w:val="ListParagraph"/>
        <w:numPr>
          <w:ilvl w:val="0"/>
          <w:numId w:val="3"/>
        </w:numPr>
        <w:pBdr>
          <w:top w:val="single" w:sz="4" w:space="1" w:color="auto"/>
        </w:pBdr>
        <w:ind w:left="0" w:right="-330" w:hanging="284"/>
        <w:rPr>
          <w:b/>
          <w:bCs/>
        </w:rPr>
      </w:pPr>
      <w:r w:rsidRPr="00257686">
        <w:rPr>
          <w:b/>
          <w:bCs/>
        </w:rPr>
        <w:lastRenderedPageBreak/>
        <w:t>Ensuring centrality of Aboriginal and Torres Strait Islander People throughout the evaluation process</w:t>
      </w:r>
    </w:p>
    <w:p w14:paraId="1046D4F7" w14:textId="67E585F2" w:rsidR="00CC0173" w:rsidRDefault="00CC0173" w:rsidP="00CC0173">
      <w:pPr>
        <w:ind w:right="-330"/>
        <w:rPr>
          <w:color w:val="211D1E"/>
        </w:rPr>
      </w:pPr>
      <w:r w:rsidRPr="00CC0173">
        <w:t>We are delighted to see and fully endorse the intent to “</w:t>
      </w:r>
      <w:r w:rsidRPr="00CC0173">
        <w:rPr>
          <w:color w:val="211D1E"/>
        </w:rPr>
        <w:t>centre Aboriginal and Torres Strait Islander people, perspectives, priorities and knowledges in evaluations of policies and programs that affect them” [</w:t>
      </w:r>
      <w:r>
        <w:rPr>
          <w:color w:val="211D1E"/>
        </w:rPr>
        <w:t xml:space="preserve">Strategy, </w:t>
      </w:r>
      <w:r w:rsidRPr="00CC0173">
        <w:rPr>
          <w:color w:val="211D1E"/>
        </w:rPr>
        <w:t>p.6]</w:t>
      </w:r>
      <w:r>
        <w:rPr>
          <w:color w:val="211D1E"/>
        </w:rPr>
        <w:t xml:space="preserve"> as the overarching principle in the principles-based </w:t>
      </w:r>
      <w:r w:rsidR="00793159">
        <w:rPr>
          <w:color w:val="211D1E"/>
        </w:rPr>
        <w:t xml:space="preserve">approach of the Strategy </w:t>
      </w:r>
      <w:r>
        <w:rPr>
          <w:color w:val="211D1E"/>
        </w:rPr>
        <w:t>[Strategy, p.10].</w:t>
      </w:r>
    </w:p>
    <w:p w14:paraId="59A72603" w14:textId="198BD00D" w:rsidR="00AD614D" w:rsidRDefault="00CC0173" w:rsidP="00CC0173">
      <w:pPr>
        <w:ind w:right="-330"/>
        <w:rPr>
          <w:color w:val="211D1E"/>
        </w:rPr>
      </w:pPr>
      <w:r>
        <w:rPr>
          <w:color w:val="211D1E"/>
        </w:rPr>
        <w:t xml:space="preserve">While this principle is at the core of the Strategy </w:t>
      </w:r>
      <w:r w:rsidR="003C777D">
        <w:rPr>
          <w:color w:val="211D1E"/>
        </w:rPr>
        <w:t xml:space="preserve">[Strategy, p.8] </w:t>
      </w:r>
      <w:r>
        <w:rPr>
          <w:color w:val="211D1E"/>
        </w:rPr>
        <w:t xml:space="preserve">and provides a unique opportunity for the Australian Government to </w:t>
      </w:r>
      <w:r w:rsidR="003C777D">
        <w:rPr>
          <w:color w:val="211D1E"/>
        </w:rPr>
        <w:t xml:space="preserve">‘do things differently’, the Strategy (and its companion documents) does </w:t>
      </w:r>
      <w:r w:rsidR="00793159">
        <w:rPr>
          <w:color w:val="211D1E"/>
        </w:rPr>
        <w:t xml:space="preserve">not </w:t>
      </w:r>
      <w:r w:rsidR="00F12BA0">
        <w:rPr>
          <w:color w:val="211D1E"/>
        </w:rPr>
        <w:t xml:space="preserve">reflect </w:t>
      </w:r>
      <w:r w:rsidR="00793159">
        <w:rPr>
          <w:color w:val="211D1E"/>
        </w:rPr>
        <w:t xml:space="preserve">nor </w:t>
      </w:r>
      <w:r w:rsidR="00AD614D">
        <w:rPr>
          <w:color w:val="211D1E"/>
        </w:rPr>
        <w:t>draw</w:t>
      </w:r>
      <w:r w:rsidR="003C777D">
        <w:rPr>
          <w:color w:val="211D1E"/>
        </w:rPr>
        <w:t xml:space="preserve"> adequately </w:t>
      </w:r>
      <w:r w:rsidR="00AD614D">
        <w:rPr>
          <w:color w:val="211D1E"/>
        </w:rPr>
        <w:t xml:space="preserve">on </w:t>
      </w:r>
      <w:r w:rsidR="003C777D">
        <w:rPr>
          <w:color w:val="211D1E"/>
        </w:rPr>
        <w:t xml:space="preserve">the existing strengths of </w:t>
      </w:r>
      <w:r w:rsidR="003C777D" w:rsidRPr="00CC0173">
        <w:rPr>
          <w:color w:val="211D1E"/>
        </w:rPr>
        <w:t>Aboriginal and Torres Strait Islander people</w:t>
      </w:r>
      <w:r w:rsidR="003C777D">
        <w:rPr>
          <w:color w:val="211D1E"/>
        </w:rPr>
        <w:t xml:space="preserve">, communities and organisations </w:t>
      </w:r>
      <w:r w:rsidR="00793159">
        <w:rPr>
          <w:color w:val="211D1E"/>
        </w:rPr>
        <w:t xml:space="preserve">to </w:t>
      </w:r>
      <w:r w:rsidR="003C777D">
        <w:rPr>
          <w:color w:val="211D1E"/>
        </w:rPr>
        <w:t>tak</w:t>
      </w:r>
      <w:r w:rsidR="00793159">
        <w:rPr>
          <w:color w:val="211D1E"/>
        </w:rPr>
        <w:t xml:space="preserve">e </w:t>
      </w:r>
      <w:r w:rsidR="003C777D">
        <w:rPr>
          <w:color w:val="211D1E"/>
        </w:rPr>
        <w:t>charge of their own destin</w:t>
      </w:r>
      <w:r w:rsidR="00AD614D">
        <w:rPr>
          <w:color w:val="211D1E"/>
        </w:rPr>
        <w:t xml:space="preserve">ies </w:t>
      </w:r>
      <w:r w:rsidR="00F12BA0">
        <w:rPr>
          <w:color w:val="211D1E"/>
        </w:rPr>
        <w:t>–</w:t>
      </w:r>
      <w:r w:rsidR="00425853">
        <w:rPr>
          <w:color w:val="211D1E"/>
        </w:rPr>
        <w:t>which may be quite different for different Indigenous cultures around Australia.</w:t>
      </w:r>
    </w:p>
    <w:p w14:paraId="2F295F90" w14:textId="508C5168" w:rsidR="002472F7" w:rsidRDefault="003C777D" w:rsidP="009617E4">
      <w:pPr>
        <w:ind w:right="-330"/>
        <w:rPr>
          <w:color w:val="211D1E"/>
        </w:rPr>
      </w:pPr>
      <w:r>
        <w:rPr>
          <w:color w:val="211D1E"/>
        </w:rPr>
        <w:t xml:space="preserve">The Strategy refers to </w:t>
      </w:r>
      <w:r w:rsidR="00AD614D">
        <w:rPr>
          <w:color w:val="211D1E"/>
        </w:rPr>
        <w:t xml:space="preserve">government </w:t>
      </w:r>
      <w:r w:rsidR="00F12BA0">
        <w:rPr>
          <w:color w:val="211D1E"/>
        </w:rPr>
        <w:t>“</w:t>
      </w:r>
      <w:r w:rsidR="00AD614D">
        <w:rPr>
          <w:color w:val="211D1E"/>
        </w:rPr>
        <w:t>working with</w:t>
      </w:r>
      <w:r w:rsidR="00F12BA0">
        <w:rPr>
          <w:color w:val="211D1E"/>
        </w:rPr>
        <w:t>”</w:t>
      </w:r>
      <w:r w:rsidR="00AD614D">
        <w:rPr>
          <w:color w:val="211D1E"/>
        </w:rPr>
        <w:t xml:space="preserve"> </w:t>
      </w:r>
      <w:r w:rsidR="00AD614D" w:rsidRPr="00CC0173">
        <w:rPr>
          <w:color w:val="211D1E"/>
        </w:rPr>
        <w:t>Aboriginal and Torres Strait Islander people</w:t>
      </w:r>
      <w:r w:rsidR="00AD614D">
        <w:rPr>
          <w:color w:val="211D1E"/>
        </w:rPr>
        <w:t xml:space="preserve"> [</w:t>
      </w:r>
      <w:r w:rsidR="00015E35">
        <w:rPr>
          <w:color w:val="211D1E"/>
        </w:rPr>
        <w:t xml:space="preserve">Strategy, </w:t>
      </w:r>
      <w:r w:rsidR="00AD614D">
        <w:rPr>
          <w:color w:val="211D1E"/>
        </w:rPr>
        <w:t xml:space="preserve">p.4] </w:t>
      </w:r>
      <w:r w:rsidR="00015E35">
        <w:rPr>
          <w:color w:val="211D1E"/>
        </w:rPr>
        <w:t xml:space="preserve">to achieve the “shared goal of improving the lives of </w:t>
      </w:r>
      <w:r w:rsidR="00015E35" w:rsidRPr="00CC0173">
        <w:rPr>
          <w:color w:val="211D1E"/>
        </w:rPr>
        <w:t>Aboriginal and Torres Strait Islander people</w:t>
      </w:r>
      <w:r w:rsidR="00015E35">
        <w:rPr>
          <w:color w:val="211D1E"/>
        </w:rPr>
        <w:t xml:space="preserve">” [Strategy, p.4]. While working towards a shared goal is needed, it certainly does not require “for those affected by a government policy or program to work with government </w:t>
      </w:r>
      <w:r w:rsidR="009617E4">
        <w:rPr>
          <w:color w:val="211D1E"/>
        </w:rPr>
        <w:t>to find ways to achieve mutually beneficial outcomes” [</w:t>
      </w:r>
      <w:r w:rsidR="00EB760F">
        <w:rPr>
          <w:color w:val="211D1E"/>
        </w:rPr>
        <w:t xml:space="preserve">e.g., </w:t>
      </w:r>
      <w:r w:rsidR="009617E4">
        <w:rPr>
          <w:color w:val="211D1E"/>
        </w:rPr>
        <w:t>Strategy, p.5</w:t>
      </w:r>
      <w:r w:rsidR="0091443F">
        <w:rPr>
          <w:color w:val="211D1E"/>
        </w:rPr>
        <w:t>]</w:t>
      </w:r>
      <w:r w:rsidR="009617E4">
        <w:rPr>
          <w:color w:val="211D1E"/>
        </w:rPr>
        <w:t xml:space="preserve">. If indeed, the Strategy is about ‘centring </w:t>
      </w:r>
      <w:r w:rsidR="009617E4" w:rsidRPr="00CC0173">
        <w:rPr>
          <w:color w:val="211D1E"/>
        </w:rPr>
        <w:t>Aboriginal and Torres Strait Islander people</w:t>
      </w:r>
      <w:r w:rsidR="009617E4">
        <w:rPr>
          <w:color w:val="211D1E"/>
        </w:rPr>
        <w:t xml:space="preserve">’, then the outcomes to be achieved are those that are important </w:t>
      </w:r>
      <w:r w:rsidR="002472F7">
        <w:rPr>
          <w:color w:val="211D1E"/>
        </w:rPr>
        <w:t>to</w:t>
      </w:r>
      <w:r w:rsidR="009617E4">
        <w:rPr>
          <w:color w:val="211D1E"/>
        </w:rPr>
        <w:t xml:space="preserve"> those ‘affected’</w:t>
      </w:r>
      <w:r w:rsidR="002472F7">
        <w:rPr>
          <w:color w:val="211D1E"/>
        </w:rPr>
        <w:t xml:space="preserve"> (from their own perspectives)</w:t>
      </w:r>
      <w:r w:rsidR="009617E4">
        <w:rPr>
          <w:color w:val="211D1E"/>
        </w:rPr>
        <w:t>.</w:t>
      </w:r>
      <w:r w:rsidR="00F12BA0">
        <w:rPr>
          <w:color w:val="211D1E"/>
        </w:rPr>
        <w:t xml:space="preserve"> </w:t>
      </w:r>
    </w:p>
    <w:p w14:paraId="57DCF8E3" w14:textId="77777777" w:rsidR="00795489" w:rsidRDefault="00015E35" w:rsidP="00382E61">
      <w:pPr>
        <w:ind w:right="-330"/>
        <w:rPr>
          <w:color w:val="211D1E"/>
        </w:rPr>
      </w:pPr>
      <w:r>
        <w:rPr>
          <w:color w:val="211D1E"/>
        </w:rPr>
        <w:t>The Strategy</w:t>
      </w:r>
      <w:r w:rsidR="00425853">
        <w:rPr>
          <w:color w:val="211D1E"/>
        </w:rPr>
        <w:t xml:space="preserve"> </w:t>
      </w:r>
      <w:r>
        <w:rPr>
          <w:color w:val="211D1E"/>
        </w:rPr>
        <w:t>states that “evaluation can help to build trust in government</w:t>
      </w:r>
      <w:r w:rsidR="003F3D84">
        <w:rPr>
          <w:color w:val="211D1E"/>
        </w:rPr>
        <w:t xml:space="preserve">” and </w:t>
      </w:r>
      <w:r w:rsidR="00425853">
        <w:rPr>
          <w:color w:val="211D1E"/>
        </w:rPr>
        <w:t>acknowledges that</w:t>
      </w:r>
      <w:r>
        <w:rPr>
          <w:color w:val="211D1E"/>
        </w:rPr>
        <w:t xml:space="preserve"> “</w:t>
      </w:r>
      <w:r w:rsidR="00425853">
        <w:rPr>
          <w:color w:val="211D1E"/>
        </w:rPr>
        <w:t xml:space="preserve">trust between government and </w:t>
      </w:r>
      <w:r w:rsidR="00425853" w:rsidRPr="00CC0173">
        <w:rPr>
          <w:color w:val="211D1E"/>
        </w:rPr>
        <w:t>Aboriginal and Torres Strait Islander people</w:t>
      </w:r>
      <w:r>
        <w:rPr>
          <w:color w:val="211D1E"/>
        </w:rPr>
        <w:t xml:space="preserve">, communities and organisations is particularly important in light of Australia’s colonial history and its ongoing impacts” [Strategy, p.5]. </w:t>
      </w:r>
      <w:r w:rsidR="003F3D84">
        <w:rPr>
          <w:color w:val="211D1E"/>
        </w:rPr>
        <w:t xml:space="preserve">Both the Strategy and the Guidance refer to </w:t>
      </w:r>
      <w:r w:rsidR="00EB760F">
        <w:rPr>
          <w:color w:val="211D1E"/>
        </w:rPr>
        <w:t>“meaningful” partnership, “meaningful, genuine, effective, appropriate” engagement</w:t>
      </w:r>
      <w:r w:rsidR="003F3D84">
        <w:rPr>
          <w:color w:val="211D1E"/>
        </w:rPr>
        <w:t>, “shared</w:t>
      </w:r>
      <w:r w:rsidR="00EB760F">
        <w:rPr>
          <w:color w:val="211D1E"/>
        </w:rPr>
        <w:t>”</w:t>
      </w:r>
      <w:r w:rsidR="003F3D84">
        <w:rPr>
          <w:color w:val="211D1E"/>
        </w:rPr>
        <w:t xml:space="preserve"> decision making [</w:t>
      </w:r>
      <w:r w:rsidR="00EB760F">
        <w:rPr>
          <w:color w:val="211D1E"/>
        </w:rPr>
        <w:t>e.g., Strategy, p.4,10,11,21,22; Guide p.13,14,19,26</w:t>
      </w:r>
      <w:r w:rsidR="003F3D84">
        <w:rPr>
          <w:color w:val="211D1E"/>
        </w:rPr>
        <w:t xml:space="preserve">]. </w:t>
      </w:r>
      <w:r w:rsidR="002E677E">
        <w:rPr>
          <w:color w:val="211D1E"/>
        </w:rPr>
        <w:t>However, n</w:t>
      </w:r>
      <w:r w:rsidR="003F3D84">
        <w:rPr>
          <w:color w:val="211D1E"/>
        </w:rPr>
        <w:t xml:space="preserve">one of these crucial concepts that –in practice– can be the ‘make or break’ of achieving </w:t>
      </w:r>
      <w:r w:rsidR="002E677E">
        <w:rPr>
          <w:color w:val="211D1E"/>
        </w:rPr>
        <w:t>‘</w:t>
      </w:r>
      <w:r w:rsidR="003F3D84">
        <w:rPr>
          <w:color w:val="211D1E"/>
        </w:rPr>
        <w:t xml:space="preserve">centring </w:t>
      </w:r>
      <w:r w:rsidR="003F3D84" w:rsidRPr="00CC0173">
        <w:rPr>
          <w:color w:val="211D1E"/>
        </w:rPr>
        <w:t>Aboriginal and Torres Strait Islander people</w:t>
      </w:r>
      <w:r w:rsidR="002E677E">
        <w:rPr>
          <w:color w:val="211D1E"/>
        </w:rPr>
        <w:t>’,</w:t>
      </w:r>
      <w:r w:rsidR="003F3D84">
        <w:rPr>
          <w:color w:val="211D1E"/>
        </w:rPr>
        <w:t xml:space="preserve"> in general, and, trust relationships, in particular</w:t>
      </w:r>
      <w:r w:rsidR="002E677E">
        <w:rPr>
          <w:color w:val="211D1E"/>
        </w:rPr>
        <w:t xml:space="preserve">– are defined nor </w:t>
      </w:r>
      <w:r w:rsidR="00382E61">
        <w:rPr>
          <w:color w:val="211D1E"/>
        </w:rPr>
        <w:t>is there any</w:t>
      </w:r>
      <w:r w:rsidR="002E677E">
        <w:rPr>
          <w:color w:val="211D1E"/>
        </w:rPr>
        <w:t xml:space="preserve"> acknowledge</w:t>
      </w:r>
      <w:r w:rsidR="00382E61">
        <w:rPr>
          <w:color w:val="211D1E"/>
        </w:rPr>
        <w:t>ment of</w:t>
      </w:r>
      <w:r w:rsidR="002E677E">
        <w:rPr>
          <w:color w:val="211D1E"/>
        </w:rPr>
        <w:t xml:space="preserve"> the inherent power differences between government actors and many </w:t>
      </w:r>
      <w:r w:rsidR="002E677E" w:rsidRPr="00CC0173">
        <w:rPr>
          <w:color w:val="211D1E"/>
        </w:rPr>
        <w:t>Aboriginal and Torres Strait Islander</w:t>
      </w:r>
      <w:r w:rsidR="002E677E">
        <w:rPr>
          <w:color w:val="211D1E"/>
        </w:rPr>
        <w:t xml:space="preserve"> individuals, communities and organisations. </w:t>
      </w:r>
    </w:p>
    <w:p w14:paraId="1AB4DCF7" w14:textId="77777777" w:rsidR="00795489" w:rsidRPr="005A612D" w:rsidRDefault="002E677E" w:rsidP="00382E61">
      <w:pPr>
        <w:ind w:right="-330"/>
        <w:rPr>
          <w:color w:val="211D1E"/>
        </w:rPr>
      </w:pPr>
      <w:r>
        <w:rPr>
          <w:color w:val="211D1E"/>
        </w:rPr>
        <w:t xml:space="preserve">If the Strategy and the Guidance does not explicitly address </w:t>
      </w:r>
      <w:r w:rsidR="00382E61">
        <w:rPr>
          <w:color w:val="211D1E"/>
        </w:rPr>
        <w:t xml:space="preserve">how to deal with </w:t>
      </w:r>
      <w:r>
        <w:rPr>
          <w:color w:val="211D1E"/>
        </w:rPr>
        <w:t>these issues</w:t>
      </w:r>
      <w:r w:rsidR="00382E61">
        <w:rPr>
          <w:color w:val="211D1E"/>
        </w:rPr>
        <w:t xml:space="preserve"> in practice</w:t>
      </w:r>
      <w:r>
        <w:rPr>
          <w:color w:val="211D1E"/>
        </w:rPr>
        <w:t xml:space="preserve">, the intended ‘culture change’ within government is unlikely to be achieved, and, enduring positive outcomes in the lives of lives of </w:t>
      </w:r>
      <w:r w:rsidRPr="005A612D">
        <w:rPr>
          <w:color w:val="211D1E"/>
        </w:rPr>
        <w:t xml:space="preserve">Aboriginal and Torres Strait Islander people are unlikely to be achieved. </w:t>
      </w:r>
    </w:p>
    <w:p w14:paraId="4A4135DD" w14:textId="604F1ED6" w:rsidR="003F3D84" w:rsidRDefault="002E677E" w:rsidP="00382E61">
      <w:pPr>
        <w:ind w:right="-330"/>
        <w:rPr>
          <w:color w:val="211D1E"/>
        </w:rPr>
      </w:pPr>
      <w:r w:rsidRPr="005A612D">
        <w:rPr>
          <w:color w:val="211D1E"/>
        </w:rPr>
        <w:t xml:space="preserve">We urge that the Strategy provides incentives </w:t>
      </w:r>
      <w:r w:rsidR="00795489" w:rsidRPr="005A612D">
        <w:rPr>
          <w:color w:val="211D1E"/>
        </w:rPr>
        <w:t>and</w:t>
      </w:r>
      <w:r w:rsidRPr="005A612D">
        <w:rPr>
          <w:color w:val="211D1E"/>
        </w:rPr>
        <w:t xml:space="preserve"> also </w:t>
      </w:r>
      <w:r w:rsidR="00DF65EC" w:rsidRPr="005A612D">
        <w:rPr>
          <w:color w:val="211D1E"/>
        </w:rPr>
        <w:t xml:space="preserve">clear and </w:t>
      </w:r>
      <w:r w:rsidRPr="005A612D">
        <w:rPr>
          <w:color w:val="211D1E"/>
        </w:rPr>
        <w:t xml:space="preserve">explicit standards </w:t>
      </w:r>
      <w:r w:rsidR="00DF65EC" w:rsidRPr="005A612D">
        <w:rPr>
          <w:color w:val="211D1E"/>
        </w:rPr>
        <w:t xml:space="preserve">for accountability in terms of </w:t>
      </w:r>
      <w:r w:rsidRPr="005A612D">
        <w:rPr>
          <w:color w:val="211D1E"/>
        </w:rPr>
        <w:t>implementation of the principles.</w:t>
      </w:r>
      <w:r w:rsidR="00382E61" w:rsidRPr="005A612D">
        <w:rPr>
          <w:color w:val="211D1E"/>
        </w:rPr>
        <w:t xml:space="preserve"> In this regard, we welcome the ‘maturity approach to evaluation’ but note that this needs to include the benchmarks to be reached, starting from what needs to be achieved ‘right now’ and ‘over time’. There is no time to waste if we are to break the current trajectory of ‘significant gaps in major health and well-being outcomes between Indigenous and non-Indigenous Australians’. For example, consistent with the principle of ‘first do no harm’, cultural competency should be an entry requirement for any government actor working in the Indigenous space</w:t>
      </w:r>
      <w:r w:rsidR="00DF65EC" w:rsidRPr="005A612D">
        <w:rPr>
          <w:color w:val="211D1E"/>
        </w:rPr>
        <w:t xml:space="preserve"> –regardless of what level the work takes place</w:t>
      </w:r>
      <w:r w:rsidR="00382E61" w:rsidRPr="005A612D">
        <w:rPr>
          <w:color w:val="211D1E"/>
        </w:rPr>
        <w:t>; not something that government agencies need</w:t>
      </w:r>
      <w:r w:rsidR="00382E61">
        <w:rPr>
          <w:color w:val="211D1E"/>
        </w:rPr>
        <w:t xml:space="preserve"> to achieve for their staff ‘over time’.</w:t>
      </w:r>
      <w:r w:rsidR="00755E8E">
        <w:rPr>
          <w:color w:val="211D1E"/>
        </w:rPr>
        <w:t xml:space="preserve"> We note the intent to detail the maturity model</w:t>
      </w:r>
      <w:r w:rsidR="00DF65EC">
        <w:rPr>
          <w:color w:val="211D1E"/>
        </w:rPr>
        <w:t xml:space="preserve"> </w:t>
      </w:r>
      <w:r w:rsidR="00755E8E">
        <w:rPr>
          <w:color w:val="211D1E"/>
        </w:rPr>
        <w:t>before finalizing the Strategy [Strategy, p.20] and we urge that the Commissioner takes the opportunity to include explicit standards and benchmarks</w:t>
      </w:r>
      <w:r w:rsidR="003B0219">
        <w:rPr>
          <w:color w:val="211D1E"/>
        </w:rPr>
        <w:t xml:space="preserve"> for various levels of maturity</w:t>
      </w:r>
      <w:r w:rsidR="00DF65EC">
        <w:rPr>
          <w:color w:val="211D1E"/>
        </w:rPr>
        <w:t xml:space="preserve"> and when to need to be reached as part of a maturity rubric</w:t>
      </w:r>
      <w:r w:rsidR="00755E8E">
        <w:rPr>
          <w:rFonts w:cs="Roboto"/>
          <w:color w:val="211D1E"/>
          <w:sz w:val="18"/>
          <w:szCs w:val="18"/>
        </w:rPr>
        <w:t>.</w:t>
      </w:r>
    </w:p>
    <w:p w14:paraId="6D3BF1E7" w14:textId="2A9B178E" w:rsidR="00382E61" w:rsidRPr="008115B0" w:rsidRDefault="00382E61" w:rsidP="00382E61">
      <w:pPr>
        <w:ind w:right="-330"/>
        <w:rPr>
          <w:color w:val="211D1E"/>
        </w:rPr>
      </w:pPr>
      <w:r>
        <w:rPr>
          <w:color w:val="211D1E"/>
        </w:rPr>
        <w:t xml:space="preserve">While the ‘centrality of </w:t>
      </w:r>
      <w:r w:rsidRPr="00CC0173">
        <w:rPr>
          <w:color w:val="211D1E"/>
        </w:rPr>
        <w:t>Aboriginal and Torres Strait Islander</w:t>
      </w:r>
      <w:r>
        <w:rPr>
          <w:color w:val="211D1E"/>
        </w:rPr>
        <w:t xml:space="preserve">’ is reflected in </w:t>
      </w:r>
      <w:r w:rsidR="00655B47">
        <w:rPr>
          <w:color w:val="211D1E"/>
        </w:rPr>
        <w:t xml:space="preserve">‘Questions to consider in….’ [add relevant pages] in </w:t>
      </w:r>
      <w:r>
        <w:rPr>
          <w:color w:val="211D1E"/>
        </w:rPr>
        <w:t xml:space="preserve">the </w:t>
      </w:r>
      <w:r w:rsidR="00655B47">
        <w:rPr>
          <w:color w:val="211D1E"/>
        </w:rPr>
        <w:t xml:space="preserve">Guide, we </w:t>
      </w:r>
      <w:r>
        <w:rPr>
          <w:color w:val="211D1E"/>
        </w:rPr>
        <w:t xml:space="preserve">are particularly concerned that Fig </w:t>
      </w:r>
      <w:r w:rsidR="00655B47">
        <w:rPr>
          <w:color w:val="211D1E"/>
        </w:rPr>
        <w:t xml:space="preserve">2 [Guide, p.4] does not reflect </w:t>
      </w:r>
      <w:r w:rsidR="00655B47">
        <w:rPr>
          <w:color w:val="211D1E"/>
        </w:rPr>
        <w:lastRenderedPageBreak/>
        <w:t>this core principle at all. There is one instance of noting ‘identify and engage with those affected’ in the policy/program cycle</w:t>
      </w:r>
      <w:r w:rsidR="000A549B">
        <w:rPr>
          <w:color w:val="211D1E"/>
        </w:rPr>
        <w:t xml:space="preserve">’ (see </w:t>
      </w:r>
      <w:r w:rsidR="009434FA">
        <w:rPr>
          <w:color w:val="211D1E"/>
        </w:rPr>
        <w:t xml:space="preserve">highlighted </w:t>
      </w:r>
      <w:r w:rsidR="000A549B">
        <w:rPr>
          <w:color w:val="211D1E"/>
        </w:rPr>
        <w:t>below)</w:t>
      </w:r>
      <w:r w:rsidR="00655B47">
        <w:rPr>
          <w:color w:val="211D1E"/>
        </w:rPr>
        <w:t xml:space="preserve">, </w:t>
      </w:r>
      <w:r w:rsidR="000A549B">
        <w:rPr>
          <w:color w:val="211D1E"/>
        </w:rPr>
        <w:t xml:space="preserve">falling </w:t>
      </w:r>
      <w:r w:rsidR="00655B47">
        <w:rPr>
          <w:color w:val="211D1E"/>
        </w:rPr>
        <w:t xml:space="preserve">far short of the engagement that needs to happen during </w:t>
      </w:r>
      <w:r w:rsidR="000A549B">
        <w:rPr>
          <w:color w:val="211D1E"/>
        </w:rPr>
        <w:t xml:space="preserve">every stage of the cycle and associated evaluative </w:t>
      </w:r>
      <w:r w:rsidR="000A549B" w:rsidRPr="008115B0">
        <w:rPr>
          <w:color w:val="211D1E"/>
        </w:rPr>
        <w:t xml:space="preserve">activity. </w:t>
      </w:r>
      <w:r w:rsidR="00DF65EC">
        <w:rPr>
          <w:color w:val="211D1E"/>
        </w:rPr>
        <w:t xml:space="preserve">Specified and </w:t>
      </w:r>
      <w:r w:rsidR="00DF65EC" w:rsidRPr="009434FA">
        <w:rPr>
          <w:color w:val="211D1E"/>
        </w:rPr>
        <w:t>appropriate engagement</w:t>
      </w:r>
      <w:r w:rsidR="008115B0" w:rsidRPr="009434FA">
        <w:rPr>
          <w:rFonts w:eastAsia="Times New Roman"/>
          <w:color w:val="000000"/>
        </w:rPr>
        <w:t xml:space="preserve"> needs to be done </w:t>
      </w:r>
      <w:r w:rsidR="00DF65EC" w:rsidRPr="009434FA">
        <w:rPr>
          <w:rFonts w:eastAsia="Times New Roman"/>
          <w:color w:val="000000"/>
        </w:rPr>
        <w:t xml:space="preserve">from the </w:t>
      </w:r>
      <w:r w:rsidR="008115B0" w:rsidRPr="009434FA">
        <w:rPr>
          <w:rFonts w:eastAsia="Times New Roman"/>
          <w:color w:val="000000"/>
        </w:rPr>
        <w:t xml:space="preserve">early tasks including identifying priority issues to address, relevant evidence </w:t>
      </w:r>
      <w:r w:rsidR="00DF65EC" w:rsidRPr="009434FA">
        <w:rPr>
          <w:rFonts w:eastAsia="Times New Roman"/>
          <w:color w:val="000000"/>
        </w:rPr>
        <w:t xml:space="preserve">to compile </w:t>
      </w:r>
      <w:r w:rsidR="008115B0" w:rsidRPr="009434FA">
        <w:rPr>
          <w:rFonts w:eastAsia="Times New Roman"/>
          <w:color w:val="000000"/>
        </w:rPr>
        <w:t>and develop</w:t>
      </w:r>
      <w:r w:rsidR="00DF65EC" w:rsidRPr="009434FA">
        <w:rPr>
          <w:rFonts w:eastAsia="Times New Roman"/>
          <w:color w:val="000000"/>
        </w:rPr>
        <w:t>ing</w:t>
      </w:r>
      <w:r w:rsidR="008115B0" w:rsidRPr="009434FA">
        <w:rPr>
          <w:rFonts w:eastAsia="Times New Roman"/>
          <w:color w:val="000000"/>
        </w:rPr>
        <w:t xml:space="preserve"> program logics</w:t>
      </w:r>
      <w:r w:rsidR="00DF65EC" w:rsidRPr="009434FA">
        <w:rPr>
          <w:rFonts w:eastAsia="Times New Roman"/>
          <w:color w:val="000000"/>
        </w:rPr>
        <w:t xml:space="preserve"> to determining information needs (primary users and uses) to the final stages of actual use in making decisions about existing </w:t>
      </w:r>
      <w:r w:rsidR="009434FA" w:rsidRPr="009434FA">
        <w:rPr>
          <w:rFonts w:eastAsia="Times New Roman"/>
          <w:color w:val="000000"/>
        </w:rPr>
        <w:t xml:space="preserve">and new </w:t>
      </w:r>
      <w:r w:rsidR="00DF65EC" w:rsidRPr="009434FA">
        <w:rPr>
          <w:rFonts w:eastAsia="Times New Roman"/>
          <w:color w:val="000000"/>
        </w:rPr>
        <w:t>policies and programs</w:t>
      </w:r>
      <w:r w:rsidR="008115B0" w:rsidRPr="009434FA">
        <w:rPr>
          <w:rFonts w:eastAsia="Times New Roman"/>
          <w:color w:val="000000"/>
        </w:rPr>
        <w:t>.</w:t>
      </w:r>
    </w:p>
    <w:p w14:paraId="09743288" w14:textId="418F4B99" w:rsidR="00655B47" w:rsidRDefault="009434FA" w:rsidP="00382E61">
      <w:pPr>
        <w:ind w:right="-330"/>
        <w:rPr>
          <w:color w:val="211D1E"/>
        </w:rPr>
      </w:pPr>
      <w:r>
        <w:rPr>
          <w:noProof/>
          <w:color w:val="211D1E"/>
          <w:lang w:eastAsia="en-AU"/>
        </w:rPr>
        <mc:AlternateContent>
          <mc:Choice Requires="wps">
            <w:drawing>
              <wp:anchor distT="0" distB="0" distL="114300" distR="114300" simplePos="0" relativeHeight="251662336" behindDoc="0" locked="0" layoutInCell="1" allowOverlap="1" wp14:anchorId="31540885" wp14:editId="548751E2">
                <wp:simplePos x="0" y="0"/>
                <wp:positionH relativeFrom="column">
                  <wp:posOffset>2976562</wp:posOffset>
                </wp:positionH>
                <wp:positionV relativeFrom="paragraph">
                  <wp:posOffset>719773</wp:posOffset>
                </wp:positionV>
                <wp:extent cx="1252537" cy="238125"/>
                <wp:effectExtent l="0" t="0" r="24130" b="28575"/>
                <wp:wrapNone/>
                <wp:docPr id="2" name="Oval 2"/>
                <wp:cNvGraphicFramePr/>
                <a:graphic xmlns:a="http://schemas.openxmlformats.org/drawingml/2006/main">
                  <a:graphicData uri="http://schemas.microsoft.com/office/word/2010/wordprocessingShape">
                    <wps:wsp>
                      <wps:cNvSpPr/>
                      <wps:spPr>
                        <a:xfrm>
                          <a:off x="0" y="0"/>
                          <a:ext cx="1252537"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44EE27" id="Oval 2" o:spid="_x0000_s1026" style="position:absolute;margin-left:234.35pt;margin-top:56.7pt;width:98.6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" filled="f" strokecolor="red" strokeweight="1pt">
                <v:stroke joinstyle="miter"/>
              </v:oval>
            </w:pict>
          </mc:Fallback>
        </mc:AlternateContent>
      </w:r>
      <w:r w:rsidR="00655B47" w:rsidRPr="00655B47">
        <w:rPr>
          <w:noProof/>
          <w:color w:val="211D1E"/>
          <w:lang w:eastAsia="en-AU"/>
        </w:rPr>
        <w:drawing>
          <wp:inline distT="0" distB="0" distL="0" distR="0" wp14:anchorId="4549A187" wp14:editId="34C69135">
            <wp:extent cx="4457733" cy="29051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57733" cy="2905146"/>
                    </a:xfrm>
                    <a:prstGeom prst="rect">
                      <a:avLst/>
                    </a:prstGeom>
                  </pic:spPr>
                </pic:pic>
              </a:graphicData>
            </a:graphic>
          </wp:inline>
        </w:drawing>
      </w:r>
    </w:p>
    <w:p w14:paraId="7F9D1970" w14:textId="30010FC2" w:rsidR="002472F7" w:rsidRDefault="003F3D84" w:rsidP="00F12BA0">
      <w:pPr>
        <w:ind w:right="-330"/>
        <w:rPr>
          <w:color w:val="211D1E"/>
        </w:rPr>
      </w:pPr>
      <w:r>
        <w:rPr>
          <w:color w:val="211D1E"/>
        </w:rPr>
        <w:t xml:space="preserve">In light of the above comments, </w:t>
      </w:r>
      <w:r w:rsidR="00F12BA0">
        <w:rPr>
          <w:color w:val="211D1E"/>
        </w:rPr>
        <w:t>we strongly recommend that</w:t>
      </w:r>
      <w:r w:rsidR="002472F7">
        <w:rPr>
          <w:color w:val="211D1E"/>
        </w:rPr>
        <w:t>:</w:t>
      </w:r>
    </w:p>
    <w:p w14:paraId="79820EFB" w14:textId="11C404C3" w:rsidR="002472F7" w:rsidRDefault="002472F7" w:rsidP="002472F7">
      <w:pPr>
        <w:pStyle w:val="ListParagraph"/>
        <w:numPr>
          <w:ilvl w:val="0"/>
          <w:numId w:val="4"/>
        </w:numPr>
        <w:ind w:right="-330"/>
        <w:rPr>
          <w:color w:val="211D1E"/>
        </w:rPr>
      </w:pPr>
      <w:r>
        <w:rPr>
          <w:color w:val="211D1E"/>
        </w:rPr>
        <w:t xml:space="preserve">all </w:t>
      </w:r>
      <w:r w:rsidR="00F12BA0" w:rsidRPr="002472F7">
        <w:rPr>
          <w:color w:val="211D1E"/>
        </w:rPr>
        <w:t>references to ‘mutually beneficial</w:t>
      </w:r>
      <w:r w:rsidR="0091443F">
        <w:rPr>
          <w:color w:val="211D1E"/>
        </w:rPr>
        <w:t xml:space="preserve"> outcomes</w:t>
      </w:r>
      <w:r w:rsidR="00F12BA0" w:rsidRPr="002472F7">
        <w:rPr>
          <w:color w:val="211D1E"/>
        </w:rPr>
        <w:t>’ are removed</w:t>
      </w:r>
      <w:r w:rsidR="00C40846">
        <w:rPr>
          <w:color w:val="211D1E"/>
        </w:rPr>
        <w:t>;</w:t>
      </w:r>
    </w:p>
    <w:p w14:paraId="78C032C8" w14:textId="3E31E894" w:rsidR="002B16B7" w:rsidRDefault="00F12BA0" w:rsidP="002472F7">
      <w:pPr>
        <w:pStyle w:val="ListParagraph"/>
        <w:numPr>
          <w:ilvl w:val="0"/>
          <w:numId w:val="4"/>
        </w:numPr>
        <w:ind w:right="-330"/>
        <w:rPr>
          <w:color w:val="211D1E"/>
        </w:rPr>
      </w:pPr>
      <w:r w:rsidRPr="002472F7">
        <w:rPr>
          <w:color w:val="211D1E"/>
        </w:rPr>
        <w:t>there is explicit endorsement of</w:t>
      </w:r>
      <w:r w:rsidR="002472F7">
        <w:rPr>
          <w:color w:val="211D1E"/>
        </w:rPr>
        <w:t xml:space="preserve"> </w:t>
      </w:r>
      <w:r w:rsidRPr="002472F7">
        <w:rPr>
          <w:color w:val="211D1E"/>
        </w:rPr>
        <w:t xml:space="preserve">and </w:t>
      </w:r>
      <w:r w:rsidR="008115B0">
        <w:rPr>
          <w:color w:val="211D1E"/>
        </w:rPr>
        <w:t xml:space="preserve">a detailed </w:t>
      </w:r>
      <w:r w:rsidR="002472F7">
        <w:rPr>
          <w:color w:val="211D1E"/>
        </w:rPr>
        <w:t xml:space="preserve">description of </w:t>
      </w:r>
      <w:r w:rsidRPr="002472F7">
        <w:rPr>
          <w:color w:val="211D1E"/>
        </w:rPr>
        <w:t>processes for</w:t>
      </w:r>
      <w:r w:rsidR="002472F7">
        <w:rPr>
          <w:color w:val="211D1E"/>
        </w:rPr>
        <w:t xml:space="preserve"> decision making that favours </w:t>
      </w:r>
      <w:r w:rsidR="002472F7" w:rsidRPr="00CC0173">
        <w:rPr>
          <w:color w:val="211D1E"/>
        </w:rPr>
        <w:t>Aboriginal and Torres Strait Islander people</w:t>
      </w:r>
      <w:r w:rsidR="002472F7">
        <w:rPr>
          <w:color w:val="211D1E"/>
        </w:rPr>
        <w:t xml:space="preserve"> priorities</w:t>
      </w:r>
      <w:r w:rsidR="000A549B">
        <w:rPr>
          <w:color w:val="211D1E"/>
        </w:rPr>
        <w:t xml:space="preserve"> [</w:t>
      </w:r>
      <w:r w:rsidR="002B16B7">
        <w:rPr>
          <w:color w:val="211D1E"/>
        </w:rPr>
        <w:t xml:space="preserve">see, for example, </w:t>
      </w:r>
      <w:hyperlink r:id="rId13" w:history="1">
        <w:r w:rsidR="006F5006" w:rsidRPr="00E76C33">
          <w:rPr>
            <w:rStyle w:val="Hyperlink"/>
          </w:rPr>
          <w:t>https://www.betterevaluation.org/en/rainbow_framework/manage/establish_decision_making_processes</w:t>
        </w:r>
      </w:hyperlink>
      <w:r w:rsidR="006F5006">
        <w:rPr>
          <w:color w:val="211D1E"/>
        </w:rPr>
        <w:t>]</w:t>
      </w:r>
    </w:p>
    <w:p w14:paraId="1ACF777B" w14:textId="5C2C2EA9" w:rsidR="00DA4A7A" w:rsidRDefault="002472F7" w:rsidP="000A549B">
      <w:pPr>
        <w:pStyle w:val="ListParagraph"/>
        <w:numPr>
          <w:ilvl w:val="0"/>
          <w:numId w:val="4"/>
        </w:numPr>
        <w:ind w:right="-330"/>
        <w:rPr>
          <w:color w:val="211D1E"/>
        </w:rPr>
      </w:pPr>
      <w:r>
        <w:rPr>
          <w:color w:val="211D1E"/>
        </w:rPr>
        <w:t xml:space="preserve">explicit standards are defined for what constitutes </w:t>
      </w:r>
      <w:r w:rsidR="000A549B">
        <w:rPr>
          <w:color w:val="211D1E"/>
        </w:rPr>
        <w:t>‘</w:t>
      </w:r>
      <w:r w:rsidR="002B16B7">
        <w:rPr>
          <w:color w:val="211D1E"/>
        </w:rPr>
        <w:t xml:space="preserve">genuine’, ‘meaningful’, ‘effective’, ‘shared’ or the like </w:t>
      </w:r>
      <w:r w:rsidR="000A549B">
        <w:rPr>
          <w:color w:val="211D1E"/>
        </w:rPr>
        <w:t>partnership</w:t>
      </w:r>
      <w:r w:rsidR="002B16B7">
        <w:rPr>
          <w:color w:val="211D1E"/>
        </w:rPr>
        <w:t>s</w:t>
      </w:r>
      <w:r w:rsidR="000A549B">
        <w:rPr>
          <w:color w:val="211D1E"/>
        </w:rPr>
        <w:t xml:space="preserve">, </w:t>
      </w:r>
      <w:r w:rsidR="002B16B7">
        <w:rPr>
          <w:color w:val="211D1E"/>
        </w:rPr>
        <w:t xml:space="preserve">engagement and </w:t>
      </w:r>
      <w:r w:rsidR="000A549B">
        <w:rPr>
          <w:color w:val="211D1E"/>
        </w:rPr>
        <w:t xml:space="preserve">decision making’ </w:t>
      </w:r>
      <w:r w:rsidR="002B16B7">
        <w:rPr>
          <w:color w:val="211D1E"/>
        </w:rPr>
        <w:t xml:space="preserve">cognisant of existing trust and power relationships </w:t>
      </w:r>
      <w:r w:rsidR="000A549B">
        <w:rPr>
          <w:color w:val="211D1E"/>
        </w:rPr>
        <w:t>(i.e., whose voice counts) [</w:t>
      </w:r>
      <w:r w:rsidR="002B16B7">
        <w:rPr>
          <w:color w:val="211D1E"/>
        </w:rPr>
        <w:t>see, for example,</w:t>
      </w:r>
      <w:r w:rsidR="005641A9">
        <w:rPr>
          <w:color w:val="211D1E"/>
        </w:rPr>
        <w:t xml:space="preserve"> ‘transformative participation’ </w:t>
      </w:r>
      <w:r w:rsidR="005641A9">
        <w:rPr>
          <w:rStyle w:val="FootnoteReference"/>
          <w:color w:val="211D1E"/>
        </w:rPr>
        <w:footnoteReference w:id="1"/>
      </w:r>
      <w:r w:rsidR="005641A9">
        <w:rPr>
          <w:color w:val="211D1E"/>
        </w:rPr>
        <w:t xml:space="preserve">; </w:t>
      </w:r>
      <w:r w:rsidR="00DA4A7A">
        <w:rPr>
          <w:color w:val="211D1E"/>
        </w:rPr>
        <w:t xml:space="preserve">using </w:t>
      </w:r>
      <w:r w:rsidR="005641A9">
        <w:rPr>
          <w:color w:val="211D1E"/>
        </w:rPr>
        <w:t>‘</w:t>
      </w:r>
      <w:r w:rsidR="00DA4A7A">
        <w:rPr>
          <w:color w:val="211D1E"/>
        </w:rPr>
        <w:t>cultural strengths’</w:t>
      </w:r>
      <w:r w:rsidR="00DA4A7A">
        <w:rPr>
          <w:rStyle w:val="FootnoteReference"/>
          <w:color w:val="211D1E"/>
        </w:rPr>
        <w:footnoteReference w:id="2"/>
      </w:r>
      <w:r w:rsidR="00DA4A7A">
        <w:rPr>
          <w:color w:val="211D1E"/>
        </w:rPr>
        <w:t>; the work by Robert Chambers and colleagues</w:t>
      </w:r>
      <w:r w:rsidR="00DA4A7A">
        <w:rPr>
          <w:rStyle w:val="FootnoteReference"/>
          <w:color w:val="211D1E"/>
        </w:rPr>
        <w:footnoteReference w:id="3"/>
      </w:r>
      <w:r w:rsidR="0075099F">
        <w:rPr>
          <w:color w:val="211D1E"/>
        </w:rPr>
        <w:t xml:space="preserve">; </w:t>
      </w:r>
      <w:hyperlink r:id="rId14" w:history="1">
        <w:r w:rsidR="0075099F" w:rsidRPr="00E76C33">
          <w:rPr>
            <w:rStyle w:val="Hyperlink"/>
          </w:rPr>
          <w:t>https://www.unicef-irc.org/publications/750-participatory-approaches-methodological-briefs-impact-evaluation-no-5.html</w:t>
        </w:r>
      </w:hyperlink>
      <w:r w:rsidR="005A612D">
        <w:rPr>
          <w:color w:val="211D1E"/>
        </w:rPr>
        <w:t xml:space="preserve">; </w:t>
      </w:r>
      <w:hyperlink r:id="rId15" w:history="1">
        <w:r w:rsidR="005A612D" w:rsidRPr="003776AC">
          <w:rPr>
            <w:rStyle w:val="Hyperlink"/>
          </w:rPr>
          <w:t>https://www.betterevaluation.org/en/themes/evaluation-practice-aboriginal-and-torres-strait-islander-settings</w:t>
        </w:r>
      </w:hyperlink>
      <w:r w:rsidR="005A612D">
        <w:rPr>
          <w:color w:val="211D1E"/>
        </w:rPr>
        <w:t>]</w:t>
      </w:r>
    </w:p>
    <w:p w14:paraId="4FF4A57C" w14:textId="078E3A82" w:rsidR="002472F7" w:rsidRPr="00AA1300" w:rsidRDefault="000A549B" w:rsidP="00AA1300">
      <w:pPr>
        <w:pStyle w:val="ListParagraph"/>
        <w:numPr>
          <w:ilvl w:val="0"/>
          <w:numId w:val="4"/>
        </w:numPr>
        <w:ind w:right="-330"/>
        <w:rPr>
          <w:color w:val="211D1E"/>
        </w:rPr>
      </w:pPr>
      <w:r>
        <w:rPr>
          <w:color w:val="211D1E"/>
        </w:rPr>
        <w:t xml:space="preserve">explicit benchmarks </w:t>
      </w:r>
      <w:r w:rsidR="002B16B7">
        <w:rPr>
          <w:color w:val="211D1E"/>
        </w:rPr>
        <w:t xml:space="preserve">and timelines </w:t>
      </w:r>
      <w:r w:rsidR="00AA1300">
        <w:rPr>
          <w:color w:val="211D1E"/>
        </w:rPr>
        <w:t xml:space="preserve">are included </w:t>
      </w:r>
      <w:r>
        <w:rPr>
          <w:color w:val="211D1E"/>
        </w:rPr>
        <w:t xml:space="preserve">for putting </w:t>
      </w:r>
      <w:r w:rsidR="002B16B7">
        <w:rPr>
          <w:color w:val="211D1E"/>
        </w:rPr>
        <w:t xml:space="preserve">the </w:t>
      </w:r>
      <w:r>
        <w:rPr>
          <w:color w:val="211D1E"/>
        </w:rPr>
        <w:t>principles in</w:t>
      </w:r>
      <w:r w:rsidR="00AA1300">
        <w:rPr>
          <w:color w:val="211D1E"/>
        </w:rPr>
        <w:t>to</w:t>
      </w:r>
      <w:r>
        <w:rPr>
          <w:color w:val="211D1E"/>
        </w:rPr>
        <w:t xml:space="preserve"> practice in the maturity model</w:t>
      </w:r>
      <w:r w:rsidR="002B16B7">
        <w:rPr>
          <w:color w:val="211D1E"/>
        </w:rPr>
        <w:t xml:space="preserve"> (ideally expressed as a </w:t>
      </w:r>
      <w:r w:rsidR="00AA1300">
        <w:rPr>
          <w:color w:val="211D1E"/>
        </w:rPr>
        <w:t>rubric</w:t>
      </w:r>
      <w:r w:rsidR="002B16B7">
        <w:rPr>
          <w:color w:val="211D1E"/>
        </w:rPr>
        <w:t>);</w:t>
      </w:r>
    </w:p>
    <w:p w14:paraId="6157075B" w14:textId="5D57C523" w:rsidR="003C777D" w:rsidRPr="008A5D0A" w:rsidRDefault="000A549B" w:rsidP="002036E8">
      <w:pPr>
        <w:pStyle w:val="ListParagraph"/>
        <w:numPr>
          <w:ilvl w:val="0"/>
          <w:numId w:val="4"/>
        </w:numPr>
        <w:ind w:right="-330"/>
        <w:rPr>
          <w:rFonts w:cs="Roboto"/>
          <w:color w:val="211D1E"/>
          <w:sz w:val="18"/>
          <w:szCs w:val="18"/>
        </w:rPr>
      </w:pPr>
      <w:r w:rsidRPr="008A5D0A">
        <w:rPr>
          <w:color w:val="211D1E"/>
        </w:rPr>
        <w:t xml:space="preserve">Fig 2 in the Guide </w:t>
      </w:r>
      <w:r w:rsidR="00EB6B30" w:rsidRPr="008A5D0A">
        <w:rPr>
          <w:color w:val="211D1E"/>
        </w:rPr>
        <w:t xml:space="preserve">be revised </w:t>
      </w:r>
      <w:r w:rsidRPr="008A5D0A">
        <w:rPr>
          <w:color w:val="211D1E"/>
        </w:rPr>
        <w:t xml:space="preserve">to </w:t>
      </w:r>
      <w:r w:rsidR="002B16B7" w:rsidRPr="008A5D0A">
        <w:rPr>
          <w:color w:val="211D1E"/>
        </w:rPr>
        <w:t>indicate</w:t>
      </w:r>
      <w:r w:rsidRPr="008A5D0A">
        <w:rPr>
          <w:color w:val="211D1E"/>
        </w:rPr>
        <w:t xml:space="preserve"> when, how and with whom </w:t>
      </w:r>
      <w:r w:rsidR="00AD462F" w:rsidRPr="008A5D0A">
        <w:rPr>
          <w:color w:val="211D1E"/>
        </w:rPr>
        <w:t xml:space="preserve">there </w:t>
      </w:r>
      <w:r w:rsidRPr="008A5D0A">
        <w:rPr>
          <w:color w:val="211D1E"/>
        </w:rPr>
        <w:t xml:space="preserve">needs to be </w:t>
      </w:r>
      <w:r w:rsidR="00AD462F" w:rsidRPr="008A5D0A">
        <w:rPr>
          <w:color w:val="211D1E"/>
        </w:rPr>
        <w:t xml:space="preserve">engagement </w:t>
      </w:r>
      <w:r w:rsidRPr="008A5D0A">
        <w:rPr>
          <w:color w:val="211D1E"/>
        </w:rPr>
        <w:t xml:space="preserve">to ensure the </w:t>
      </w:r>
      <w:r w:rsidR="002B16B7" w:rsidRPr="008A5D0A">
        <w:rPr>
          <w:color w:val="211D1E"/>
        </w:rPr>
        <w:t>overarching</w:t>
      </w:r>
      <w:r w:rsidRPr="008A5D0A">
        <w:rPr>
          <w:color w:val="211D1E"/>
        </w:rPr>
        <w:t xml:space="preserve"> principle of ‘centrality of Aboriginal and Torres Strait Islander</w:t>
      </w:r>
      <w:r w:rsidR="002B16B7" w:rsidRPr="008A5D0A">
        <w:rPr>
          <w:color w:val="211D1E"/>
        </w:rPr>
        <w:t xml:space="preserve"> People perspectives, priorities and knowledges’</w:t>
      </w:r>
      <w:r w:rsidRPr="008A5D0A">
        <w:rPr>
          <w:color w:val="211D1E"/>
        </w:rPr>
        <w:t xml:space="preserve"> is implemented</w:t>
      </w:r>
      <w:r w:rsidR="002B16B7" w:rsidRPr="008A5D0A">
        <w:rPr>
          <w:color w:val="211D1E"/>
        </w:rPr>
        <w:t xml:space="preserve"> across all stages of the cycle.</w:t>
      </w:r>
    </w:p>
    <w:p w14:paraId="3AA1F5BB" w14:textId="7AFB9CD9" w:rsidR="00795489" w:rsidRPr="00795489" w:rsidRDefault="0075099F" w:rsidP="008A5D0A">
      <w:pPr>
        <w:pStyle w:val="ListParagraph"/>
        <w:numPr>
          <w:ilvl w:val="0"/>
          <w:numId w:val="3"/>
        </w:numPr>
        <w:pBdr>
          <w:top w:val="single" w:sz="4" w:space="1" w:color="auto"/>
        </w:pBdr>
        <w:rPr>
          <w:rStyle w:val="normaltextrun"/>
          <w:rFonts w:ascii="Calibri" w:hAnsi="Calibri" w:cs="Calibri"/>
          <w:b/>
          <w:bCs/>
        </w:rPr>
      </w:pPr>
      <w:r w:rsidRPr="00795489">
        <w:rPr>
          <w:b/>
          <w:bCs/>
        </w:rPr>
        <w:br w:type="page"/>
      </w:r>
      <w:r w:rsidR="00795489" w:rsidRPr="00795489">
        <w:rPr>
          <w:rStyle w:val="normaltextrun"/>
          <w:rFonts w:ascii="Calibri" w:hAnsi="Calibri" w:cs="Calibri"/>
          <w:b/>
          <w:bCs/>
          <w:i/>
          <w:iCs/>
        </w:rPr>
        <w:lastRenderedPageBreak/>
        <w:t xml:space="preserve">The need for the Strategy, </w:t>
      </w:r>
      <w:r w:rsidR="006B28C5">
        <w:rPr>
          <w:rStyle w:val="normaltextrun"/>
          <w:rFonts w:ascii="Calibri" w:hAnsi="Calibri" w:cs="Calibri"/>
          <w:b/>
          <w:bCs/>
          <w:i/>
          <w:iCs/>
        </w:rPr>
        <w:t>G</w:t>
      </w:r>
      <w:r w:rsidR="00795489" w:rsidRPr="00795489">
        <w:rPr>
          <w:rStyle w:val="normaltextrun"/>
          <w:rFonts w:ascii="Calibri" w:hAnsi="Calibri" w:cs="Calibri"/>
          <w:b/>
          <w:bCs/>
          <w:i/>
          <w:iCs/>
        </w:rPr>
        <w:t>uid</w:t>
      </w:r>
      <w:r w:rsidR="006B28C5">
        <w:rPr>
          <w:rStyle w:val="normaltextrun"/>
          <w:rFonts w:ascii="Calibri" w:hAnsi="Calibri" w:cs="Calibri"/>
          <w:b/>
          <w:bCs/>
          <w:i/>
          <w:iCs/>
        </w:rPr>
        <w:t>e</w:t>
      </w:r>
      <w:r w:rsidR="00795489" w:rsidRPr="00795489">
        <w:rPr>
          <w:rStyle w:val="normaltextrun"/>
          <w:rFonts w:ascii="Calibri" w:hAnsi="Calibri" w:cs="Calibri"/>
          <w:b/>
          <w:bCs/>
          <w:i/>
          <w:iCs/>
        </w:rPr>
        <w:t xml:space="preserve"> and </w:t>
      </w:r>
      <w:r w:rsidR="006B28C5">
        <w:rPr>
          <w:rStyle w:val="normaltextrun"/>
          <w:rFonts w:ascii="Calibri" w:hAnsi="Calibri" w:cs="Calibri"/>
          <w:b/>
          <w:bCs/>
          <w:i/>
          <w:iCs/>
        </w:rPr>
        <w:t>B</w:t>
      </w:r>
      <w:r w:rsidR="00795489" w:rsidRPr="00795489">
        <w:rPr>
          <w:rStyle w:val="normaltextrun"/>
          <w:rFonts w:ascii="Calibri" w:hAnsi="Calibri" w:cs="Calibri"/>
          <w:b/>
          <w:bCs/>
          <w:i/>
          <w:iCs/>
        </w:rPr>
        <w:t xml:space="preserve">ackground </w:t>
      </w:r>
      <w:r w:rsidR="006B28C5">
        <w:rPr>
          <w:rStyle w:val="normaltextrun"/>
          <w:rFonts w:ascii="Calibri" w:hAnsi="Calibri" w:cs="Calibri"/>
          <w:b/>
          <w:bCs/>
          <w:i/>
          <w:iCs/>
        </w:rPr>
        <w:t xml:space="preserve">Paper </w:t>
      </w:r>
      <w:r w:rsidR="00795489" w:rsidRPr="00795489">
        <w:rPr>
          <w:rStyle w:val="normaltextrun"/>
          <w:rFonts w:ascii="Calibri" w:hAnsi="Calibri" w:cs="Calibri"/>
          <w:b/>
          <w:bCs/>
          <w:i/>
          <w:iCs/>
        </w:rPr>
        <w:t>to cover all the types of evaluation that it identifies</w:t>
      </w:r>
      <w:r w:rsidR="00795489" w:rsidRPr="00795489">
        <w:rPr>
          <w:rStyle w:val="normaltextrun"/>
          <w:rFonts w:ascii="Calibri" w:hAnsi="Calibri" w:cs="Calibri"/>
          <w:b/>
          <w:bCs/>
        </w:rPr>
        <w:t xml:space="preserve"> and which are needed to improve performance</w:t>
      </w:r>
    </w:p>
    <w:p w14:paraId="010C2E6A" w14:textId="7C53B08C" w:rsidR="00795489" w:rsidRDefault="00795489" w:rsidP="00795489">
      <w:r>
        <w:t xml:space="preserve">The </w:t>
      </w:r>
      <w:r w:rsidR="006B28C5">
        <w:t>S</w:t>
      </w:r>
      <w:r>
        <w:t>trategy rightly points out that there are different types of evaluation which are used in different ways to improve decisions and actions in order to improve results.  However</w:t>
      </w:r>
      <w:r w:rsidR="006B28C5">
        <w:t>,</w:t>
      </w:r>
      <w:r>
        <w:t xml:space="preserve"> the </w:t>
      </w:r>
      <w:r w:rsidR="006B28C5">
        <w:t>S</w:t>
      </w:r>
      <w:r>
        <w:t xml:space="preserve">trategy, </w:t>
      </w:r>
      <w:r w:rsidR="006B28C5">
        <w:t>G</w:t>
      </w:r>
      <w:r>
        <w:t xml:space="preserve">uidance and </w:t>
      </w:r>
      <w:r w:rsidR="006B28C5">
        <w:t>B</w:t>
      </w:r>
      <w:r>
        <w:t xml:space="preserve">ackground </w:t>
      </w:r>
      <w:r w:rsidR="006B28C5">
        <w:t>P</w:t>
      </w:r>
      <w:r>
        <w:t xml:space="preserve">aper </w:t>
      </w:r>
      <w:r w:rsidRPr="00E372AD">
        <w:t xml:space="preserve">focus almost exclusively on supporting a few summative evaluations intended to answer policy questions about “what works”. </w:t>
      </w:r>
      <w:r>
        <w:t xml:space="preserve">This runs the very real risk that the </w:t>
      </w:r>
      <w:r w:rsidR="006B28C5">
        <w:t>S</w:t>
      </w:r>
      <w:r>
        <w:t>trategy will lead to less resourcing, guidance and incentives for other types of evaluation – especially</w:t>
      </w:r>
      <w:r w:rsidR="006B28C5">
        <w:t>,</w:t>
      </w:r>
      <w:r>
        <w:t xml:space="preserve"> evaluation that focuses on supporting implementation. </w:t>
      </w:r>
      <w:r w:rsidRPr="00E372AD">
        <w:t>Instead</w:t>
      </w:r>
      <w:r w:rsidR="006B28C5">
        <w:t>,</w:t>
      </w:r>
      <w:r w:rsidRPr="00E372AD">
        <w:t xml:space="preserve"> the </w:t>
      </w:r>
      <w:r w:rsidR="006B28C5">
        <w:t>S</w:t>
      </w:r>
      <w:r w:rsidRPr="00E372AD">
        <w:t>trategy needs to clearly address ways of strengthening the management, conduct and use of different types of evaluation to improve</w:t>
      </w:r>
      <w:r>
        <w:t xml:space="preserve"> performance and outcomes.</w:t>
      </w:r>
    </w:p>
    <w:p w14:paraId="4B5D36A1" w14:textId="37742BEE" w:rsidR="00795489" w:rsidRDefault="00795489" w:rsidP="00795489">
      <w:pPr>
        <w:keepNext/>
      </w:pPr>
      <w:r>
        <w:t xml:space="preserve">Implementation of </w:t>
      </w:r>
      <w:r w:rsidRPr="7698F8FB">
        <w:t>policy</w:t>
      </w:r>
      <w:r>
        <w:t xml:space="preserve"> is rarely a simple matter of ensuring compliance with policy. In most cases</w:t>
      </w:r>
      <w:r w:rsidR="006B28C5">
        <w:t>,</w:t>
      </w:r>
      <w:r>
        <w:t xml:space="preserve"> various degrees of knowledge translation and adaptation are needed to effectively implement policy in different settings.</w:t>
      </w:r>
    </w:p>
    <w:p w14:paraId="52059914" w14:textId="5DA6DD75" w:rsidR="00795489" w:rsidRDefault="00795489" w:rsidP="00795489">
      <w:pPr>
        <w:keepNext/>
      </w:pPr>
      <w:r>
        <w:t xml:space="preserve">There is increasing recognition that classical linear, and siloed approaches to planning and delivery are less appropriate in conditions of </w:t>
      </w:r>
      <w:r w:rsidRPr="003E775C">
        <w:t>volatility, uncertainty, complexity and ambiguity</w:t>
      </w:r>
      <w:r>
        <w:t>, or</w:t>
      </w:r>
      <w:r w:rsidR="006B28C5">
        <w:t>,</w:t>
      </w:r>
      <w:r>
        <w:t xml:space="preserve"> where seeking to develop whole-of-government approaches to ‘wicked problems’. Classical policy-level evaluation designs that aim to answer questions about ‘what works’ and then scale this up are also not useful in these instances. Instead</w:t>
      </w:r>
      <w:r w:rsidR="006B28C5">
        <w:t>,</w:t>
      </w:r>
      <w:r>
        <w:t xml:space="preserve"> evaluation needs to be embedded in planning and implementation processes to ensure that delivery is adapted to local needs, opportunities and priorities, moving from finding out ‘what works’ to supporting local adaptation to make things work better in all contexts.</w:t>
      </w:r>
    </w:p>
    <w:p w14:paraId="3BCE6A5C" w14:textId="46F00091" w:rsidR="00795489" w:rsidRDefault="00795489" w:rsidP="00795489">
      <w:pPr>
        <w:keepNext/>
      </w:pPr>
      <w:r>
        <w:t xml:space="preserve">This will include generating or drawing on good descriptive quantitative and qualitative data about needs and factors </w:t>
      </w:r>
      <w:r w:rsidR="006B28C5">
        <w:t xml:space="preserve">that are </w:t>
      </w:r>
      <w:r>
        <w:t>producing problems; information about the availability of resources</w:t>
      </w:r>
      <w:r w:rsidR="006B28C5">
        <w:t xml:space="preserve"> </w:t>
      </w:r>
      <w:r>
        <w:t>including existing infrastructure and capital (including human and social capital) that can be leveraged; details of how previous interventions have been implemented; information about what different people value in terms of results and processes; and</w:t>
      </w:r>
      <w:r w:rsidR="006B28C5">
        <w:t>,</w:t>
      </w:r>
      <w:r>
        <w:t xml:space="preserve"> the identification of ethical issues . The evidence for policy making therefore needs to also encompass statistical databases; qualitative needs analyses; reports from previous projects, similar projects and pilot projects; opinion surveys; and expert reviews.</w:t>
      </w:r>
    </w:p>
    <w:p w14:paraId="78D319F2" w14:textId="1891D792" w:rsidR="00795489" w:rsidRPr="00CB239A" w:rsidRDefault="00795489" w:rsidP="00795489">
      <w:r>
        <w:t xml:space="preserve">We recommend drawing from the recent HM Treasury (2020) </w:t>
      </w:r>
      <w:r w:rsidRPr="00642205">
        <w:rPr>
          <w:i/>
          <w:iCs/>
        </w:rPr>
        <w:t>Magenta Book: Supplementary Guide: Handling Complexity in Policy Evaluation</w:t>
      </w:r>
      <w:r>
        <w:rPr>
          <w:i/>
          <w:iCs/>
        </w:rPr>
        <w:t xml:space="preserve"> </w:t>
      </w:r>
      <w:r>
        <w:t>which sets out a useful set of evaluation questions and ways of answering them (</w:t>
      </w:r>
      <w:r w:rsidR="00AD462F">
        <w:t>Table 4</w:t>
      </w:r>
      <w:r w:rsidR="008A5D0A">
        <w:t xml:space="preserve">, </w:t>
      </w:r>
      <w:r>
        <w:t>p</w:t>
      </w:r>
      <w:r w:rsidR="00683E34">
        <w:t>.</w:t>
      </w:r>
      <w:r>
        <w:t>45-</w:t>
      </w:r>
      <w:r w:rsidR="006B28C5">
        <w:t>4</w:t>
      </w:r>
      <w:r>
        <w:t>6).</w:t>
      </w:r>
    </w:p>
    <w:p w14:paraId="5597408A" w14:textId="320A1583" w:rsidR="00795489" w:rsidRDefault="00795489" w:rsidP="00795489"/>
    <w:p w14:paraId="2693D011" w14:textId="023A7C83" w:rsidR="00795489" w:rsidRDefault="00795489" w:rsidP="00795489">
      <w:pPr>
        <w:ind w:left="284"/>
      </w:pPr>
    </w:p>
    <w:p w14:paraId="61190793" w14:textId="77777777" w:rsidR="006B28C5" w:rsidRDefault="006B28C5">
      <w:r>
        <w:br w:type="page"/>
      </w:r>
    </w:p>
    <w:p w14:paraId="464DF332" w14:textId="2D61219B" w:rsidR="0033563E" w:rsidRDefault="0033563E">
      <w:r w:rsidRPr="0033563E">
        <w:rPr>
          <w:noProof/>
          <w:lang w:eastAsia="en-AU"/>
        </w:rPr>
        <w:lastRenderedPageBreak/>
        <w:drawing>
          <wp:inline distT="0" distB="0" distL="0" distR="0" wp14:anchorId="7D1FD380" wp14:editId="4901CF09">
            <wp:extent cx="5372139" cy="631512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72139" cy="6315121"/>
                    </a:xfrm>
                    <a:prstGeom prst="rect">
                      <a:avLst/>
                    </a:prstGeom>
                  </pic:spPr>
                </pic:pic>
              </a:graphicData>
            </a:graphic>
          </wp:inline>
        </w:drawing>
      </w:r>
      <w:r w:rsidRPr="0033563E">
        <w:rPr>
          <w:noProof/>
          <w:lang w:eastAsia="en-AU"/>
        </w:rPr>
        <w:drawing>
          <wp:inline distT="0" distB="0" distL="0" distR="0" wp14:anchorId="66C6FF24" wp14:editId="7B36EC7B">
            <wp:extent cx="5362614" cy="72390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62614" cy="723905"/>
                    </a:xfrm>
                    <a:prstGeom prst="rect">
                      <a:avLst/>
                    </a:prstGeom>
                  </pic:spPr>
                </pic:pic>
              </a:graphicData>
            </a:graphic>
          </wp:inline>
        </w:drawing>
      </w:r>
      <w:r w:rsidRPr="0033563E">
        <w:t xml:space="preserve"> </w:t>
      </w:r>
    </w:p>
    <w:p w14:paraId="2BEB586A" w14:textId="4B6394BD" w:rsidR="0033563E" w:rsidRDefault="0033563E">
      <w:r>
        <w:br w:type="page"/>
      </w:r>
    </w:p>
    <w:p w14:paraId="1642B179" w14:textId="47E80A99" w:rsidR="00AD462F" w:rsidRPr="00244434" w:rsidRDefault="00AD462F" w:rsidP="00AD462F">
      <w:pPr>
        <w:pageBreakBefore/>
      </w:pPr>
      <w:r>
        <w:lastRenderedPageBreak/>
        <w:t>We would be happy to provide additional detailed suggestions on how to revise the documents to reflect the issues we have raised. In particular, we have identified the following sections which would benefit from revision:</w:t>
      </w:r>
    </w:p>
    <w:p w14:paraId="18976C11" w14:textId="1893E32D" w:rsidR="00795489" w:rsidRPr="00795489" w:rsidRDefault="00795489" w:rsidP="00795489">
      <w:pPr>
        <w:rPr>
          <w:b/>
          <w:bCs/>
        </w:rPr>
      </w:pPr>
      <w:r w:rsidRPr="00795489">
        <w:rPr>
          <w:b/>
          <w:bCs/>
        </w:rPr>
        <w:t xml:space="preserve">Draft </w:t>
      </w:r>
      <w:r w:rsidR="006B28C5">
        <w:rPr>
          <w:b/>
          <w:bCs/>
        </w:rPr>
        <w:t>S</w:t>
      </w:r>
      <w:r w:rsidRPr="00795489">
        <w:rPr>
          <w:b/>
          <w:bCs/>
        </w:rPr>
        <w:t>trategy</w:t>
      </w:r>
    </w:p>
    <w:p w14:paraId="04198F70" w14:textId="77777777" w:rsidR="00795489" w:rsidRDefault="00795489" w:rsidP="00CA0A6C">
      <w:r>
        <w:t>Explicitly name the scope of the strategy in its intent to cover all types of evaluation</w:t>
      </w:r>
    </w:p>
    <w:p w14:paraId="63A070B3" w14:textId="6DB33808" w:rsidR="00795489" w:rsidRPr="007652DA" w:rsidRDefault="00795489" w:rsidP="006B28C5">
      <w:pPr>
        <w:ind w:left="360"/>
        <w:rPr>
          <w:b/>
          <w:bCs/>
        </w:rPr>
      </w:pPr>
      <w:r w:rsidRPr="007652DA">
        <w:rPr>
          <w:b/>
          <w:bCs/>
        </w:rPr>
        <w:t>Page 7</w:t>
      </w:r>
      <w:r w:rsidR="006B28C5">
        <w:rPr>
          <w:b/>
          <w:bCs/>
        </w:rPr>
        <w:t xml:space="preserve"> – </w:t>
      </w:r>
      <w:r w:rsidRPr="007652DA">
        <w:rPr>
          <w:b/>
          <w:bCs/>
        </w:rPr>
        <w:t>Current diagram</w:t>
      </w:r>
    </w:p>
    <w:p w14:paraId="1D105D48" w14:textId="77777777" w:rsidR="00795489" w:rsidRDefault="00795489" w:rsidP="00795489">
      <w:r>
        <w:rPr>
          <w:noProof/>
          <w:lang w:eastAsia="en-AU"/>
        </w:rPr>
        <w:drawing>
          <wp:inline distT="0" distB="0" distL="0" distR="0" wp14:anchorId="3A641383" wp14:editId="14488E4E">
            <wp:extent cx="2828925" cy="1791820"/>
            <wp:effectExtent l="0" t="0" r="0" b="0"/>
            <wp:docPr id="1121584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38321" cy="1797772"/>
                    </a:xfrm>
                    <a:prstGeom prst="rect">
                      <a:avLst/>
                    </a:prstGeom>
                  </pic:spPr>
                </pic:pic>
              </a:graphicData>
            </a:graphic>
          </wp:inline>
        </w:drawing>
      </w:r>
    </w:p>
    <w:p w14:paraId="17D751A6" w14:textId="2B663BF2" w:rsidR="00795489" w:rsidRDefault="00795489" w:rsidP="00795489">
      <w:r>
        <w:t xml:space="preserve">Spelling out the intermediate step between the strategy and better policies and programs would make clear the intended scope of the </w:t>
      </w:r>
      <w:r w:rsidR="006B28C5">
        <w:t>S</w:t>
      </w:r>
      <w:r>
        <w:t>trategy to cover all types of evaluations and its emphasis on improvement.</w:t>
      </w:r>
    </w:p>
    <w:p w14:paraId="7532439C" w14:textId="72B8CA28" w:rsidR="00795489" w:rsidRPr="00795489" w:rsidRDefault="00795489" w:rsidP="00CA0A6C">
      <w:pPr>
        <w:spacing w:after="0"/>
        <w:ind w:left="357"/>
        <w:rPr>
          <w:b/>
          <w:bCs/>
        </w:rPr>
      </w:pPr>
      <w:r w:rsidRPr="00795489">
        <w:rPr>
          <w:b/>
          <w:bCs/>
        </w:rPr>
        <w:t xml:space="preserve">Page 7 </w:t>
      </w:r>
      <w:r w:rsidR="006B28C5">
        <w:rPr>
          <w:b/>
          <w:bCs/>
        </w:rPr>
        <w:t xml:space="preserve">– </w:t>
      </w:r>
      <w:r w:rsidRPr="00795489">
        <w:rPr>
          <w:b/>
          <w:bCs/>
        </w:rPr>
        <w:t xml:space="preserve">Suggested edit to diagram text – addition of </w:t>
      </w:r>
      <w:r w:rsidR="006B28C5">
        <w:rPr>
          <w:b/>
          <w:bCs/>
        </w:rPr>
        <w:t xml:space="preserve">an </w:t>
      </w:r>
      <w:r w:rsidRPr="00795489">
        <w:rPr>
          <w:b/>
          <w:bCs/>
        </w:rPr>
        <w:t>extra box</w:t>
      </w:r>
    </w:p>
    <w:p w14:paraId="40AC58AF" w14:textId="77777777" w:rsidR="008A5D0A" w:rsidRDefault="00795489" w:rsidP="008A5D0A">
      <w:pPr>
        <w:spacing w:after="0"/>
        <w:rPr>
          <w:b/>
          <w:bCs/>
        </w:rPr>
      </w:pPr>
      <w:r>
        <w:rPr>
          <w:noProof/>
          <w:lang w:eastAsia="en-AU"/>
        </w:rPr>
        <w:drawing>
          <wp:inline distT="0" distB="0" distL="0" distR="0" wp14:anchorId="0349719B" wp14:editId="0DA3B4B0">
            <wp:extent cx="5486400" cy="1352550"/>
            <wp:effectExtent l="19050" t="0" r="3810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00F86BB9" w:rsidRPr="008A5D0A">
        <w:rPr>
          <w:b/>
          <w:bCs/>
        </w:rPr>
        <w:t xml:space="preserve">Page 10 </w:t>
      </w:r>
      <w:r w:rsidR="008A5D0A">
        <w:rPr>
          <w:b/>
          <w:bCs/>
          <w:lang w:val="fr-FR"/>
        </w:rPr>
        <w:t xml:space="preserve">– </w:t>
      </w:r>
      <w:r w:rsidR="00F86BB9" w:rsidRPr="008A5D0A">
        <w:rPr>
          <w:b/>
          <w:bCs/>
        </w:rPr>
        <w:t>Section on choosing what to evaluate</w:t>
      </w:r>
    </w:p>
    <w:p w14:paraId="3112F444" w14:textId="77777777" w:rsidR="008A5D0A" w:rsidRDefault="00F86BB9" w:rsidP="008A5D0A">
      <w:pPr>
        <w:spacing w:after="0"/>
      </w:pPr>
      <w:r>
        <w:t>Make it clear that this decision needs to be not only understood in terms of selecting a small number of interventions for large, discrete policy evaluations but also about supporting the appropriate types of evaluation to support improvements in a range of interventions.</w:t>
      </w:r>
    </w:p>
    <w:p w14:paraId="535B6387" w14:textId="77777777" w:rsidR="00CA0A6C" w:rsidRDefault="00CA0A6C" w:rsidP="008A5D0A">
      <w:pPr>
        <w:spacing w:after="0"/>
        <w:rPr>
          <w:b/>
          <w:bCs/>
          <w:lang w:val="fr-FR"/>
        </w:rPr>
      </w:pPr>
    </w:p>
    <w:p w14:paraId="4A808074" w14:textId="77777777" w:rsidR="00CA0A6C" w:rsidRDefault="00795489" w:rsidP="00CA0A6C">
      <w:pPr>
        <w:spacing w:after="0"/>
        <w:rPr>
          <w:b/>
          <w:bCs/>
          <w:lang w:val="fr-FR"/>
        </w:rPr>
      </w:pPr>
      <w:r w:rsidRPr="008A5D0A">
        <w:rPr>
          <w:b/>
          <w:bCs/>
          <w:lang w:val="fr-FR"/>
        </w:rPr>
        <w:t xml:space="preserve">Page 11 </w:t>
      </w:r>
      <w:r w:rsidR="008A5D0A">
        <w:rPr>
          <w:b/>
          <w:bCs/>
          <w:lang w:val="fr-FR"/>
        </w:rPr>
        <w:t xml:space="preserve">– </w:t>
      </w:r>
      <w:proofErr w:type="spellStart"/>
      <w:r w:rsidR="006B28C5" w:rsidRPr="008A5D0A">
        <w:rPr>
          <w:b/>
          <w:bCs/>
          <w:lang w:val="fr-FR"/>
        </w:rPr>
        <w:t>E</w:t>
      </w:r>
      <w:r w:rsidRPr="008A5D0A">
        <w:rPr>
          <w:b/>
          <w:bCs/>
          <w:lang w:val="fr-FR"/>
        </w:rPr>
        <w:t>xisting</w:t>
      </w:r>
      <w:proofErr w:type="spellEnd"/>
      <w:r w:rsidRPr="008A5D0A">
        <w:rPr>
          <w:b/>
          <w:bCs/>
          <w:lang w:val="fr-FR"/>
        </w:rPr>
        <w:t xml:space="preserve"> table</w:t>
      </w:r>
    </w:p>
    <w:p w14:paraId="32978307" w14:textId="270D764F" w:rsidR="00F86BB9" w:rsidRDefault="00F86BB9" w:rsidP="00CA0A6C">
      <w:pPr>
        <w:spacing w:after="0"/>
      </w:pPr>
      <w:r>
        <w:t>Make it clear that the intent is to improve evaluations generally, not only a small number of priority policy-level evaluations and avoid the use of the term ‘rigorous evaluation’ which suggest that credibility is the only important principle, ignoring utility, ethics and transparency, and also sometimes being understood as referring to a narrow range of experimental and quasi-experimental evaluation designs.</w:t>
      </w:r>
    </w:p>
    <w:p w14:paraId="0355D0EE" w14:textId="77777777" w:rsidR="00CA0A6C" w:rsidRPr="00CA0A6C" w:rsidRDefault="00CA0A6C" w:rsidP="00CA0A6C">
      <w:pPr>
        <w:keepNext/>
        <w:keepLines/>
        <w:rPr>
          <w:b/>
          <w:bCs/>
          <w:lang w:val="fr-FR"/>
        </w:rPr>
      </w:pPr>
    </w:p>
    <w:p w14:paraId="196DCF52" w14:textId="77777777" w:rsidR="00795489" w:rsidRDefault="00795489" w:rsidP="00795489">
      <w:pPr>
        <w:ind w:left="360"/>
      </w:pPr>
      <w:r>
        <w:rPr>
          <w:noProof/>
          <w:lang w:eastAsia="en-AU"/>
        </w:rPr>
        <w:drawing>
          <wp:inline distT="0" distB="0" distL="0" distR="0" wp14:anchorId="6A684C94" wp14:editId="0C802BD3">
            <wp:extent cx="4767263" cy="1150883"/>
            <wp:effectExtent l="0" t="0" r="0" b="0"/>
            <wp:docPr id="13033176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4">
                      <a:extLst>
                        <a:ext uri="{28A0092B-C50C-407E-A947-70E740481C1C}">
                          <a14:useLocalDpi xmlns:a14="http://schemas.microsoft.com/office/drawing/2010/main" val="0"/>
                        </a:ext>
                      </a:extLst>
                    </a:blip>
                    <a:stretch>
                      <a:fillRect/>
                    </a:stretch>
                  </pic:blipFill>
                  <pic:spPr>
                    <a:xfrm>
                      <a:off x="0" y="0"/>
                      <a:ext cx="4832738" cy="1166690"/>
                    </a:xfrm>
                    <a:prstGeom prst="rect">
                      <a:avLst/>
                    </a:prstGeom>
                  </pic:spPr>
                </pic:pic>
              </a:graphicData>
            </a:graphic>
          </wp:inline>
        </w:drawing>
      </w:r>
    </w:p>
    <w:p w14:paraId="24B729D3" w14:textId="4B02F035" w:rsidR="00795489" w:rsidRPr="00197481" w:rsidRDefault="00795489" w:rsidP="00197481">
      <w:pPr>
        <w:rPr>
          <w:b/>
          <w:bCs/>
        </w:rPr>
      </w:pPr>
      <w:r w:rsidRPr="00197481">
        <w:rPr>
          <w:b/>
          <w:bCs/>
        </w:rPr>
        <w:t>Page 11</w:t>
      </w:r>
      <w:r w:rsidR="008A5D0A">
        <w:rPr>
          <w:b/>
          <w:bCs/>
        </w:rPr>
        <w:t xml:space="preserve"> </w:t>
      </w:r>
      <w:r w:rsidR="008A5D0A">
        <w:rPr>
          <w:b/>
          <w:bCs/>
          <w:lang w:val="fr-FR"/>
        </w:rPr>
        <w:t xml:space="preserve">– </w:t>
      </w:r>
      <w:r w:rsidR="006B28C5" w:rsidRPr="00197481">
        <w:rPr>
          <w:b/>
          <w:bCs/>
        </w:rPr>
        <w:t>S</w:t>
      </w:r>
      <w:r w:rsidRPr="00197481">
        <w:rPr>
          <w:b/>
          <w:bCs/>
        </w:rPr>
        <w:t>uggested edit to table text</w:t>
      </w:r>
    </w:p>
    <w:tbl>
      <w:tblPr>
        <w:tblStyle w:val="TableGrid"/>
        <w:tblW w:w="0" w:type="auto"/>
        <w:tblInd w:w="360" w:type="dxa"/>
        <w:tblLook w:val="04A0" w:firstRow="1" w:lastRow="0" w:firstColumn="1" w:lastColumn="0" w:noHBand="0" w:noVBand="1"/>
      </w:tblPr>
      <w:tblGrid>
        <w:gridCol w:w="2187"/>
        <w:gridCol w:w="6469"/>
      </w:tblGrid>
      <w:tr w:rsidR="00795489" w14:paraId="07DF5B7E" w14:textId="77777777" w:rsidTr="00076C56">
        <w:tc>
          <w:tcPr>
            <w:tcW w:w="2187" w:type="dxa"/>
          </w:tcPr>
          <w:p w14:paraId="21CC3D80" w14:textId="77777777" w:rsidR="00795489" w:rsidRPr="008A5D0A" w:rsidRDefault="00795489" w:rsidP="00076C56">
            <w:pPr>
              <w:rPr>
                <w:b/>
                <w:bCs/>
                <w:lang w:val="en-AU"/>
              </w:rPr>
            </w:pPr>
            <w:r w:rsidRPr="008A5D0A">
              <w:rPr>
                <w:b/>
                <w:bCs/>
                <w:lang w:val="en-AU"/>
              </w:rPr>
              <w:t>What to evaluate</w:t>
            </w:r>
          </w:p>
        </w:tc>
        <w:tc>
          <w:tcPr>
            <w:tcW w:w="6469" w:type="dxa"/>
          </w:tcPr>
          <w:p w14:paraId="336013AB" w14:textId="77777777" w:rsidR="00795489" w:rsidRPr="008A5D0A" w:rsidRDefault="00795489" w:rsidP="00076C56">
            <w:pPr>
              <w:rPr>
                <w:lang w:val="en-AU"/>
              </w:rPr>
            </w:pPr>
            <w:r w:rsidRPr="008A5D0A">
              <w:rPr>
                <w:lang w:val="en-AU"/>
              </w:rPr>
              <w:t xml:space="preserve">Aboriginal and Torres Strait Islander people are engaged to decide what policies and programs </w:t>
            </w:r>
            <w:r w:rsidRPr="008A5D0A">
              <w:rPr>
                <w:b/>
                <w:bCs/>
                <w:lang w:val="en-AU"/>
              </w:rPr>
              <w:t>have potential to</w:t>
            </w:r>
            <w:r w:rsidRPr="008A5D0A">
              <w:rPr>
                <w:lang w:val="en-AU"/>
              </w:rPr>
              <w:t xml:space="preserve"> achieve the greatest impact on their lives, and which should be subject to </w:t>
            </w:r>
            <w:r w:rsidRPr="008A5D0A">
              <w:rPr>
                <w:b/>
                <w:bCs/>
                <w:lang w:val="en-AU"/>
              </w:rPr>
              <w:t>which types of evaluation, including summative policy-level evaluation and formative implementation-level evaluation.</w:t>
            </w:r>
          </w:p>
        </w:tc>
      </w:tr>
    </w:tbl>
    <w:p w14:paraId="4D4095C8" w14:textId="77777777" w:rsidR="00CA0A6C" w:rsidRDefault="00CA0A6C" w:rsidP="008A5D0A">
      <w:pPr>
        <w:rPr>
          <w:b/>
          <w:bCs/>
          <w:sz w:val="24"/>
          <w:szCs w:val="24"/>
        </w:rPr>
      </w:pPr>
    </w:p>
    <w:p w14:paraId="2D8AB02F" w14:textId="3ECCAE1E" w:rsidR="00AD462F" w:rsidRPr="00CA0A6C" w:rsidRDefault="008A5D0A" w:rsidP="008A5D0A">
      <w:pPr>
        <w:rPr>
          <w:b/>
          <w:bCs/>
        </w:rPr>
      </w:pPr>
      <w:r w:rsidRPr="00CA0A6C">
        <w:rPr>
          <w:b/>
          <w:bCs/>
        </w:rPr>
        <w:t xml:space="preserve">Draft </w:t>
      </w:r>
      <w:r w:rsidR="00AD462F" w:rsidRPr="00CA0A6C">
        <w:rPr>
          <w:b/>
          <w:bCs/>
        </w:rPr>
        <w:t>Guid</w:t>
      </w:r>
      <w:r w:rsidRPr="00CA0A6C">
        <w:rPr>
          <w:b/>
          <w:bCs/>
        </w:rPr>
        <w:t>e</w:t>
      </w:r>
    </w:p>
    <w:p w14:paraId="5BA5A036" w14:textId="7623BA12" w:rsidR="00AD462F" w:rsidRDefault="00CA0A6C" w:rsidP="00AD462F">
      <w:pPr>
        <w:ind w:left="360"/>
      </w:pPr>
      <w:r w:rsidRPr="00CA0A6C">
        <w:rPr>
          <w:b/>
          <w:bCs/>
        </w:rPr>
        <w:t>Page 5</w:t>
      </w:r>
      <w:r>
        <w:t xml:space="preserve"> - </w:t>
      </w:r>
      <w:r w:rsidR="00AD462F">
        <w:t>We support the statement about synthesis of high</w:t>
      </w:r>
      <w:r w:rsidR="008A5D0A">
        <w:t xml:space="preserve"> </w:t>
      </w:r>
      <w:r w:rsidR="00AD462F">
        <w:t>quality studies which does not limit the methods to be used for this synthesis.  We also suggest adding specific reference to realist syntheses which explicitly provide information on what works in different contexts.</w:t>
      </w:r>
    </w:p>
    <w:p w14:paraId="7C002921" w14:textId="77777777" w:rsidR="00AD462F" w:rsidRDefault="00AD462F" w:rsidP="00AD462F">
      <w:pPr>
        <w:pBdr>
          <w:top w:val="single" w:sz="4" w:space="1" w:color="auto"/>
          <w:left w:val="single" w:sz="4" w:space="4" w:color="auto"/>
          <w:bottom w:val="single" w:sz="4" w:space="0" w:color="auto"/>
          <w:right w:val="single" w:sz="4" w:space="4" w:color="auto"/>
        </w:pBdr>
        <w:ind w:left="360"/>
      </w:pPr>
      <w:r>
        <w:t xml:space="preserve"> </w:t>
      </w:r>
      <w:r w:rsidRPr="00191B9D">
        <w:t xml:space="preserve">Box 1 Review and synthesis of existing evidence </w:t>
      </w:r>
    </w:p>
    <w:p w14:paraId="2D36DE4F" w14:textId="77777777" w:rsidR="00AD462F" w:rsidRDefault="00AD462F" w:rsidP="00AD462F">
      <w:pPr>
        <w:pBdr>
          <w:top w:val="single" w:sz="4" w:space="1" w:color="auto"/>
          <w:left w:val="single" w:sz="4" w:space="4" w:color="auto"/>
          <w:bottom w:val="single" w:sz="4" w:space="0" w:color="auto"/>
          <w:right w:val="single" w:sz="4" w:space="4" w:color="auto"/>
        </w:pBdr>
        <w:ind w:left="360"/>
      </w:pPr>
      <w:r w:rsidRPr="00191B9D">
        <w:t xml:space="preserve">Working out what is already known about a particular form of intervention is not always easy, particularly when there are volumes of research evidence. And because not all evidence is of equal value, some way of differentiating between high and low-quality studies is needed. Evidence synthesis methodologies aggregate evaluation findings and review them in a systematic way (and generally also assess and rate the strength of the evidence). Systematic reviews aggregate results that fit a pre-specified eligibility criteria in order to answer a specific research question. They aim to minimise bias by using explicit, systematic methods that are documented in advance with a protocol. </w:t>
      </w:r>
    </w:p>
    <w:p w14:paraId="2CFB5857" w14:textId="77777777" w:rsidR="00AD462F" w:rsidRDefault="00AD462F" w:rsidP="00AD462F">
      <w:pPr>
        <w:pBdr>
          <w:top w:val="single" w:sz="4" w:space="1" w:color="auto"/>
          <w:left w:val="single" w:sz="4" w:space="4" w:color="auto"/>
          <w:bottom w:val="single" w:sz="4" w:space="0" w:color="auto"/>
          <w:right w:val="single" w:sz="4" w:space="4" w:color="auto"/>
        </w:pBdr>
        <w:ind w:left="360"/>
      </w:pPr>
      <w:r w:rsidRPr="00191B9D">
        <w:t xml:space="preserve">Systematic reviews search all the available research evidence for a particular question, which counters problems of selection bias that come from only identifying studies that are readily accessible or only published on major databases. They can help highlight gaps in the evidence (and identify evaluation questions that need to be answered) and methodological issues that may need to be considered in the design of an evaluation. </w:t>
      </w:r>
    </w:p>
    <w:p w14:paraId="4178BAB3" w14:textId="3D2CF157" w:rsidR="00AD462F" w:rsidRDefault="00AD462F" w:rsidP="00AD462F">
      <w:pPr>
        <w:pBdr>
          <w:top w:val="single" w:sz="4" w:space="1" w:color="auto"/>
          <w:left w:val="single" w:sz="4" w:space="4" w:color="auto"/>
          <w:bottom w:val="single" w:sz="4" w:space="0" w:color="auto"/>
          <w:right w:val="single" w:sz="4" w:space="4" w:color="auto"/>
        </w:pBdr>
        <w:ind w:left="360"/>
      </w:pPr>
      <w:r w:rsidRPr="00191B9D">
        <w:t>A meta-analysis pools statistical results from multiple studies as a way to increase explanatory power and improve estimates of the size of effects.</w:t>
      </w:r>
      <w:r>
        <w:t xml:space="preserve"> </w:t>
      </w:r>
      <w:r w:rsidRPr="00697012">
        <w:rPr>
          <w:b/>
          <w:bCs/>
        </w:rPr>
        <w:t>A realist synthesis combines diverse evidence to provide information about what works for whom in what contexts, making it more useful for situations where the same policies and programs don’t work the same everywhere or for everyone</w:t>
      </w:r>
      <w:r>
        <w:t>.</w:t>
      </w:r>
    </w:p>
    <w:p w14:paraId="4BFE3E8F" w14:textId="77777777" w:rsidR="00AD462F" w:rsidRDefault="00AD462F" w:rsidP="00795489">
      <w:pPr>
        <w:ind w:left="360"/>
      </w:pPr>
    </w:p>
    <w:p w14:paraId="0FA1DF2A" w14:textId="6050E4C5" w:rsidR="00795489" w:rsidRPr="00795489" w:rsidRDefault="00795489" w:rsidP="008A5D0A">
      <w:pPr>
        <w:pStyle w:val="ListParagraph"/>
        <w:keepNext/>
        <w:keepLines/>
        <w:numPr>
          <w:ilvl w:val="0"/>
          <w:numId w:val="3"/>
        </w:numPr>
        <w:pBdr>
          <w:top w:val="single" w:sz="4" w:space="1" w:color="auto"/>
        </w:pBdr>
        <w:ind w:left="357" w:hanging="357"/>
        <w:rPr>
          <w:rStyle w:val="normaltextrun"/>
          <w:rFonts w:ascii="Calibri" w:hAnsi="Calibri" w:cs="Calibri"/>
          <w:b/>
          <w:bCs/>
          <w:i/>
          <w:iCs/>
        </w:rPr>
      </w:pPr>
      <w:r w:rsidRPr="00795489">
        <w:rPr>
          <w:rStyle w:val="normaltextrun"/>
          <w:rFonts w:ascii="Calibri" w:hAnsi="Calibri" w:cs="Calibri"/>
          <w:b/>
          <w:bCs/>
          <w:i/>
          <w:iCs/>
        </w:rPr>
        <w:lastRenderedPageBreak/>
        <w:t>Need to include the full range of designs and approaches that can be used for high quality impact evaluation.</w:t>
      </w:r>
    </w:p>
    <w:p w14:paraId="4FFB1092" w14:textId="0A83099A" w:rsidR="00795489" w:rsidRPr="00CA0A6C" w:rsidRDefault="00795489" w:rsidP="00795489">
      <w:r>
        <w:t>We support th</w:t>
      </w:r>
      <w:r w:rsidR="00F35C1C">
        <w:t>at th</w:t>
      </w:r>
      <w:r>
        <w:t xml:space="preserve">e </w:t>
      </w:r>
      <w:r w:rsidR="00F35C1C">
        <w:t>S</w:t>
      </w:r>
      <w:r>
        <w:t xml:space="preserve">trategy states </w:t>
      </w:r>
      <w:r w:rsidR="00936C18">
        <w:t xml:space="preserve">explicit </w:t>
      </w:r>
      <w:r>
        <w:t>support for situationally-appropriate choices of methods</w:t>
      </w:r>
      <w:r w:rsidR="008076C8">
        <w:t>:</w:t>
      </w:r>
    </w:p>
    <w:p w14:paraId="6DB7815C" w14:textId="77777777" w:rsidR="00795489" w:rsidRPr="00CA0A6C" w:rsidRDefault="00795489" w:rsidP="00795489">
      <w:r w:rsidRPr="00CA0A6C">
        <w:t>Page 12</w:t>
      </w:r>
    </w:p>
    <w:p w14:paraId="33EA9BD6" w14:textId="77777777" w:rsidR="00795489" w:rsidRPr="00850A67" w:rsidRDefault="00795489" w:rsidP="00795489">
      <w:pPr>
        <w:pBdr>
          <w:top w:val="single" w:sz="4" w:space="1" w:color="auto"/>
          <w:left w:val="single" w:sz="4" w:space="4" w:color="auto"/>
          <w:bottom w:val="single" w:sz="4" w:space="1" w:color="auto"/>
          <w:right w:val="single" w:sz="4" w:space="4" w:color="auto"/>
        </w:pBdr>
        <w:ind w:left="720"/>
      </w:pPr>
      <w:r w:rsidRPr="00850A67">
        <w:t>Mixed methods (combining qualitative and quantitative methods) can maximise the strengths and compensate for</w:t>
      </w:r>
      <w:r>
        <w:t xml:space="preserve"> </w:t>
      </w:r>
      <w:r w:rsidRPr="00850A67">
        <w:t>limitations of any single method or approach.</w:t>
      </w:r>
    </w:p>
    <w:p w14:paraId="4A692C7F" w14:textId="77777777" w:rsidR="00795489" w:rsidRPr="00850A67" w:rsidRDefault="00795489" w:rsidP="00795489">
      <w:pPr>
        <w:pBdr>
          <w:top w:val="single" w:sz="4" w:space="1" w:color="auto"/>
          <w:left w:val="single" w:sz="4" w:space="4" w:color="auto"/>
          <w:bottom w:val="single" w:sz="4" w:space="1" w:color="auto"/>
          <w:right w:val="single" w:sz="4" w:space="4" w:color="auto"/>
        </w:pBdr>
        <w:ind w:left="720"/>
      </w:pPr>
      <w:r w:rsidRPr="00850A67">
        <w:t>Credibility is grounded on rigorous methodology. The Strategy does not endorse particular evaluation approaches or</w:t>
      </w:r>
      <w:r>
        <w:t xml:space="preserve"> </w:t>
      </w:r>
      <w:r w:rsidRPr="00850A67">
        <w:t>methods. Agencies and evaluators should adopt methods that:</w:t>
      </w:r>
    </w:p>
    <w:p w14:paraId="3FDCD01D" w14:textId="77777777" w:rsidR="00795489" w:rsidRPr="00850A67" w:rsidRDefault="00795489" w:rsidP="00795489">
      <w:pPr>
        <w:pBdr>
          <w:top w:val="single" w:sz="4" w:space="1" w:color="auto"/>
          <w:left w:val="single" w:sz="4" w:space="4" w:color="auto"/>
          <w:bottom w:val="single" w:sz="4" w:space="1" w:color="auto"/>
          <w:right w:val="single" w:sz="4" w:space="4" w:color="auto"/>
        </w:pBdr>
        <w:ind w:left="720"/>
      </w:pPr>
      <w:r w:rsidRPr="00850A67">
        <w:t>– are rigorous and fit-for-purpose</w:t>
      </w:r>
    </w:p>
    <w:p w14:paraId="1528C96C" w14:textId="77777777" w:rsidR="00795489" w:rsidRPr="00850A67" w:rsidRDefault="00795489" w:rsidP="00795489">
      <w:pPr>
        <w:pBdr>
          <w:top w:val="single" w:sz="4" w:space="1" w:color="auto"/>
          <w:left w:val="single" w:sz="4" w:space="4" w:color="auto"/>
          <w:bottom w:val="single" w:sz="4" w:space="1" w:color="auto"/>
          <w:right w:val="single" w:sz="4" w:space="4" w:color="auto"/>
        </w:pBdr>
        <w:ind w:left="720"/>
      </w:pPr>
      <w:r w:rsidRPr="00850A67">
        <w:t>– answer the questions that policy makers and Aboriginal and Torres Strait Islander people alike need answered</w:t>
      </w:r>
    </w:p>
    <w:p w14:paraId="58C3E264" w14:textId="77777777" w:rsidR="00795489" w:rsidRDefault="00795489" w:rsidP="00795489">
      <w:pPr>
        <w:pBdr>
          <w:top w:val="single" w:sz="4" w:space="1" w:color="auto"/>
          <w:left w:val="single" w:sz="4" w:space="4" w:color="auto"/>
          <w:bottom w:val="single" w:sz="4" w:space="1" w:color="auto"/>
          <w:right w:val="single" w:sz="4" w:space="4" w:color="auto"/>
        </w:pBdr>
        <w:ind w:left="720"/>
      </w:pPr>
      <w:r w:rsidRPr="00850A67">
        <w:t>– suit the context in which the policy or program is operating, the size and importance of the policy or program, and</w:t>
      </w:r>
      <w:r>
        <w:t xml:space="preserve"> </w:t>
      </w:r>
      <w:r w:rsidRPr="00850A67">
        <w:t>the timeframe and resources available for evaluation.</w:t>
      </w:r>
    </w:p>
    <w:p w14:paraId="6DD0EBF8" w14:textId="4DE57D1E" w:rsidR="00795489" w:rsidRDefault="00795489" w:rsidP="00795489">
      <w:r>
        <w:t>However</w:t>
      </w:r>
      <w:r w:rsidR="008076C8">
        <w:t>,</w:t>
      </w:r>
      <w:r>
        <w:t xml:space="preserve"> this position is not reflected in the </w:t>
      </w:r>
      <w:r w:rsidR="008076C8">
        <w:t>B</w:t>
      </w:r>
      <w:r>
        <w:t xml:space="preserve">ackground </w:t>
      </w:r>
      <w:r w:rsidR="008076C8">
        <w:t>P</w:t>
      </w:r>
      <w:r>
        <w:t>aper which currently only refers to a narrow range of experimental and quasi experimental designs that use a counterfactual approach to causal inference, which will not be appropriate in all situations</w:t>
      </w:r>
      <w:r w:rsidR="008076C8">
        <w:t>:</w:t>
      </w:r>
    </w:p>
    <w:p w14:paraId="02F97A8A" w14:textId="77777777" w:rsidR="00795489" w:rsidRPr="0021492A" w:rsidRDefault="00795489" w:rsidP="00795489">
      <w:pPr>
        <w:pBdr>
          <w:top w:val="single" w:sz="4" w:space="1" w:color="auto"/>
          <w:left w:val="single" w:sz="4" w:space="4" w:color="auto"/>
          <w:bottom w:val="single" w:sz="4" w:space="1" w:color="auto"/>
          <w:right w:val="single" w:sz="4" w:space="4" w:color="auto"/>
        </w:pBdr>
        <w:ind w:left="720"/>
        <w:rPr>
          <w:i/>
          <w:iCs/>
        </w:rPr>
      </w:pPr>
      <w:r>
        <w:rPr>
          <w:i/>
          <w:iCs/>
        </w:rPr>
        <w:t xml:space="preserve">p.125 </w:t>
      </w:r>
      <w:r w:rsidRPr="0021492A">
        <w:rPr>
          <w:i/>
          <w:iCs/>
        </w:rPr>
        <w:t>One of the key challenges for impact evaluation is coming up with an estimate of the actual effects of a policy or program. To do this, evaluators need to estimate the effects of a program on policy and program participants (the ‘treatment group’), and compare this with non-participants (the ‘control group’) who represent the counterfactual (box 4.3). Measuring the counterfactual requires:</w:t>
      </w:r>
    </w:p>
    <w:p w14:paraId="37DEB3E9" w14:textId="77777777" w:rsidR="00795489" w:rsidRPr="0021492A" w:rsidRDefault="00795489" w:rsidP="00795489">
      <w:pPr>
        <w:pBdr>
          <w:top w:val="single" w:sz="4" w:space="1" w:color="auto"/>
          <w:left w:val="single" w:sz="4" w:space="4" w:color="auto"/>
          <w:bottom w:val="single" w:sz="4" w:space="1" w:color="auto"/>
          <w:right w:val="single" w:sz="4" w:space="4" w:color="auto"/>
        </w:pBdr>
        <w:ind w:left="720"/>
        <w:rPr>
          <w:i/>
          <w:iCs/>
        </w:rPr>
      </w:pPr>
      <w:r w:rsidRPr="0021492A">
        <w:rPr>
          <w:i/>
          <w:iCs/>
        </w:rPr>
        <w:t> data of sufficient quality and quantity to support the analysis</w:t>
      </w:r>
    </w:p>
    <w:p w14:paraId="75A8B8D3" w14:textId="77777777" w:rsidR="00795489" w:rsidRPr="0021492A" w:rsidRDefault="00795489" w:rsidP="00795489">
      <w:pPr>
        <w:pBdr>
          <w:top w:val="single" w:sz="4" w:space="1" w:color="auto"/>
          <w:left w:val="single" w:sz="4" w:space="4" w:color="auto"/>
          <w:bottom w:val="single" w:sz="4" w:space="1" w:color="auto"/>
          <w:right w:val="single" w:sz="4" w:space="4" w:color="auto"/>
        </w:pBdr>
        <w:ind w:left="720"/>
        <w:rPr>
          <w:i/>
          <w:iCs/>
        </w:rPr>
      </w:pPr>
      <w:r w:rsidRPr="0021492A">
        <w:rPr>
          <w:i/>
          <w:iCs/>
        </w:rPr>
        <w:t> the counterfactual to be genuinely comparable to the intervention group</w:t>
      </w:r>
    </w:p>
    <w:p w14:paraId="64C77CEC" w14:textId="77777777" w:rsidR="00795489" w:rsidRPr="0021492A" w:rsidRDefault="00795489" w:rsidP="00795489">
      <w:pPr>
        <w:pBdr>
          <w:top w:val="single" w:sz="4" w:space="1" w:color="auto"/>
          <w:left w:val="single" w:sz="4" w:space="4" w:color="auto"/>
          <w:bottom w:val="single" w:sz="4" w:space="1" w:color="auto"/>
          <w:right w:val="single" w:sz="4" w:space="4" w:color="auto"/>
        </w:pBdr>
        <w:ind w:left="720"/>
        <w:rPr>
          <w:i/>
          <w:iCs/>
        </w:rPr>
      </w:pPr>
      <w:r w:rsidRPr="0021492A">
        <w:rPr>
          <w:i/>
          <w:iCs/>
        </w:rPr>
        <w:t> that the effect of the policy or program is sufficiently large to be distinguished from ‘noise’ in the data (HM Treasury 2020c, p. 34).</w:t>
      </w:r>
    </w:p>
    <w:p w14:paraId="541056C1" w14:textId="77777777" w:rsidR="00795489" w:rsidRPr="0021492A" w:rsidRDefault="00795489" w:rsidP="00795489">
      <w:pPr>
        <w:pBdr>
          <w:top w:val="single" w:sz="4" w:space="1" w:color="auto"/>
          <w:left w:val="single" w:sz="4" w:space="4" w:color="auto"/>
          <w:bottom w:val="single" w:sz="4" w:space="1" w:color="auto"/>
          <w:right w:val="single" w:sz="4" w:space="4" w:color="auto"/>
        </w:pBdr>
        <w:ind w:left="720"/>
        <w:rPr>
          <w:i/>
          <w:iCs/>
        </w:rPr>
      </w:pPr>
      <w:r w:rsidRPr="0021492A">
        <w:rPr>
          <w:i/>
          <w:iCs/>
        </w:rPr>
        <w:t xml:space="preserve">Experimental approaches, such as randomised controlled trials (RCTs), construct a control group through random assignment to assess the net impact of an initiative. </w:t>
      </w:r>
      <w:r>
        <w:rPr>
          <w:i/>
          <w:iCs/>
        </w:rPr>
        <w:t>…</w:t>
      </w:r>
    </w:p>
    <w:p w14:paraId="11DD0EF8" w14:textId="77777777" w:rsidR="00795489" w:rsidRPr="0021492A" w:rsidRDefault="00795489" w:rsidP="00795489">
      <w:pPr>
        <w:pBdr>
          <w:top w:val="single" w:sz="4" w:space="1" w:color="auto"/>
          <w:left w:val="single" w:sz="4" w:space="4" w:color="auto"/>
          <w:bottom w:val="single" w:sz="4" w:space="1" w:color="auto"/>
          <w:right w:val="single" w:sz="4" w:space="4" w:color="auto"/>
        </w:pBdr>
        <w:ind w:left="720"/>
        <w:rPr>
          <w:i/>
          <w:iCs/>
        </w:rPr>
      </w:pPr>
      <w:r w:rsidRPr="0021492A">
        <w:rPr>
          <w:i/>
          <w:iCs/>
        </w:rPr>
        <w:t>Evaluations using quasi-experimental and other quantitative designs also measure impact but are often considered weaker forms of evidenc</w:t>
      </w:r>
      <w:r>
        <w:rPr>
          <w:i/>
          <w:iCs/>
        </w:rPr>
        <w:t>e</w:t>
      </w:r>
    </w:p>
    <w:p w14:paraId="6894064D" w14:textId="301E8226" w:rsidR="00795489" w:rsidRDefault="00795489" w:rsidP="00795489">
      <w:pPr>
        <w:ind w:left="360"/>
      </w:pPr>
      <w:r>
        <w:t>P</w:t>
      </w:r>
      <w:r w:rsidR="008076C8">
        <w:t xml:space="preserve">ages </w:t>
      </w:r>
      <w:r>
        <w:t xml:space="preserve">128-129 in the </w:t>
      </w:r>
      <w:r w:rsidR="008076C8">
        <w:t>B</w:t>
      </w:r>
      <w:r>
        <w:t xml:space="preserve">ackground </w:t>
      </w:r>
      <w:r w:rsidR="008076C8">
        <w:t>P</w:t>
      </w:r>
      <w:r>
        <w:t>aper only lists quasi-experimental evaluation designs.</w:t>
      </w:r>
    </w:p>
    <w:p w14:paraId="7A617198" w14:textId="77777777" w:rsidR="00CA0A6C" w:rsidRDefault="00CA0A6C">
      <w:pPr>
        <w:rPr>
          <w:noProof/>
        </w:rPr>
      </w:pPr>
      <w:r>
        <w:rPr>
          <w:noProof/>
        </w:rPr>
        <w:br w:type="page"/>
      </w:r>
    </w:p>
    <w:p w14:paraId="7182FD2B" w14:textId="6014006E" w:rsidR="00795489" w:rsidRDefault="00795489" w:rsidP="00795489">
      <w:pPr>
        <w:rPr>
          <w:noProof/>
        </w:rPr>
      </w:pPr>
      <w:r>
        <w:rPr>
          <w:noProof/>
        </w:rPr>
        <w:lastRenderedPageBreak/>
        <w:t>Over the past 20 years</w:t>
      </w:r>
      <w:r w:rsidR="008076C8">
        <w:rPr>
          <w:noProof/>
        </w:rPr>
        <w:t>,</w:t>
      </w:r>
      <w:r>
        <w:rPr>
          <w:noProof/>
        </w:rPr>
        <w:t xml:space="preserve"> there has been increasing attention internationally to the need for a wider range of evaluation designs beyond counterfactual designs.  It is particularly unfortunate that none of these have been included in the </w:t>
      </w:r>
      <w:r w:rsidR="008076C8">
        <w:rPr>
          <w:noProof/>
        </w:rPr>
        <w:t>B</w:t>
      </w:r>
      <w:r>
        <w:rPr>
          <w:noProof/>
        </w:rPr>
        <w:t xml:space="preserve">ackground </w:t>
      </w:r>
      <w:r w:rsidR="008076C8">
        <w:rPr>
          <w:noProof/>
        </w:rPr>
        <w:t>P</w:t>
      </w:r>
      <w:r>
        <w:rPr>
          <w:noProof/>
        </w:rPr>
        <w:t>aper or reflected in the range of methods and designs listed for impact evaluations.</w:t>
      </w:r>
      <w:r w:rsidR="008076C8">
        <w:rPr>
          <w:noProof/>
        </w:rPr>
        <w:t xml:space="preserve"> </w:t>
      </w:r>
      <w:r>
        <w:rPr>
          <w:noProof/>
        </w:rPr>
        <w:t>In particular</w:t>
      </w:r>
      <w:r w:rsidR="008076C8">
        <w:rPr>
          <w:noProof/>
        </w:rPr>
        <w:t>,</w:t>
      </w:r>
      <w:r>
        <w:rPr>
          <w:noProof/>
        </w:rPr>
        <w:t xml:space="preserve"> the </w:t>
      </w:r>
      <w:r w:rsidR="008076C8">
        <w:rPr>
          <w:noProof/>
        </w:rPr>
        <w:t>B</w:t>
      </w:r>
      <w:r>
        <w:rPr>
          <w:noProof/>
        </w:rPr>
        <w:t xml:space="preserve">ackground </w:t>
      </w:r>
      <w:r w:rsidR="008076C8">
        <w:rPr>
          <w:noProof/>
        </w:rPr>
        <w:t>P</w:t>
      </w:r>
      <w:r>
        <w:rPr>
          <w:noProof/>
        </w:rPr>
        <w:t>aper ought to have drawn upon:</w:t>
      </w:r>
    </w:p>
    <w:p w14:paraId="7A5118A7" w14:textId="77777777" w:rsidR="00CA0A6C" w:rsidRDefault="00795489" w:rsidP="00CA0A6C">
      <w:pPr>
        <w:pStyle w:val="ListParagraph"/>
        <w:numPr>
          <w:ilvl w:val="0"/>
          <w:numId w:val="22"/>
        </w:numPr>
        <w:rPr>
          <w:noProof/>
        </w:rPr>
      </w:pPr>
      <w:r w:rsidRPr="00032389">
        <w:t xml:space="preserve">Australian Public Service </w:t>
      </w:r>
      <w:r w:rsidR="00AD462F">
        <w:t xml:space="preserve">Commission </w:t>
      </w:r>
      <w:r w:rsidRPr="00032389">
        <w:t>(2007</w:t>
      </w:r>
      <w:r w:rsidR="008076C8">
        <w:t xml:space="preserve">). </w:t>
      </w:r>
      <w:r w:rsidRPr="00032389">
        <w:t>Tackling wicked problems, a public policy perspective</w:t>
      </w:r>
      <w:r w:rsidR="008076C8">
        <w:t>.</w:t>
      </w:r>
    </w:p>
    <w:p w14:paraId="2852C186" w14:textId="6ED5D0DB" w:rsidR="00795489" w:rsidRDefault="00795489" w:rsidP="00AD462F">
      <w:pPr>
        <w:pStyle w:val="ListParagraph"/>
        <w:numPr>
          <w:ilvl w:val="0"/>
          <w:numId w:val="22"/>
        </w:numPr>
        <w:rPr>
          <w:noProof/>
        </w:rPr>
      </w:pPr>
      <w:r>
        <w:t xml:space="preserve">The report commissioned by the UK Department for International Development on </w:t>
      </w:r>
      <w:r w:rsidRPr="00CA0A6C">
        <w:rPr>
          <w:i/>
          <w:iCs/>
        </w:rPr>
        <w:t>’Broadening the range of designs and methods for impact evaluation’</w:t>
      </w:r>
      <w:r>
        <w:t xml:space="preserve"> (Stern et al. 2012) which discusses dif</w:t>
      </w:r>
      <w:r w:rsidRPr="00CA0A6C">
        <w:rPr>
          <w:rFonts w:ascii="Calibri" w:eastAsia="Times New Roman" w:hAnsi="Calibri" w:cs="Calibri"/>
          <w:color w:val="201F1E"/>
          <w:lang w:eastAsia="en-AU"/>
        </w:rPr>
        <w:t>ferent types of causal questions and also a wider range of methods and the basis for them</w:t>
      </w:r>
      <w:r w:rsidR="00AD462F" w:rsidRPr="00CA0A6C">
        <w:rPr>
          <w:rFonts w:ascii="Calibri" w:eastAsia="Times New Roman" w:hAnsi="Calibri" w:cs="Calibri"/>
          <w:color w:val="201F1E"/>
          <w:lang w:eastAsia="en-AU"/>
        </w:rPr>
        <w:t xml:space="preserve">, and the subsequent report </w:t>
      </w:r>
      <w:r>
        <w:t xml:space="preserve"> </w:t>
      </w:r>
      <w:r w:rsidRPr="00AD462F">
        <w:rPr>
          <w:i/>
          <w:iCs/>
        </w:rPr>
        <w:t xml:space="preserve">’Impact Evaluation: A Guide for Commissioners and </w:t>
      </w:r>
      <w:r w:rsidRPr="00F86BB9">
        <w:rPr>
          <w:i/>
          <w:iCs/>
        </w:rPr>
        <w:t>Managers’</w:t>
      </w:r>
      <w:r>
        <w:t xml:space="preserve"> (Stern 2015), (based on the DFID report) which set out five different bases for causal inference, in addition to using a counterfactual.</w:t>
      </w:r>
    </w:p>
    <w:p w14:paraId="3A5E600D" w14:textId="77777777" w:rsidR="00CA0A6C" w:rsidRDefault="00795489" w:rsidP="00CA0A6C">
      <w:pPr>
        <w:pStyle w:val="ListParagraph"/>
        <w:numPr>
          <w:ilvl w:val="0"/>
          <w:numId w:val="22"/>
        </w:numPr>
        <w:rPr>
          <w:noProof/>
        </w:rPr>
      </w:pPr>
      <w:r>
        <w:t>Rogers et al, 2015 ‘</w:t>
      </w:r>
      <w:r w:rsidRPr="00032389">
        <w:rPr>
          <w:i/>
          <w:iCs/>
        </w:rPr>
        <w:t>Choosing appropriate designs and methods for impact evaluation’</w:t>
      </w:r>
      <w:r>
        <w:t xml:space="preserve">, Office of the Chief Economist, Department of Industry, Innovation and Science, Australian Government, which outlines different methods and designs that can be used in different circumstances for answering descriptive, causal and evaluative questions, including a number of non-experimental options for answering causal questions without a counterfactual. </w:t>
      </w:r>
    </w:p>
    <w:p w14:paraId="700AE0D8" w14:textId="2D01D53D" w:rsidR="00F86BB9" w:rsidRPr="00642205" w:rsidRDefault="00795489" w:rsidP="00CA0A6C">
      <w:pPr>
        <w:pStyle w:val="ListParagraph"/>
        <w:numPr>
          <w:ilvl w:val="0"/>
          <w:numId w:val="22"/>
        </w:numPr>
        <w:rPr>
          <w:noProof/>
        </w:rPr>
      </w:pPr>
      <w:r>
        <w:t xml:space="preserve">HM Treasury (2020) </w:t>
      </w:r>
      <w:r w:rsidRPr="00CA0A6C">
        <w:rPr>
          <w:i/>
          <w:iCs/>
        </w:rPr>
        <w:t xml:space="preserve">Magenta Book: Supplementary Guide: Handling Complexity in Policy Evaluation. </w:t>
      </w:r>
      <w:r w:rsidRPr="00642205">
        <w:t xml:space="preserve">While </w:t>
      </w:r>
      <w:r>
        <w:t>this</w:t>
      </w:r>
      <w:r w:rsidRPr="00642205">
        <w:t xml:space="preserve"> is a recent publication, and</w:t>
      </w:r>
      <w:r w:rsidR="00CA0A6C">
        <w:t>,</w:t>
      </w:r>
      <w:r w:rsidRPr="00642205">
        <w:t xml:space="preserve"> might not have been available when the background paper was drafted, it provides guidance for evaluation that will be highly relevant for many programs and policies that affect Aboriginal and Torres Strait Islander people. </w:t>
      </w:r>
    </w:p>
    <w:p w14:paraId="3EE9EE58" w14:textId="77777777" w:rsidR="00CA0A6C" w:rsidRDefault="00CA0A6C" w:rsidP="00CA0A6C">
      <w:pPr>
        <w:pStyle w:val="ListParagraph"/>
        <w:ind w:left="0"/>
        <w:rPr>
          <w:rFonts w:ascii="Calibri" w:eastAsia="Times New Roman" w:hAnsi="Calibri" w:cs="Calibri"/>
          <w:color w:val="201F1E"/>
          <w:lang w:eastAsia="en-AU"/>
        </w:rPr>
      </w:pPr>
    </w:p>
    <w:p w14:paraId="59CBC809" w14:textId="11E31303" w:rsidR="00795489" w:rsidRPr="003D4CA4" w:rsidRDefault="00795489" w:rsidP="00CA0A6C">
      <w:pPr>
        <w:pStyle w:val="ListParagraph"/>
        <w:ind w:left="0"/>
        <w:rPr>
          <w:rFonts w:ascii="Calibri" w:eastAsia="Times New Roman" w:hAnsi="Calibri" w:cs="Calibri"/>
          <w:color w:val="201F1E"/>
          <w:lang w:eastAsia="en-AU"/>
        </w:rPr>
      </w:pPr>
      <w:r>
        <w:rPr>
          <w:rFonts w:ascii="Calibri" w:eastAsia="Times New Roman" w:hAnsi="Calibri" w:cs="Calibri"/>
          <w:color w:val="201F1E"/>
          <w:lang w:eastAsia="en-AU"/>
        </w:rPr>
        <w:t xml:space="preserve">The </w:t>
      </w:r>
      <w:r w:rsidR="008076C8">
        <w:rPr>
          <w:rFonts w:ascii="Calibri" w:eastAsia="Times New Roman" w:hAnsi="Calibri" w:cs="Calibri"/>
          <w:color w:val="201F1E"/>
          <w:lang w:eastAsia="en-AU"/>
        </w:rPr>
        <w:t>B</w:t>
      </w:r>
      <w:r>
        <w:rPr>
          <w:rFonts w:ascii="Calibri" w:eastAsia="Times New Roman" w:hAnsi="Calibri" w:cs="Calibri"/>
          <w:color w:val="201F1E"/>
          <w:lang w:eastAsia="en-AU"/>
        </w:rPr>
        <w:t xml:space="preserve">ackground </w:t>
      </w:r>
      <w:r w:rsidR="008076C8">
        <w:rPr>
          <w:rFonts w:ascii="Calibri" w:eastAsia="Times New Roman" w:hAnsi="Calibri" w:cs="Calibri"/>
          <w:color w:val="201F1E"/>
          <w:lang w:eastAsia="en-AU"/>
        </w:rPr>
        <w:t>P</w:t>
      </w:r>
      <w:r>
        <w:rPr>
          <w:rFonts w:ascii="Calibri" w:eastAsia="Times New Roman" w:hAnsi="Calibri" w:cs="Calibri"/>
          <w:color w:val="201F1E"/>
          <w:lang w:eastAsia="en-AU"/>
        </w:rPr>
        <w:t>aper</w:t>
      </w:r>
      <w:r w:rsidR="00F86BB9">
        <w:rPr>
          <w:rFonts w:ascii="Calibri" w:eastAsia="Times New Roman" w:hAnsi="Calibri" w:cs="Calibri"/>
          <w:color w:val="201F1E"/>
          <w:lang w:eastAsia="en-AU"/>
        </w:rPr>
        <w:t xml:space="preserve"> and the </w:t>
      </w:r>
      <w:r w:rsidR="00CA0A6C">
        <w:rPr>
          <w:rFonts w:ascii="Calibri" w:eastAsia="Times New Roman" w:hAnsi="Calibri" w:cs="Calibri"/>
          <w:color w:val="201F1E"/>
          <w:lang w:eastAsia="en-AU"/>
        </w:rPr>
        <w:t>G</w:t>
      </w:r>
      <w:r w:rsidR="00F86BB9">
        <w:rPr>
          <w:rFonts w:ascii="Calibri" w:eastAsia="Times New Roman" w:hAnsi="Calibri" w:cs="Calibri"/>
          <w:color w:val="201F1E"/>
          <w:lang w:eastAsia="en-AU"/>
        </w:rPr>
        <w:t>uid</w:t>
      </w:r>
      <w:r w:rsidR="00CA0A6C">
        <w:rPr>
          <w:rFonts w:ascii="Calibri" w:eastAsia="Times New Roman" w:hAnsi="Calibri" w:cs="Calibri"/>
          <w:color w:val="201F1E"/>
          <w:lang w:eastAsia="en-AU"/>
        </w:rPr>
        <w:t xml:space="preserve">e </w:t>
      </w:r>
      <w:r w:rsidR="00F86BB9">
        <w:rPr>
          <w:rFonts w:ascii="Calibri" w:eastAsia="Times New Roman" w:hAnsi="Calibri" w:cs="Calibri"/>
          <w:color w:val="201F1E"/>
          <w:lang w:eastAsia="en-AU"/>
        </w:rPr>
        <w:t>does not include any non-experimental approaches to policy evaluation which excludes</w:t>
      </w:r>
      <w:r w:rsidRPr="003D4CA4">
        <w:rPr>
          <w:rFonts w:ascii="Calibri" w:eastAsia="Times New Roman" w:hAnsi="Calibri" w:cs="Calibri"/>
          <w:color w:val="201F1E"/>
          <w:lang w:eastAsia="en-AU"/>
        </w:rPr>
        <w:t xml:space="preserve"> many potentially viable and more appropriate approaches to impact evaluation. </w:t>
      </w:r>
      <w:r w:rsidR="008076C8" w:rsidRPr="003D4CA4">
        <w:rPr>
          <w:rFonts w:ascii="Calibri" w:eastAsia="Times New Roman" w:hAnsi="Calibri" w:cs="Calibri"/>
          <w:color w:val="201F1E"/>
          <w:lang w:eastAsia="en-AU"/>
        </w:rPr>
        <w:t xml:space="preserve"> </w:t>
      </w:r>
    </w:p>
    <w:p w14:paraId="79C5E24C" w14:textId="4F5D1056" w:rsidR="00795489" w:rsidRDefault="00795489" w:rsidP="00795489">
      <w:pPr>
        <w:shd w:val="clear" w:color="auto" w:fill="FFFFFF"/>
        <w:spacing w:after="0" w:line="240" w:lineRule="auto"/>
        <w:textAlignment w:val="baseline"/>
        <w:rPr>
          <w:rFonts w:ascii="Calibri" w:eastAsia="Times New Roman" w:hAnsi="Calibri" w:cs="Calibri"/>
          <w:color w:val="201F1E"/>
          <w:lang w:eastAsia="en-AU"/>
        </w:rPr>
      </w:pPr>
      <w:r w:rsidRPr="003D4CA4">
        <w:rPr>
          <w:rFonts w:ascii="Calibri" w:eastAsia="Times New Roman" w:hAnsi="Calibri" w:cs="Calibri"/>
          <w:color w:val="201F1E"/>
          <w:lang w:eastAsia="en-AU"/>
        </w:rPr>
        <w:t xml:space="preserve">There are a number of non-experimental methods and approaches which should be specifically </w:t>
      </w:r>
      <w:r w:rsidR="00F86BB9">
        <w:rPr>
          <w:rFonts w:ascii="Calibri" w:eastAsia="Times New Roman" w:hAnsi="Calibri" w:cs="Calibri"/>
          <w:color w:val="201F1E"/>
          <w:lang w:eastAsia="en-AU"/>
        </w:rPr>
        <w:t>named and discussed in the guidance</w:t>
      </w:r>
      <w:r w:rsidRPr="003D4CA4">
        <w:rPr>
          <w:rFonts w:ascii="Calibri" w:eastAsia="Times New Roman" w:hAnsi="Calibri" w:cs="Calibri"/>
          <w:color w:val="201F1E"/>
          <w:lang w:eastAsia="en-AU"/>
        </w:rPr>
        <w:t>:</w:t>
      </w:r>
    </w:p>
    <w:p w14:paraId="3D075BBF" w14:textId="77777777" w:rsidR="00F86BB9" w:rsidRPr="003D4CA4" w:rsidRDefault="00F86BB9" w:rsidP="00795489">
      <w:pPr>
        <w:shd w:val="clear" w:color="auto" w:fill="FFFFFF"/>
        <w:spacing w:after="0" w:line="240" w:lineRule="auto"/>
        <w:textAlignment w:val="baseline"/>
        <w:rPr>
          <w:rFonts w:ascii="Calibri" w:eastAsia="Times New Roman" w:hAnsi="Calibri" w:cs="Calibri"/>
          <w:color w:val="201F1E"/>
          <w:lang w:eastAsia="en-AU"/>
        </w:rPr>
      </w:pPr>
    </w:p>
    <w:p w14:paraId="2D739C0D" w14:textId="77777777" w:rsidR="00936C18" w:rsidRDefault="00C579CE" w:rsidP="00936C18">
      <w:pPr>
        <w:numPr>
          <w:ilvl w:val="0"/>
          <w:numId w:val="17"/>
        </w:numPr>
        <w:shd w:val="clear" w:color="auto" w:fill="FFFFFF"/>
        <w:spacing w:after="0" w:line="240" w:lineRule="auto"/>
        <w:textAlignment w:val="baseline"/>
        <w:rPr>
          <w:rFonts w:ascii="Calibri" w:eastAsia="Times New Roman" w:hAnsi="Calibri" w:cs="Calibri"/>
          <w:lang w:eastAsia="en-AU"/>
        </w:rPr>
      </w:pPr>
      <w:hyperlink r:id="rId25" w:tgtFrame="_blank" w:history="1">
        <w:r w:rsidR="00936C18" w:rsidRPr="00514B71">
          <w:rPr>
            <w:rFonts w:ascii="Calibri" w:eastAsia="Times New Roman" w:hAnsi="Calibri" w:cs="Calibri"/>
            <w:b/>
            <w:bCs/>
            <w:bdr w:val="none" w:sz="0" w:space="0" w:color="auto" w:frame="1"/>
            <w:lang w:eastAsia="en-AU"/>
          </w:rPr>
          <w:t>Contribution Analysis</w:t>
        </w:r>
      </w:hyperlink>
      <w:r w:rsidR="00936C18" w:rsidRPr="007B0178">
        <w:rPr>
          <w:rFonts w:ascii="Calibri" w:eastAsia="Times New Roman" w:hAnsi="Calibri" w:cs="Calibri"/>
          <w:lang w:eastAsia="en-AU"/>
        </w:rPr>
        <w:t>: assessing whether the program is based on a plausible theory of change, whether it was implemented as intended, whether the anticipated chain of results occurred and the extent to which other factors influenced the program’s achievements.</w:t>
      </w:r>
    </w:p>
    <w:p w14:paraId="4736581E" w14:textId="77777777" w:rsidR="00936C18" w:rsidRPr="007B0178" w:rsidRDefault="00C579CE" w:rsidP="00936C18">
      <w:pPr>
        <w:numPr>
          <w:ilvl w:val="1"/>
          <w:numId w:val="17"/>
        </w:numPr>
        <w:shd w:val="clear" w:color="auto" w:fill="FFFFFF"/>
        <w:spacing w:after="0" w:line="240" w:lineRule="auto"/>
        <w:textAlignment w:val="baseline"/>
        <w:rPr>
          <w:rFonts w:ascii="Calibri" w:eastAsia="Times New Roman" w:hAnsi="Calibri" w:cs="Calibri"/>
          <w:lang w:eastAsia="en-AU"/>
        </w:rPr>
      </w:pPr>
      <w:hyperlink r:id="rId26" w:history="1">
        <w:r w:rsidR="00936C18" w:rsidRPr="00276F26">
          <w:rPr>
            <w:rStyle w:val="Hyperlink"/>
            <w:rFonts w:ascii="Calibri" w:eastAsia="Times New Roman" w:hAnsi="Calibri" w:cs="Calibri"/>
            <w:lang w:eastAsia="en-AU"/>
          </w:rPr>
          <w:t>http://betterevaluation.org/plan/approach/contribution_analysis</w:t>
        </w:r>
      </w:hyperlink>
      <w:r w:rsidR="00936C18">
        <w:rPr>
          <w:rFonts w:ascii="Calibri" w:eastAsia="Times New Roman" w:hAnsi="Calibri" w:cs="Calibri"/>
          <w:lang w:eastAsia="en-AU"/>
        </w:rPr>
        <w:t xml:space="preserve"> </w:t>
      </w:r>
    </w:p>
    <w:p w14:paraId="1898B25E" w14:textId="77777777" w:rsidR="00F86BB9" w:rsidRPr="007B0178" w:rsidRDefault="00C579CE" w:rsidP="00F86BB9">
      <w:pPr>
        <w:numPr>
          <w:ilvl w:val="0"/>
          <w:numId w:val="17"/>
        </w:numPr>
        <w:shd w:val="clear" w:color="auto" w:fill="FFFFFF"/>
        <w:spacing w:after="0" w:line="240" w:lineRule="auto"/>
        <w:textAlignment w:val="baseline"/>
        <w:rPr>
          <w:rFonts w:ascii="Calibri" w:eastAsia="Times New Roman" w:hAnsi="Calibri" w:cs="Calibri"/>
          <w:lang w:eastAsia="en-AU"/>
        </w:rPr>
      </w:pPr>
      <w:hyperlink r:id="rId27" w:tgtFrame="_blank" w:history="1">
        <w:r w:rsidR="00F86BB9" w:rsidRPr="00514B71">
          <w:rPr>
            <w:rFonts w:ascii="Calibri" w:eastAsia="Times New Roman" w:hAnsi="Calibri" w:cs="Calibri"/>
            <w:b/>
            <w:bCs/>
            <w:bdr w:val="none" w:sz="0" w:space="0" w:color="auto" w:frame="1"/>
            <w:lang w:eastAsia="en-AU"/>
          </w:rPr>
          <w:t>Process tracing</w:t>
        </w:r>
      </w:hyperlink>
      <w:r w:rsidR="00F86BB9" w:rsidRPr="007B0178">
        <w:rPr>
          <w:rFonts w:ascii="Calibri" w:eastAsia="Times New Roman" w:hAnsi="Calibri" w:cs="Calibri"/>
          <w:lang w:eastAsia="en-AU"/>
        </w:rPr>
        <w:t>: a case-based approach to causal inference which focuses on the use of clues within a case to adjudicate between alternative possible explanations. Process tracing involves four types of causal tests:</w:t>
      </w:r>
    </w:p>
    <w:p w14:paraId="34FF7CB1" w14:textId="77777777" w:rsidR="00F86BB9" w:rsidRPr="007B0178" w:rsidRDefault="00F86BB9" w:rsidP="00F86BB9">
      <w:pPr>
        <w:numPr>
          <w:ilvl w:val="1"/>
          <w:numId w:val="18"/>
        </w:numPr>
        <w:shd w:val="clear" w:color="auto" w:fill="FFFFFF"/>
        <w:spacing w:after="0" w:line="240" w:lineRule="auto"/>
        <w:textAlignment w:val="baseline"/>
        <w:rPr>
          <w:rFonts w:ascii="Calibri" w:eastAsia="Times New Roman" w:hAnsi="Calibri" w:cs="Calibri"/>
          <w:lang w:eastAsia="en-AU"/>
        </w:rPr>
      </w:pPr>
      <w:r w:rsidRPr="007B0178">
        <w:rPr>
          <w:rFonts w:ascii="Calibri" w:eastAsia="Times New Roman" w:hAnsi="Calibri" w:cs="Calibri"/>
          <w:lang w:eastAsia="en-AU"/>
        </w:rPr>
        <w:t>'straw in the wind', which lends support for an explanation without definitively ruling it in or out,</w:t>
      </w:r>
    </w:p>
    <w:p w14:paraId="485F6326" w14:textId="77777777" w:rsidR="00F86BB9" w:rsidRPr="007B0178" w:rsidRDefault="00F86BB9" w:rsidP="00F86BB9">
      <w:pPr>
        <w:numPr>
          <w:ilvl w:val="1"/>
          <w:numId w:val="18"/>
        </w:numPr>
        <w:shd w:val="clear" w:color="auto" w:fill="FFFFFF"/>
        <w:spacing w:after="0" w:line="240" w:lineRule="auto"/>
        <w:textAlignment w:val="baseline"/>
        <w:rPr>
          <w:rFonts w:ascii="Calibri" w:eastAsia="Times New Roman" w:hAnsi="Calibri" w:cs="Calibri"/>
          <w:lang w:eastAsia="en-AU"/>
        </w:rPr>
      </w:pPr>
      <w:r w:rsidRPr="007B0178">
        <w:rPr>
          <w:rFonts w:ascii="Calibri" w:eastAsia="Times New Roman" w:hAnsi="Calibri" w:cs="Calibri"/>
          <w:lang w:eastAsia="en-AU"/>
        </w:rPr>
        <w:t xml:space="preserve">'hoop', failed when examination of a case shows the presence of a necessary causal </w:t>
      </w:r>
      <w:proofErr w:type="spellStart"/>
      <w:r w:rsidRPr="007B0178">
        <w:rPr>
          <w:rFonts w:ascii="Calibri" w:eastAsia="Times New Roman" w:hAnsi="Calibri" w:cs="Calibri"/>
          <w:lang w:eastAsia="en-AU"/>
        </w:rPr>
        <w:t>condition,when</w:t>
      </w:r>
      <w:proofErr w:type="spellEnd"/>
      <w:r w:rsidRPr="007B0178">
        <w:rPr>
          <w:rFonts w:ascii="Calibri" w:eastAsia="Times New Roman" w:hAnsi="Calibri" w:cs="Calibri"/>
          <w:lang w:eastAsia="en-AU"/>
        </w:rPr>
        <w:t xml:space="preserve"> the outcome of interest is not present. Common hoop conditions are more persuasive than uncommon ones</w:t>
      </w:r>
    </w:p>
    <w:p w14:paraId="0E6B8246" w14:textId="77777777" w:rsidR="00F86BB9" w:rsidRPr="007B0178" w:rsidRDefault="00F86BB9" w:rsidP="00F86BB9">
      <w:pPr>
        <w:numPr>
          <w:ilvl w:val="1"/>
          <w:numId w:val="18"/>
        </w:numPr>
        <w:shd w:val="clear" w:color="auto" w:fill="FFFFFF"/>
        <w:spacing w:after="0" w:line="240" w:lineRule="auto"/>
        <w:textAlignment w:val="baseline"/>
        <w:rPr>
          <w:rFonts w:ascii="Calibri" w:eastAsia="Times New Roman" w:hAnsi="Calibri" w:cs="Calibri"/>
          <w:lang w:eastAsia="en-AU"/>
        </w:rPr>
      </w:pPr>
      <w:r w:rsidRPr="007B0178">
        <w:rPr>
          <w:rFonts w:ascii="Calibri" w:eastAsia="Times New Roman" w:hAnsi="Calibri" w:cs="Calibri"/>
          <w:lang w:eastAsia="en-AU"/>
        </w:rPr>
        <w:t>'smoking gun', passed when examination of a case shows the presence of a sufficient causal condition. Uncommon smoking gun conditions are more persuasive than common ones</w:t>
      </w:r>
    </w:p>
    <w:p w14:paraId="7985BD89" w14:textId="77777777" w:rsidR="00D97610" w:rsidRDefault="00F86BB9" w:rsidP="00D97610">
      <w:pPr>
        <w:numPr>
          <w:ilvl w:val="1"/>
          <w:numId w:val="18"/>
        </w:numPr>
        <w:shd w:val="clear" w:color="auto" w:fill="FFFFFF" w:themeFill="background1"/>
        <w:spacing w:after="0" w:line="240" w:lineRule="auto"/>
        <w:textAlignment w:val="baseline"/>
        <w:rPr>
          <w:rFonts w:ascii="Calibri" w:eastAsia="Times New Roman" w:hAnsi="Calibri" w:cs="Calibri"/>
          <w:lang w:eastAsia="en-AU"/>
        </w:rPr>
      </w:pPr>
      <w:r w:rsidRPr="007B0178">
        <w:rPr>
          <w:rFonts w:ascii="Calibri" w:eastAsia="Times New Roman" w:hAnsi="Calibri" w:cs="Calibri"/>
          <w:lang w:eastAsia="en-AU"/>
        </w:rPr>
        <w:t>'doubly definitive' passed when examination of a case shows that a condition is both necessary and sufficient support for the explanation. </w:t>
      </w:r>
    </w:p>
    <w:p w14:paraId="0D4561AF" w14:textId="00FDCE84" w:rsidR="00F86BB9" w:rsidRPr="00D97610" w:rsidRDefault="00C579CE" w:rsidP="00D97610">
      <w:pPr>
        <w:numPr>
          <w:ilvl w:val="2"/>
          <w:numId w:val="18"/>
        </w:numPr>
        <w:shd w:val="clear" w:color="auto" w:fill="FFFFFF" w:themeFill="background1"/>
        <w:tabs>
          <w:tab w:val="clear" w:pos="2160"/>
        </w:tabs>
        <w:spacing w:after="0" w:line="240" w:lineRule="auto"/>
        <w:ind w:left="1418" w:hanging="284"/>
        <w:textAlignment w:val="baseline"/>
        <w:rPr>
          <w:rStyle w:val="Hyperlink"/>
          <w:rFonts w:ascii="Calibri" w:eastAsia="Times New Roman" w:hAnsi="Calibri" w:cs="Calibri"/>
          <w:color w:val="auto"/>
          <w:u w:val="none"/>
          <w:lang w:eastAsia="en-AU"/>
        </w:rPr>
      </w:pPr>
      <w:hyperlink r:id="rId28" w:history="1">
        <w:r w:rsidR="00D97610" w:rsidRPr="00EA749C">
          <w:rPr>
            <w:rStyle w:val="Hyperlink"/>
            <w:rFonts w:ascii="Calibri" w:eastAsia="Times New Roman" w:hAnsi="Calibri" w:cs="Calibri"/>
            <w:lang w:eastAsia="en-AU"/>
          </w:rPr>
          <w:t>https://www.betterevaluation.org/en/evaluation-options/processtracing</w:t>
        </w:r>
      </w:hyperlink>
    </w:p>
    <w:p w14:paraId="0ADF55FC" w14:textId="756DB854" w:rsidR="00936C18" w:rsidRDefault="00C579CE" w:rsidP="00F86BB9">
      <w:pPr>
        <w:numPr>
          <w:ilvl w:val="0"/>
          <w:numId w:val="17"/>
        </w:numPr>
        <w:shd w:val="clear" w:color="auto" w:fill="FFFFFF" w:themeFill="background1"/>
        <w:spacing w:after="0" w:line="240" w:lineRule="auto"/>
        <w:textAlignment w:val="baseline"/>
        <w:rPr>
          <w:rFonts w:ascii="Calibri" w:eastAsia="Times New Roman" w:hAnsi="Calibri" w:cs="Calibri"/>
          <w:lang w:eastAsia="en-AU"/>
        </w:rPr>
      </w:pPr>
      <w:hyperlink r:id="rId29" w:tgtFrame="_blank" w:history="1">
        <w:r w:rsidR="00936C18" w:rsidRPr="00514B71">
          <w:rPr>
            <w:rFonts w:ascii="Calibri" w:eastAsia="Times New Roman" w:hAnsi="Calibri" w:cs="Calibri"/>
            <w:b/>
            <w:bCs/>
            <w:bdr w:val="none" w:sz="0" w:space="0" w:color="auto" w:frame="1"/>
            <w:lang w:eastAsia="en-AU"/>
          </w:rPr>
          <w:t>Collaborative Outcomes Reporting</w:t>
        </w:r>
      </w:hyperlink>
      <w:r w:rsidR="00936C18" w:rsidRPr="002511A8">
        <w:rPr>
          <w:rFonts w:ascii="Calibri" w:eastAsia="Times New Roman" w:hAnsi="Calibri" w:cs="Calibri"/>
          <w:b/>
          <w:bCs/>
          <w:lang w:eastAsia="en-AU"/>
        </w:rPr>
        <w:t>:</w:t>
      </w:r>
      <w:r w:rsidR="00936C18" w:rsidRPr="007B0178">
        <w:rPr>
          <w:rFonts w:ascii="Calibri" w:eastAsia="Times New Roman" w:hAnsi="Calibri" w:cs="Calibri"/>
          <w:lang w:eastAsia="en-AU"/>
        </w:rPr>
        <w:t> mapping existing data against the theory of change, and then using a combination of expert review and community consultation to check for the credibility of the evidence. </w:t>
      </w:r>
    </w:p>
    <w:p w14:paraId="34F26B48" w14:textId="77777777" w:rsidR="00936C18" w:rsidRPr="007B0178" w:rsidRDefault="00C579CE" w:rsidP="00936C18">
      <w:pPr>
        <w:numPr>
          <w:ilvl w:val="1"/>
          <w:numId w:val="17"/>
        </w:numPr>
        <w:shd w:val="clear" w:color="auto" w:fill="FFFFFF" w:themeFill="background1"/>
        <w:spacing w:after="0" w:line="240" w:lineRule="auto"/>
        <w:textAlignment w:val="baseline"/>
        <w:rPr>
          <w:rFonts w:ascii="Calibri" w:eastAsia="Times New Roman" w:hAnsi="Calibri" w:cs="Calibri"/>
          <w:lang w:eastAsia="en-AU"/>
        </w:rPr>
      </w:pPr>
      <w:hyperlink r:id="rId30" w:history="1">
        <w:r w:rsidR="00936C18" w:rsidRPr="00276F26">
          <w:rPr>
            <w:rStyle w:val="Hyperlink"/>
            <w:rFonts w:ascii="Calibri" w:eastAsia="Times New Roman" w:hAnsi="Calibri" w:cs="Calibri"/>
            <w:lang w:eastAsia="en-AU"/>
          </w:rPr>
          <w:t>https://www.betterevaluation.org/en/plan/approach/cort</w:t>
        </w:r>
      </w:hyperlink>
      <w:r w:rsidR="00936C18">
        <w:rPr>
          <w:rFonts w:ascii="Calibri" w:eastAsia="Times New Roman" w:hAnsi="Calibri" w:cs="Calibri"/>
          <w:lang w:eastAsia="en-AU"/>
        </w:rPr>
        <w:t xml:space="preserve"> </w:t>
      </w:r>
    </w:p>
    <w:p w14:paraId="745253D0" w14:textId="77777777" w:rsidR="00F86BB9" w:rsidRDefault="00C579CE" w:rsidP="00F86BB9">
      <w:pPr>
        <w:numPr>
          <w:ilvl w:val="0"/>
          <w:numId w:val="17"/>
        </w:numPr>
        <w:shd w:val="clear" w:color="auto" w:fill="FFFFFF" w:themeFill="background1"/>
        <w:spacing w:after="0" w:line="240" w:lineRule="auto"/>
        <w:textAlignment w:val="baseline"/>
        <w:rPr>
          <w:rFonts w:ascii="Calibri" w:eastAsia="Times New Roman" w:hAnsi="Calibri" w:cs="Calibri"/>
          <w:lang w:eastAsia="en-AU"/>
        </w:rPr>
      </w:pPr>
      <w:hyperlink r:id="rId31" w:tgtFrame="_blank" w:history="1">
        <w:r w:rsidR="00F86BB9" w:rsidRPr="00514B71">
          <w:rPr>
            <w:rFonts w:ascii="Calibri" w:eastAsia="Times New Roman" w:hAnsi="Calibri" w:cs="Calibri"/>
            <w:b/>
            <w:bCs/>
            <w:bdr w:val="none" w:sz="0" w:space="0" w:color="auto" w:frame="1"/>
            <w:lang w:eastAsia="en-AU"/>
          </w:rPr>
          <w:t>Comparative Case S</w:t>
        </w:r>
      </w:hyperlink>
      <w:r w:rsidR="00F86BB9" w:rsidRPr="00514B71">
        <w:rPr>
          <w:rFonts w:ascii="Calibri" w:eastAsia="Times New Roman" w:hAnsi="Calibri" w:cs="Calibri"/>
          <w:b/>
          <w:bCs/>
          <w:lang w:eastAsia="en-AU"/>
        </w:rPr>
        <w:t>tudies</w:t>
      </w:r>
      <w:r w:rsidR="00F86BB9" w:rsidRPr="007B0178">
        <w:rPr>
          <w:rFonts w:ascii="Calibri" w:eastAsia="Times New Roman" w:hAnsi="Calibri" w:cs="Calibri"/>
          <w:lang w:eastAsia="en-AU"/>
        </w:rPr>
        <w:t> - which use purposeful samples and process tracing to build and test theories and when and for whom a program works - see especially the UNICEF brief </w:t>
      </w:r>
    </w:p>
    <w:p w14:paraId="51F56887" w14:textId="685B9A11" w:rsidR="00936C18" w:rsidRPr="007B0178" w:rsidRDefault="00C579CE" w:rsidP="00CA0A6C">
      <w:pPr>
        <w:numPr>
          <w:ilvl w:val="1"/>
          <w:numId w:val="17"/>
        </w:numPr>
        <w:shd w:val="clear" w:color="auto" w:fill="FFFFFF" w:themeFill="background1"/>
        <w:spacing w:after="0" w:line="240" w:lineRule="auto"/>
        <w:textAlignment w:val="baseline"/>
        <w:rPr>
          <w:rFonts w:ascii="Calibri" w:eastAsia="Times New Roman" w:hAnsi="Calibri" w:cs="Calibri"/>
          <w:lang w:eastAsia="en-AU"/>
        </w:rPr>
      </w:pPr>
      <w:hyperlink r:id="rId32" w:history="1">
        <w:r w:rsidR="00F86BB9" w:rsidRPr="00514B71">
          <w:rPr>
            <w:rStyle w:val="Hyperlink"/>
            <w:rFonts w:ascii="Calibri" w:eastAsia="Times New Roman" w:hAnsi="Calibri" w:cs="Calibri"/>
            <w:u w:val="none"/>
            <w:bdr w:val="none" w:sz="0" w:space="0" w:color="auto" w:frame="1"/>
            <w:lang w:eastAsia="en-AU"/>
          </w:rPr>
          <w:t>https://www.betterevaluation.org/resources/guide/comparative_case_studies</w:t>
        </w:r>
      </w:hyperlink>
    </w:p>
    <w:p w14:paraId="4EB7D923" w14:textId="77777777" w:rsidR="00936C18" w:rsidRDefault="00C579CE" w:rsidP="00936C18">
      <w:pPr>
        <w:numPr>
          <w:ilvl w:val="0"/>
          <w:numId w:val="17"/>
        </w:numPr>
        <w:shd w:val="clear" w:color="auto" w:fill="FFFFFF"/>
        <w:spacing w:after="0" w:line="240" w:lineRule="auto"/>
        <w:textAlignment w:val="baseline"/>
        <w:rPr>
          <w:rFonts w:ascii="Calibri" w:eastAsia="Times New Roman" w:hAnsi="Calibri" w:cs="Calibri"/>
          <w:lang w:eastAsia="en-AU"/>
        </w:rPr>
      </w:pPr>
      <w:hyperlink r:id="rId33" w:tgtFrame="_blank" w:history="1">
        <w:r w:rsidR="00936C18" w:rsidRPr="00514B71">
          <w:rPr>
            <w:rFonts w:ascii="Calibri" w:eastAsia="Times New Roman" w:hAnsi="Calibri" w:cs="Calibri"/>
            <w:b/>
            <w:bCs/>
            <w:bdr w:val="none" w:sz="0" w:space="0" w:color="auto" w:frame="1"/>
            <w:lang w:eastAsia="en-AU"/>
          </w:rPr>
          <w:t>Qualitative Impact Assessment Protocol</w:t>
        </w:r>
      </w:hyperlink>
      <w:r w:rsidR="00936C18" w:rsidRPr="007B0178">
        <w:rPr>
          <w:rFonts w:ascii="Calibri" w:eastAsia="Times New Roman" w:hAnsi="Calibri" w:cs="Calibri"/>
          <w:lang w:eastAsia="en-AU"/>
        </w:rPr>
        <w:t> - a systematic approach that addresses some of the weaknesses of key informant attribution through double blinding and combines it with contribution analysis </w:t>
      </w:r>
    </w:p>
    <w:p w14:paraId="7E11E23C" w14:textId="77777777" w:rsidR="00936C18" w:rsidRPr="007B0178" w:rsidRDefault="00C579CE" w:rsidP="00936C18">
      <w:pPr>
        <w:numPr>
          <w:ilvl w:val="1"/>
          <w:numId w:val="17"/>
        </w:numPr>
        <w:shd w:val="clear" w:color="auto" w:fill="FFFFFF"/>
        <w:spacing w:after="0" w:line="240" w:lineRule="auto"/>
        <w:textAlignment w:val="baseline"/>
        <w:rPr>
          <w:rFonts w:ascii="Calibri" w:eastAsia="Times New Roman" w:hAnsi="Calibri" w:cs="Calibri"/>
          <w:lang w:eastAsia="en-AU"/>
        </w:rPr>
      </w:pPr>
      <w:hyperlink r:id="rId34" w:history="1">
        <w:r w:rsidR="00936C18" w:rsidRPr="00276F26">
          <w:rPr>
            <w:rStyle w:val="Hyperlink"/>
            <w:rFonts w:ascii="Calibri" w:eastAsia="Times New Roman" w:hAnsi="Calibri" w:cs="Calibri"/>
            <w:lang w:eastAsia="en-AU"/>
          </w:rPr>
          <w:t>https://www.betterevaluation.org/en/plan/approach/QUIP</w:t>
        </w:r>
      </w:hyperlink>
      <w:r w:rsidR="00936C18">
        <w:rPr>
          <w:rFonts w:ascii="Calibri" w:eastAsia="Times New Roman" w:hAnsi="Calibri" w:cs="Calibri"/>
          <w:lang w:eastAsia="en-AU"/>
        </w:rPr>
        <w:t xml:space="preserve"> </w:t>
      </w:r>
    </w:p>
    <w:p w14:paraId="221CF853" w14:textId="77777777" w:rsidR="00CA0A6C" w:rsidRDefault="00C579CE" w:rsidP="00CA0A6C">
      <w:pPr>
        <w:numPr>
          <w:ilvl w:val="0"/>
          <w:numId w:val="17"/>
        </w:numPr>
        <w:shd w:val="clear" w:color="auto" w:fill="FFFFFF" w:themeFill="background1"/>
        <w:spacing w:after="0" w:line="240" w:lineRule="auto"/>
        <w:textAlignment w:val="baseline"/>
        <w:rPr>
          <w:rFonts w:ascii="Calibri" w:eastAsia="Times New Roman" w:hAnsi="Calibri" w:cs="Calibri"/>
          <w:lang w:eastAsia="en-AU"/>
        </w:rPr>
      </w:pPr>
      <w:hyperlink r:id="rId35" w:tgtFrame="_blank" w:history="1">
        <w:r w:rsidR="00CA0A6C" w:rsidRPr="00514B71">
          <w:rPr>
            <w:rFonts w:ascii="Calibri" w:eastAsia="Times New Roman" w:hAnsi="Calibri" w:cs="Calibri"/>
            <w:b/>
            <w:bCs/>
            <w:lang w:eastAsia="en-AU"/>
          </w:rPr>
          <w:t>Qualitative Comparative Analysis</w:t>
        </w:r>
      </w:hyperlink>
      <w:r w:rsidR="00CA0A6C" w:rsidRPr="00514B71">
        <w:rPr>
          <w:rFonts w:ascii="Calibri" w:eastAsia="Times New Roman" w:hAnsi="Calibri" w:cs="Calibri"/>
          <w:lang w:eastAsia="en-AU"/>
        </w:rPr>
        <w:t> -  uses matrix displays and Boolean algebra to  distinguish various complex forms of causation, including, configurations of causal conditions, not just single causes, equifinality, where there is more than one way in which an outcome can happen, causal conditions which are necessary, sufficient, both or neither, asymmetric causes – where the causes of failure may not simply be the absence of the cause of success. </w:t>
      </w:r>
    </w:p>
    <w:p w14:paraId="58981931" w14:textId="77777777" w:rsidR="00CA0A6C" w:rsidRDefault="00C579CE" w:rsidP="00CA0A6C">
      <w:pPr>
        <w:numPr>
          <w:ilvl w:val="1"/>
          <w:numId w:val="17"/>
        </w:numPr>
        <w:shd w:val="clear" w:color="auto" w:fill="FFFFFF" w:themeFill="background1"/>
        <w:spacing w:after="0" w:line="240" w:lineRule="auto"/>
        <w:textAlignment w:val="baseline"/>
        <w:rPr>
          <w:rFonts w:ascii="Calibri" w:eastAsia="Times New Roman" w:hAnsi="Calibri" w:cs="Calibri"/>
          <w:lang w:eastAsia="en-AU"/>
        </w:rPr>
      </w:pPr>
      <w:hyperlink r:id="rId36" w:history="1">
        <w:r w:rsidR="00CA0A6C" w:rsidRPr="00276F26">
          <w:rPr>
            <w:rStyle w:val="Hyperlink"/>
            <w:rFonts w:ascii="Calibri" w:eastAsia="Times New Roman" w:hAnsi="Calibri" w:cs="Calibri"/>
            <w:lang w:eastAsia="en-AU"/>
          </w:rPr>
          <w:t>https://www.betterevaluation.org/en/evaluation-options/qualitative_comparative_analysis</w:t>
        </w:r>
      </w:hyperlink>
      <w:r w:rsidR="00CA0A6C">
        <w:rPr>
          <w:rFonts w:ascii="Calibri" w:eastAsia="Times New Roman" w:hAnsi="Calibri" w:cs="Calibri"/>
          <w:lang w:eastAsia="en-AU"/>
        </w:rPr>
        <w:t xml:space="preserve"> </w:t>
      </w:r>
    </w:p>
    <w:p w14:paraId="5EA54980" w14:textId="766D425E" w:rsidR="00CA0A6C" w:rsidRPr="00CA0A6C" w:rsidRDefault="00C579CE" w:rsidP="00CA0A6C">
      <w:pPr>
        <w:numPr>
          <w:ilvl w:val="0"/>
          <w:numId w:val="17"/>
        </w:numPr>
        <w:shd w:val="clear" w:color="auto" w:fill="FFFFFF" w:themeFill="background1"/>
        <w:spacing w:after="0" w:line="240" w:lineRule="auto"/>
        <w:textAlignment w:val="baseline"/>
        <w:rPr>
          <w:rFonts w:ascii="Calibri" w:eastAsia="Times New Roman" w:hAnsi="Calibri" w:cs="Calibri"/>
          <w:lang w:eastAsia="en-AU"/>
        </w:rPr>
      </w:pPr>
      <w:hyperlink r:id="rId37" w:history="1">
        <w:r w:rsidR="00CA0A6C" w:rsidRPr="00CA0A6C">
          <w:rPr>
            <w:b/>
            <w:bCs/>
          </w:rPr>
          <w:t>Realist Evaluation</w:t>
        </w:r>
      </w:hyperlink>
      <w:r w:rsidR="00CA0A6C" w:rsidRPr="00CA0A6C">
        <w:rPr>
          <w:b/>
          <w:bCs/>
        </w:rPr>
        <w:t xml:space="preserve"> -</w:t>
      </w:r>
      <w:r w:rsidR="00CA0A6C" w:rsidRPr="00CA0A6C">
        <w:rPr>
          <w:rFonts w:eastAsia="Times New Roman"/>
          <w:color w:val="000000"/>
          <w:sz w:val="24"/>
          <w:szCs w:val="24"/>
          <w:bdr w:val="none" w:sz="0" w:space="0" w:color="auto" w:frame="1"/>
        </w:rPr>
        <w:t xml:space="preserve"> An approach especially to impact evaluation which examines what works for whom in what circumstances through what causal mechanisms, including changes in the reasoning and resources of participants.</w:t>
      </w:r>
      <w:r w:rsidR="00CA0A6C" w:rsidRPr="00CA0A6C">
        <w:rPr>
          <w:rFonts w:eastAsia="Times New Roman"/>
          <w:color w:val="000000"/>
          <w:sz w:val="24"/>
          <w:szCs w:val="24"/>
        </w:rPr>
        <w:t> </w:t>
      </w:r>
    </w:p>
    <w:p w14:paraId="06019FDA" w14:textId="77777777" w:rsidR="00CA0A6C" w:rsidRDefault="00C579CE" w:rsidP="00CA0A6C">
      <w:pPr>
        <w:numPr>
          <w:ilvl w:val="1"/>
          <w:numId w:val="17"/>
        </w:numPr>
        <w:shd w:val="clear" w:color="auto" w:fill="FFFFFF" w:themeFill="background1"/>
        <w:spacing w:before="100" w:beforeAutospacing="1" w:after="0" w:line="240" w:lineRule="auto"/>
        <w:rPr>
          <w:rFonts w:eastAsia="Times New Roman"/>
          <w:color w:val="000000"/>
          <w:sz w:val="24"/>
          <w:szCs w:val="24"/>
        </w:rPr>
      </w:pPr>
      <w:hyperlink r:id="rId38" w:history="1">
        <w:r w:rsidR="00CA0A6C">
          <w:rPr>
            <w:rStyle w:val="Hyperlink"/>
          </w:rPr>
          <w:t>https://www.betterevaluation.org/en/approach/realist_evaluation</w:t>
        </w:r>
      </w:hyperlink>
      <w:r w:rsidR="00CA0A6C">
        <w:rPr>
          <w:rFonts w:eastAsia="Times New Roman"/>
          <w:color w:val="000000"/>
          <w:sz w:val="24"/>
          <w:szCs w:val="24"/>
        </w:rPr>
        <w:t xml:space="preserve">  </w:t>
      </w:r>
    </w:p>
    <w:p w14:paraId="7F1B892D" w14:textId="77777777" w:rsidR="00CA0A6C" w:rsidRPr="00CA0A6C" w:rsidRDefault="00CA0A6C" w:rsidP="00CA0A6C">
      <w:pPr>
        <w:shd w:val="clear" w:color="auto" w:fill="FFFFFF" w:themeFill="background1"/>
        <w:spacing w:after="0" w:line="240" w:lineRule="auto"/>
        <w:ind w:left="720"/>
        <w:textAlignment w:val="baseline"/>
        <w:rPr>
          <w:rFonts w:ascii="Calibri" w:eastAsia="Times New Roman" w:hAnsi="Calibri" w:cs="Calibri"/>
          <w:lang w:eastAsia="en-AU"/>
        </w:rPr>
      </w:pPr>
    </w:p>
    <w:p w14:paraId="2833D034" w14:textId="705032EA" w:rsidR="00795489" w:rsidRDefault="00CA0A6C" w:rsidP="00CA0A6C">
      <w:pPr>
        <w:rPr>
          <w:rFonts w:ascii="Calibri" w:eastAsia="Times New Roman" w:hAnsi="Calibri" w:cs="Calibri"/>
          <w:color w:val="201F1E"/>
          <w:lang w:eastAsia="en-AU"/>
        </w:rPr>
      </w:pPr>
      <w:r>
        <w:rPr>
          <w:rFonts w:ascii="Calibri" w:eastAsia="Times New Roman" w:hAnsi="Calibri" w:cs="Calibri"/>
          <w:color w:val="201F1E"/>
          <w:lang w:eastAsia="en-AU"/>
        </w:rPr>
        <w:t>T</w:t>
      </w:r>
      <w:r w:rsidR="00795489" w:rsidRPr="00474909">
        <w:rPr>
          <w:rFonts w:ascii="Calibri" w:eastAsia="Times New Roman" w:hAnsi="Calibri" w:cs="Calibri"/>
          <w:color w:val="201F1E"/>
          <w:lang w:eastAsia="en-AU"/>
        </w:rPr>
        <w:t xml:space="preserve">he </w:t>
      </w:r>
      <w:r>
        <w:rPr>
          <w:rFonts w:ascii="Calibri" w:eastAsia="Times New Roman" w:hAnsi="Calibri" w:cs="Calibri"/>
          <w:color w:val="201F1E"/>
          <w:lang w:eastAsia="en-AU"/>
        </w:rPr>
        <w:t xml:space="preserve">Background </w:t>
      </w:r>
      <w:r w:rsidR="00936C18">
        <w:rPr>
          <w:rFonts w:ascii="Calibri" w:eastAsia="Times New Roman" w:hAnsi="Calibri" w:cs="Calibri"/>
          <w:color w:val="201F1E"/>
          <w:lang w:eastAsia="en-AU"/>
        </w:rPr>
        <w:t>P</w:t>
      </w:r>
      <w:r w:rsidR="00795489" w:rsidRPr="00474909">
        <w:rPr>
          <w:rFonts w:ascii="Calibri" w:eastAsia="Times New Roman" w:hAnsi="Calibri" w:cs="Calibri"/>
          <w:color w:val="201F1E"/>
          <w:lang w:eastAsia="en-AU"/>
        </w:rPr>
        <w:t xml:space="preserve">aper also fails to </w:t>
      </w:r>
      <w:r w:rsidR="00F86BB9">
        <w:rPr>
          <w:rFonts w:ascii="Calibri" w:eastAsia="Times New Roman" w:hAnsi="Calibri" w:cs="Calibri"/>
          <w:color w:val="201F1E"/>
          <w:lang w:eastAsia="en-AU"/>
        </w:rPr>
        <w:t>discuss the risks and limitations</w:t>
      </w:r>
      <w:r w:rsidR="00795489" w:rsidRPr="00474909">
        <w:rPr>
          <w:rFonts w:ascii="Calibri" w:eastAsia="Times New Roman" w:hAnsi="Calibri" w:cs="Calibri"/>
          <w:color w:val="201F1E"/>
          <w:lang w:eastAsia="en-AU"/>
        </w:rPr>
        <w:t xml:space="preserve"> of RCTs and quasi-experimental designs</w:t>
      </w:r>
      <w:r w:rsidR="00795489">
        <w:rPr>
          <w:rFonts w:ascii="Calibri" w:eastAsia="Times New Roman" w:hAnsi="Calibri" w:cs="Calibri"/>
          <w:color w:val="201F1E"/>
          <w:lang w:eastAsia="en-AU"/>
        </w:rPr>
        <w:t>.  A number of these were outlined in two papers that are cited as sources but not used (</w:t>
      </w:r>
      <w:r w:rsidR="00795489" w:rsidRPr="00C526CF">
        <w:rPr>
          <w:rFonts w:ascii="Calibri" w:eastAsia="Times New Roman" w:hAnsi="Calibri" w:cs="Calibri"/>
          <w:color w:val="201F1E"/>
          <w:lang w:eastAsia="en-AU"/>
        </w:rPr>
        <w:t>Rogers, P. 2009a, ‘Learning from the evidence about evidence-based policy’, Strengthening</w:t>
      </w:r>
      <w:r w:rsidR="00795489">
        <w:rPr>
          <w:rFonts w:ascii="Calibri" w:eastAsia="Times New Roman" w:hAnsi="Calibri" w:cs="Calibri"/>
          <w:color w:val="201F1E"/>
          <w:lang w:eastAsia="en-AU"/>
        </w:rPr>
        <w:t xml:space="preserve"> </w:t>
      </w:r>
      <w:r w:rsidR="00795489" w:rsidRPr="00C526CF">
        <w:rPr>
          <w:rFonts w:ascii="Calibri" w:eastAsia="Times New Roman" w:hAnsi="Calibri" w:cs="Calibri"/>
          <w:color w:val="201F1E"/>
          <w:lang w:eastAsia="en-AU"/>
        </w:rPr>
        <w:t>evidence-based policy in the Australian Federation: Roundtable proceedings, vol 1,</w:t>
      </w:r>
      <w:r w:rsidR="00795489">
        <w:rPr>
          <w:rFonts w:ascii="Calibri" w:eastAsia="Times New Roman" w:hAnsi="Calibri" w:cs="Calibri"/>
          <w:color w:val="201F1E"/>
          <w:lang w:eastAsia="en-AU"/>
        </w:rPr>
        <w:t xml:space="preserve"> </w:t>
      </w:r>
      <w:r w:rsidR="00795489" w:rsidRPr="00C526CF">
        <w:rPr>
          <w:rFonts w:ascii="Calibri" w:eastAsia="Times New Roman" w:hAnsi="Calibri" w:cs="Calibri"/>
          <w:color w:val="201F1E"/>
          <w:lang w:eastAsia="en-AU"/>
        </w:rPr>
        <w:t>Productivity Commission, Canberra.</w:t>
      </w:r>
      <w:r w:rsidR="00DF3E59">
        <w:rPr>
          <w:rFonts w:ascii="Calibri" w:eastAsia="Times New Roman" w:hAnsi="Calibri" w:cs="Calibri"/>
          <w:color w:val="201F1E"/>
          <w:lang w:eastAsia="en-AU"/>
        </w:rPr>
        <w:t xml:space="preserve"> </w:t>
      </w:r>
      <w:r w:rsidR="00795489">
        <w:rPr>
          <w:rFonts w:ascii="Calibri" w:eastAsia="Times New Roman" w:hAnsi="Calibri" w:cs="Calibri"/>
          <w:color w:val="201F1E"/>
          <w:lang w:eastAsia="en-AU"/>
        </w:rPr>
        <w:t xml:space="preserve">Rogers, P. </w:t>
      </w:r>
      <w:r w:rsidR="00795489" w:rsidRPr="00C526CF">
        <w:rPr>
          <w:rFonts w:ascii="Calibri" w:eastAsia="Times New Roman" w:hAnsi="Calibri" w:cs="Calibri"/>
          <w:color w:val="201F1E"/>
          <w:lang w:eastAsia="en-AU"/>
        </w:rPr>
        <w:t>009b, ‘Matching impact evaluation design to the nature of the intervention and the</w:t>
      </w:r>
      <w:r w:rsidR="00795489">
        <w:rPr>
          <w:rFonts w:ascii="Calibri" w:eastAsia="Times New Roman" w:hAnsi="Calibri" w:cs="Calibri"/>
          <w:color w:val="201F1E"/>
          <w:lang w:eastAsia="en-AU"/>
        </w:rPr>
        <w:t xml:space="preserve"> </w:t>
      </w:r>
      <w:r w:rsidR="00795489" w:rsidRPr="00C526CF">
        <w:rPr>
          <w:rFonts w:ascii="Calibri" w:eastAsia="Times New Roman" w:hAnsi="Calibri" w:cs="Calibri"/>
          <w:color w:val="201F1E"/>
          <w:lang w:eastAsia="en-AU"/>
        </w:rPr>
        <w:t>purpose of the evaluation’, Journal of Development Effectiveness, vol. 1, no. 3, pp. 217–226.</w:t>
      </w:r>
      <w:r w:rsidR="00795489">
        <w:rPr>
          <w:rFonts w:ascii="Calibri" w:eastAsia="Times New Roman" w:hAnsi="Calibri" w:cs="Calibri"/>
          <w:color w:val="201F1E"/>
          <w:lang w:eastAsia="en-AU"/>
        </w:rPr>
        <w:t>) – in particular:</w:t>
      </w:r>
    </w:p>
    <w:p w14:paraId="66C72C69" w14:textId="77777777" w:rsidR="00795489" w:rsidRDefault="00795489" w:rsidP="00795489">
      <w:pPr>
        <w:shd w:val="clear" w:color="auto" w:fill="FFFFFF"/>
        <w:spacing w:after="0" w:line="240" w:lineRule="auto"/>
        <w:ind w:left="720"/>
        <w:textAlignment w:val="baseline"/>
        <w:rPr>
          <w:rFonts w:ascii="Calibri" w:eastAsia="Times New Roman" w:hAnsi="Calibri" w:cs="Calibri"/>
          <w:color w:val="201F1E"/>
          <w:lang w:eastAsia="en-AU"/>
        </w:rPr>
      </w:pPr>
      <w:r w:rsidRPr="00C526CF">
        <w:rPr>
          <w:i/>
          <w:iCs/>
        </w:rPr>
        <w:t xml:space="preserve">a statistically significant difference between a treatment group and control group is not necessarily sufficient evidence to say that a policy will work when translated into wider practice. Interventions that have been found to be effective might not be feasibly implemented in other settings due to a lack of skills, expertise or resources needed to properly implement the evidence-based intervention or adequate regulatory and supervisory processes to ensure adequate implementation. Even where they can be implemented well, there can be differential effects — what works on average can be ineffective or even harmful for some. Other unintended effects may only be evident over time, and some pilots cannot be scaled up effectively — for example, programs for the </w:t>
      </w:r>
      <w:proofErr w:type="spellStart"/>
      <w:r w:rsidRPr="00C526CF">
        <w:rPr>
          <w:i/>
          <w:iCs/>
        </w:rPr>
        <w:t>longterm</w:t>
      </w:r>
      <w:proofErr w:type="spellEnd"/>
      <w:r w:rsidRPr="00C526CF">
        <w:rPr>
          <w:i/>
          <w:iCs/>
        </w:rPr>
        <w:t xml:space="preserve"> unemployed may be effective on a small scale, but when scaled up end up just shuffling job queues unless additional employment opportunities are created.</w:t>
      </w:r>
    </w:p>
    <w:p w14:paraId="01FFA9F7" w14:textId="77777777" w:rsidR="00795489" w:rsidRDefault="00795489" w:rsidP="00795489">
      <w:pPr>
        <w:shd w:val="clear" w:color="auto" w:fill="FFFFFF"/>
        <w:spacing w:after="0" w:line="240" w:lineRule="auto"/>
        <w:ind w:left="360"/>
        <w:textAlignment w:val="baseline"/>
        <w:rPr>
          <w:rFonts w:ascii="Calibri" w:eastAsia="Times New Roman" w:hAnsi="Calibri" w:cs="Calibri"/>
          <w:color w:val="201F1E"/>
          <w:lang w:eastAsia="en-AU"/>
        </w:rPr>
      </w:pPr>
    </w:p>
    <w:p w14:paraId="454D94BF" w14:textId="02B6AB8E" w:rsidR="00795489" w:rsidRDefault="00795489" w:rsidP="00CA0A6C">
      <w:pPr>
        <w:pStyle w:val="ListParagraph"/>
        <w:shd w:val="clear" w:color="auto" w:fill="FFFFFF"/>
        <w:spacing w:after="0" w:line="240" w:lineRule="auto"/>
        <w:ind w:left="0"/>
        <w:textAlignment w:val="baseline"/>
        <w:rPr>
          <w:rFonts w:ascii="Calibri" w:eastAsia="Times New Roman" w:hAnsi="Calibri" w:cs="Calibri"/>
          <w:color w:val="201F1E"/>
          <w:lang w:eastAsia="en-AU"/>
        </w:rPr>
      </w:pPr>
      <w:r>
        <w:rPr>
          <w:rFonts w:ascii="Calibri" w:eastAsia="Times New Roman" w:hAnsi="Calibri" w:cs="Calibri"/>
          <w:color w:val="201F1E"/>
          <w:lang w:eastAsia="en-AU"/>
        </w:rPr>
        <w:t xml:space="preserve">There are serious risks in the over-advocacy for RCTs in the </w:t>
      </w:r>
      <w:r w:rsidR="00DF3E59">
        <w:rPr>
          <w:rFonts w:ascii="Calibri" w:eastAsia="Times New Roman" w:hAnsi="Calibri" w:cs="Calibri"/>
          <w:color w:val="201F1E"/>
          <w:lang w:eastAsia="en-AU"/>
        </w:rPr>
        <w:t>B</w:t>
      </w:r>
      <w:r>
        <w:rPr>
          <w:rFonts w:ascii="Calibri" w:eastAsia="Times New Roman" w:hAnsi="Calibri" w:cs="Calibri"/>
          <w:color w:val="201F1E"/>
          <w:lang w:eastAsia="en-AU"/>
        </w:rPr>
        <w:t xml:space="preserve">ackground </w:t>
      </w:r>
      <w:r w:rsidR="00DF3E59">
        <w:rPr>
          <w:rFonts w:ascii="Calibri" w:eastAsia="Times New Roman" w:hAnsi="Calibri" w:cs="Calibri"/>
          <w:color w:val="201F1E"/>
          <w:lang w:eastAsia="en-AU"/>
        </w:rPr>
        <w:t>P</w:t>
      </w:r>
      <w:r>
        <w:rPr>
          <w:rFonts w:ascii="Calibri" w:eastAsia="Times New Roman" w:hAnsi="Calibri" w:cs="Calibri"/>
          <w:color w:val="201F1E"/>
          <w:lang w:eastAsia="en-AU"/>
        </w:rPr>
        <w:t>aper and</w:t>
      </w:r>
      <w:r w:rsidR="00DF3E59">
        <w:rPr>
          <w:rFonts w:ascii="Calibri" w:eastAsia="Times New Roman" w:hAnsi="Calibri" w:cs="Calibri"/>
          <w:color w:val="201F1E"/>
          <w:lang w:eastAsia="en-AU"/>
        </w:rPr>
        <w:t>,</w:t>
      </w:r>
      <w:r>
        <w:rPr>
          <w:rFonts w:ascii="Calibri" w:eastAsia="Times New Roman" w:hAnsi="Calibri" w:cs="Calibri"/>
          <w:color w:val="201F1E"/>
          <w:lang w:eastAsia="en-AU"/>
        </w:rPr>
        <w:t xml:space="preserve"> hence</w:t>
      </w:r>
      <w:r w:rsidR="00DF3E59">
        <w:rPr>
          <w:rFonts w:ascii="Calibri" w:eastAsia="Times New Roman" w:hAnsi="Calibri" w:cs="Calibri"/>
          <w:color w:val="201F1E"/>
          <w:lang w:eastAsia="en-AU"/>
        </w:rPr>
        <w:t>,</w:t>
      </w:r>
      <w:r>
        <w:rPr>
          <w:rFonts w:ascii="Calibri" w:eastAsia="Times New Roman" w:hAnsi="Calibri" w:cs="Calibri"/>
          <w:color w:val="201F1E"/>
          <w:lang w:eastAsia="en-AU"/>
        </w:rPr>
        <w:t xml:space="preserve"> implied in the </w:t>
      </w:r>
      <w:r w:rsidR="00DF3E59">
        <w:rPr>
          <w:rFonts w:ascii="Calibri" w:eastAsia="Times New Roman" w:hAnsi="Calibri" w:cs="Calibri"/>
          <w:color w:val="201F1E"/>
          <w:lang w:eastAsia="en-AU"/>
        </w:rPr>
        <w:t>Guide</w:t>
      </w:r>
      <w:r>
        <w:rPr>
          <w:rFonts w:ascii="Calibri" w:eastAsia="Times New Roman" w:hAnsi="Calibri" w:cs="Calibri"/>
          <w:color w:val="201F1E"/>
          <w:lang w:eastAsia="en-AU"/>
        </w:rPr>
        <w:t>:</w:t>
      </w:r>
    </w:p>
    <w:p w14:paraId="4C504D69" w14:textId="48ADC83A" w:rsidR="00795489" w:rsidRPr="00DF3E59" w:rsidRDefault="00795489" w:rsidP="00CA0A6C">
      <w:pPr>
        <w:pStyle w:val="ListParagraph"/>
        <w:numPr>
          <w:ilvl w:val="0"/>
          <w:numId w:val="17"/>
        </w:numPr>
        <w:shd w:val="clear" w:color="auto" w:fill="FFFFFF"/>
        <w:spacing w:after="120" w:line="240" w:lineRule="auto"/>
        <w:contextualSpacing w:val="0"/>
        <w:textAlignment w:val="baseline"/>
        <w:rPr>
          <w:rFonts w:ascii="Calibri" w:eastAsia="Times New Roman" w:hAnsi="Calibri" w:cs="Calibri"/>
          <w:color w:val="201F1E"/>
          <w:lang w:eastAsia="en-AU"/>
        </w:rPr>
      </w:pPr>
      <w:r>
        <w:rPr>
          <w:rFonts w:ascii="Calibri" w:eastAsia="Times New Roman" w:hAnsi="Calibri" w:cs="Calibri"/>
          <w:b/>
          <w:bCs/>
          <w:color w:val="201F1E"/>
          <w:lang w:eastAsia="en-AU"/>
        </w:rPr>
        <w:t>Negative impacts of the evaluation process</w:t>
      </w:r>
      <w:r>
        <w:rPr>
          <w:rFonts w:ascii="Calibri" w:eastAsia="Times New Roman" w:hAnsi="Calibri" w:cs="Calibri"/>
          <w:color w:val="201F1E"/>
          <w:lang w:eastAsia="en-AU"/>
        </w:rPr>
        <w:t xml:space="preserve"> </w:t>
      </w:r>
      <w:r w:rsidR="00DF3E59">
        <w:rPr>
          <w:rFonts w:ascii="Calibri" w:eastAsia="Times New Roman" w:hAnsi="Calibri" w:cs="Calibri"/>
          <w:color w:val="201F1E"/>
          <w:lang w:eastAsia="en-AU"/>
        </w:rPr>
        <w:t>–</w:t>
      </w:r>
      <w:r>
        <w:rPr>
          <w:rFonts w:ascii="Calibri" w:eastAsia="Times New Roman" w:hAnsi="Calibri" w:cs="Calibri"/>
          <w:color w:val="201F1E"/>
          <w:lang w:eastAsia="en-AU"/>
        </w:rPr>
        <w:t xml:space="preserve"> </w:t>
      </w:r>
      <w:r w:rsidRPr="00DF3E59">
        <w:rPr>
          <w:rFonts w:ascii="Calibri" w:eastAsia="Times New Roman" w:hAnsi="Calibri" w:cs="Calibri"/>
          <w:color w:val="201F1E"/>
          <w:lang w:eastAsia="en-AU"/>
        </w:rPr>
        <w:t>use of experimental designs risks undermining the sense of agency of local communities and implementing agencies as they are required to follow centralised protocols for implementation and engagement.</w:t>
      </w:r>
      <w:r w:rsidR="00DF3E59">
        <w:rPr>
          <w:rFonts w:ascii="Calibri" w:eastAsia="Times New Roman" w:hAnsi="Calibri" w:cs="Calibri"/>
          <w:color w:val="201F1E"/>
          <w:lang w:eastAsia="en-AU"/>
        </w:rPr>
        <w:t xml:space="preserve"> </w:t>
      </w:r>
      <w:r w:rsidR="006F435D">
        <w:rPr>
          <w:rFonts w:ascii="Calibri" w:eastAsia="Times New Roman" w:hAnsi="Calibri" w:cs="Calibri"/>
          <w:color w:val="201F1E"/>
          <w:lang w:eastAsia="en-AU"/>
        </w:rPr>
        <w:t>Also, i</w:t>
      </w:r>
      <w:r w:rsidR="00DF3E59">
        <w:rPr>
          <w:rFonts w:ascii="Calibri" w:eastAsia="Times New Roman" w:hAnsi="Calibri" w:cs="Calibri"/>
          <w:color w:val="201F1E"/>
          <w:lang w:eastAsia="en-AU"/>
        </w:rPr>
        <w:t xml:space="preserve">n the particular context of the Evaluation Strategy and the need for building of trust relationships where these have been eroded or </w:t>
      </w:r>
      <w:r w:rsidR="006F435D">
        <w:rPr>
          <w:rFonts w:ascii="Calibri" w:eastAsia="Times New Roman" w:hAnsi="Calibri" w:cs="Calibri"/>
          <w:color w:val="201F1E"/>
          <w:lang w:eastAsia="en-AU"/>
        </w:rPr>
        <w:t xml:space="preserve">have been </w:t>
      </w:r>
      <w:r w:rsidR="00DF3E59">
        <w:rPr>
          <w:rFonts w:ascii="Calibri" w:eastAsia="Times New Roman" w:hAnsi="Calibri" w:cs="Calibri"/>
          <w:color w:val="201F1E"/>
          <w:lang w:eastAsia="en-AU"/>
        </w:rPr>
        <w:t xml:space="preserve">challenged over </w:t>
      </w:r>
      <w:r w:rsidR="006F435D">
        <w:rPr>
          <w:rFonts w:ascii="Calibri" w:eastAsia="Times New Roman" w:hAnsi="Calibri" w:cs="Calibri"/>
          <w:color w:val="201F1E"/>
          <w:lang w:eastAsia="en-AU"/>
        </w:rPr>
        <w:t xml:space="preserve">a long </w:t>
      </w:r>
      <w:r w:rsidR="00DF3E59">
        <w:rPr>
          <w:rFonts w:ascii="Calibri" w:eastAsia="Times New Roman" w:hAnsi="Calibri" w:cs="Calibri"/>
          <w:color w:val="201F1E"/>
          <w:lang w:eastAsia="en-AU"/>
        </w:rPr>
        <w:t xml:space="preserve">time, a focus on experimental designs may exacerbate </w:t>
      </w:r>
      <w:r w:rsidR="006F435D">
        <w:rPr>
          <w:rFonts w:ascii="Calibri" w:eastAsia="Times New Roman" w:hAnsi="Calibri" w:cs="Calibri"/>
          <w:color w:val="201F1E"/>
          <w:lang w:eastAsia="en-AU"/>
        </w:rPr>
        <w:t xml:space="preserve">issues around </w:t>
      </w:r>
      <w:r w:rsidR="00DF3E59">
        <w:rPr>
          <w:rFonts w:ascii="Calibri" w:eastAsia="Times New Roman" w:hAnsi="Calibri" w:cs="Calibri"/>
          <w:color w:val="201F1E"/>
          <w:lang w:eastAsia="en-AU"/>
        </w:rPr>
        <w:t xml:space="preserve">trust </w:t>
      </w:r>
      <w:r w:rsidR="006F435D">
        <w:rPr>
          <w:rFonts w:ascii="Calibri" w:eastAsia="Times New Roman" w:hAnsi="Calibri" w:cs="Calibri"/>
          <w:color w:val="201F1E"/>
          <w:lang w:eastAsia="en-AU"/>
        </w:rPr>
        <w:t>in government</w:t>
      </w:r>
      <w:r w:rsidR="00DF3E59">
        <w:rPr>
          <w:rFonts w:ascii="Calibri" w:eastAsia="Times New Roman" w:hAnsi="Calibri" w:cs="Calibri"/>
          <w:color w:val="201F1E"/>
          <w:lang w:eastAsia="en-AU"/>
        </w:rPr>
        <w:t>.</w:t>
      </w:r>
    </w:p>
    <w:p w14:paraId="3FB68FCF" w14:textId="25C6ADA4" w:rsidR="00795489" w:rsidRDefault="00795489" w:rsidP="00CA0A6C">
      <w:pPr>
        <w:pStyle w:val="ListParagraph"/>
        <w:numPr>
          <w:ilvl w:val="0"/>
          <w:numId w:val="17"/>
        </w:numPr>
        <w:shd w:val="clear" w:color="auto" w:fill="FFFFFF"/>
        <w:spacing w:after="120" w:line="240" w:lineRule="auto"/>
        <w:contextualSpacing w:val="0"/>
        <w:textAlignment w:val="baseline"/>
        <w:rPr>
          <w:rFonts w:ascii="Calibri" w:eastAsia="Times New Roman" w:hAnsi="Calibri" w:cs="Calibri"/>
          <w:color w:val="201F1E"/>
          <w:lang w:eastAsia="en-AU"/>
        </w:rPr>
      </w:pPr>
      <w:r w:rsidRPr="008F1BAC">
        <w:rPr>
          <w:rFonts w:ascii="Calibri" w:eastAsia="Times New Roman" w:hAnsi="Calibri" w:cs="Calibri"/>
          <w:b/>
          <w:bCs/>
          <w:color w:val="201F1E"/>
          <w:lang w:eastAsia="en-AU"/>
        </w:rPr>
        <w:lastRenderedPageBreak/>
        <w:t>Focus on average effects</w:t>
      </w:r>
      <w:r>
        <w:rPr>
          <w:rFonts w:ascii="Calibri" w:eastAsia="Times New Roman" w:hAnsi="Calibri" w:cs="Calibri"/>
          <w:color w:val="201F1E"/>
          <w:lang w:eastAsia="en-AU"/>
        </w:rPr>
        <w:t xml:space="preserve"> </w:t>
      </w:r>
      <w:r w:rsidR="00DF3E59">
        <w:rPr>
          <w:rFonts w:ascii="Calibri" w:eastAsia="Times New Roman" w:hAnsi="Calibri" w:cs="Calibri"/>
          <w:color w:val="201F1E"/>
          <w:lang w:eastAsia="en-AU"/>
        </w:rPr>
        <w:t xml:space="preserve">– </w:t>
      </w:r>
      <w:r>
        <w:rPr>
          <w:rFonts w:ascii="Calibri" w:eastAsia="Times New Roman" w:hAnsi="Calibri" w:cs="Calibri"/>
          <w:color w:val="201F1E"/>
          <w:lang w:eastAsia="en-AU"/>
        </w:rPr>
        <w:t>The emphasis on average effects can be unhelpful in supporting adaption for local conditions or to meet different needs of different groups and individuals. This risks further disadvantaging the most marginalised whose experiences might be different to the average.</w:t>
      </w:r>
    </w:p>
    <w:p w14:paraId="59B7C9CB" w14:textId="116B924E" w:rsidR="00795489" w:rsidRDefault="00795489" w:rsidP="00CA0A6C">
      <w:pPr>
        <w:pStyle w:val="ListParagraph"/>
        <w:numPr>
          <w:ilvl w:val="0"/>
          <w:numId w:val="17"/>
        </w:numPr>
        <w:shd w:val="clear" w:color="auto" w:fill="FFFFFF"/>
        <w:spacing w:after="120" w:line="240" w:lineRule="auto"/>
        <w:contextualSpacing w:val="0"/>
        <w:textAlignment w:val="baseline"/>
      </w:pPr>
      <w:r w:rsidRPr="00031E4B">
        <w:rPr>
          <w:rFonts w:ascii="Calibri" w:eastAsia="Times New Roman" w:hAnsi="Calibri" w:cs="Calibri"/>
          <w:b/>
          <w:bCs/>
          <w:color w:val="201F1E"/>
          <w:lang w:eastAsia="en-AU"/>
        </w:rPr>
        <w:t>Restricting policy options</w:t>
      </w:r>
      <w:r w:rsidR="006F435D">
        <w:rPr>
          <w:rFonts w:ascii="Calibri" w:eastAsia="Times New Roman" w:hAnsi="Calibri" w:cs="Calibri"/>
          <w:b/>
          <w:bCs/>
          <w:color w:val="201F1E"/>
          <w:lang w:eastAsia="en-AU"/>
        </w:rPr>
        <w:t xml:space="preserve"> </w:t>
      </w:r>
      <w:r w:rsidR="006F435D">
        <w:rPr>
          <w:rFonts w:ascii="Calibri" w:eastAsia="Times New Roman" w:hAnsi="Calibri" w:cs="Calibri"/>
          <w:color w:val="201F1E"/>
          <w:lang w:eastAsia="en-AU"/>
        </w:rPr>
        <w:t>–</w:t>
      </w:r>
      <w:r>
        <w:rPr>
          <w:rFonts w:ascii="Calibri" w:eastAsia="Times New Roman" w:hAnsi="Calibri" w:cs="Calibri"/>
          <w:color w:val="201F1E"/>
          <w:lang w:eastAsia="en-AU"/>
        </w:rPr>
        <w:t xml:space="preserve"> </w:t>
      </w:r>
      <w:r w:rsidRPr="00031E4B">
        <w:rPr>
          <w:rFonts w:ascii="Calibri" w:eastAsia="Times New Roman" w:hAnsi="Calibri" w:cs="Calibri"/>
          <w:color w:val="201F1E"/>
          <w:lang w:eastAsia="en-AU"/>
        </w:rPr>
        <w:t xml:space="preserve">If only certain approaches to policy evaluation are considered credible (experimental and quasi-experimental designs where it is possible to identify a plausible counterfactual), then only </w:t>
      </w:r>
      <w:r w:rsidRPr="008C40CD">
        <w:t>policies and interventions that can use them can generate credible evidence</w:t>
      </w:r>
      <w:r>
        <w:t>, and</w:t>
      </w:r>
      <w:r w:rsidR="00AF3A39">
        <w:t>,,</w:t>
      </w:r>
      <w:r>
        <w:t xml:space="preserve"> therefore only </w:t>
      </w:r>
      <w:r w:rsidRPr="008C40CD">
        <w:t>those types can be supported</w:t>
      </w:r>
      <w:r>
        <w:t>, not whole-of-government, systemic or adaptive interventions.</w:t>
      </w:r>
    </w:p>
    <w:p w14:paraId="7AC56987" w14:textId="19E5201F" w:rsidR="00795489" w:rsidRPr="00031E4B" w:rsidRDefault="00795489" w:rsidP="00CA0A6C">
      <w:pPr>
        <w:pStyle w:val="ListParagraph"/>
        <w:numPr>
          <w:ilvl w:val="0"/>
          <w:numId w:val="17"/>
        </w:numPr>
        <w:shd w:val="clear" w:color="auto" w:fill="FFFFFF"/>
        <w:spacing w:after="120" w:line="240" w:lineRule="auto"/>
        <w:contextualSpacing w:val="0"/>
        <w:textAlignment w:val="baseline"/>
        <w:rPr>
          <w:rFonts w:ascii="Calibri" w:eastAsia="Times New Roman" w:hAnsi="Calibri" w:cs="Calibri"/>
          <w:color w:val="201F1E"/>
          <w:lang w:eastAsia="en-AU"/>
        </w:rPr>
      </w:pPr>
      <w:r w:rsidRPr="00031E4B">
        <w:rPr>
          <w:rFonts w:ascii="Calibri" w:eastAsia="Times New Roman" w:hAnsi="Calibri" w:cs="Calibri"/>
          <w:b/>
          <w:bCs/>
          <w:color w:val="201F1E"/>
          <w:lang w:eastAsia="en-AU"/>
        </w:rPr>
        <w:t>Invalid use</w:t>
      </w:r>
      <w:r w:rsidRPr="00031E4B">
        <w:rPr>
          <w:rFonts w:ascii="Calibri" w:eastAsia="Times New Roman" w:hAnsi="Calibri" w:cs="Calibri"/>
          <w:color w:val="201F1E"/>
          <w:lang w:eastAsia="en-AU"/>
        </w:rPr>
        <w:t xml:space="preserve"> </w:t>
      </w:r>
      <w:r w:rsidR="00AF3A39">
        <w:rPr>
          <w:rFonts w:ascii="Calibri" w:eastAsia="Times New Roman" w:hAnsi="Calibri" w:cs="Calibri"/>
          <w:color w:val="201F1E"/>
          <w:lang w:eastAsia="en-AU"/>
        </w:rPr>
        <w:t xml:space="preserve">– </w:t>
      </w:r>
      <w:r w:rsidRPr="00031E4B">
        <w:rPr>
          <w:rFonts w:ascii="Calibri" w:eastAsia="Times New Roman" w:hAnsi="Calibri" w:cs="Calibri"/>
          <w:color w:val="201F1E"/>
          <w:lang w:eastAsia="en-AU"/>
        </w:rPr>
        <w:t>The notion of a hierarchy of evidence can lead to use of experimental or quasi-experimental designs when a credible counterfactual cannot be identified or created, leading to invalid comparisons and conclusions.</w:t>
      </w:r>
    </w:p>
    <w:p w14:paraId="5E4FAF91" w14:textId="4FBE2A33" w:rsidR="00795489" w:rsidRPr="008C40CD" w:rsidRDefault="00795489" w:rsidP="00CA0A6C">
      <w:pPr>
        <w:pStyle w:val="ListParagraph"/>
        <w:numPr>
          <w:ilvl w:val="0"/>
          <w:numId w:val="17"/>
        </w:numPr>
        <w:shd w:val="clear" w:color="auto" w:fill="FFFFFF"/>
        <w:spacing w:after="120" w:line="240" w:lineRule="auto"/>
        <w:contextualSpacing w:val="0"/>
        <w:textAlignment w:val="baseline"/>
      </w:pPr>
      <w:r w:rsidRPr="00936C18">
        <w:rPr>
          <w:rFonts w:ascii="Calibri" w:eastAsia="Times New Roman" w:hAnsi="Calibri" w:cs="Calibri"/>
          <w:b/>
          <w:bCs/>
          <w:color w:val="201F1E"/>
          <w:lang w:eastAsia="en-AU"/>
        </w:rPr>
        <w:t>Acceptance of poor quality evidence</w:t>
      </w:r>
      <w:r w:rsidRPr="00936C18">
        <w:rPr>
          <w:rFonts w:ascii="Calibri" w:eastAsia="Times New Roman" w:hAnsi="Calibri" w:cs="Calibri"/>
          <w:color w:val="201F1E"/>
          <w:lang w:eastAsia="en-AU"/>
        </w:rPr>
        <w:t xml:space="preserve"> </w:t>
      </w:r>
      <w:r w:rsidR="00AF3A39" w:rsidRPr="00936C18">
        <w:rPr>
          <w:rFonts w:ascii="Calibri" w:eastAsia="Times New Roman" w:hAnsi="Calibri" w:cs="Calibri"/>
          <w:color w:val="201F1E"/>
          <w:lang w:eastAsia="en-AU"/>
        </w:rPr>
        <w:t xml:space="preserve">– </w:t>
      </w:r>
      <w:r w:rsidRPr="00936C18">
        <w:rPr>
          <w:rFonts w:ascii="Calibri" w:eastAsia="Times New Roman" w:hAnsi="Calibri" w:cs="Calibri"/>
          <w:color w:val="201F1E"/>
          <w:lang w:eastAsia="en-AU"/>
        </w:rPr>
        <w:t xml:space="preserve">The notion of a hierarchy of evidence can lead to uncritical acceptance of findings from particular research designs regardless of the actual quality of evidence, including </w:t>
      </w:r>
      <w:r w:rsidR="00F86BB9">
        <w:rPr>
          <w:rFonts w:ascii="Calibri" w:eastAsia="Times New Roman" w:hAnsi="Calibri" w:cs="Calibri"/>
          <w:color w:val="201F1E"/>
          <w:lang w:eastAsia="en-AU"/>
        </w:rPr>
        <w:t>instances of</w:t>
      </w:r>
      <w:r w:rsidRPr="00936C18">
        <w:rPr>
          <w:rFonts w:ascii="Calibri" w:eastAsia="Times New Roman" w:hAnsi="Calibri" w:cs="Calibri"/>
          <w:color w:val="201F1E"/>
          <w:lang w:eastAsia="en-AU"/>
        </w:rPr>
        <w:t xml:space="preserve"> </w:t>
      </w:r>
      <w:r w:rsidRPr="00936C18">
        <w:rPr>
          <w:i/>
          <w:iCs/>
        </w:rPr>
        <w:t xml:space="preserve">poor measurement, poor adherence to randomisation, inadequate statistical power, unidentified differential effects, inappropriate comparisons, conducting numerous statistical analyses and only reporting statistically significant ones, differential attrition between control and treatment groups, unplanned crossover, and unacknowledged poor quality implementation of the intervention random error, treatment leakage, incomplete causal package, lack of blinding.  </w:t>
      </w:r>
    </w:p>
    <w:p w14:paraId="1DD0C627" w14:textId="20A499E9" w:rsidR="00795489" w:rsidRDefault="00795489" w:rsidP="00CA0A6C">
      <w:r w:rsidRPr="00CA0A6C">
        <w:rPr>
          <w:b/>
          <w:bCs/>
        </w:rPr>
        <w:t>Box 4.5</w:t>
      </w:r>
      <w:r>
        <w:t xml:space="preserve"> </w:t>
      </w:r>
      <w:r w:rsidR="00CA0A6C">
        <w:t xml:space="preserve">in the Background Paper </w:t>
      </w:r>
      <w:r>
        <w:t xml:space="preserve">only discusses quasi-experimental designs needs to be supplemented by an annotated list of rigorous non-experimental designs, drawing on the approaches listed above. It should also draw on </w:t>
      </w:r>
      <w:r w:rsidR="00F86BB9" w:rsidRPr="00CA0A6C">
        <w:rPr>
          <w:i/>
          <w:iCs/>
        </w:rPr>
        <w:t>Table 4</w:t>
      </w:r>
      <w:r w:rsidR="00260301" w:rsidRPr="00CA0A6C">
        <w:rPr>
          <w:i/>
          <w:iCs/>
        </w:rPr>
        <w:t xml:space="preserve"> Answering evaluation questions</w:t>
      </w:r>
      <w:r w:rsidR="00260301" w:rsidRPr="00260301">
        <w:t xml:space="preserve"> </w:t>
      </w:r>
      <w:r>
        <w:t xml:space="preserve"> from the </w:t>
      </w:r>
      <w:r w:rsidR="00260301">
        <w:t xml:space="preserve">HM </w:t>
      </w:r>
      <w:r>
        <w:t xml:space="preserve">Treasury (2020) Magenta Book supplement on </w:t>
      </w:r>
      <w:r w:rsidRPr="00CA0A6C">
        <w:rPr>
          <w:i/>
          <w:iCs/>
        </w:rPr>
        <w:t>Handling complexity in policy evaluation</w:t>
      </w:r>
      <w:r w:rsidR="00F86BB9">
        <w:t xml:space="preserve"> and </w:t>
      </w:r>
      <w:r w:rsidR="00F86BB9" w:rsidRPr="00CA0A6C">
        <w:rPr>
          <w:i/>
          <w:iCs/>
        </w:rPr>
        <w:t>Table 3.1: Different types of impact evaluation questions and relevant methods</w:t>
      </w:r>
      <w:r w:rsidR="00F86BB9">
        <w:t xml:space="preserve"> from the </w:t>
      </w:r>
      <w:r w:rsidR="00260301">
        <w:t xml:space="preserve">Dept of Industry (2015) report on </w:t>
      </w:r>
      <w:r w:rsidR="00260301" w:rsidRPr="00CA0A6C">
        <w:rPr>
          <w:i/>
          <w:iCs/>
        </w:rPr>
        <w:t>Choosing Appropriate Designs and Methods for Impact Evaluation</w:t>
      </w:r>
      <w:r w:rsidR="00260301">
        <w:t>.</w:t>
      </w:r>
    </w:p>
    <w:p w14:paraId="6D4E8721" w14:textId="77777777" w:rsidR="00795489" w:rsidRPr="007A1C46" w:rsidRDefault="00795489" w:rsidP="00795489">
      <w:pPr>
        <w:ind w:left="360"/>
      </w:pPr>
    </w:p>
    <w:p w14:paraId="71C5CAFA" w14:textId="77777777" w:rsidR="00795489" w:rsidRPr="00795489" w:rsidRDefault="00795489" w:rsidP="00795489">
      <w:pPr>
        <w:rPr>
          <w:rStyle w:val="normaltextrun"/>
          <w:b/>
          <w:bCs/>
        </w:rPr>
      </w:pPr>
    </w:p>
    <w:p w14:paraId="31E360A3" w14:textId="77777777" w:rsidR="0075099F" w:rsidRDefault="0075099F">
      <w:r>
        <w:br w:type="page"/>
      </w:r>
    </w:p>
    <w:p w14:paraId="059A687E" w14:textId="0149B786" w:rsidR="00C43AD8" w:rsidRPr="00936C18" w:rsidRDefault="0075099F" w:rsidP="00C43AD8">
      <w:pPr>
        <w:ind w:hanging="284"/>
        <w:rPr>
          <w:rFonts w:cstheme="minorHAnsi"/>
        </w:rPr>
      </w:pPr>
      <w:r w:rsidRPr="00936C18">
        <w:rPr>
          <w:rFonts w:cstheme="minorHAnsi"/>
          <w:b/>
          <w:bCs/>
        </w:rPr>
        <w:lastRenderedPageBreak/>
        <w:t>A</w:t>
      </w:r>
      <w:r w:rsidR="00257686" w:rsidRPr="00936C18">
        <w:rPr>
          <w:rFonts w:cstheme="minorHAnsi"/>
          <w:b/>
          <w:bCs/>
        </w:rPr>
        <w:t xml:space="preserve">dditional resources to </w:t>
      </w:r>
      <w:r w:rsidR="0037252A">
        <w:rPr>
          <w:rFonts w:cstheme="minorHAnsi"/>
          <w:b/>
          <w:bCs/>
        </w:rPr>
        <w:t xml:space="preserve">include in the Guide to </w:t>
      </w:r>
      <w:r w:rsidR="00257686" w:rsidRPr="00936C18">
        <w:rPr>
          <w:rFonts w:cstheme="minorHAnsi"/>
          <w:b/>
          <w:bCs/>
        </w:rPr>
        <w:t xml:space="preserve">support implementation of the </w:t>
      </w:r>
      <w:r w:rsidR="00936C18">
        <w:rPr>
          <w:rFonts w:cstheme="minorHAnsi"/>
          <w:b/>
          <w:bCs/>
        </w:rPr>
        <w:t>S</w:t>
      </w:r>
      <w:r w:rsidR="00257686" w:rsidRPr="00936C18">
        <w:rPr>
          <w:rFonts w:cstheme="minorHAnsi"/>
          <w:b/>
          <w:bCs/>
        </w:rPr>
        <w:t>trategy</w:t>
      </w:r>
    </w:p>
    <w:p w14:paraId="5A710377" w14:textId="09654E38" w:rsidR="00C43AD8" w:rsidRPr="00936C18" w:rsidRDefault="00C43AD8" w:rsidP="00C43AD8">
      <w:pPr>
        <w:ind w:hanging="284"/>
        <w:rPr>
          <w:rFonts w:cstheme="minorHAnsi"/>
          <w:u w:val="single"/>
        </w:rPr>
      </w:pPr>
      <w:r w:rsidRPr="00936C18">
        <w:rPr>
          <w:rFonts w:cstheme="minorHAnsi"/>
          <w:u w:val="single"/>
        </w:rPr>
        <w:t>Building evaluation into policy and program design</w:t>
      </w:r>
    </w:p>
    <w:p w14:paraId="2479045F" w14:textId="77777777" w:rsidR="00A039EB" w:rsidRPr="00936C18" w:rsidRDefault="003636AD" w:rsidP="003636AD">
      <w:pPr>
        <w:pStyle w:val="ListParagraph"/>
        <w:numPr>
          <w:ilvl w:val="0"/>
          <w:numId w:val="10"/>
        </w:numPr>
        <w:rPr>
          <w:rFonts w:cstheme="minorHAnsi"/>
        </w:rPr>
      </w:pPr>
      <w:r w:rsidRPr="00936C18">
        <w:rPr>
          <w:rFonts w:cstheme="minorHAnsi"/>
        </w:rPr>
        <w:t xml:space="preserve">BetterEvaluation, Rainbow Framework: </w:t>
      </w:r>
    </w:p>
    <w:p w14:paraId="7E6ABC7A" w14:textId="51A97419" w:rsidR="003636AD" w:rsidRPr="00936C18" w:rsidRDefault="003636AD" w:rsidP="00A039EB">
      <w:pPr>
        <w:pStyle w:val="ListParagraph"/>
        <w:numPr>
          <w:ilvl w:val="1"/>
          <w:numId w:val="10"/>
        </w:numPr>
        <w:rPr>
          <w:rFonts w:cstheme="minorHAnsi"/>
        </w:rPr>
      </w:pPr>
      <w:r w:rsidRPr="00936C18">
        <w:rPr>
          <w:rFonts w:cstheme="minorHAnsi"/>
        </w:rPr>
        <w:t xml:space="preserve">DEFINE what is to be evaluated: </w:t>
      </w:r>
      <w:hyperlink r:id="rId39" w:history="1">
        <w:r w:rsidRPr="00936C18">
          <w:rPr>
            <w:rStyle w:val="Hyperlink"/>
            <w:rFonts w:cstheme="minorHAnsi"/>
          </w:rPr>
          <w:t>https://www.betterevaluation.org/en/rainbow_framework/define</w:t>
        </w:r>
      </w:hyperlink>
    </w:p>
    <w:p w14:paraId="6CD7B6C6" w14:textId="1FCDB1D6" w:rsidR="00A039EB" w:rsidRPr="00936C18" w:rsidRDefault="00A039EB" w:rsidP="00A039EB">
      <w:pPr>
        <w:pStyle w:val="ListParagraph"/>
        <w:numPr>
          <w:ilvl w:val="1"/>
          <w:numId w:val="10"/>
        </w:numPr>
        <w:rPr>
          <w:rFonts w:cstheme="minorHAnsi"/>
        </w:rPr>
      </w:pPr>
      <w:r w:rsidRPr="00936C18">
        <w:rPr>
          <w:rFonts w:cstheme="minorHAnsi"/>
        </w:rPr>
        <w:t xml:space="preserve">Establish decision-making processes: </w:t>
      </w:r>
      <w:hyperlink r:id="rId40" w:history="1">
        <w:r w:rsidRPr="00936C18">
          <w:rPr>
            <w:rStyle w:val="Hyperlink"/>
            <w:rFonts w:cstheme="minorHAnsi"/>
          </w:rPr>
          <w:t>https://www.betterevaluation.org/en/rainbow_framework/manage/establish_decision_making_processes</w:t>
        </w:r>
      </w:hyperlink>
      <w:r w:rsidRPr="00936C18">
        <w:rPr>
          <w:rFonts w:cstheme="minorHAnsi"/>
          <w:color w:val="211D1E"/>
        </w:rPr>
        <w:t>]</w:t>
      </w:r>
    </w:p>
    <w:p w14:paraId="5FCD97AB" w14:textId="22929FA4" w:rsidR="003636AD" w:rsidRPr="00936C18" w:rsidRDefault="003636AD" w:rsidP="003636AD">
      <w:pPr>
        <w:pStyle w:val="ListParagraph"/>
        <w:numPr>
          <w:ilvl w:val="0"/>
          <w:numId w:val="10"/>
        </w:numPr>
        <w:rPr>
          <w:rFonts w:cstheme="minorHAnsi"/>
        </w:rPr>
      </w:pPr>
      <w:r w:rsidRPr="00936C18">
        <w:rPr>
          <w:rFonts w:cstheme="minorHAnsi"/>
        </w:rPr>
        <w:t xml:space="preserve">BetterEvaluation, The Manager’s Guide to Evaluation: </w:t>
      </w:r>
    </w:p>
    <w:p w14:paraId="6D4064FE" w14:textId="08A2946E" w:rsidR="003636AD" w:rsidRPr="00936C18" w:rsidRDefault="00266748" w:rsidP="003636AD">
      <w:pPr>
        <w:pStyle w:val="ListParagraph"/>
        <w:numPr>
          <w:ilvl w:val="0"/>
          <w:numId w:val="9"/>
        </w:numPr>
        <w:rPr>
          <w:rFonts w:cstheme="minorHAnsi"/>
        </w:rPr>
      </w:pPr>
      <w:r w:rsidRPr="00936C18">
        <w:rPr>
          <w:rFonts w:cstheme="minorHAnsi"/>
        </w:rPr>
        <w:t xml:space="preserve">Step 1: Decide how decisions about the evaluation will be made: </w:t>
      </w:r>
      <w:hyperlink r:id="rId41" w:history="1">
        <w:r w:rsidR="003636AD" w:rsidRPr="00936C18">
          <w:rPr>
            <w:rStyle w:val="Hyperlink"/>
            <w:rFonts w:cstheme="minorHAnsi"/>
          </w:rPr>
          <w:t>https://www.betterevaluation.org/en/commissioners_guide/step1</w:t>
        </w:r>
      </w:hyperlink>
    </w:p>
    <w:p w14:paraId="4773E867" w14:textId="4EECD339" w:rsidR="00CF4F60" w:rsidRPr="00936C18" w:rsidRDefault="00266748" w:rsidP="00CF4F60">
      <w:pPr>
        <w:pStyle w:val="ListParagraph"/>
        <w:numPr>
          <w:ilvl w:val="0"/>
          <w:numId w:val="9"/>
        </w:numPr>
        <w:rPr>
          <w:rFonts w:cstheme="minorHAnsi"/>
        </w:rPr>
      </w:pPr>
      <w:r w:rsidRPr="00936C18">
        <w:rPr>
          <w:rFonts w:cstheme="minorHAnsi"/>
        </w:rPr>
        <w:t xml:space="preserve">Step 2: Scope the evaluation: </w:t>
      </w:r>
      <w:hyperlink r:id="rId42" w:history="1">
        <w:r w:rsidRPr="00936C18">
          <w:rPr>
            <w:rStyle w:val="Hyperlink"/>
            <w:rFonts w:cstheme="minorHAnsi"/>
          </w:rPr>
          <w:t>https://www.betterevaluation.org/en/commissioners_guide/step2</w:t>
        </w:r>
      </w:hyperlink>
    </w:p>
    <w:p w14:paraId="2EAB05D0" w14:textId="47855540" w:rsidR="00DB019F" w:rsidRPr="00936C18" w:rsidRDefault="00DB019F" w:rsidP="00CF4F60">
      <w:pPr>
        <w:pStyle w:val="ListParagraph"/>
        <w:numPr>
          <w:ilvl w:val="0"/>
          <w:numId w:val="10"/>
        </w:numPr>
        <w:rPr>
          <w:rFonts w:cstheme="minorHAnsi"/>
        </w:rPr>
      </w:pPr>
      <w:r w:rsidRPr="00936C18">
        <w:rPr>
          <w:rFonts w:cstheme="minorHAnsi"/>
        </w:rPr>
        <w:t xml:space="preserve">UNICEF Impact Evaluation Series: Brief 5 – Participatory Approaches: </w:t>
      </w:r>
      <w:hyperlink r:id="rId43" w:history="1">
        <w:r w:rsidRPr="00936C18">
          <w:rPr>
            <w:rStyle w:val="Hyperlink"/>
            <w:rFonts w:cstheme="minorHAnsi"/>
          </w:rPr>
          <w:t>https://www.unicef-irc.org/publications/750-participatory-approaches-methodological-briefs-impact-evaluation-no-5.html</w:t>
        </w:r>
      </w:hyperlink>
    </w:p>
    <w:p w14:paraId="6A653702" w14:textId="2E371236" w:rsidR="004B1654" w:rsidRPr="00936C18" w:rsidRDefault="004B1654" w:rsidP="004B1654">
      <w:pPr>
        <w:ind w:hanging="284"/>
        <w:rPr>
          <w:rFonts w:cstheme="minorHAnsi"/>
          <w:u w:val="single"/>
        </w:rPr>
      </w:pPr>
      <w:r w:rsidRPr="00936C18">
        <w:rPr>
          <w:rFonts w:cstheme="minorHAnsi"/>
          <w:u w:val="single"/>
        </w:rPr>
        <w:t>Evaluation planning, design and conduct</w:t>
      </w:r>
    </w:p>
    <w:p w14:paraId="3334B9CF" w14:textId="77777777" w:rsidR="0037252A" w:rsidRDefault="0037252A" w:rsidP="0037252A">
      <w:pPr>
        <w:pStyle w:val="ListParagraph"/>
        <w:numPr>
          <w:ilvl w:val="0"/>
          <w:numId w:val="11"/>
        </w:numPr>
        <w:rPr>
          <w:rFonts w:cstheme="minorHAnsi"/>
        </w:rPr>
      </w:pPr>
      <w:r>
        <w:rPr>
          <w:rFonts w:cstheme="minorHAnsi"/>
        </w:rPr>
        <w:t>BetterEvaluation, Evaluation practice in Aboriginal and Torres Strait Islander settings</w:t>
      </w:r>
    </w:p>
    <w:p w14:paraId="08C90F06" w14:textId="77777777" w:rsidR="0037252A" w:rsidRDefault="00C579CE" w:rsidP="0037252A">
      <w:pPr>
        <w:pStyle w:val="ListParagraph"/>
        <w:rPr>
          <w:rFonts w:cstheme="minorHAnsi"/>
        </w:rPr>
      </w:pPr>
      <w:hyperlink r:id="rId44" w:history="1">
        <w:r w:rsidR="0037252A" w:rsidRPr="003776AC">
          <w:rPr>
            <w:rStyle w:val="Hyperlink"/>
            <w:rFonts w:cstheme="minorHAnsi"/>
          </w:rPr>
          <w:t>https://www.betterevaluation.org/en/themes/evaluation-practice-aboriginal-and-torres-strait-islander-settings</w:t>
        </w:r>
      </w:hyperlink>
    </w:p>
    <w:p w14:paraId="3C4F7F39" w14:textId="0760319D" w:rsidR="00BA47FF" w:rsidRPr="00936C18" w:rsidRDefault="00BA47FF" w:rsidP="00BA47FF">
      <w:pPr>
        <w:pStyle w:val="ListParagraph"/>
        <w:numPr>
          <w:ilvl w:val="0"/>
          <w:numId w:val="11"/>
        </w:numPr>
        <w:rPr>
          <w:rFonts w:cstheme="minorHAnsi"/>
        </w:rPr>
      </w:pPr>
      <w:r w:rsidRPr="00936C18">
        <w:rPr>
          <w:rFonts w:cstheme="minorHAnsi"/>
        </w:rPr>
        <w:t xml:space="preserve">BetterEvaluation, The Manager’s Guide: </w:t>
      </w:r>
      <w:hyperlink r:id="rId45" w:history="1">
        <w:r w:rsidRPr="00936C18">
          <w:rPr>
            <w:rStyle w:val="Hyperlink"/>
            <w:rFonts w:cstheme="minorHAnsi"/>
          </w:rPr>
          <w:t>https://www.betterevaluation.org/en/managers_guide</w:t>
        </w:r>
      </w:hyperlink>
      <w:r w:rsidRPr="00936C18">
        <w:rPr>
          <w:rFonts w:cstheme="minorHAnsi"/>
        </w:rPr>
        <w:t xml:space="preserve"> </w:t>
      </w:r>
    </w:p>
    <w:p w14:paraId="36333E31" w14:textId="65B13AE9" w:rsidR="00936C18" w:rsidRPr="00936C18" w:rsidRDefault="00936C18" w:rsidP="00936C18">
      <w:pPr>
        <w:pStyle w:val="ListParagraph"/>
        <w:numPr>
          <w:ilvl w:val="0"/>
          <w:numId w:val="11"/>
        </w:numPr>
        <w:rPr>
          <w:rFonts w:cstheme="minorHAnsi"/>
        </w:rPr>
      </w:pPr>
      <w:r w:rsidRPr="00936C18">
        <w:rPr>
          <w:rFonts w:cstheme="minorHAnsi"/>
        </w:rPr>
        <w:t xml:space="preserve">Cornwall A (2003). Whose voices? Whose choices? Reflections on gender and participatory development. World Development 31(8), pp. 1325–1342. Retrieved from: </w:t>
      </w:r>
      <w:hyperlink r:id="rId46" w:history="1">
        <w:r w:rsidRPr="00936C18">
          <w:rPr>
            <w:rStyle w:val="Hyperlink"/>
            <w:rFonts w:cstheme="minorHAnsi"/>
          </w:rPr>
          <w:t>https://www.sciencedirect.com/science/article/abs/pii/S0305750X0300086X</w:t>
        </w:r>
      </w:hyperlink>
      <w:r w:rsidRPr="00936C18">
        <w:rPr>
          <w:rFonts w:cstheme="minorHAnsi"/>
        </w:rPr>
        <w:t xml:space="preserve"> </w:t>
      </w:r>
    </w:p>
    <w:p w14:paraId="66E5A295" w14:textId="77777777" w:rsidR="00936C18" w:rsidRPr="00936C18" w:rsidRDefault="00936C18" w:rsidP="00936C18">
      <w:pPr>
        <w:pStyle w:val="ListParagraph"/>
        <w:numPr>
          <w:ilvl w:val="0"/>
          <w:numId w:val="11"/>
        </w:numPr>
        <w:rPr>
          <w:rFonts w:cstheme="minorHAnsi"/>
        </w:rPr>
      </w:pPr>
      <w:r w:rsidRPr="00936C18">
        <w:rPr>
          <w:rFonts w:cstheme="minorHAnsi"/>
        </w:rPr>
        <w:t>Fletcher G (2019). ‘Our Men Our Healing’: Using Cultural Strengths to Restore Collective Wellbeing for Indigenous Australians. In: Engendering transformative change in international development. Routledge.</w:t>
      </w:r>
    </w:p>
    <w:p w14:paraId="129B2498" w14:textId="77777777" w:rsidR="00936C18" w:rsidRPr="00936C18" w:rsidRDefault="00936C18" w:rsidP="00936C18">
      <w:pPr>
        <w:pStyle w:val="ListParagraph"/>
        <w:numPr>
          <w:ilvl w:val="0"/>
          <w:numId w:val="11"/>
        </w:numPr>
        <w:rPr>
          <w:rFonts w:cstheme="minorHAnsi"/>
        </w:rPr>
      </w:pPr>
      <w:r w:rsidRPr="00936C18">
        <w:rPr>
          <w:rFonts w:cstheme="minorHAnsi"/>
        </w:rPr>
        <w:t xml:space="preserve">Institute of Development Studies: Participatory Methods website: </w:t>
      </w:r>
      <w:hyperlink r:id="rId47" w:history="1">
        <w:r w:rsidRPr="00936C18">
          <w:rPr>
            <w:rStyle w:val="Hyperlink"/>
            <w:rFonts w:cstheme="minorHAnsi"/>
          </w:rPr>
          <w:t>https://www.participatorymethods.org/</w:t>
        </w:r>
      </w:hyperlink>
      <w:r w:rsidRPr="00936C18">
        <w:rPr>
          <w:rFonts w:cstheme="minorHAnsi"/>
        </w:rPr>
        <w:t xml:space="preserve"> </w:t>
      </w:r>
    </w:p>
    <w:p w14:paraId="50D072B7" w14:textId="5072DB17" w:rsidR="00BA47FF" w:rsidRPr="00936C18" w:rsidRDefault="00BA47FF" w:rsidP="00BA47FF">
      <w:pPr>
        <w:pStyle w:val="ListParagraph"/>
        <w:numPr>
          <w:ilvl w:val="0"/>
          <w:numId w:val="11"/>
        </w:numPr>
        <w:rPr>
          <w:rFonts w:cstheme="minorHAnsi"/>
        </w:rPr>
      </w:pPr>
      <w:r w:rsidRPr="00936C18">
        <w:rPr>
          <w:rFonts w:cstheme="minorHAnsi"/>
        </w:rPr>
        <w:t xml:space="preserve">BetterEvaluation, Rainbow Framework: </w:t>
      </w:r>
      <w:hyperlink r:id="rId48" w:history="1">
        <w:r w:rsidRPr="00936C18">
          <w:rPr>
            <w:rStyle w:val="Hyperlink"/>
            <w:rFonts w:cstheme="minorHAnsi"/>
          </w:rPr>
          <w:t>https://www.betterevaluation.org/rainbow_framework</w:t>
        </w:r>
      </w:hyperlink>
    </w:p>
    <w:p w14:paraId="50F487D4" w14:textId="247FA6C3" w:rsidR="009D3ECF" w:rsidRPr="00936C18" w:rsidRDefault="009D3ECF" w:rsidP="00EC29C7">
      <w:pPr>
        <w:pStyle w:val="ListParagraph"/>
        <w:numPr>
          <w:ilvl w:val="1"/>
          <w:numId w:val="11"/>
        </w:numPr>
        <w:rPr>
          <w:rFonts w:cstheme="minorHAnsi"/>
        </w:rPr>
      </w:pPr>
      <w:r w:rsidRPr="00936C18">
        <w:rPr>
          <w:rFonts w:cstheme="minorHAnsi"/>
        </w:rPr>
        <w:t xml:space="preserve">Especially: UNDERSTAND CAUSES of Outcomes and Impacts </w:t>
      </w:r>
      <w:hyperlink r:id="rId49" w:history="1">
        <w:r w:rsidRPr="00936C18">
          <w:rPr>
            <w:rStyle w:val="Hyperlink"/>
            <w:rFonts w:cstheme="minorHAnsi"/>
          </w:rPr>
          <w:t>https://www.betterevaluation.org/en/rainbow_framework/understand_causes</w:t>
        </w:r>
      </w:hyperlink>
      <w:r w:rsidRPr="00936C18">
        <w:rPr>
          <w:rFonts w:cstheme="minorHAnsi"/>
        </w:rPr>
        <w:t xml:space="preserve"> </w:t>
      </w:r>
    </w:p>
    <w:p w14:paraId="67CDBB7B" w14:textId="77644A92" w:rsidR="00BA47FF" w:rsidRPr="00936C18" w:rsidRDefault="00BA47FF" w:rsidP="00BA47FF">
      <w:pPr>
        <w:pStyle w:val="ListParagraph"/>
        <w:numPr>
          <w:ilvl w:val="0"/>
          <w:numId w:val="11"/>
        </w:numPr>
        <w:rPr>
          <w:rFonts w:cstheme="minorHAnsi"/>
        </w:rPr>
      </w:pPr>
      <w:r w:rsidRPr="00936C18">
        <w:rPr>
          <w:rFonts w:cstheme="minorHAnsi"/>
        </w:rPr>
        <w:t xml:space="preserve">BetterEvaluation, Evaluation </w:t>
      </w:r>
      <w:r w:rsidR="00EC29C7" w:rsidRPr="00936C18">
        <w:rPr>
          <w:rFonts w:cstheme="minorHAnsi"/>
        </w:rPr>
        <w:t>A</w:t>
      </w:r>
      <w:r w:rsidRPr="00936C18">
        <w:rPr>
          <w:rFonts w:cstheme="minorHAnsi"/>
        </w:rPr>
        <w:t xml:space="preserve">pproaches: </w:t>
      </w:r>
      <w:hyperlink r:id="rId50" w:history="1">
        <w:r w:rsidRPr="00936C18">
          <w:rPr>
            <w:rStyle w:val="Hyperlink"/>
            <w:rFonts w:cstheme="minorHAnsi"/>
          </w:rPr>
          <w:t>https://www.betterevaluation.org/en/approaches</w:t>
        </w:r>
      </w:hyperlink>
    </w:p>
    <w:p w14:paraId="25F26B6A" w14:textId="3032543A" w:rsidR="00BA47FF" w:rsidRPr="00936C18" w:rsidRDefault="00BA47FF" w:rsidP="00BA47FF">
      <w:pPr>
        <w:pStyle w:val="ListParagraph"/>
        <w:numPr>
          <w:ilvl w:val="0"/>
          <w:numId w:val="11"/>
        </w:numPr>
        <w:rPr>
          <w:rFonts w:cstheme="minorHAnsi"/>
        </w:rPr>
      </w:pPr>
      <w:r w:rsidRPr="00936C18">
        <w:rPr>
          <w:rFonts w:cstheme="minorHAnsi"/>
        </w:rPr>
        <w:t>UNICEF</w:t>
      </w:r>
      <w:r w:rsidR="00EC29C7" w:rsidRPr="00936C18">
        <w:rPr>
          <w:rFonts w:cstheme="minorHAnsi"/>
        </w:rPr>
        <w:t>,</w:t>
      </w:r>
      <w:r w:rsidRPr="00936C18">
        <w:rPr>
          <w:rFonts w:cstheme="minorHAnsi"/>
        </w:rPr>
        <w:t xml:space="preserve"> Impact Evaluation Series (in particular Brief 3: Causal Attribution): </w:t>
      </w:r>
      <w:hyperlink r:id="rId51" w:history="1">
        <w:r w:rsidRPr="00936C18">
          <w:rPr>
            <w:rStyle w:val="Hyperlink"/>
            <w:rFonts w:cstheme="minorHAnsi"/>
          </w:rPr>
          <w:t>https://www.betterevaluation.org/en/resources/guide/unicef_impact_evaluation_series</w:t>
        </w:r>
      </w:hyperlink>
    </w:p>
    <w:p w14:paraId="600F999F" w14:textId="77777777" w:rsidR="00BA47FF" w:rsidRPr="00936C18" w:rsidRDefault="00BA47FF" w:rsidP="00BA47FF">
      <w:pPr>
        <w:pStyle w:val="ListParagraph"/>
        <w:numPr>
          <w:ilvl w:val="0"/>
          <w:numId w:val="11"/>
        </w:numPr>
        <w:rPr>
          <w:rFonts w:cstheme="minorHAnsi"/>
        </w:rPr>
      </w:pPr>
      <w:r w:rsidRPr="00936C18">
        <w:rPr>
          <w:rFonts w:cstheme="minorHAnsi"/>
        </w:rPr>
        <w:t xml:space="preserve">Stern, E., </w:t>
      </w:r>
      <w:proofErr w:type="spellStart"/>
      <w:r w:rsidRPr="00936C18">
        <w:rPr>
          <w:rFonts w:cstheme="minorHAnsi"/>
        </w:rPr>
        <w:t>Stame</w:t>
      </w:r>
      <w:proofErr w:type="spellEnd"/>
      <w:r w:rsidRPr="00936C18">
        <w:rPr>
          <w:rFonts w:cstheme="minorHAnsi"/>
        </w:rPr>
        <w:t xml:space="preserve">, N., Mayne, J., </w:t>
      </w:r>
      <w:proofErr w:type="spellStart"/>
      <w:r w:rsidRPr="00936C18">
        <w:rPr>
          <w:rFonts w:cstheme="minorHAnsi"/>
        </w:rPr>
        <w:t>Forss</w:t>
      </w:r>
      <w:proofErr w:type="spellEnd"/>
      <w:r w:rsidRPr="00936C18">
        <w:rPr>
          <w:rFonts w:cstheme="minorHAnsi"/>
        </w:rPr>
        <w:t xml:space="preserve">, K., Davies, R., &amp; </w:t>
      </w:r>
      <w:proofErr w:type="spellStart"/>
      <w:r w:rsidRPr="00936C18">
        <w:rPr>
          <w:rFonts w:cstheme="minorHAnsi"/>
        </w:rPr>
        <w:t>Befani</w:t>
      </w:r>
      <w:proofErr w:type="spellEnd"/>
      <w:r w:rsidRPr="00936C18">
        <w:rPr>
          <w:rFonts w:cstheme="minorHAnsi"/>
        </w:rPr>
        <w:t>, B. Department for International Development, (2012). </w:t>
      </w:r>
      <w:r w:rsidRPr="00936C18">
        <w:rPr>
          <w:rFonts w:cstheme="minorHAnsi"/>
          <w:i/>
          <w:iCs/>
        </w:rPr>
        <w:t>Broadening the range of designs and options for impact evaluations</w:t>
      </w:r>
      <w:r w:rsidRPr="00936C18">
        <w:rPr>
          <w:rFonts w:cstheme="minorHAnsi"/>
        </w:rPr>
        <w:t> (Working Paper 38). Retrieved from website: </w:t>
      </w:r>
      <w:hyperlink r:id="rId52" w:history="1">
        <w:r w:rsidRPr="00936C18">
          <w:rPr>
            <w:rStyle w:val="Hyperlink"/>
            <w:rFonts w:cstheme="minorHAnsi"/>
          </w:rPr>
          <w:t>http://www.dfid.gov.uk/Documents/publications1/design-option-impact-eval.pdf</w:t>
        </w:r>
      </w:hyperlink>
    </w:p>
    <w:p w14:paraId="43FAD6A9" w14:textId="77777777" w:rsidR="007F047E" w:rsidRDefault="007F047E">
      <w:pPr>
        <w:rPr>
          <w:rFonts w:cstheme="minorHAnsi"/>
          <w:u w:val="single"/>
        </w:rPr>
      </w:pPr>
      <w:r>
        <w:rPr>
          <w:rFonts w:cstheme="minorHAnsi"/>
          <w:u w:val="single"/>
        </w:rPr>
        <w:br w:type="page"/>
      </w:r>
    </w:p>
    <w:p w14:paraId="4D6C53E1" w14:textId="05CA7BC5" w:rsidR="00002FC5" w:rsidRPr="00936C18" w:rsidRDefault="00DA10EF" w:rsidP="00FB5F72">
      <w:pPr>
        <w:ind w:hanging="284"/>
        <w:rPr>
          <w:rFonts w:cstheme="minorHAnsi"/>
          <w:u w:val="single"/>
        </w:rPr>
      </w:pPr>
      <w:r w:rsidRPr="00936C18">
        <w:rPr>
          <w:rFonts w:cstheme="minorHAnsi"/>
          <w:u w:val="single"/>
        </w:rPr>
        <w:lastRenderedPageBreak/>
        <w:t>Reporting evaluation findings</w:t>
      </w:r>
    </w:p>
    <w:p w14:paraId="5020C010" w14:textId="7B08FF49" w:rsidR="00AF6E6B" w:rsidRPr="00936C18" w:rsidRDefault="00AF6E6B" w:rsidP="00AF6E6B">
      <w:pPr>
        <w:pStyle w:val="ListParagraph"/>
        <w:numPr>
          <w:ilvl w:val="0"/>
          <w:numId w:val="13"/>
        </w:numPr>
        <w:rPr>
          <w:rFonts w:cstheme="minorHAnsi"/>
        </w:rPr>
      </w:pPr>
      <w:r w:rsidRPr="00936C18">
        <w:rPr>
          <w:rFonts w:cstheme="minorHAnsi"/>
        </w:rPr>
        <w:t>BetterEvaluation, Rainbow Framework: REPORT and SUPPORT use</w:t>
      </w:r>
      <w:r w:rsidR="00942F9C" w:rsidRPr="00936C18">
        <w:rPr>
          <w:rFonts w:cstheme="minorHAnsi"/>
        </w:rPr>
        <w:t xml:space="preserve"> of findings</w:t>
      </w:r>
      <w:r w:rsidRPr="00936C18">
        <w:rPr>
          <w:rFonts w:cstheme="minorHAnsi"/>
        </w:rPr>
        <w:t>:</w:t>
      </w:r>
      <w:r w:rsidR="00942F9C" w:rsidRPr="00936C18">
        <w:rPr>
          <w:rFonts w:cstheme="minorHAnsi"/>
        </w:rPr>
        <w:t xml:space="preserve"> </w:t>
      </w:r>
      <w:hyperlink r:id="rId53" w:history="1">
        <w:r w:rsidR="00942F9C" w:rsidRPr="00936C18">
          <w:rPr>
            <w:rStyle w:val="Hyperlink"/>
            <w:rFonts w:cstheme="minorHAnsi"/>
          </w:rPr>
          <w:t>https://www.betterevaluation.org/en/rainbow_framework/report_support_use</w:t>
        </w:r>
      </w:hyperlink>
    </w:p>
    <w:p w14:paraId="13750859" w14:textId="45855B98" w:rsidR="00AF6E6B" w:rsidRPr="00936C18" w:rsidRDefault="00AF6E6B" w:rsidP="00942F9C">
      <w:pPr>
        <w:pStyle w:val="ListParagraph"/>
        <w:numPr>
          <w:ilvl w:val="0"/>
          <w:numId w:val="12"/>
        </w:numPr>
        <w:rPr>
          <w:rFonts w:cstheme="minorHAnsi"/>
        </w:rPr>
      </w:pPr>
      <w:r w:rsidRPr="00936C18">
        <w:rPr>
          <w:rFonts w:cstheme="minorHAnsi"/>
        </w:rPr>
        <w:t>BetterEvaluation, Manager’s Guide:</w:t>
      </w:r>
    </w:p>
    <w:p w14:paraId="0BCDEC57" w14:textId="76A09080" w:rsidR="00AF6E6B" w:rsidRPr="00936C18" w:rsidRDefault="00AF6E6B" w:rsidP="00942F9C">
      <w:pPr>
        <w:numPr>
          <w:ilvl w:val="1"/>
          <w:numId w:val="12"/>
        </w:numPr>
        <w:rPr>
          <w:rFonts w:cstheme="minorHAnsi"/>
        </w:rPr>
      </w:pPr>
      <w:r w:rsidRPr="00936C18">
        <w:rPr>
          <w:rFonts w:cstheme="minorHAnsi"/>
        </w:rPr>
        <w:t xml:space="preserve">Step 8. Guide production of quality report(s): </w:t>
      </w:r>
      <w:hyperlink r:id="rId54" w:history="1">
        <w:r w:rsidRPr="00936C18">
          <w:rPr>
            <w:rStyle w:val="Hyperlink"/>
            <w:rFonts w:cstheme="minorHAnsi"/>
          </w:rPr>
          <w:t>https://www.betterevaluation.org/en/commissioners_guide/step8</w:t>
        </w:r>
      </w:hyperlink>
      <w:r w:rsidRPr="00936C18">
        <w:rPr>
          <w:rFonts w:cstheme="minorHAnsi"/>
        </w:rPr>
        <w:t xml:space="preserve"> </w:t>
      </w:r>
    </w:p>
    <w:p w14:paraId="75F08D4F" w14:textId="4EBC9D9A" w:rsidR="00AF6E6B" w:rsidRPr="00936C18" w:rsidRDefault="00AF6E6B" w:rsidP="00942F9C">
      <w:pPr>
        <w:numPr>
          <w:ilvl w:val="1"/>
          <w:numId w:val="12"/>
        </w:numPr>
        <w:rPr>
          <w:rFonts w:cstheme="minorHAnsi"/>
        </w:rPr>
      </w:pPr>
      <w:r w:rsidRPr="00936C18">
        <w:rPr>
          <w:rFonts w:cstheme="minorHAnsi"/>
        </w:rPr>
        <w:t xml:space="preserve">Step 9. Disseminate reports and support use of evaluation: </w:t>
      </w:r>
      <w:hyperlink r:id="rId55" w:history="1">
        <w:r w:rsidRPr="00936C18">
          <w:rPr>
            <w:rStyle w:val="Hyperlink"/>
            <w:rFonts w:cstheme="minorHAnsi"/>
          </w:rPr>
          <w:t>https://www.betterevaluation.org/en/commissioners_guide/step9</w:t>
        </w:r>
      </w:hyperlink>
      <w:r w:rsidRPr="00936C18">
        <w:rPr>
          <w:rFonts w:cstheme="minorHAnsi"/>
        </w:rPr>
        <w:t xml:space="preserve"> </w:t>
      </w:r>
    </w:p>
    <w:p w14:paraId="5DEED0E0" w14:textId="5F4A355D" w:rsidR="00750992" w:rsidRPr="00936C18" w:rsidRDefault="00AD5D10" w:rsidP="00FB5F72">
      <w:pPr>
        <w:ind w:hanging="284"/>
        <w:rPr>
          <w:rFonts w:cstheme="minorHAnsi"/>
          <w:u w:val="single"/>
        </w:rPr>
      </w:pPr>
      <w:r w:rsidRPr="00936C18">
        <w:rPr>
          <w:rFonts w:cstheme="minorHAnsi"/>
          <w:u w:val="single"/>
        </w:rPr>
        <w:t>Building capability and a culture of evaluation</w:t>
      </w:r>
    </w:p>
    <w:p w14:paraId="72413D2C" w14:textId="03C507DC" w:rsidR="00C6652B" w:rsidRPr="00936C18" w:rsidRDefault="00C6652B" w:rsidP="00C6652B">
      <w:pPr>
        <w:pStyle w:val="ListParagraph"/>
        <w:numPr>
          <w:ilvl w:val="0"/>
          <w:numId w:val="14"/>
        </w:numPr>
        <w:rPr>
          <w:rFonts w:cstheme="minorHAnsi"/>
        </w:rPr>
      </w:pPr>
      <w:r w:rsidRPr="00936C18">
        <w:rPr>
          <w:rFonts w:cstheme="minorHAnsi"/>
        </w:rPr>
        <w:t xml:space="preserve">BetterEvaluation, Rainbow Framework: Strengthen Evaluation Capacity: </w:t>
      </w:r>
      <w:hyperlink r:id="rId56" w:history="1">
        <w:r w:rsidRPr="00936C18">
          <w:rPr>
            <w:rStyle w:val="Hyperlink"/>
            <w:rFonts w:cstheme="minorHAnsi"/>
          </w:rPr>
          <w:t>https://www.betterevaluation.org/en/rainbow_framework/manage/strengthen_evaluation_capacity</w:t>
        </w:r>
      </w:hyperlink>
      <w:r w:rsidRPr="00936C18">
        <w:rPr>
          <w:rFonts w:cstheme="minorHAnsi"/>
        </w:rPr>
        <w:t xml:space="preserve"> </w:t>
      </w:r>
    </w:p>
    <w:p w14:paraId="094E868B" w14:textId="77777777" w:rsidR="00750992" w:rsidRDefault="00750992" w:rsidP="00FB5F72">
      <w:pPr>
        <w:ind w:hanging="284"/>
      </w:pPr>
    </w:p>
    <w:sectPr w:rsidR="00750992">
      <w:footerReference w:type="defaul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EA19C" w14:textId="77777777" w:rsidR="000101DE" w:rsidRDefault="000101DE" w:rsidP="00257686">
      <w:pPr>
        <w:spacing w:after="0" w:line="240" w:lineRule="auto"/>
      </w:pPr>
      <w:r>
        <w:separator/>
      </w:r>
    </w:p>
  </w:endnote>
  <w:endnote w:type="continuationSeparator" w:id="0">
    <w:p w14:paraId="77EB0514" w14:textId="77777777" w:rsidR="000101DE" w:rsidRDefault="000101DE" w:rsidP="0025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altName w:val="Robot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137811"/>
      <w:docPartObj>
        <w:docPartGallery w:val="Page Numbers (Bottom of Page)"/>
        <w:docPartUnique/>
      </w:docPartObj>
    </w:sdtPr>
    <w:sdtEndPr>
      <w:rPr>
        <w:noProof/>
      </w:rPr>
    </w:sdtEndPr>
    <w:sdtContent>
      <w:p w14:paraId="091B9AA1" w14:textId="5D75F890" w:rsidR="00257686" w:rsidRDefault="00257686">
        <w:pPr>
          <w:pStyle w:val="Footer"/>
          <w:jc w:val="right"/>
        </w:pPr>
        <w:r>
          <w:fldChar w:fldCharType="begin"/>
        </w:r>
        <w:r>
          <w:instrText xml:space="preserve"> PAGE   \* MERGEFORMAT </w:instrText>
        </w:r>
        <w:r>
          <w:fldChar w:fldCharType="separate"/>
        </w:r>
        <w:r w:rsidR="00C579CE">
          <w:rPr>
            <w:noProof/>
          </w:rPr>
          <w:t>1</w:t>
        </w:r>
        <w:r>
          <w:rPr>
            <w:noProof/>
          </w:rPr>
          <w:fldChar w:fldCharType="end"/>
        </w:r>
      </w:p>
    </w:sdtContent>
  </w:sdt>
  <w:p w14:paraId="4B3E4FC1" w14:textId="77777777" w:rsidR="00257686" w:rsidRDefault="00257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6519A" w14:textId="77777777" w:rsidR="000101DE" w:rsidRDefault="000101DE" w:rsidP="00257686">
      <w:pPr>
        <w:spacing w:after="0" w:line="240" w:lineRule="auto"/>
      </w:pPr>
      <w:r>
        <w:separator/>
      </w:r>
    </w:p>
  </w:footnote>
  <w:footnote w:type="continuationSeparator" w:id="0">
    <w:p w14:paraId="496BFF3D" w14:textId="77777777" w:rsidR="000101DE" w:rsidRDefault="000101DE" w:rsidP="00257686">
      <w:pPr>
        <w:spacing w:after="0" w:line="240" w:lineRule="auto"/>
      </w:pPr>
      <w:r>
        <w:continuationSeparator/>
      </w:r>
    </w:p>
  </w:footnote>
  <w:footnote w:id="1">
    <w:p w14:paraId="57A88804" w14:textId="1CA65559" w:rsidR="005641A9" w:rsidRPr="00DA4A7A" w:rsidRDefault="005641A9">
      <w:pPr>
        <w:pStyle w:val="FootnoteText"/>
        <w:rPr>
          <w:sz w:val="18"/>
          <w:szCs w:val="18"/>
        </w:rPr>
      </w:pPr>
      <w:r w:rsidRPr="00DA4A7A">
        <w:rPr>
          <w:rStyle w:val="FootnoteReference"/>
          <w:sz w:val="18"/>
          <w:szCs w:val="18"/>
        </w:rPr>
        <w:footnoteRef/>
      </w:r>
      <w:r w:rsidRPr="00DA4A7A">
        <w:rPr>
          <w:sz w:val="18"/>
          <w:szCs w:val="18"/>
        </w:rPr>
        <w:t xml:space="preserve"> Cornwall A (2003). Whose voices? Whose choices? Reflections on gender and participatory development. World Development 31(8), pp. 1325–1342.</w:t>
      </w:r>
    </w:p>
  </w:footnote>
  <w:footnote w:id="2">
    <w:p w14:paraId="50CBD955" w14:textId="57A9266A" w:rsidR="00DA4A7A" w:rsidRPr="00DA4A7A" w:rsidRDefault="00DA4A7A">
      <w:pPr>
        <w:pStyle w:val="FootnoteText"/>
        <w:rPr>
          <w:sz w:val="18"/>
          <w:szCs w:val="18"/>
        </w:rPr>
      </w:pPr>
      <w:r w:rsidRPr="00DA4A7A">
        <w:rPr>
          <w:rStyle w:val="FootnoteReference"/>
          <w:sz w:val="18"/>
          <w:szCs w:val="18"/>
        </w:rPr>
        <w:footnoteRef/>
      </w:r>
      <w:r w:rsidRPr="00DA4A7A">
        <w:rPr>
          <w:sz w:val="18"/>
          <w:szCs w:val="18"/>
        </w:rPr>
        <w:t xml:space="preserve"> Fletcher G (2019). ‘Our Men Our Healing’: Using Cultural Strengths to Restore Collective Wellbeing for Indigenous Australians. In: Engendering transformative change in international development. Routledge.</w:t>
      </w:r>
    </w:p>
  </w:footnote>
  <w:footnote w:id="3">
    <w:p w14:paraId="7C8008CC" w14:textId="519586EE" w:rsidR="00DA4A7A" w:rsidRDefault="00DA4A7A">
      <w:pPr>
        <w:pStyle w:val="FootnoteText"/>
      </w:pPr>
      <w:r w:rsidRPr="00DA4A7A">
        <w:rPr>
          <w:rStyle w:val="FootnoteReference"/>
          <w:sz w:val="18"/>
          <w:szCs w:val="18"/>
        </w:rPr>
        <w:footnoteRef/>
      </w:r>
      <w:r w:rsidRPr="00DA4A7A">
        <w:rPr>
          <w:sz w:val="18"/>
          <w:szCs w:val="18"/>
        </w:rPr>
        <w:t xml:space="preserve"> See https://www.participatorymethods.org/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10D2B"/>
    <w:multiLevelType w:val="multilevel"/>
    <w:tmpl w:val="C4FC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D13CA"/>
    <w:multiLevelType w:val="multilevel"/>
    <w:tmpl w:val="CAD03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5692F"/>
    <w:multiLevelType w:val="multilevel"/>
    <w:tmpl w:val="00EEE68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4581C20"/>
    <w:multiLevelType w:val="multilevel"/>
    <w:tmpl w:val="2A46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769AE"/>
    <w:multiLevelType w:val="multilevel"/>
    <w:tmpl w:val="51047880"/>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0010AD6"/>
    <w:multiLevelType w:val="hybridMultilevel"/>
    <w:tmpl w:val="BF54B31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26951E2"/>
    <w:multiLevelType w:val="hybridMultilevel"/>
    <w:tmpl w:val="16807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AF27E8"/>
    <w:multiLevelType w:val="multilevel"/>
    <w:tmpl w:val="503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862E9"/>
    <w:multiLevelType w:val="multilevel"/>
    <w:tmpl w:val="2A46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86249F"/>
    <w:multiLevelType w:val="multilevel"/>
    <w:tmpl w:val="2A462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C768DB"/>
    <w:multiLevelType w:val="multilevel"/>
    <w:tmpl w:val="2A462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7544F"/>
    <w:multiLevelType w:val="multilevel"/>
    <w:tmpl w:val="73F608F2"/>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0B5532"/>
    <w:multiLevelType w:val="multilevel"/>
    <w:tmpl w:val="5CC0A5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731F19"/>
    <w:multiLevelType w:val="hybridMultilevel"/>
    <w:tmpl w:val="3D9C18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E992FB1"/>
    <w:multiLevelType w:val="multilevel"/>
    <w:tmpl w:val="9420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912EF2"/>
    <w:multiLevelType w:val="hybridMultilevel"/>
    <w:tmpl w:val="6136A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3CA66DC"/>
    <w:multiLevelType w:val="hybridMultilevel"/>
    <w:tmpl w:val="C43225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214F73"/>
    <w:multiLevelType w:val="multilevel"/>
    <w:tmpl w:val="73223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E5372A"/>
    <w:multiLevelType w:val="hybridMultilevel"/>
    <w:tmpl w:val="EE6EA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280D78"/>
    <w:multiLevelType w:val="hybridMultilevel"/>
    <w:tmpl w:val="F76686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7810182"/>
    <w:multiLevelType w:val="multilevel"/>
    <w:tmpl w:val="EE689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3B7B03"/>
    <w:multiLevelType w:val="hybridMultilevel"/>
    <w:tmpl w:val="0FACA2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074C53"/>
    <w:multiLevelType w:val="hybridMultilevel"/>
    <w:tmpl w:val="972294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9"/>
  </w:num>
  <w:num w:numId="4">
    <w:abstractNumId w:val="18"/>
  </w:num>
  <w:num w:numId="5">
    <w:abstractNumId w:val="0"/>
  </w:num>
  <w:num w:numId="6">
    <w:abstractNumId w:val="12"/>
  </w:num>
  <w:num w:numId="7">
    <w:abstractNumId w:val="2"/>
  </w:num>
  <w:num w:numId="8">
    <w:abstractNumId w:val="14"/>
  </w:num>
  <w:num w:numId="9">
    <w:abstractNumId w:val="13"/>
  </w:num>
  <w:num w:numId="10">
    <w:abstractNumId w:val="21"/>
  </w:num>
  <w:num w:numId="11">
    <w:abstractNumId w:val="22"/>
  </w:num>
  <w:num w:numId="12">
    <w:abstractNumId w:val="9"/>
  </w:num>
  <w:num w:numId="13">
    <w:abstractNumId w:val="6"/>
  </w:num>
  <w:num w:numId="14">
    <w:abstractNumId w:val="8"/>
  </w:num>
  <w:num w:numId="15">
    <w:abstractNumId w:val="10"/>
  </w:num>
  <w:num w:numId="16">
    <w:abstractNumId w:val="1"/>
  </w:num>
  <w:num w:numId="17">
    <w:abstractNumId w:val="20"/>
  </w:num>
  <w:num w:numId="18">
    <w:abstractNumId w:val="11"/>
  </w:num>
  <w:num w:numId="19">
    <w:abstractNumId w:val="3"/>
  </w:num>
  <w:num w:numId="20">
    <w:abstractNumId w:val="16"/>
  </w:num>
  <w:num w:numId="21">
    <w:abstractNumId w:val="4"/>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EB4"/>
    <w:rsid w:val="00002FC5"/>
    <w:rsid w:val="000101DE"/>
    <w:rsid w:val="00015E35"/>
    <w:rsid w:val="00055A00"/>
    <w:rsid w:val="000776A5"/>
    <w:rsid w:val="00081E29"/>
    <w:rsid w:val="000A549B"/>
    <w:rsid w:val="000A77BB"/>
    <w:rsid w:val="000E0364"/>
    <w:rsid w:val="001231E2"/>
    <w:rsid w:val="0012761D"/>
    <w:rsid w:val="0014178F"/>
    <w:rsid w:val="001940EE"/>
    <w:rsid w:val="00197481"/>
    <w:rsid w:val="001B5C2F"/>
    <w:rsid w:val="001E3687"/>
    <w:rsid w:val="001F47E7"/>
    <w:rsid w:val="00246486"/>
    <w:rsid w:val="002472F7"/>
    <w:rsid w:val="002511A8"/>
    <w:rsid w:val="00257686"/>
    <w:rsid w:val="00260301"/>
    <w:rsid w:val="00266748"/>
    <w:rsid w:val="00267FAC"/>
    <w:rsid w:val="002B16B7"/>
    <w:rsid w:val="002E4ABB"/>
    <w:rsid w:val="002E677E"/>
    <w:rsid w:val="00330B8B"/>
    <w:rsid w:val="0033563E"/>
    <w:rsid w:val="003636AD"/>
    <w:rsid w:val="0037252A"/>
    <w:rsid w:val="00382E61"/>
    <w:rsid w:val="003B0219"/>
    <w:rsid w:val="003C35AC"/>
    <w:rsid w:val="003C777D"/>
    <w:rsid w:val="003E302D"/>
    <w:rsid w:val="003F3D84"/>
    <w:rsid w:val="00423506"/>
    <w:rsid w:val="00425853"/>
    <w:rsid w:val="004326F6"/>
    <w:rsid w:val="004B1654"/>
    <w:rsid w:val="00514B71"/>
    <w:rsid w:val="00517EE0"/>
    <w:rsid w:val="005641A9"/>
    <w:rsid w:val="00581A4D"/>
    <w:rsid w:val="005A612D"/>
    <w:rsid w:val="005C4A32"/>
    <w:rsid w:val="00655B47"/>
    <w:rsid w:val="00683E34"/>
    <w:rsid w:val="006B28C5"/>
    <w:rsid w:val="006F435D"/>
    <w:rsid w:val="006F5006"/>
    <w:rsid w:val="00750992"/>
    <w:rsid w:val="0075099F"/>
    <w:rsid w:val="00755E8E"/>
    <w:rsid w:val="00770691"/>
    <w:rsid w:val="00793159"/>
    <w:rsid w:val="00795489"/>
    <w:rsid w:val="007B0178"/>
    <w:rsid w:val="007D521F"/>
    <w:rsid w:val="007F047E"/>
    <w:rsid w:val="008076C8"/>
    <w:rsid w:val="008115B0"/>
    <w:rsid w:val="008A5D0A"/>
    <w:rsid w:val="0091443F"/>
    <w:rsid w:val="00936C18"/>
    <w:rsid w:val="00937088"/>
    <w:rsid w:val="00942F9C"/>
    <w:rsid w:val="009434FA"/>
    <w:rsid w:val="009617E4"/>
    <w:rsid w:val="009832C4"/>
    <w:rsid w:val="009C642B"/>
    <w:rsid w:val="009D3ECF"/>
    <w:rsid w:val="00A039EB"/>
    <w:rsid w:val="00AA1300"/>
    <w:rsid w:val="00AB4D6C"/>
    <w:rsid w:val="00AD462F"/>
    <w:rsid w:val="00AD5D10"/>
    <w:rsid w:val="00AD614D"/>
    <w:rsid w:val="00AF3A39"/>
    <w:rsid w:val="00AF6E6B"/>
    <w:rsid w:val="00B46F2B"/>
    <w:rsid w:val="00B72B1E"/>
    <w:rsid w:val="00B94EB4"/>
    <w:rsid w:val="00BA47FF"/>
    <w:rsid w:val="00BB3E13"/>
    <w:rsid w:val="00C36A89"/>
    <w:rsid w:val="00C40846"/>
    <w:rsid w:val="00C43AD8"/>
    <w:rsid w:val="00C579CE"/>
    <w:rsid w:val="00C6652B"/>
    <w:rsid w:val="00CA0A6C"/>
    <w:rsid w:val="00CA289C"/>
    <w:rsid w:val="00CC0173"/>
    <w:rsid w:val="00CF4F60"/>
    <w:rsid w:val="00D35AC0"/>
    <w:rsid w:val="00D972C7"/>
    <w:rsid w:val="00D97610"/>
    <w:rsid w:val="00DA10EF"/>
    <w:rsid w:val="00DA4A7A"/>
    <w:rsid w:val="00DB019F"/>
    <w:rsid w:val="00DF3E59"/>
    <w:rsid w:val="00DF65EC"/>
    <w:rsid w:val="00E20DE0"/>
    <w:rsid w:val="00E61461"/>
    <w:rsid w:val="00EB1441"/>
    <w:rsid w:val="00EB6B30"/>
    <w:rsid w:val="00EB760F"/>
    <w:rsid w:val="00EC29C7"/>
    <w:rsid w:val="00EE6133"/>
    <w:rsid w:val="00F014DC"/>
    <w:rsid w:val="00F12BA0"/>
    <w:rsid w:val="00F35C1C"/>
    <w:rsid w:val="00F41BE2"/>
    <w:rsid w:val="00F717B5"/>
    <w:rsid w:val="00F86BB9"/>
    <w:rsid w:val="00FB5F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B9EB1"/>
  <w15:chartTrackingRefBased/>
  <w15:docId w15:val="{FEE6849F-FDC2-4D83-83BD-2FFAF551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25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B94EB4"/>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94EB4"/>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unhideWhenUsed/>
    <w:rsid w:val="00B94EB4"/>
    <w:rPr>
      <w:color w:val="0000FF"/>
      <w:u w:val="single"/>
    </w:rPr>
  </w:style>
  <w:style w:type="paragraph" w:styleId="ListParagraph">
    <w:name w:val="List Paragraph"/>
    <w:basedOn w:val="Normal"/>
    <w:uiPriority w:val="34"/>
    <w:qFormat/>
    <w:rsid w:val="00750992"/>
    <w:pPr>
      <w:ind w:left="720"/>
      <w:contextualSpacing/>
    </w:pPr>
  </w:style>
  <w:style w:type="paragraph" w:styleId="Header">
    <w:name w:val="header"/>
    <w:basedOn w:val="Normal"/>
    <w:link w:val="HeaderChar"/>
    <w:uiPriority w:val="99"/>
    <w:unhideWhenUsed/>
    <w:rsid w:val="00257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686"/>
  </w:style>
  <w:style w:type="paragraph" w:styleId="Footer">
    <w:name w:val="footer"/>
    <w:basedOn w:val="Normal"/>
    <w:link w:val="FooterChar"/>
    <w:uiPriority w:val="99"/>
    <w:unhideWhenUsed/>
    <w:rsid w:val="00257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686"/>
  </w:style>
  <w:style w:type="paragraph" w:customStyle="1" w:styleId="Default">
    <w:name w:val="Default"/>
    <w:rsid w:val="00CC0173"/>
    <w:pPr>
      <w:autoSpaceDE w:val="0"/>
      <w:autoSpaceDN w:val="0"/>
      <w:adjustRightInd w:val="0"/>
      <w:spacing w:after="0" w:line="240" w:lineRule="auto"/>
    </w:pPr>
    <w:rPr>
      <w:rFonts w:ascii="Roboto" w:hAnsi="Roboto" w:cs="Roboto"/>
      <w:color w:val="000000"/>
      <w:sz w:val="24"/>
      <w:szCs w:val="24"/>
    </w:rPr>
  </w:style>
  <w:style w:type="paragraph" w:customStyle="1" w:styleId="paragraph">
    <w:name w:val="paragraph"/>
    <w:basedOn w:val="Normal"/>
    <w:rsid w:val="007D52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D521F"/>
  </w:style>
  <w:style w:type="character" w:customStyle="1" w:styleId="eop">
    <w:name w:val="eop"/>
    <w:basedOn w:val="DefaultParagraphFont"/>
    <w:rsid w:val="007D521F"/>
  </w:style>
  <w:style w:type="paragraph" w:customStyle="1" w:styleId="large-text">
    <w:name w:val="large-text"/>
    <w:basedOn w:val="Normal"/>
    <w:rsid w:val="00EB144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1B5C2F"/>
    <w:rPr>
      <w:color w:val="605E5C"/>
      <w:shd w:val="clear" w:color="auto" w:fill="E1DFDD"/>
    </w:rPr>
  </w:style>
  <w:style w:type="paragraph" w:styleId="FootnoteText">
    <w:name w:val="footnote text"/>
    <w:basedOn w:val="Normal"/>
    <w:link w:val="FootnoteTextChar"/>
    <w:uiPriority w:val="99"/>
    <w:semiHidden/>
    <w:unhideWhenUsed/>
    <w:rsid w:val="005641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1A9"/>
    <w:rPr>
      <w:sz w:val="20"/>
      <w:szCs w:val="20"/>
    </w:rPr>
  </w:style>
  <w:style w:type="character" w:styleId="FootnoteReference">
    <w:name w:val="footnote reference"/>
    <w:basedOn w:val="DefaultParagraphFont"/>
    <w:uiPriority w:val="99"/>
    <w:semiHidden/>
    <w:unhideWhenUsed/>
    <w:rsid w:val="005641A9"/>
    <w:rPr>
      <w:vertAlign w:val="superscript"/>
    </w:rPr>
  </w:style>
  <w:style w:type="character" w:styleId="CommentReference">
    <w:name w:val="annotation reference"/>
    <w:basedOn w:val="DefaultParagraphFont"/>
    <w:uiPriority w:val="99"/>
    <w:semiHidden/>
    <w:unhideWhenUsed/>
    <w:rsid w:val="0075099F"/>
    <w:rPr>
      <w:sz w:val="16"/>
      <w:szCs w:val="16"/>
    </w:rPr>
  </w:style>
  <w:style w:type="paragraph" w:styleId="CommentText">
    <w:name w:val="annotation text"/>
    <w:basedOn w:val="Normal"/>
    <w:link w:val="CommentTextChar"/>
    <w:uiPriority w:val="99"/>
    <w:semiHidden/>
    <w:unhideWhenUsed/>
    <w:rsid w:val="0075099F"/>
    <w:pPr>
      <w:spacing w:line="240" w:lineRule="auto"/>
    </w:pPr>
    <w:rPr>
      <w:sz w:val="20"/>
      <w:szCs w:val="20"/>
    </w:rPr>
  </w:style>
  <w:style w:type="character" w:customStyle="1" w:styleId="CommentTextChar">
    <w:name w:val="Comment Text Char"/>
    <w:basedOn w:val="DefaultParagraphFont"/>
    <w:link w:val="CommentText"/>
    <w:uiPriority w:val="99"/>
    <w:semiHidden/>
    <w:rsid w:val="0075099F"/>
    <w:rPr>
      <w:sz w:val="20"/>
      <w:szCs w:val="20"/>
    </w:rPr>
  </w:style>
  <w:style w:type="paragraph" w:styleId="CommentSubject">
    <w:name w:val="annotation subject"/>
    <w:basedOn w:val="CommentText"/>
    <w:next w:val="CommentText"/>
    <w:link w:val="CommentSubjectChar"/>
    <w:uiPriority w:val="99"/>
    <w:semiHidden/>
    <w:unhideWhenUsed/>
    <w:rsid w:val="0075099F"/>
    <w:rPr>
      <w:b/>
      <w:bCs/>
    </w:rPr>
  </w:style>
  <w:style w:type="character" w:customStyle="1" w:styleId="CommentSubjectChar">
    <w:name w:val="Comment Subject Char"/>
    <w:basedOn w:val="CommentTextChar"/>
    <w:link w:val="CommentSubject"/>
    <w:uiPriority w:val="99"/>
    <w:semiHidden/>
    <w:rsid w:val="0075099F"/>
    <w:rPr>
      <w:b/>
      <w:bCs/>
      <w:sz w:val="20"/>
      <w:szCs w:val="20"/>
    </w:rPr>
  </w:style>
  <w:style w:type="paragraph" w:styleId="BalloonText">
    <w:name w:val="Balloon Text"/>
    <w:basedOn w:val="Normal"/>
    <w:link w:val="BalloonTextChar"/>
    <w:uiPriority w:val="99"/>
    <w:semiHidden/>
    <w:unhideWhenUsed/>
    <w:rsid w:val="007509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99F"/>
    <w:rPr>
      <w:rFonts w:ascii="Segoe UI" w:hAnsi="Segoe UI" w:cs="Segoe UI"/>
      <w:sz w:val="18"/>
      <w:szCs w:val="18"/>
    </w:rPr>
  </w:style>
  <w:style w:type="character" w:styleId="FollowedHyperlink">
    <w:name w:val="FollowedHyperlink"/>
    <w:basedOn w:val="DefaultParagraphFont"/>
    <w:uiPriority w:val="99"/>
    <w:semiHidden/>
    <w:unhideWhenUsed/>
    <w:rsid w:val="00CF4F60"/>
    <w:rPr>
      <w:color w:val="954F72" w:themeColor="followedHyperlink"/>
      <w:u w:val="single"/>
    </w:rPr>
  </w:style>
  <w:style w:type="table" w:styleId="TableGrid">
    <w:name w:val="Table Grid"/>
    <w:basedOn w:val="TableNormal"/>
    <w:uiPriority w:val="39"/>
    <w:rsid w:val="00795489"/>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7252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3733">
      <w:bodyDiv w:val="1"/>
      <w:marLeft w:val="0"/>
      <w:marRight w:val="0"/>
      <w:marTop w:val="0"/>
      <w:marBottom w:val="0"/>
      <w:divBdr>
        <w:top w:val="none" w:sz="0" w:space="0" w:color="auto"/>
        <w:left w:val="none" w:sz="0" w:space="0" w:color="auto"/>
        <w:bottom w:val="none" w:sz="0" w:space="0" w:color="auto"/>
        <w:right w:val="none" w:sz="0" w:space="0" w:color="auto"/>
      </w:divBdr>
      <w:divsChild>
        <w:div w:id="473762184">
          <w:marLeft w:val="0"/>
          <w:marRight w:val="0"/>
          <w:marTop w:val="0"/>
          <w:marBottom w:val="0"/>
          <w:divBdr>
            <w:top w:val="none" w:sz="0" w:space="0" w:color="auto"/>
            <w:left w:val="none" w:sz="0" w:space="0" w:color="auto"/>
            <w:bottom w:val="none" w:sz="0" w:space="0" w:color="auto"/>
            <w:right w:val="none" w:sz="0" w:space="0" w:color="auto"/>
          </w:divBdr>
          <w:divsChild>
            <w:div w:id="1098066318">
              <w:marLeft w:val="0"/>
              <w:marRight w:val="0"/>
              <w:marTop w:val="0"/>
              <w:marBottom w:val="0"/>
              <w:divBdr>
                <w:top w:val="none" w:sz="0" w:space="0" w:color="auto"/>
                <w:left w:val="none" w:sz="0" w:space="0" w:color="auto"/>
                <w:bottom w:val="none" w:sz="0" w:space="0" w:color="auto"/>
                <w:right w:val="none" w:sz="0" w:space="0" w:color="auto"/>
              </w:divBdr>
            </w:div>
            <w:div w:id="924386752">
              <w:marLeft w:val="0"/>
              <w:marRight w:val="0"/>
              <w:marTop w:val="0"/>
              <w:marBottom w:val="0"/>
              <w:divBdr>
                <w:top w:val="none" w:sz="0" w:space="0" w:color="auto"/>
                <w:left w:val="none" w:sz="0" w:space="0" w:color="auto"/>
                <w:bottom w:val="none" w:sz="0" w:space="0" w:color="auto"/>
                <w:right w:val="none" w:sz="0" w:space="0" w:color="auto"/>
              </w:divBdr>
            </w:div>
            <w:div w:id="297995530">
              <w:marLeft w:val="0"/>
              <w:marRight w:val="0"/>
              <w:marTop w:val="0"/>
              <w:marBottom w:val="0"/>
              <w:divBdr>
                <w:top w:val="none" w:sz="0" w:space="0" w:color="auto"/>
                <w:left w:val="none" w:sz="0" w:space="0" w:color="auto"/>
                <w:bottom w:val="none" w:sz="0" w:space="0" w:color="auto"/>
                <w:right w:val="none" w:sz="0" w:space="0" w:color="auto"/>
              </w:divBdr>
            </w:div>
            <w:div w:id="956640096">
              <w:marLeft w:val="0"/>
              <w:marRight w:val="0"/>
              <w:marTop w:val="0"/>
              <w:marBottom w:val="0"/>
              <w:divBdr>
                <w:top w:val="none" w:sz="0" w:space="0" w:color="auto"/>
                <w:left w:val="none" w:sz="0" w:space="0" w:color="auto"/>
                <w:bottom w:val="none" w:sz="0" w:space="0" w:color="auto"/>
                <w:right w:val="none" w:sz="0" w:space="0" w:color="auto"/>
              </w:divBdr>
            </w:div>
            <w:div w:id="1933275111">
              <w:marLeft w:val="0"/>
              <w:marRight w:val="0"/>
              <w:marTop w:val="0"/>
              <w:marBottom w:val="0"/>
              <w:divBdr>
                <w:top w:val="none" w:sz="0" w:space="0" w:color="auto"/>
                <w:left w:val="none" w:sz="0" w:space="0" w:color="auto"/>
                <w:bottom w:val="none" w:sz="0" w:space="0" w:color="auto"/>
                <w:right w:val="none" w:sz="0" w:space="0" w:color="auto"/>
              </w:divBdr>
            </w:div>
          </w:divsChild>
        </w:div>
        <w:div w:id="602497171">
          <w:marLeft w:val="0"/>
          <w:marRight w:val="0"/>
          <w:marTop w:val="0"/>
          <w:marBottom w:val="0"/>
          <w:divBdr>
            <w:top w:val="none" w:sz="0" w:space="0" w:color="auto"/>
            <w:left w:val="none" w:sz="0" w:space="0" w:color="auto"/>
            <w:bottom w:val="none" w:sz="0" w:space="0" w:color="auto"/>
            <w:right w:val="none" w:sz="0" w:space="0" w:color="auto"/>
          </w:divBdr>
          <w:divsChild>
            <w:div w:id="342318721">
              <w:marLeft w:val="0"/>
              <w:marRight w:val="0"/>
              <w:marTop w:val="0"/>
              <w:marBottom w:val="0"/>
              <w:divBdr>
                <w:top w:val="none" w:sz="0" w:space="0" w:color="auto"/>
                <w:left w:val="none" w:sz="0" w:space="0" w:color="auto"/>
                <w:bottom w:val="none" w:sz="0" w:space="0" w:color="auto"/>
                <w:right w:val="none" w:sz="0" w:space="0" w:color="auto"/>
              </w:divBdr>
            </w:div>
            <w:div w:id="564028291">
              <w:marLeft w:val="0"/>
              <w:marRight w:val="0"/>
              <w:marTop w:val="0"/>
              <w:marBottom w:val="0"/>
              <w:divBdr>
                <w:top w:val="none" w:sz="0" w:space="0" w:color="auto"/>
                <w:left w:val="none" w:sz="0" w:space="0" w:color="auto"/>
                <w:bottom w:val="none" w:sz="0" w:space="0" w:color="auto"/>
                <w:right w:val="none" w:sz="0" w:space="0" w:color="auto"/>
              </w:divBdr>
            </w:div>
            <w:div w:id="878056701">
              <w:marLeft w:val="0"/>
              <w:marRight w:val="0"/>
              <w:marTop w:val="0"/>
              <w:marBottom w:val="0"/>
              <w:divBdr>
                <w:top w:val="none" w:sz="0" w:space="0" w:color="auto"/>
                <w:left w:val="none" w:sz="0" w:space="0" w:color="auto"/>
                <w:bottom w:val="none" w:sz="0" w:space="0" w:color="auto"/>
                <w:right w:val="none" w:sz="0" w:space="0" w:color="auto"/>
              </w:divBdr>
            </w:div>
            <w:div w:id="14762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3179">
      <w:bodyDiv w:val="1"/>
      <w:marLeft w:val="0"/>
      <w:marRight w:val="0"/>
      <w:marTop w:val="0"/>
      <w:marBottom w:val="0"/>
      <w:divBdr>
        <w:top w:val="none" w:sz="0" w:space="0" w:color="auto"/>
        <w:left w:val="none" w:sz="0" w:space="0" w:color="auto"/>
        <w:bottom w:val="none" w:sz="0" w:space="0" w:color="auto"/>
        <w:right w:val="none" w:sz="0" w:space="0" w:color="auto"/>
      </w:divBdr>
    </w:div>
    <w:div w:id="1344043505">
      <w:bodyDiv w:val="1"/>
      <w:marLeft w:val="0"/>
      <w:marRight w:val="0"/>
      <w:marTop w:val="0"/>
      <w:marBottom w:val="0"/>
      <w:divBdr>
        <w:top w:val="none" w:sz="0" w:space="0" w:color="auto"/>
        <w:left w:val="none" w:sz="0" w:space="0" w:color="auto"/>
        <w:bottom w:val="none" w:sz="0" w:space="0" w:color="auto"/>
        <w:right w:val="none" w:sz="0" w:space="0" w:color="auto"/>
      </w:divBdr>
    </w:div>
    <w:div w:id="1662737871">
      <w:bodyDiv w:val="1"/>
      <w:marLeft w:val="0"/>
      <w:marRight w:val="0"/>
      <w:marTop w:val="0"/>
      <w:marBottom w:val="0"/>
      <w:divBdr>
        <w:top w:val="none" w:sz="0" w:space="0" w:color="auto"/>
        <w:left w:val="none" w:sz="0" w:space="0" w:color="auto"/>
        <w:bottom w:val="none" w:sz="0" w:space="0" w:color="auto"/>
        <w:right w:val="none" w:sz="0" w:space="0" w:color="auto"/>
      </w:divBdr>
    </w:div>
    <w:div w:id="1866089411">
      <w:bodyDiv w:val="1"/>
      <w:marLeft w:val="0"/>
      <w:marRight w:val="0"/>
      <w:marTop w:val="0"/>
      <w:marBottom w:val="0"/>
      <w:divBdr>
        <w:top w:val="none" w:sz="0" w:space="0" w:color="auto"/>
        <w:left w:val="none" w:sz="0" w:space="0" w:color="auto"/>
        <w:bottom w:val="none" w:sz="0" w:space="0" w:color="auto"/>
        <w:right w:val="none" w:sz="0" w:space="0" w:color="auto"/>
      </w:divBdr>
    </w:div>
    <w:div w:id="210167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tterevaluation.org/en/rainbow_framework/manage/establish_decision_making_processes" TargetMode="External"/><Relationship Id="rId18" Type="http://schemas.openxmlformats.org/officeDocument/2006/relationships/image" Target="media/image5.png"/><Relationship Id="rId26" Type="http://schemas.openxmlformats.org/officeDocument/2006/relationships/hyperlink" Target="http://betterevaluation.org/plan/approach/contribution_analysis" TargetMode="External"/><Relationship Id="rId39" Type="http://schemas.openxmlformats.org/officeDocument/2006/relationships/hyperlink" Target="https://www.betterevaluation.org/en/rainbow_framework/define" TargetMode="External"/><Relationship Id="rId21" Type="http://schemas.openxmlformats.org/officeDocument/2006/relationships/diagramQuickStyle" Target="diagrams/quickStyle1.xml"/><Relationship Id="rId34" Type="http://schemas.openxmlformats.org/officeDocument/2006/relationships/hyperlink" Target="https://www.betterevaluation.org/en/plan/approach/QUIP" TargetMode="External"/><Relationship Id="rId42" Type="http://schemas.openxmlformats.org/officeDocument/2006/relationships/hyperlink" Target="https://www.betterevaluation.org/en/commissioners_guide/step2" TargetMode="External"/><Relationship Id="rId47" Type="http://schemas.openxmlformats.org/officeDocument/2006/relationships/hyperlink" Target="https://www.participatorymethods.org/" TargetMode="External"/><Relationship Id="rId50" Type="http://schemas.openxmlformats.org/officeDocument/2006/relationships/hyperlink" Target="https://www.betterevaluation.org/en/approaches" TargetMode="External"/><Relationship Id="rId55" Type="http://schemas.openxmlformats.org/officeDocument/2006/relationships/hyperlink" Target="https://www.betterevaluation.org/en/commissioners_guide/step9"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betterevaluation.org/plan/approach/contribution_analysis" TargetMode="External"/><Relationship Id="rId33" Type="http://schemas.openxmlformats.org/officeDocument/2006/relationships/hyperlink" Target="https://www.betterevaluation.org/en/plan/approach/QUIP" TargetMode="External"/><Relationship Id="rId38" Type="http://schemas.openxmlformats.org/officeDocument/2006/relationships/hyperlink" Target="https://www.betterevaluation.org/en/approach/realist_evaluation" TargetMode="External"/><Relationship Id="rId46" Type="http://schemas.openxmlformats.org/officeDocument/2006/relationships/hyperlink" Target="https://www.sciencedirect.com/science/article/abs/pii/S0305750X0300086X"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diagramLayout" Target="diagrams/layout1.xml"/><Relationship Id="rId29" Type="http://schemas.openxmlformats.org/officeDocument/2006/relationships/hyperlink" Target="http://betterevaluation.org/plan/approach/cort" TargetMode="External"/><Relationship Id="rId41" Type="http://schemas.openxmlformats.org/officeDocument/2006/relationships/hyperlink" Target="https://www.betterevaluation.org/en/commissioners_guide/step1" TargetMode="External"/><Relationship Id="rId54" Type="http://schemas.openxmlformats.org/officeDocument/2006/relationships/hyperlink" Target="https://www.betterevaluation.org/en/commissioners_guide/step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tterevaluation.org/en" TargetMode="External"/><Relationship Id="rId24" Type="http://schemas.openxmlformats.org/officeDocument/2006/relationships/image" Target="media/image6.png"/><Relationship Id="rId32" Type="http://schemas.openxmlformats.org/officeDocument/2006/relationships/hyperlink" Target="https://www.betterevaluation.org/resources/guide/comparative_case_studies" TargetMode="External"/><Relationship Id="rId37" Type="http://schemas.openxmlformats.org/officeDocument/2006/relationships/hyperlink" Target="https://www.betterevaluation.org/en/approach/realist_evaluation" TargetMode="External"/><Relationship Id="rId40" Type="http://schemas.openxmlformats.org/officeDocument/2006/relationships/hyperlink" Target="https://www.betterevaluation.org/en/rainbow_framework/manage/establish_decision_making_processes" TargetMode="External"/><Relationship Id="rId45" Type="http://schemas.openxmlformats.org/officeDocument/2006/relationships/hyperlink" Target="https://www.betterevaluation.org/en/managers_guide" TargetMode="External"/><Relationship Id="rId53" Type="http://schemas.openxmlformats.org/officeDocument/2006/relationships/hyperlink" Target="https://www.betterevaluation.org/en/rainbow_framework/report_support_use"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etterevaluation.org/en/themes/evaluation-practice-aboriginal-and-torres-strait-islander-settings" TargetMode="External"/><Relationship Id="rId23" Type="http://schemas.microsoft.com/office/2007/relationships/diagramDrawing" Target="diagrams/drawing1.xml"/><Relationship Id="rId28" Type="http://schemas.openxmlformats.org/officeDocument/2006/relationships/hyperlink" Target="https://www.betterevaluation.org/en/evaluation-options/processtracing" TargetMode="External"/><Relationship Id="rId36" Type="http://schemas.openxmlformats.org/officeDocument/2006/relationships/hyperlink" Target="https://www.betterevaluation.org/en/evaluation-options/qualitative_comparative_analysis" TargetMode="External"/><Relationship Id="rId49" Type="http://schemas.openxmlformats.org/officeDocument/2006/relationships/hyperlink" Target="https://www.betterevaluation.org/en/rainbow_framework/understand_causes" TargetMode="External"/><Relationship Id="rId57" Type="http://schemas.openxmlformats.org/officeDocument/2006/relationships/footer" Target="footer1.xml"/><Relationship Id="rId10" Type="http://schemas.openxmlformats.org/officeDocument/2006/relationships/hyperlink" Target="https://www.betterevaluation.org/en/themes/evaluation-practice-aboriginal-and-torres-strait-islander-settings" TargetMode="External"/><Relationship Id="rId19" Type="http://schemas.openxmlformats.org/officeDocument/2006/relationships/diagramData" Target="diagrams/data1.xml"/><Relationship Id="rId31" Type="http://schemas.openxmlformats.org/officeDocument/2006/relationships/hyperlink" Target="https://www.betterevaluation.org/en/evaluation-options/comparative_case_studies" TargetMode="External"/><Relationship Id="rId44" Type="http://schemas.openxmlformats.org/officeDocument/2006/relationships/hyperlink" Target="https://www.betterevaluation.org/en/themes/evaluation-practice-aboriginal-and-torres-strait-islander-settings" TargetMode="External"/><Relationship Id="rId52" Type="http://schemas.openxmlformats.org/officeDocument/2006/relationships/hyperlink" Target="https://www.betterevaluation.org/sites/default/files/design-method-impact-eval_0.pdf" TargetMode="External"/><Relationship Id="rId4" Type="http://schemas.openxmlformats.org/officeDocument/2006/relationships/settings" Target="settings.xml"/><Relationship Id="rId9" Type="http://schemas.openxmlformats.org/officeDocument/2006/relationships/hyperlink" Target="https://www.betterevaluation.org/en/principles" TargetMode="External"/><Relationship Id="rId14" Type="http://schemas.openxmlformats.org/officeDocument/2006/relationships/hyperlink" Target="https://www.unicef-irc.org/publications/750-participatory-approaches-methodological-briefs-impact-evaluation-no-5.html" TargetMode="External"/><Relationship Id="rId22" Type="http://schemas.openxmlformats.org/officeDocument/2006/relationships/diagramColors" Target="diagrams/colors1.xml"/><Relationship Id="rId27" Type="http://schemas.openxmlformats.org/officeDocument/2006/relationships/hyperlink" Target="https://www.betterevaluation.org/evaluation-options/processtracing" TargetMode="External"/><Relationship Id="rId30" Type="http://schemas.openxmlformats.org/officeDocument/2006/relationships/hyperlink" Target="https://www.betterevaluation.org/en/plan/approach/cort" TargetMode="External"/><Relationship Id="rId35" Type="http://schemas.openxmlformats.org/officeDocument/2006/relationships/hyperlink" Target="https://www.betterevaluation.org/en/evaluation-options/qualitative_comparative_analysis" TargetMode="External"/><Relationship Id="rId43" Type="http://schemas.openxmlformats.org/officeDocument/2006/relationships/hyperlink" Target="https://www.unicef-irc.org/publications/750-participatory-approaches-methodological-briefs-impact-evaluation-no-5.html" TargetMode="External"/><Relationship Id="rId48" Type="http://schemas.openxmlformats.org/officeDocument/2006/relationships/hyperlink" Target="https://www.betterevaluation.org/rainbow_framework" TargetMode="External"/><Relationship Id="rId56" Type="http://schemas.openxmlformats.org/officeDocument/2006/relationships/hyperlink" Target="https://www.betterevaluation.org/en/rainbow_framework/manage/strengthen_evaluation_capacity" TargetMode="External"/><Relationship Id="rId8" Type="http://schemas.openxmlformats.org/officeDocument/2006/relationships/image" Target="media/image1.png"/><Relationship Id="rId51" Type="http://schemas.openxmlformats.org/officeDocument/2006/relationships/hyperlink" Target="https://www.betterevaluation.org/en/resources/guide/unicef_impact_evaluation_series" TargetMode="Externa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3A7D45-A66C-4718-A651-C95E0284F52A}" type="doc">
      <dgm:prSet loTypeId="urn:microsoft.com/office/officeart/2005/8/layout/chevron1" loCatId="process" qsTypeId="urn:microsoft.com/office/officeart/2005/8/quickstyle/simple1" qsCatId="simple" csTypeId="urn:microsoft.com/office/officeart/2005/8/colors/accent1_2" csCatId="accent1" phldr="1"/>
      <dgm:spPr/>
    </dgm:pt>
    <dgm:pt modelId="{95766BCA-4B21-41C0-9778-DCE6EAC17031}">
      <dgm:prSet phldrT="[Text]"/>
      <dgm:spPr>
        <a:xfrm>
          <a:off x="2544" y="379987"/>
          <a:ext cx="1481435" cy="592574"/>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Instrument; Indigenous Evaluation Strategy</a:t>
          </a:r>
        </a:p>
      </dgm:t>
    </dgm:pt>
    <dgm:pt modelId="{BA49B49B-18E1-4310-863F-FE8F847B2DDF}" type="parTrans" cxnId="{02EE0E1A-EF45-4DA7-871F-FC6331FB67DE}">
      <dgm:prSet/>
      <dgm:spPr/>
      <dgm:t>
        <a:bodyPr/>
        <a:lstStyle/>
        <a:p>
          <a:endParaRPr lang="en-AU"/>
        </a:p>
      </dgm:t>
    </dgm:pt>
    <dgm:pt modelId="{7F89498B-8ED4-4783-869B-F5E9A6F4F1AE}" type="sibTrans" cxnId="{02EE0E1A-EF45-4DA7-871F-FC6331FB67DE}">
      <dgm:prSet/>
      <dgm:spPr/>
      <dgm:t>
        <a:bodyPr/>
        <a:lstStyle/>
        <a:p>
          <a:endParaRPr lang="en-AU"/>
        </a:p>
      </dgm:t>
    </dgm:pt>
    <dgm:pt modelId="{9320D34B-264C-4665-A7B0-F56E1BDDA22C}">
      <dgm:prSet phldrT="[Text]"/>
      <dgm:spPr>
        <a:xfrm>
          <a:off x="2669128" y="379987"/>
          <a:ext cx="1481435" cy="592574"/>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Intermediate outcome: Better policies and programs</a:t>
          </a:r>
        </a:p>
      </dgm:t>
    </dgm:pt>
    <dgm:pt modelId="{C5280117-2946-428A-81E4-0AAB3126A803}" type="parTrans" cxnId="{303F3756-4F45-4A47-BD2F-F224FCE08731}">
      <dgm:prSet/>
      <dgm:spPr/>
      <dgm:t>
        <a:bodyPr/>
        <a:lstStyle/>
        <a:p>
          <a:endParaRPr lang="en-AU"/>
        </a:p>
      </dgm:t>
    </dgm:pt>
    <dgm:pt modelId="{994D2274-C34A-4EF4-BBDA-0C1362CCAD14}" type="sibTrans" cxnId="{303F3756-4F45-4A47-BD2F-F224FCE08731}">
      <dgm:prSet/>
      <dgm:spPr/>
      <dgm:t>
        <a:bodyPr/>
        <a:lstStyle/>
        <a:p>
          <a:endParaRPr lang="en-AU"/>
        </a:p>
      </dgm:t>
    </dgm:pt>
    <dgm:pt modelId="{6A6617B2-C84C-4E03-9CBB-228E55844D0E}">
      <dgm:prSet phldrT="[Text]"/>
      <dgm:spPr>
        <a:xfrm>
          <a:off x="4002419" y="379987"/>
          <a:ext cx="1481435" cy="592574"/>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Ultimate outcome: Better lives for Aboriginal and Torres Strait Islander people</a:t>
          </a:r>
        </a:p>
      </dgm:t>
    </dgm:pt>
    <dgm:pt modelId="{04C9F6F9-95BC-444E-8E86-DF18F4CBF7F7}" type="parTrans" cxnId="{80AB38C2-FCBC-4318-9488-B6BEE4115D98}">
      <dgm:prSet/>
      <dgm:spPr/>
      <dgm:t>
        <a:bodyPr/>
        <a:lstStyle/>
        <a:p>
          <a:endParaRPr lang="en-AU"/>
        </a:p>
      </dgm:t>
    </dgm:pt>
    <dgm:pt modelId="{C798C620-3CD3-4053-B097-573C152806BE}" type="sibTrans" cxnId="{80AB38C2-FCBC-4318-9488-B6BEE4115D98}">
      <dgm:prSet/>
      <dgm:spPr/>
      <dgm:t>
        <a:bodyPr/>
        <a:lstStyle/>
        <a:p>
          <a:endParaRPr lang="en-AU"/>
        </a:p>
      </dgm:t>
    </dgm:pt>
    <dgm:pt modelId="{E83AC2C6-A87A-4A8E-B4AF-CBCCA2ABD049}">
      <dgm:prSet/>
      <dgm:spPr>
        <a:xfrm>
          <a:off x="1335836" y="379987"/>
          <a:ext cx="1481435" cy="592574"/>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Practice changes: Better management, conduct and use of evaluations  in policy development and implementation across Government</a:t>
          </a:r>
        </a:p>
      </dgm:t>
    </dgm:pt>
    <dgm:pt modelId="{CA4A2E6B-D158-464D-8DC6-7AF841C82967}" type="parTrans" cxnId="{EFC6074F-E780-4C9C-8CCA-22D54FCD810D}">
      <dgm:prSet/>
      <dgm:spPr/>
      <dgm:t>
        <a:bodyPr/>
        <a:lstStyle/>
        <a:p>
          <a:endParaRPr lang="en-AU"/>
        </a:p>
      </dgm:t>
    </dgm:pt>
    <dgm:pt modelId="{41277363-7EBC-4AAA-9801-168E3A2A901F}" type="sibTrans" cxnId="{EFC6074F-E780-4C9C-8CCA-22D54FCD810D}">
      <dgm:prSet/>
      <dgm:spPr/>
      <dgm:t>
        <a:bodyPr/>
        <a:lstStyle/>
        <a:p>
          <a:endParaRPr lang="en-AU"/>
        </a:p>
      </dgm:t>
    </dgm:pt>
    <dgm:pt modelId="{48BE74CF-D924-46C8-B3D3-11B9CC319D7C}" type="pres">
      <dgm:prSet presAssocID="{AF3A7D45-A66C-4718-A651-C95E0284F52A}" presName="Name0" presStyleCnt="0">
        <dgm:presLayoutVars>
          <dgm:dir/>
          <dgm:animLvl val="lvl"/>
          <dgm:resizeHandles val="exact"/>
        </dgm:presLayoutVars>
      </dgm:prSet>
      <dgm:spPr/>
    </dgm:pt>
    <dgm:pt modelId="{5FE601D5-2A60-4D9F-A6BD-2B6317EBC818}" type="pres">
      <dgm:prSet presAssocID="{95766BCA-4B21-41C0-9778-DCE6EAC17031}" presName="parTxOnly" presStyleLbl="node1" presStyleIdx="0" presStyleCnt="4">
        <dgm:presLayoutVars>
          <dgm:chMax val="0"/>
          <dgm:chPref val="0"/>
          <dgm:bulletEnabled val="1"/>
        </dgm:presLayoutVars>
      </dgm:prSet>
      <dgm:spPr/>
      <dgm:t>
        <a:bodyPr/>
        <a:lstStyle/>
        <a:p>
          <a:endParaRPr lang="en-AU"/>
        </a:p>
      </dgm:t>
    </dgm:pt>
    <dgm:pt modelId="{93D09755-6F06-488C-868E-C0511B30F640}" type="pres">
      <dgm:prSet presAssocID="{7F89498B-8ED4-4783-869B-F5E9A6F4F1AE}" presName="parTxOnlySpace" presStyleCnt="0"/>
      <dgm:spPr/>
    </dgm:pt>
    <dgm:pt modelId="{23A1B876-5E96-4BA8-B1A3-13CAA6D97A82}" type="pres">
      <dgm:prSet presAssocID="{E83AC2C6-A87A-4A8E-B4AF-CBCCA2ABD049}" presName="parTxOnly" presStyleLbl="node1" presStyleIdx="1" presStyleCnt="4">
        <dgm:presLayoutVars>
          <dgm:chMax val="0"/>
          <dgm:chPref val="0"/>
          <dgm:bulletEnabled val="1"/>
        </dgm:presLayoutVars>
      </dgm:prSet>
      <dgm:spPr/>
      <dgm:t>
        <a:bodyPr/>
        <a:lstStyle/>
        <a:p>
          <a:endParaRPr lang="en-AU"/>
        </a:p>
      </dgm:t>
    </dgm:pt>
    <dgm:pt modelId="{AA1846B3-E1B3-478B-806E-26F3E9FFAA71}" type="pres">
      <dgm:prSet presAssocID="{41277363-7EBC-4AAA-9801-168E3A2A901F}" presName="parTxOnlySpace" presStyleCnt="0"/>
      <dgm:spPr/>
    </dgm:pt>
    <dgm:pt modelId="{A4B28EB0-1B3C-4E8D-9F7C-3472E9DA224B}" type="pres">
      <dgm:prSet presAssocID="{9320D34B-264C-4665-A7B0-F56E1BDDA22C}" presName="parTxOnly" presStyleLbl="node1" presStyleIdx="2" presStyleCnt="4">
        <dgm:presLayoutVars>
          <dgm:chMax val="0"/>
          <dgm:chPref val="0"/>
          <dgm:bulletEnabled val="1"/>
        </dgm:presLayoutVars>
      </dgm:prSet>
      <dgm:spPr/>
      <dgm:t>
        <a:bodyPr/>
        <a:lstStyle/>
        <a:p>
          <a:endParaRPr lang="en-AU"/>
        </a:p>
      </dgm:t>
    </dgm:pt>
    <dgm:pt modelId="{77959FC0-E81A-4240-A735-5D8D45909D58}" type="pres">
      <dgm:prSet presAssocID="{994D2274-C34A-4EF4-BBDA-0C1362CCAD14}" presName="parTxOnlySpace" presStyleCnt="0"/>
      <dgm:spPr/>
    </dgm:pt>
    <dgm:pt modelId="{0F45C82C-1DEA-4F14-A3CF-A05FC4A27360}" type="pres">
      <dgm:prSet presAssocID="{6A6617B2-C84C-4E03-9CBB-228E55844D0E}" presName="parTxOnly" presStyleLbl="node1" presStyleIdx="3" presStyleCnt="4">
        <dgm:presLayoutVars>
          <dgm:chMax val="0"/>
          <dgm:chPref val="0"/>
          <dgm:bulletEnabled val="1"/>
        </dgm:presLayoutVars>
      </dgm:prSet>
      <dgm:spPr/>
      <dgm:t>
        <a:bodyPr/>
        <a:lstStyle/>
        <a:p>
          <a:endParaRPr lang="en-AU"/>
        </a:p>
      </dgm:t>
    </dgm:pt>
  </dgm:ptLst>
  <dgm:cxnLst>
    <dgm:cxn modelId="{02EE0E1A-EF45-4DA7-871F-FC6331FB67DE}" srcId="{AF3A7D45-A66C-4718-A651-C95E0284F52A}" destId="{95766BCA-4B21-41C0-9778-DCE6EAC17031}" srcOrd="0" destOrd="0" parTransId="{BA49B49B-18E1-4310-863F-FE8F847B2DDF}" sibTransId="{7F89498B-8ED4-4783-869B-F5E9A6F4F1AE}"/>
    <dgm:cxn modelId="{EFC6074F-E780-4C9C-8CCA-22D54FCD810D}" srcId="{AF3A7D45-A66C-4718-A651-C95E0284F52A}" destId="{E83AC2C6-A87A-4A8E-B4AF-CBCCA2ABD049}" srcOrd="1" destOrd="0" parTransId="{CA4A2E6B-D158-464D-8DC6-7AF841C82967}" sibTransId="{41277363-7EBC-4AAA-9801-168E3A2A901F}"/>
    <dgm:cxn modelId="{CD9EC464-DC57-4D48-BC34-9CFE6453612E}" type="presOf" srcId="{6A6617B2-C84C-4E03-9CBB-228E55844D0E}" destId="{0F45C82C-1DEA-4F14-A3CF-A05FC4A27360}" srcOrd="0" destOrd="0" presId="urn:microsoft.com/office/officeart/2005/8/layout/chevron1"/>
    <dgm:cxn modelId="{3D487D91-9BDD-48C9-BCF5-5E958DD0D612}" type="presOf" srcId="{95766BCA-4B21-41C0-9778-DCE6EAC17031}" destId="{5FE601D5-2A60-4D9F-A6BD-2B6317EBC818}" srcOrd="0" destOrd="0" presId="urn:microsoft.com/office/officeart/2005/8/layout/chevron1"/>
    <dgm:cxn modelId="{80AB38C2-FCBC-4318-9488-B6BEE4115D98}" srcId="{AF3A7D45-A66C-4718-A651-C95E0284F52A}" destId="{6A6617B2-C84C-4E03-9CBB-228E55844D0E}" srcOrd="3" destOrd="0" parTransId="{04C9F6F9-95BC-444E-8E86-DF18F4CBF7F7}" sibTransId="{C798C620-3CD3-4053-B097-573C152806BE}"/>
    <dgm:cxn modelId="{E1CCDD52-BD51-4362-8A10-8273F47593C3}" type="presOf" srcId="{9320D34B-264C-4665-A7B0-F56E1BDDA22C}" destId="{A4B28EB0-1B3C-4E8D-9F7C-3472E9DA224B}" srcOrd="0" destOrd="0" presId="urn:microsoft.com/office/officeart/2005/8/layout/chevron1"/>
    <dgm:cxn modelId="{A6ED1E3F-6ACE-4242-B123-2F7DAAA93581}" type="presOf" srcId="{E83AC2C6-A87A-4A8E-B4AF-CBCCA2ABD049}" destId="{23A1B876-5E96-4BA8-B1A3-13CAA6D97A82}" srcOrd="0" destOrd="0" presId="urn:microsoft.com/office/officeart/2005/8/layout/chevron1"/>
    <dgm:cxn modelId="{303F3756-4F45-4A47-BD2F-F224FCE08731}" srcId="{AF3A7D45-A66C-4718-A651-C95E0284F52A}" destId="{9320D34B-264C-4665-A7B0-F56E1BDDA22C}" srcOrd="2" destOrd="0" parTransId="{C5280117-2946-428A-81E4-0AAB3126A803}" sibTransId="{994D2274-C34A-4EF4-BBDA-0C1362CCAD14}"/>
    <dgm:cxn modelId="{8BC1D50C-E62E-4DD0-AAD6-3E93F25D6E74}" type="presOf" srcId="{AF3A7D45-A66C-4718-A651-C95E0284F52A}" destId="{48BE74CF-D924-46C8-B3D3-11B9CC319D7C}" srcOrd="0" destOrd="0" presId="urn:microsoft.com/office/officeart/2005/8/layout/chevron1"/>
    <dgm:cxn modelId="{EC08322A-F8B9-4606-AE3E-BB9BE2116251}" type="presParOf" srcId="{48BE74CF-D924-46C8-B3D3-11B9CC319D7C}" destId="{5FE601D5-2A60-4D9F-A6BD-2B6317EBC818}" srcOrd="0" destOrd="0" presId="urn:microsoft.com/office/officeart/2005/8/layout/chevron1"/>
    <dgm:cxn modelId="{187385D2-0B2B-45C6-8806-36409F4F867D}" type="presParOf" srcId="{48BE74CF-D924-46C8-B3D3-11B9CC319D7C}" destId="{93D09755-6F06-488C-868E-C0511B30F640}" srcOrd="1" destOrd="0" presId="urn:microsoft.com/office/officeart/2005/8/layout/chevron1"/>
    <dgm:cxn modelId="{24402809-4C70-4C54-AE68-209DBA84146E}" type="presParOf" srcId="{48BE74CF-D924-46C8-B3D3-11B9CC319D7C}" destId="{23A1B876-5E96-4BA8-B1A3-13CAA6D97A82}" srcOrd="2" destOrd="0" presId="urn:microsoft.com/office/officeart/2005/8/layout/chevron1"/>
    <dgm:cxn modelId="{92802521-E49A-41D8-A2BC-2A4BAD4CB29C}" type="presParOf" srcId="{48BE74CF-D924-46C8-B3D3-11B9CC319D7C}" destId="{AA1846B3-E1B3-478B-806E-26F3E9FFAA71}" srcOrd="3" destOrd="0" presId="urn:microsoft.com/office/officeart/2005/8/layout/chevron1"/>
    <dgm:cxn modelId="{B6AB34F8-CC71-4A1A-A99D-FFD63CF20A25}" type="presParOf" srcId="{48BE74CF-D924-46C8-B3D3-11B9CC319D7C}" destId="{A4B28EB0-1B3C-4E8D-9F7C-3472E9DA224B}" srcOrd="4" destOrd="0" presId="urn:microsoft.com/office/officeart/2005/8/layout/chevron1"/>
    <dgm:cxn modelId="{7284B1EA-EE5C-4529-8AD4-A14D999DD107}" type="presParOf" srcId="{48BE74CF-D924-46C8-B3D3-11B9CC319D7C}" destId="{77959FC0-E81A-4240-A735-5D8D45909D58}" srcOrd="5" destOrd="0" presId="urn:microsoft.com/office/officeart/2005/8/layout/chevron1"/>
    <dgm:cxn modelId="{F34FF726-BA02-403B-BA73-0671AC563628}" type="presParOf" srcId="{48BE74CF-D924-46C8-B3D3-11B9CC319D7C}" destId="{0F45C82C-1DEA-4F14-A3CF-A05FC4A27360}" srcOrd="6" destOrd="0" presId="urn:microsoft.com/office/officeart/2005/8/layout/chevro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E601D5-2A60-4D9F-A6BD-2B6317EBC818}">
      <dsp:nvSpPr>
        <dsp:cNvPr id="0" name=""/>
        <dsp:cNvSpPr/>
      </dsp:nvSpPr>
      <dsp:spPr>
        <a:xfrm>
          <a:off x="2544" y="379987"/>
          <a:ext cx="1481435" cy="592574"/>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buNone/>
          </a:pPr>
          <a:r>
            <a:rPr lang="en-AU" sz="600" kern="1200">
              <a:solidFill>
                <a:sysClr val="window" lastClr="FFFFFF"/>
              </a:solidFill>
              <a:latin typeface="Calibri" panose="020F0502020204030204"/>
              <a:ea typeface="+mn-ea"/>
              <a:cs typeface="+mn-cs"/>
            </a:rPr>
            <a:t>Instrument; Indigenous Evaluation Strategy</a:t>
          </a:r>
        </a:p>
      </dsp:txBody>
      <dsp:txXfrm>
        <a:off x="298831" y="379987"/>
        <a:ext cx="888861" cy="592574"/>
      </dsp:txXfrm>
    </dsp:sp>
    <dsp:sp modelId="{23A1B876-5E96-4BA8-B1A3-13CAA6D97A82}">
      <dsp:nvSpPr>
        <dsp:cNvPr id="0" name=""/>
        <dsp:cNvSpPr/>
      </dsp:nvSpPr>
      <dsp:spPr>
        <a:xfrm>
          <a:off x="1335836" y="379987"/>
          <a:ext cx="1481435" cy="592574"/>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buNone/>
          </a:pPr>
          <a:r>
            <a:rPr lang="en-AU" sz="600" kern="1200">
              <a:solidFill>
                <a:sysClr val="window" lastClr="FFFFFF"/>
              </a:solidFill>
              <a:latin typeface="Calibri" panose="020F0502020204030204"/>
              <a:ea typeface="+mn-ea"/>
              <a:cs typeface="+mn-cs"/>
            </a:rPr>
            <a:t>Practice changes: Better management, conduct and use of evaluations  in policy development and implementation across Government</a:t>
          </a:r>
        </a:p>
      </dsp:txBody>
      <dsp:txXfrm>
        <a:off x="1632123" y="379987"/>
        <a:ext cx="888861" cy="592574"/>
      </dsp:txXfrm>
    </dsp:sp>
    <dsp:sp modelId="{A4B28EB0-1B3C-4E8D-9F7C-3472E9DA224B}">
      <dsp:nvSpPr>
        <dsp:cNvPr id="0" name=""/>
        <dsp:cNvSpPr/>
      </dsp:nvSpPr>
      <dsp:spPr>
        <a:xfrm>
          <a:off x="2669128" y="379987"/>
          <a:ext cx="1481435" cy="592574"/>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buNone/>
          </a:pPr>
          <a:r>
            <a:rPr lang="en-AU" sz="600" kern="1200">
              <a:solidFill>
                <a:sysClr val="window" lastClr="FFFFFF"/>
              </a:solidFill>
              <a:latin typeface="Calibri" panose="020F0502020204030204"/>
              <a:ea typeface="+mn-ea"/>
              <a:cs typeface="+mn-cs"/>
            </a:rPr>
            <a:t>Intermediate outcome: Better policies and programs</a:t>
          </a:r>
        </a:p>
      </dsp:txBody>
      <dsp:txXfrm>
        <a:off x="2965415" y="379987"/>
        <a:ext cx="888861" cy="592574"/>
      </dsp:txXfrm>
    </dsp:sp>
    <dsp:sp modelId="{0F45C82C-1DEA-4F14-A3CF-A05FC4A27360}">
      <dsp:nvSpPr>
        <dsp:cNvPr id="0" name=""/>
        <dsp:cNvSpPr/>
      </dsp:nvSpPr>
      <dsp:spPr>
        <a:xfrm>
          <a:off x="4002419" y="379987"/>
          <a:ext cx="1481435" cy="592574"/>
        </a:xfrm>
        <a:prstGeom prst="chevron">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lvl="0" algn="ctr" defTabSz="266700">
            <a:lnSpc>
              <a:spcPct val="90000"/>
            </a:lnSpc>
            <a:spcBef>
              <a:spcPct val="0"/>
            </a:spcBef>
            <a:spcAft>
              <a:spcPct val="35000"/>
            </a:spcAft>
            <a:buNone/>
          </a:pPr>
          <a:r>
            <a:rPr lang="en-AU" sz="600" kern="1200">
              <a:solidFill>
                <a:sysClr val="window" lastClr="FFFFFF"/>
              </a:solidFill>
              <a:latin typeface="Calibri" panose="020F0502020204030204"/>
              <a:ea typeface="+mn-ea"/>
              <a:cs typeface="+mn-cs"/>
            </a:rPr>
            <a:t>Ultimate outcome: Better lives for Aboriginal and Torres Strait Islander people</a:t>
          </a:r>
        </a:p>
      </dsp:txBody>
      <dsp:txXfrm>
        <a:off x="4298706" y="379987"/>
        <a:ext cx="888861" cy="59257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6E50D-B210-4311-B67E-64221536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DCD8B602.dotm</Template>
  <TotalTime>10</TotalTime>
  <Pages>14</Pages>
  <Words>5151</Words>
  <Characters>29362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Submission DR144 - Better Evaluation - Indigenous Evaluation Strategy - Project</vt:lpstr>
    </vt:vector>
  </TitlesOfParts>
  <Company>Better Evaluation</Company>
  <LinksUpToDate>false</LinksUpToDate>
  <CharactersWithSpaces>34445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DR144 - Better Evaluation - Indigenous Evaluation Strategy - Project</dc:title>
  <dc:subject/>
  <dc:creator>Better Evaluation</dc:creator>
  <cp:keywords/>
  <dc:description/>
  <cp:lastModifiedBy>Productivity Commission</cp:lastModifiedBy>
  <cp:revision>6</cp:revision>
  <cp:lastPrinted>2020-08-05T05:02:00Z</cp:lastPrinted>
  <dcterms:created xsi:type="dcterms:W3CDTF">2020-08-04T00:50:00Z</dcterms:created>
  <dcterms:modified xsi:type="dcterms:W3CDTF">2020-08-05T05:03:00Z</dcterms:modified>
</cp:coreProperties>
</file>