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682374" w14:textId="0C1EA23D" w:rsidR="00E26D1F" w:rsidRPr="00041595" w:rsidRDefault="00E26D1F" w:rsidP="00041595">
      <w:pPr>
        <w:pBdr>
          <w:bottom w:val="single" w:sz="4" w:space="1" w:color="auto"/>
        </w:pBdr>
        <w:jc w:val="center"/>
        <w:rPr>
          <w:b/>
          <w:bCs/>
          <w:sz w:val="32"/>
          <w:szCs w:val="32"/>
        </w:rPr>
      </w:pPr>
      <w:r w:rsidRPr="00041595">
        <w:rPr>
          <w:b/>
          <w:bCs/>
          <w:sz w:val="32"/>
          <w:szCs w:val="32"/>
        </w:rPr>
        <w:t>Water Reform 2020 comments</w:t>
      </w:r>
    </w:p>
    <w:p w14:paraId="748C1E36" w14:textId="63708B69" w:rsidR="00743426" w:rsidRPr="0036035E" w:rsidRDefault="0036035E">
      <w:pPr>
        <w:rPr>
          <w:rFonts w:cstheme="minorHAnsi"/>
        </w:rPr>
      </w:pPr>
      <w:r>
        <w:rPr>
          <w:rFonts w:cstheme="minorHAnsi"/>
        </w:rPr>
        <w:t xml:space="preserve">The current approach </w:t>
      </w:r>
      <w:r w:rsidR="003927F1">
        <w:rPr>
          <w:rFonts w:cstheme="minorHAnsi"/>
        </w:rPr>
        <w:t xml:space="preserve">in the draft reports </w:t>
      </w:r>
      <w:r>
        <w:rPr>
          <w:rFonts w:cstheme="minorHAnsi"/>
        </w:rPr>
        <w:t>is</w:t>
      </w:r>
      <w:r w:rsidR="003927F1">
        <w:rPr>
          <w:rFonts w:cstheme="minorHAnsi"/>
        </w:rPr>
        <w:t xml:space="preserve"> grossly</w:t>
      </w:r>
      <w:r>
        <w:rPr>
          <w:rFonts w:cstheme="minorHAnsi"/>
        </w:rPr>
        <w:t xml:space="preserve"> </w:t>
      </w:r>
      <w:r w:rsidR="003927F1">
        <w:rPr>
          <w:rFonts w:cstheme="minorHAnsi"/>
        </w:rPr>
        <w:t>incomplete</w:t>
      </w:r>
      <w:r>
        <w:rPr>
          <w:rFonts w:cstheme="minorHAnsi"/>
        </w:rPr>
        <w:t xml:space="preserve"> because it fails to adequately </w:t>
      </w:r>
      <w:r w:rsidR="00A35593">
        <w:rPr>
          <w:rFonts w:cstheme="minorHAnsi"/>
        </w:rPr>
        <w:t>reflect</w:t>
      </w:r>
      <w:r>
        <w:rPr>
          <w:rFonts w:cstheme="minorHAnsi"/>
        </w:rPr>
        <w:t xml:space="preserve"> the statutory definition of ‘wa</w:t>
      </w:r>
      <w:r w:rsidR="003927F1">
        <w:rPr>
          <w:rFonts w:cstheme="minorHAnsi"/>
        </w:rPr>
        <w:t xml:space="preserve">ter </w:t>
      </w:r>
      <w:proofErr w:type="gramStart"/>
      <w:r w:rsidR="003927F1">
        <w:rPr>
          <w:rFonts w:cstheme="minorHAnsi"/>
        </w:rPr>
        <w:t>resources’</w:t>
      </w:r>
      <w:proofErr w:type="gramEnd"/>
      <w:r w:rsidR="00403ACA">
        <w:rPr>
          <w:rFonts w:cstheme="minorHAnsi"/>
        </w:rPr>
        <w:t>.</w:t>
      </w:r>
    </w:p>
    <w:p w14:paraId="18413B30" w14:textId="108291E6" w:rsidR="0051022B" w:rsidRPr="00C31FBA" w:rsidRDefault="00D809DC">
      <w:pPr>
        <w:rPr>
          <w:rFonts w:cstheme="minorHAnsi"/>
        </w:rPr>
      </w:pPr>
      <w:r w:rsidRPr="00C31FBA">
        <w:rPr>
          <w:rFonts w:cstheme="minorHAnsi"/>
        </w:rPr>
        <w:t xml:space="preserve">‘Water Resources’ are </w:t>
      </w:r>
      <w:r w:rsidR="00624B14">
        <w:rPr>
          <w:rFonts w:cstheme="minorHAnsi"/>
        </w:rPr>
        <w:t xml:space="preserve">explicitly </w:t>
      </w:r>
      <w:r w:rsidRPr="00C31FBA">
        <w:rPr>
          <w:rFonts w:cstheme="minorHAnsi"/>
        </w:rPr>
        <w:t>defined in the</w:t>
      </w:r>
      <w:r w:rsidR="00C45B9E" w:rsidRPr="00C31FBA">
        <w:rPr>
          <w:rFonts w:cstheme="minorHAnsi"/>
        </w:rPr>
        <w:t xml:space="preserve"> Commonwealth</w:t>
      </w:r>
      <w:r w:rsidRPr="00C31FBA">
        <w:rPr>
          <w:rFonts w:cstheme="minorHAnsi"/>
        </w:rPr>
        <w:t xml:space="preserve"> </w:t>
      </w:r>
      <w:r w:rsidR="0051022B" w:rsidRPr="00C31FBA">
        <w:rPr>
          <w:rFonts w:cstheme="minorHAnsi"/>
          <w:b/>
          <w:bCs/>
        </w:rPr>
        <w:t>Water Act</w:t>
      </w:r>
      <w:r w:rsidRPr="00C31FBA">
        <w:rPr>
          <w:rFonts w:cstheme="minorHAnsi"/>
          <w:b/>
          <w:bCs/>
        </w:rPr>
        <w:t xml:space="preserve"> (2007)</w:t>
      </w:r>
      <w:r w:rsidRPr="00C31FBA">
        <w:rPr>
          <w:rFonts w:cstheme="minorHAnsi"/>
        </w:rPr>
        <w:t xml:space="preserve"> as follows</w:t>
      </w:r>
      <w:r w:rsidR="0051022B" w:rsidRPr="00C31FBA">
        <w:rPr>
          <w:rFonts w:cstheme="minorHAnsi"/>
        </w:rPr>
        <w:t>:</w:t>
      </w:r>
    </w:p>
    <w:p w14:paraId="5357B7C3" w14:textId="77777777" w:rsidR="0051022B" w:rsidRPr="00C31FBA" w:rsidRDefault="0051022B" w:rsidP="00D01A07">
      <w:pPr>
        <w:pStyle w:val="definition"/>
        <w:shd w:val="clear" w:color="auto" w:fill="FFFFFF"/>
        <w:spacing w:before="180" w:beforeAutospacing="0" w:after="0" w:afterAutospacing="0"/>
        <w:ind w:left="720"/>
        <w:rPr>
          <w:rFonts w:asciiTheme="minorHAnsi" w:hAnsiTheme="minorHAnsi" w:cstheme="minorHAnsi"/>
          <w:color w:val="000000"/>
          <w:sz w:val="22"/>
          <w:szCs w:val="22"/>
        </w:rPr>
      </w:pPr>
      <w:r w:rsidRPr="00C31FB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n-AU"/>
        </w:rPr>
        <w:t>water resource</w:t>
      </w:r>
      <w:r w:rsidRPr="00C31FBA">
        <w:rPr>
          <w:rFonts w:asciiTheme="minorHAnsi" w:hAnsiTheme="minorHAnsi" w:cstheme="minorHAnsi"/>
          <w:color w:val="000000"/>
          <w:sz w:val="22"/>
          <w:szCs w:val="22"/>
          <w:lang w:val="en-AU"/>
        </w:rPr>
        <w:t> means:</w:t>
      </w:r>
    </w:p>
    <w:p w14:paraId="67318D14" w14:textId="77777777" w:rsidR="0051022B" w:rsidRPr="00C31FBA" w:rsidRDefault="0051022B" w:rsidP="0051022B">
      <w:pPr>
        <w:pStyle w:val="paragraph"/>
        <w:shd w:val="clear" w:color="auto" w:fill="FFFFFF"/>
        <w:spacing w:before="40" w:beforeAutospacing="0" w:after="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</w:rPr>
      </w:pPr>
      <w:r w:rsidRPr="00C31FBA">
        <w:rPr>
          <w:rFonts w:asciiTheme="minorHAnsi" w:hAnsiTheme="minorHAnsi" w:cstheme="minorHAnsi"/>
          <w:color w:val="000000"/>
          <w:sz w:val="22"/>
          <w:szCs w:val="22"/>
          <w:lang w:val="en-AU"/>
        </w:rPr>
        <w:t>                     (a)  surface water or ground water; or</w:t>
      </w:r>
    </w:p>
    <w:p w14:paraId="72FE1EEA" w14:textId="77777777" w:rsidR="0051022B" w:rsidRPr="00C31FBA" w:rsidRDefault="0051022B" w:rsidP="0051022B">
      <w:pPr>
        <w:pStyle w:val="paragraph"/>
        <w:shd w:val="clear" w:color="auto" w:fill="FFFFFF"/>
        <w:spacing w:before="40" w:beforeAutospacing="0" w:after="0" w:afterAutospacing="0"/>
        <w:ind w:left="1644" w:hanging="1644"/>
        <w:rPr>
          <w:rFonts w:asciiTheme="minorHAnsi" w:hAnsiTheme="minorHAnsi" w:cstheme="minorHAnsi"/>
          <w:color w:val="000000"/>
          <w:sz w:val="22"/>
          <w:szCs w:val="22"/>
        </w:rPr>
      </w:pPr>
      <w:r w:rsidRPr="00C31FBA">
        <w:rPr>
          <w:rFonts w:asciiTheme="minorHAnsi" w:hAnsiTheme="minorHAnsi" w:cstheme="minorHAnsi"/>
          <w:color w:val="000000"/>
          <w:sz w:val="22"/>
          <w:szCs w:val="22"/>
          <w:lang w:val="en-AU"/>
        </w:rPr>
        <w:t>                     (b)  a watercourse, lake, wetland or aquifer (whether or not it currently has water in it</w:t>
      </w:r>
      <w:proofErr w:type="gramStart"/>
      <w:r w:rsidRPr="00C31FBA">
        <w:rPr>
          <w:rFonts w:asciiTheme="minorHAnsi" w:hAnsiTheme="minorHAnsi" w:cstheme="minorHAnsi"/>
          <w:color w:val="000000"/>
          <w:sz w:val="22"/>
          <w:szCs w:val="22"/>
          <w:lang w:val="en-AU"/>
        </w:rPr>
        <w:t>);</w:t>
      </w:r>
      <w:proofErr w:type="gramEnd"/>
    </w:p>
    <w:p w14:paraId="19F4F15E" w14:textId="5BE15085" w:rsidR="0051022B" w:rsidRPr="00C31FBA" w:rsidRDefault="0051022B" w:rsidP="0051022B">
      <w:pPr>
        <w:pStyle w:val="subsection2"/>
        <w:shd w:val="clear" w:color="auto" w:fill="FFFFFF"/>
        <w:spacing w:before="40" w:beforeAutospacing="0" w:after="0" w:afterAutospacing="0"/>
        <w:ind w:left="1134"/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</w:pPr>
      <w:r w:rsidRPr="00C31FBA">
        <w:rPr>
          <w:rFonts w:asciiTheme="minorHAnsi" w:hAnsiTheme="minorHAnsi" w:cstheme="minorHAnsi"/>
          <w:b/>
          <w:bCs/>
          <w:color w:val="000000"/>
          <w:sz w:val="22"/>
          <w:szCs w:val="22"/>
          <w:lang w:val="en-AU"/>
        </w:rPr>
        <w:t>and includes all aspects of the water resource (including water, organisms and other components and ecosystems that contribute to the physical state and environmental value of the water resource).</w:t>
      </w:r>
    </w:p>
    <w:p w14:paraId="6DDADEF9" w14:textId="77777777" w:rsidR="00C45B9E" w:rsidRPr="00C31FBA" w:rsidRDefault="00C45B9E" w:rsidP="0051022B">
      <w:pPr>
        <w:pStyle w:val="subsection2"/>
        <w:shd w:val="clear" w:color="auto" w:fill="FFFFFF"/>
        <w:spacing w:before="40" w:beforeAutospacing="0" w:after="0" w:afterAutospacing="0"/>
        <w:ind w:left="1134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639062F9" w14:textId="75AE53ED" w:rsidR="00041595" w:rsidRDefault="00C45B9E" w:rsidP="0010564F">
      <w:pPr>
        <w:rPr>
          <w:rFonts w:cstheme="minorHAnsi"/>
        </w:rPr>
      </w:pPr>
      <w:r w:rsidRPr="00C31FBA">
        <w:rPr>
          <w:rFonts w:cstheme="minorHAnsi"/>
        </w:rPr>
        <w:t xml:space="preserve">Thus, any proper </w:t>
      </w:r>
      <w:r w:rsidR="00872852">
        <w:rPr>
          <w:rFonts w:cstheme="minorHAnsi"/>
        </w:rPr>
        <w:t xml:space="preserve">strategic </w:t>
      </w:r>
      <w:r w:rsidRPr="00C31FBA">
        <w:rPr>
          <w:rFonts w:cstheme="minorHAnsi"/>
        </w:rPr>
        <w:t xml:space="preserve">consideration of </w:t>
      </w:r>
      <w:r w:rsidR="0035446D" w:rsidRPr="00C31FBA">
        <w:rPr>
          <w:rFonts w:cstheme="minorHAnsi"/>
        </w:rPr>
        <w:t>managing the water resource</w:t>
      </w:r>
      <w:r w:rsidR="00DC40F4" w:rsidRPr="00C31FBA">
        <w:rPr>
          <w:rFonts w:cstheme="minorHAnsi"/>
        </w:rPr>
        <w:t xml:space="preserve"> is broader than just managing the quantity of water</w:t>
      </w:r>
      <w:r w:rsidR="009B3A77" w:rsidRPr="00C31FBA">
        <w:rPr>
          <w:rFonts w:cstheme="minorHAnsi"/>
        </w:rPr>
        <w:t>,</w:t>
      </w:r>
      <w:r w:rsidR="005609B7" w:rsidRPr="00C31FBA">
        <w:rPr>
          <w:rFonts w:cstheme="minorHAnsi"/>
        </w:rPr>
        <w:t xml:space="preserve"> but also</w:t>
      </w:r>
      <w:r w:rsidR="0035446D" w:rsidRPr="00C31FBA">
        <w:rPr>
          <w:rFonts w:cstheme="minorHAnsi"/>
        </w:rPr>
        <w:t xml:space="preserve"> encompasses</w:t>
      </w:r>
      <w:r w:rsidR="005609B7" w:rsidRPr="00C31FBA">
        <w:rPr>
          <w:rFonts w:cstheme="minorHAnsi"/>
        </w:rPr>
        <w:t xml:space="preserve"> managing the habitat and water quality, managing the </w:t>
      </w:r>
      <w:r w:rsidR="00041595" w:rsidRPr="00C31FBA">
        <w:rPr>
          <w:rFonts w:cstheme="minorHAnsi"/>
        </w:rPr>
        <w:t>aquatic organisms</w:t>
      </w:r>
      <w:r w:rsidR="0010564F">
        <w:rPr>
          <w:rFonts w:cstheme="minorHAnsi"/>
        </w:rPr>
        <w:t xml:space="preserve">; </w:t>
      </w:r>
      <w:r w:rsidR="00B975BD">
        <w:rPr>
          <w:rFonts w:cstheme="minorHAnsi"/>
        </w:rPr>
        <w:t>m</w:t>
      </w:r>
      <w:r w:rsidR="00421D53" w:rsidRPr="00C31FBA">
        <w:rPr>
          <w:rFonts w:cstheme="minorHAnsi"/>
        </w:rPr>
        <w:t xml:space="preserve">anaging the waterway is </w:t>
      </w:r>
      <w:r w:rsidR="00421D53" w:rsidRPr="00B975BD">
        <w:rPr>
          <w:rFonts w:cstheme="minorHAnsi"/>
          <w:b/>
          <w:bCs/>
        </w:rPr>
        <w:t>not</w:t>
      </w:r>
      <w:r w:rsidR="00421D53" w:rsidRPr="00C31FBA">
        <w:rPr>
          <w:rFonts w:cstheme="minorHAnsi"/>
        </w:rPr>
        <w:t xml:space="preserve"> a </w:t>
      </w:r>
      <w:r w:rsidR="00C31FBA">
        <w:rPr>
          <w:rFonts w:cstheme="minorHAnsi"/>
        </w:rPr>
        <w:t>‘</w:t>
      </w:r>
      <w:r w:rsidR="00421D53" w:rsidRPr="00C31FBA">
        <w:rPr>
          <w:rFonts w:cstheme="minorHAnsi"/>
        </w:rPr>
        <w:t>complementary activity</w:t>
      </w:r>
      <w:r w:rsidR="00C31FBA">
        <w:rPr>
          <w:rFonts w:cstheme="minorHAnsi"/>
        </w:rPr>
        <w:t>’</w:t>
      </w:r>
      <w:r w:rsidR="00421D53" w:rsidRPr="00C31FBA">
        <w:rPr>
          <w:rFonts w:cstheme="minorHAnsi"/>
        </w:rPr>
        <w:t>, but an inherent part of managing th</w:t>
      </w:r>
      <w:r w:rsidR="00B955FE" w:rsidRPr="00C31FBA">
        <w:rPr>
          <w:rFonts w:cstheme="minorHAnsi"/>
        </w:rPr>
        <w:t>e water resource</w:t>
      </w:r>
      <w:r w:rsidR="00C31FBA">
        <w:rPr>
          <w:rFonts w:cstheme="minorHAnsi"/>
        </w:rPr>
        <w:t xml:space="preserve"> and </w:t>
      </w:r>
      <w:r w:rsidR="00F53620">
        <w:rPr>
          <w:rFonts w:cstheme="minorHAnsi"/>
        </w:rPr>
        <w:t xml:space="preserve">this </w:t>
      </w:r>
      <w:r w:rsidR="00C31FBA">
        <w:rPr>
          <w:rFonts w:cstheme="minorHAnsi"/>
        </w:rPr>
        <w:t xml:space="preserve">should be articulated in </w:t>
      </w:r>
      <w:r w:rsidR="00F53620">
        <w:rPr>
          <w:rFonts w:cstheme="minorHAnsi"/>
        </w:rPr>
        <w:t xml:space="preserve">detail in </w:t>
      </w:r>
      <w:r w:rsidR="00C31FBA">
        <w:rPr>
          <w:rFonts w:cstheme="minorHAnsi"/>
        </w:rPr>
        <w:t>a revised NWI</w:t>
      </w:r>
      <w:r w:rsidR="00B955FE" w:rsidRPr="00C31FBA">
        <w:rPr>
          <w:rFonts w:cstheme="minorHAnsi"/>
        </w:rPr>
        <w:t>.</w:t>
      </w:r>
    </w:p>
    <w:p w14:paraId="2FC6275F" w14:textId="3DDC4E3D" w:rsidR="00490F4C" w:rsidRPr="00C31FBA" w:rsidRDefault="00490F4C" w:rsidP="00421D53">
      <w:pPr>
        <w:pStyle w:val="RecBullet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This concept supports part of the submission by the Wentworth Group of Scientists</w:t>
      </w:r>
      <w:r w:rsidR="001E3596">
        <w:rPr>
          <w:rFonts w:asciiTheme="minorHAnsi" w:hAnsiTheme="minorHAnsi" w:cstheme="minorHAnsi"/>
        </w:rPr>
        <w:t>:</w:t>
      </w:r>
    </w:p>
    <w:p w14:paraId="7800E390" w14:textId="5526FF00" w:rsidR="00F01CC1" w:rsidRPr="00C31FBA" w:rsidRDefault="00F01CC1" w:rsidP="00421D53">
      <w:pPr>
        <w:pStyle w:val="RecBullet"/>
        <w:numPr>
          <w:ilvl w:val="0"/>
          <w:numId w:val="0"/>
        </w:numPr>
        <w:jc w:val="left"/>
        <w:rPr>
          <w:rFonts w:asciiTheme="minorHAnsi" w:hAnsiTheme="minorHAnsi" w:cstheme="minorHAnsi"/>
        </w:rPr>
      </w:pPr>
    </w:p>
    <w:p w14:paraId="4089F7C6" w14:textId="5B0458CE" w:rsidR="00F01CC1" w:rsidRDefault="00F01CC1" w:rsidP="00D01A07">
      <w:pPr>
        <w:pStyle w:val="BodyText"/>
        <w:ind w:left="720"/>
      </w:pPr>
      <w:r>
        <w:t>‘</w:t>
      </w:r>
      <w:r w:rsidRPr="001E3596">
        <w:rPr>
          <w:i/>
          <w:iCs/>
        </w:rPr>
        <w:t xml:space="preserve">Greater investment is needed in non-volumetric freshwater ecosystem conservation measures that will increase resilience of biodiversity under a changing climate. The NWI should include provisions for such measures </w:t>
      </w:r>
      <w:proofErr w:type="gramStart"/>
      <w:r w:rsidRPr="001E3596">
        <w:rPr>
          <w:i/>
          <w:iCs/>
        </w:rPr>
        <w:t>including:</w:t>
      </w:r>
      <w:proofErr w:type="gramEnd"/>
      <w:r w:rsidRPr="001E3596">
        <w:rPr>
          <w:i/>
          <w:iCs/>
        </w:rPr>
        <w:t xml:space="preserve"> restoration of indigenous vegetation along riparian corridors, removal of redundant infrastructure, removal of structures which reduce connectivity on floodplains where possible, provision of fish passage, and thermal pollution control devices. </w:t>
      </w:r>
      <w:r w:rsidR="00936638" w:rsidRPr="001E3596">
        <w:rPr>
          <w:i/>
          <w:iCs/>
        </w:rPr>
        <w:t>…</w:t>
      </w:r>
      <w:r w:rsidRPr="001E3596">
        <w:rPr>
          <w:i/>
          <w:iCs/>
        </w:rPr>
        <w:t>.</w:t>
      </w:r>
      <w:r w:rsidR="00936638">
        <w:t>’</w:t>
      </w:r>
    </w:p>
    <w:p w14:paraId="07F34352" w14:textId="77777777" w:rsidR="00F01CC1" w:rsidRPr="00041595" w:rsidRDefault="00F01CC1" w:rsidP="00F01CC1">
      <w:pPr>
        <w:pStyle w:val="BodyText"/>
        <w:jc w:val="right"/>
        <w:rPr>
          <w:lang w:val="en-AU" w:eastAsia="en-AU"/>
        </w:rPr>
      </w:pPr>
      <w:r>
        <w:t>(Wentworth Group of Scientists submission)</w:t>
      </w:r>
    </w:p>
    <w:p w14:paraId="1A6A52D8" w14:textId="560630ED" w:rsidR="00F01CC1" w:rsidRDefault="003E5105" w:rsidP="00F01CC1">
      <w:pPr>
        <w:pStyle w:val="BodyText"/>
        <w:rPr>
          <w:lang w:val="en-AU" w:eastAsia="en-AU"/>
        </w:rPr>
      </w:pPr>
      <w:r>
        <w:rPr>
          <w:lang w:val="en-AU" w:eastAsia="en-AU"/>
        </w:rPr>
        <w:t xml:space="preserve">Many of the activities </w:t>
      </w:r>
      <w:r w:rsidRPr="00B36AD8">
        <w:rPr>
          <w:u w:val="single"/>
          <w:lang w:val="en-AU" w:eastAsia="en-AU"/>
        </w:rPr>
        <w:t>necessary</w:t>
      </w:r>
      <w:r>
        <w:rPr>
          <w:lang w:val="en-AU" w:eastAsia="en-AU"/>
        </w:rPr>
        <w:t xml:space="preserve"> to manage, for example, </w:t>
      </w:r>
      <w:r w:rsidR="008455CF">
        <w:rPr>
          <w:lang w:val="en-AU" w:eastAsia="en-AU"/>
        </w:rPr>
        <w:t xml:space="preserve">aquatic organisms will go beyond volumetric matters, </w:t>
      </w:r>
      <w:r w:rsidR="00A47F53">
        <w:rPr>
          <w:lang w:val="en-AU" w:eastAsia="en-AU"/>
        </w:rPr>
        <w:t xml:space="preserve">and </w:t>
      </w:r>
      <w:r w:rsidR="00A14459">
        <w:rPr>
          <w:lang w:val="en-AU" w:eastAsia="en-AU"/>
        </w:rPr>
        <w:t>c</w:t>
      </w:r>
      <w:r w:rsidR="00A47F53">
        <w:rPr>
          <w:lang w:val="en-AU" w:eastAsia="en-AU"/>
        </w:rPr>
        <w:t>ould likely</w:t>
      </w:r>
      <w:r w:rsidR="008455CF">
        <w:rPr>
          <w:lang w:val="en-AU" w:eastAsia="en-AU"/>
        </w:rPr>
        <w:t xml:space="preserve"> consider</w:t>
      </w:r>
      <w:r w:rsidR="00A47F53">
        <w:rPr>
          <w:lang w:val="en-AU" w:eastAsia="en-AU"/>
        </w:rPr>
        <w:t xml:space="preserve"> pest species, habitat protection, over-fishing</w:t>
      </w:r>
      <w:r w:rsidR="00EA08DD">
        <w:rPr>
          <w:lang w:val="en-AU" w:eastAsia="en-AU"/>
        </w:rPr>
        <w:t>, water quality, inter-Basin transfer (</w:t>
      </w:r>
      <w:proofErr w:type="spellStart"/>
      <w:proofErr w:type="gramStart"/>
      <w:r w:rsidR="00EA08DD">
        <w:rPr>
          <w:lang w:val="en-AU" w:eastAsia="en-AU"/>
        </w:rPr>
        <w:t>eg</w:t>
      </w:r>
      <w:proofErr w:type="spellEnd"/>
      <w:proofErr w:type="gramEnd"/>
      <w:r w:rsidR="00EA08DD">
        <w:rPr>
          <w:lang w:val="en-AU" w:eastAsia="en-AU"/>
        </w:rPr>
        <w:t xml:space="preserve"> from the Snowy system), etc.</w:t>
      </w:r>
    </w:p>
    <w:p w14:paraId="0365A1DE" w14:textId="5F4CD4E0" w:rsidR="00C67273" w:rsidRPr="00FF3249" w:rsidRDefault="00641823" w:rsidP="00F01CC1">
      <w:pPr>
        <w:pStyle w:val="BodyText"/>
        <w:rPr>
          <w:lang w:val="en-AU" w:eastAsia="en-AU"/>
        </w:rPr>
      </w:pPr>
      <w:r>
        <w:rPr>
          <w:lang w:val="en-AU" w:eastAsia="en-AU"/>
        </w:rPr>
        <w:t>Despite the above, the current draft report</w:t>
      </w:r>
      <w:r w:rsidR="002F5563">
        <w:rPr>
          <w:lang w:val="en-AU" w:eastAsia="en-AU"/>
        </w:rPr>
        <w:t>s</w:t>
      </w:r>
      <w:r>
        <w:rPr>
          <w:lang w:val="en-AU" w:eastAsia="en-AU"/>
        </w:rPr>
        <w:t xml:space="preserve"> ha</w:t>
      </w:r>
      <w:r w:rsidR="002F5563">
        <w:rPr>
          <w:lang w:val="en-AU" w:eastAsia="en-AU"/>
        </w:rPr>
        <w:t>ve</w:t>
      </w:r>
      <w:r>
        <w:rPr>
          <w:lang w:val="en-AU" w:eastAsia="en-AU"/>
        </w:rPr>
        <w:t xml:space="preserve"> some </w:t>
      </w:r>
      <w:r w:rsidR="00F22F09">
        <w:rPr>
          <w:lang w:val="en-AU" w:eastAsia="en-AU"/>
        </w:rPr>
        <w:t xml:space="preserve">limited </w:t>
      </w:r>
      <w:r>
        <w:rPr>
          <w:lang w:val="en-AU" w:eastAsia="en-AU"/>
        </w:rPr>
        <w:t xml:space="preserve">recognition of the need </w:t>
      </w:r>
      <w:r w:rsidR="00F22F09">
        <w:rPr>
          <w:lang w:val="en-AU" w:eastAsia="en-AU"/>
        </w:rPr>
        <w:t>of water planning processes to better</w:t>
      </w:r>
      <w:r>
        <w:rPr>
          <w:lang w:val="en-AU" w:eastAsia="en-AU"/>
        </w:rPr>
        <w:t xml:space="preserve"> deal with </w:t>
      </w:r>
      <w:r w:rsidRPr="00063F5D">
        <w:rPr>
          <w:u w:val="single"/>
          <w:lang w:val="en-AU" w:eastAsia="en-AU"/>
        </w:rPr>
        <w:t>water quality</w:t>
      </w:r>
      <w:r>
        <w:rPr>
          <w:lang w:val="en-AU" w:eastAsia="en-AU"/>
        </w:rPr>
        <w:t xml:space="preserve"> matters</w:t>
      </w:r>
      <w:r w:rsidR="00F22F09">
        <w:rPr>
          <w:lang w:val="en-AU" w:eastAsia="en-AU"/>
        </w:rPr>
        <w:t>.</w:t>
      </w:r>
    </w:p>
    <w:p w14:paraId="2E8B6D1C" w14:textId="4718DB92" w:rsidR="003B52FE" w:rsidRPr="00023AC2" w:rsidRDefault="00F01CC1" w:rsidP="00743426">
      <w:pPr>
        <w:pStyle w:val="RecBullet"/>
        <w:numPr>
          <w:ilvl w:val="0"/>
          <w:numId w:val="0"/>
        </w:numPr>
        <w:ind w:left="340"/>
        <w:jc w:val="right"/>
        <w:rPr>
          <w:rFonts w:asciiTheme="minorHAnsi" w:hAnsiTheme="minorHAnsi"/>
        </w:rPr>
      </w:pPr>
      <w:r w:rsidRPr="00023AC2">
        <w:rPr>
          <w:rFonts w:asciiTheme="minorHAnsi" w:hAnsiTheme="minorHAnsi"/>
        </w:rPr>
        <w:t xml:space="preserve"> </w:t>
      </w:r>
      <w:r w:rsidR="003C4442" w:rsidRPr="00023AC2">
        <w:rPr>
          <w:rFonts w:asciiTheme="minorHAnsi" w:hAnsiTheme="minorHAnsi"/>
        </w:rPr>
        <w:t xml:space="preserve">‘water quality issues are better incorporated into water planning, particularly in drought </w:t>
      </w:r>
      <w:proofErr w:type="gramStart"/>
      <w:r w:rsidR="003C4442" w:rsidRPr="00023AC2">
        <w:rPr>
          <w:rFonts w:asciiTheme="minorHAnsi" w:hAnsiTheme="minorHAnsi"/>
        </w:rPr>
        <w:t>scenarios’</w:t>
      </w:r>
      <w:proofErr w:type="gramEnd"/>
    </w:p>
    <w:p w14:paraId="1FAC47A2" w14:textId="5D42B569" w:rsidR="009C4A18" w:rsidRPr="00C34B7C" w:rsidRDefault="00C34B7C" w:rsidP="00743426">
      <w:pPr>
        <w:pStyle w:val="RecBullet"/>
        <w:numPr>
          <w:ilvl w:val="0"/>
          <w:numId w:val="0"/>
        </w:numPr>
        <w:ind w:left="340"/>
        <w:jc w:val="right"/>
        <w:rPr>
          <w:sz w:val="16"/>
          <w:szCs w:val="16"/>
        </w:rPr>
      </w:pPr>
      <w:r w:rsidRPr="00C34B7C">
        <w:rPr>
          <w:sz w:val="16"/>
          <w:szCs w:val="16"/>
        </w:rPr>
        <w:t xml:space="preserve">(from: </w:t>
      </w:r>
      <w:r w:rsidRPr="00C34B7C">
        <w:rPr>
          <w:i/>
          <w:iCs/>
          <w:sz w:val="16"/>
          <w:szCs w:val="16"/>
        </w:rPr>
        <w:t>Findings, recommendations and renewal advice, Water entitlements and planning</w:t>
      </w:r>
      <w:r w:rsidRPr="00C34B7C">
        <w:rPr>
          <w:sz w:val="16"/>
          <w:szCs w:val="16"/>
        </w:rPr>
        <w:t>’)</w:t>
      </w:r>
    </w:p>
    <w:p w14:paraId="5251CE23" w14:textId="4672434C" w:rsidR="002F5563" w:rsidRDefault="004F7799" w:rsidP="006718DD">
      <w:pPr>
        <w:pStyle w:val="CommentText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(Although, as discussed above, water quality management should be looked at </w:t>
      </w:r>
      <w:r w:rsidR="00420C2A">
        <w:rPr>
          <w:rFonts w:asciiTheme="minorHAnsi" w:hAnsiTheme="minorHAnsi" w:cstheme="minorHAnsi"/>
          <w:sz w:val="22"/>
          <w:szCs w:val="22"/>
        </w:rPr>
        <w:t>holistically, not just in relation to drought conditions, or drinking water supply).</w:t>
      </w:r>
    </w:p>
    <w:p w14:paraId="30F010F1" w14:textId="77777777" w:rsidR="00331EFD" w:rsidRDefault="00E578E2" w:rsidP="006718DD">
      <w:pPr>
        <w:pStyle w:val="CommentText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It </w:t>
      </w:r>
      <w:r w:rsidR="00331EFD">
        <w:rPr>
          <w:rFonts w:asciiTheme="minorHAnsi" w:hAnsiTheme="minorHAnsi" w:cstheme="minorHAnsi"/>
          <w:sz w:val="22"/>
          <w:szCs w:val="22"/>
        </w:rPr>
        <w:t>should be of concern that similar recommendations were made:</w:t>
      </w:r>
    </w:p>
    <w:p w14:paraId="288CA7C8" w14:textId="218D8173" w:rsidR="00E578E2" w:rsidRPr="002A3A07" w:rsidRDefault="00331EFD" w:rsidP="00331EFD">
      <w:pPr>
        <w:pStyle w:val="Comment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2A3A07">
        <w:rPr>
          <w:rFonts w:asciiTheme="minorHAnsi" w:hAnsiTheme="minorHAnsi" w:cstheme="minorHAnsi"/>
          <w:sz w:val="22"/>
          <w:szCs w:val="22"/>
        </w:rPr>
        <w:t xml:space="preserve">In the </w:t>
      </w:r>
      <w:r w:rsidR="002A3A07" w:rsidRPr="002A3A07">
        <w:rPr>
          <w:rFonts w:asciiTheme="minorHAnsi" w:hAnsiTheme="minorHAnsi" w:cstheme="minorHAnsi"/>
          <w:sz w:val="22"/>
          <w:szCs w:val="22"/>
        </w:rPr>
        <w:t>2018</w:t>
      </w:r>
      <w:r w:rsidRPr="002A3A07">
        <w:rPr>
          <w:rFonts w:asciiTheme="minorHAnsi" w:hAnsiTheme="minorHAnsi" w:cstheme="minorHAnsi"/>
          <w:sz w:val="22"/>
          <w:szCs w:val="22"/>
        </w:rPr>
        <w:t xml:space="preserve"> review by the PC on Water </w:t>
      </w:r>
      <w:r w:rsidR="00CA2E33" w:rsidRPr="002A3A07">
        <w:rPr>
          <w:rFonts w:asciiTheme="minorHAnsi" w:hAnsiTheme="minorHAnsi" w:cstheme="minorHAnsi"/>
          <w:sz w:val="22"/>
          <w:szCs w:val="22"/>
        </w:rPr>
        <w:t>Reform</w:t>
      </w:r>
      <w:r w:rsidR="002A3A07" w:rsidRPr="002A3A07">
        <w:rPr>
          <w:rFonts w:asciiTheme="minorHAnsi" w:hAnsiTheme="minorHAnsi" w:cstheme="minorHAnsi"/>
          <w:sz w:val="22"/>
          <w:szCs w:val="22"/>
        </w:rPr>
        <w:t>:</w:t>
      </w:r>
    </w:p>
    <w:p w14:paraId="08D69976" w14:textId="34FD9244" w:rsidR="002A3A07" w:rsidRPr="002A3A07" w:rsidRDefault="002A3A07" w:rsidP="002A3A07">
      <w:pPr>
        <w:pStyle w:val="CommentText"/>
        <w:ind w:left="1440" w:firstLine="0"/>
        <w:rPr>
          <w:rFonts w:asciiTheme="minorHAnsi" w:hAnsiTheme="minorHAnsi" w:cstheme="minorHAnsi"/>
          <w:i/>
          <w:iCs/>
          <w:sz w:val="22"/>
          <w:szCs w:val="22"/>
        </w:rPr>
      </w:pPr>
      <w:r w:rsidRPr="002A3A07">
        <w:rPr>
          <w:rFonts w:asciiTheme="minorHAnsi" w:hAnsiTheme="minorHAnsi"/>
          <w:i/>
          <w:iCs/>
          <w:sz w:val="22"/>
          <w:szCs w:val="22"/>
        </w:rPr>
        <w:t xml:space="preserve">Water planning provisions should be updated to </w:t>
      </w:r>
      <w:proofErr w:type="gramStart"/>
      <w:r w:rsidRPr="002A3A07">
        <w:rPr>
          <w:rFonts w:asciiTheme="minorHAnsi" w:hAnsiTheme="minorHAnsi"/>
          <w:i/>
          <w:iCs/>
          <w:sz w:val="22"/>
          <w:szCs w:val="22"/>
        </w:rPr>
        <w:t>more explicitly provide for water quality and the interaction</w:t>
      </w:r>
      <w:proofErr w:type="gramEnd"/>
      <w:r w:rsidRPr="002A3A07">
        <w:rPr>
          <w:rFonts w:asciiTheme="minorHAnsi" w:hAnsiTheme="minorHAnsi"/>
          <w:i/>
          <w:iCs/>
          <w:sz w:val="22"/>
          <w:szCs w:val="22"/>
        </w:rPr>
        <w:t xml:space="preserve"> with water quantity.</w:t>
      </w:r>
    </w:p>
    <w:p w14:paraId="4523A484" w14:textId="47D97A87" w:rsidR="002247C6" w:rsidRPr="002247C6" w:rsidRDefault="002247C6" w:rsidP="002247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AU"/>
        </w:rPr>
      </w:pPr>
      <w:r w:rsidRPr="002247C6">
        <w:rPr>
          <w:rFonts w:ascii="Times New Roman" w:hAnsi="Times New Roman" w:cs="Times New Roman"/>
          <w:sz w:val="24"/>
          <w:szCs w:val="24"/>
          <w:lang w:val="en-AU"/>
        </w:rPr>
        <w:t xml:space="preserve">in the </w:t>
      </w:r>
      <w:r w:rsidR="0090742E" w:rsidRPr="002247C6">
        <w:rPr>
          <w:rFonts w:ascii="Times New Roman" w:hAnsi="Times New Roman" w:cs="Times New Roman"/>
          <w:sz w:val="24"/>
          <w:szCs w:val="24"/>
          <w:lang w:val="en-AU"/>
        </w:rPr>
        <w:t>2011</w:t>
      </w:r>
      <w:r w:rsidR="0090742E">
        <w:rPr>
          <w:rFonts w:ascii="Times New Roman" w:hAnsi="Times New Roman" w:cs="Times New Roman"/>
          <w:sz w:val="24"/>
          <w:szCs w:val="24"/>
          <w:lang w:val="en-AU"/>
        </w:rPr>
        <w:t xml:space="preserve"> </w:t>
      </w:r>
      <w:r w:rsidR="00D04C13" w:rsidRPr="002247C6">
        <w:rPr>
          <w:rFonts w:ascii="Times New Roman" w:hAnsi="Times New Roman" w:cs="Times New Roman"/>
          <w:sz w:val="24"/>
          <w:szCs w:val="24"/>
          <w:lang w:val="en-AU"/>
        </w:rPr>
        <w:t>NWI triennial</w:t>
      </w:r>
      <w:r w:rsidRPr="002247C6">
        <w:rPr>
          <w:rFonts w:ascii="Times New Roman" w:hAnsi="Times New Roman" w:cs="Times New Roman"/>
          <w:sz w:val="24"/>
          <w:szCs w:val="24"/>
          <w:lang w:val="en-AU"/>
        </w:rPr>
        <w:t xml:space="preserve"> assessment:</w:t>
      </w:r>
    </w:p>
    <w:p w14:paraId="036B39EB" w14:textId="77777777" w:rsidR="002247C6" w:rsidRPr="008B6DF6" w:rsidRDefault="002247C6" w:rsidP="00BB10A8">
      <w:pPr>
        <w:ind w:left="1440" w:right="567"/>
        <w:rPr>
          <w:rFonts w:ascii="Times New Roman" w:hAnsi="Times New Roman" w:cs="Times New Roman"/>
          <w:i/>
          <w:sz w:val="24"/>
          <w:szCs w:val="24"/>
          <w:lang w:val="en-AU"/>
        </w:rPr>
      </w:pPr>
      <w:r w:rsidRPr="008B6DF6">
        <w:rPr>
          <w:rFonts w:ascii="Times New Roman" w:hAnsi="Times New Roman" w:cs="Times New Roman"/>
          <w:i/>
          <w:sz w:val="24"/>
          <w:szCs w:val="24"/>
          <w:lang w:val="en-AU"/>
        </w:rPr>
        <w:lastRenderedPageBreak/>
        <w:t xml:space="preserve">Water quality objectives should be more fully implemented into the reform agenda, with better connections between water quality and quantity in planning, </w:t>
      </w:r>
      <w:proofErr w:type="gramStart"/>
      <w:r w:rsidRPr="008B6DF6">
        <w:rPr>
          <w:rFonts w:ascii="Times New Roman" w:hAnsi="Times New Roman" w:cs="Times New Roman"/>
          <w:i/>
          <w:sz w:val="24"/>
          <w:szCs w:val="24"/>
          <w:lang w:val="en-AU"/>
        </w:rPr>
        <w:t>management</w:t>
      </w:r>
      <w:proofErr w:type="gramEnd"/>
      <w:r w:rsidRPr="008B6DF6">
        <w:rPr>
          <w:rFonts w:ascii="Times New Roman" w:hAnsi="Times New Roman" w:cs="Times New Roman"/>
          <w:i/>
          <w:sz w:val="24"/>
          <w:szCs w:val="24"/>
          <w:lang w:val="en-AU"/>
        </w:rPr>
        <w:t xml:space="preserve"> and regulation to achieve improved environmental outcomes…</w:t>
      </w:r>
    </w:p>
    <w:p w14:paraId="4399974E" w14:textId="01519B65" w:rsidR="002247C6" w:rsidRPr="002247C6" w:rsidRDefault="00BB10A8" w:rsidP="002247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 xml:space="preserve">In the 2014 NWI </w:t>
      </w:r>
      <w:r w:rsidR="0002791D">
        <w:rPr>
          <w:rFonts w:ascii="Times New Roman" w:hAnsi="Times New Roman" w:cs="Times New Roman"/>
          <w:sz w:val="24"/>
          <w:szCs w:val="24"/>
          <w:lang w:val="en-AU"/>
        </w:rPr>
        <w:t xml:space="preserve">triennial assessment: </w:t>
      </w:r>
    </w:p>
    <w:p w14:paraId="764E683E" w14:textId="77777777" w:rsidR="002247C6" w:rsidRPr="0002791D" w:rsidRDefault="002247C6" w:rsidP="0002791D">
      <w:pPr>
        <w:ind w:left="1440" w:right="567"/>
        <w:rPr>
          <w:rFonts w:ascii="Times New Roman" w:hAnsi="Times New Roman" w:cs="Times New Roman"/>
          <w:i/>
          <w:sz w:val="24"/>
          <w:szCs w:val="24"/>
          <w:lang w:val="en-AU"/>
        </w:rPr>
      </w:pPr>
      <w:r w:rsidRPr="0002791D">
        <w:rPr>
          <w:rFonts w:ascii="Times New Roman" w:hAnsi="Times New Roman" w:cs="Times New Roman"/>
          <w:i/>
          <w:sz w:val="24"/>
          <w:szCs w:val="24"/>
        </w:rPr>
        <w:t xml:space="preserve">Water quality should be incorporated into water planning to achieve more resilient environmental and economic </w:t>
      </w:r>
      <w:proofErr w:type="gramStart"/>
      <w:r w:rsidRPr="0002791D">
        <w:rPr>
          <w:rFonts w:ascii="Times New Roman" w:hAnsi="Times New Roman" w:cs="Times New Roman"/>
          <w:i/>
          <w:sz w:val="24"/>
          <w:szCs w:val="24"/>
        </w:rPr>
        <w:t>outcomes</w:t>
      </w:r>
      <w:proofErr w:type="gramEnd"/>
    </w:p>
    <w:p w14:paraId="39021BB8" w14:textId="55F664E4" w:rsidR="002247C6" w:rsidRPr="002247C6" w:rsidRDefault="006127EF" w:rsidP="002247C6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AU"/>
        </w:rPr>
      </w:pPr>
      <w:r>
        <w:rPr>
          <w:rFonts w:ascii="Times New Roman" w:hAnsi="Times New Roman" w:cs="Times New Roman"/>
          <w:sz w:val="24"/>
          <w:szCs w:val="24"/>
          <w:lang w:val="en-AU"/>
        </w:rPr>
        <w:t>I</w:t>
      </w:r>
      <w:r w:rsidR="002247C6" w:rsidRPr="002247C6">
        <w:rPr>
          <w:rFonts w:ascii="Times New Roman" w:hAnsi="Times New Roman" w:cs="Times New Roman"/>
          <w:sz w:val="24"/>
          <w:szCs w:val="24"/>
          <w:lang w:val="en-AU"/>
        </w:rPr>
        <w:t xml:space="preserve">n the </w:t>
      </w:r>
      <w:r w:rsidR="005E63B9">
        <w:rPr>
          <w:rFonts w:ascii="Times New Roman" w:hAnsi="Times New Roman" w:cs="Times New Roman"/>
          <w:sz w:val="24"/>
          <w:szCs w:val="24"/>
          <w:lang w:val="en-AU"/>
        </w:rPr>
        <w:t xml:space="preserve">2013 </w:t>
      </w:r>
      <w:r w:rsidR="002247C6" w:rsidRPr="002247C6">
        <w:rPr>
          <w:rFonts w:ascii="Times New Roman" w:hAnsi="Times New Roman" w:cs="Times New Roman"/>
          <w:sz w:val="24"/>
          <w:szCs w:val="24"/>
          <w:lang w:val="en-AU"/>
        </w:rPr>
        <w:t>strategic direction paper</w:t>
      </w:r>
      <w:r w:rsidR="002247C6" w:rsidRPr="006A1EE2">
        <w:rPr>
          <w:rStyle w:val="FootnoteReference"/>
          <w:rFonts w:ascii="Times New Roman" w:hAnsi="Times New Roman" w:cs="Times New Roman"/>
          <w:sz w:val="24"/>
          <w:szCs w:val="24"/>
          <w:lang w:val="en-AU"/>
        </w:rPr>
        <w:footnoteReference w:id="1"/>
      </w:r>
      <w:r w:rsidR="002247C6" w:rsidRPr="002247C6">
        <w:rPr>
          <w:rFonts w:ascii="Times New Roman" w:hAnsi="Times New Roman" w:cs="Times New Roman"/>
          <w:sz w:val="24"/>
          <w:szCs w:val="24"/>
          <w:lang w:val="en-AU"/>
        </w:rPr>
        <w:t xml:space="preserve"> prepared by the Standing Council on Environment and Water (SCEW) for COAG (Sn. 4) which identified the need for:</w:t>
      </w:r>
    </w:p>
    <w:p w14:paraId="20EE2BCD" w14:textId="77777777" w:rsidR="002247C6" w:rsidRPr="00BC62C2" w:rsidRDefault="002247C6" w:rsidP="00BC62C2">
      <w:pPr>
        <w:ind w:left="1440" w:right="567"/>
        <w:rPr>
          <w:rFonts w:ascii="Times New Roman" w:hAnsi="Times New Roman" w:cs="Times New Roman"/>
          <w:sz w:val="24"/>
          <w:szCs w:val="24"/>
        </w:rPr>
      </w:pPr>
      <w:r w:rsidRPr="00BC62C2">
        <w:rPr>
          <w:rFonts w:ascii="Times New Roman" w:hAnsi="Times New Roman" w:cs="Times New Roman"/>
          <w:i/>
          <w:sz w:val="24"/>
          <w:szCs w:val="24"/>
        </w:rPr>
        <w:t xml:space="preserve">better integration between water quality and quantity in planning, </w:t>
      </w:r>
      <w:proofErr w:type="gramStart"/>
      <w:r w:rsidRPr="00BC62C2">
        <w:rPr>
          <w:rFonts w:ascii="Times New Roman" w:hAnsi="Times New Roman" w:cs="Times New Roman"/>
          <w:i/>
          <w:sz w:val="24"/>
          <w:szCs w:val="24"/>
        </w:rPr>
        <w:t>management</w:t>
      </w:r>
      <w:proofErr w:type="gramEnd"/>
      <w:r w:rsidRPr="00BC62C2">
        <w:rPr>
          <w:rFonts w:ascii="Times New Roman" w:hAnsi="Times New Roman" w:cs="Times New Roman"/>
          <w:i/>
          <w:sz w:val="24"/>
          <w:szCs w:val="24"/>
        </w:rPr>
        <w:t xml:space="preserve"> and regulation frameworks to achieve improved environmental, economic and social outcomes</w:t>
      </w:r>
      <w:r w:rsidRPr="00BC62C2">
        <w:rPr>
          <w:rFonts w:ascii="Times New Roman" w:hAnsi="Times New Roman" w:cs="Times New Roman"/>
          <w:sz w:val="24"/>
          <w:szCs w:val="24"/>
        </w:rPr>
        <w:t>.</w:t>
      </w:r>
    </w:p>
    <w:p w14:paraId="5D145E71" w14:textId="7D3E648E" w:rsidR="00CA2E33" w:rsidRDefault="00BC62C2" w:rsidP="00B00C7D">
      <w:pPr>
        <w:pStyle w:val="CommentText"/>
        <w:ind w:left="0" w:firstLine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The fact there has been little progress in the last 10 </w:t>
      </w:r>
      <w:proofErr w:type="gramStart"/>
      <w:r>
        <w:rPr>
          <w:rFonts w:asciiTheme="minorHAnsi" w:hAnsiTheme="minorHAnsi" w:cstheme="minorHAnsi"/>
          <w:sz w:val="22"/>
          <w:szCs w:val="22"/>
        </w:rPr>
        <w:t>years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or mor</w:t>
      </w:r>
      <w:r w:rsidR="00D04C13">
        <w:rPr>
          <w:rFonts w:asciiTheme="minorHAnsi" w:hAnsiTheme="minorHAnsi" w:cstheme="minorHAnsi"/>
          <w:sz w:val="22"/>
          <w:szCs w:val="22"/>
        </w:rPr>
        <w:t>e</w:t>
      </w:r>
      <w:r>
        <w:rPr>
          <w:rFonts w:asciiTheme="minorHAnsi" w:hAnsiTheme="minorHAnsi" w:cstheme="minorHAnsi"/>
          <w:sz w:val="22"/>
          <w:szCs w:val="22"/>
        </w:rPr>
        <w:t xml:space="preserve"> is worthy of a greater emphasis. </w:t>
      </w:r>
    </w:p>
    <w:p w14:paraId="1DDEEE7D" w14:textId="77777777" w:rsidR="00B00C7D" w:rsidRDefault="00B00C7D" w:rsidP="00E4166C">
      <w:pPr>
        <w:pStyle w:val="BodyText"/>
      </w:pPr>
    </w:p>
    <w:sectPr w:rsidR="00B00C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D170BE" w14:textId="77777777" w:rsidR="001D2B4B" w:rsidRDefault="001D2B4B" w:rsidP="002247C6">
      <w:pPr>
        <w:spacing w:after="0" w:line="240" w:lineRule="auto"/>
      </w:pPr>
      <w:r>
        <w:separator/>
      </w:r>
    </w:p>
  </w:endnote>
  <w:endnote w:type="continuationSeparator" w:id="0">
    <w:p w14:paraId="20FF86AB" w14:textId="77777777" w:rsidR="001D2B4B" w:rsidRDefault="001D2B4B" w:rsidP="00224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4741BD" w14:textId="77777777" w:rsidR="001D2B4B" w:rsidRDefault="001D2B4B" w:rsidP="002247C6">
      <w:pPr>
        <w:spacing w:after="0" w:line="240" w:lineRule="auto"/>
      </w:pPr>
      <w:r>
        <w:separator/>
      </w:r>
    </w:p>
  </w:footnote>
  <w:footnote w:type="continuationSeparator" w:id="0">
    <w:p w14:paraId="3C1655FC" w14:textId="77777777" w:rsidR="001D2B4B" w:rsidRDefault="001D2B4B" w:rsidP="002247C6">
      <w:pPr>
        <w:spacing w:after="0" w:line="240" w:lineRule="auto"/>
      </w:pPr>
      <w:r>
        <w:continuationSeparator/>
      </w:r>
    </w:p>
  </w:footnote>
  <w:footnote w:id="1">
    <w:p w14:paraId="6C1315A9" w14:textId="77777777" w:rsidR="002247C6" w:rsidRPr="007C7B3D" w:rsidRDefault="002247C6" w:rsidP="002247C6">
      <w:pPr>
        <w:pStyle w:val="FootnoteText"/>
        <w:rPr>
          <w:lang w:val="en-AU"/>
        </w:rPr>
      </w:pPr>
      <w:r>
        <w:rPr>
          <w:rStyle w:val="FootnoteReference"/>
        </w:rPr>
        <w:footnoteRef/>
      </w:r>
      <w:r>
        <w:t xml:space="preserve"> ‘</w:t>
      </w:r>
      <w:r>
        <w:rPr>
          <w:lang w:val="en-AU"/>
        </w:rPr>
        <w:t>Next Steps in Water Reform: Preparation for the Future’ SCEW, 2013.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65709"/>
    <w:multiLevelType w:val="hybridMultilevel"/>
    <w:tmpl w:val="8C5055EC"/>
    <w:lvl w:ilvl="0" w:tplc="040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0898638C"/>
    <w:multiLevelType w:val="hybridMultilevel"/>
    <w:tmpl w:val="A3A8D58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E90CE4"/>
    <w:multiLevelType w:val="singleLevel"/>
    <w:tmpl w:val="52F61D9A"/>
    <w:lvl w:ilvl="0">
      <w:start w:val="1"/>
      <w:numFmt w:val="bullet"/>
      <w:pStyle w:val="BoxList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sz w:val="18"/>
      </w:rPr>
    </w:lvl>
  </w:abstractNum>
  <w:abstractNum w:abstractNumId="3" w15:restartNumberingAfterBreak="0">
    <w:nsid w:val="56455F7B"/>
    <w:multiLevelType w:val="hybridMultilevel"/>
    <w:tmpl w:val="50BA6B54"/>
    <w:lvl w:ilvl="0" w:tplc="DACA13F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FA7D75"/>
    <w:multiLevelType w:val="singleLevel"/>
    <w:tmpl w:val="B4C476FC"/>
    <w:lvl w:ilvl="0">
      <w:start w:val="1"/>
      <w:numFmt w:val="bullet"/>
      <w:pStyle w:val="Rec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b w:val="0"/>
        <w:i w:val="0"/>
        <w:sz w:val="18"/>
      </w:rPr>
    </w:lvl>
  </w:abstractNum>
  <w:abstractNum w:abstractNumId="5" w15:restartNumberingAfterBreak="0">
    <w:nsid w:val="7E316FBE"/>
    <w:multiLevelType w:val="hybridMultilevel"/>
    <w:tmpl w:val="2F540E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D1F"/>
    <w:rsid w:val="00023AC2"/>
    <w:rsid w:val="00024E49"/>
    <w:rsid w:val="0002791D"/>
    <w:rsid w:val="00041595"/>
    <w:rsid w:val="00063F5D"/>
    <w:rsid w:val="0010564F"/>
    <w:rsid w:val="00156B63"/>
    <w:rsid w:val="001C4FDF"/>
    <w:rsid w:val="001D2A66"/>
    <w:rsid w:val="001D2B4B"/>
    <w:rsid w:val="001E0A4E"/>
    <w:rsid w:val="001E3596"/>
    <w:rsid w:val="002247C6"/>
    <w:rsid w:val="002A3A07"/>
    <w:rsid w:val="002F5563"/>
    <w:rsid w:val="00331EFD"/>
    <w:rsid w:val="0035446D"/>
    <w:rsid w:val="00357ADB"/>
    <w:rsid w:val="0036035E"/>
    <w:rsid w:val="003927F1"/>
    <w:rsid w:val="003B52FE"/>
    <w:rsid w:val="003C4442"/>
    <w:rsid w:val="003C4CB7"/>
    <w:rsid w:val="003E5105"/>
    <w:rsid w:val="00403ACA"/>
    <w:rsid w:val="00420C2A"/>
    <w:rsid w:val="00421D53"/>
    <w:rsid w:val="00490F4C"/>
    <w:rsid w:val="004F7799"/>
    <w:rsid w:val="0051022B"/>
    <w:rsid w:val="005609B7"/>
    <w:rsid w:val="005C4F25"/>
    <w:rsid w:val="005E63B9"/>
    <w:rsid w:val="006127EF"/>
    <w:rsid w:val="00624B14"/>
    <w:rsid w:val="00632E59"/>
    <w:rsid w:val="00641823"/>
    <w:rsid w:val="006718DD"/>
    <w:rsid w:val="00714FB7"/>
    <w:rsid w:val="00743426"/>
    <w:rsid w:val="00801352"/>
    <w:rsid w:val="008455CF"/>
    <w:rsid w:val="00872852"/>
    <w:rsid w:val="0088406E"/>
    <w:rsid w:val="008B6DF6"/>
    <w:rsid w:val="008C2DC2"/>
    <w:rsid w:val="0090742E"/>
    <w:rsid w:val="00936638"/>
    <w:rsid w:val="009B3A77"/>
    <w:rsid w:val="009C4A18"/>
    <w:rsid w:val="00A14459"/>
    <w:rsid w:val="00A35593"/>
    <w:rsid w:val="00A47F53"/>
    <w:rsid w:val="00AE5EE8"/>
    <w:rsid w:val="00B00C7D"/>
    <w:rsid w:val="00B36AD8"/>
    <w:rsid w:val="00B955FE"/>
    <w:rsid w:val="00B975BD"/>
    <w:rsid w:val="00BB10A8"/>
    <w:rsid w:val="00BC62C2"/>
    <w:rsid w:val="00C31FBA"/>
    <w:rsid w:val="00C34B7C"/>
    <w:rsid w:val="00C45B9E"/>
    <w:rsid w:val="00C67273"/>
    <w:rsid w:val="00CA2E33"/>
    <w:rsid w:val="00D01A07"/>
    <w:rsid w:val="00D04C13"/>
    <w:rsid w:val="00D809DC"/>
    <w:rsid w:val="00DC40F4"/>
    <w:rsid w:val="00E26D1F"/>
    <w:rsid w:val="00E4166C"/>
    <w:rsid w:val="00E578E2"/>
    <w:rsid w:val="00EA08DD"/>
    <w:rsid w:val="00F01CC1"/>
    <w:rsid w:val="00F22F09"/>
    <w:rsid w:val="00F27D91"/>
    <w:rsid w:val="00F53620"/>
    <w:rsid w:val="00FF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F49EE"/>
  <w15:chartTrackingRefBased/>
  <w15:docId w15:val="{146E441B-9EF6-49FF-8C2F-268CEDB8C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7A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cBullet">
    <w:name w:val="Rec Bullet"/>
    <w:basedOn w:val="Normal"/>
    <w:rsid w:val="003C4442"/>
    <w:pPr>
      <w:keepLines/>
      <w:numPr>
        <w:numId w:val="1"/>
      </w:numPr>
      <w:spacing w:before="80" w:after="0" w:line="280" w:lineRule="atLeast"/>
      <w:jc w:val="both"/>
    </w:pPr>
    <w:rPr>
      <w:rFonts w:ascii="Arial" w:eastAsia="Times New Roman" w:hAnsi="Arial" w:cs="Times New Roman"/>
      <w:szCs w:val="20"/>
      <w:lang w:val="en-AU" w:eastAsia="en-AU"/>
    </w:rPr>
  </w:style>
  <w:style w:type="paragraph" w:customStyle="1" w:styleId="Chapter">
    <w:name w:val="Chapter"/>
    <w:basedOn w:val="Heading1"/>
    <w:next w:val="BodyText"/>
    <w:semiHidden/>
    <w:rsid w:val="00357ADB"/>
    <w:pPr>
      <w:keepLines w:val="0"/>
      <w:spacing w:before="160" w:after="1360" w:line="600" w:lineRule="exact"/>
      <w:outlineLvl w:val="9"/>
    </w:pPr>
    <w:rPr>
      <w:rFonts w:ascii="Times New Roman" w:eastAsia="Times New Roman" w:hAnsi="Times New Roman" w:cs="Times New Roman"/>
      <w:color w:val="auto"/>
      <w:sz w:val="52"/>
      <w:szCs w:val="24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357A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357A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357ADB"/>
  </w:style>
  <w:style w:type="paragraph" w:customStyle="1" w:styleId="definition">
    <w:name w:val="definition"/>
    <w:basedOn w:val="Normal"/>
    <w:rsid w:val="0051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51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ubsection2">
    <w:name w:val="subsection2"/>
    <w:basedOn w:val="Normal"/>
    <w:rsid w:val="005102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C4FDF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6718DD"/>
    <w:pPr>
      <w:spacing w:before="120" w:after="0" w:line="240" w:lineRule="atLeast"/>
      <w:ind w:left="567" w:hanging="567"/>
    </w:pPr>
    <w:rPr>
      <w:rFonts w:ascii="Times New Roman" w:eastAsia="Times New Roman" w:hAnsi="Times New Roman" w:cs="Times New Roman"/>
      <w:sz w:val="20"/>
      <w:szCs w:val="24"/>
      <w:lang w:val="en-AU"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18DD"/>
    <w:rPr>
      <w:rFonts w:ascii="Times New Roman" w:eastAsia="Times New Roman" w:hAnsi="Times New Roman" w:cs="Times New Roman"/>
      <w:sz w:val="20"/>
      <w:szCs w:val="24"/>
      <w:lang w:val="en-AU" w:eastAsia="en-AU"/>
    </w:rPr>
  </w:style>
  <w:style w:type="paragraph" w:customStyle="1" w:styleId="Rec">
    <w:name w:val="Rec"/>
    <w:basedOn w:val="BodyText"/>
    <w:qFormat/>
    <w:rsid w:val="00AE5EE8"/>
    <w:pPr>
      <w:keepLines/>
      <w:spacing w:before="120" w:after="0" w:line="280" w:lineRule="atLeast"/>
      <w:jc w:val="both"/>
    </w:pPr>
    <w:rPr>
      <w:rFonts w:ascii="Arial" w:eastAsia="Times New Roman" w:hAnsi="Arial" w:cs="Times New Roman"/>
      <w:szCs w:val="20"/>
      <w:lang w:val="en-AU" w:eastAsia="en-AU"/>
    </w:rPr>
  </w:style>
  <w:style w:type="paragraph" w:customStyle="1" w:styleId="BoxListBullet">
    <w:name w:val="Box List Bullet"/>
    <w:basedOn w:val="BodyText"/>
    <w:rsid w:val="00714FB7"/>
    <w:pPr>
      <w:keepNext/>
      <w:numPr>
        <w:numId w:val="5"/>
      </w:numPr>
      <w:spacing w:before="100" w:after="0" w:line="260" w:lineRule="atLeast"/>
      <w:jc w:val="both"/>
    </w:pPr>
    <w:rPr>
      <w:rFonts w:ascii="Arial" w:eastAsia="Times New Roman" w:hAnsi="Arial" w:cs="Times New Roman"/>
      <w:sz w:val="20"/>
      <w:szCs w:val="20"/>
      <w:lang w:val="en-AU" w:eastAsia="en-AU"/>
    </w:rPr>
  </w:style>
  <w:style w:type="table" w:styleId="TableGrid">
    <w:name w:val="Table Grid"/>
    <w:basedOn w:val="TableNormal"/>
    <w:rsid w:val="00714F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247C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7C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247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062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561D6-2CC4-4BAE-A821-41AA5DE1F2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DR114 - Brian Bycroft - National Water Reform 2020 - Public inquiry</vt:lpstr>
    </vt:vector>
  </TitlesOfParts>
  <Company>Brian Bycroft</Company>
  <LinksUpToDate>false</LinksUpToDate>
  <CharactersWithSpaces>3489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DR114 - Brian Bycroft - National Water Reform 2020 - Public inquiry</dc:title>
  <dc:subject/>
  <dc:creator>Brian Bycroft</dc:creator>
  <cp:keywords/>
  <dc:description/>
  <cp:lastModifiedBy>Alston, Chris</cp:lastModifiedBy>
  <cp:revision>2</cp:revision>
  <cp:lastPrinted>2021-02-22T22:04:00Z</cp:lastPrinted>
  <dcterms:created xsi:type="dcterms:W3CDTF">2021-02-22T22:04:00Z</dcterms:created>
  <dcterms:modified xsi:type="dcterms:W3CDTF">2021-02-22T22:04:00Z</dcterms:modified>
</cp:coreProperties>
</file>