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A8D5" w14:textId="77777777" w:rsidR="00EE6A74" w:rsidRPr="0038242E" w:rsidRDefault="00EE6A74" w:rsidP="00EE6A74">
      <w:pPr>
        <w:rPr>
          <w:lang w:val="en-US"/>
        </w:rPr>
      </w:pPr>
      <w:r w:rsidRPr="0038242E">
        <w:rPr>
          <w:lang w:val="en-US"/>
        </w:rPr>
        <w:t>Michael Brennan</w:t>
      </w:r>
    </w:p>
    <w:p w14:paraId="48A5B085" w14:textId="77777777" w:rsidR="00EE6A74" w:rsidRPr="0038242E" w:rsidRDefault="00EE6A74" w:rsidP="00EE6A74">
      <w:pPr>
        <w:rPr>
          <w:lang w:val="en-US"/>
        </w:rPr>
      </w:pPr>
      <w:r w:rsidRPr="0038242E">
        <w:rPr>
          <w:lang w:val="en-US"/>
        </w:rPr>
        <w:t>Chair</w:t>
      </w:r>
    </w:p>
    <w:p w14:paraId="1771C08D" w14:textId="77777777" w:rsidR="00EE6A74" w:rsidRPr="0038242E" w:rsidRDefault="00EE6A74" w:rsidP="00EE6A74">
      <w:pPr>
        <w:rPr>
          <w:lang w:val="en-US"/>
        </w:rPr>
      </w:pPr>
      <w:r w:rsidRPr="0038242E">
        <w:rPr>
          <w:lang w:val="en-US"/>
        </w:rPr>
        <w:t xml:space="preserve">National School Reform Agreement </w:t>
      </w:r>
    </w:p>
    <w:p w14:paraId="01F499B9" w14:textId="77777777" w:rsidR="00EE6A74" w:rsidRPr="0038242E" w:rsidRDefault="00EE6A74" w:rsidP="00EE6A74">
      <w:pPr>
        <w:rPr>
          <w:lang w:val="en-US"/>
        </w:rPr>
      </w:pPr>
      <w:r w:rsidRPr="0038242E">
        <w:rPr>
          <w:lang w:val="en-US"/>
        </w:rPr>
        <w:t>Productivity Commission</w:t>
      </w:r>
    </w:p>
    <w:p w14:paraId="1FBA0009" w14:textId="77777777" w:rsidR="00EE6A74" w:rsidRPr="0038242E" w:rsidRDefault="00EE6A74" w:rsidP="00EE6A74">
      <w:pPr>
        <w:rPr>
          <w:lang w:val="en-US"/>
        </w:rPr>
      </w:pPr>
      <w:r w:rsidRPr="0038242E">
        <w:rPr>
          <w:lang w:val="en-US"/>
        </w:rPr>
        <w:t>GPO Box 1428</w:t>
      </w:r>
    </w:p>
    <w:p w14:paraId="3DA02B18" w14:textId="77777777" w:rsidR="00EE6A74" w:rsidRDefault="00EE6A74" w:rsidP="00EE6A74">
      <w:pPr>
        <w:rPr>
          <w:lang w:val="en-US"/>
        </w:rPr>
      </w:pPr>
      <w:r w:rsidRPr="0038242E">
        <w:rPr>
          <w:lang w:val="en-US"/>
        </w:rPr>
        <w:t>Canberra  ACT  2600</w:t>
      </w:r>
    </w:p>
    <w:p w14:paraId="18408FDB" w14:textId="54038271" w:rsidR="00EE6A74" w:rsidRDefault="00EE6A74" w:rsidP="00EE6A74">
      <w:pPr>
        <w:rPr>
          <w:b/>
          <w:bCs/>
          <w:lang w:val="en-US"/>
        </w:rPr>
      </w:pPr>
    </w:p>
    <w:p w14:paraId="25AFFD59" w14:textId="77777777" w:rsidR="00302E57" w:rsidRDefault="00302E57" w:rsidP="00EE6A74">
      <w:pPr>
        <w:rPr>
          <w:b/>
          <w:bCs/>
          <w:lang w:val="en-US"/>
        </w:rPr>
      </w:pPr>
    </w:p>
    <w:p w14:paraId="1960254C" w14:textId="075C5DF8" w:rsidR="00EE6A74" w:rsidRDefault="00EE6A74" w:rsidP="00EE6A74">
      <w:pPr>
        <w:rPr>
          <w:lang w:val="en-US"/>
        </w:rPr>
      </w:pPr>
      <w:r w:rsidRPr="00AB1A97">
        <w:rPr>
          <w:lang w:val="en-US"/>
        </w:rPr>
        <w:t>June 2022</w:t>
      </w:r>
    </w:p>
    <w:p w14:paraId="67230C7C" w14:textId="77777777" w:rsidR="0072501B" w:rsidRDefault="0072501B" w:rsidP="00EE6A74">
      <w:pPr>
        <w:rPr>
          <w:lang w:val="en-US"/>
        </w:rPr>
      </w:pPr>
    </w:p>
    <w:p w14:paraId="1883919B" w14:textId="77777777" w:rsidR="00EE6A74" w:rsidRDefault="00EE6A74" w:rsidP="00EE6A74">
      <w:pPr>
        <w:rPr>
          <w:lang w:val="en-US"/>
        </w:rPr>
      </w:pPr>
      <w:r>
        <w:rPr>
          <w:lang w:val="en-US"/>
        </w:rPr>
        <w:t>Dear Michael</w:t>
      </w:r>
    </w:p>
    <w:p w14:paraId="0A75953E" w14:textId="77777777" w:rsidR="00EE6A74" w:rsidRDefault="00EE6A74" w:rsidP="00EE6A74">
      <w:pPr>
        <w:rPr>
          <w:lang w:val="en-US"/>
        </w:rPr>
      </w:pPr>
    </w:p>
    <w:p w14:paraId="5BEB2C43" w14:textId="77777777" w:rsidR="00EE6A74" w:rsidRPr="00FC450D" w:rsidRDefault="00EE6A74" w:rsidP="00EE6A74">
      <w:pPr>
        <w:ind w:firstLine="720"/>
        <w:rPr>
          <w:b/>
          <w:bCs/>
          <w:lang w:val="en-US"/>
        </w:rPr>
      </w:pPr>
      <w:r>
        <w:rPr>
          <w:b/>
          <w:bCs/>
          <w:lang w:val="en-US"/>
        </w:rPr>
        <w:t xml:space="preserve">Review of the National School Reform Agreement </w:t>
      </w:r>
    </w:p>
    <w:p w14:paraId="680DDDC7" w14:textId="77777777" w:rsidR="00EE6A74" w:rsidRDefault="00EE6A74" w:rsidP="00EE6A74">
      <w:pPr>
        <w:rPr>
          <w:lang w:val="en-US"/>
        </w:rPr>
      </w:pPr>
    </w:p>
    <w:p w14:paraId="39F68616" w14:textId="327332E4" w:rsidR="00EE6A74" w:rsidRPr="00812AA1" w:rsidRDefault="00A933C3" w:rsidP="00EE6A74">
      <w:pPr>
        <w:rPr>
          <w:rFonts w:cstheme="minorHAnsi"/>
          <w:lang w:val="en-US"/>
        </w:rPr>
      </w:pPr>
      <w:r w:rsidRPr="006C29CC">
        <w:rPr>
          <w:rFonts w:cstheme="minorHAnsi"/>
          <w:lang w:val="en-US"/>
        </w:rPr>
        <w:t>We are</w:t>
      </w:r>
      <w:r w:rsidR="00EE6A74" w:rsidRPr="002D6268">
        <w:rPr>
          <w:rFonts w:cstheme="minorHAnsi"/>
          <w:lang w:val="en-US"/>
        </w:rPr>
        <w:t xml:space="preserve"> writing </w:t>
      </w:r>
      <w:r w:rsidR="00EE6A74" w:rsidRPr="006C29CC">
        <w:rPr>
          <w:rFonts w:cstheme="minorHAnsi"/>
          <w:lang w:val="en-US"/>
        </w:rPr>
        <w:t>to highlight the work of the Restacking the Odds project to identify and apply evidence-based quality indicators for the early years of</w:t>
      </w:r>
      <w:r w:rsidR="006C5C7C">
        <w:rPr>
          <w:rFonts w:cstheme="minorHAnsi"/>
          <w:lang w:val="en-US"/>
        </w:rPr>
        <w:t xml:space="preserve"> school</w:t>
      </w:r>
      <w:r w:rsidR="00EE6A74" w:rsidRPr="00812AA1">
        <w:rPr>
          <w:rFonts w:cstheme="minorHAnsi"/>
          <w:lang w:val="en-US"/>
        </w:rPr>
        <w:t xml:space="preserve">. </w:t>
      </w:r>
      <w:r w:rsidR="001B57A1" w:rsidRPr="00812AA1">
        <w:rPr>
          <w:rFonts w:cstheme="minorHAnsi"/>
          <w:lang w:val="en-US"/>
        </w:rPr>
        <w:t>Our work suggests l</w:t>
      </w:r>
      <w:r w:rsidR="00EE6A74" w:rsidRPr="00812AA1">
        <w:rPr>
          <w:rFonts w:cstheme="minorHAnsi"/>
          <w:lang w:val="en-US"/>
        </w:rPr>
        <w:t xml:space="preserve">ead indicators of </w:t>
      </w:r>
      <w:r w:rsidR="00CC6B53" w:rsidRPr="00812AA1">
        <w:rPr>
          <w:rFonts w:cstheme="minorHAnsi"/>
          <w:lang w:val="en-US"/>
        </w:rPr>
        <w:t xml:space="preserve">quantity, </w:t>
      </w:r>
      <w:r w:rsidR="00EE6A74" w:rsidRPr="00812AA1">
        <w:rPr>
          <w:rFonts w:cstheme="minorHAnsi"/>
          <w:lang w:val="en-US"/>
        </w:rPr>
        <w:t>quality</w:t>
      </w:r>
      <w:r w:rsidR="00CC6B53" w:rsidRPr="00812AA1">
        <w:rPr>
          <w:rFonts w:cstheme="minorHAnsi"/>
          <w:lang w:val="en-US"/>
        </w:rPr>
        <w:t xml:space="preserve"> and participation</w:t>
      </w:r>
      <w:r w:rsidR="00EE6A74" w:rsidRPr="00812AA1">
        <w:rPr>
          <w:rFonts w:cstheme="minorHAnsi"/>
          <w:lang w:val="en-US"/>
        </w:rPr>
        <w:t xml:space="preserve"> embedded through the performance reporting framework for the National School Reform Agreement</w:t>
      </w:r>
      <w:r w:rsidR="00E31CBF" w:rsidRPr="00812AA1">
        <w:rPr>
          <w:rFonts w:cstheme="minorHAnsi"/>
          <w:lang w:val="en-US"/>
        </w:rPr>
        <w:t xml:space="preserve"> (NSRA)</w:t>
      </w:r>
      <w:r w:rsidR="001B57A1" w:rsidRPr="00812AA1">
        <w:rPr>
          <w:rFonts w:cstheme="minorHAnsi"/>
          <w:lang w:val="en-US"/>
        </w:rPr>
        <w:t>,</w:t>
      </w:r>
      <w:r w:rsidR="00EE6A74" w:rsidRPr="00812AA1">
        <w:rPr>
          <w:rFonts w:cstheme="minorHAnsi"/>
          <w:lang w:val="en-US"/>
        </w:rPr>
        <w:t xml:space="preserve"> have potential to support progress towards achieving the outcomes of the Agreement. </w:t>
      </w:r>
    </w:p>
    <w:p w14:paraId="4182CA51" w14:textId="77777777" w:rsidR="00EE6A74" w:rsidRPr="00812AA1" w:rsidRDefault="00EE6A74" w:rsidP="00EE6A74">
      <w:pPr>
        <w:rPr>
          <w:rFonts w:cstheme="minorHAnsi"/>
          <w:lang w:val="en-US"/>
        </w:rPr>
      </w:pPr>
    </w:p>
    <w:p w14:paraId="4E779F83" w14:textId="4C774955" w:rsidR="002D6268" w:rsidRDefault="00EE6A74" w:rsidP="00CD7559">
      <w:pPr>
        <w:rPr>
          <w:rFonts w:cstheme="minorHAnsi"/>
        </w:rPr>
      </w:pPr>
      <w:r w:rsidRPr="00812AA1">
        <w:rPr>
          <w:rFonts w:cstheme="minorHAnsi"/>
        </w:rPr>
        <w:t xml:space="preserve">Restacking the Odds aims to drive equitable outcomes </w:t>
      </w:r>
      <w:r w:rsidR="00CD7559" w:rsidRPr="00812AA1">
        <w:rPr>
          <w:rFonts w:cstheme="minorHAnsi"/>
        </w:rPr>
        <w:t xml:space="preserve">by ensuring </w:t>
      </w:r>
      <w:r w:rsidR="00CD7559" w:rsidRPr="000D4ABF">
        <w:rPr>
          <w:rFonts w:cstheme="minorHAnsi"/>
        </w:rPr>
        <w:t>that children and families can access a combination of high-quality, evidence-informed</w:t>
      </w:r>
      <w:r w:rsidR="008E21CB">
        <w:rPr>
          <w:rFonts w:cstheme="minorHAnsi"/>
        </w:rPr>
        <w:t>,</w:t>
      </w:r>
      <w:r w:rsidR="00CD7559" w:rsidRPr="000D4ABF">
        <w:rPr>
          <w:rFonts w:cstheme="minorHAnsi"/>
        </w:rPr>
        <w:t xml:space="preserve"> </w:t>
      </w:r>
      <w:r w:rsidR="00C26D99" w:rsidRPr="000D4ABF">
        <w:rPr>
          <w:rFonts w:cstheme="minorHAnsi"/>
        </w:rPr>
        <w:t>community</w:t>
      </w:r>
      <w:r w:rsidR="00A933C3" w:rsidRPr="000D4ABF">
        <w:rPr>
          <w:rFonts w:cstheme="minorHAnsi"/>
        </w:rPr>
        <w:t>-</w:t>
      </w:r>
      <w:r w:rsidR="00CB7342" w:rsidRPr="000D4ABF">
        <w:rPr>
          <w:rFonts w:cstheme="minorHAnsi"/>
        </w:rPr>
        <w:t>based serv</w:t>
      </w:r>
      <w:r w:rsidR="00A933C3" w:rsidRPr="000D4ABF">
        <w:rPr>
          <w:rFonts w:cstheme="minorHAnsi"/>
        </w:rPr>
        <w:t>i</w:t>
      </w:r>
      <w:r w:rsidR="00CB7342" w:rsidRPr="000D4ABF">
        <w:rPr>
          <w:rFonts w:cstheme="minorHAnsi"/>
        </w:rPr>
        <w:t>ces</w:t>
      </w:r>
      <w:r w:rsidR="00CD7559" w:rsidRPr="000D4ABF">
        <w:rPr>
          <w:rFonts w:cstheme="minorHAnsi"/>
        </w:rPr>
        <w:t xml:space="preserve">. </w:t>
      </w:r>
      <w:r w:rsidRPr="006C29CC">
        <w:rPr>
          <w:rFonts w:cstheme="minorHAnsi"/>
        </w:rPr>
        <w:t>The initiative is a collaboration between the Centre for Community Child Health (Murdoch Children’s Research Institute (MCRI)</w:t>
      </w:r>
      <w:r w:rsidRPr="002D6268">
        <w:rPr>
          <w:rFonts w:cstheme="minorHAnsi"/>
        </w:rPr>
        <w:t xml:space="preserve">), Social Ventures Australia (SVA) and Bain &amp; Company. </w:t>
      </w:r>
    </w:p>
    <w:p w14:paraId="546F7FA9" w14:textId="77777777" w:rsidR="002D6268" w:rsidRDefault="002D6268" w:rsidP="00CD7559">
      <w:pPr>
        <w:rPr>
          <w:rFonts w:cstheme="minorHAnsi"/>
        </w:rPr>
      </w:pPr>
    </w:p>
    <w:p w14:paraId="3E48B3DA" w14:textId="38F26529" w:rsidR="006B1040" w:rsidRPr="002D6268" w:rsidRDefault="008E21CB" w:rsidP="00CD7559">
      <w:pPr>
        <w:rPr>
          <w:rFonts w:cstheme="minorHAnsi"/>
        </w:rPr>
      </w:pPr>
      <w:r>
        <w:rPr>
          <w:rFonts w:cstheme="minorHAnsi"/>
        </w:rPr>
        <w:t>The Australian Early Development Census (AEDC) show</w:t>
      </w:r>
      <w:r w:rsidR="00812AA1">
        <w:rPr>
          <w:rFonts w:cstheme="minorHAnsi"/>
        </w:rPr>
        <w:t>s</w:t>
      </w:r>
      <w:r>
        <w:rPr>
          <w:rFonts w:cstheme="minorHAnsi"/>
        </w:rPr>
        <w:t xml:space="preserve"> us that e</w:t>
      </w:r>
      <w:r w:rsidR="002D6268">
        <w:rPr>
          <w:rFonts w:cstheme="minorHAnsi"/>
        </w:rPr>
        <w:t xml:space="preserve">ach year, one in five children start school developmentally vulnerable. Developmental vulnerability in the poorest areas of Australia is three times that of the wealthiest areas. These inequities have not shifted in over a decade. </w:t>
      </w:r>
      <w:r w:rsidR="002D6268" w:rsidRPr="002D6268">
        <w:rPr>
          <w:rFonts w:cstheme="minorHAnsi"/>
        </w:rPr>
        <w:t>To redress inequities, research tells us that efforts delivered during early childhood (pregnancy to eight years of age) deliver the greatest benefits. Addressing inequity means delivering high quality services to all those who will most benefit.</w:t>
      </w:r>
    </w:p>
    <w:p w14:paraId="5B6054A6" w14:textId="77777777" w:rsidR="006B1040" w:rsidRPr="002D6268" w:rsidRDefault="006B1040" w:rsidP="00CD7559">
      <w:pPr>
        <w:rPr>
          <w:rFonts w:cstheme="minorHAnsi"/>
        </w:rPr>
      </w:pPr>
    </w:p>
    <w:p w14:paraId="1AEA89FC" w14:textId="1745114E" w:rsidR="00302E57" w:rsidRPr="00812AA1" w:rsidRDefault="00EE6A74" w:rsidP="00CD7559">
      <w:pPr>
        <w:rPr>
          <w:rFonts w:cstheme="minorHAnsi"/>
        </w:rPr>
      </w:pPr>
      <w:r w:rsidRPr="002D6268">
        <w:rPr>
          <w:rFonts w:cstheme="minorHAnsi"/>
        </w:rPr>
        <w:t xml:space="preserve">Restacking the Odds focuses on five evidence-based platforms and programs in early </w:t>
      </w:r>
      <w:r w:rsidRPr="006C29CC">
        <w:rPr>
          <w:rFonts w:cstheme="minorHAnsi"/>
        </w:rPr>
        <w:t>childhood</w:t>
      </w:r>
      <w:r w:rsidRPr="009B2FA6">
        <w:rPr>
          <w:rFonts w:cstheme="minorHAnsi"/>
        </w:rPr>
        <w:t>: antenatal</w:t>
      </w:r>
      <w:r w:rsidRPr="00E52651">
        <w:rPr>
          <w:rFonts w:cstheme="minorHAnsi"/>
        </w:rPr>
        <w:t xml:space="preserve"> care; sustained nurse home visiting; early childhood education and care; paren</w:t>
      </w:r>
      <w:r w:rsidRPr="0008746B">
        <w:rPr>
          <w:rFonts w:cstheme="minorHAnsi"/>
        </w:rPr>
        <w:t xml:space="preserve">ting programs; and the early years of school (defined as Foundation Year through to Year 3). </w:t>
      </w:r>
      <w:r w:rsidR="00A933C3" w:rsidRPr="00812AA1">
        <w:rPr>
          <w:rFonts w:cstheme="minorHAnsi"/>
        </w:rPr>
        <w:t xml:space="preserve">These five strategies are notably longitudinal (across early childhood), ecological (targeting child and parent), evidence-based, already available in almost all communities, and able to be targeted to benefit the ‘bottom 25 per cent’. </w:t>
      </w:r>
    </w:p>
    <w:p w14:paraId="7A350566" w14:textId="77777777" w:rsidR="00302E57" w:rsidRPr="00812AA1" w:rsidRDefault="00302E57" w:rsidP="00CD7559">
      <w:pPr>
        <w:rPr>
          <w:rFonts w:cstheme="minorHAnsi"/>
        </w:rPr>
      </w:pPr>
    </w:p>
    <w:p w14:paraId="45DA3FAE" w14:textId="02EBDEC7" w:rsidR="00CD7559" w:rsidRPr="00812AA1" w:rsidRDefault="00352D86" w:rsidP="00CD7559">
      <w:pPr>
        <w:rPr>
          <w:rFonts w:cstheme="minorHAnsi"/>
        </w:rPr>
      </w:pPr>
      <w:r w:rsidRPr="00812AA1">
        <w:rPr>
          <w:rFonts w:cstheme="minorHAnsi"/>
        </w:rPr>
        <w:t xml:space="preserve">The initiative’s </w:t>
      </w:r>
      <w:r w:rsidR="00CD7559" w:rsidRPr="00812AA1">
        <w:rPr>
          <w:rFonts w:cstheme="minorHAnsi"/>
        </w:rPr>
        <w:t>unique approach uses</w:t>
      </w:r>
      <w:r w:rsidR="004C48A6" w:rsidRPr="00812AA1">
        <w:rPr>
          <w:rFonts w:cstheme="minorHAnsi"/>
        </w:rPr>
        <w:t xml:space="preserve"> data and</w:t>
      </w:r>
      <w:r w:rsidR="00CD7559" w:rsidRPr="00812AA1">
        <w:rPr>
          <w:rFonts w:cstheme="minorHAnsi"/>
        </w:rPr>
        <w:t xml:space="preserve"> evidence</w:t>
      </w:r>
      <w:r w:rsidR="004C48A6" w:rsidRPr="00812AA1">
        <w:rPr>
          <w:rFonts w:cstheme="minorHAnsi"/>
        </w:rPr>
        <w:t>-based indicators</w:t>
      </w:r>
      <w:r w:rsidR="00CD7559" w:rsidRPr="006C29CC">
        <w:rPr>
          <w:rFonts w:cstheme="minorHAnsi"/>
        </w:rPr>
        <w:t xml:space="preserve"> to focus on </w:t>
      </w:r>
      <w:r w:rsidR="00F56293" w:rsidRPr="002D6268">
        <w:rPr>
          <w:rFonts w:cstheme="minorHAnsi"/>
          <w:i/>
        </w:rPr>
        <w:t>how</w:t>
      </w:r>
      <w:r w:rsidR="00F56293" w:rsidRPr="002D6268">
        <w:rPr>
          <w:rFonts w:cstheme="minorHAnsi"/>
        </w:rPr>
        <w:t xml:space="preserve"> </w:t>
      </w:r>
      <w:r w:rsidR="00CD7559" w:rsidRPr="008E21CB">
        <w:rPr>
          <w:rFonts w:cstheme="minorHAnsi"/>
        </w:rPr>
        <w:t>to work differently to improve outcomes for children, families</w:t>
      </w:r>
      <w:r w:rsidR="00CD7559" w:rsidRPr="009B2FA6">
        <w:rPr>
          <w:rFonts w:cstheme="minorHAnsi"/>
        </w:rPr>
        <w:t xml:space="preserve"> and communities. It develops the skills and knowledge of practi</w:t>
      </w:r>
      <w:r w:rsidR="0089670D" w:rsidRPr="0008746B">
        <w:rPr>
          <w:rFonts w:cstheme="minorHAnsi"/>
        </w:rPr>
        <w:t>ti</w:t>
      </w:r>
      <w:r w:rsidR="00CD7559" w:rsidRPr="00812AA1">
        <w:rPr>
          <w:rFonts w:cstheme="minorHAnsi"/>
        </w:rPr>
        <w:t xml:space="preserve">oners, community leaders and government for collecting, understanding and using </w:t>
      </w:r>
      <w:r w:rsidR="0041132B" w:rsidRPr="00812AA1">
        <w:rPr>
          <w:rFonts w:cstheme="minorHAnsi"/>
        </w:rPr>
        <w:t xml:space="preserve">lead indicators </w:t>
      </w:r>
      <w:r w:rsidR="00CD7559" w:rsidRPr="00812AA1">
        <w:rPr>
          <w:rFonts w:cstheme="minorHAnsi"/>
        </w:rPr>
        <w:t>to answer key questions including:</w:t>
      </w:r>
    </w:p>
    <w:p w14:paraId="60C9D48B" w14:textId="4FB5A57E" w:rsidR="00CD7559" w:rsidRPr="006C29CC" w:rsidRDefault="005A37BC" w:rsidP="00CD7559">
      <w:pPr>
        <w:pStyle w:val="ListParagraph"/>
        <w:numPr>
          <w:ilvl w:val="0"/>
          <w:numId w:val="2"/>
        </w:numPr>
        <w:rPr>
          <w:rFonts w:cstheme="minorHAnsi"/>
        </w:rPr>
      </w:pPr>
      <w:r w:rsidRPr="006C29CC">
        <w:rPr>
          <w:rFonts w:cstheme="minorHAnsi"/>
          <w:b/>
          <w:bCs/>
          <w:color w:val="F36D35"/>
        </w:rPr>
        <w:t>Quantity</w:t>
      </w:r>
      <w:r w:rsidR="00CD7559" w:rsidRPr="006C29CC">
        <w:rPr>
          <w:rFonts w:cstheme="minorHAnsi"/>
          <w:b/>
          <w:bCs/>
          <w:color w:val="F36D35"/>
        </w:rPr>
        <w:t>:</w:t>
      </w:r>
      <w:r w:rsidR="00CD7559" w:rsidRPr="006C29CC">
        <w:rPr>
          <w:rFonts w:cstheme="minorHAnsi"/>
        </w:rPr>
        <w:t xml:space="preserve"> Are </w:t>
      </w:r>
      <w:r w:rsidR="0070188A" w:rsidRPr="006C29CC">
        <w:rPr>
          <w:rFonts w:cstheme="minorHAnsi"/>
        </w:rPr>
        <w:t>the strategies available locally in sufficient quantity, relative to the size of the target population</w:t>
      </w:r>
      <w:r w:rsidR="00CD7559" w:rsidRPr="006C29CC">
        <w:rPr>
          <w:rFonts w:cstheme="minorHAnsi"/>
        </w:rPr>
        <w:t>?</w:t>
      </w:r>
    </w:p>
    <w:p w14:paraId="39EBCCA3" w14:textId="1361AE4D" w:rsidR="00CD7559" w:rsidRPr="006C29CC" w:rsidRDefault="00CD7559" w:rsidP="00CD7559">
      <w:pPr>
        <w:pStyle w:val="ListParagraph"/>
        <w:numPr>
          <w:ilvl w:val="0"/>
          <w:numId w:val="2"/>
        </w:numPr>
        <w:rPr>
          <w:rFonts w:cstheme="minorHAnsi"/>
        </w:rPr>
      </w:pPr>
      <w:r w:rsidRPr="006C29CC">
        <w:rPr>
          <w:rFonts w:cstheme="minorHAnsi"/>
          <w:b/>
          <w:bCs/>
          <w:color w:val="F36D35"/>
        </w:rPr>
        <w:t>Quality:</w:t>
      </w:r>
      <w:r w:rsidRPr="006C29CC">
        <w:rPr>
          <w:rFonts w:cstheme="minorHAnsi"/>
          <w:color w:val="F36D35"/>
        </w:rPr>
        <w:t xml:space="preserve"> </w:t>
      </w:r>
      <w:r w:rsidRPr="006C29CC">
        <w:rPr>
          <w:rFonts w:cstheme="minorHAnsi"/>
        </w:rPr>
        <w:t xml:space="preserve">Are </w:t>
      </w:r>
      <w:r w:rsidR="0070188A" w:rsidRPr="006C29CC">
        <w:rPr>
          <w:rFonts w:cstheme="minorHAnsi"/>
        </w:rPr>
        <w:t>the strategies delivered effectively relative to evidence-based performance standards</w:t>
      </w:r>
      <w:r w:rsidRPr="006C29CC">
        <w:rPr>
          <w:rFonts w:cstheme="minorHAnsi"/>
        </w:rPr>
        <w:t>?</w:t>
      </w:r>
    </w:p>
    <w:p w14:paraId="26165186" w14:textId="647C5BA1" w:rsidR="00CD7559" w:rsidRPr="006C29CC" w:rsidRDefault="00CD7559" w:rsidP="00CD7559">
      <w:pPr>
        <w:pStyle w:val="ListParagraph"/>
        <w:numPr>
          <w:ilvl w:val="0"/>
          <w:numId w:val="2"/>
        </w:numPr>
        <w:rPr>
          <w:rFonts w:cstheme="minorHAnsi"/>
        </w:rPr>
      </w:pPr>
      <w:r w:rsidRPr="006C29CC">
        <w:rPr>
          <w:rFonts w:cstheme="minorHAnsi"/>
          <w:b/>
          <w:bCs/>
          <w:color w:val="F36D35"/>
        </w:rPr>
        <w:t xml:space="preserve">Participation: </w:t>
      </w:r>
      <w:r w:rsidR="0070188A" w:rsidRPr="006C29CC">
        <w:rPr>
          <w:rFonts w:cstheme="minorHAnsi"/>
        </w:rPr>
        <w:t xml:space="preserve">Do the targeted children and families participate, </w:t>
      </w:r>
      <w:r w:rsidR="00C22952" w:rsidRPr="006C29CC">
        <w:rPr>
          <w:rFonts w:cstheme="minorHAnsi"/>
        </w:rPr>
        <w:t xml:space="preserve">and </w:t>
      </w:r>
      <w:r w:rsidR="0070188A" w:rsidRPr="006C29CC">
        <w:rPr>
          <w:rFonts w:cstheme="minorHAnsi"/>
        </w:rPr>
        <w:t>at the right dosage levels</w:t>
      </w:r>
      <w:r w:rsidRPr="006C29CC">
        <w:rPr>
          <w:rFonts w:cstheme="minorHAnsi"/>
        </w:rPr>
        <w:t>?</w:t>
      </w:r>
    </w:p>
    <w:p w14:paraId="4987214D" w14:textId="77777777" w:rsidR="0089670D" w:rsidRPr="0008746B" w:rsidRDefault="0089670D" w:rsidP="00EE6A74">
      <w:pPr>
        <w:rPr>
          <w:rFonts w:cstheme="minorHAnsi"/>
        </w:rPr>
      </w:pPr>
    </w:p>
    <w:p w14:paraId="3C154C14" w14:textId="3D3C3341" w:rsidR="00EE6A74" w:rsidRPr="00812AA1" w:rsidRDefault="00EE6A74" w:rsidP="00EE6A74">
      <w:pPr>
        <w:rPr>
          <w:rFonts w:cstheme="minorHAnsi"/>
        </w:rPr>
      </w:pPr>
      <w:r w:rsidRPr="00812AA1">
        <w:rPr>
          <w:rFonts w:cstheme="minorHAnsi"/>
        </w:rPr>
        <w:lastRenderedPageBreak/>
        <w:t>Our research to date has involved:</w:t>
      </w:r>
    </w:p>
    <w:p w14:paraId="1814746F" w14:textId="77777777" w:rsidR="00EE6A74" w:rsidRPr="006C29CC" w:rsidRDefault="00EE6A74" w:rsidP="00EE6A74">
      <w:pPr>
        <w:pStyle w:val="ListParagraph"/>
        <w:numPr>
          <w:ilvl w:val="0"/>
          <w:numId w:val="1"/>
        </w:numPr>
        <w:rPr>
          <w:rFonts w:cstheme="minorHAnsi"/>
        </w:rPr>
      </w:pPr>
      <w:r w:rsidRPr="00812AA1">
        <w:rPr>
          <w:rFonts w:cstheme="minorHAnsi"/>
        </w:rPr>
        <w:t xml:space="preserve">Showing that ‘Stacking’ these five fundamental strategies, (i.e., ensuring they are all applied for a given individual) has a cumulative, positive effect on child development outcomes, measured through reading scores at ages 8-9. The research findings from our analysis of data from the Longitudinal Study of Australian Children are published at: </w:t>
      </w:r>
      <w:hyperlink r:id="rId11" w:history="1">
        <w:r w:rsidRPr="002D6268">
          <w:rPr>
            <w:rStyle w:val="Hyperlink"/>
            <w:rFonts w:cstheme="minorHAnsi"/>
            <w:lang w:val="en-US"/>
          </w:rPr>
          <w:t>https://pubmed.ncbi.nlm.nih.gov/31586934/</w:t>
        </w:r>
      </w:hyperlink>
    </w:p>
    <w:p w14:paraId="63C37FA4" w14:textId="54324CA0" w:rsidR="00EE6A74" w:rsidRPr="002D6268" w:rsidRDefault="00EE6A74" w:rsidP="00EE6A74">
      <w:pPr>
        <w:pStyle w:val="ListParagraph"/>
        <w:numPr>
          <w:ilvl w:val="0"/>
          <w:numId w:val="1"/>
        </w:numPr>
        <w:rPr>
          <w:rFonts w:cstheme="minorHAnsi"/>
        </w:rPr>
      </w:pPr>
      <w:r w:rsidRPr="009B2FA6">
        <w:rPr>
          <w:rFonts w:cstheme="minorHAnsi"/>
        </w:rPr>
        <w:t xml:space="preserve">Developing and applying evidence-based lead indicators for the effective delivery of the five fundamental strategies. Our research and community level work has shown that evidence-based lead indicators </w:t>
      </w:r>
      <w:r w:rsidRPr="0008746B">
        <w:rPr>
          <w:rFonts w:cstheme="minorHAnsi"/>
        </w:rPr>
        <w:t>can be defined and populated for each strategy and reveal an array of important gaps in services, which can be acted on. Service providers, policymakers and community representatives recognise the data gap and welcome our attempts to address it. An overv</w:t>
      </w:r>
      <w:r w:rsidRPr="00812AA1">
        <w:rPr>
          <w:rFonts w:cstheme="minorHAnsi"/>
        </w:rPr>
        <w:t xml:space="preserve">iew of these findings is available at: </w:t>
      </w:r>
      <w:hyperlink r:id="rId12">
        <w:r w:rsidRPr="002D6268">
          <w:rPr>
            <w:rStyle w:val="Hyperlink"/>
            <w:rFonts w:cstheme="minorHAnsi"/>
          </w:rPr>
          <w:t>https://www.rch.org.au/ccch/Restacking_the_Odds/</w:t>
        </w:r>
      </w:hyperlink>
      <w:r w:rsidRPr="006C29CC">
        <w:rPr>
          <w:rFonts w:cstheme="minorHAnsi"/>
        </w:rPr>
        <w:t xml:space="preserve"> </w:t>
      </w:r>
    </w:p>
    <w:p w14:paraId="79FC0C3D" w14:textId="77777777" w:rsidR="00F70487" w:rsidRPr="009B2FA6" w:rsidRDefault="00F70487" w:rsidP="00F70487">
      <w:pPr>
        <w:rPr>
          <w:rFonts w:cstheme="minorHAnsi"/>
        </w:rPr>
      </w:pPr>
    </w:p>
    <w:p w14:paraId="7F59F740" w14:textId="7666FA02" w:rsidR="00F70487" w:rsidRPr="00812AA1" w:rsidRDefault="00F70487" w:rsidP="0041132B">
      <w:pPr>
        <w:rPr>
          <w:rFonts w:cstheme="minorHAnsi"/>
        </w:rPr>
      </w:pPr>
      <w:r w:rsidRPr="0008746B">
        <w:rPr>
          <w:rFonts w:cstheme="minorHAnsi"/>
        </w:rPr>
        <w:t xml:space="preserve">Lead indicators are essential. They allow service providers and other stakeholders to regularly assess performance and progress, and course-correct when required. While outcome data is the ultimate arbiter of success, lead indicators about which strategies families and children are actually experiencing allow </w:t>
      </w:r>
      <w:r w:rsidR="00812AA1">
        <w:rPr>
          <w:rFonts w:cstheme="minorHAnsi"/>
        </w:rPr>
        <w:t>services</w:t>
      </w:r>
      <w:r w:rsidR="00812AA1" w:rsidRPr="0008746B">
        <w:rPr>
          <w:rFonts w:cstheme="minorHAnsi"/>
        </w:rPr>
        <w:t xml:space="preserve"> </w:t>
      </w:r>
      <w:r w:rsidRPr="0008746B">
        <w:rPr>
          <w:rFonts w:cstheme="minorHAnsi"/>
        </w:rPr>
        <w:t xml:space="preserve">to make adjustments and </w:t>
      </w:r>
      <w:r w:rsidRPr="00812AA1">
        <w:rPr>
          <w:rFonts w:cstheme="minorHAnsi"/>
        </w:rPr>
        <w:t xml:space="preserve">accumulate learning regularly, rather than waiting years to see outcomes. </w:t>
      </w:r>
    </w:p>
    <w:p w14:paraId="54828141" w14:textId="77777777" w:rsidR="006B1040" w:rsidRPr="00812AA1" w:rsidRDefault="006B1040" w:rsidP="0041132B">
      <w:pPr>
        <w:rPr>
          <w:rFonts w:cstheme="minorHAnsi"/>
        </w:rPr>
      </w:pPr>
    </w:p>
    <w:p w14:paraId="365CBEEC" w14:textId="77777777" w:rsidR="00C55FA6" w:rsidRPr="000D4ABF" w:rsidRDefault="00C47992" w:rsidP="00C47992">
      <w:pPr>
        <w:rPr>
          <w:rFonts w:cstheme="minorHAnsi"/>
          <w:i/>
          <w:iCs/>
        </w:rPr>
      </w:pPr>
      <w:r w:rsidRPr="000D4ABF">
        <w:rPr>
          <w:rFonts w:cstheme="minorHAnsi"/>
        </w:rPr>
        <w:t xml:space="preserve">For the </w:t>
      </w:r>
      <w:r w:rsidRPr="000D4ABF">
        <w:rPr>
          <w:rFonts w:cstheme="minorHAnsi"/>
          <w:b/>
        </w:rPr>
        <w:t>early years of school</w:t>
      </w:r>
      <w:r w:rsidRPr="000D4ABF">
        <w:rPr>
          <w:rFonts w:cstheme="minorHAnsi"/>
        </w:rPr>
        <w:t>, our focus has been on</w:t>
      </w:r>
      <w:r w:rsidR="00874B9F" w:rsidRPr="000D4ABF">
        <w:rPr>
          <w:rFonts w:cstheme="minorHAnsi"/>
        </w:rPr>
        <w:t xml:space="preserve"> identifying effective strategies to improve</w:t>
      </w:r>
      <w:r w:rsidRPr="000D4ABF">
        <w:rPr>
          <w:rFonts w:cstheme="minorHAnsi"/>
        </w:rPr>
        <w:t xml:space="preserve"> quality. Quantity and participation are expected to be in line with state and territory legislation for compulsory schooling.</w:t>
      </w:r>
      <w:r w:rsidRPr="000D4ABF">
        <w:rPr>
          <w:rFonts w:cstheme="minorHAnsi"/>
          <w:i/>
          <w:iCs/>
        </w:rPr>
        <w:t xml:space="preserve"> </w:t>
      </w:r>
    </w:p>
    <w:p w14:paraId="1912F797" w14:textId="77777777" w:rsidR="00C55FA6" w:rsidRPr="000D4ABF" w:rsidRDefault="00C55FA6" w:rsidP="00C47992">
      <w:pPr>
        <w:rPr>
          <w:rFonts w:cstheme="minorHAnsi"/>
          <w:i/>
          <w:iCs/>
        </w:rPr>
      </w:pPr>
    </w:p>
    <w:p w14:paraId="02F08A2E" w14:textId="679207A0" w:rsidR="00C47992" w:rsidRPr="006C29CC" w:rsidRDefault="00C47992" w:rsidP="00C47992">
      <w:pPr>
        <w:rPr>
          <w:rFonts w:cstheme="minorHAnsi"/>
        </w:rPr>
      </w:pPr>
      <w:r w:rsidRPr="000D4ABF">
        <w:rPr>
          <w:rFonts w:cstheme="minorHAnsi"/>
        </w:rPr>
        <w:t xml:space="preserve">Currently, there is no national quality framework for schools. Each state and territory has its own framework for improving school quality and performance. </w:t>
      </w:r>
      <w:r w:rsidR="00276291" w:rsidRPr="000D4ABF">
        <w:rPr>
          <w:rFonts w:cstheme="minorHAnsi"/>
        </w:rPr>
        <w:t xml:space="preserve">Each of the frameworks identifies a range of domains thought to reflect school quality and within each of the domains, may suggest improvement strategies. </w:t>
      </w:r>
      <w:r w:rsidRPr="000D4ABF">
        <w:rPr>
          <w:rFonts w:cstheme="minorHAnsi"/>
        </w:rPr>
        <w:t xml:space="preserve">However, the evaluation tools utilised in existing frameworks have </w:t>
      </w:r>
      <w:r w:rsidR="00753563" w:rsidRPr="000D4ABF">
        <w:rPr>
          <w:rFonts w:cstheme="minorHAnsi"/>
        </w:rPr>
        <w:t xml:space="preserve">significant </w:t>
      </w:r>
      <w:r w:rsidRPr="000D4ABF">
        <w:rPr>
          <w:rFonts w:cstheme="minorHAnsi"/>
        </w:rPr>
        <w:t>limitations. These include overly complex structures, reliance on subjective ratings from school leaders and ambiguity of quality indicators compr</w:t>
      </w:r>
      <w:r w:rsidR="00753563" w:rsidRPr="000D4ABF">
        <w:rPr>
          <w:rFonts w:cstheme="minorHAnsi"/>
        </w:rPr>
        <w:t>om</w:t>
      </w:r>
      <w:r w:rsidRPr="000D4ABF">
        <w:rPr>
          <w:rFonts w:cstheme="minorHAnsi"/>
        </w:rPr>
        <w:t>ising the extent to which they are measurable and modifiable.</w:t>
      </w:r>
      <w:r w:rsidR="008E21CB">
        <w:rPr>
          <w:rFonts w:cstheme="minorHAnsi"/>
        </w:rPr>
        <w:t xml:space="preserve"> By contrast, the early childhood education and care sector has a National Quality Standard. This </w:t>
      </w:r>
      <w:r w:rsidR="009B2FA6">
        <w:rPr>
          <w:rFonts w:cstheme="minorHAnsi"/>
        </w:rPr>
        <w:t xml:space="preserve">sets a national benchmark for quality across the sector and supports continuous quality improvement. </w:t>
      </w:r>
    </w:p>
    <w:p w14:paraId="11523581" w14:textId="60F1AB93" w:rsidR="00C47992" w:rsidRPr="000D4ABF" w:rsidRDefault="00C47992" w:rsidP="00EE6A74">
      <w:pPr>
        <w:rPr>
          <w:rFonts w:cstheme="minorHAnsi"/>
          <w:i/>
          <w:iCs/>
        </w:rPr>
      </w:pPr>
    </w:p>
    <w:p w14:paraId="75A2CB4D" w14:textId="6EC8BD0E" w:rsidR="00EE6A74" w:rsidRPr="006C29CC" w:rsidRDefault="00EE6A74" w:rsidP="00EE6A74">
      <w:pPr>
        <w:rPr>
          <w:rFonts w:cstheme="minorHAnsi"/>
        </w:rPr>
      </w:pPr>
      <w:r w:rsidRPr="006C29CC">
        <w:rPr>
          <w:rFonts w:cstheme="minorHAnsi"/>
        </w:rPr>
        <w:t>Restacking the Odds has identified evidence-based quality indicators</w:t>
      </w:r>
      <w:r w:rsidR="0072501B" w:rsidRPr="002D6268">
        <w:rPr>
          <w:rFonts w:cstheme="minorHAnsi"/>
        </w:rPr>
        <w:t xml:space="preserve"> for the early years of school</w:t>
      </w:r>
      <w:r w:rsidRPr="002D6268">
        <w:rPr>
          <w:rFonts w:cstheme="minorHAnsi"/>
        </w:rPr>
        <w:t xml:space="preserve">. These indicators are tied to school processes (i.e. process indicators at the classroom, student </w:t>
      </w:r>
      <w:r w:rsidRPr="00812AA1">
        <w:rPr>
          <w:rFonts w:cstheme="minorHAnsi"/>
        </w:rPr>
        <w:t xml:space="preserve">or lesson level that contribute to the achievement of high-quality outcomes) and teaching staff competencies (i.e. provider indicators). The full set of indicators and further details on the methodology and findings are outlined in the attached </w:t>
      </w:r>
      <w:hyperlink r:id="rId13" w:history="1">
        <w:r w:rsidRPr="002D6268">
          <w:rPr>
            <w:rStyle w:val="Hyperlink"/>
            <w:rFonts w:cstheme="minorHAnsi"/>
          </w:rPr>
          <w:t>Communication Brief</w:t>
        </w:r>
      </w:hyperlink>
      <w:r w:rsidRPr="006C29CC">
        <w:rPr>
          <w:rFonts w:cstheme="minorHAnsi"/>
        </w:rPr>
        <w:t>. The full technical report is currently being peer reviewed and is likely to be published in July</w:t>
      </w:r>
      <w:r w:rsidR="00AC0FCE">
        <w:rPr>
          <w:rFonts w:cstheme="minorHAnsi"/>
        </w:rPr>
        <w:t xml:space="preserve"> 2022</w:t>
      </w:r>
      <w:r w:rsidRPr="006C29CC">
        <w:rPr>
          <w:rFonts w:cstheme="minorHAnsi"/>
        </w:rPr>
        <w:t xml:space="preserve">. </w:t>
      </w:r>
    </w:p>
    <w:p w14:paraId="57EC1A78" w14:textId="4DBF892D" w:rsidR="00EF194E" w:rsidRPr="009B2FA6" w:rsidRDefault="00EF194E" w:rsidP="00EE6A74">
      <w:pPr>
        <w:rPr>
          <w:rFonts w:cstheme="minorHAnsi"/>
        </w:rPr>
      </w:pPr>
    </w:p>
    <w:p w14:paraId="6D9F22DE" w14:textId="0DE21771" w:rsidR="009F0584" w:rsidRPr="00E52651" w:rsidRDefault="00EE6A74" w:rsidP="00EE6A74">
      <w:pPr>
        <w:rPr>
          <w:rFonts w:cstheme="minorHAnsi"/>
        </w:rPr>
      </w:pPr>
      <w:r w:rsidRPr="009B2FA6">
        <w:rPr>
          <w:rFonts w:cstheme="minorHAnsi"/>
        </w:rPr>
        <w:t xml:space="preserve">The identification of evidence-based indicators provides a potential framework </w:t>
      </w:r>
      <w:r w:rsidRPr="006C29CC">
        <w:rPr>
          <w:rFonts w:cstheme="minorHAnsi"/>
        </w:rPr>
        <w:t xml:space="preserve">to guide quality </w:t>
      </w:r>
      <w:r w:rsidR="00CC475B">
        <w:rPr>
          <w:rFonts w:cstheme="minorHAnsi"/>
        </w:rPr>
        <w:t xml:space="preserve">in </w:t>
      </w:r>
      <w:r w:rsidRPr="006C29CC">
        <w:rPr>
          <w:rFonts w:cstheme="minorHAnsi"/>
        </w:rPr>
        <w:t>schools</w:t>
      </w:r>
      <w:r w:rsidR="00E52651">
        <w:rPr>
          <w:rFonts w:cstheme="minorHAnsi"/>
        </w:rPr>
        <w:t xml:space="preserve">. Populating the indicators gives practitioners data to better understand performance and select </w:t>
      </w:r>
      <w:r w:rsidRPr="009B2FA6">
        <w:rPr>
          <w:rFonts w:cstheme="minorHAnsi"/>
        </w:rPr>
        <w:t>quality improvement initiatives</w:t>
      </w:r>
      <w:r w:rsidRPr="00CC475B">
        <w:rPr>
          <w:rFonts w:cstheme="minorHAnsi"/>
        </w:rPr>
        <w:t>.</w:t>
      </w:r>
      <w:r w:rsidR="00430FD6" w:rsidRPr="00E52651">
        <w:rPr>
          <w:rFonts w:cstheme="minorHAnsi"/>
        </w:rPr>
        <w:t xml:space="preserve"> </w:t>
      </w:r>
      <w:r w:rsidR="009F0584" w:rsidRPr="00E52651">
        <w:rPr>
          <w:rFonts w:cstheme="minorHAnsi"/>
        </w:rPr>
        <w:t>E</w:t>
      </w:r>
      <w:r w:rsidR="00430FD6" w:rsidRPr="00E52651">
        <w:rPr>
          <w:rFonts w:cstheme="minorHAnsi"/>
        </w:rPr>
        <w:t>mbedd</w:t>
      </w:r>
      <w:r w:rsidR="009F0584" w:rsidRPr="00E52651">
        <w:rPr>
          <w:rFonts w:cstheme="minorHAnsi"/>
        </w:rPr>
        <w:t>ing lead indicators of quality</w:t>
      </w:r>
      <w:r w:rsidR="00430FD6" w:rsidRPr="00E52651">
        <w:rPr>
          <w:rFonts w:cstheme="minorHAnsi"/>
        </w:rPr>
        <w:t xml:space="preserve"> in the NSRA measurement framework </w:t>
      </w:r>
      <w:r w:rsidR="009F0584" w:rsidRPr="00E52651">
        <w:rPr>
          <w:rFonts w:cstheme="minorHAnsi"/>
        </w:rPr>
        <w:t>ha</w:t>
      </w:r>
      <w:r w:rsidR="00E31CBF" w:rsidRPr="00E52651">
        <w:rPr>
          <w:rFonts w:cstheme="minorHAnsi"/>
        </w:rPr>
        <w:t>s</w:t>
      </w:r>
      <w:r w:rsidR="009F0584" w:rsidRPr="00E52651">
        <w:rPr>
          <w:rFonts w:cstheme="minorHAnsi"/>
        </w:rPr>
        <w:t xml:space="preserve"> potential </w:t>
      </w:r>
      <w:r w:rsidR="00430FD6" w:rsidRPr="00E52651">
        <w:rPr>
          <w:rFonts w:cstheme="minorHAnsi"/>
        </w:rPr>
        <w:t>to</w:t>
      </w:r>
      <w:r w:rsidR="009F0584" w:rsidRPr="00E52651">
        <w:rPr>
          <w:rFonts w:cstheme="minorHAnsi"/>
        </w:rPr>
        <w:t xml:space="preserve"> elicit </w:t>
      </w:r>
      <w:r w:rsidR="00972838" w:rsidRPr="00E52651">
        <w:rPr>
          <w:rFonts w:cstheme="minorHAnsi"/>
        </w:rPr>
        <w:t xml:space="preserve">an array of </w:t>
      </w:r>
      <w:r w:rsidR="009F0584" w:rsidRPr="00E52651">
        <w:rPr>
          <w:rFonts w:cstheme="minorHAnsi"/>
        </w:rPr>
        <w:t>benefits</w:t>
      </w:r>
      <w:r w:rsidR="00972838" w:rsidRPr="00E52651">
        <w:rPr>
          <w:rFonts w:cstheme="minorHAnsi"/>
        </w:rPr>
        <w:t xml:space="preserve"> including</w:t>
      </w:r>
      <w:r w:rsidR="009F0584" w:rsidRPr="00E52651">
        <w:rPr>
          <w:rFonts w:cstheme="minorHAnsi"/>
        </w:rPr>
        <w:t>:</w:t>
      </w:r>
    </w:p>
    <w:p w14:paraId="72E05AD8" w14:textId="77777777" w:rsidR="00753563" w:rsidRPr="00812AA1" w:rsidRDefault="00753563" w:rsidP="00753563">
      <w:pPr>
        <w:pStyle w:val="ListParagraph"/>
        <w:numPr>
          <w:ilvl w:val="0"/>
          <w:numId w:val="1"/>
        </w:numPr>
        <w:rPr>
          <w:rFonts w:cstheme="minorHAnsi"/>
        </w:rPr>
      </w:pPr>
      <w:r w:rsidRPr="00E52651">
        <w:rPr>
          <w:rFonts w:cstheme="minorHAnsi"/>
        </w:rPr>
        <w:t>At the school</w:t>
      </w:r>
      <w:r w:rsidRPr="0008746B">
        <w:rPr>
          <w:rFonts w:cstheme="minorHAnsi"/>
        </w:rPr>
        <w:t>/classroom level for contin</w:t>
      </w:r>
      <w:r w:rsidRPr="00812AA1">
        <w:rPr>
          <w:rFonts w:cstheme="minorHAnsi"/>
        </w:rPr>
        <w:t xml:space="preserve">uous improvement, including early intervention.    </w:t>
      </w:r>
    </w:p>
    <w:p w14:paraId="0E721BCB" w14:textId="3A53CF22" w:rsidR="00753563" w:rsidRPr="0008746B" w:rsidRDefault="00753563" w:rsidP="00753563">
      <w:pPr>
        <w:pStyle w:val="ListParagraph"/>
        <w:numPr>
          <w:ilvl w:val="0"/>
          <w:numId w:val="1"/>
        </w:numPr>
        <w:rPr>
          <w:rFonts w:cstheme="minorHAnsi"/>
        </w:rPr>
      </w:pPr>
      <w:r w:rsidRPr="00812AA1">
        <w:rPr>
          <w:rFonts w:cstheme="minorHAnsi"/>
        </w:rPr>
        <w:t xml:space="preserve">At the state or system level to inform decisions on resourcing and support for schools and at the regional level to create learning collaboratives to drive </w:t>
      </w:r>
      <w:r w:rsidRPr="0008746B">
        <w:rPr>
          <w:rFonts w:cstheme="minorHAnsi"/>
        </w:rPr>
        <w:t xml:space="preserve">systemic change </w:t>
      </w:r>
      <w:r w:rsidR="0008746B">
        <w:rPr>
          <w:rFonts w:cstheme="minorHAnsi"/>
        </w:rPr>
        <w:t xml:space="preserve">in </w:t>
      </w:r>
      <w:r w:rsidRPr="0008746B">
        <w:rPr>
          <w:rFonts w:cstheme="minorHAnsi"/>
        </w:rPr>
        <w:t>response to local context</w:t>
      </w:r>
      <w:r w:rsidR="00182395">
        <w:rPr>
          <w:rFonts w:cstheme="minorHAnsi"/>
        </w:rPr>
        <w:t>.</w:t>
      </w:r>
    </w:p>
    <w:p w14:paraId="158A9E59" w14:textId="54EBDCFA" w:rsidR="009F0584" w:rsidRPr="002D6268" w:rsidRDefault="00753563" w:rsidP="009F0584">
      <w:pPr>
        <w:pStyle w:val="ListParagraph"/>
        <w:numPr>
          <w:ilvl w:val="0"/>
          <w:numId w:val="1"/>
        </w:numPr>
        <w:rPr>
          <w:rFonts w:cstheme="minorHAnsi"/>
        </w:rPr>
      </w:pPr>
      <w:r w:rsidRPr="0008746B">
        <w:rPr>
          <w:rFonts w:cstheme="minorHAnsi"/>
        </w:rPr>
        <w:lastRenderedPageBreak/>
        <w:t>Ove</w:t>
      </w:r>
      <w:r w:rsidRPr="00812AA1">
        <w:rPr>
          <w:rFonts w:cstheme="minorHAnsi"/>
        </w:rPr>
        <w:t xml:space="preserve">r time, </w:t>
      </w:r>
      <w:r w:rsidR="009F0584" w:rsidRPr="00812AA1">
        <w:rPr>
          <w:rFonts w:cstheme="minorHAnsi"/>
        </w:rPr>
        <w:t xml:space="preserve">to track </w:t>
      </w:r>
      <w:r w:rsidR="00C22952" w:rsidRPr="00812AA1">
        <w:rPr>
          <w:rFonts w:cstheme="minorHAnsi"/>
        </w:rPr>
        <w:t xml:space="preserve">how school processes are impacting </w:t>
      </w:r>
      <w:r w:rsidR="009F0584" w:rsidRPr="00812AA1">
        <w:rPr>
          <w:rFonts w:cstheme="minorHAnsi"/>
        </w:rPr>
        <w:t xml:space="preserve">student outcomes </w:t>
      </w:r>
      <w:r w:rsidR="009F0584" w:rsidRPr="006C29CC">
        <w:rPr>
          <w:rFonts w:cstheme="minorHAnsi"/>
        </w:rPr>
        <w:t>and inform policy responses</w:t>
      </w:r>
      <w:r w:rsidRPr="002D6268">
        <w:rPr>
          <w:rFonts w:cstheme="minorHAnsi"/>
        </w:rPr>
        <w:t xml:space="preserve"> at the population level</w:t>
      </w:r>
      <w:r w:rsidR="00182395">
        <w:rPr>
          <w:rFonts w:cstheme="minorHAnsi"/>
        </w:rPr>
        <w:t>.</w:t>
      </w:r>
    </w:p>
    <w:p w14:paraId="5ECC877F" w14:textId="77777777" w:rsidR="00EE6A74" w:rsidRPr="00812AA1" w:rsidRDefault="00EE6A74" w:rsidP="00EE6A74">
      <w:pPr>
        <w:rPr>
          <w:rFonts w:cstheme="minorHAnsi"/>
        </w:rPr>
      </w:pPr>
    </w:p>
    <w:p w14:paraId="6776FFDB" w14:textId="1C2DB65D" w:rsidR="00EE6A74" w:rsidRPr="00812AA1" w:rsidRDefault="00EE6A74" w:rsidP="00EE6A74">
      <w:pPr>
        <w:rPr>
          <w:rFonts w:cstheme="minorHAnsi"/>
        </w:rPr>
      </w:pPr>
      <w:r w:rsidRPr="00812AA1">
        <w:rPr>
          <w:rFonts w:cstheme="minorHAnsi"/>
        </w:rPr>
        <w:t>We are continuing to trial and iterate on the indicators to determine which are pragmatic to collect, resonate with communities, and provide robust measures to stimulate community and government action.</w:t>
      </w:r>
      <w:r w:rsidR="0089670D" w:rsidRPr="00812AA1">
        <w:rPr>
          <w:rFonts w:cstheme="minorHAnsi"/>
        </w:rPr>
        <w:t xml:space="preserve"> Research underway</w:t>
      </w:r>
      <w:r w:rsidR="00430FD6" w:rsidRPr="00812AA1">
        <w:rPr>
          <w:rFonts w:cstheme="minorHAnsi"/>
        </w:rPr>
        <w:t xml:space="preserve"> with school leaders</w:t>
      </w:r>
      <w:r w:rsidR="0089670D" w:rsidRPr="00812AA1">
        <w:rPr>
          <w:rFonts w:cstheme="minorHAnsi"/>
        </w:rPr>
        <w:t xml:space="preserve"> </w:t>
      </w:r>
      <w:r w:rsidR="00430FD6" w:rsidRPr="00812AA1">
        <w:rPr>
          <w:rFonts w:cstheme="minorHAnsi"/>
        </w:rPr>
        <w:t>is</w:t>
      </w:r>
      <w:r w:rsidR="0089670D" w:rsidRPr="00812AA1">
        <w:rPr>
          <w:rFonts w:cstheme="minorHAnsi"/>
        </w:rPr>
        <w:t xml:space="preserve"> identify</w:t>
      </w:r>
      <w:r w:rsidR="00430FD6" w:rsidRPr="00812AA1">
        <w:rPr>
          <w:rFonts w:cstheme="minorHAnsi"/>
        </w:rPr>
        <w:t>ing</w:t>
      </w:r>
      <w:r w:rsidR="0089670D" w:rsidRPr="00812AA1">
        <w:rPr>
          <w:rFonts w:cstheme="minorHAnsi"/>
        </w:rPr>
        <w:t xml:space="preserve"> the barriers and enablers </w:t>
      </w:r>
      <w:r w:rsidR="00430FD6" w:rsidRPr="00812AA1">
        <w:rPr>
          <w:rFonts w:cstheme="minorHAnsi"/>
        </w:rPr>
        <w:t>of</w:t>
      </w:r>
      <w:r w:rsidR="0089670D" w:rsidRPr="00812AA1">
        <w:rPr>
          <w:rFonts w:cstheme="minorHAnsi"/>
        </w:rPr>
        <w:t xml:space="preserve"> collecting and using data </w:t>
      </w:r>
      <w:r w:rsidR="00430FD6" w:rsidRPr="00812AA1">
        <w:rPr>
          <w:rFonts w:cstheme="minorHAnsi"/>
        </w:rPr>
        <w:t xml:space="preserve">to </w:t>
      </w:r>
      <w:r w:rsidR="0089670D" w:rsidRPr="00812AA1">
        <w:rPr>
          <w:rFonts w:cstheme="minorHAnsi"/>
        </w:rPr>
        <w:t>inform practice</w:t>
      </w:r>
      <w:r w:rsidR="00430FD6" w:rsidRPr="00812AA1">
        <w:rPr>
          <w:rFonts w:cstheme="minorHAnsi"/>
        </w:rPr>
        <w:t>. Prototypes will then be developed to enable routine collection and use of relevant data.</w:t>
      </w:r>
      <w:r w:rsidRPr="00812AA1">
        <w:rPr>
          <w:rFonts w:cstheme="minorHAnsi"/>
        </w:rPr>
        <w:t xml:space="preserve"> We note that a detailed cost analysis would provide </w:t>
      </w:r>
      <w:r w:rsidR="00E31CBF" w:rsidRPr="00812AA1">
        <w:rPr>
          <w:rFonts w:cstheme="minorHAnsi"/>
        </w:rPr>
        <w:t xml:space="preserve">additional </w:t>
      </w:r>
      <w:r w:rsidRPr="00812AA1">
        <w:rPr>
          <w:rFonts w:cstheme="minorHAnsi"/>
        </w:rPr>
        <w:t>context to inform decisions about program choices, budgets, and strategies.</w:t>
      </w:r>
    </w:p>
    <w:p w14:paraId="5B4263E7" w14:textId="77777777" w:rsidR="00EE6A74" w:rsidRPr="00812AA1" w:rsidRDefault="00EE6A74" w:rsidP="00EE6A74">
      <w:pPr>
        <w:rPr>
          <w:rFonts w:cstheme="minorHAnsi"/>
        </w:rPr>
      </w:pPr>
    </w:p>
    <w:p w14:paraId="1CFF6B9D" w14:textId="77777777" w:rsidR="00EE6A74" w:rsidRPr="00812AA1" w:rsidRDefault="00EE6A74" w:rsidP="00EE6A74">
      <w:pPr>
        <w:rPr>
          <w:rFonts w:cstheme="minorHAnsi"/>
        </w:rPr>
      </w:pPr>
      <w:r w:rsidRPr="00812AA1">
        <w:rPr>
          <w:rFonts w:cstheme="minorHAnsi"/>
        </w:rPr>
        <w:t>We would be happy to discuss our work further.</w:t>
      </w:r>
    </w:p>
    <w:p w14:paraId="0DD01F95" w14:textId="77777777" w:rsidR="00EE6A74" w:rsidRPr="00812AA1" w:rsidRDefault="00EE6A74" w:rsidP="00EE6A74">
      <w:pPr>
        <w:rPr>
          <w:rFonts w:cstheme="minorHAnsi"/>
        </w:rPr>
      </w:pPr>
    </w:p>
    <w:p w14:paraId="04585DCA" w14:textId="77777777" w:rsidR="00EE6A74" w:rsidRPr="00812AA1" w:rsidRDefault="00EE6A74" w:rsidP="00EE6A74">
      <w:pPr>
        <w:rPr>
          <w:rFonts w:cstheme="minorHAnsi"/>
        </w:rPr>
      </w:pPr>
    </w:p>
    <w:p w14:paraId="2A41F564" w14:textId="2983E407" w:rsidR="00487A8C" w:rsidRDefault="00EE6A74" w:rsidP="00EE6A74">
      <w:pPr>
        <w:rPr>
          <w:rFonts w:cstheme="minorHAnsi"/>
        </w:rPr>
      </w:pPr>
      <w:r w:rsidRPr="00812AA1">
        <w:rPr>
          <w:rFonts w:cstheme="minorHAnsi"/>
        </w:rPr>
        <w:t>Yours sincerely</w:t>
      </w:r>
    </w:p>
    <w:p w14:paraId="3BD2F584" w14:textId="0AF07080" w:rsidR="00487A8C" w:rsidRDefault="00487A8C" w:rsidP="00EE6A74">
      <w:pPr>
        <w:rPr>
          <w:rFonts w:cstheme="minorHAnsi"/>
        </w:rPr>
      </w:pPr>
    </w:p>
    <w:p w14:paraId="4518A30F" w14:textId="5D345801" w:rsidR="00487A8C" w:rsidRDefault="00487A8C" w:rsidP="00EE6A74">
      <w:pPr>
        <w:rPr>
          <w:rFonts w:cstheme="minorHAnsi"/>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005"/>
        <w:gridCol w:w="3006"/>
      </w:tblGrid>
      <w:tr w:rsidR="00487A8C" w14:paraId="3FBE419D" w14:textId="77777777" w:rsidTr="000D4ABF">
        <w:tc>
          <w:tcPr>
            <w:tcW w:w="3147" w:type="dxa"/>
          </w:tcPr>
          <w:p w14:paraId="6E3118E8" w14:textId="77777777" w:rsidR="00487A8C" w:rsidRDefault="00487A8C" w:rsidP="00EE6A74">
            <w:pPr>
              <w:rPr>
                <w:rFonts w:cstheme="minorHAnsi"/>
              </w:rPr>
            </w:pPr>
            <w:r>
              <w:rPr>
                <w:rFonts w:cstheme="minorHAnsi"/>
              </w:rPr>
              <w:t xml:space="preserve">Professor Sharon Goldfeld </w:t>
            </w:r>
          </w:p>
          <w:p w14:paraId="37462941" w14:textId="34787923" w:rsidR="00487A8C" w:rsidRDefault="00487A8C" w:rsidP="00EE6A74">
            <w:pPr>
              <w:rPr>
                <w:rFonts w:cstheme="minorHAnsi"/>
              </w:rPr>
            </w:pPr>
            <w:r w:rsidRPr="00487A8C">
              <w:rPr>
                <w:rFonts w:cstheme="minorHAnsi"/>
              </w:rPr>
              <w:t>Murdoch Children’s Research Institute</w:t>
            </w:r>
          </w:p>
        </w:tc>
        <w:tc>
          <w:tcPr>
            <w:tcW w:w="3005" w:type="dxa"/>
          </w:tcPr>
          <w:p w14:paraId="44D075E5" w14:textId="77777777" w:rsidR="00487A8C" w:rsidRDefault="00487A8C" w:rsidP="00EE6A74">
            <w:pPr>
              <w:rPr>
                <w:rFonts w:cstheme="minorHAnsi"/>
              </w:rPr>
            </w:pPr>
            <w:r>
              <w:rPr>
                <w:rFonts w:cstheme="minorHAnsi"/>
              </w:rPr>
              <w:t>Nick Perini</w:t>
            </w:r>
          </w:p>
          <w:p w14:paraId="19A96980" w14:textId="78CAC88E" w:rsidR="00487A8C" w:rsidRDefault="00487A8C" w:rsidP="00EE6A74">
            <w:pPr>
              <w:rPr>
                <w:rFonts w:cstheme="minorHAnsi"/>
              </w:rPr>
            </w:pPr>
            <w:r>
              <w:rPr>
                <w:rFonts w:cstheme="minorHAnsi"/>
              </w:rPr>
              <w:t>Social Ventures Australia</w:t>
            </w:r>
          </w:p>
        </w:tc>
        <w:tc>
          <w:tcPr>
            <w:tcW w:w="3006" w:type="dxa"/>
          </w:tcPr>
          <w:p w14:paraId="58735B14" w14:textId="77777777" w:rsidR="00487A8C" w:rsidRDefault="00487A8C" w:rsidP="00EE6A74">
            <w:pPr>
              <w:rPr>
                <w:rFonts w:cstheme="minorHAnsi"/>
              </w:rPr>
            </w:pPr>
            <w:r>
              <w:rPr>
                <w:rFonts w:cstheme="minorHAnsi"/>
              </w:rPr>
              <w:t>Chris Harrop</w:t>
            </w:r>
          </w:p>
          <w:p w14:paraId="13410089" w14:textId="622159A2" w:rsidR="00487A8C" w:rsidRDefault="00487A8C" w:rsidP="00EE6A74">
            <w:pPr>
              <w:rPr>
                <w:rFonts w:cstheme="minorHAnsi"/>
              </w:rPr>
            </w:pPr>
            <w:r>
              <w:rPr>
                <w:rFonts w:cstheme="minorHAnsi"/>
              </w:rPr>
              <w:t>Bain and Company</w:t>
            </w:r>
          </w:p>
        </w:tc>
      </w:tr>
    </w:tbl>
    <w:p w14:paraId="3C210B3C" w14:textId="77777777" w:rsidR="00487A8C" w:rsidRDefault="00487A8C" w:rsidP="00EE6A74">
      <w:pPr>
        <w:rPr>
          <w:rFonts w:cstheme="minorHAnsi"/>
        </w:rPr>
      </w:pPr>
    </w:p>
    <w:p w14:paraId="4F9D40DC" w14:textId="4ABA7E87" w:rsidR="00487A8C" w:rsidRDefault="00C026FD" w:rsidP="00EE6A74">
      <w:pPr>
        <w:rPr>
          <w:rFonts w:cstheme="minorHAnsi"/>
        </w:rPr>
      </w:pPr>
      <w:r w:rsidRPr="00C026FD">
        <w:rPr>
          <w:rFonts w:cstheme="minorHAnsi"/>
          <w:noProof/>
        </w:rPr>
        <w:drawing>
          <wp:anchor distT="0" distB="0" distL="114300" distR="114300" simplePos="0" relativeHeight="251658241" behindDoc="1" locked="0" layoutInCell="1" allowOverlap="1" wp14:anchorId="40BBD7FF" wp14:editId="6D46F49D">
            <wp:simplePos x="0" y="0"/>
            <wp:positionH relativeFrom="margin">
              <wp:posOffset>1892300</wp:posOffset>
            </wp:positionH>
            <wp:positionV relativeFrom="paragraph">
              <wp:posOffset>3810</wp:posOffset>
            </wp:positionV>
            <wp:extent cx="1714500" cy="901065"/>
            <wp:effectExtent l="0" t="0" r="0" b="0"/>
            <wp:wrapTight wrapText="bothSides">
              <wp:wrapPolygon edited="0">
                <wp:start x="0" y="0"/>
                <wp:lineTo x="0" y="21006"/>
                <wp:lineTo x="21360" y="21006"/>
                <wp:lineTo x="2136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a:extLst>
                        <a:ext uri="{28A0092B-C50C-407E-A947-70E740481C1C}">
                          <a14:useLocalDpi xmlns:a14="http://schemas.microsoft.com/office/drawing/2010/main" val="0"/>
                        </a:ext>
                      </a:extLst>
                    </a:blip>
                    <a:stretch>
                      <a:fillRect/>
                    </a:stretch>
                  </pic:blipFill>
                  <pic:spPr>
                    <a:xfrm>
                      <a:off x="0" y="0"/>
                      <a:ext cx="1714500" cy="901065"/>
                    </a:xfrm>
                    <a:prstGeom prst="rect">
                      <a:avLst/>
                    </a:prstGeom>
                  </pic:spPr>
                </pic:pic>
              </a:graphicData>
            </a:graphic>
            <wp14:sizeRelH relativeFrom="page">
              <wp14:pctWidth>0</wp14:pctWidth>
            </wp14:sizeRelH>
            <wp14:sizeRelV relativeFrom="page">
              <wp14:pctHeight>0</wp14:pctHeight>
            </wp14:sizeRelV>
          </wp:anchor>
        </w:drawing>
      </w:r>
      <w:r w:rsidRPr="00C026FD">
        <w:rPr>
          <w:rFonts w:cstheme="minorHAnsi"/>
          <w:noProof/>
        </w:rPr>
        <w:drawing>
          <wp:anchor distT="0" distB="0" distL="114300" distR="114300" simplePos="0" relativeHeight="251658240" behindDoc="0" locked="0" layoutInCell="1" allowOverlap="1" wp14:anchorId="5B9CE0B4" wp14:editId="258BC5BD">
            <wp:simplePos x="0" y="0"/>
            <wp:positionH relativeFrom="column">
              <wp:posOffset>31115</wp:posOffset>
            </wp:positionH>
            <wp:positionV relativeFrom="paragraph">
              <wp:posOffset>4445</wp:posOffset>
            </wp:positionV>
            <wp:extent cx="1514475" cy="764540"/>
            <wp:effectExtent l="0" t="0" r="9525" b="0"/>
            <wp:wrapSquare wrapText="bothSides"/>
            <wp:docPr id="16" name="Picture 16" descr="cid:image001.jpg@01D2FF09.968569C0"/>
            <wp:cNvGraphicFramePr/>
            <a:graphic xmlns:a="http://schemas.openxmlformats.org/drawingml/2006/main">
              <a:graphicData uri="http://schemas.openxmlformats.org/drawingml/2006/picture">
                <pic:pic xmlns:pic="http://schemas.openxmlformats.org/drawingml/2006/picture">
                  <pic:nvPicPr>
                    <pic:cNvPr id="1" name="Picture 1" descr="cid:image001.jpg@01D2FF09.968569C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6FD">
        <w:rPr>
          <w:rFonts w:cstheme="minorHAnsi"/>
          <w:noProof/>
        </w:rPr>
        <w:drawing>
          <wp:anchor distT="0" distB="0" distL="114300" distR="114300" simplePos="0" relativeHeight="251658242" behindDoc="0" locked="0" layoutInCell="1" allowOverlap="1" wp14:anchorId="789F3761" wp14:editId="250EDE29">
            <wp:simplePos x="0" y="0"/>
            <wp:positionH relativeFrom="column">
              <wp:posOffset>3822065</wp:posOffset>
            </wp:positionH>
            <wp:positionV relativeFrom="paragraph">
              <wp:posOffset>179705</wp:posOffset>
            </wp:positionV>
            <wp:extent cx="1514475" cy="483964"/>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14475" cy="483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16554" w14:textId="77777777" w:rsidR="00487A8C" w:rsidRDefault="00487A8C" w:rsidP="00EE6A74">
      <w:pPr>
        <w:rPr>
          <w:rFonts w:cstheme="minorHAnsi"/>
        </w:rPr>
        <w:sectPr w:rsidR="00487A8C" w:rsidSect="00DC7512">
          <w:headerReference w:type="even" r:id="rId17"/>
          <w:headerReference w:type="default" r:id="rId18"/>
          <w:footerReference w:type="even" r:id="rId19"/>
          <w:footerReference w:type="default" r:id="rId20"/>
          <w:headerReference w:type="first" r:id="rId21"/>
          <w:footerReference w:type="first" r:id="rId22"/>
          <w:pgSz w:w="11906" w:h="16838"/>
          <w:pgMar w:top="1814" w:right="1440" w:bottom="1440" w:left="1440" w:header="709" w:footer="709" w:gutter="0"/>
          <w:cols w:space="708"/>
          <w:docGrid w:linePitch="360"/>
        </w:sectPr>
      </w:pPr>
    </w:p>
    <w:p w14:paraId="382DC938" w14:textId="47C73CEC" w:rsidR="00487A8C" w:rsidRDefault="00487A8C" w:rsidP="00EE6A74">
      <w:pPr>
        <w:rPr>
          <w:rFonts w:cstheme="minorHAnsi"/>
        </w:rPr>
      </w:pPr>
    </w:p>
    <w:p w14:paraId="77464B8A" w14:textId="7E43E06B" w:rsidR="00487A8C" w:rsidRDefault="00487A8C" w:rsidP="00EE6A74">
      <w:pPr>
        <w:rPr>
          <w:rFonts w:cstheme="minorHAnsi"/>
        </w:rPr>
      </w:pPr>
    </w:p>
    <w:p w14:paraId="7068F478" w14:textId="77777777" w:rsidR="00487A8C" w:rsidRDefault="00487A8C" w:rsidP="00EE6A74">
      <w:pPr>
        <w:rPr>
          <w:rFonts w:cstheme="minorHAnsi"/>
        </w:rPr>
        <w:sectPr w:rsidR="00487A8C" w:rsidSect="00DC7512">
          <w:type w:val="continuous"/>
          <w:pgSz w:w="11906" w:h="16838"/>
          <w:pgMar w:top="1814" w:right="1440" w:bottom="1440" w:left="1440" w:header="708" w:footer="708" w:gutter="0"/>
          <w:cols w:num="3" w:space="708"/>
          <w:docGrid w:linePitch="360"/>
        </w:sectPr>
      </w:pPr>
    </w:p>
    <w:p w14:paraId="6986CF90" w14:textId="77777777" w:rsidR="00F924D3" w:rsidRPr="009B2FA6" w:rsidRDefault="00F924D3" w:rsidP="00EE6A74">
      <w:pPr>
        <w:rPr>
          <w:rFonts w:cstheme="minorHAnsi"/>
        </w:rPr>
      </w:pPr>
    </w:p>
    <w:sectPr w:rsidR="00F924D3" w:rsidRPr="009B2FA6" w:rsidSect="00DC7512">
      <w:type w:val="continuous"/>
      <w:pgSz w:w="11906" w:h="16838"/>
      <w:pgMar w:top="18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A103" w14:textId="77777777" w:rsidR="006862D6" w:rsidRDefault="006862D6" w:rsidP="00487A8C">
      <w:r>
        <w:separator/>
      </w:r>
    </w:p>
  </w:endnote>
  <w:endnote w:type="continuationSeparator" w:id="0">
    <w:p w14:paraId="4DD73255" w14:textId="77777777" w:rsidR="006862D6" w:rsidRDefault="006862D6" w:rsidP="00487A8C">
      <w:r>
        <w:continuationSeparator/>
      </w:r>
    </w:p>
  </w:endnote>
  <w:endnote w:type="continuationNotice" w:id="1">
    <w:p w14:paraId="0D2D7249" w14:textId="77777777" w:rsidR="006862D6" w:rsidRDefault="0068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F8E2" w14:textId="77777777" w:rsidR="006A309C" w:rsidRDefault="006A3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E409" w14:textId="77777777" w:rsidR="006A309C" w:rsidRDefault="006A3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CA6E" w14:textId="77777777" w:rsidR="006A309C" w:rsidRDefault="006A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7A6A" w14:textId="77777777" w:rsidR="006862D6" w:rsidRDefault="006862D6" w:rsidP="00487A8C">
      <w:r>
        <w:separator/>
      </w:r>
    </w:p>
  </w:footnote>
  <w:footnote w:type="continuationSeparator" w:id="0">
    <w:p w14:paraId="2EC6678F" w14:textId="77777777" w:rsidR="006862D6" w:rsidRDefault="006862D6" w:rsidP="00487A8C">
      <w:r>
        <w:continuationSeparator/>
      </w:r>
    </w:p>
  </w:footnote>
  <w:footnote w:type="continuationNotice" w:id="1">
    <w:p w14:paraId="189EF0B5" w14:textId="77777777" w:rsidR="006862D6" w:rsidRDefault="00686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CF11" w14:textId="77777777" w:rsidR="006A309C" w:rsidRDefault="006A3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A4FB" w14:textId="118B6E23" w:rsidR="00487A8C" w:rsidRDefault="00C026FD">
    <w:pPr>
      <w:pStyle w:val="Header"/>
    </w:pPr>
    <w:r w:rsidRPr="00AD48F0">
      <w:rPr>
        <w:noProof/>
      </w:rPr>
      <w:drawing>
        <wp:anchor distT="0" distB="0" distL="114300" distR="114300" simplePos="0" relativeHeight="251658240" behindDoc="1" locked="0" layoutInCell="1" allowOverlap="1" wp14:anchorId="128EC17E" wp14:editId="5BA557F0">
          <wp:simplePos x="0" y="0"/>
          <wp:positionH relativeFrom="margin">
            <wp:align>right</wp:align>
          </wp:positionH>
          <wp:positionV relativeFrom="paragraph">
            <wp:posOffset>-102235</wp:posOffset>
          </wp:positionV>
          <wp:extent cx="1038225" cy="608965"/>
          <wp:effectExtent l="0" t="0" r="9525" b="635"/>
          <wp:wrapTight wrapText="bothSides">
            <wp:wrapPolygon edited="0">
              <wp:start x="0" y="0"/>
              <wp:lineTo x="0" y="20947"/>
              <wp:lineTo x="21402" y="20947"/>
              <wp:lineTo x="2140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68_restacking_the_odds_brand_identity_art_orange.png"/>
                  <pic:cNvPicPr/>
                </pic:nvPicPr>
                <pic:blipFill>
                  <a:blip r:embed="rId1">
                    <a:extLst>
                      <a:ext uri="{28A0092B-C50C-407E-A947-70E740481C1C}">
                        <a14:useLocalDpi xmlns:a14="http://schemas.microsoft.com/office/drawing/2010/main" val="0"/>
                      </a:ext>
                    </a:extLst>
                  </a:blip>
                  <a:stretch>
                    <a:fillRect/>
                  </a:stretch>
                </pic:blipFill>
                <pic:spPr>
                  <a:xfrm>
                    <a:off x="0" y="0"/>
                    <a:ext cx="1038225" cy="60896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3079" w14:textId="77777777" w:rsidR="006A309C" w:rsidRDefault="006A3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F14"/>
    <w:multiLevelType w:val="hybridMultilevel"/>
    <w:tmpl w:val="875085A6"/>
    <w:lvl w:ilvl="0" w:tplc="D1F88F0E">
      <w:start w:val="1"/>
      <w:numFmt w:val="bullet"/>
      <w:pStyle w:val="Bullet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75CAD"/>
    <w:multiLevelType w:val="hybridMultilevel"/>
    <w:tmpl w:val="8F3A1ECC"/>
    <w:lvl w:ilvl="0" w:tplc="B770D7A6">
      <w:start w:val="4"/>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A13DAE"/>
    <w:multiLevelType w:val="hybridMultilevel"/>
    <w:tmpl w:val="8C0041C4"/>
    <w:lvl w:ilvl="0" w:tplc="09705BA8">
      <w:start w:val="1"/>
      <w:numFmt w:val="bullet"/>
      <w:lvlText w:val=""/>
      <w:lvlJc w:val="left"/>
      <w:pPr>
        <w:ind w:left="720" w:hanging="360"/>
      </w:pPr>
      <w:rPr>
        <w:rFonts w:ascii="Symbol" w:hAnsi="Symbol" w:hint="default"/>
        <w:color w:val="F36D3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74"/>
    <w:rsid w:val="00005BFE"/>
    <w:rsid w:val="00007BB3"/>
    <w:rsid w:val="000320C9"/>
    <w:rsid w:val="0008746B"/>
    <w:rsid w:val="000D2D41"/>
    <w:rsid w:val="000D4ABF"/>
    <w:rsid w:val="000F322A"/>
    <w:rsid w:val="00114C91"/>
    <w:rsid w:val="00143FF0"/>
    <w:rsid w:val="00182395"/>
    <w:rsid w:val="001A1C1F"/>
    <w:rsid w:val="001B57A1"/>
    <w:rsid w:val="0021755A"/>
    <w:rsid w:val="00237064"/>
    <w:rsid w:val="002621B1"/>
    <w:rsid w:val="00276291"/>
    <w:rsid w:val="002C3B6B"/>
    <w:rsid w:val="002D6268"/>
    <w:rsid w:val="002D6D87"/>
    <w:rsid w:val="002F01D4"/>
    <w:rsid w:val="00302E57"/>
    <w:rsid w:val="003356D8"/>
    <w:rsid w:val="00342151"/>
    <w:rsid w:val="00352D86"/>
    <w:rsid w:val="00363D01"/>
    <w:rsid w:val="003953AE"/>
    <w:rsid w:val="0041132B"/>
    <w:rsid w:val="00430FD6"/>
    <w:rsid w:val="00487A8C"/>
    <w:rsid w:val="004C48A6"/>
    <w:rsid w:val="004D0C0A"/>
    <w:rsid w:val="004D1AA3"/>
    <w:rsid w:val="0051418B"/>
    <w:rsid w:val="0052755E"/>
    <w:rsid w:val="005A37BC"/>
    <w:rsid w:val="005C4DF9"/>
    <w:rsid w:val="005C7327"/>
    <w:rsid w:val="00641570"/>
    <w:rsid w:val="00650CB3"/>
    <w:rsid w:val="0065340F"/>
    <w:rsid w:val="00664428"/>
    <w:rsid w:val="006862D6"/>
    <w:rsid w:val="006A309C"/>
    <w:rsid w:val="006B1040"/>
    <w:rsid w:val="006C29CC"/>
    <w:rsid w:val="006C5C7C"/>
    <w:rsid w:val="006D0D93"/>
    <w:rsid w:val="0070188A"/>
    <w:rsid w:val="00713018"/>
    <w:rsid w:val="0072501B"/>
    <w:rsid w:val="00753563"/>
    <w:rsid w:val="00790C35"/>
    <w:rsid w:val="00796115"/>
    <w:rsid w:val="00812AA1"/>
    <w:rsid w:val="00874B9F"/>
    <w:rsid w:val="00876553"/>
    <w:rsid w:val="0089670D"/>
    <w:rsid w:val="008E21CB"/>
    <w:rsid w:val="00972838"/>
    <w:rsid w:val="009B2FA6"/>
    <w:rsid w:val="009E7E7B"/>
    <w:rsid w:val="009F0584"/>
    <w:rsid w:val="00A32BE3"/>
    <w:rsid w:val="00A41370"/>
    <w:rsid w:val="00A41E3E"/>
    <w:rsid w:val="00A933C3"/>
    <w:rsid w:val="00AC0FCE"/>
    <w:rsid w:val="00AE1C50"/>
    <w:rsid w:val="00B61120"/>
    <w:rsid w:val="00BA7665"/>
    <w:rsid w:val="00BB2E3B"/>
    <w:rsid w:val="00BB4184"/>
    <w:rsid w:val="00BF3BE2"/>
    <w:rsid w:val="00BF544E"/>
    <w:rsid w:val="00BF75F7"/>
    <w:rsid w:val="00C026FD"/>
    <w:rsid w:val="00C22952"/>
    <w:rsid w:val="00C26D99"/>
    <w:rsid w:val="00C47992"/>
    <w:rsid w:val="00C55FA6"/>
    <w:rsid w:val="00C842E4"/>
    <w:rsid w:val="00CB7342"/>
    <w:rsid w:val="00CC475B"/>
    <w:rsid w:val="00CC6B53"/>
    <w:rsid w:val="00CD7559"/>
    <w:rsid w:val="00CE2A4F"/>
    <w:rsid w:val="00DA018A"/>
    <w:rsid w:val="00DC7512"/>
    <w:rsid w:val="00E10D59"/>
    <w:rsid w:val="00E31CBF"/>
    <w:rsid w:val="00E4798F"/>
    <w:rsid w:val="00E52651"/>
    <w:rsid w:val="00EA6946"/>
    <w:rsid w:val="00EB36B7"/>
    <w:rsid w:val="00EC0819"/>
    <w:rsid w:val="00EC3096"/>
    <w:rsid w:val="00EE6A74"/>
    <w:rsid w:val="00EF194E"/>
    <w:rsid w:val="00F56293"/>
    <w:rsid w:val="00F70487"/>
    <w:rsid w:val="00F83008"/>
    <w:rsid w:val="00F924D3"/>
    <w:rsid w:val="021F9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2AB8D"/>
  <w15:chartTrackingRefBased/>
  <w15:docId w15:val="{9443F565-707D-4A92-95E7-DF78370B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74"/>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A74"/>
    <w:rPr>
      <w:color w:val="0563C1" w:themeColor="hyperlink"/>
      <w:u w:val="single"/>
    </w:rPr>
  </w:style>
  <w:style w:type="paragraph" w:styleId="ListParagraph">
    <w:name w:val="List Paragraph"/>
    <w:basedOn w:val="Normal"/>
    <w:uiPriority w:val="34"/>
    <w:qFormat/>
    <w:rsid w:val="00EE6A74"/>
    <w:pPr>
      <w:ind w:left="720"/>
      <w:contextualSpacing/>
    </w:pPr>
  </w:style>
  <w:style w:type="paragraph" w:styleId="BalloonText">
    <w:name w:val="Balloon Text"/>
    <w:basedOn w:val="Normal"/>
    <w:link w:val="BalloonTextChar"/>
    <w:uiPriority w:val="99"/>
    <w:semiHidden/>
    <w:unhideWhenUsed/>
    <w:rsid w:val="00CD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559"/>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A41370"/>
    <w:rPr>
      <w:sz w:val="16"/>
      <w:szCs w:val="16"/>
    </w:rPr>
  </w:style>
  <w:style w:type="paragraph" w:styleId="CommentText">
    <w:name w:val="annotation text"/>
    <w:basedOn w:val="Normal"/>
    <w:link w:val="CommentTextChar"/>
    <w:uiPriority w:val="99"/>
    <w:unhideWhenUsed/>
    <w:rsid w:val="00A41370"/>
    <w:rPr>
      <w:sz w:val="20"/>
      <w:szCs w:val="20"/>
    </w:rPr>
  </w:style>
  <w:style w:type="character" w:customStyle="1" w:styleId="CommentTextChar">
    <w:name w:val="Comment Text Char"/>
    <w:basedOn w:val="DefaultParagraphFont"/>
    <w:link w:val="CommentText"/>
    <w:uiPriority w:val="99"/>
    <w:rsid w:val="00A4137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41370"/>
    <w:rPr>
      <w:b/>
      <w:bCs/>
    </w:rPr>
  </w:style>
  <w:style w:type="character" w:customStyle="1" w:styleId="CommentSubjectChar">
    <w:name w:val="Comment Subject Char"/>
    <w:basedOn w:val="CommentTextChar"/>
    <w:link w:val="CommentSubject"/>
    <w:uiPriority w:val="99"/>
    <w:semiHidden/>
    <w:rsid w:val="00A41370"/>
    <w:rPr>
      <w:rFonts w:eastAsiaTheme="minorEastAsia"/>
      <w:b/>
      <w:bCs/>
      <w:sz w:val="20"/>
      <w:szCs w:val="20"/>
      <w:lang w:eastAsia="en-GB"/>
    </w:rPr>
  </w:style>
  <w:style w:type="paragraph" w:customStyle="1" w:styleId="BulletNormal">
    <w:name w:val="*Bullet Normal*"/>
    <w:basedOn w:val="BodyTextIndent"/>
    <w:link w:val="BulletNormalChar"/>
    <w:autoRedefine/>
    <w:qFormat/>
    <w:rsid w:val="00A41370"/>
    <w:pPr>
      <w:numPr>
        <w:numId w:val="3"/>
      </w:numPr>
      <w:spacing w:after="0" w:line="276" w:lineRule="auto"/>
    </w:pPr>
    <w:rPr>
      <w:rFonts w:ascii="Source Sans Pro" w:eastAsia="Arial Unicode MS" w:hAnsi="Source Sans Pro" w:cs="Arial"/>
      <w:iCs/>
      <w:lang w:eastAsia="en-AU"/>
    </w:rPr>
  </w:style>
  <w:style w:type="character" w:customStyle="1" w:styleId="BulletNormalChar">
    <w:name w:val="*Bullet Normal* Char"/>
    <w:basedOn w:val="BodyTextIndentChar"/>
    <w:link w:val="BulletNormal"/>
    <w:rsid w:val="00A41370"/>
    <w:rPr>
      <w:rFonts w:ascii="Source Sans Pro" w:eastAsia="Arial Unicode MS" w:hAnsi="Source Sans Pro" w:cs="Arial"/>
      <w:iCs/>
      <w:lang w:eastAsia="en-AU"/>
    </w:rPr>
  </w:style>
  <w:style w:type="paragraph" w:styleId="BodyTextIndent">
    <w:name w:val="Body Text Indent"/>
    <w:basedOn w:val="Normal"/>
    <w:link w:val="BodyTextIndentChar"/>
    <w:uiPriority w:val="99"/>
    <w:semiHidden/>
    <w:unhideWhenUsed/>
    <w:rsid w:val="00A41370"/>
    <w:pPr>
      <w:spacing w:after="120"/>
      <w:ind w:left="283"/>
    </w:pPr>
  </w:style>
  <w:style w:type="character" w:customStyle="1" w:styleId="BodyTextIndentChar">
    <w:name w:val="Body Text Indent Char"/>
    <w:basedOn w:val="DefaultParagraphFont"/>
    <w:link w:val="BodyTextIndent"/>
    <w:uiPriority w:val="99"/>
    <w:semiHidden/>
    <w:rsid w:val="00A41370"/>
    <w:rPr>
      <w:rFonts w:eastAsiaTheme="minorEastAsia"/>
      <w:lang w:eastAsia="en-GB"/>
    </w:rPr>
  </w:style>
  <w:style w:type="paragraph" w:styleId="Revision">
    <w:name w:val="Revision"/>
    <w:hidden/>
    <w:uiPriority w:val="99"/>
    <w:semiHidden/>
    <w:rsid w:val="00E4798F"/>
    <w:pPr>
      <w:spacing w:after="0" w:line="240" w:lineRule="auto"/>
    </w:pPr>
    <w:rPr>
      <w:rFonts w:eastAsiaTheme="minorEastAsia"/>
      <w:lang w:eastAsia="en-GB"/>
    </w:rPr>
  </w:style>
  <w:style w:type="table" w:styleId="TableGrid">
    <w:name w:val="Table Grid"/>
    <w:basedOn w:val="TableNormal"/>
    <w:uiPriority w:val="39"/>
    <w:rsid w:val="0048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A8C"/>
    <w:pPr>
      <w:tabs>
        <w:tab w:val="center" w:pos="4513"/>
        <w:tab w:val="right" w:pos="9026"/>
      </w:tabs>
    </w:pPr>
  </w:style>
  <w:style w:type="character" w:customStyle="1" w:styleId="HeaderChar">
    <w:name w:val="Header Char"/>
    <w:basedOn w:val="DefaultParagraphFont"/>
    <w:link w:val="Header"/>
    <w:uiPriority w:val="99"/>
    <w:rsid w:val="00487A8C"/>
    <w:rPr>
      <w:rFonts w:eastAsiaTheme="minorEastAsia"/>
      <w:lang w:eastAsia="en-GB"/>
    </w:rPr>
  </w:style>
  <w:style w:type="paragraph" w:styleId="Footer">
    <w:name w:val="footer"/>
    <w:basedOn w:val="Normal"/>
    <w:link w:val="FooterChar"/>
    <w:uiPriority w:val="99"/>
    <w:unhideWhenUsed/>
    <w:rsid w:val="00487A8C"/>
    <w:pPr>
      <w:tabs>
        <w:tab w:val="center" w:pos="4513"/>
        <w:tab w:val="right" w:pos="9026"/>
      </w:tabs>
    </w:pPr>
  </w:style>
  <w:style w:type="character" w:customStyle="1" w:styleId="FooterChar">
    <w:name w:val="Footer Char"/>
    <w:basedOn w:val="DefaultParagraphFont"/>
    <w:link w:val="Footer"/>
    <w:uiPriority w:val="99"/>
    <w:rsid w:val="00487A8C"/>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h.org.au/uploadedFiles/Main/Content/ccchdev/Restaking-the_Odds_EYS_communications-summary.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rch.org.au/ccch/Restacking_the_Od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158693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E74362B04CC458DFB80C91AD4ED15" ma:contentTypeVersion="8" ma:contentTypeDescription="Create a new document." ma:contentTypeScope="" ma:versionID="95ca4f56fd840ece6b2bb8fa02c4d3ab">
  <xsd:schema xmlns:xsd="http://www.w3.org/2001/XMLSchema" xmlns:xs="http://www.w3.org/2001/XMLSchema" xmlns:p="http://schemas.microsoft.com/office/2006/metadata/properties" xmlns:ns2="5745fb3f-b09f-41d3-94c9-57dc38328b77" xmlns:ns3="043a0473-fa0e-4ca5-b77b-3bbb57f931eb" targetNamespace="http://schemas.microsoft.com/office/2006/metadata/properties" ma:root="true" ma:fieldsID="9ce38c01177cf531ef9ffb70ac40fc6a" ns2:_="" ns3:_="">
    <xsd:import namespace="5745fb3f-b09f-41d3-94c9-57dc38328b77"/>
    <xsd:import namespace="043a0473-fa0e-4ca5-b77b-3bbb57f931eb"/>
    <xsd:element name="properties">
      <xsd:complexType>
        <xsd:sequence>
          <xsd:element name="documentManagement">
            <xsd:complexType>
              <xsd:all>
                <xsd:element ref="ns2:Document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5fb3f-b09f-41d3-94c9-57dc38328b77" elementFormDefault="qualified">
    <xsd:import namespace="http://schemas.microsoft.com/office/2006/documentManagement/types"/>
    <xsd:import namespace="http://schemas.microsoft.com/office/infopath/2007/PartnerControls"/>
    <xsd:element name="DocumentStatus" ma:index="8" nillable="true" ma:displayName="DocumentStatus" ma:internalName="DocumentStatus">
      <xsd:simpleType>
        <xsd:restriction base="dms:Choice">
          <xsd:enumeration value="Active"/>
          <xsd:enumeration value="Archive"/>
          <xsd:enumeration value="Delete"/>
          <xsd:enumeration value="Unsure"/>
          <xsd:enumeration value="Knowledge"/>
          <xsd:enumeration value="WIKI"/>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3a0473-fa0e-4ca5-b77b-3bbb57f931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5745fb3f-b09f-41d3-94c9-57dc38328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54BF-9EC8-4B07-B9F7-9F1863F0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5fb3f-b09f-41d3-94c9-57dc38328b77"/>
    <ds:schemaRef ds:uri="043a0473-fa0e-4ca5-b77b-3bbb57f9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C3CAE-D18E-4A4E-B691-7933BBDDA610}">
  <ds:schemaRefs>
    <ds:schemaRef ds:uri="http://schemas.microsoft.com/office/infopath/2007/PartnerControls"/>
    <ds:schemaRef ds:uri="http://purl.org/dc/terms/"/>
    <ds:schemaRef ds:uri="http://purl.org/dc/dcmitype/"/>
    <ds:schemaRef ds:uri="http://purl.org/dc/elements/1.1/"/>
    <ds:schemaRef ds:uri="5745fb3f-b09f-41d3-94c9-57dc38328b77"/>
    <ds:schemaRef ds:uri="043a0473-fa0e-4ca5-b77b-3bbb57f931eb"/>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D03AA7-9764-414C-8510-246397FD612B}">
  <ds:schemaRefs>
    <ds:schemaRef ds:uri="http://schemas.microsoft.com/sharepoint/v3/contenttype/forms"/>
  </ds:schemaRefs>
</ds:datastoreItem>
</file>

<file path=customXml/itemProps4.xml><?xml version="1.0" encoding="utf-8"?>
<ds:datastoreItem xmlns:ds="http://schemas.openxmlformats.org/officeDocument/2006/customXml" ds:itemID="{BD835A15-D020-4411-A897-7DC7E4AE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Submission 41 - Restacking the Odds - National School Reform Agreement - C?ommissioned study</vt:lpstr>
    </vt:vector>
  </TitlesOfParts>
  <Company>Restacking the Odds </Company>
  <LinksUpToDate>false</LinksUpToDate>
  <CharactersWithSpaces>7462</CharactersWithSpaces>
  <SharedDoc>false</SharedDoc>
  <HLinks>
    <vt:vector size="18" baseType="variant">
      <vt:variant>
        <vt:i4>917565</vt:i4>
      </vt:variant>
      <vt:variant>
        <vt:i4>6</vt:i4>
      </vt:variant>
      <vt:variant>
        <vt:i4>0</vt:i4>
      </vt:variant>
      <vt:variant>
        <vt:i4>5</vt:i4>
      </vt:variant>
      <vt:variant>
        <vt:lpwstr>https://www.rch.org.au/uploadedFiles/Main/Content/ccchdev/Restaking-the_Odds_EYS_communications-summary.pdf</vt:lpwstr>
      </vt:variant>
      <vt:variant>
        <vt:lpwstr/>
      </vt:variant>
      <vt:variant>
        <vt:i4>4849677</vt:i4>
      </vt:variant>
      <vt:variant>
        <vt:i4>3</vt:i4>
      </vt:variant>
      <vt:variant>
        <vt:i4>0</vt:i4>
      </vt:variant>
      <vt:variant>
        <vt:i4>5</vt:i4>
      </vt:variant>
      <vt:variant>
        <vt:lpwstr>https://www.rch.org.au/ccch/Restacking_the_Odds/</vt:lpwstr>
      </vt:variant>
      <vt:variant>
        <vt:lpwstr/>
      </vt:variant>
      <vt:variant>
        <vt:i4>917508</vt:i4>
      </vt:variant>
      <vt:variant>
        <vt:i4>0</vt:i4>
      </vt:variant>
      <vt:variant>
        <vt:i4>0</vt:i4>
      </vt:variant>
      <vt:variant>
        <vt:i4>5</vt:i4>
      </vt:variant>
      <vt:variant>
        <vt:lpwstr>https://pubmed.ncbi.nlm.nih.gov/31586934/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Restacking the Odds - National School Reform Agreement - C?ommissioned study</dc:title>
  <dc:subject/>
  <dc:creator>Restacking the Odds </dc:creator>
  <cp:keywords/>
  <dc:description/>
  <cp:lastModifiedBy>Alston, Chris</cp:lastModifiedBy>
  <cp:revision>14</cp:revision>
  <dcterms:created xsi:type="dcterms:W3CDTF">2022-06-24T23:19:00Z</dcterms:created>
  <dcterms:modified xsi:type="dcterms:W3CDTF">2022-06-29T01:25:00Z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0x010100C22E74362B04CC458DFB80C91AD4ED15</vt:lpwstr>
  </property>
</Properties>
</file>