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4999" w14:textId="77777777" w:rsidR="00B14490" w:rsidRDefault="00B14490">
      <w:pPr>
        <w:pStyle w:val="Title"/>
      </w:pPr>
    </w:p>
    <w:p w14:paraId="4FECFD51" w14:textId="45E09C76" w:rsidR="00B05EC5" w:rsidRPr="00B05EC5" w:rsidRDefault="007407EF" w:rsidP="00B05EC5">
      <w:pPr>
        <w:pStyle w:val="Title"/>
      </w:pPr>
      <w:r>
        <w:t>phillip island early learning centre</w:t>
      </w:r>
      <w:r w:rsidR="00B05EC5">
        <w:t xml:space="preserve"> Submission to productivity comission</w:t>
      </w:r>
      <w:r w:rsidR="00A766AE">
        <w:t xml:space="preserve"> enquiry into the ECEC sector 2023</w:t>
      </w:r>
    </w:p>
    <w:p w14:paraId="1D62831A" w14:textId="77777777" w:rsidR="001273C1" w:rsidRDefault="001273C1">
      <w:pPr>
        <w:pStyle w:val="Subtitle"/>
      </w:pPr>
    </w:p>
    <w:p w14:paraId="742CFBFE" w14:textId="48D5B041" w:rsidR="001273C1" w:rsidRDefault="00B05EC5" w:rsidP="007900A4">
      <w:pPr>
        <w:pStyle w:val="Heading1"/>
        <w:spacing w:after="120"/>
      </w:pPr>
      <w:r>
        <w:t>SCOPE</w:t>
      </w:r>
    </w:p>
    <w:p w14:paraId="7CCC42B2" w14:textId="77777777" w:rsidR="001273C1" w:rsidRPr="00CE13C2" w:rsidRDefault="001273C1">
      <w:pPr>
        <w:pStyle w:val="NoSpacing"/>
        <w:rPr>
          <w:rFonts w:ascii="Calibri" w:hAnsi="Calibri"/>
          <w:sz w:val="22"/>
          <w:szCs w:val="22"/>
        </w:rPr>
      </w:pPr>
    </w:p>
    <w:p w14:paraId="43279795" w14:textId="09BF6F95" w:rsidR="00B569C4" w:rsidRPr="00CE13C2" w:rsidRDefault="00B569C4" w:rsidP="00B569C4">
      <w:pPr>
        <w:rPr>
          <w:rFonts w:ascii="Calibri" w:hAnsi="Calibri"/>
          <w:sz w:val="22"/>
          <w:szCs w:val="22"/>
        </w:rPr>
      </w:pPr>
      <w:r w:rsidRPr="00CE13C2">
        <w:rPr>
          <w:rFonts w:ascii="Calibri" w:hAnsi="Calibri"/>
          <w:sz w:val="22"/>
          <w:szCs w:val="22"/>
        </w:rPr>
        <w:t>The purpose of this re</w:t>
      </w:r>
      <w:r w:rsidR="00D31D9B" w:rsidRPr="00CE13C2">
        <w:rPr>
          <w:rFonts w:ascii="Calibri" w:hAnsi="Calibri"/>
          <w:sz w:val="22"/>
          <w:szCs w:val="22"/>
        </w:rPr>
        <w:t xml:space="preserve">port is to </w:t>
      </w:r>
      <w:r w:rsidR="00B05EC5">
        <w:rPr>
          <w:rFonts w:ascii="Calibri" w:hAnsi="Calibri"/>
          <w:sz w:val="22"/>
          <w:szCs w:val="22"/>
        </w:rPr>
        <w:t xml:space="preserve">address the barrier of </w:t>
      </w:r>
      <w:r w:rsidR="00BA042B">
        <w:rPr>
          <w:rFonts w:ascii="Calibri" w:hAnsi="Calibri"/>
          <w:sz w:val="22"/>
          <w:szCs w:val="22"/>
        </w:rPr>
        <w:t xml:space="preserve">lack of </w:t>
      </w:r>
      <w:r w:rsidR="00B05EC5">
        <w:rPr>
          <w:rFonts w:ascii="Calibri" w:hAnsi="Calibri"/>
          <w:sz w:val="22"/>
          <w:szCs w:val="22"/>
        </w:rPr>
        <w:t>a</w:t>
      </w:r>
      <w:r w:rsidR="00A766AE">
        <w:rPr>
          <w:rFonts w:ascii="Calibri" w:hAnsi="Calibri"/>
          <w:sz w:val="22"/>
          <w:szCs w:val="22"/>
        </w:rPr>
        <w:t xml:space="preserve">vailability </w:t>
      </w:r>
      <w:r w:rsidR="00B05EC5">
        <w:rPr>
          <w:rFonts w:ascii="Calibri" w:hAnsi="Calibri"/>
          <w:sz w:val="22"/>
          <w:szCs w:val="22"/>
        </w:rPr>
        <w:t xml:space="preserve">to accessing </w:t>
      </w:r>
      <w:proofErr w:type="gramStart"/>
      <w:r w:rsidR="00B05EC5">
        <w:rPr>
          <w:rFonts w:ascii="Calibri" w:hAnsi="Calibri"/>
          <w:sz w:val="22"/>
          <w:szCs w:val="22"/>
        </w:rPr>
        <w:t>ECEC</w:t>
      </w:r>
      <w:proofErr w:type="gramEnd"/>
    </w:p>
    <w:p w14:paraId="60EEFEC7" w14:textId="13A6C62A" w:rsidR="00B569C4" w:rsidRDefault="00B05EC5" w:rsidP="007900A4">
      <w:pPr>
        <w:pStyle w:val="Heading2"/>
        <w:spacing w:after="0"/>
      </w:pPr>
      <w:r>
        <w:t xml:space="preserve">Barrier to accessing ECEC: staff </w:t>
      </w:r>
      <w:proofErr w:type="gramStart"/>
      <w:r>
        <w:t>shortage</w:t>
      </w:r>
      <w:proofErr w:type="gramEnd"/>
    </w:p>
    <w:p w14:paraId="4BB0F55B" w14:textId="77777777" w:rsidR="00B569C4" w:rsidRDefault="00B569C4" w:rsidP="00B569C4">
      <w:pPr>
        <w:pStyle w:val="NoSpacing"/>
      </w:pPr>
    </w:p>
    <w:p w14:paraId="3DB78CDE" w14:textId="37D6FD4F" w:rsidR="003B4C90" w:rsidRDefault="003B4C90" w:rsidP="003B4C90">
      <w:pPr>
        <w:pStyle w:val="ListBullet"/>
        <w:numPr>
          <w:ilvl w:val="0"/>
          <w:numId w:val="0"/>
        </w:numPr>
        <w:spacing w:after="160"/>
        <w:rPr>
          <w:rFonts w:ascii="Calibri" w:hAnsi="Calibri"/>
          <w:sz w:val="22"/>
          <w:szCs w:val="22"/>
        </w:rPr>
      </w:pPr>
      <w:r>
        <w:rPr>
          <w:rFonts w:ascii="Calibri" w:hAnsi="Calibri"/>
          <w:sz w:val="22"/>
          <w:szCs w:val="22"/>
        </w:rPr>
        <w:t xml:space="preserve">PIELC often suffers from a shortfall in Child Care staff, finding it difficult to </w:t>
      </w:r>
      <w:r w:rsidR="0051200F">
        <w:rPr>
          <w:rFonts w:ascii="Calibri" w:hAnsi="Calibri"/>
          <w:sz w:val="22"/>
          <w:szCs w:val="22"/>
        </w:rPr>
        <w:t>attract</w:t>
      </w:r>
      <w:r>
        <w:rPr>
          <w:rFonts w:ascii="Calibri" w:hAnsi="Calibri"/>
          <w:sz w:val="22"/>
          <w:szCs w:val="22"/>
        </w:rPr>
        <w:t xml:space="preserve"> high-quality Child Care employees</w:t>
      </w:r>
      <w:r w:rsidR="0051200F">
        <w:rPr>
          <w:rFonts w:ascii="Calibri" w:hAnsi="Calibri"/>
          <w:sz w:val="22"/>
          <w:szCs w:val="22"/>
        </w:rPr>
        <w:t xml:space="preserve"> during recruitment drives.</w:t>
      </w:r>
    </w:p>
    <w:p w14:paraId="049DD953" w14:textId="7822D2BA" w:rsidR="00B05EC5" w:rsidRDefault="00B05EC5" w:rsidP="003B4C90">
      <w:pPr>
        <w:pStyle w:val="ListBullet"/>
        <w:numPr>
          <w:ilvl w:val="0"/>
          <w:numId w:val="0"/>
        </w:numPr>
        <w:spacing w:after="160"/>
        <w:rPr>
          <w:rFonts w:ascii="Calibri" w:hAnsi="Calibri"/>
          <w:sz w:val="22"/>
          <w:szCs w:val="22"/>
        </w:rPr>
      </w:pPr>
      <w:r>
        <w:rPr>
          <w:rFonts w:ascii="Calibri" w:hAnsi="Calibri"/>
          <w:sz w:val="22"/>
          <w:szCs w:val="22"/>
        </w:rPr>
        <w:t xml:space="preserve">As a result, we </w:t>
      </w:r>
      <w:r w:rsidR="00BA042B">
        <w:rPr>
          <w:rFonts w:ascii="Calibri" w:hAnsi="Calibri"/>
          <w:sz w:val="22"/>
          <w:szCs w:val="22"/>
        </w:rPr>
        <w:t>a</w:t>
      </w:r>
      <w:r>
        <w:rPr>
          <w:rFonts w:ascii="Calibri" w:hAnsi="Calibri"/>
          <w:sz w:val="22"/>
          <w:szCs w:val="22"/>
        </w:rPr>
        <w:t xml:space="preserve">re unable to </w:t>
      </w:r>
      <w:proofErr w:type="spellStart"/>
      <w:r>
        <w:rPr>
          <w:rFonts w:ascii="Calibri" w:hAnsi="Calibri"/>
          <w:sz w:val="22"/>
          <w:szCs w:val="22"/>
        </w:rPr>
        <w:t>enrol</w:t>
      </w:r>
      <w:proofErr w:type="spellEnd"/>
      <w:r>
        <w:rPr>
          <w:rFonts w:ascii="Calibri" w:hAnsi="Calibri"/>
          <w:sz w:val="22"/>
          <w:szCs w:val="22"/>
        </w:rPr>
        <w:t xml:space="preserve"> more children from our waitlist, due to staff shortages.</w:t>
      </w:r>
      <w:r w:rsidR="00A766AE">
        <w:rPr>
          <w:rFonts w:ascii="Calibri" w:hAnsi="Calibri"/>
          <w:sz w:val="22"/>
          <w:szCs w:val="22"/>
        </w:rPr>
        <w:t xml:space="preserve">  Some children have been on the waitlist for nearly 2 years.</w:t>
      </w:r>
    </w:p>
    <w:p w14:paraId="0D556948" w14:textId="4A998A46" w:rsidR="00B05EC5" w:rsidRPr="00CE13C2" w:rsidRDefault="00B05EC5" w:rsidP="003B4C90">
      <w:pPr>
        <w:pStyle w:val="ListBullet"/>
        <w:numPr>
          <w:ilvl w:val="0"/>
          <w:numId w:val="0"/>
        </w:numPr>
        <w:spacing w:after="160"/>
        <w:rPr>
          <w:rFonts w:ascii="Calibri" w:hAnsi="Calibri"/>
          <w:sz w:val="22"/>
          <w:szCs w:val="22"/>
        </w:rPr>
      </w:pPr>
      <w:r>
        <w:rPr>
          <w:rFonts w:ascii="Calibri" w:hAnsi="Calibri"/>
          <w:sz w:val="22"/>
          <w:szCs w:val="22"/>
        </w:rPr>
        <w:t xml:space="preserve">PIELC has also lost Child Care staff to the </w:t>
      </w:r>
      <w:proofErr w:type="gramStart"/>
      <w:r>
        <w:rPr>
          <w:rFonts w:ascii="Calibri" w:hAnsi="Calibri"/>
          <w:sz w:val="22"/>
          <w:szCs w:val="22"/>
        </w:rPr>
        <w:t>Kindergarten</w:t>
      </w:r>
      <w:proofErr w:type="gramEnd"/>
      <w:r>
        <w:rPr>
          <w:rFonts w:ascii="Calibri" w:hAnsi="Calibri"/>
          <w:sz w:val="22"/>
          <w:szCs w:val="22"/>
        </w:rPr>
        <w:t xml:space="preserve"> sector, due to the more </w:t>
      </w:r>
      <w:proofErr w:type="spellStart"/>
      <w:r>
        <w:rPr>
          <w:rFonts w:ascii="Calibri" w:hAnsi="Calibri"/>
          <w:sz w:val="22"/>
          <w:szCs w:val="22"/>
        </w:rPr>
        <w:t>favourable</w:t>
      </w:r>
      <w:proofErr w:type="spellEnd"/>
      <w:r>
        <w:rPr>
          <w:rFonts w:ascii="Calibri" w:hAnsi="Calibri"/>
          <w:sz w:val="22"/>
          <w:szCs w:val="22"/>
        </w:rPr>
        <w:t xml:space="preserve"> </w:t>
      </w:r>
      <w:proofErr w:type="gramStart"/>
      <w:r>
        <w:rPr>
          <w:rFonts w:ascii="Calibri" w:hAnsi="Calibri"/>
          <w:sz w:val="22"/>
          <w:szCs w:val="22"/>
        </w:rPr>
        <w:t>work</w:t>
      </w:r>
      <w:proofErr w:type="gramEnd"/>
      <w:r>
        <w:rPr>
          <w:rFonts w:ascii="Calibri" w:hAnsi="Calibri"/>
          <w:sz w:val="22"/>
          <w:szCs w:val="22"/>
        </w:rPr>
        <w:t xml:space="preserve"> conditions for the kindergarten workforce.  The state of Victoria has offered many incentives to the kindergarten workforce </w:t>
      </w:r>
      <w:proofErr w:type="gramStart"/>
      <w:r>
        <w:rPr>
          <w:rFonts w:ascii="Calibri" w:hAnsi="Calibri"/>
          <w:sz w:val="22"/>
          <w:szCs w:val="22"/>
        </w:rPr>
        <w:t>in order to</w:t>
      </w:r>
      <w:proofErr w:type="gramEnd"/>
      <w:r>
        <w:rPr>
          <w:rFonts w:ascii="Calibri" w:hAnsi="Calibri"/>
          <w:sz w:val="22"/>
          <w:szCs w:val="22"/>
        </w:rPr>
        <w:t xml:space="preserve"> attract more staff to the sector, in line with its expansion of access to 30 hours of preschool for children.  While this benefits the 3-year-old-and-above age group, our longest waitlist is for the under-3-year-old age group, which is cared for by Child Care Educators.</w:t>
      </w:r>
    </w:p>
    <w:p w14:paraId="45A3FEFC" w14:textId="77777777" w:rsidR="0051200F" w:rsidRPr="0051200F" w:rsidRDefault="0051200F" w:rsidP="0051200F">
      <w:pPr>
        <w:pStyle w:val="NoSpacing"/>
        <w:rPr>
          <w:rFonts w:ascii="Calibri" w:hAnsi="Calibri"/>
          <w:sz w:val="22"/>
          <w:szCs w:val="22"/>
        </w:rPr>
      </w:pPr>
      <w:r w:rsidRPr="0051200F">
        <w:rPr>
          <w:rFonts w:ascii="Calibri" w:hAnsi="Calibri"/>
          <w:sz w:val="22"/>
          <w:szCs w:val="22"/>
        </w:rPr>
        <w:t>The National Children’s Education and Care Workforce Strategy illustrates the wage disparity between Child Care Educators and other Educators.</w:t>
      </w:r>
    </w:p>
    <w:p w14:paraId="3F79D753" w14:textId="77777777" w:rsidR="0051200F" w:rsidRDefault="0051200F" w:rsidP="0051200F">
      <w:pPr>
        <w:pStyle w:val="NoSpacing"/>
      </w:pPr>
    </w:p>
    <w:p w14:paraId="1070F0F3" w14:textId="2FDD0BA0" w:rsidR="007900A4" w:rsidRDefault="0051200F" w:rsidP="00026F29">
      <w:pPr>
        <w:pStyle w:val="NoSpacing"/>
        <w:rPr>
          <w:rFonts w:ascii="Calibri" w:hAnsi="Calibri"/>
          <w:sz w:val="22"/>
          <w:szCs w:val="22"/>
        </w:rPr>
      </w:pPr>
      <w:r>
        <w:rPr>
          <w:noProof/>
          <w:lang w:val="en-AU" w:eastAsia="en-AU"/>
        </w:rPr>
        <w:drawing>
          <wp:inline distT="0" distB="0" distL="0" distR="0" wp14:anchorId="759E5A99" wp14:editId="30E3CB62">
            <wp:extent cx="55245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299"/>
                    <a:stretch/>
                  </pic:blipFill>
                  <pic:spPr bwMode="auto">
                    <a:xfrm>
                      <a:off x="0" y="0"/>
                      <a:ext cx="5524500" cy="2895600"/>
                    </a:xfrm>
                    <a:prstGeom prst="rect">
                      <a:avLst/>
                    </a:prstGeom>
                    <a:ln>
                      <a:noFill/>
                    </a:ln>
                    <a:extLst>
                      <a:ext uri="{53640926-AAD7-44D8-BBD7-CCE9431645EC}">
                        <a14:shadowObscured xmlns:a14="http://schemas.microsoft.com/office/drawing/2010/main"/>
                      </a:ext>
                    </a:extLst>
                  </pic:spPr>
                </pic:pic>
              </a:graphicData>
            </a:graphic>
          </wp:inline>
        </w:drawing>
      </w:r>
    </w:p>
    <w:p w14:paraId="17F043F8" w14:textId="553A88EC" w:rsidR="007900A4" w:rsidRDefault="007900A4" w:rsidP="007900A4">
      <w:pPr>
        <w:pStyle w:val="ListBullet"/>
        <w:numPr>
          <w:ilvl w:val="0"/>
          <w:numId w:val="0"/>
        </w:numPr>
        <w:rPr>
          <w:rFonts w:ascii="Calibri" w:hAnsi="Calibri"/>
          <w:sz w:val="22"/>
          <w:szCs w:val="22"/>
        </w:rPr>
        <w:sectPr w:rsidR="007900A4" w:rsidSect="00A766AE">
          <w:footerReference w:type="default" r:id="rId12"/>
          <w:pgSz w:w="12240" w:h="15840" w:code="1"/>
          <w:pgMar w:top="851" w:right="1440" w:bottom="284" w:left="1440" w:header="720" w:footer="862" w:gutter="0"/>
          <w:cols w:space="720"/>
          <w:docGrid w:linePitch="360"/>
        </w:sectPr>
      </w:pPr>
    </w:p>
    <w:p w14:paraId="48CE93E3" w14:textId="77777777" w:rsidR="00554A3C" w:rsidRDefault="00554A3C" w:rsidP="003B4C90">
      <w:pPr>
        <w:pStyle w:val="ListBullet"/>
        <w:numPr>
          <w:ilvl w:val="0"/>
          <w:numId w:val="0"/>
        </w:numPr>
        <w:ind w:left="720"/>
        <w:rPr>
          <w:rFonts w:ascii="Calibri" w:hAnsi="Calibri"/>
          <w:sz w:val="22"/>
          <w:szCs w:val="22"/>
        </w:rPr>
        <w:sectPr w:rsidR="00554A3C" w:rsidSect="0051200F">
          <w:type w:val="continuous"/>
          <w:pgSz w:w="12240" w:h="15840" w:code="1"/>
          <w:pgMar w:top="1440" w:right="1440" w:bottom="1440" w:left="1440" w:header="720" w:footer="864" w:gutter="0"/>
          <w:cols w:space="720"/>
          <w:docGrid w:linePitch="360"/>
        </w:sectPr>
      </w:pPr>
    </w:p>
    <w:tbl>
      <w:tblPr>
        <w:tblW w:w="14960" w:type="dxa"/>
        <w:tblCellMar>
          <w:top w:w="28" w:type="dxa"/>
          <w:bottom w:w="28" w:type="dxa"/>
        </w:tblCellMar>
        <w:tblLook w:val="04A0" w:firstRow="1" w:lastRow="0" w:firstColumn="1" w:lastColumn="0" w:noHBand="0" w:noVBand="1"/>
      </w:tblPr>
      <w:tblGrid>
        <w:gridCol w:w="6838"/>
        <w:gridCol w:w="533"/>
        <w:gridCol w:w="7589"/>
      </w:tblGrid>
      <w:tr w:rsidR="00C350BA" w:rsidRPr="00C350BA" w14:paraId="05DCD40D" w14:textId="77777777" w:rsidTr="00353E37">
        <w:trPr>
          <w:trHeight w:val="375"/>
        </w:trPr>
        <w:tc>
          <w:tcPr>
            <w:tcW w:w="14960" w:type="dxa"/>
            <w:gridSpan w:val="3"/>
            <w:tcBorders>
              <w:top w:val="nil"/>
              <w:left w:val="nil"/>
              <w:bottom w:val="single" w:sz="4" w:space="0" w:color="auto"/>
              <w:right w:val="nil"/>
            </w:tcBorders>
            <w:shd w:val="clear" w:color="000000" w:fill="D0CECE"/>
            <w:noWrap/>
            <w:vAlign w:val="bottom"/>
            <w:hideMark/>
          </w:tcPr>
          <w:p w14:paraId="2413978E" w14:textId="77777777" w:rsidR="00A766AE" w:rsidRDefault="00A766AE" w:rsidP="00C350BA">
            <w:pPr>
              <w:spacing w:after="0" w:line="240" w:lineRule="auto"/>
              <w:jc w:val="center"/>
              <w:rPr>
                <w:rFonts w:ascii="Calibri" w:hAnsi="Calibri"/>
                <w:sz w:val="22"/>
                <w:szCs w:val="22"/>
              </w:rPr>
            </w:pPr>
            <w:r>
              <w:rPr>
                <w:rFonts w:ascii="Calibri" w:hAnsi="Calibri"/>
                <w:sz w:val="22"/>
                <w:szCs w:val="22"/>
              </w:rPr>
              <w:lastRenderedPageBreak/>
              <w:t xml:space="preserve">This table reflects the similarities between the tasks performed by Child Care staff and Primary School Teachers. </w:t>
            </w:r>
          </w:p>
          <w:p w14:paraId="4C2A17B8" w14:textId="1EA9F8AE" w:rsidR="00A766AE" w:rsidRPr="00C350BA" w:rsidRDefault="00A766AE" w:rsidP="00A766AE">
            <w:pPr>
              <w:spacing w:after="0" w:line="240" w:lineRule="auto"/>
              <w:jc w:val="center"/>
              <w:rPr>
                <w:rFonts w:ascii="Calibri" w:eastAsia="Times New Roman" w:hAnsi="Calibri" w:cs="Calibri"/>
                <w:b/>
                <w:bCs/>
                <w:color w:val="000000"/>
                <w:sz w:val="28"/>
                <w:szCs w:val="28"/>
                <w:lang w:val="en-AU" w:eastAsia="en-AU"/>
              </w:rPr>
            </w:pPr>
            <w:r>
              <w:rPr>
                <w:rFonts w:ascii="Calibri" w:hAnsi="Calibri"/>
                <w:sz w:val="22"/>
                <w:szCs w:val="22"/>
              </w:rPr>
              <w:t xml:space="preserve"> It also shows a comparison between revenue and work conditions of </w:t>
            </w:r>
            <w:proofErr w:type="gramStart"/>
            <w:r>
              <w:rPr>
                <w:rFonts w:ascii="Calibri" w:hAnsi="Calibri"/>
                <w:sz w:val="22"/>
                <w:szCs w:val="22"/>
              </w:rPr>
              <w:t>Kindergarten</w:t>
            </w:r>
            <w:proofErr w:type="gramEnd"/>
            <w:r>
              <w:rPr>
                <w:rFonts w:ascii="Calibri" w:hAnsi="Calibri"/>
                <w:sz w:val="22"/>
                <w:szCs w:val="22"/>
              </w:rPr>
              <w:t xml:space="preserve"> staff compared to Child Care staff</w:t>
            </w:r>
          </w:p>
        </w:tc>
      </w:tr>
      <w:tr w:rsidR="00C350BA" w:rsidRPr="00C350BA" w14:paraId="58EA8B79" w14:textId="77777777" w:rsidTr="00353E37">
        <w:trPr>
          <w:trHeight w:val="300"/>
        </w:trPr>
        <w:tc>
          <w:tcPr>
            <w:tcW w:w="6838" w:type="dxa"/>
            <w:tcBorders>
              <w:top w:val="nil"/>
              <w:left w:val="single" w:sz="4" w:space="0" w:color="auto"/>
              <w:bottom w:val="single" w:sz="4" w:space="0" w:color="auto"/>
              <w:right w:val="single" w:sz="4" w:space="0" w:color="auto"/>
            </w:tcBorders>
            <w:shd w:val="clear" w:color="000000" w:fill="D0CECE"/>
            <w:noWrap/>
            <w:vAlign w:val="bottom"/>
            <w:hideMark/>
          </w:tcPr>
          <w:p w14:paraId="03BFA0E9" w14:textId="77777777" w:rsidR="00C350BA" w:rsidRPr="00C350BA" w:rsidRDefault="00C350BA" w:rsidP="00C350BA">
            <w:pPr>
              <w:spacing w:after="0" w:line="240" w:lineRule="auto"/>
              <w:rPr>
                <w:rFonts w:ascii="Calibri" w:eastAsia="Times New Roman" w:hAnsi="Calibri" w:cs="Calibri"/>
                <w:b/>
                <w:bCs/>
                <w:color w:val="000000"/>
                <w:sz w:val="22"/>
                <w:szCs w:val="22"/>
                <w:lang w:val="en-AU" w:eastAsia="en-AU"/>
              </w:rPr>
            </w:pPr>
            <w:r w:rsidRPr="00C350BA">
              <w:rPr>
                <w:rFonts w:ascii="Calibri" w:eastAsia="Times New Roman" w:hAnsi="Calibri" w:cs="Calibri"/>
                <w:b/>
                <w:bCs/>
                <w:color w:val="000000"/>
                <w:sz w:val="22"/>
                <w:szCs w:val="22"/>
                <w:lang w:val="en-AU" w:eastAsia="en-AU"/>
              </w:rPr>
              <w:t>Primary School Teachers</w:t>
            </w:r>
          </w:p>
        </w:tc>
        <w:tc>
          <w:tcPr>
            <w:tcW w:w="8122" w:type="dxa"/>
            <w:gridSpan w:val="2"/>
            <w:tcBorders>
              <w:top w:val="nil"/>
              <w:left w:val="nil"/>
              <w:bottom w:val="single" w:sz="4" w:space="0" w:color="auto"/>
              <w:right w:val="single" w:sz="4" w:space="0" w:color="auto"/>
            </w:tcBorders>
            <w:shd w:val="clear" w:color="000000" w:fill="D0CECE"/>
            <w:noWrap/>
            <w:vAlign w:val="bottom"/>
            <w:hideMark/>
          </w:tcPr>
          <w:p w14:paraId="698CC83C" w14:textId="77777777" w:rsidR="00C350BA" w:rsidRPr="00C350BA" w:rsidRDefault="00C350BA" w:rsidP="00C350BA">
            <w:pPr>
              <w:spacing w:after="0" w:line="240" w:lineRule="auto"/>
              <w:rPr>
                <w:rFonts w:ascii="Calibri" w:eastAsia="Times New Roman" w:hAnsi="Calibri" w:cs="Calibri"/>
                <w:b/>
                <w:bCs/>
                <w:color w:val="000000"/>
                <w:sz w:val="22"/>
                <w:szCs w:val="22"/>
                <w:lang w:val="en-AU" w:eastAsia="en-AU"/>
              </w:rPr>
            </w:pPr>
            <w:r w:rsidRPr="00C350BA">
              <w:rPr>
                <w:rFonts w:ascii="Calibri" w:eastAsia="Times New Roman" w:hAnsi="Calibri" w:cs="Calibri"/>
                <w:b/>
                <w:bCs/>
                <w:color w:val="000000"/>
                <w:sz w:val="22"/>
                <w:szCs w:val="22"/>
                <w:lang w:val="en-AU" w:eastAsia="en-AU"/>
              </w:rPr>
              <w:t>Early Childhood Educators</w:t>
            </w:r>
          </w:p>
        </w:tc>
      </w:tr>
      <w:tr w:rsidR="00C350BA" w:rsidRPr="00C350BA" w14:paraId="26EB91D3"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38F58D74"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Plan and implement a range of teaching programs or courses of study</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3F407594"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Plan and implement a range of teaching programs within the Early Years Learning Framework</w:t>
            </w:r>
          </w:p>
        </w:tc>
      </w:tr>
      <w:tr w:rsidR="00C350BA" w:rsidRPr="00C350BA" w14:paraId="0CEB8792"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36460413"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Provide a child safe environment in accordance with the child safe standards</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37171E20"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Provide a child safe environment in accordance with the child safe standards</w:t>
            </w:r>
          </w:p>
        </w:tc>
      </w:tr>
      <w:tr w:rsidR="00C350BA" w:rsidRPr="00C350BA" w14:paraId="7750A261"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42BCACA1"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Teach an area of the curriculum or a general curriculum to a year level</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5B3765FE"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Teach an area of the Early Years Learning Framework to a child's next level of abilities</w:t>
            </w:r>
          </w:p>
        </w:tc>
      </w:tr>
      <w:tr w:rsidR="00C350BA" w:rsidRPr="00C350BA" w14:paraId="18C32EC9"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6B724CA9"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Monitor, evaluate and report student progress in key learning areas</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1AF3DF1D"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Monitor, evaluate and report student progress</w:t>
            </w:r>
          </w:p>
        </w:tc>
      </w:tr>
      <w:tr w:rsidR="00C350BA" w:rsidRPr="00C350BA" w14:paraId="2F94B4A2"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12E680EE"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Implement strategies to achieve targets related to student learning outcomes</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2FECEEDF"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Implement strategies to achieve targets related to student developmental outcomes</w:t>
            </w:r>
          </w:p>
        </w:tc>
      </w:tr>
      <w:tr w:rsidR="00C350BA" w:rsidRPr="00C350BA" w14:paraId="1DFF312E"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76E27999"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Maintain records of class attendance and recording student progress</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695FDF1C"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Maintain records of attendance, time dropped off and time collected, and recording student progress</w:t>
            </w:r>
          </w:p>
        </w:tc>
      </w:tr>
      <w:tr w:rsidR="00C350BA" w:rsidRPr="00C350BA" w14:paraId="134ABB20" w14:textId="77777777" w:rsidTr="00353E37">
        <w:trPr>
          <w:trHeight w:val="45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620E7CCA"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 xml:space="preserve"> Implement effective student management consistent with the school’s strategic plan</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60D62B5F"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 xml:space="preserve"> Implement effective student management consistent with the Centre's philosophy statement</w:t>
            </w:r>
          </w:p>
        </w:tc>
      </w:tr>
      <w:tr w:rsidR="00C350BA" w:rsidRPr="00C350BA" w14:paraId="437335F9" w14:textId="77777777" w:rsidTr="00353E37">
        <w:trPr>
          <w:trHeight w:val="42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34F96569"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 </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5EB43C1E" w14:textId="77777777" w:rsidR="00C350BA" w:rsidRPr="00353E37" w:rsidRDefault="00C350BA" w:rsidP="00280E12">
            <w:pPr>
              <w:spacing w:after="0" w:line="240" w:lineRule="auto"/>
              <w:rPr>
                <w:rFonts w:ascii="Calibri" w:eastAsia="Times New Roman" w:hAnsi="Calibri" w:cs="Calibri"/>
                <w:color w:val="000000"/>
                <w:sz w:val="19"/>
                <w:szCs w:val="19"/>
                <w:lang w:val="en-AU" w:eastAsia="en-AU"/>
              </w:rPr>
            </w:pPr>
            <w:r w:rsidRPr="00353E37">
              <w:rPr>
                <w:rFonts w:ascii="Calibri" w:eastAsia="Times New Roman" w:hAnsi="Calibri" w:cs="Calibri"/>
                <w:color w:val="000000"/>
                <w:sz w:val="19"/>
                <w:szCs w:val="19"/>
                <w:lang w:val="en-AU" w:eastAsia="en-AU"/>
              </w:rPr>
              <w:t>Change nappies, wipe noses, wash toys and blankets</w:t>
            </w:r>
          </w:p>
        </w:tc>
      </w:tr>
      <w:tr w:rsidR="00C350BA" w:rsidRPr="00C350BA" w14:paraId="3677A9EE" w14:textId="77777777" w:rsidTr="00353E37">
        <w:trPr>
          <w:trHeight w:val="300"/>
        </w:trPr>
        <w:tc>
          <w:tcPr>
            <w:tcW w:w="6838" w:type="dxa"/>
            <w:tcBorders>
              <w:top w:val="nil"/>
              <w:left w:val="nil"/>
              <w:bottom w:val="nil"/>
              <w:right w:val="nil"/>
            </w:tcBorders>
            <w:shd w:val="clear" w:color="auto" w:fill="auto"/>
            <w:noWrap/>
            <w:vAlign w:val="bottom"/>
            <w:hideMark/>
          </w:tcPr>
          <w:p w14:paraId="6CB001D9" w14:textId="77777777" w:rsidR="00C350BA" w:rsidRDefault="00C350BA" w:rsidP="00C350BA">
            <w:pPr>
              <w:spacing w:after="0" w:line="240" w:lineRule="auto"/>
              <w:rPr>
                <w:rFonts w:ascii="Calibri" w:eastAsia="Times New Roman" w:hAnsi="Calibri" w:cs="Calibri"/>
                <w:color w:val="000000"/>
                <w:lang w:val="en-AU" w:eastAsia="en-AU"/>
              </w:rPr>
            </w:pPr>
          </w:p>
          <w:p w14:paraId="35EA5A97" w14:textId="21C5831C" w:rsidR="00280E12" w:rsidRPr="00C350BA" w:rsidRDefault="00280E12" w:rsidP="00C350BA">
            <w:pPr>
              <w:spacing w:after="0" w:line="240" w:lineRule="auto"/>
              <w:rPr>
                <w:rFonts w:ascii="Calibri" w:eastAsia="Times New Roman" w:hAnsi="Calibri" w:cs="Calibri"/>
                <w:color w:val="000000"/>
                <w:lang w:val="en-AU" w:eastAsia="en-AU"/>
              </w:rPr>
            </w:pPr>
          </w:p>
        </w:tc>
        <w:tc>
          <w:tcPr>
            <w:tcW w:w="8122" w:type="dxa"/>
            <w:gridSpan w:val="2"/>
            <w:tcBorders>
              <w:top w:val="nil"/>
              <w:left w:val="nil"/>
              <w:bottom w:val="nil"/>
              <w:right w:val="nil"/>
            </w:tcBorders>
            <w:shd w:val="clear" w:color="auto" w:fill="auto"/>
            <w:noWrap/>
            <w:vAlign w:val="bottom"/>
            <w:hideMark/>
          </w:tcPr>
          <w:p w14:paraId="7AA2111E" w14:textId="77777777" w:rsidR="00C350BA" w:rsidRPr="00C350BA" w:rsidRDefault="00C350BA" w:rsidP="00C350BA">
            <w:pPr>
              <w:spacing w:after="0" w:line="240" w:lineRule="auto"/>
              <w:rPr>
                <w:rFonts w:ascii="Times New Roman" w:eastAsia="Times New Roman" w:hAnsi="Times New Roman" w:cs="Times New Roman"/>
                <w:color w:val="auto"/>
                <w:sz w:val="20"/>
                <w:szCs w:val="20"/>
                <w:lang w:val="en-AU" w:eastAsia="en-AU"/>
              </w:rPr>
            </w:pPr>
          </w:p>
        </w:tc>
      </w:tr>
      <w:tr w:rsidR="00C350BA" w:rsidRPr="00C350BA" w14:paraId="5F4BA033" w14:textId="77777777" w:rsidTr="00353E37">
        <w:trPr>
          <w:trHeight w:val="375"/>
        </w:trPr>
        <w:tc>
          <w:tcPr>
            <w:tcW w:w="14960" w:type="dxa"/>
            <w:gridSpan w:val="3"/>
            <w:tcBorders>
              <w:top w:val="nil"/>
              <w:left w:val="nil"/>
              <w:bottom w:val="single" w:sz="4" w:space="0" w:color="auto"/>
              <w:right w:val="nil"/>
            </w:tcBorders>
            <w:shd w:val="clear" w:color="000000" w:fill="D0CECE"/>
            <w:noWrap/>
            <w:vAlign w:val="bottom"/>
            <w:hideMark/>
          </w:tcPr>
          <w:p w14:paraId="27BED705" w14:textId="4CB9227A" w:rsidR="00C350BA" w:rsidRPr="00C350BA" w:rsidRDefault="00C350BA" w:rsidP="00C350BA">
            <w:pPr>
              <w:spacing w:after="0" w:line="240" w:lineRule="auto"/>
              <w:jc w:val="center"/>
              <w:rPr>
                <w:rFonts w:ascii="Calibri" w:eastAsia="Times New Roman" w:hAnsi="Calibri" w:cs="Calibri"/>
                <w:b/>
                <w:bCs/>
                <w:color w:val="000000"/>
                <w:sz w:val="28"/>
                <w:szCs w:val="28"/>
                <w:lang w:val="en-AU" w:eastAsia="en-AU"/>
              </w:rPr>
            </w:pPr>
            <w:r w:rsidRPr="00C350BA">
              <w:rPr>
                <w:rFonts w:ascii="Calibri" w:eastAsia="Times New Roman" w:hAnsi="Calibri" w:cs="Calibri"/>
                <w:b/>
                <w:bCs/>
                <w:color w:val="000000"/>
                <w:sz w:val="28"/>
                <w:szCs w:val="28"/>
                <w:lang w:val="en-AU" w:eastAsia="en-AU"/>
              </w:rPr>
              <w:t>Wages-to-revenue comparison</w:t>
            </w:r>
            <w:r w:rsidR="00280E12">
              <w:rPr>
                <w:rFonts w:ascii="Calibri" w:eastAsia="Times New Roman" w:hAnsi="Calibri" w:cs="Calibri"/>
                <w:b/>
                <w:bCs/>
                <w:color w:val="000000"/>
                <w:sz w:val="28"/>
                <w:szCs w:val="28"/>
                <w:lang w:val="en-AU" w:eastAsia="en-AU"/>
              </w:rPr>
              <w:t xml:space="preserve">: </w:t>
            </w:r>
            <w:r w:rsidR="00280E12" w:rsidRPr="00353E37">
              <w:rPr>
                <w:rFonts w:ascii="Calibri" w:eastAsia="Times New Roman" w:hAnsi="Calibri" w:cs="Calibri"/>
                <w:b/>
                <w:bCs/>
                <w:color w:val="C65911"/>
                <w:sz w:val="28"/>
                <w:szCs w:val="28"/>
                <w:lang w:val="en-AU" w:eastAsia="en-AU"/>
              </w:rPr>
              <w:t>Kindergarten</w:t>
            </w:r>
            <w:r w:rsidR="00280E12">
              <w:rPr>
                <w:rFonts w:ascii="Calibri" w:eastAsia="Times New Roman" w:hAnsi="Calibri" w:cs="Calibri"/>
                <w:b/>
                <w:bCs/>
                <w:color w:val="000000"/>
                <w:sz w:val="28"/>
                <w:szCs w:val="28"/>
                <w:lang w:val="en-AU" w:eastAsia="en-AU"/>
              </w:rPr>
              <w:t xml:space="preserve"> vs. </w:t>
            </w:r>
            <w:r w:rsidR="00280E12" w:rsidRPr="00353E37">
              <w:rPr>
                <w:rFonts w:ascii="Calibri" w:eastAsia="Times New Roman" w:hAnsi="Calibri" w:cs="Calibri"/>
                <w:b/>
                <w:bCs/>
                <w:color w:val="00B0F0"/>
                <w:sz w:val="28"/>
                <w:szCs w:val="28"/>
                <w:lang w:val="en-AU" w:eastAsia="en-AU"/>
              </w:rPr>
              <w:t>Child Care</w:t>
            </w:r>
          </w:p>
        </w:tc>
      </w:tr>
      <w:tr w:rsidR="00C350BA" w:rsidRPr="00C350BA" w14:paraId="19E17B87" w14:textId="77777777" w:rsidTr="00353E37">
        <w:trPr>
          <w:trHeight w:val="397"/>
        </w:trPr>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4DA602" w14:textId="77777777" w:rsidR="00C350BA" w:rsidRPr="00353E37" w:rsidRDefault="00C350BA" w:rsidP="00353E37">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Kindergarten wages as a percentage of kindergarten revenue: 74%, with 9 staff</w:t>
            </w:r>
          </w:p>
        </w:tc>
        <w:tc>
          <w:tcPr>
            <w:tcW w:w="7589" w:type="dxa"/>
            <w:tcBorders>
              <w:top w:val="nil"/>
              <w:left w:val="nil"/>
              <w:bottom w:val="single" w:sz="4" w:space="0" w:color="auto"/>
              <w:right w:val="single" w:sz="4" w:space="0" w:color="auto"/>
            </w:tcBorders>
            <w:shd w:val="clear" w:color="auto" w:fill="auto"/>
            <w:noWrap/>
            <w:vAlign w:val="center"/>
            <w:hideMark/>
          </w:tcPr>
          <w:p w14:paraId="04E680A2" w14:textId="77777777" w:rsidR="00C350BA" w:rsidRPr="00353E37" w:rsidRDefault="00C350BA" w:rsidP="00353E37">
            <w:pPr>
              <w:spacing w:after="0" w:line="240" w:lineRule="auto"/>
              <w:rPr>
                <w:rFonts w:ascii="Calibri" w:eastAsia="Times New Roman" w:hAnsi="Calibri" w:cs="Calibri"/>
                <w:color w:val="000000"/>
                <w:sz w:val="22"/>
                <w:szCs w:val="22"/>
                <w:lang w:val="en-AU" w:eastAsia="en-AU"/>
              </w:rPr>
            </w:pPr>
            <w:proofErr w:type="gramStart"/>
            <w:r w:rsidRPr="00353E37">
              <w:rPr>
                <w:rFonts w:ascii="Calibri" w:eastAsia="Times New Roman" w:hAnsi="Calibri" w:cs="Calibri"/>
                <w:color w:val="000000"/>
                <w:sz w:val="22"/>
                <w:szCs w:val="22"/>
                <w:lang w:val="en-AU" w:eastAsia="en-AU"/>
              </w:rPr>
              <w:t>Child care</w:t>
            </w:r>
            <w:proofErr w:type="gramEnd"/>
            <w:r w:rsidRPr="00353E37">
              <w:rPr>
                <w:rFonts w:ascii="Calibri" w:eastAsia="Times New Roman" w:hAnsi="Calibri" w:cs="Calibri"/>
                <w:color w:val="000000"/>
                <w:sz w:val="22"/>
                <w:szCs w:val="22"/>
                <w:lang w:val="en-AU" w:eastAsia="en-AU"/>
              </w:rPr>
              <w:t xml:space="preserve"> wages as a percentage of child care revenue: 63%, with 15 staff</w:t>
            </w:r>
          </w:p>
        </w:tc>
      </w:tr>
      <w:tr w:rsidR="00C350BA" w:rsidRPr="00C350BA" w14:paraId="7727428F" w14:textId="77777777" w:rsidTr="00353E37">
        <w:trPr>
          <w:trHeight w:val="300"/>
        </w:trPr>
        <w:tc>
          <w:tcPr>
            <w:tcW w:w="6838" w:type="dxa"/>
            <w:tcBorders>
              <w:top w:val="nil"/>
              <w:left w:val="nil"/>
              <w:bottom w:val="single" w:sz="4" w:space="0" w:color="auto"/>
              <w:right w:val="nil"/>
            </w:tcBorders>
            <w:shd w:val="clear" w:color="auto" w:fill="auto"/>
            <w:noWrap/>
            <w:vAlign w:val="bottom"/>
            <w:hideMark/>
          </w:tcPr>
          <w:p w14:paraId="45F1D64E" w14:textId="77777777" w:rsidR="00C350BA" w:rsidRDefault="00C350BA" w:rsidP="00C350BA">
            <w:pPr>
              <w:spacing w:after="0" w:line="240" w:lineRule="auto"/>
              <w:rPr>
                <w:rFonts w:ascii="Calibri" w:eastAsia="Times New Roman" w:hAnsi="Calibri" w:cs="Calibri"/>
                <w:color w:val="000000"/>
                <w:sz w:val="22"/>
                <w:szCs w:val="22"/>
                <w:lang w:val="en-AU" w:eastAsia="en-AU"/>
              </w:rPr>
            </w:pPr>
            <w:r w:rsidRPr="00C350BA">
              <w:rPr>
                <w:rFonts w:ascii="Calibri" w:eastAsia="Times New Roman" w:hAnsi="Calibri" w:cs="Calibri"/>
                <w:color w:val="000000"/>
                <w:sz w:val="22"/>
                <w:szCs w:val="22"/>
                <w:lang w:val="en-AU" w:eastAsia="en-AU"/>
              </w:rPr>
              <w:t> </w:t>
            </w:r>
          </w:p>
          <w:p w14:paraId="7A4CB81D" w14:textId="69B738D0" w:rsidR="00280E12" w:rsidRPr="00C350BA" w:rsidRDefault="00280E12" w:rsidP="00C350BA">
            <w:pPr>
              <w:spacing w:after="0" w:line="240" w:lineRule="auto"/>
              <w:rPr>
                <w:rFonts w:ascii="Calibri" w:eastAsia="Times New Roman" w:hAnsi="Calibri" w:cs="Calibri"/>
                <w:color w:val="000000"/>
                <w:sz w:val="22"/>
                <w:szCs w:val="22"/>
                <w:lang w:val="en-AU" w:eastAsia="en-AU"/>
              </w:rPr>
            </w:pPr>
          </w:p>
        </w:tc>
        <w:tc>
          <w:tcPr>
            <w:tcW w:w="8122" w:type="dxa"/>
            <w:gridSpan w:val="2"/>
            <w:tcBorders>
              <w:top w:val="nil"/>
              <w:left w:val="nil"/>
              <w:bottom w:val="single" w:sz="4" w:space="0" w:color="auto"/>
              <w:right w:val="nil"/>
            </w:tcBorders>
            <w:shd w:val="clear" w:color="auto" w:fill="auto"/>
            <w:noWrap/>
            <w:vAlign w:val="bottom"/>
            <w:hideMark/>
          </w:tcPr>
          <w:p w14:paraId="6C403B13" w14:textId="77777777" w:rsidR="00C350BA" w:rsidRPr="00C350BA" w:rsidRDefault="00C350BA" w:rsidP="00C350BA">
            <w:pPr>
              <w:spacing w:after="0" w:line="240" w:lineRule="auto"/>
              <w:rPr>
                <w:rFonts w:ascii="Calibri" w:eastAsia="Times New Roman" w:hAnsi="Calibri" w:cs="Calibri"/>
                <w:color w:val="000000"/>
                <w:sz w:val="22"/>
                <w:szCs w:val="22"/>
                <w:lang w:val="en-AU" w:eastAsia="en-AU"/>
              </w:rPr>
            </w:pPr>
            <w:r w:rsidRPr="00C350BA">
              <w:rPr>
                <w:rFonts w:ascii="Calibri" w:eastAsia="Times New Roman" w:hAnsi="Calibri" w:cs="Calibri"/>
                <w:color w:val="000000"/>
                <w:sz w:val="22"/>
                <w:szCs w:val="22"/>
                <w:lang w:val="en-AU" w:eastAsia="en-AU"/>
              </w:rPr>
              <w:t> </w:t>
            </w:r>
          </w:p>
        </w:tc>
      </w:tr>
      <w:tr w:rsidR="00C350BA" w:rsidRPr="00C350BA" w14:paraId="56B55D1C" w14:textId="77777777" w:rsidTr="00353E37">
        <w:trPr>
          <w:trHeight w:val="375"/>
        </w:trPr>
        <w:tc>
          <w:tcPr>
            <w:tcW w:w="14960" w:type="dxa"/>
            <w:gridSpan w:val="3"/>
            <w:tcBorders>
              <w:top w:val="nil"/>
              <w:left w:val="nil"/>
              <w:bottom w:val="single" w:sz="4" w:space="0" w:color="auto"/>
              <w:right w:val="nil"/>
            </w:tcBorders>
            <w:shd w:val="clear" w:color="000000" w:fill="D0CECE"/>
            <w:noWrap/>
            <w:vAlign w:val="bottom"/>
            <w:hideMark/>
          </w:tcPr>
          <w:p w14:paraId="38314F20" w14:textId="1E2EE339" w:rsidR="00C350BA" w:rsidRPr="00C350BA" w:rsidRDefault="00C350BA" w:rsidP="00C350BA">
            <w:pPr>
              <w:spacing w:after="0" w:line="240" w:lineRule="auto"/>
              <w:jc w:val="center"/>
              <w:rPr>
                <w:rFonts w:ascii="Calibri" w:eastAsia="Times New Roman" w:hAnsi="Calibri" w:cs="Calibri"/>
                <w:b/>
                <w:bCs/>
                <w:color w:val="000000"/>
                <w:sz w:val="28"/>
                <w:szCs w:val="28"/>
                <w:lang w:val="en-AU" w:eastAsia="en-AU"/>
              </w:rPr>
            </w:pPr>
            <w:r w:rsidRPr="00353E37">
              <w:rPr>
                <w:rFonts w:ascii="Calibri" w:eastAsia="Times New Roman" w:hAnsi="Calibri" w:cs="Calibri"/>
                <w:b/>
                <w:bCs/>
                <w:color w:val="FF0000"/>
                <w:sz w:val="28"/>
                <w:szCs w:val="28"/>
                <w:lang w:val="en-AU" w:eastAsia="en-AU"/>
              </w:rPr>
              <w:t xml:space="preserve">Work Conditions </w:t>
            </w:r>
            <w:r w:rsidRPr="00C350BA">
              <w:rPr>
                <w:rFonts w:ascii="Calibri" w:eastAsia="Times New Roman" w:hAnsi="Calibri" w:cs="Calibri"/>
                <w:b/>
                <w:bCs/>
                <w:color w:val="000000"/>
                <w:sz w:val="28"/>
                <w:szCs w:val="28"/>
                <w:lang w:val="en-AU" w:eastAsia="en-AU"/>
              </w:rPr>
              <w:t xml:space="preserve">Comparison - </w:t>
            </w:r>
            <w:r w:rsidRPr="00C350BA">
              <w:rPr>
                <w:rFonts w:ascii="Calibri" w:eastAsia="Times New Roman" w:hAnsi="Calibri" w:cs="Calibri"/>
                <w:b/>
                <w:bCs/>
                <w:color w:val="C65911"/>
                <w:sz w:val="28"/>
                <w:szCs w:val="28"/>
                <w:lang w:val="en-AU" w:eastAsia="en-AU"/>
              </w:rPr>
              <w:t>Kinder staff</w:t>
            </w:r>
            <w:r w:rsidRPr="00C350BA">
              <w:rPr>
                <w:rFonts w:ascii="Calibri" w:eastAsia="Times New Roman" w:hAnsi="Calibri" w:cs="Calibri"/>
                <w:b/>
                <w:bCs/>
                <w:color w:val="000000"/>
                <w:sz w:val="28"/>
                <w:szCs w:val="28"/>
                <w:lang w:val="en-AU" w:eastAsia="en-AU"/>
              </w:rPr>
              <w:t xml:space="preserve"> </w:t>
            </w:r>
            <w:r w:rsidRPr="00C350BA">
              <w:rPr>
                <w:rFonts w:ascii="Calibri" w:eastAsia="Times New Roman" w:hAnsi="Calibri" w:cs="Calibri"/>
                <w:i/>
                <w:iCs/>
                <w:color w:val="000000"/>
                <w:sz w:val="28"/>
                <w:szCs w:val="28"/>
                <w:lang w:val="en-AU" w:eastAsia="en-AU"/>
              </w:rPr>
              <w:t>c</w:t>
            </w:r>
            <w:r w:rsidR="00280E12">
              <w:rPr>
                <w:rFonts w:ascii="Calibri" w:eastAsia="Times New Roman" w:hAnsi="Calibri" w:cs="Calibri"/>
                <w:i/>
                <w:iCs/>
                <w:color w:val="000000"/>
                <w:sz w:val="28"/>
                <w:szCs w:val="28"/>
                <w:lang w:val="en-AU" w:eastAsia="en-AU"/>
              </w:rPr>
              <w:t xml:space="preserve">ompared </w:t>
            </w:r>
            <w:proofErr w:type="gramStart"/>
            <w:r w:rsidR="00280E12">
              <w:rPr>
                <w:rFonts w:ascii="Calibri" w:eastAsia="Times New Roman" w:hAnsi="Calibri" w:cs="Calibri"/>
                <w:i/>
                <w:iCs/>
                <w:color w:val="000000"/>
                <w:sz w:val="28"/>
                <w:szCs w:val="28"/>
                <w:lang w:val="en-AU" w:eastAsia="en-AU"/>
              </w:rPr>
              <w:t xml:space="preserve">to </w:t>
            </w:r>
            <w:r w:rsidRPr="00C350BA">
              <w:rPr>
                <w:rFonts w:ascii="Calibri" w:eastAsia="Times New Roman" w:hAnsi="Calibri" w:cs="Calibri"/>
                <w:b/>
                <w:bCs/>
                <w:color w:val="000000"/>
                <w:sz w:val="28"/>
                <w:szCs w:val="28"/>
                <w:lang w:val="en-AU" w:eastAsia="en-AU"/>
              </w:rPr>
              <w:t xml:space="preserve"> </w:t>
            </w:r>
            <w:r w:rsidRPr="00C350BA">
              <w:rPr>
                <w:rFonts w:ascii="Calibri" w:eastAsia="Times New Roman" w:hAnsi="Calibri" w:cs="Calibri"/>
                <w:b/>
                <w:bCs/>
                <w:color w:val="00B0F0"/>
                <w:sz w:val="28"/>
                <w:szCs w:val="28"/>
                <w:lang w:val="en-AU" w:eastAsia="en-AU"/>
              </w:rPr>
              <w:t>Child</w:t>
            </w:r>
            <w:proofErr w:type="gramEnd"/>
            <w:r w:rsidRPr="00C350BA">
              <w:rPr>
                <w:rFonts w:ascii="Calibri" w:eastAsia="Times New Roman" w:hAnsi="Calibri" w:cs="Calibri"/>
                <w:b/>
                <w:bCs/>
                <w:color w:val="00B0F0"/>
                <w:sz w:val="28"/>
                <w:szCs w:val="28"/>
                <w:lang w:val="en-AU" w:eastAsia="en-AU"/>
              </w:rPr>
              <w:t xml:space="preserve"> Care Staff</w:t>
            </w:r>
          </w:p>
        </w:tc>
      </w:tr>
      <w:tr w:rsidR="00C350BA" w:rsidRPr="00C350BA" w14:paraId="7F655A7E" w14:textId="77777777" w:rsidTr="00353E37">
        <w:trPr>
          <w:trHeight w:val="300"/>
        </w:trPr>
        <w:tc>
          <w:tcPr>
            <w:tcW w:w="6838" w:type="dxa"/>
            <w:tcBorders>
              <w:top w:val="nil"/>
              <w:left w:val="single" w:sz="4" w:space="0" w:color="auto"/>
              <w:bottom w:val="single" w:sz="4" w:space="0" w:color="auto"/>
              <w:right w:val="single" w:sz="4" w:space="0" w:color="auto"/>
            </w:tcBorders>
            <w:shd w:val="clear" w:color="000000" w:fill="D0CECE"/>
            <w:noWrap/>
            <w:vAlign w:val="bottom"/>
            <w:hideMark/>
          </w:tcPr>
          <w:p w14:paraId="06C1D6E3" w14:textId="77777777" w:rsidR="00C350BA" w:rsidRPr="00C350BA" w:rsidRDefault="00C350BA" w:rsidP="00C350BA">
            <w:pPr>
              <w:spacing w:after="0" w:line="240" w:lineRule="auto"/>
              <w:rPr>
                <w:rFonts w:ascii="Calibri" w:eastAsia="Times New Roman" w:hAnsi="Calibri" w:cs="Calibri"/>
                <w:b/>
                <w:bCs/>
                <w:color w:val="000000"/>
                <w:sz w:val="22"/>
                <w:szCs w:val="22"/>
                <w:lang w:val="en-AU" w:eastAsia="en-AU"/>
              </w:rPr>
            </w:pPr>
            <w:r w:rsidRPr="00C350BA">
              <w:rPr>
                <w:rFonts w:ascii="Calibri" w:eastAsia="Times New Roman" w:hAnsi="Calibri" w:cs="Calibri"/>
                <w:b/>
                <w:bCs/>
                <w:color w:val="000000"/>
                <w:sz w:val="22"/>
                <w:szCs w:val="22"/>
                <w:lang w:val="en-AU" w:eastAsia="en-AU"/>
              </w:rPr>
              <w:t>Kindergarten Teachers</w:t>
            </w:r>
          </w:p>
        </w:tc>
        <w:tc>
          <w:tcPr>
            <w:tcW w:w="8122" w:type="dxa"/>
            <w:gridSpan w:val="2"/>
            <w:tcBorders>
              <w:top w:val="nil"/>
              <w:left w:val="nil"/>
              <w:bottom w:val="single" w:sz="4" w:space="0" w:color="auto"/>
              <w:right w:val="single" w:sz="4" w:space="0" w:color="auto"/>
            </w:tcBorders>
            <w:shd w:val="clear" w:color="000000" w:fill="D0CECE"/>
            <w:noWrap/>
            <w:vAlign w:val="bottom"/>
            <w:hideMark/>
          </w:tcPr>
          <w:p w14:paraId="555D8287" w14:textId="77777777" w:rsidR="00C350BA" w:rsidRPr="00C350BA" w:rsidRDefault="00C350BA" w:rsidP="00C350BA">
            <w:pPr>
              <w:spacing w:after="0" w:line="240" w:lineRule="auto"/>
              <w:rPr>
                <w:rFonts w:ascii="Calibri" w:eastAsia="Times New Roman" w:hAnsi="Calibri" w:cs="Calibri"/>
                <w:b/>
                <w:bCs/>
                <w:color w:val="000000"/>
                <w:sz w:val="22"/>
                <w:szCs w:val="22"/>
                <w:lang w:val="en-AU" w:eastAsia="en-AU"/>
              </w:rPr>
            </w:pPr>
            <w:r w:rsidRPr="00C350BA">
              <w:rPr>
                <w:rFonts w:ascii="Calibri" w:eastAsia="Times New Roman" w:hAnsi="Calibri" w:cs="Calibri"/>
                <w:b/>
                <w:bCs/>
                <w:color w:val="000000"/>
                <w:sz w:val="22"/>
                <w:szCs w:val="22"/>
                <w:lang w:val="en-AU" w:eastAsia="en-AU"/>
              </w:rPr>
              <w:t>Child Care Educators</w:t>
            </w:r>
          </w:p>
        </w:tc>
      </w:tr>
      <w:tr w:rsidR="00C350BA" w:rsidRPr="00C350BA" w14:paraId="1445C564" w14:textId="77777777" w:rsidTr="00353E37">
        <w:trPr>
          <w:trHeight w:val="51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6E4D91BA"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Teachers: 7.5 hours non-contact time per 15 hours teaching</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30DC7373" w14:textId="25DD3C21"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Room Leaders: 2 hours non-contact time per 3</w:t>
            </w:r>
            <w:r w:rsidR="00353E37" w:rsidRPr="00353E37">
              <w:rPr>
                <w:rFonts w:ascii="Calibri" w:eastAsia="Times New Roman" w:hAnsi="Calibri" w:cs="Calibri"/>
                <w:color w:val="000000"/>
                <w:sz w:val="22"/>
                <w:szCs w:val="22"/>
                <w:lang w:val="en-AU" w:eastAsia="en-AU"/>
              </w:rPr>
              <w:t>8</w:t>
            </w:r>
            <w:r w:rsidRPr="00353E37">
              <w:rPr>
                <w:rFonts w:ascii="Calibri" w:eastAsia="Times New Roman" w:hAnsi="Calibri" w:cs="Calibri"/>
                <w:color w:val="000000"/>
                <w:sz w:val="22"/>
                <w:szCs w:val="22"/>
                <w:lang w:val="en-AU" w:eastAsia="en-AU"/>
              </w:rPr>
              <w:t xml:space="preserve"> hours teaching</w:t>
            </w:r>
          </w:p>
        </w:tc>
      </w:tr>
      <w:tr w:rsidR="00C350BA" w:rsidRPr="00C350BA" w14:paraId="0FB6DBD5" w14:textId="77777777" w:rsidTr="00353E37">
        <w:trPr>
          <w:trHeight w:val="51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53B25329"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Class size: 22 children each week</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7B2D30D2"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Class size: Between 24 and 49 children each week</w:t>
            </w:r>
          </w:p>
        </w:tc>
      </w:tr>
      <w:tr w:rsidR="00C350BA" w:rsidRPr="00C350BA" w14:paraId="416817BA" w14:textId="77777777" w:rsidTr="00353E37">
        <w:trPr>
          <w:trHeight w:val="51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751C3173"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Assistants: 3.75 hours non-contact time per 15 hours teaching</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55A1F606"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Assistants: zero non-contact time</w:t>
            </w:r>
          </w:p>
        </w:tc>
      </w:tr>
      <w:tr w:rsidR="00C350BA" w:rsidRPr="00C350BA" w14:paraId="59BE68AA" w14:textId="77777777" w:rsidTr="00353E37">
        <w:trPr>
          <w:trHeight w:val="51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5163025A"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12 weeks' leave per year</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5E5E10FB" w14:textId="77777777" w:rsidR="00C350BA" w:rsidRPr="00353E37" w:rsidRDefault="00C350BA"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4 weeks' leave per year</w:t>
            </w:r>
          </w:p>
        </w:tc>
      </w:tr>
      <w:tr w:rsidR="00C350BA" w:rsidRPr="00C350BA" w14:paraId="592BF9E8" w14:textId="77777777" w:rsidTr="00353E37">
        <w:trPr>
          <w:trHeight w:val="510"/>
        </w:trPr>
        <w:tc>
          <w:tcPr>
            <w:tcW w:w="6838" w:type="dxa"/>
            <w:tcBorders>
              <w:top w:val="nil"/>
              <w:left w:val="single" w:sz="4" w:space="0" w:color="auto"/>
              <w:bottom w:val="single" w:sz="4" w:space="0" w:color="auto"/>
              <w:right w:val="single" w:sz="4" w:space="0" w:color="auto"/>
            </w:tcBorders>
            <w:shd w:val="clear" w:color="auto" w:fill="auto"/>
            <w:noWrap/>
            <w:vAlign w:val="center"/>
            <w:hideMark/>
          </w:tcPr>
          <w:p w14:paraId="78C228C8" w14:textId="009FAD4A" w:rsidR="00C350BA" w:rsidRPr="00353E37" w:rsidRDefault="00353E37"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16 weeks paid parental leave</w:t>
            </w:r>
          </w:p>
        </w:tc>
        <w:tc>
          <w:tcPr>
            <w:tcW w:w="8122" w:type="dxa"/>
            <w:gridSpan w:val="2"/>
            <w:tcBorders>
              <w:top w:val="nil"/>
              <w:left w:val="nil"/>
              <w:bottom w:val="single" w:sz="4" w:space="0" w:color="auto"/>
              <w:right w:val="single" w:sz="4" w:space="0" w:color="auto"/>
            </w:tcBorders>
            <w:shd w:val="clear" w:color="auto" w:fill="auto"/>
            <w:noWrap/>
            <w:vAlign w:val="center"/>
            <w:hideMark/>
          </w:tcPr>
          <w:p w14:paraId="4BA3777E" w14:textId="3CB9B92A" w:rsidR="00C350BA" w:rsidRPr="00353E37" w:rsidRDefault="00353E37" w:rsidP="00280E12">
            <w:pPr>
              <w:spacing w:after="0" w:line="240" w:lineRule="auto"/>
              <w:rPr>
                <w:rFonts w:ascii="Calibri" w:eastAsia="Times New Roman" w:hAnsi="Calibri" w:cs="Calibri"/>
                <w:color w:val="000000"/>
                <w:sz w:val="22"/>
                <w:szCs w:val="22"/>
                <w:lang w:val="en-AU" w:eastAsia="en-AU"/>
              </w:rPr>
            </w:pPr>
            <w:r w:rsidRPr="00353E37">
              <w:rPr>
                <w:rFonts w:ascii="Calibri" w:eastAsia="Times New Roman" w:hAnsi="Calibri" w:cs="Calibri"/>
                <w:color w:val="000000"/>
                <w:sz w:val="22"/>
                <w:szCs w:val="22"/>
                <w:lang w:val="en-AU" w:eastAsia="en-AU"/>
              </w:rPr>
              <w:t>NO paid parental leave</w:t>
            </w:r>
          </w:p>
        </w:tc>
      </w:tr>
    </w:tbl>
    <w:p w14:paraId="15D793E7" w14:textId="77777777" w:rsidR="00554A3C" w:rsidRDefault="00554A3C" w:rsidP="00280E12">
      <w:pPr>
        <w:pStyle w:val="ListBullet"/>
        <w:numPr>
          <w:ilvl w:val="0"/>
          <w:numId w:val="0"/>
        </w:numPr>
        <w:ind w:left="432" w:hanging="288"/>
        <w:rPr>
          <w:rFonts w:ascii="Calibri" w:hAnsi="Calibri"/>
          <w:sz w:val="22"/>
          <w:szCs w:val="22"/>
        </w:rPr>
        <w:sectPr w:rsidR="00554A3C" w:rsidSect="00026F29">
          <w:pgSz w:w="15840" w:h="12240" w:orient="landscape" w:code="1"/>
          <w:pgMar w:top="567" w:right="284" w:bottom="284" w:left="284" w:header="720" w:footer="284" w:gutter="0"/>
          <w:cols w:space="720"/>
          <w:docGrid w:linePitch="360"/>
        </w:sectPr>
      </w:pPr>
    </w:p>
    <w:p w14:paraId="4F7EDC12" w14:textId="46318BAC" w:rsidR="001273C1" w:rsidRDefault="00A766AE">
      <w:pPr>
        <w:pStyle w:val="Heading2"/>
      </w:pPr>
      <w:r>
        <w:lastRenderedPageBreak/>
        <w:t>Addressing staff shortage (staff employed under the Childrens Services Award 2010)</w:t>
      </w:r>
    </w:p>
    <w:p w14:paraId="50CD6D70" w14:textId="77777777" w:rsidR="001273C1" w:rsidRDefault="001273C1">
      <w:pPr>
        <w:pStyle w:val="NoSpacing"/>
      </w:pPr>
    </w:p>
    <w:p w14:paraId="73EC45CA" w14:textId="77777777" w:rsidR="002E64A3" w:rsidRPr="00CE13C2" w:rsidRDefault="002E64A3" w:rsidP="002E64A3">
      <w:pPr>
        <w:pStyle w:val="ListBullet"/>
        <w:numPr>
          <w:ilvl w:val="0"/>
          <w:numId w:val="0"/>
        </w:numPr>
        <w:rPr>
          <w:rFonts w:ascii="Calibri" w:hAnsi="Calibri"/>
          <w:sz w:val="22"/>
          <w:szCs w:val="22"/>
        </w:rPr>
      </w:pPr>
      <w:r w:rsidRPr="00CE13C2">
        <w:rPr>
          <w:rFonts w:ascii="Calibri" w:hAnsi="Calibri"/>
          <w:sz w:val="22"/>
          <w:szCs w:val="22"/>
        </w:rPr>
        <w:t>The Australian Community Children’s Services’</w:t>
      </w:r>
      <w:r w:rsidR="00CE13C2" w:rsidRPr="00CE13C2">
        <w:rPr>
          <w:rFonts w:ascii="Calibri" w:hAnsi="Calibri"/>
          <w:sz w:val="22"/>
          <w:szCs w:val="22"/>
        </w:rPr>
        <w:t>(ACCS)</w:t>
      </w:r>
      <w:r w:rsidRPr="00CE13C2">
        <w:rPr>
          <w:rFonts w:ascii="Calibri" w:hAnsi="Calibri"/>
          <w:sz w:val="22"/>
          <w:szCs w:val="22"/>
        </w:rPr>
        <w:t xml:space="preserve"> Trends in </w:t>
      </w:r>
      <w:r w:rsidR="00CE13C2" w:rsidRPr="00CE13C2">
        <w:rPr>
          <w:rFonts w:ascii="Calibri" w:hAnsi="Calibri"/>
          <w:sz w:val="22"/>
          <w:szCs w:val="22"/>
        </w:rPr>
        <w:t>Community</w:t>
      </w:r>
      <w:r w:rsidRPr="00CE13C2">
        <w:rPr>
          <w:rFonts w:ascii="Calibri" w:hAnsi="Calibri"/>
          <w:sz w:val="22"/>
          <w:szCs w:val="22"/>
        </w:rPr>
        <w:t xml:space="preserve"> Children’s Services 2019 Survey states “Analysis of TICCSS data, using the rates of revenue spent on annual staff expenditure and tenure-</w:t>
      </w:r>
      <w:r w:rsidR="00CE13C2" w:rsidRPr="00CE13C2">
        <w:rPr>
          <w:rFonts w:ascii="Calibri" w:hAnsi="Calibri"/>
          <w:sz w:val="22"/>
          <w:szCs w:val="22"/>
        </w:rPr>
        <w:t xml:space="preserve">stability measures, support previous research findings which suggest that expenditure on staff is linked with better pay and conditions outcomes for educators.  Greater stability of staff will, in turn, lead to better care and development of </w:t>
      </w:r>
      <w:proofErr w:type="gramStart"/>
      <w:r w:rsidR="00CE13C2" w:rsidRPr="00CE13C2">
        <w:rPr>
          <w:rFonts w:ascii="Calibri" w:hAnsi="Calibri"/>
          <w:sz w:val="22"/>
          <w:szCs w:val="22"/>
        </w:rPr>
        <w:t>children</w:t>
      </w:r>
      <w:proofErr w:type="gramEnd"/>
      <w:r w:rsidR="00CE13C2" w:rsidRPr="00CE13C2">
        <w:rPr>
          <w:rFonts w:ascii="Calibri" w:hAnsi="Calibri"/>
          <w:sz w:val="22"/>
          <w:szCs w:val="22"/>
        </w:rPr>
        <w:t>”</w:t>
      </w:r>
    </w:p>
    <w:p w14:paraId="4A3E49FF" w14:textId="77777777" w:rsidR="00CE13C2" w:rsidRPr="00CE13C2" w:rsidRDefault="00CE13C2" w:rsidP="002E64A3">
      <w:pPr>
        <w:pStyle w:val="ListBullet"/>
        <w:numPr>
          <w:ilvl w:val="0"/>
          <w:numId w:val="0"/>
        </w:numPr>
        <w:rPr>
          <w:rFonts w:ascii="Calibri" w:hAnsi="Calibri"/>
          <w:sz w:val="22"/>
          <w:szCs w:val="22"/>
        </w:rPr>
      </w:pPr>
    </w:p>
    <w:p w14:paraId="52A99FF7" w14:textId="77777777" w:rsidR="002E64A3" w:rsidRDefault="00CE13C2" w:rsidP="00CE13C2">
      <w:pPr>
        <w:pStyle w:val="ListBullet"/>
        <w:numPr>
          <w:ilvl w:val="0"/>
          <w:numId w:val="0"/>
        </w:numPr>
        <w:rPr>
          <w:rFonts w:ascii="CIDFont+F1" w:hAnsi="CIDFont+F1" w:cs="CIDFont+F1"/>
          <w:color w:val="0D0D0D"/>
          <w:sz w:val="15"/>
          <w:szCs w:val="15"/>
          <w:lang w:val="en-AU"/>
        </w:rPr>
      </w:pPr>
      <w:r w:rsidRPr="00CE13C2">
        <w:rPr>
          <w:rFonts w:ascii="Calibri" w:hAnsi="Calibri"/>
          <w:sz w:val="22"/>
          <w:szCs w:val="22"/>
        </w:rPr>
        <w:t xml:space="preserve">“Not-for-profit services </w:t>
      </w:r>
      <w:proofErr w:type="gramStart"/>
      <w:r w:rsidRPr="00CE13C2">
        <w:rPr>
          <w:rFonts w:ascii="Calibri" w:hAnsi="Calibri"/>
          <w:sz w:val="22"/>
          <w:szCs w:val="22"/>
        </w:rPr>
        <w:t>are providing</w:t>
      </w:r>
      <w:proofErr w:type="gramEnd"/>
      <w:r w:rsidRPr="00CE13C2">
        <w:rPr>
          <w:rFonts w:ascii="Calibri" w:hAnsi="Calibri"/>
          <w:sz w:val="22"/>
          <w:szCs w:val="22"/>
        </w:rPr>
        <w:t xml:space="preserve"> a </w:t>
      </w:r>
      <w:proofErr w:type="gramStart"/>
      <w:r w:rsidRPr="00CE13C2">
        <w:rPr>
          <w:rFonts w:ascii="Calibri" w:hAnsi="Calibri"/>
          <w:sz w:val="22"/>
          <w:szCs w:val="22"/>
        </w:rPr>
        <w:t>high quality</w:t>
      </w:r>
      <w:proofErr w:type="gramEnd"/>
      <w:r w:rsidRPr="00CE13C2">
        <w:rPr>
          <w:rFonts w:ascii="Calibri" w:hAnsi="Calibri"/>
          <w:sz w:val="22"/>
          <w:szCs w:val="22"/>
        </w:rPr>
        <w:t xml:space="preserve"> setting to support teachers and educators</w:t>
      </w:r>
      <w:r w:rsidR="003B4C90">
        <w:rPr>
          <w:rFonts w:ascii="Calibri" w:hAnsi="Calibri"/>
          <w:sz w:val="22"/>
          <w:szCs w:val="22"/>
        </w:rPr>
        <w:t>’</w:t>
      </w:r>
      <w:r w:rsidRPr="00CE13C2">
        <w:rPr>
          <w:rFonts w:ascii="Calibri" w:hAnsi="Calibri"/>
          <w:sz w:val="22"/>
          <w:szCs w:val="22"/>
        </w:rPr>
        <w:t xml:space="preserve"> welfare and wellbeing.  Working conditions can alleviate or exacerbate burnout.  For instance, having limited time allocated for planning and programming, or to collaborate with colleag</w:t>
      </w:r>
      <w:r w:rsidR="003B4C90">
        <w:rPr>
          <w:rFonts w:ascii="Calibri" w:hAnsi="Calibri"/>
          <w:sz w:val="22"/>
          <w:szCs w:val="22"/>
        </w:rPr>
        <w:t>u</w:t>
      </w:r>
      <w:r w:rsidRPr="00CE13C2">
        <w:rPr>
          <w:rFonts w:ascii="Calibri" w:hAnsi="Calibri"/>
          <w:sz w:val="22"/>
          <w:szCs w:val="22"/>
        </w:rPr>
        <w:t>es, was one factor which was raised…</w:t>
      </w:r>
      <w:r w:rsidRPr="00E40CCA">
        <w:rPr>
          <w:rFonts w:ascii="Calibri" w:hAnsi="Calibri"/>
          <w:sz w:val="22"/>
          <w:szCs w:val="22"/>
        </w:rPr>
        <w:t>”</w:t>
      </w:r>
      <w:r>
        <w:t xml:space="preserve"> [</w:t>
      </w:r>
      <w:r>
        <w:rPr>
          <w:rFonts w:ascii="CIDFont+F1" w:hAnsi="CIDFont+F1" w:cs="CIDFont+F1"/>
          <w:color w:val="0D0D0D"/>
          <w:sz w:val="15"/>
          <w:szCs w:val="15"/>
          <w:lang w:val="en-AU"/>
        </w:rPr>
        <w:t>Jovanovic, J. (2013). Retaining Early Childcare Educators. Gender, Work &amp; Organization, 20(5), 528–544.]</w:t>
      </w:r>
    </w:p>
    <w:p w14:paraId="506AA8E3" w14:textId="77777777" w:rsidR="00CE13C2" w:rsidRDefault="00CE13C2" w:rsidP="00CE13C2">
      <w:pPr>
        <w:pStyle w:val="ListBullet"/>
        <w:numPr>
          <w:ilvl w:val="0"/>
          <w:numId w:val="0"/>
        </w:numPr>
        <w:rPr>
          <w:rFonts w:ascii="CIDFont+F1" w:hAnsi="CIDFont+F1" w:cs="CIDFont+F1"/>
          <w:color w:val="0D0D0D"/>
          <w:sz w:val="15"/>
          <w:szCs w:val="15"/>
          <w:lang w:val="en-AU"/>
        </w:rPr>
      </w:pPr>
    </w:p>
    <w:p w14:paraId="26DDE45C" w14:textId="77777777" w:rsidR="00CE13C2" w:rsidRDefault="00CE13C2" w:rsidP="0034799E">
      <w:pPr>
        <w:autoSpaceDE w:val="0"/>
        <w:autoSpaceDN w:val="0"/>
        <w:adjustRightInd w:val="0"/>
        <w:spacing w:after="0"/>
        <w:rPr>
          <w:rFonts w:ascii="Calibri" w:hAnsi="Calibri"/>
          <w:sz w:val="22"/>
          <w:szCs w:val="22"/>
        </w:rPr>
      </w:pPr>
      <w:r w:rsidRPr="00CE13C2">
        <w:rPr>
          <w:rFonts w:ascii="Calibri" w:hAnsi="Calibri"/>
          <w:sz w:val="22"/>
          <w:szCs w:val="22"/>
        </w:rPr>
        <w:t>The ACCS analysis of TICCSS 2019 data also states “including the provision of other entitlements, the majority of not-for-profit services have consistently provided pay and entitlements for educators above their relevant industry award (71% 2014; 75% 2017; and 2019 73%)</w:t>
      </w:r>
      <w:r>
        <w:rPr>
          <w:rFonts w:ascii="Calibri" w:hAnsi="Calibri"/>
          <w:sz w:val="22"/>
          <w:szCs w:val="22"/>
        </w:rPr>
        <w:t xml:space="preserve"> . . . </w:t>
      </w:r>
    </w:p>
    <w:p w14:paraId="298E535F" w14:textId="77777777" w:rsidR="00CE13C2" w:rsidRDefault="00CE13C2" w:rsidP="0034799E">
      <w:pPr>
        <w:autoSpaceDE w:val="0"/>
        <w:autoSpaceDN w:val="0"/>
        <w:adjustRightInd w:val="0"/>
        <w:spacing w:after="0"/>
        <w:rPr>
          <w:rFonts w:ascii="Calibri" w:hAnsi="Calibri"/>
          <w:sz w:val="22"/>
          <w:szCs w:val="22"/>
        </w:rPr>
      </w:pPr>
    </w:p>
    <w:p w14:paraId="542134F5" w14:textId="2E4A44FA" w:rsidR="00CE13C2" w:rsidRDefault="00CE13C2" w:rsidP="0034799E">
      <w:pPr>
        <w:autoSpaceDE w:val="0"/>
        <w:autoSpaceDN w:val="0"/>
        <w:adjustRightInd w:val="0"/>
        <w:spacing w:after="0"/>
        <w:rPr>
          <w:rFonts w:ascii="CIDFont+F1" w:hAnsi="CIDFont+F1" w:cs="CIDFont+F1"/>
          <w:color w:val="0D0D0D"/>
          <w:sz w:val="15"/>
          <w:szCs w:val="15"/>
          <w:lang w:val="en-AU"/>
        </w:rPr>
      </w:pPr>
      <w:r>
        <w:rPr>
          <w:rFonts w:ascii="Calibri" w:hAnsi="Calibri"/>
          <w:sz w:val="22"/>
          <w:szCs w:val="22"/>
        </w:rPr>
        <w:t xml:space="preserve">. . . </w:t>
      </w:r>
      <w:r w:rsidRPr="00CE13C2">
        <w:rPr>
          <w:rFonts w:ascii="Calibri" w:hAnsi="Calibri"/>
          <w:sz w:val="22"/>
          <w:szCs w:val="22"/>
        </w:rPr>
        <w:t>Positive organisational cultures support teachers and educators to feel valued and</w:t>
      </w:r>
      <w:r>
        <w:rPr>
          <w:rFonts w:ascii="Calibri" w:hAnsi="Calibri"/>
          <w:sz w:val="22"/>
          <w:szCs w:val="22"/>
        </w:rPr>
        <w:t xml:space="preserve"> </w:t>
      </w:r>
      <w:r w:rsidRPr="00CE13C2">
        <w:rPr>
          <w:rFonts w:ascii="Calibri" w:hAnsi="Calibri"/>
          <w:sz w:val="22"/>
          <w:szCs w:val="22"/>
        </w:rPr>
        <w:t xml:space="preserve">appreciated. One measure of this is the proportion of </w:t>
      </w:r>
      <w:proofErr w:type="gramStart"/>
      <w:r w:rsidRPr="00CE13C2">
        <w:rPr>
          <w:rFonts w:ascii="Calibri" w:hAnsi="Calibri"/>
          <w:sz w:val="22"/>
          <w:szCs w:val="22"/>
        </w:rPr>
        <w:t>services</w:t>
      </w:r>
      <w:proofErr w:type="gramEnd"/>
      <w:r w:rsidRPr="00CE13C2">
        <w:rPr>
          <w:rFonts w:ascii="Calibri" w:hAnsi="Calibri"/>
          <w:sz w:val="22"/>
          <w:szCs w:val="22"/>
        </w:rPr>
        <w:t>’ budget that is allocated to</w:t>
      </w:r>
      <w:r>
        <w:rPr>
          <w:rFonts w:ascii="Calibri" w:hAnsi="Calibri"/>
          <w:sz w:val="22"/>
          <w:szCs w:val="22"/>
        </w:rPr>
        <w:t xml:space="preserve"> </w:t>
      </w:r>
      <w:r w:rsidRPr="00CE13C2">
        <w:rPr>
          <w:rFonts w:ascii="Calibri" w:hAnsi="Calibri"/>
          <w:sz w:val="22"/>
          <w:szCs w:val="22"/>
        </w:rPr>
        <w:t>staff costs. Generally, the larger the proportion of annual revenue is spent on staffing costs,</w:t>
      </w:r>
      <w:r>
        <w:rPr>
          <w:rFonts w:ascii="Calibri" w:hAnsi="Calibri"/>
          <w:sz w:val="22"/>
          <w:szCs w:val="22"/>
        </w:rPr>
        <w:t xml:space="preserve"> </w:t>
      </w:r>
      <w:r w:rsidRPr="00CE13C2">
        <w:rPr>
          <w:rFonts w:ascii="Calibri" w:hAnsi="Calibri"/>
          <w:sz w:val="22"/>
          <w:szCs w:val="22"/>
        </w:rPr>
        <w:t>the better qualified and greater number of staff employed at the service. This in turn leads to</w:t>
      </w:r>
      <w:r>
        <w:rPr>
          <w:rFonts w:ascii="Calibri" w:hAnsi="Calibri"/>
          <w:sz w:val="22"/>
          <w:szCs w:val="22"/>
        </w:rPr>
        <w:t xml:space="preserve"> </w:t>
      </w:r>
      <w:r w:rsidRPr="00CE13C2">
        <w:rPr>
          <w:rFonts w:ascii="Calibri" w:hAnsi="Calibri"/>
          <w:sz w:val="22"/>
          <w:szCs w:val="22"/>
        </w:rPr>
        <w:t>higher quality care</w:t>
      </w:r>
      <w:r>
        <w:rPr>
          <w:rFonts w:ascii="Calibri" w:hAnsi="Calibri"/>
          <w:sz w:val="22"/>
          <w:szCs w:val="22"/>
        </w:rPr>
        <w:t>.”</w:t>
      </w:r>
      <w:r w:rsidR="0097608E">
        <w:rPr>
          <w:rFonts w:ascii="Calibri" w:hAnsi="Calibri"/>
          <w:sz w:val="22"/>
          <w:szCs w:val="22"/>
        </w:rPr>
        <w:t>[</w:t>
      </w:r>
      <w:r w:rsidR="0097608E" w:rsidRPr="0097608E">
        <w:rPr>
          <w:rFonts w:ascii="CIDFont+F1" w:hAnsi="CIDFont+F1" w:cs="CIDFont+F1"/>
          <w:color w:val="0D0D0D"/>
          <w:sz w:val="15"/>
          <w:szCs w:val="15"/>
          <w:lang w:val="en-AU"/>
        </w:rPr>
        <w:t>http://ausccs.org.au/wp-content/uploads/2020/11/TICCS-2019-National-report-v5-27112020.pdf</w:t>
      </w:r>
      <w:r w:rsidR="0097608E">
        <w:rPr>
          <w:rFonts w:ascii="CIDFont+F1" w:hAnsi="CIDFont+F1" w:cs="CIDFont+F1"/>
          <w:color w:val="0D0D0D"/>
          <w:sz w:val="15"/>
          <w:szCs w:val="15"/>
          <w:lang w:val="en-AU"/>
        </w:rPr>
        <w:t>]</w:t>
      </w:r>
    </w:p>
    <w:p w14:paraId="7244EA0F" w14:textId="58D426FA" w:rsidR="007407EF" w:rsidRDefault="007407EF" w:rsidP="0034799E">
      <w:pPr>
        <w:autoSpaceDE w:val="0"/>
        <w:autoSpaceDN w:val="0"/>
        <w:adjustRightInd w:val="0"/>
        <w:spacing w:after="0"/>
        <w:rPr>
          <w:rFonts w:ascii="CIDFont+F1" w:hAnsi="CIDFont+F1" w:cs="CIDFont+F1"/>
          <w:color w:val="0D0D0D"/>
          <w:sz w:val="15"/>
          <w:szCs w:val="15"/>
          <w:lang w:val="en-AU"/>
        </w:rPr>
      </w:pPr>
    </w:p>
    <w:p w14:paraId="5DE82374" w14:textId="3065EA06" w:rsidR="007407EF" w:rsidRPr="007407EF" w:rsidRDefault="00D769FB" w:rsidP="0034799E">
      <w:pPr>
        <w:autoSpaceDE w:val="0"/>
        <w:autoSpaceDN w:val="0"/>
        <w:adjustRightInd w:val="0"/>
        <w:spacing w:after="0"/>
        <w:rPr>
          <w:rFonts w:ascii="Calibri" w:hAnsi="Calibri"/>
          <w:sz w:val="22"/>
          <w:szCs w:val="22"/>
        </w:rPr>
      </w:pPr>
      <w:r>
        <w:rPr>
          <w:rFonts w:ascii="Calibri" w:hAnsi="Calibri"/>
          <w:sz w:val="22"/>
          <w:szCs w:val="22"/>
        </w:rPr>
        <w:t xml:space="preserve">Due to some organizational constraints, some </w:t>
      </w:r>
      <w:proofErr w:type="spellStart"/>
      <w:r>
        <w:rPr>
          <w:rFonts w:ascii="Calibri" w:hAnsi="Calibri"/>
          <w:sz w:val="22"/>
          <w:szCs w:val="22"/>
        </w:rPr>
        <w:t>Centres</w:t>
      </w:r>
      <w:proofErr w:type="spellEnd"/>
      <w:r>
        <w:rPr>
          <w:rFonts w:ascii="Calibri" w:hAnsi="Calibri"/>
          <w:sz w:val="22"/>
          <w:szCs w:val="22"/>
        </w:rPr>
        <w:t xml:space="preserve"> </w:t>
      </w:r>
      <w:r w:rsidR="00B05EC5">
        <w:rPr>
          <w:rFonts w:ascii="Calibri" w:hAnsi="Calibri"/>
          <w:sz w:val="22"/>
          <w:szCs w:val="22"/>
        </w:rPr>
        <w:t xml:space="preserve">are unable to pay </w:t>
      </w:r>
      <w:r>
        <w:rPr>
          <w:rFonts w:ascii="Calibri" w:hAnsi="Calibri"/>
          <w:sz w:val="22"/>
          <w:szCs w:val="22"/>
        </w:rPr>
        <w:t xml:space="preserve">their </w:t>
      </w:r>
      <w:r w:rsidR="00B05EC5">
        <w:rPr>
          <w:rFonts w:ascii="Calibri" w:hAnsi="Calibri"/>
          <w:sz w:val="22"/>
          <w:szCs w:val="22"/>
        </w:rPr>
        <w:t xml:space="preserve">staff above-award wages (constrained to pay exactly at the Wage Award rates) as per the previous two paragraphs.  This makes it an uneven playing field when </w:t>
      </w:r>
      <w:r>
        <w:rPr>
          <w:rFonts w:ascii="Calibri" w:hAnsi="Calibri"/>
          <w:sz w:val="22"/>
          <w:szCs w:val="22"/>
        </w:rPr>
        <w:t>they</w:t>
      </w:r>
      <w:r w:rsidR="00B05EC5">
        <w:rPr>
          <w:rFonts w:ascii="Calibri" w:hAnsi="Calibri"/>
          <w:sz w:val="22"/>
          <w:szCs w:val="22"/>
        </w:rPr>
        <w:t xml:space="preserve"> are trying to hire </w:t>
      </w:r>
      <w:proofErr w:type="gramStart"/>
      <w:r w:rsidR="00B05EC5">
        <w:rPr>
          <w:rFonts w:ascii="Calibri" w:hAnsi="Calibri"/>
          <w:sz w:val="22"/>
          <w:szCs w:val="22"/>
        </w:rPr>
        <w:t>child care</w:t>
      </w:r>
      <w:proofErr w:type="gramEnd"/>
      <w:r w:rsidR="00B05EC5">
        <w:rPr>
          <w:rFonts w:ascii="Calibri" w:hAnsi="Calibri"/>
          <w:sz w:val="22"/>
          <w:szCs w:val="22"/>
        </w:rPr>
        <w:t xml:space="preserve"> staff, if other </w:t>
      </w:r>
      <w:proofErr w:type="spellStart"/>
      <w:r w:rsidR="00B05EC5">
        <w:rPr>
          <w:rFonts w:ascii="Calibri" w:hAnsi="Calibri"/>
          <w:sz w:val="22"/>
          <w:szCs w:val="22"/>
        </w:rPr>
        <w:t>Centres</w:t>
      </w:r>
      <w:proofErr w:type="spellEnd"/>
      <w:r w:rsidR="00B05EC5">
        <w:rPr>
          <w:rFonts w:ascii="Calibri" w:hAnsi="Calibri"/>
          <w:sz w:val="22"/>
          <w:szCs w:val="22"/>
        </w:rPr>
        <w:t xml:space="preserve"> are offering above-award wages.</w:t>
      </w:r>
    </w:p>
    <w:p w14:paraId="2E68DD92" w14:textId="0808E9E2" w:rsidR="007407EF" w:rsidRPr="007407EF" w:rsidRDefault="007407EF" w:rsidP="0034799E">
      <w:pPr>
        <w:autoSpaceDE w:val="0"/>
        <w:autoSpaceDN w:val="0"/>
        <w:adjustRightInd w:val="0"/>
        <w:spacing w:after="0"/>
        <w:rPr>
          <w:rFonts w:ascii="Calibri" w:hAnsi="Calibri"/>
          <w:sz w:val="22"/>
          <w:szCs w:val="22"/>
        </w:rPr>
      </w:pPr>
    </w:p>
    <w:p w14:paraId="59012D49" w14:textId="77777777" w:rsidR="007407EF" w:rsidRPr="0097608E" w:rsidRDefault="007407EF" w:rsidP="0034799E">
      <w:pPr>
        <w:autoSpaceDE w:val="0"/>
        <w:autoSpaceDN w:val="0"/>
        <w:adjustRightInd w:val="0"/>
        <w:spacing w:after="0"/>
        <w:rPr>
          <w:rFonts w:ascii="CIDFont+F1" w:hAnsi="CIDFont+F1" w:cs="CIDFont+F1"/>
          <w:color w:val="0D0D0D"/>
          <w:sz w:val="15"/>
          <w:szCs w:val="15"/>
          <w:lang w:val="en-AU"/>
        </w:rPr>
      </w:pPr>
    </w:p>
    <w:p w14:paraId="4ECD3A70" w14:textId="751C91C7" w:rsidR="00B05EC5" w:rsidRDefault="00B05EC5" w:rsidP="00B05EC5">
      <w:pPr>
        <w:pStyle w:val="Heading2"/>
        <w:spacing w:after="0"/>
      </w:pPr>
      <w:r>
        <w:t xml:space="preserve">Barrier to </w:t>
      </w:r>
      <w:r w:rsidR="00F61226">
        <w:t>continuing high-quality</w:t>
      </w:r>
      <w:r>
        <w:t xml:space="preserve"> ECEC: staff </w:t>
      </w:r>
      <w:proofErr w:type="gramStart"/>
      <w:r>
        <w:t>burnout</w:t>
      </w:r>
      <w:proofErr w:type="gramEnd"/>
    </w:p>
    <w:p w14:paraId="1B9855F5" w14:textId="3E26628F" w:rsidR="00B05EC5" w:rsidRDefault="00B05EC5" w:rsidP="00B05EC5"/>
    <w:p w14:paraId="4C1C05C6" w14:textId="0878D73D" w:rsidR="00B05EC5" w:rsidRDefault="00B05EC5" w:rsidP="00B05EC5">
      <w:pPr>
        <w:autoSpaceDE w:val="0"/>
        <w:autoSpaceDN w:val="0"/>
        <w:adjustRightInd w:val="0"/>
        <w:spacing w:after="0"/>
        <w:rPr>
          <w:rFonts w:ascii="Calibri" w:hAnsi="Calibri"/>
          <w:sz w:val="22"/>
          <w:szCs w:val="22"/>
        </w:rPr>
      </w:pPr>
      <w:r>
        <w:rPr>
          <w:rFonts w:ascii="Calibri" w:hAnsi="Calibri"/>
          <w:sz w:val="22"/>
          <w:szCs w:val="22"/>
        </w:rPr>
        <w:t xml:space="preserve">PIELC offers high-quality education and care, as </w:t>
      </w:r>
      <w:proofErr w:type="gramStart"/>
      <w:r>
        <w:rPr>
          <w:rFonts w:ascii="Calibri" w:hAnsi="Calibri"/>
          <w:sz w:val="22"/>
          <w:szCs w:val="22"/>
        </w:rPr>
        <w:t>reflecting</w:t>
      </w:r>
      <w:proofErr w:type="gramEnd"/>
      <w:r>
        <w:rPr>
          <w:rFonts w:ascii="Calibri" w:hAnsi="Calibri"/>
          <w:sz w:val="22"/>
          <w:szCs w:val="22"/>
        </w:rPr>
        <w:t xml:space="preserve"> by our Rating of Exceeding the National Quality Standard.</w:t>
      </w:r>
    </w:p>
    <w:p w14:paraId="118E2598" w14:textId="77777777" w:rsidR="00B05EC5" w:rsidRDefault="00B05EC5" w:rsidP="00B05EC5">
      <w:pPr>
        <w:autoSpaceDE w:val="0"/>
        <w:autoSpaceDN w:val="0"/>
        <w:adjustRightInd w:val="0"/>
        <w:spacing w:after="0"/>
        <w:rPr>
          <w:rFonts w:ascii="Calibri" w:hAnsi="Calibri"/>
          <w:sz w:val="22"/>
          <w:szCs w:val="22"/>
        </w:rPr>
      </w:pPr>
    </w:p>
    <w:p w14:paraId="3E705A45" w14:textId="77777777" w:rsidR="00BA042B" w:rsidRDefault="00B05EC5" w:rsidP="00B05EC5">
      <w:pPr>
        <w:autoSpaceDE w:val="0"/>
        <w:autoSpaceDN w:val="0"/>
        <w:adjustRightInd w:val="0"/>
        <w:spacing w:after="0"/>
        <w:rPr>
          <w:rFonts w:ascii="Calibri" w:hAnsi="Calibri"/>
          <w:sz w:val="22"/>
          <w:szCs w:val="22"/>
        </w:rPr>
      </w:pPr>
      <w:r>
        <w:rPr>
          <w:rFonts w:ascii="Calibri" w:hAnsi="Calibri"/>
          <w:sz w:val="22"/>
          <w:szCs w:val="22"/>
        </w:rPr>
        <w:t xml:space="preserve">Part of the many systems in place is the Quality Improvement Plan, Assessment and Rating, and Compliance Visits.  While these are all vital parts of ensuring excellence in quality care for children, it seems that pastoral care of childcare staff is left out of the equation.  </w:t>
      </w:r>
    </w:p>
    <w:p w14:paraId="005F473C" w14:textId="77777777" w:rsidR="00BA042B" w:rsidRDefault="00BA042B" w:rsidP="00B05EC5">
      <w:pPr>
        <w:autoSpaceDE w:val="0"/>
        <w:autoSpaceDN w:val="0"/>
        <w:adjustRightInd w:val="0"/>
        <w:spacing w:after="0"/>
        <w:rPr>
          <w:rFonts w:ascii="Calibri" w:hAnsi="Calibri"/>
          <w:sz w:val="22"/>
          <w:szCs w:val="22"/>
        </w:rPr>
      </w:pPr>
    </w:p>
    <w:p w14:paraId="7656BAD3" w14:textId="3ED408C5" w:rsidR="00B05EC5" w:rsidRDefault="00B05EC5" w:rsidP="00B05EC5">
      <w:pPr>
        <w:autoSpaceDE w:val="0"/>
        <w:autoSpaceDN w:val="0"/>
        <w:adjustRightInd w:val="0"/>
        <w:spacing w:after="0"/>
        <w:rPr>
          <w:rFonts w:ascii="Calibri" w:hAnsi="Calibri"/>
          <w:sz w:val="22"/>
          <w:szCs w:val="22"/>
        </w:rPr>
      </w:pPr>
      <w:r>
        <w:rPr>
          <w:rFonts w:ascii="Calibri" w:hAnsi="Calibri"/>
          <w:sz w:val="22"/>
          <w:szCs w:val="22"/>
        </w:rPr>
        <w:lastRenderedPageBreak/>
        <w:t>In order to meet the burden of compliance and meeting regulatory requirements without reducing the amount of time that Educators can spend in quality engagement with children, Educators can experience burnout</w:t>
      </w:r>
      <w:r w:rsidR="003069F4">
        <w:rPr>
          <w:rFonts w:ascii="Calibri" w:hAnsi="Calibri"/>
          <w:sz w:val="22"/>
          <w:szCs w:val="22"/>
        </w:rPr>
        <w:t xml:space="preserve">, which is one of the factors in staff leaving the Child Care sector to work in the </w:t>
      </w:r>
      <w:proofErr w:type="gramStart"/>
      <w:r w:rsidR="003069F4">
        <w:rPr>
          <w:rFonts w:ascii="Calibri" w:hAnsi="Calibri"/>
          <w:sz w:val="22"/>
          <w:szCs w:val="22"/>
        </w:rPr>
        <w:t>Kindergarten</w:t>
      </w:r>
      <w:proofErr w:type="gramEnd"/>
      <w:r w:rsidR="003069F4">
        <w:rPr>
          <w:rFonts w:ascii="Calibri" w:hAnsi="Calibri"/>
          <w:sz w:val="22"/>
          <w:szCs w:val="22"/>
        </w:rPr>
        <w:t xml:space="preserve"> sector</w:t>
      </w:r>
      <w:r>
        <w:rPr>
          <w:rFonts w:ascii="Calibri" w:hAnsi="Calibri"/>
          <w:sz w:val="22"/>
          <w:szCs w:val="22"/>
        </w:rPr>
        <w:t xml:space="preserve">.  While emphasis on the needs of children is paramount, there also needs to be emphasis on staff </w:t>
      </w:r>
      <w:r w:rsidR="00026F29">
        <w:rPr>
          <w:rFonts w:ascii="Calibri" w:hAnsi="Calibri"/>
          <w:sz w:val="22"/>
          <w:szCs w:val="22"/>
        </w:rPr>
        <w:t>wellbeing and empowerment</w:t>
      </w:r>
      <w:r>
        <w:rPr>
          <w:rFonts w:ascii="Calibri" w:hAnsi="Calibri"/>
          <w:sz w:val="22"/>
          <w:szCs w:val="22"/>
        </w:rPr>
        <w:t>.</w:t>
      </w:r>
    </w:p>
    <w:p w14:paraId="18CC63D1" w14:textId="741E1114" w:rsidR="00B05EC5" w:rsidRDefault="00B05EC5" w:rsidP="00B05EC5">
      <w:pPr>
        <w:autoSpaceDE w:val="0"/>
        <w:autoSpaceDN w:val="0"/>
        <w:adjustRightInd w:val="0"/>
        <w:spacing w:after="0"/>
        <w:rPr>
          <w:rFonts w:ascii="Calibri" w:hAnsi="Calibri"/>
          <w:sz w:val="22"/>
          <w:szCs w:val="22"/>
        </w:rPr>
      </w:pPr>
    </w:p>
    <w:p w14:paraId="40822965" w14:textId="4B11D0CF" w:rsidR="00B05EC5" w:rsidRDefault="00B05EC5" w:rsidP="00B05EC5">
      <w:pPr>
        <w:autoSpaceDE w:val="0"/>
        <w:autoSpaceDN w:val="0"/>
        <w:adjustRightInd w:val="0"/>
        <w:spacing w:after="0"/>
        <w:rPr>
          <w:rFonts w:ascii="Calibri" w:hAnsi="Calibri"/>
          <w:sz w:val="22"/>
          <w:szCs w:val="22"/>
        </w:rPr>
      </w:pPr>
      <w:r>
        <w:rPr>
          <w:rFonts w:ascii="Calibri" w:hAnsi="Calibri"/>
          <w:sz w:val="22"/>
          <w:szCs w:val="22"/>
        </w:rPr>
        <w:t xml:space="preserve">This would </w:t>
      </w:r>
      <w:proofErr w:type="gramStart"/>
      <w:r>
        <w:rPr>
          <w:rFonts w:ascii="Calibri" w:hAnsi="Calibri"/>
          <w:sz w:val="22"/>
          <w:szCs w:val="22"/>
        </w:rPr>
        <w:t>include</w:t>
      </w:r>
      <w:proofErr w:type="gramEnd"/>
    </w:p>
    <w:p w14:paraId="05848047" w14:textId="71AE1C78" w:rsidR="00B05EC5" w:rsidRPr="003069F4" w:rsidRDefault="00B05EC5" w:rsidP="003069F4">
      <w:pPr>
        <w:pStyle w:val="ListParagraph"/>
        <w:numPr>
          <w:ilvl w:val="0"/>
          <w:numId w:val="23"/>
        </w:numPr>
        <w:autoSpaceDE w:val="0"/>
        <w:autoSpaceDN w:val="0"/>
        <w:adjustRightInd w:val="0"/>
        <w:spacing w:after="0"/>
        <w:rPr>
          <w:rFonts w:ascii="Calibri" w:hAnsi="Calibri"/>
          <w:sz w:val="22"/>
          <w:szCs w:val="22"/>
        </w:rPr>
      </w:pPr>
      <w:r w:rsidRPr="003069F4">
        <w:rPr>
          <w:rFonts w:ascii="Calibri" w:hAnsi="Calibri"/>
          <w:sz w:val="22"/>
          <w:szCs w:val="22"/>
        </w:rPr>
        <w:t>A higher hourly wage rate</w:t>
      </w:r>
    </w:p>
    <w:p w14:paraId="3F8721A7" w14:textId="3BC2B643" w:rsidR="00B05EC5" w:rsidRPr="003069F4" w:rsidRDefault="00B05EC5" w:rsidP="003069F4">
      <w:pPr>
        <w:pStyle w:val="ListParagraph"/>
        <w:numPr>
          <w:ilvl w:val="0"/>
          <w:numId w:val="23"/>
        </w:numPr>
        <w:autoSpaceDE w:val="0"/>
        <w:autoSpaceDN w:val="0"/>
        <w:adjustRightInd w:val="0"/>
        <w:spacing w:after="0"/>
        <w:rPr>
          <w:rFonts w:ascii="Calibri" w:hAnsi="Calibri"/>
          <w:sz w:val="22"/>
          <w:szCs w:val="22"/>
        </w:rPr>
      </w:pPr>
      <w:r w:rsidRPr="003069F4">
        <w:rPr>
          <w:rFonts w:ascii="Calibri" w:hAnsi="Calibri"/>
          <w:sz w:val="22"/>
          <w:szCs w:val="22"/>
        </w:rPr>
        <w:t xml:space="preserve">More programming </w:t>
      </w:r>
      <w:proofErr w:type="gramStart"/>
      <w:r w:rsidRPr="003069F4">
        <w:rPr>
          <w:rFonts w:ascii="Calibri" w:hAnsi="Calibri"/>
          <w:sz w:val="22"/>
          <w:szCs w:val="22"/>
        </w:rPr>
        <w:t>time</w:t>
      </w:r>
      <w:proofErr w:type="gramEnd"/>
    </w:p>
    <w:p w14:paraId="6A164B74" w14:textId="77777777" w:rsidR="00B05EC5" w:rsidRPr="007407EF" w:rsidRDefault="00B05EC5" w:rsidP="00B05EC5">
      <w:pPr>
        <w:pBdr>
          <w:bottom w:val="single" w:sz="12" w:space="1" w:color="auto"/>
        </w:pBdr>
        <w:autoSpaceDE w:val="0"/>
        <w:autoSpaceDN w:val="0"/>
        <w:adjustRightInd w:val="0"/>
        <w:spacing w:after="0"/>
        <w:rPr>
          <w:rFonts w:ascii="Calibri" w:hAnsi="Calibri"/>
          <w:sz w:val="22"/>
          <w:szCs w:val="22"/>
        </w:rPr>
      </w:pPr>
    </w:p>
    <w:p w14:paraId="31213CCA" w14:textId="26B7E609" w:rsidR="00026F29" w:rsidRDefault="00026F29" w:rsidP="00B05EC5"/>
    <w:p w14:paraId="7800A648" w14:textId="4BF80F24" w:rsidR="007B6B35" w:rsidRDefault="007B6B35" w:rsidP="00B05EC5"/>
    <w:p w14:paraId="0669C301" w14:textId="226AB88F" w:rsidR="007B6B35" w:rsidRDefault="007B6B35" w:rsidP="00B05EC5"/>
    <w:p w14:paraId="73370C74" w14:textId="6EC9ED71" w:rsidR="007B6B35" w:rsidRPr="007B6B35" w:rsidRDefault="007B6B35" w:rsidP="00B05EC5">
      <w:pPr>
        <w:rPr>
          <w:rFonts w:ascii="Calibri" w:hAnsi="Calibri"/>
          <w:sz w:val="22"/>
          <w:szCs w:val="22"/>
        </w:rPr>
      </w:pPr>
      <w:r w:rsidRPr="007B6B35">
        <w:rPr>
          <w:rFonts w:ascii="Calibri" w:hAnsi="Calibri"/>
          <w:sz w:val="22"/>
          <w:szCs w:val="22"/>
        </w:rPr>
        <w:t>Accessibility to Early Childhood Education and Care is a key foundation to childhood development and wellbeing</w:t>
      </w:r>
      <w:r>
        <w:rPr>
          <w:rFonts w:ascii="Calibri" w:hAnsi="Calibri"/>
          <w:sz w:val="22"/>
          <w:szCs w:val="22"/>
        </w:rPr>
        <w:t xml:space="preserve">.  Investment in </w:t>
      </w:r>
      <w:proofErr w:type="gramStart"/>
      <w:r>
        <w:rPr>
          <w:rFonts w:ascii="Calibri" w:hAnsi="Calibri"/>
          <w:sz w:val="22"/>
          <w:szCs w:val="22"/>
        </w:rPr>
        <w:t>attraction</w:t>
      </w:r>
      <w:proofErr w:type="gramEnd"/>
      <w:r>
        <w:rPr>
          <w:rFonts w:ascii="Calibri" w:hAnsi="Calibri"/>
          <w:sz w:val="22"/>
          <w:szCs w:val="22"/>
        </w:rPr>
        <w:t xml:space="preserve"> and retention of high-quality staffing is a factor in increasing availability of ECEC to families.</w:t>
      </w:r>
      <w:r w:rsidRPr="007B6B35">
        <w:rPr>
          <w:rFonts w:ascii="Calibri" w:hAnsi="Calibri"/>
          <w:sz w:val="22"/>
          <w:szCs w:val="22"/>
        </w:rPr>
        <w:t xml:space="preserve"> </w:t>
      </w:r>
    </w:p>
    <w:sectPr w:rsidR="007B6B35" w:rsidRPr="007B6B35" w:rsidSect="00A766AE">
      <w:pgSz w:w="11906" w:h="16838"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3F0D" w14:textId="77777777" w:rsidR="002B4804" w:rsidRDefault="002B4804">
      <w:pPr>
        <w:spacing w:after="0" w:line="240" w:lineRule="auto"/>
      </w:pPr>
      <w:r>
        <w:separator/>
      </w:r>
    </w:p>
  </w:endnote>
  <w:endnote w:type="continuationSeparator" w:id="0">
    <w:p w14:paraId="0DD15943" w14:textId="77777777" w:rsidR="002B4804" w:rsidRDefault="002B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944F" w14:textId="2A7C4A7C" w:rsidR="00026F29" w:rsidRDefault="00026F29" w:rsidP="00026F29">
    <w:pPr>
      <w:pStyle w:val="Footer"/>
      <w:tabs>
        <w:tab w:val="right" w:pos="8931"/>
      </w:tabs>
    </w:pPr>
    <w:r>
      <w:t>___________________________________________________________________________________________</w:t>
    </w:r>
  </w:p>
  <w:p w14:paraId="64686D77" w14:textId="374D39A7" w:rsidR="0088175F" w:rsidRDefault="0088175F" w:rsidP="00026F29">
    <w:pPr>
      <w:pStyle w:val="Footer"/>
      <w:tabs>
        <w:tab w:val="right" w:pos="8931"/>
      </w:tabs>
    </w:pPr>
    <w:r>
      <w:fldChar w:fldCharType="begin"/>
    </w:r>
    <w:r>
      <w:instrText xml:space="preserve"> PAGE   \* MERGEFORMAT </w:instrText>
    </w:r>
    <w:r>
      <w:fldChar w:fldCharType="separate"/>
    </w:r>
    <w:r w:rsidR="008725E4">
      <w:t>4</w:t>
    </w:r>
    <w:r>
      <w:fldChar w:fldCharType="end"/>
    </w:r>
    <w:r w:rsidR="00026F29">
      <w:tab/>
      <w:t>PIELC submission to Productivity Commission 23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75C1" w14:textId="77777777" w:rsidR="002B4804" w:rsidRDefault="002B4804">
      <w:pPr>
        <w:spacing w:after="0" w:line="240" w:lineRule="auto"/>
      </w:pPr>
      <w:r>
        <w:separator/>
      </w:r>
    </w:p>
  </w:footnote>
  <w:footnote w:type="continuationSeparator" w:id="0">
    <w:p w14:paraId="69B2B74F" w14:textId="77777777" w:rsidR="002B4804" w:rsidRDefault="002B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47C22"/>
    <w:multiLevelType w:val="hybridMultilevel"/>
    <w:tmpl w:val="D722C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A31B4"/>
    <w:multiLevelType w:val="multilevel"/>
    <w:tmpl w:val="02C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8728D2"/>
    <w:multiLevelType w:val="hybridMultilevel"/>
    <w:tmpl w:val="6AE8D472"/>
    <w:lvl w:ilvl="0" w:tplc="63D8CA2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91318B"/>
    <w:multiLevelType w:val="hybridMultilevel"/>
    <w:tmpl w:val="C6A2C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224FAC"/>
    <w:multiLevelType w:val="multilevel"/>
    <w:tmpl w:val="681A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5A5E47"/>
    <w:multiLevelType w:val="hybridMultilevel"/>
    <w:tmpl w:val="242AA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3C08F5"/>
    <w:multiLevelType w:val="hybridMultilevel"/>
    <w:tmpl w:val="83025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8" w15:restartNumberingAfterBreak="0">
    <w:nsid w:val="71E76B05"/>
    <w:multiLevelType w:val="hybridMultilevel"/>
    <w:tmpl w:val="F080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3705425">
    <w:abstractNumId w:val="9"/>
  </w:num>
  <w:num w:numId="2" w16cid:durableId="1249466560">
    <w:abstractNumId w:val="17"/>
  </w:num>
  <w:num w:numId="3" w16cid:durableId="1576936243">
    <w:abstractNumId w:val="17"/>
    <w:lvlOverride w:ilvl="0">
      <w:startOverride w:val="1"/>
    </w:lvlOverride>
  </w:num>
  <w:num w:numId="4" w16cid:durableId="1849708415">
    <w:abstractNumId w:val="7"/>
  </w:num>
  <w:num w:numId="5" w16cid:durableId="437137342">
    <w:abstractNumId w:val="6"/>
  </w:num>
  <w:num w:numId="6" w16cid:durableId="1493257562">
    <w:abstractNumId w:val="5"/>
  </w:num>
  <w:num w:numId="7" w16cid:durableId="72970255">
    <w:abstractNumId w:val="4"/>
  </w:num>
  <w:num w:numId="8" w16cid:durableId="1004892732">
    <w:abstractNumId w:val="8"/>
  </w:num>
  <w:num w:numId="9" w16cid:durableId="2021616697">
    <w:abstractNumId w:val="3"/>
  </w:num>
  <w:num w:numId="10" w16cid:durableId="58990175">
    <w:abstractNumId w:val="2"/>
  </w:num>
  <w:num w:numId="11" w16cid:durableId="1145125666">
    <w:abstractNumId w:val="1"/>
  </w:num>
  <w:num w:numId="12" w16cid:durableId="888883925">
    <w:abstractNumId w:val="0"/>
  </w:num>
  <w:num w:numId="13" w16cid:durableId="558440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4227912">
    <w:abstractNumId w:val="10"/>
  </w:num>
  <w:num w:numId="15" w16cid:durableId="21321973">
    <w:abstractNumId w:val="12"/>
  </w:num>
  <w:num w:numId="16" w16cid:durableId="289168397">
    <w:abstractNumId w:val="11"/>
  </w:num>
  <w:num w:numId="17" w16cid:durableId="136806374">
    <w:abstractNumId w:val="14"/>
  </w:num>
  <w:num w:numId="18" w16cid:durableId="1022778153">
    <w:abstractNumId w:val="16"/>
  </w:num>
  <w:num w:numId="19" w16cid:durableId="1570770448">
    <w:abstractNumId w:val="17"/>
  </w:num>
  <w:num w:numId="20" w16cid:durableId="1222836639">
    <w:abstractNumId w:val="17"/>
  </w:num>
  <w:num w:numId="21" w16cid:durableId="1316185231">
    <w:abstractNumId w:val="13"/>
  </w:num>
  <w:num w:numId="22" w16cid:durableId="1572617789">
    <w:abstractNumId w:val="18"/>
  </w:num>
  <w:num w:numId="23" w16cid:durableId="509174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C4"/>
    <w:rsid w:val="00017377"/>
    <w:rsid w:val="00026F29"/>
    <w:rsid w:val="000322BF"/>
    <w:rsid w:val="00053E98"/>
    <w:rsid w:val="00091022"/>
    <w:rsid w:val="00091028"/>
    <w:rsid w:val="000B405F"/>
    <w:rsid w:val="000C6A97"/>
    <w:rsid w:val="000E697B"/>
    <w:rsid w:val="0011000F"/>
    <w:rsid w:val="00117948"/>
    <w:rsid w:val="001238BC"/>
    <w:rsid w:val="001273C1"/>
    <w:rsid w:val="00150CEA"/>
    <w:rsid w:val="001634C8"/>
    <w:rsid w:val="001C3876"/>
    <w:rsid w:val="001F7D32"/>
    <w:rsid w:val="002129B0"/>
    <w:rsid w:val="00276465"/>
    <w:rsid w:val="00280E12"/>
    <w:rsid w:val="00295C0C"/>
    <w:rsid w:val="002A04F7"/>
    <w:rsid w:val="002B4804"/>
    <w:rsid w:val="002E52EE"/>
    <w:rsid w:val="002E64A3"/>
    <w:rsid w:val="003069F4"/>
    <w:rsid w:val="003262F3"/>
    <w:rsid w:val="00330B39"/>
    <w:rsid w:val="00343312"/>
    <w:rsid w:val="00346FDE"/>
    <w:rsid w:val="0034799E"/>
    <w:rsid w:val="00353E37"/>
    <w:rsid w:val="00386778"/>
    <w:rsid w:val="003B4C90"/>
    <w:rsid w:val="0040211A"/>
    <w:rsid w:val="00443E07"/>
    <w:rsid w:val="004B5850"/>
    <w:rsid w:val="004B7A0B"/>
    <w:rsid w:val="004E5035"/>
    <w:rsid w:val="004E692E"/>
    <w:rsid w:val="004F5C8E"/>
    <w:rsid w:val="00500D17"/>
    <w:rsid w:val="0051200F"/>
    <w:rsid w:val="00517215"/>
    <w:rsid w:val="00545041"/>
    <w:rsid w:val="00554A3C"/>
    <w:rsid w:val="00590B0E"/>
    <w:rsid w:val="006226BF"/>
    <w:rsid w:val="00676E7A"/>
    <w:rsid w:val="006C23FC"/>
    <w:rsid w:val="006C5ECB"/>
    <w:rsid w:val="006E46F0"/>
    <w:rsid w:val="0071603F"/>
    <w:rsid w:val="007407EF"/>
    <w:rsid w:val="00741991"/>
    <w:rsid w:val="0076017A"/>
    <w:rsid w:val="007900A4"/>
    <w:rsid w:val="007B6B35"/>
    <w:rsid w:val="007C5FAA"/>
    <w:rsid w:val="00805667"/>
    <w:rsid w:val="008725E4"/>
    <w:rsid w:val="00874596"/>
    <w:rsid w:val="0087755C"/>
    <w:rsid w:val="0088175F"/>
    <w:rsid w:val="008961F2"/>
    <w:rsid w:val="008D05BA"/>
    <w:rsid w:val="008F0E66"/>
    <w:rsid w:val="008F4E62"/>
    <w:rsid w:val="00902DD6"/>
    <w:rsid w:val="0097608E"/>
    <w:rsid w:val="009762FA"/>
    <w:rsid w:val="00987BCC"/>
    <w:rsid w:val="00994CDD"/>
    <w:rsid w:val="009A3E0F"/>
    <w:rsid w:val="009B00FC"/>
    <w:rsid w:val="009B5D53"/>
    <w:rsid w:val="00A649EA"/>
    <w:rsid w:val="00A766AE"/>
    <w:rsid w:val="00A97CC8"/>
    <w:rsid w:val="00AA4E06"/>
    <w:rsid w:val="00AA528E"/>
    <w:rsid w:val="00AB131D"/>
    <w:rsid w:val="00AE5C9F"/>
    <w:rsid w:val="00AF366A"/>
    <w:rsid w:val="00AF452C"/>
    <w:rsid w:val="00B0209E"/>
    <w:rsid w:val="00B05EC5"/>
    <w:rsid w:val="00B13AE2"/>
    <w:rsid w:val="00B14490"/>
    <w:rsid w:val="00B569C4"/>
    <w:rsid w:val="00BA042B"/>
    <w:rsid w:val="00BC617C"/>
    <w:rsid w:val="00BE3CD6"/>
    <w:rsid w:val="00C16778"/>
    <w:rsid w:val="00C350BA"/>
    <w:rsid w:val="00C40059"/>
    <w:rsid w:val="00CA0343"/>
    <w:rsid w:val="00CC4E29"/>
    <w:rsid w:val="00CC612B"/>
    <w:rsid w:val="00CE13C2"/>
    <w:rsid w:val="00CE6C05"/>
    <w:rsid w:val="00D31D4F"/>
    <w:rsid w:val="00D31D9B"/>
    <w:rsid w:val="00D769FB"/>
    <w:rsid w:val="00DA0412"/>
    <w:rsid w:val="00DB0F9F"/>
    <w:rsid w:val="00DC3054"/>
    <w:rsid w:val="00DD3056"/>
    <w:rsid w:val="00DE062F"/>
    <w:rsid w:val="00E07AB5"/>
    <w:rsid w:val="00E35372"/>
    <w:rsid w:val="00E40CCA"/>
    <w:rsid w:val="00EA06FB"/>
    <w:rsid w:val="00F42835"/>
    <w:rsid w:val="00F42EAE"/>
    <w:rsid w:val="00F535B0"/>
    <w:rsid w:val="00F61226"/>
    <w:rsid w:val="00F636A9"/>
    <w:rsid w:val="00F90943"/>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74C5C"/>
  <w15:chartTrackingRefBased/>
  <w15:docId w15:val="{81940DFC-6879-493E-AC24-1A1CAAF9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ListParagraph">
    <w:name w:val="List Paragraph"/>
    <w:basedOn w:val="Normal"/>
    <w:uiPriority w:val="34"/>
    <w:unhideWhenUsed/>
    <w:qFormat/>
    <w:rsid w:val="00D31D9B"/>
    <w:pPr>
      <w:ind w:left="720"/>
      <w:contextualSpacing/>
    </w:pPr>
  </w:style>
  <w:style w:type="character" w:styleId="FollowedHyperlink">
    <w:name w:val="FollowedHyperlink"/>
    <w:basedOn w:val="DefaultParagraphFont"/>
    <w:uiPriority w:val="99"/>
    <w:semiHidden/>
    <w:unhideWhenUsed/>
    <w:rsid w:val="008725E4"/>
    <w:rPr>
      <w:color w:val="92588D" w:themeColor="followedHyperlink"/>
      <w:u w:val="single"/>
    </w:rPr>
  </w:style>
  <w:style w:type="paragraph" w:styleId="NormalWeb">
    <w:name w:val="Normal (Web)"/>
    <w:basedOn w:val="Normal"/>
    <w:uiPriority w:val="99"/>
    <w:semiHidden/>
    <w:unhideWhenUsed/>
    <w:rsid w:val="004B7A0B"/>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UnresolvedMention">
    <w:name w:val="Unresolved Mention"/>
    <w:basedOn w:val="DefaultParagraphFont"/>
    <w:uiPriority w:val="99"/>
    <w:semiHidden/>
    <w:unhideWhenUsed/>
    <w:rsid w:val="004B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7488">
      <w:bodyDiv w:val="1"/>
      <w:marLeft w:val="0"/>
      <w:marRight w:val="0"/>
      <w:marTop w:val="0"/>
      <w:marBottom w:val="0"/>
      <w:divBdr>
        <w:top w:val="none" w:sz="0" w:space="0" w:color="auto"/>
        <w:left w:val="none" w:sz="0" w:space="0" w:color="auto"/>
        <w:bottom w:val="none" w:sz="0" w:space="0" w:color="auto"/>
        <w:right w:val="none" w:sz="0" w:space="0" w:color="auto"/>
      </w:divBdr>
    </w:div>
    <w:div w:id="547302573">
      <w:bodyDiv w:val="1"/>
      <w:marLeft w:val="0"/>
      <w:marRight w:val="0"/>
      <w:marTop w:val="0"/>
      <w:marBottom w:val="0"/>
      <w:divBdr>
        <w:top w:val="none" w:sz="0" w:space="0" w:color="auto"/>
        <w:left w:val="none" w:sz="0" w:space="0" w:color="auto"/>
        <w:bottom w:val="none" w:sz="0" w:space="0" w:color="auto"/>
        <w:right w:val="none" w:sz="0" w:space="0" w:color="auto"/>
      </w:divBdr>
    </w:div>
    <w:div w:id="582033495">
      <w:bodyDiv w:val="1"/>
      <w:marLeft w:val="0"/>
      <w:marRight w:val="0"/>
      <w:marTop w:val="0"/>
      <w:marBottom w:val="0"/>
      <w:divBdr>
        <w:top w:val="none" w:sz="0" w:space="0" w:color="auto"/>
        <w:left w:val="none" w:sz="0" w:space="0" w:color="auto"/>
        <w:bottom w:val="none" w:sz="0" w:space="0" w:color="auto"/>
        <w:right w:val="none" w:sz="0" w:space="0" w:color="auto"/>
      </w:divBdr>
    </w:div>
    <w:div w:id="943148799">
      <w:bodyDiv w:val="1"/>
      <w:marLeft w:val="0"/>
      <w:marRight w:val="0"/>
      <w:marTop w:val="0"/>
      <w:marBottom w:val="0"/>
      <w:divBdr>
        <w:top w:val="none" w:sz="0" w:space="0" w:color="auto"/>
        <w:left w:val="none" w:sz="0" w:space="0" w:color="auto"/>
        <w:bottom w:val="none" w:sz="0" w:space="0" w:color="auto"/>
        <w:right w:val="none" w:sz="0" w:space="0" w:color="auto"/>
      </w:divBdr>
    </w:div>
    <w:div w:id="1580938919">
      <w:bodyDiv w:val="1"/>
      <w:marLeft w:val="0"/>
      <w:marRight w:val="0"/>
      <w:marTop w:val="0"/>
      <w:marBottom w:val="0"/>
      <w:divBdr>
        <w:top w:val="none" w:sz="0" w:space="0" w:color="auto"/>
        <w:left w:val="none" w:sz="0" w:space="0" w:color="auto"/>
        <w:bottom w:val="none" w:sz="0" w:space="0" w:color="auto"/>
        <w:right w:val="none" w:sz="0" w:space="0" w:color="auto"/>
      </w:divBdr>
    </w:div>
    <w:div w:id="1918173477">
      <w:bodyDiv w:val="1"/>
      <w:marLeft w:val="0"/>
      <w:marRight w:val="0"/>
      <w:marTop w:val="0"/>
      <w:marBottom w:val="0"/>
      <w:divBdr>
        <w:top w:val="none" w:sz="0" w:space="0" w:color="auto"/>
        <w:left w:val="none" w:sz="0" w:space="0" w:color="auto"/>
        <w:bottom w:val="none" w:sz="0" w:space="0" w:color="auto"/>
        <w:right w:val="none" w:sz="0" w:space="0" w:color="auto"/>
      </w:divBdr>
    </w:div>
    <w:div w:id="2062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595215\AppData\Roaming\Microsoft\Templates\Services%20proposal%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afe64aaadb3da90636246cdb6e635ea">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57db6b5adb5f8fcf58f29217a388e21b"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DFC1-9964-4CDE-9D2A-122E9C6486C1}">
  <ds:schemaRefs>
    <ds:schemaRef ds:uri="http://schemas.microsoft.com/office/2006/documentManagement/types"/>
    <ds:schemaRef ds:uri="http://schemas.microsoft.com/office/2006/metadata/properties"/>
    <ds:schemaRef ds:uri="http://www.w3.org/XML/1998/namespace"/>
    <ds:schemaRef ds:uri="2bd5b147-e2fe-42ef-8982-611885f66b98"/>
    <ds:schemaRef ds:uri="http://purl.org/dc/elements/1.1/"/>
    <ds:schemaRef ds:uri="http://schemas.microsoft.com/office/infopath/2007/PartnerControls"/>
    <ds:schemaRef ds:uri="http://purl.org/dc/dcmitype/"/>
    <ds:schemaRef ds:uri="http://schemas.openxmlformats.org/package/2006/metadata/core-properties"/>
    <ds:schemaRef ds:uri="ec91ab06-9460-473b-bf7c-09335e1bf025"/>
    <ds:schemaRef ds:uri="http://purl.org/dc/terms/"/>
  </ds:schemaRefs>
</ds:datastoreItem>
</file>

<file path=customXml/itemProps2.xml><?xml version="1.0" encoding="utf-8"?>
<ds:datastoreItem xmlns:ds="http://schemas.openxmlformats.org/officeDocument/2006/customXml" ds:itemID="{E8220518-6724-4CF2-8CA9-517FC7625F78}">
  <ds:schemaRefs>
    <ds:schemaRef ds:uri="http://schemas.microsoft.com/sharepoint/v3/contenttype/forms"/>
  </ds:schemaRefs>
</ds:datastoreItem>
</file>

<file path=customXml/itemProps3.xml><?xml version="1.0" encoding="utf-8"?>
<ds:datastoreItem xmlns:ds="http://schemas.openxmlformats.org/officeDocument/2006/customXml" ds:itemID="{B1F947BC-D3A0-48C5-BD80-77B374595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61134-49C5-4A25-8BCC-A117BDDC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5 - Phillip Island Early Learning Centre - Early Childhood Education and Care - Public inquiry</vt:lpstr>
    </vt:vector>
  </TitlesOfParts>
  <Company>Phillip Island Early Learning Centre</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Phillip Island Early Learning Centre - Early Childhood Education and Care - Public inquiry</dc:title>
  <dc:creator>Phillip Island Early Learning Centre</dc:creator>
  <cp:lastModifiedBy>Chris Alston</cp:lastModifiedBy>
  <cp:revision>3</cp:revision>
  <cp:lastPrinted>2023-03-21T01:24:00Z</cp:lastPrinted>
  <dcterms:created xsi:type="dcterms:W3CDTF">2023-04-03T06:13:00Z</dcterms:created>
  <dcterms:modified xsi:type="dcterms:W3CDTF">2023-04-03T06:23:00Z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0x01010043D2931130CE4140B1D2F07F360CDFAE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RevIMBCS">
    <vt:lpwstr>1;#Unclassified|3955eeb1-2d18-4582-aeb2-00144ec3aaf5</vt:lpwstr>
  </property>
</Properties>
</file>