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2BE06" w14:textId="77777777" w:rsidR="00533C00" w:rsidRDefault="000E2F58" w:rsidP="00533C00">
      <w:r>
        <w:rPr>
          <w:noProof/>
        </w:rPr>
        <w:drawing>
          <wp:inline distT="0" distB="0" distL="0" distR="0" wp14:anchorId="0C905701" wp14:editId="6E709B9D">
            <wp:extent cx="2795012" cy="839344"/>
            <wp:effectExtent l="0" t="0" r="5715" b="0"/>
            <wp:docPr id="5" name="Graphic 5" descr="Regional Education Commisioner 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Regional Education Commisioner Lo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08387" cy="84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0A965" w14:textId="77777777" w:rsidR="000E2F58" w:rsidRDefault="000E2F58" w:rsidP="00D41822">
      <w:pPr>
        <w:pStyle w:val="NameandTitle"/>
      </w:pPr>
      <w:r>
        <w:t>The Hon Fiona Nash</w:t>
      </w:r>
      <w:r w:rsidR="00D41822">
        <w:br/>
      </w:r>
      <w:r>
        <w:t>Regional Education Commissioner</w:t>
      </w:r>
    </w:p>
    <w:p w14:paraId="4A8F70E4" w14:textId="0D83D68D" w:rsidR="000E2F58" w:rsidRDefault="000E2F58" w:rsidP="00E7133D">
      <w:pPr>
        <w:pStyle w:val="Addressandemail"/>
        <w:spacing w:after="240"/>
      </w:pPr>
      <w:r>
        <w:t>Department of Education</w:t>
      </w:r>
      <w:r w:rsidR="00E7133D">
        <w:t xml:space="preserve"> </w:t>
      </w:r>
      <w:r w:rsidR="00D41822">
        <w:br/>
      </w:r>
      <w:r>
        <w:t>GPO Box 9880</w:t>
      </w:r>
      <w:r w:rsidR="00D41822">
        <w:br/>
      </w:r>
      <w:r>
        <w:t>CANBERRA ACT 2601</w:t>
      </w:r>
      <w:r w:rsidR="00D41822">
        <w:br/>
      </w:r>
      <w:r>
        <w:t>E: RECSecretariat@</w:t>
      </w:r>
      <w:r w:rsidR="00E7133D">
        <w:t>education</w:t>
      </w:r>
      <w:r>
        <w:t>.gov.au</w:t>
      </w:r>
    </w:p>
    <w:p w14:paraId="7BEAB590" w14:textId="77777777" w:rsidR="00D41822" w:rsidRDefault="00D41822" w:rsidP="00973A90">
      <w:pPr>
        <w:pStyle w:val="Title"/>
        <w:sectPr w:rsidR="00D41822" w:rsidSect="00D418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992" w:right="1134" w:bottom="1134" w:left="1134" w:header="709" w:footer="709" w:gutter="0"/>
          <w:cols w:num="2" w:space="710" w:equalWidth="0">
            <w:col w:w="5500" w:space="710"/>
            <w:col w:w="3428"/>
          </w:cols>
          <w:docGrid w:linePitch="360"/>
        </w:sectPr>
      </w:pPr>
    </w:p>
    <w:p w14:paraId="1240D5C7" w14:textId="77777777" w:rsidR="002338E4" w:rsidRDefault="002338E4" w:rsidP="00E7133D">
      <w:pPr>
        <w:spacing w:after="0"/>
      </w:pPr>
    </w:p>
    <w:p w14:paraId="01C3C17B" w14:textId="62026DF2" w:rsidR="00E7133D" w:rsidRDefault="00E7133D" w:rsidP="00E7133D">
      <w:pPr>
        <w:spacing w:after="0"/>
      </w:pPr>
      <w:r>
        <w:t>Early Childhood Education and Care</w:t>
      </w:r>
    </w:p>
    <w:p w14:paraId="07E5583E" w14:textId="2D5C14BE" w:rsidR="00E7133D" w:rsidRDefault="00E7133D" w:rsidP="00E7133D">
      <w:pPr>
        <w:spacing w:after="0"/>
      </w:pPr>
      <w:r>
        <w:t>Productivity Commission</w:t>
      </w:r>
    </w:p>
    <w:p w14:paraId="0E403AB1" w14:textId="0D0A8A45" w:rsidR="00E7133D" w:rsidRDefault="00E7133D" w:rsidP="00E7133D">
      <w:pPr>
        <w:spacing w:after="0"/>
      </w:pPr>
      <w:r>
        <w:t>Locked Bag 2, Collins St East</w:t>
      </w:r>
    </w:p>
    <w:p w14:paraId="68672486" w14:textId="0603C28F" w:rsidR="00E7133D" w:rsidRDefault="00E7133D" w:rsidP="00E7133D">
      <w:pPr>
        <w:spacing w:after="0"/>
      </w:pPr>
      <w:r>
        <w:t>MELBOURNE   VIC  8003</w:t>
      </w:r>
    </w:p>
    <w:p w14:paraId="7CF9A9EB" w14:textId="77777777" w:rsidR="00E7133D" w:rsidRDefault="00E7133D" w:rsidP="00D41822"/>
    <w:p w14:paraId="7644543D" w14:textId="3986EC80" w:rsidR="00D41822" w:rsidRDefault="001D7D9E" w:rsidP="00D41822">
      <w:r>
        <w:t>Dear Professor Brennan</w:t>
      </w:r>
      <w:r w:rsidR="00D41822">
        <w:t xml:space="preserve">, </w:t>
      </w:r>
      <w:r w:rsidR="003C6469">
        <w:t>Mr Stokie and Ms Gropp</w:t>
      </w:r>
    </w:p>
    <w:p w14:paraId="680246EA" w14:textId="4F848817" w:rsidR="00D21F93" w:rsidRPr="00750A29" w:rsidRDefault="00750A29" w:rsidP="00750A29">
      <w:pPr>
        <w:jc w:val="center"/>
        <w:rPr>
          <w:b/>
          <w:bCs/>
        </w:rPr>
      </w:pPr>
      <w:r w:rsidRPr="00750A29">
        <w:rPr>
          <w:b/>
          <w:bCs/>
        </w:rPr>
        <w:t>Productivity Commission Inquiry into Early Childhood Education and Care</w:t>
      </w:r>
    </w:p>
    <w:p w14:paraId="36609CF9" w14:textId="5B749EEC" w:rsidR="00D41822" w:rsidRDefault="00750A29" w:rsidP="00D41822">
      <w:r>
        <w:t xml:space="preserve">Thank you for the opportunity to </w:t>
      </w:r>
      <w:r w:rsidR="002F5535">
        <w:t xml:space="preserve">contribute to </w:t>
      </w:r>
      <w:r w:rsidR="0045093D">
        <w:t>the Productivity Commission inquiry into Early Childhood Education and Care.</w:t>
      </w:r>
    </w:p>
    <w:p w14:paraId="208F8D04" w14:textId="16DDE68B" w:rsidR="00A4208F" w:rsidRDefault="00352260" w:rsidP="00A4208F">
      <w:r>
        <w:t>I believe that t</w:t>
      </w:r>
      <w:r w:rsidR="00DC5B6E">
        <w:t xml:space="preserve">he benefits of education and workforce participation should not be limited by location. </w:t>
      </w:r>
      <w:r w:rsidR="00C16249">
        <w:t xml:space="preserve">Education </w:t>
      </w:r>
      <w:r w:rsidR="006F45B3">
        <w:t>helps</w:t>
      </w:r>
      <w:r w:rsidR="006963B2">
        <w:t xml:space="preserve"> people imagine and create better futures for themselves, </w:t>
      </w:r>
      <w:r w:rsidR="00254BCD">
        <w:t>and th</w:t>
      </w:r>
      <w:r w:rsidR="00DC5B6E">
        <w:t xml:space="preserve">is starts </w:t>
      </w:r>
      <w:r w:rsidR="0020285F">
        <w:t>in</w:t>
      </w:r>
      <w:r w:rsidR="00DC5B6E">
        <w:t xml:space="preserve"> early childhood</w:t>
      </w:r>
      <w:r w:rsidR="0086003C">
        <w:t>.</w:t>
      </w:r>
      <w:r w:rsidR="006963B2">
        <w:t xml:space="preserve"> </w:t>
      </w:r>
      <w:r w:rsidR="0020285F">
        <w:t>Your review provides an opportunity</w:t>
      </w:r>
      <w:r w:rsidR="007E23DA">
        <w:t xml:space="preserve"> to consider </w:t>
      </w:r>
      <w:r w:rsidR="006B7833">
        <w:t xml:space="preserve">how to improve access to </w:t>
      </w:r>
      <w:r w:rsidR="00D00C65">
        <w:t xml:space="preserve">early childhood education and </w:t>
      </w:r>
      <w:r w:rsidR="00064EF4">
        <w:t>care</w:t>
      </w:r>
      <w:r w:rsidR="006B7833">
        <w:t xml:space="preserve"> for</w:t>
      </w:r>
      <w:r w:rsidR="007E23DA">
        <w:t xml:space="preserve"> people in regional, rural and remote (RRR) Australia. R</w:t>
      </w:r>
      <w:r w:rsidR="00371C96">
        <w:t>egional</w:t>
      </w:r>
      <w:r w:rsidR="00B343B8">
        <w:t xml:space="preserve"> communities’</w:t>
      </w:r>
      <w:r w:rsidR="00162899">
        <w:t xml:space="preserve"> needs</w:t>
      </w:r>
      <w:r w:rsidR="0074606D">
        <w:t xml:space="preserve"> differ</w:t>
      </w:r>
      <w:r w:rsidR="00162899">
        <w:t xml:space="preserve"> from </w:t>
      </w:r>
      <w:r w:rsidR="00764C9A">
        <w:t>the needs of people in cities</w:t>
      </w:r>
      <w:r w:rsidR="00F829D4">
        <w:t>,</w:t>
      </w:r>
      <w:r w:rsidR="0074606D">
        <w:t xml:space="preserve"> and </w:t>
      </w:r>
      <w:r w:rsidR="00F829D4">
        <w:t xml:space="preserve">from </w:t>
      </w:r>
      <w:r w:rsidR="0074606D">
        <w:t>each other</w:t>
      </w:r>
      <w:r w:rsidR="00F829D4">
        <w:t>.</w:t>
      </w:r>
      <w:r w:rsidR="00162899">
        <w:t xml:space="preserve"> </w:t>
      </w:r>
      <w:proofErr w:type="gramStart"/>
      <w:r w:rsidR="00F829D4">
        <w:t>I</w:t>
      </w:r>
      <w:r w:rsidR="00162899">
        <w:t>n particular</w:t>
      </w:r>
      <w:r w:rsidR="00F829D4">
        <w:t>, approaches</w:t>
      </w:r>
      <w:proofErr w:type="gramEnd"/>
      <w:r w:rsidR="00F829D4">
        <w:t xml:space="preserve"> that </w:t>
      </w:r>
      <w:r w:rsidR="0041698A">
        <w:t>work for people in cities often</w:t>
      </w:r>
      <w:r w:rsidR="00162899">
        <w:t xml:space="preserve"> </w:t>
      </w:r>
      <w:r w:rsidR="00023D09">
        <w:t>fail</w:t>
      </w:r>
      <w:r w:rsidR="0041698A">
        <w:t xml:space="preserve"> in the regions</w:t>
      </w:r>
      <w:r w:rsidR="002F5535">
        <w:t>, particularly</w:t>
      </w:r>
      <w:r w:rsidR="00162899">
        <w:t xml:space="preserve"> as </w:t>
      </w:r>
      <w:r w:rsidR="00162899" w:rsidRPr="00E472DE">
        <w:t>population density and the availability of skilled workers decrease</w:t>
      </w:r>
      <w:r w:rsidR="00371C96" w:rsidRPr="00E472DE">
        <w:t>.</w:t>
      </w:r>
      <w:r w:rsidR="006F3DDD">
        <w:t xml:space="preserve"> </w:t>
      </w:r>
    </w:p>
    <w:p w14:paraId="3E21A613" w14:textId="4B9CAC3E" w:rsidR="00A4208F" w:rsidRDefault="007522E9" w:rsidP="00A4208F">
      <w:r>
        <w:t xml:space="preserve">While RRR communities are </w:t>
      </w:r>
      <w:r w:rsidR="00F20C85">
        <w:t>diverse</w:t>
      </w:r>
      <w:r>
        <w:t xml:space="preserve">, they </w:t>
      </w:r>
      <w:r w:rsidR="00C907F0">
        <w:t>face</w:t>
      </w:r>
      <w:r>
        <w:t xml:space="preserve"> common challenges. </w:t>
      </w:r>
      <w:r w:rsidR="00A4208F">
        <w:t xml:space="preserve">Australia’s regions are great places </w:t>
      </w:r>
      <w:r w:rsidR="00BD6CC1">
        <w:t xml:space="preserve">in which to grow up, live and work. </w:t>
      </w:r>
      <w:r w:rsidR="00A4208F">
        <w:t xml:space="preserve">But even in the most resilient and well-resourced RRR communities, </w:t>
      </w:r>
      <w:r w:rsidR="002F5535">
        <w:t xml:space="preserve">the tyranny of </w:t>
      </w:r>
      <w:r w:rsidR="00A4208F">
        <w:t xml:space="preserve">distance and </w:t>
      </w:r>
      <w:r w:rsidR="002F5535">
        <w:t xml:space="preserve">reduced </w:t>
      </w:r>
      <w:r w:rsidR="00A4208F">
        <w:t xml:space="preserve">population density </w:t>
      </w:r>
      <w:r w:rsidR="00FB5D54">
        <w:t>increase</w:t>
      </w:r>
      <w:r w:rsidR="00A4208F">
        <w:t xml:space="preserve"> the challenges people encounter</w:t>
      </w:r>
      <w:r w:rsidR="00BD6CC1">
        <w:t xml:space="preserve"> compared to their city counterparts</w:t>
      </w:r>
      <w:r w:rsidR="00A4208F">
        <w:t xml:space="preserve">. </w:t>
      </w:r>
    </w:p>
    <w:p w14:paraId="205946B5" w14:textId="77777777" w:rsidR="000D3AD8" w:rsidRPr="00A4208F" w:rsidRDefault="000D3AD8" w:rsidP="000D3AD8">
      <w:pPr>
        <w:rPr>
          <w:b/>
          <w:bCs/>
        </w:rPr>
      </w:pPr>
      <w:r w:rsidRPr="00A4208F">
        <w:rPr>
          <w:b/>
          <w:bCs/>
        </w:rPr>
        <w:t>About the Regional Education Commissioner</w:t>
      </w:r>
    </w:p>
    <w:p w14:paraId="1BFA4115" w14:textId="183DA44E" w:rsidR="000D3AD8" w:rsidRDefault="000D3AD8" w:rsidP="000D3AD8">
      <w:r>
        <w:t xml:space="preserve">As Australia’s independent Regional Education Commissioner, </w:t>
      </w:r>
      <w:r w:rsidR="00BF625C">
        <w:t xml:space="preserve">I have </w:t>
      </w:r>
      <w:r w:rsidR="00D5396E">
        <w:t>the privilege of championing</w:t>
      </w:r>
      <w:r w:rsidR="00F06456">
        <w:t xml:space="preserve"> the needs of people from our regions through</w:t>
      </w:r>
      <w:r>
        <w:t xml:space="preserve"> the</w:t>
      </w:r>
      <w:r w:rsidR="00F06456">
        <w:t>ir</w:t>
      </w:r>
      <w:r>
        <w:t xml:space="preserve"> education journey from early childhood through school, </w:t>
      </w:r>
      <w:r w:rsidR="002F5535">
        <w:t xml:space="preserve">vocational education and training and </w:t>
      </w:r>
      <w:r>
        <w:t xml:space="preserve">higher education, and the pathways between. </w:t>
      </w:r>
    </w:p>
    <w:p w14:paraId="6A9F865D" w14:textId="7A3920F4" w:rsidR="000D3AD8" w:rsidRDefault="000D3AD8" w:rsidP="000D3AD8">
      <w:r>
        <w:t xml:space="preserve">In line with this remit, my comments focus on </w:t>
      </w:r>
      <w:r w:rsidR="00064EF4">
        <w:t>early childhood education and care</w:t>
      </w:r>
      <w:r>
        <w:t xml:space="preserve"> in </w:t>
      </w:r>
      <w:r w:rsidR="002F5535">
        <w:t xml:space="preserve">RRR </w:t>
      </w:r>
      <w:r>
        <w:t xml:space="preserve">Australia, including availability, affordability, workforce constraints, the </w:t>
      </w:r>
      <w:r w:rsidR="00663C05">
        <w:t>compounding problem</w:t>
      </w:r>
      <w:r>
        <w:t xml:space="preserve"> of poor access and participation for parents of young children in regional areas, particularly women</w:t>
      </w:r>
      <w:r w:rsidR="00F44631">
        <w:t>,</w:t>
      </w:r>
      <w:r w:rsidR="00F44631" w:rsidRPr="00F44631">
        <w:t xml:space="preserve"> </w:t>
      </w:r>
      <w:r w:rsidR="00F44631">
        <w:t>and the importance of cultural sensitivity</w:t>
      </w:r>
      <w:r w:rsidR="00E124A2">
        <w:t xml:space="preserve"> and co-design when considering </w:t>
      </w:r>
      <w:r w:rsidR="007C267F">
        <w:t>solutions</w:t>
      </w:r>
      <w:r w:rsidR="00003712">
        <w:t>, particularly in First Nations contexts</w:t>
      </w:r>
      <w:r>
        <w:t xml:space="preserve">. </w:t>
      </w:r>
    </w:p>
    <w:p w14:paraId="03D45C87" w14:textId="1BD7947E" w:rsidR="006E4122" w:rsidRPr="00E63D77" w:rsidRDefault="007D45B8" w:rsidP="00A4208F">
      <w:pPr>
        <w:rPr>
          <w:b/>
          <w:bCs/>
        </w:rPr>
      </w:pPr>
      <w:r>
        <w:rPr>
          <w:b/>
          <w:bCs/>
        </w:rPr>
        <w:t>I</w:t>
      </w:r>
      <w:r w:rsidR="002E55C5">
        <w:rPr>
          <w:b/>
          <w:bCs/>
        </w:rPr>
        <w:t xml:space="preserve">mproving access to </w:t>
      </w:r>
      <w:r w:rsidR="00064EF4">
        <w:rPr>
          <w:b/>
          <w:bCs/>
        </w:rPr>
        <w:t>early childhood education and care</w:t>
      </w:r>
      <w:r w:rsidR="002E55C5">
        <w:rPr>
          <w:b/>
          <w:bCs/>
        </w:rPr>
        <w:t xml:space="preserve"> in </w:t>
      </w:r>
      <w:r w:rsidR="007C267F">
        <w:rPr>
          <w:b/>
          <w:bCs/>
        </w:rPr>
        <w:t>regional</w:t>
      </w:r>
      <w:r w:rsidR="002E55C5">
        <w:rPr>
          <w:b/>
          <w:bCs/>
        </w:rPr>
        <w:t xml:space="preserve"> Australia</w:t>
      </w:r>
    </w:p>
    <w:p w14:paraId="2BECF5A7" w14:textId="7CB22381" w:rsidR="00A4208F" w:rsidRDefault="002F28FC" w:rsidP="00A4208F">
      <w:r>
        <w:t xml:space="preserve">Based on extensive stakeholder </w:t>
      </w:r>
      <w:r w:rsidR="00D44449">
        <w:t>feedback</w:t>
      </w:r>
      <w:r>
        <w:t xml:space="preserve"> </w:t>
      </w:r>
      <w:r w:rsidR="0000642C">
        <w:t xml:space="preserve">I </w:t>
      </w:r>
      <w:r w:rsidR="002F5535">
        <w:t xml:space="preserve">have received </w:t>
      </w:r>
      <w:r>
        <w:t>over the last 18 months</w:t>
      </w:r>
      <w:r w:rsidR="0094277C">
        <w:t xml:space="preserve"> about the needs </w:t>
      </w:r>
      <w:r w:rsidR="00D44449">
        <w:t>of RRR families</w:t>
      </w:r>
      <w:r w:rsidR="00E248DB">
        <w:t xml:space="preserve"> (as </w:t>
      </w:r>
      <w:r w:rsidR="00911C19">
        <w:t>discussed in my 2022 Annual Report</w:t>
      </w:r>
      <w:r w:rsidR="003C406C">
        <w:t xml:space="preserve"> </w:t>
      </w:r>
      <w:hyperlink r:id="rId18" w:history="1">
        <w:r w:rsidR="003C406C" w:rsidRPr="002F2292">
          <w:rPr>
            <w:rStyle w:val="Hyperlink"/>
          </w:rPr>
          <w:t>https://www.education.gov.au/regional-education-commissioner/resources/regional-education-commissioner-annual-report-2022</w:t>
        </w:r>
      </w:hyperlink>
      <w:r w:rsidR="00911C19">
        <w:t>)</w:t>
      </w:r>
      <w:r>
        <w:t xml:space="preserve">, </w:t>
      </w:r>
      <w:r w:rsidR="002E55C5">
        <w:t xml:space="preserve">I </w:t>
      </w:r>
      <w:r w:rsidR="00843B0B">
        <w:t xml:space="preserve">encourage you to </w:t>
      </w:r>
      <w:r w:rsidR="00376347">
        <w:t>examine the practicality of</w:t>
      </w:r>
      <w:r w:rsidR="00843B0B">
        <w:t xml:space="preserve"> specific</w:t>
      </w:r>
      <w:r w:rsidR="007538F9">
        <w:t xml:space="preserve"> </w:t>
      </w:r>
      <w:r w:rsidR="00F76CFF">
        <w:t>interventions</w:t>
      </w:r>
      <w:r w:rsidR="00A4208F">
        <w:t xml:space="preserve"> </w:t>
      </w:r>
      <w:r w:rsidR="0044799F">
        <w:t>for increasing access to and participation in ECEC in our regions</w:t>
      </w:r>
      <w:r w:rsidR="00F76CFF">
        <w:t>, including the following options</w:t>
      </w:r>
      <w:r w:rsidR="00A4208F">
        <w:t>:</w:t>
      </w:r>
    </w:p>
    <w:p w14:paraId="3C98DDD6" w14:textId="04AE8F26" w:rsidR="00A4208F" w:rsidRDefault="00A4208F" w:rsidP="00A4208F">
      <w:pPr>
        <w:pStyle w:val="ListParagraph"/>
        <w:numPr>
          <w:ilvl w:val="0"/>
          <w:numId w:val="14"/>
        </w:numPr>
        <w:spacing w:line="240" w:lineRule="auto"/>
        <w:ind w:left="714" w:hanging="357"/>
      </w:pPr>
      <w:r>
        <w:t>improving support for family day care operators in RRR areas to meet qualification and operational regulations and assisting with start-up costs</w:t>
      </w:r>
      <w:r w:rsidR="00BD5395">
        <w:t>.</w:t>
      </w:r>
    </w:p>
    <w:p w14:paraId="4F83303C" w14:textId="3E3B5166" w:rsidR="00A4208F" w:rsidRDefault="00EF7820" w:rsidP="00A4208F">
      <w:pPr>
        <w:pStyle w:val="ListParagraph"/>
        <w:numPr>
          <w:ilvl w:val="0"/>
          <w:numId w:val="14"/>
        </w:numPr>
        <w:spacing w:line="240" w:lineRule="auto"/>
        <w:ind w:left="714" w:hanging="357"/>
      </w:pPr>
      <w:r>
        <w:t>e</w:t>
      </w:r>
      <w:r w:rsidR="00A4208F">
        <w:t xml:space="preserve">xpanding mobile childcare services </w:t>
      </w:r>
      <w:r>
        <w:t xml:space="preserve">to areas </w:t>
      </w:r>
      <w:r w:rsidR="00A4208F">
        <w:t>where there is no, or limited access</w:t>
      </w:r>
      <w:r w:rsidR="00BD5395">
        <w:t>.</w:t>
      </w:r>
    </w:p>
    <w:p w14:paraId="76DE514C" w14:textId="693A75C4" w:rsidR="00A4208F" w:rsidRDefault="00A4208F" w:rsidP="00A4208F">
      <w:pPr>
        <w:pStyle w:val="ListParagraph"/>
        <w:numPr>
          <w:ilvl w:val="0"/>
          <w:numId w:val="14"/>
        </w:numPr>
        <w:spacing w:line="240" w:lineRule="auto"/>
        <w:ind w:left="714" w:hanging="357"/>
      </w:pPr>
      <w:r>
        <w:t>increasing the number of mobile playgroups and giving existing playgroups certainty to invest in equipment and recruitment of skilled workers by offering grants with several years duration</w:t>
      </w:r>
      <w:r w:rsidR="00BD5395">
        <w:t>.</w:t>
      </w:r>
    </w:p>
    <w:p w14:paraId="02C4D10D" w14:textId="4545C532" w:rsidR="00BD5395" w:rsidRDefault="00BD5395" w:rsidP="00A4208F">
      <w:pPr>
        <w:pStyle w:val="ListParagraph"/>
        <w:numPr>
          <w:ilvl w:val="0"/>
          <w:numId w:val="14"/>
        </w:numPr>
        <w:spacing w:line="240" w:lineRule="auto"/>
        <w:ind w:left="714" w:hanging="357"/>
      </w:pPr>
      <w:r>
        <w:t xml:space="preserve">considering </w:t>
      </w:r>
      <w:r w:rsidR="003E24FB">
        <w:t xml:space="preserve">the </w:t>
      </w:r>
      <w:r w:rsidR="00E8494A">
        <w:t>practicality and effectiveness</w:t>
      </w:r>
      <w:r w:rsidR="003E24FB">
        <w:t xml:space="preserve"> of online delivery of early childhood education curricula in </w:t>
      </w:r>
      <w:r w:rsidR="00F2279A">
        <w:t>r</w:t>
      </w:r>
      <w:r w:rsidR="009F029C">
        <w:t xml:space="preserve">emote and </w:t>
      </w:r>
      <w:r w:rsidR="00F2279A">
        <w:t>v</w:t>
      </w:r>
      <w:r w:rsidR="009F029C">
        <w:t xml:space="preserve">ery </w:t>
      </w:r>
      <w:r w:rsidR="00F2279A">
        <w:t>r</w:t>
      </w:r>
      <w:r w:rsidR="009F029C">
        <w:t xml:space="preserve">emote regions where qualified </w:t>
      </w:r>
      <w:r w:rsidR="002D12A6">
        <w:t>early child</w:t>
      </w:r>
      <w:r w:rsidR="00E75504">
        <w:t>hood</w:t>
      </w:r>
      <w:r w:rsidR="009F029C">
        <w:t xml:space="preserve"> </w:t>
      </w:r>
      <w:r w:rsidR="00E75504">
        <w:t>educators</w:t>
      </w:r>
      <w:r w:rsidR="009F029C">
        <w:t xml:space="preserve"> </w:t>
      </w:r>
      <w:r w:rsidR="00E75504">
        <w:t>are</w:t>
      </w:r>
      <w:r w:rsidR="009F029C">
        <w:t xml:space="preserve"> either not available or in short supply</w:t>
      </w:r>
      <w:r w:rsidR="00020B73">
        <w:t xml:space="preserve">, but </w:t>
      </w:r>
      <w:r w:rsidR="002D12A6">
        <w:t>carers may be available.</w:t>
      </w:r>
      <w:r>
        <w:t xml:space="preserve"> </w:t>
      </w:r>
    </w:p>
    <w:p w14:paraId="49E1D934" w14:textId="758EB72A" w:rsidR="00A4208F" w:rsidRDefault="00EF7820" w:rsidP="00A4208F">
      <w:pPr>
        <w:pStyle w:val="ListParagraph"/>
        <w:numPr>
          <w:ilvl w:val="0"/>
          <w:numId w:val="14"/>
        </w:numPr>
        <w:spacing w:line="240" w:lineRule="auto"/>
        <w:ind w:left="714" w:hanging="357"/>
      </w:pPr>
      <w:r>
        <w:t>e</w:t>
      </w:r>
      <w:r w:rsidR="00A4208F">
        <w:t xml:space="preserve">xtending the Assistance for Isolated Children — Distance Education (AIC-DE) allowance to </w:t>
      </w:r>
      <w:proofErr w:type="gramStart"/>
      <w:r w:rsidR="00A4208F">
        <w:t>3-4 year olds</w:t>
      </w:r>
      <w:proofErr w:type="gramEnd"/>
      <w:r w:rsidR="00A4208F">
        <w:t xml:space="preserve"> undertaking an approved pre-compulsory distance education program, to reduce the financial burden on isolated families with no option other than to deliver the preschool program themselves.</w:t>
      </w:r>
    </w:p>
    <w:p w14:paraId="7F15C4F5" w14:textId="6473088B" w:rsidR="007667E4" w:rsidRDefault="003B429A" w:rsidP="007667E4">
      <w:r>
        <w:lastRenderedPageBreak/>
        <w:t xml:space="preserve">An effective approach will </w:t>
      </w:r>
      <w:r w:rsidR="00E5797B">
        <w:t xml:space="preserve">engage and collaborate with </w:t>
      </w:r>
      <w:r w:rsidR="00337EA6">
        <w:t>regional</w:t>
      </w:r>
      <w:r w:rsidR="00E5797B">
        <w:t xml:space="preserve"> communities to design</w:t>
      </w:r>
      <w:r w:rsidR="007667E4">
        <w:t xml:space="preserve"> </w:t>
      </w:r>
      <w:r w:rsidR="00EC2402">
        <w:t>tailored</w:t>
      </w:r>
      <w:r w:rsidR="007667E4">
        <w:t xml:space="preserve"> delivery models that recognise </w:t>
      </w:r>
      <w:r w:rsidR="0027444E">
        <w:t>communities’</w:t>
      </w:r>
      <w:r w:rsidR="00820843">
        <w:t xml:space="preserve"> </w:t>
      </w:r>
      <w:r w:rsidR="00337EA6">
        <w:t>diversity</w:t>
      </w:r>
      <w:r w:rsidR="00E5797B">
        <w:t>.</w:t>
      </w:r>
    </w:p>
    <w:p w14:paraId="5058D254" w14:textId="53FFCCD8" w:rsidR="00E27C29" w:rsidRPr="0001760C" w:rsidRDefault="00883D30" w:rsidP="00D41822">
      <w:pPr>
        <w:rPr>
          <w:b/>
          <w:bCs/>
        </w:rPr>
      </w:pPr>
      <w:r w:rsidRPr="0001760C">
        <w:rPr>
          <w:b/>
          <w:bCs/>
        </w:rPr>
        <w:t>Workforce issues</w:t>
      </w:r>
    </w:p>
    <w:p w14:paraId="0EA9BCCA" w14:textId="344519A8" w:rsidR="00961B97" w:rsidRDefault="00765F78" w:rsidP="00D41822">
      <w:r>
        <w:t>Many stakeholders, unsurprisingly, raised workforce shortages</w:t>
      </w:r>
      <w:r w:rsidR="000A542B">
        <w:t xml:space="preserve"> with me</w:t>
      </w:r>
      <w:r>
        <w:t xml:space="preserve"> as a key issue </w:t>
      </w:r>
      <w:r w:rsidR="000E4D6D">
        <w:t xml:space="preserve">across the board in regions, and </w:t>
      </w:r>
      <w:r w:rsidR="00E67CD1">
        <w:t>early childhood education and care</w:t>
      </w:r>
      <w:r w:rsidR="002B4CEC">
        <w:t xml:space="preserve"> is</w:t>
      </w:r>
      <w:r w:rsidR="000E4D6D">
        <w:t xml:space="preserve"> no exception. </w:t>
      </w:r>
      <w:r w:rsidR="007F08E2">
        <w:t xml:space="preserve">A strong regional </w:t>
      </w:r>
      <w:r w:rsidR="00847F10">
        <w:t>ECEC</w:t>
      </w:r>
      <w:r w:rsidR="007F08E2">
        <w:t xml:space="preserve"> sector </w:t>
      </w:r>
      <w:r w:rsidR="007227B0">
        <w:t>needs to attract and retain</w:t>
      </w:r>
      <w:r w:rsidR="007F08E2">
        <w:t xml:space="preserve"> a qualified regional workforce. </w:t>
      </w:r>
      <w:r w:rsidR="000A542B">
        <w:t>This</w:t>
      </w:r>
      <w:r w:rsidR="000E4D6D">
        <w:t xml:space="preserve"> skilled workforce </w:t>
      </w:r>
      <w:r w:rsidR="000A542B">
        <w:t xml:space="preserve">will </w:t>
      </w:r>
      <w:r w:rsidR="004A0112">
        <w:t xml:space="preserve">help to sustain </w:t>
      </w:r>
      <w:r w:rsidR="006E6F37">
        <w:t>quality of life in our regions and ensur</w:t>
      </w:r>
      <w:r w:rsidR="004A0112">
        <w:t>e</w:t>
      </w:r>
      <w:r w:rsidR="006E6F37">
        <w:t xml:space="preserve"> that </w:t>
      </w:r>
      <w:r w:rsidR="004A0112">
        <w:t>the people who live there</w:t>
      </w:r>
      <w:r w:rsidR="006E6F37">
        <w:t xml:space="preserve"> </w:t>
      </w:r>
      <w:r w:rsidR="001E2FC9">
        <w:t>are not denied</w:t>
      </w:r>
      <w:r w:rsidR="006E6F37">
        <w:t xml:space="preserve"> access to education</w:t>
      </w:r>
      <w:r w:rsidR="00930899">
        <w:t xml:space="preserve"> and the opportunity for fulfilling careers.</w:t>
      </w:r>
      <w:r w:rsidR="00720160">
        <w:t xml:space="preserve"> </w:t>
      </w:r>
    </w:p>
    <w:p w14:paraId="1A753C9D" w14:textId="05B18B2C" w:rsidR="009C6FD7" w:rsidRDefault="00161FF8" w:rsidP="009C6FD7">
      <w:r>
        <w:t>S</w:t>
      </w:r>
      <w:r w:rsidR="009C6FD7">
        <w:t>kills shortages in the teaching workforce has been a recurrent theme of stakeholder feedback</w:t>
      </w:r>
      <w:r w:rsidR="004F4C56">
        <w:t xml:space="preserve"> in my discussions over the last year.</w:t>
      </w:r>
      <w:r w:rsidR="009C6FD7">
        <w:t xml:space="preserve"> </w:t>
      </w:r>
      <w:r w:rsidR="004F4C56">
        <w:t>B</w:t>
      </w:r>
      <w:r w:rsidR="009C6FD7">
        <w:t>etter</w:t>
      </w:r>
      <w:r w:rsidR="004F4C56">
        <w:t xml:space="preserve"> access to</w:t>
      </w:r>
      <w:r w:rsidR="009C6FD7">
        <w:t xml:space="preserve"> </w:t>
      </w:r>
      <w:r w:rsidR="004F4C56">
        <w:t>early childhood education and care</w:t>
      </w:r>
      <w:r w:rsidR="009C6FD7">
        <w:t xml:space="preserve"> in these communities would </w:t>
      </w:r>
      <w:r w:rsidR="004F4C56">
        <w:t>help reduce</w:t>
      </w:r>
      <w:r w:rsidR="009C6FD7">
        <w:t xml:space="preserve"> teacher shortages and support greater female participation in the workforce, study and training.</w:t>
      </w:r>
    </w:p>
    <w:p w14:paraId="764D2E59" w14:textId="04F24CCC" w:rsidR="00D66DF7" w:rsidRDefault="00D66DF7" w:rsidP="00D66DF7">
      <w:r>
        <w:t xml:space="preserve">Poor access to </w:t>
      </w:r>
      <w:r w:rsidR="004F4C56">
        <w:t>early childhood education and care</w:t>
      </w:r>
      <w:r>
        <w:t xml:space="preserve"> </w:t>
      </w:r>
      <w:r w:rsidR="004F4C56">
        <w:t>makes</w:t>
      </w:r>
      <w:r>
        <w:t xml:space="preserve"> regional workforce shortages in other sectors</w:t>
      </w:r>
      <w:r w:rsidR="004F4C56">
        <w:t xml:space="preserve"> worse,</w:t>
      </w:r>
      <w:r>
        <w:t xml:space="preserve"> as without reliable childcare, parents may have </w:t>
      </w:r>
      <w:r w:rsidR="002F5535">
        <w:t xml:space="preserve">no opportunity to participate in the workforce. </w:t>
      </w:r>
      <w:r>
        <w:t xml:space="preserve">This results in missed career opportunities, loss of or failure to develop skilled workers </w:t>
      </w:r>
      <w:r w:rsidR="00287009">
        <w:t>to supply</w:t>
      </w:r>
      <w:r>
        <w:t xml:space="preserve"> communities and regions, families with </w:t>
      </w:r>
      <w:r w:rsidR="00D029F1">
        <w:t>reduced</w:t>
      </w:r>
      <w:r>
        <w:t xml:space="preserve"> spending power</w:t>
      </w:r>
      <w:r w:rsidR="00287009">
        <w:t>,</w:t>
      </w:r>
      <w:r w:rsidR="00287009" w:rsidRPr="00287009">
        <w:t xml:space="preserve"> </w:t>
      </w:r>
      <w:r w:rsidR="00287009">
        <w:t>and</w:t>
      </w:r>
      <w:r w:rsidR="00104065">
        <w:t xml:space="preserve"> reduced local economic activity</w:t>
      </w:r>
      <w:r>
        <w:t>.</w:t>
      </w:r>
      <w:r w:rsidR="00104065">
        <w:t xml:space="preserve"> </w:t>
      </w:r>
    </w:p>
    <w:p w14:paraId="4F23C12C" w14:textId="2D016810" w:rsidR="00951420" w:rsidRPr="00EB3A4D" w:rsidRDefault="00951420" w:rsidP="00951420">
      <w:pPr>
        <w:rPr>
          <w:b/>
          <w:bCs/>
        </w:rPr>
      </w:pPr>
      <w:r>
        <w:rPr>
          <w:b/>
          <w:bCs/>
        </w:rPr>
        <w:t>Lack of sustained a</w:t>
      </w:r>
      <w:r w:rsidRPr="00EB3A4D">
        <w:rPr>
          <w:b/>
          <w:bCs/>
        </w:rPr>
        <w:t xml:space="preserve">ccess to childcare is a barrier to </w:t>
      </w:r>
      <w:r w:rsidR="00DA23C4" w:rsidRPr="00EB3A4D">
        <w:rPr>
          <w:b/>
          <w:bCs/>
        </w:rPr>
        <w:t xml:space="preserve">participation </w:t>
      </w:r>
      <w:r w:rsidR="00DA23C4">
        <w:rPr>
          <w:b/>
          <w:bCs/>
        </w:rPr>
        <w:t xml:space="preserve">in </w:t>
      </w:r>
      <w:r w:rsidRPr="00EB3A4D">
        <w:rPr>
          <w:b/>
          <w:bCs/>
        </w:rPr>
        <w:t>education</w:t>
      </w:r>
      <w:r>
        <w:rPr>
          <w:b/>
          <w:bCs/>
        </w:rPr>
        <w:t xml:space="preserve"> </w:t>
      </w:r>
      <w:r w:rsidRPr="00EB3A4D">
        <w:rPr>
          <w:b/>
          <w:bCs/>
        </w:rPr>
        <w:t>and</w:t>
      </w:r>
      <w:r w:rsidR="00DA23C4">
        <w:rPr>
          <w:b/>
          <w:bCs/>
        </w:rPr>
        <w:t xml:space="preserve"> the</w:t>
      </w:r>
      <w:r w:rsidRPr="00EB3A4D">
        <w:rPr>
          <w:b/>
          <w:bCs/>
        </w:rPr>
        <w:t xml:space="preserve"> workforce </w:t>
      </w:r>
    </w:p>
    <w:p w14:paraId="0072BA90" w14:textId="27A34B8C" w:rsidR="006704DF" w:rsidRDefault="001E19DF" w:rsidP="00951420">
      <w:r>
        <w:t>Lac</w:t>
      </w:r>
      <w:r w:rsidR="002F5535">
        <w:t>k</w:t>
      </w:r>
      <w:r>
        <w:t xml:space="preserve"> of c</w:t>
      </w:r>
      <w:r w:rsidR="00951420">
        <w:t xml:space="preserve">hildcare </w:t>
      </w:r>
      <w:r>
        <w:t>stops people participating in the workforce</w:t>
      </w:r>
      <w:r w:rsidR="00BD6CC1">
        <w:t>,</w:t>
      </w:r>
      <w:r>
        <w:t xml:space="preserve"> </w:t>
      </w:r>
      <w:proofErr w:type="gramStart"/>
      <w:r>
        <w:t xml:space="preserve">and </w:t>
      </w:r>
      <w:r w:rsidR="002F5535">
        <w:t>also</w:t>
      </w:r>
      <w:proofErr w:type="gramEnd"/>
      <w:r w:rsidR="002F5535">
        <w:t xml:space="preserve"> in education and </w:t>
      </w:r>
      <w:r>
        <w:t>training</w:t>
      </w:r>
      <w:r w:rsidR="002F5535">
        <w:t xml:space="preserve">. </w:t>
      </w:r>
      <w:r w:rsidR="00951420">
        <w:t xml:space="preserve">It follows that one way to improve opportunities for parents with caring responsibilities to study and participate in the workforce is through improving access to </w:t>
      </w:r>
      <w:r w:rsidR="00644FB9">
        <w:t>early childhood education and care services</w:t>
      </w:r>
      <w:r w:rsidR="00951420">
        <w:t xml:space="preserve">. </w:t>
      </w:r>
    </w:p>
    <w:p w14:paraId="29B686E2" w14:textId="6ACCAC4E" w:rsidR="00951420" w:rsidRDefault="00951420" w:rsidP="00951420">
      <w:r>
        <w:t xml:space="preserve">Existing </w:t>
      </w:r>
      <w:r w:rsidR="00991CA7">
        <w:t>programs</w:t>
      </w:r>
      <w:r>
        <w:t xml:space="preserve"> like the In Home Care Program (</w:t>
      </w:r>
      <w:hyperlink r:id="rId19" w:history="1">
        <w:r w:rsidRPr="002F2292">
          <w:rPr>
            <w:rStyle w:val="Hyperlink"/>
          </w:rPr>
          <w:t>https://www.education.gov.au/child-care-package/child-care-subsidy/approved-care-types/home-care</w:t>
        </w:r>
      </w:hyperlink>
      <w:r>
        <w:t xml:space="preserve">) </w:t>
      </w:r>
      <w:r w:rsidR="009B6261">
        <w:t xml:space="preserve">and mobile childcare initiatives </w:t>
      </w:r>
      <w:r>
        <w:t xml:space="preserve">may </w:t>
      </w:r>
      <w:r w:rsidR="00A546DB">
        <w:t>help parents return to</w:t>
      </w:r>
      <w:r w:rsidR="00572EC6">
        <w:t xml:space="preserve"> study</w:t>
      </w:r>
      <w:r>
        <w:t xml:space="preserve"> </w:t>
      </w:r>
      <w:r w:rsidR="00A546DB">
        <w:t>or</w:t>
      </w:r>
      <w:r>
        <w:t xml:space="preserve"> work</w:t>
      </w:r>
      <w:r w:rsidR="00A546DB">
        <w:t xml:space="preserve"> sooner</w:t>
      </w:r>
      <w:r>
        <w:t xml:space="preserve">, but only if they can be rolled out reliably to the communities that will benefit from them the most. </w:t>
      </w:r>
      <w:r w:rsidR="00AF259C">
        <w:t>Access and availability for these initiatives currently limits their effectiveness.</w:t>
      </w:r>
    </w:p>
    <w:p w14:paraId="29818C91" w14:textId="3EAEAC0D" w:rsidR="007F1C74" w:rsidRDefault="00AA3CEE" w:rsidP="007F1C74">
      <w:r>
        <w:t xml:space="preserve">Poor provision of childcare opportunities affects whole communities. </w:t>
      </w:r>
      <w:r w:rsidR="00451EAD">
        <w:t>I noted in my Annual Report (p. 23) that recent research by the Mitchell Institute in 2022 (</w:t>
      </w:r>
      <w:hyperlink r:id="rId20" w:history="1">
        <w:r w:rsidR="00451EAD" w:rsidRPr="002F2292">
          <w:rPr>
            <w:rStyle w:val="Hyperlink"/>
          </w:rPr>
          <w:t>https://www.vu.edu.au/mitchell-institute/early-learning/childcare-deserts-oases-how-accessible-is-childcare-in-australia</w:t>
        </w:r>
      </w:hyperlink>
      <w:r w:rsidR="00451EAD">
        <w:t xml:space="preserve">) into the incidence of ‘childcare deserts’ in Australia found that more than 300 communities in Australia have a school but no childcare centre. </w:t>
      </w:r>
      <w:r w:rsidR="007F1C74">
        <w:t xml:space="preserve">While affordability is a key issue in urban areas, access is the </w:t>
      </w:r>
      <w:r w:rsidR="00084B94">
        <w:t>main</w:t>
      </w:r>
      <w:r w:rsidR="007F1C74">
        <w:t xml:space="preserve"> problem in rural areas, where lower population densities </w:t>
      </w:r>
      <w:r w:rsidR="00DF3222">
        <w:t xml:space="preserve">can </w:t>
      </w:r>
      <w:r w:rsidR="00F76D22">
        <w:t xml:space="preserve">make </w:t>
      </w:r>
      <w:r w:rsidR="00DF3222">
        <w:t xml:space="preserve">sustainability </w:t>
      </w:r>
      <w:r w:rsidR="00F76D22">
        <w:t xml:space="preserve">of standalone childcare centres </w:t>
      </w:r>
      <w:r w:rsidR="00D42F6B">
        <w:t>difficult</w:t>
      </w:r>
      <w:r w:rsidR="00F76D22">
        <w:t>.</w:t>
      </w:r>
      <w:r w:rsidR="00E825F8">
        <w:t xml:space="preserve"> </w:t>
      </w:r>
      <w:r w:rsidR="00DC79F9">
        <w:t xml:space="preserve"> </w:t>
      </w:r>
    </w:p>
    <w:p w14:paraId="42EFE0D9" w14:textId="3EE09C99" w:rsidR="007F1C74" w:rsidRPr="00BD28F8" w:rsidRDefault="00E21CB3" w:rsidP="007F1C74">
      <w:r>
        <w:t xml:space="preserve">This </w:t>
      </w:r>
      <w:r w:rsidR="00A779B2">
        <w:t xml:space="preserve">shows the importance of </w:t>
      </w:r>
      <w:proofErr w:type="gramStart"/>
      <w:r w:rsidR="00A779B2">
        <w:t>flexibility</w:t>
      </w:r>
      <w:r w:rsidR="00C52161">
        <w:t>, and</w:t>
      </w:r>
      <w:proofErr w:type="gramEnd"/>
      <w:r w:rsidR="00C52161">
        <w:t xml:space="preserve"> reinforces the need to involve local communities in </w:t>
      </w:r>
      <w:r w:rsidR="00385124">
        <w:t>designing childcare solutions,</w:t>
      </w:r>
      <w:r w:rsidR="00BC6949">
        <w:t xml:space="preserve"> particularly when addressing the needs of First Nations families</w:t>
      </w:r>
      <w:r w:rsidR="004C0739">
        <w:t xml:space="preserve">. I encourage you to </w:t>
      </w:r>
      <w:r w:rsidR="009D4819">
        <w:t>investigate</w:t>
      </w:r>
      <w:r w:rsidR="00BA1AAC">
        <w:t xml:space="preserve"> </w:t>
      </w:r>
      <w:r w:rsidR="00945588">
        <w:t xml:space="preserve">ways to support </w:t>
      </w:r>
      <w:r w:rsidR="009D4819">
        <w:t xml:space="preserve">fairer, </w:t>
      </w:r>
      <w:r w:rsidR="009B5707">
        <w:t xml:space="preserve">flexible, </w:t>
      </w:r>
      <w:r w:rsidR="009D4819">
        <w:t>more reliable</w:t>
      </w:r>
      <w:r w:rsidR="00945588">
        <w:t xml:space="preserve"> access to </w:t>
      </w:r>
      <w:r w:rsidR="00385124">
        <w:t>early childhood education and care</w:t>
      </w:r>
      <w:r w:rsidR="00945588">
        <w:t xml:space="preserve"> for </w:t>
      </w:r>
      <w:r w:rsidR="00385124">
        <w:t>regional, rural and remote</w:t>
      </w:r>
      <w:r w:rsidR="00945588">
        <w:t xml:space="preserve"> communities</w:t>
      </w:r>
      <w:r w:rsidR="009D4819">
        <w:t>,</w:t>
      </w:r>
      <w:r w:rsidR="00BA1AAC">
        <w:t xml:space="preserve"> potentially through programs to support smaller operators, </w:t>
      </w:r>
      <w:r w:rsidR="009B5707">
        <w:t>improving access to</w:t>
      </w:r>
      <w:r w:rsidR="00BA1AAC">
        <w:t xml:space="preserve"> mobile and in home services, supporting businesses in thin markets</w:t>
      </w:r>
      <w:r w:rsidR="00EA18A9">
        <w:t xml:space="preserve">, and </w:t>
      </w:r>
      <w:r w:rsidR="002679C0">
        <w:t xml:space="preserve">good-faith </w:t>
      </w:r>
      <w:r w:rsidR="00EA18A9">
        <w:t>consultation with the people at the coalface of our regional childcare shortage — providers</w:t>
      </w:r>
      <w:r w:rsidR="002679C0">
        <w:t>, workers, parents and other carers</w:t>
      </w:r>
      <w:r w:rsidR="00BA1AAC">
        <w:t>.</w:t>
      </w:r>
    </w:p>
    <w:p w14:paraId="248B3C2D" w14:textId="1C45654F" w:rsidR="00973A90" w:rsidRDefault="00BD28F8" w:rsidP="00D41822">
      <w:r>
        <w:t xml:space="preserve">I hope that this information is </w:t>
      </w:r>
      <w:r w:rsidR="009B5707">
        <w:t>useful</w:t>
      </w:r>
      <w:r w:rsidR="00D41822">
        <w:t>.</w:t>
      </w:r>
      <w:r>
        <w:t xml:space="preserve"> </w:t>
      </w:r>
    </w:p>
    <w:p w14:paraId="338D8F0F" w14:textId="1EC7F324" w:rsidR="00B177F1" w:rsidRDefault="00B177F1" w:rsidP="00D41822">
      <w:r>
        <w:t>Yours sincerely,</w:t>
      </w:r>
    </w:p>
    <w:p w14:paraId="67A9D35F" w14:textId="4A03384A" w:rsidR="00B96A1D" w:rsidRDefault="00B96A1D" w:rsidP="00D41822"/>
    <w:p w14:paraId="663A4B08" w14:textId="2D4C4511" w:rsidR="00B177F1" w:rsidRDefault="00B177F1" w:rsidP="00D41822">
      <w:r>
        <w:t>Fiona Nash</w:t>
      </w:r>
    </w:p>
    <w:p w14:paraId="147511A7" w14:textId="788A03D2" w:rsidR="00B177F1" w:rsidRDefault="00B177F1" w:rsidP="00D41822">
      <w:r>
        <w:t>Regional Education Commissioner</w:t>
      </w:r>
    </w:p>
    <w:p w14:paraId="3D733E53" w14:textId="79F47CDA" w:rsidR="00366AD6" w:rsidRPr="00973A90" w:rsidRDefault="00B96A1D" w:rsidP="00D41822">
      <w:r>
        <w:t>19 May 2023</w:t>
      </w:r>
    </w:p>
    <w:sectPr w:rsidR="00366AD6" w:rsidRPr="00973A90" w:rsidSect="00D41822">
      <w:type w:val="continuous"/>
      <w:pgSz w:w="11906" w:h="16838"/>
      <w:pgMar w:top="99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32F95" w14:textId="77777777" w:rsidR="00B4685F" w:rsidRDefault="00B4685F" w:rsidP="0051352E">
      <w:pPr>
        <w:spacing w:after="0"/>
      </w:pPr>
      <w:r>
        <w:separator/>
      </w:r>
    </w:p>
  </w:endnote>
  <w:endnote w:type="continuationSeparator" w:id="0">
    <w:p w14:paraId="49719000" w14:textId="77777777" w:rsidR="00B4685F" w:rsidRDefault="00B4685F" w:rsidP="005135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6ADD1" w14:textId="77777777" w:rsidR="00295BAE" w:rsidRDefault="00295B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77A66" w14:textId="77777777" w:rsidR="00295BAE" w:rsidRDefault="00295B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B4DD0" w14:textId="77777777" w:rsidR="00295BAE" w:rsidRDefault="00295B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BDF55" w14:textId="77777777" w:rsidR="00B4685F" w:rsidRDefault="00B4685F" w:rsidP="0051352E">
      <w:pPr>
        <w:spacing w:after="0"/>
      </w:pPr>
      <w:r>
        <w:separator/>
      </w:r>
    </w:p>
  </w:footnote>
  <w:footnote w:type="continuationSeparator" w:id="0">
    <w:p w14:paraId="7ACDD750" w14:textId="77777777" w:rsidR="00B4685F" w:rsidRDefault="00B4685F" w:rsidP="005135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F4B0A" w14:textId="77777777" w:rsidR="00295BAE" w:rsidRDefault="00295B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635F9" w14:textId="77777777" w:rsidR="00295BAE" w:rsidRDefault="00295B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AD400" w14:textId="77777777" w:rsidR="00295BAE" w:rsidRDefault="00295B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8E0AD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3EB2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3582E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032EC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4678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4C89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F46D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FC3E4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B4C2FD2"/>
    <w:multiLevelType w:val="hybridMultilevel"/>
    <w:tmpl w:val="8B62CE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253530">
    <w:abstractNumId w:val="9"/>
  </w:num>
  <w:num w:numId="2" w16cid:durableId="2047944038">
    <w:abstractNumId w:val="7"/>
  </w:num>
  <w:num w:numId="3" w16cid:durableId="510923398">
    <w:abstractNumId w:val="6"/>
  </w:num>
  <w:num w:numId="4" w16cid:durableId="2005930655">
    <w:abstractNumId w:val="5"/>
  </w:num>
  <w:num w:numId="5" w16cid:durableId="1412778891">
    <w:abstractNumId w:val="4"/>
  </w:num>
  <w:num w:numId="6" w16cid:durableId="1639065865">
    <w:abstractNumId w:val="8"/>
  </w:num>
  <w:num w:numId="7" w16cid:durableId="2069262400">
    <w:abstractNumId w:val="3"/>
  </w:num>
  <w:num w:numId="8" w16cid:durableId="77406914">
    <w:abstractNumId w:val="2"/>
  </w:num>
  <w:num w:numId="9" w16cid:durableId="1657876633">
    <w:abstractNumId w:val="1"/>
  </w:num>
  <w:num w:numId="10" w16cid:durableId="1805194731">
    <w:abstractNumId w:val="0"/>
  </w:num>
  <w:num w:numId="11" w16cid:durableId="1654992230">
    <w:abstractNumId w:val="10"/>
  </w:num>
  <w:num w:numId="12" w16cid:durableId="617368916">
    <w:abstractNumId w:val="11"/>
  </w:num>
  <w:num w:numId="13" w16cid:durableId="84618625">
    <w:abstractNumId w:val="12"/>
  </w:num>
  <w:num w:numId="14" w16cid:durableId="1823266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71C"/>
    <w:rsid w:val="0000271C"/>
    <w:rsid w:val="00003712"/>
    <w:rsid w:val="0000642C"/>
    <w:rsid w:val="00014D97"/>
    <w:rsid w:val="0001760C"/>
    <w:rsid w:val="00020B73"/>
    <w:rsid w:val="00023D09"/>
    <w:rsid w:val="00031408"/>
    <w:rsid w:val="000352EB"/>
    <w:rsid w:val="00052BBC"/>
    <w:rsid w:val="00063064"/>
    <w:rsid w:val="00064EF4"/>
    <w:rsid w:val="00065ACF"/>
    <w:rsid w:val="000740AC"/>
    <w:rsid w:val="00081D81"/>
    <w:rsid w:val="00084B94"/>
    <w:rsid w:val="000A453D"/>
    <w:rsid w:val="000A542B"/>
    <w:rsid w:val="000B25BA"/>
    <w:rsid w:val="000B3C31"/>
    <w:rsid w:val="000B4874"/>
    <w:rsid w:val="000D0E3E"/>
    <w:rsid w:val="000D2295"/>
    <w:rsid w:val="000D3AD8"/>
    <w:rsid w:val="000D7CBD"/>
    <w:rsid w:val="000E2F58"/>
    <w:rsid w:val="000E4D6D"/>
    <w:rsid w:val="000E7323"/>
    <w:rsid w:val="000E7D7C"/>
    <w:rsid w:val="000F0F71"/>
    <w:rsid w:val="001035D0"/>
    <w:rsid w:val="00104065"/>
    <w:rsid w:val="0010764C"/>
    <w:rsid w:val="001153CF"/>
    <w:rsid w:val="001405BE"/>
    <w:rsid w:val="00153C8B"/>
    <w:rsid w:val="00153EDC"/>
    <w:rsid w:val="00155D36"/>
    <w:rsid w:val="00157F35"/>
    <w:rsid w:val="00161FF8"/>
    <w:rsid w:val="00162899"/>
    <w:rsid w:val="00176147"/>
    <w:rsid w:val="001824CC"/>
    <w:rsid w:val="0019177A"/>
    <w:rsid w:val="00194097"/>
    <w:rsid w:val="001A471C"/>
    <w:rsid w:val="001B025F"/>
    <w:rsid w:val="001C3DF5"/>
    <w:rsid w:val="001D7D9E"/>
    <w:rsid w:val="001E16E7"/>
    <w:rsid w:val="001E19DF"/>
    <w:rsid w:val="001E2FC9"/>
    <w:rsid w:val="001F36B3"/>
    <w:rsid w:val="0020285F"/>
    <w:rsid w:val="00214718"/>
    <w:rsid w:val="00217EAB"/>
    <w:rsid w:val="0022498C"/>
    <w:rsid w:val="002338E4"/>
    <w:rsid w:val="00241A32"/>
    <w:rsid w:val="00243065"/>
    <w:rsid w:val="00254BCD"/>
    <w:rsid w:val="00256202"/>
    <w:rsid w:val="00262C09"/>
    <w:rsid w:val="002679C0"/>
    <w:rsid w:val="00267D34"/>
    <w:rsid w:val="002724D0"/>
    <w:rsid w:val="0027444E"/>
    <w:rsid w:val="00287009"/>
    <w:rsid w:val="00295BAE"/>
    <w:rsid w:val="002A1AF9"/>
    <w:rsid w:val="002A28A5"/>
    <w:rsid w:val="002B1CE5"/>
    <w:rsid w:val="002B32F1"/>
    <w:rsid w:val="002B4CEC"/>
    <w:rsid w:val="002C4EFC"/>
    <w:rsid w:val="002C6A38"/>
    <w:rsid w:val="002C70CD"/>
    <w:rsid w:val="002D12A6"/>
    <w:rsid w:val="002E55C5"/>
    <w:rsid w:val="002F28FC"/>
    <w:rsid w:val="002F4DB3"/>
    <w:rsid w:val="002F5535"/>
    <w:rsid w:val="003303A3"/>
    <w:rsid w:val="0033074A"/>
    <w:rsid w:val="003344D1"/>
    <w:rsid w:val="00337EA6"/>
    <w:rsid w:val="003403FF"/>
    <w:rsid w:val="00350FFA"/>
    <w:rsid w:val="0035152D"/>
    <w:rsid w:val="00352260"/>
    <w:rsid w:val="00357B38"/>
    <w:rsid w:val="003656FD"/>
    <w:rsid w:val="00366AD6"/>
    <w:rsid w:val="00371C96"/>
    <w:rsid w:val="0037615E"/>
    <w:rsid w:val="00376347"/>
    <w:rsid w:val="00382F07"/>
    <w:rsid w:val="00385124"/>
    <w:rsid w:val="003A14CD"/>
    <w:rsid w:val="003B429A"/>
    <w:rsid w:val="003C335A"/>
    <w:rsid w:val="003C406C"/>
    <w:rsid w:val="003C6469"/>
    <w:rsid w:val="003E24FB"/>
    <w:rsid w:val="003F255B"/>
    <w:rsid w:val="00400BD3"/>
    <w:rsid w:val="00415498"/>
    <w:rsid w:val="0041698A"/>
    <w:rsid w:val="004273D7"/>
    <w:rsid w:val="00437B8C"/>
    <w:rsid w:val="004412A8"/>
    <w:rsid w:val="0044799F"/>
    <w:rsid w:val="0045093D"/>
    <w:rsid w:val="00451EAD"/>
    <w:rsid w:val="00453C04"/>
    <w:rsid w:val="00470F1B"/>
    <w:rsid w:val="0047397A"/>
    <w:rsid w:val="00473B2B"/>
    <w:rsid w:val="00497764"/>
    <w:rsid w:val="004A0112"/>
    <w:rsid w:val="004A124D"/>
    <w:rsid w:val="004C0739"/>
    <w:rsid w:val="004F4C56"/>
    <w:rsid w:val="00503DAB"/>
    <w:rsid w:val="0051352E"/>
    <w:rsid w:val="00517DA7"/>
    <w:rsid w:val="00520A33"/>
    <w:rsid w:val="00527AE4"/>
    <w:rsid w:val="00532100"/>
    <w:rsid w:val="00533C00"/>
    <w:rsid w:val="00534796"/>
    <w:rsid w:val="00541A13"/>
    <w:rsid w:val="00544954"/>
    <w:rsid w:val="005506D6"/>
    <w:rsid w:val="00572EC6"/>
    <w:rsid w:val="0058115A"/>
    <w:rsid w:val="0058185C"/>
    <w:rsid w:val="00585E1F"/>
    <w:rsid w:val="005A29CF"/>
    <w:rsid w:val="005C16E0"/>
    <w:rsid w:val="005D4FFF"/>
    <w:rsid w:val="00613C33"/>
    <w:rsid w:val="0061722D"/>
    <w:rsid w:val="00630DDF"/>
    <w:rsid w:val="00637C12"/>
    <w:rsid w:val="00644FB9"/>
    <w:rsid w:val="00653C1D"/>
    <w:rsid w:val="00663C05"/>
    <w:rsid w:val="00664E20"/>
    <w:rsid w:val="006704DF"/>
    <w:rsid w:val="0067739B"/>
    <w:rsid w:val="00690170"/>
    <w:rsid w:val="006963B2"/>
    <w:rsid w:val="006A2F2F"/>
    <w:rsid w:val="006A4799"/>
    <w:rsid w:val="006B362F"/>
    <w:rsid w:val="006B3820"/>
    <w:rsid w:val="006B7833"/>
    <w:rsid w:val="006E4122"/>
    <w:rsid w:val="006E5D6E"/>
    <w:rsid w:val="006E6B2F"/>
    <w:rsid w:val="006E6F0A"/>
    <w:rsid w:val="006E6F37"/>
    <w:rsid w:val="006F257A"/>
    <w:rsid w:val="006F2CC2"/>
    <w:rsid w:val="006F3DDD"/>
    <w:rsid w:val="006F45B3"/>
    <w:rsid w:val="006F5437"/>
    <w:rsid w:val="006F6679"/>
    <w:rsid w:val="00705D6A"/>
    <w:rsid w:val="0071211B"/>
    <w:rsid w:val="00720160"/>
    <w:rsid w:val="00721B03"/>
    <w:rsid w:val="007227B0"/>
    <w:rsid w:val="0074606D"/>
    <w:rsid w:val="00750A29"/>
    <w:rsid w:val="007522E9"/>
    <w:rsid w:val="007538F9"/>
    <w:rsid w:val="00764C9A"/>
    <w:rsid w:val="00765F78"/>
    <w:rsid w:val="007667E4"/>
    <w:rsid w:val="00775B56"/>
    <w:rsid w:val="007850DC"/>
    <w:rsid w:val="007B1ABA"/>
    <w:rsid w:val="007B4A3A"/>
    <w:rsid w:val="007B74C5"/>
    <w:rsid w:val="007C267F"/>
    <w:rsid w:val="007C6B9A"/>
    <w:rsid w:val="007D45B8"/>
    <w:rsid w:val="007E037C"/>
    <w:rsid w:val="007E23DA"/>
    <w:rsid w:val="007F08E2"/>
    <w:rsid w:val="007F1C74"/>
    <w:rsid w:val="007F4384"/>
    <w:rsid w:val="0080218E"/>
    <w:rsid w:val="00802EB3"/>
    <w:rsid w:val="008144BF"/>
    <w:rsid w:val="00820843"/>
    <w:rsid w:val="00822B47"/>
    <w:rsid w:val="00843B0B"/>
    <w:rsid w:val="00844368"/>
    <w:rsid w:val="00847F10"/>
    <w:rsid w:val="008507C1"/>
    <w:rsid w:val="00855074"/>
    <w:rsid w:val="00856481"/>
    <w:rsid w:val="0086003C"/>
    <w:rsid w:val="00861934"/>
    <w:rsid w:val="0087181E"/>
    <w:rsid w:val="008728C0"/>
    <w:rsid w:val="00883D30"/>
    <w:rsid w:val="00891564"/>
    <w:rsid w:val="008B25E7"/>
    <w:rsid w:val="008F0AC9"/>
    <w:rsid w:val="008F23F1"/>
    <w:rsid w:val="00911C19"/>
    <w:rsid w:val="00911C4D"/>
    <w:rsid w:val="009222C6"/>
    <w:rsid w:val="00930899"/>
    <w:rsid w:val="0093473D"/>
    <w:rsid w:val="0094277C"/>
    <w:rsid w:val="00945588"/>
    <w:rsid w:val="00947721"/>
    <w:rsid w:val="00951420"/>
    <w:rsid w:val="00953C0D"/>
    <w:rsid w:val="00961296"/>
    <w:rsid w:val="00961B97"/>
    <w:rsid w:val="00971B98"/>
    <w:rsid w:val="00972F57"/>
    <w:rsid w:val="00973A90"/>
    <w:rsid w:val="00974934"/>
    <w:rsid w:val="00991CA7"/>
    <w:rsid w:val="00995280"/>
    <w:rsid w:val="00996BCC"/>
    <w:rsid w:val="009B5707"/>
    <w:rsid w:val="009B6261"/>
    <w:rsid w:val="009C6FD7"/>
    <w:rsid w:val="009D4819"/>
    <w:rsid w:val="009E0CE4"/>
    <w:rsid w:val="009E4CC6"/>
    <w:rsid w:val="009E74E0"/>
    <w:rsid w:val="009F029C"/>
    <w:rsid w:val="009F7574"/>
    <w:rsid w:val="00A126AC"/>
    <w:rsid w:val="00A24E6E"/>
    <w:rsid w:val="00A3217E"/>
    <w:rsid w:val="00A41A5A"/>
    <w:rsid w:val="00A4208F"/>
    <w:rsid w:val="00A43694"/>
    <w:rsid w:val="00A43E06"/>
    <w:rsid w:val="00A504A4"/>
    <w:rsid w:val="00A546DB"/>
    <w:rsid w:val="00A56FC7"/>
    <w:rsid w:val="00A5776B"/>
    <w:rsid w:val="00A72575"/>
    <w:rsid w:val="00A74071"/>
    <w:rsid w:val="00A779B2"/>
    <w:rsid w:val="00A83C8F"/>
    <w:rsid w:val="00AA124A"/>
    <w:rsid w:val="00AA2A96"/>
    <w:rsid w:val="00AA3CEE"/>
    <w:rsid w:val="00AA5A5A"/>
    <w:rsid w:val="00AC51E0"/>
    <w:rsid w:val="00AD668A"/>
    <w:rsid w:val="00AE4CFC"/>
    <w:rsid w:val="00AE6827"/>
    <w:rsid w:val="00AF259C"/>
    <w:rsid w:val="00AF687F"/>
    <w:rsid w:val="00B100CC"/>
    <w:rsid w:val="00B177F1"/>
    <w:rsid w:val="00B27139"/>
    <w:rsid w:val="00B343B8"/>
    <w:rsid w:val="00B40BEA"/>
    <w:rsid w:val="00B4202D"/>
    <w:rsid w:val="00B428FE"/>
    <w:rsid w:val="00B43E0C"/>
    <w:rsid w:val="00B4685F"/>
    <w:rsid w:val="00B529D6"/>
    <w:rsid w:val="00B6677E"/>
    <w:rsid w:val="00B6689D"/>
    <w:rsid w:val="00B71B04"/>
    <w:rsid w:val="00B72368"/>
    <w:rsid w:val="00B85C1C"/>
    <w:rsid w:val="00B8642D"/>
    <w:rsid w:val="00B90532"/>
    <w:rsid w:val="00B9166D"/>
    <w:rsid w:val="00B96A1D"/>
    <w:rsid w:val="00B978DD"/>
    <w:rsid w:val="00BA1337"/>
    <w:rsid w:val="00BA1AAC"/>
    <w:rsid w:val="00BA3FF2"/>
    <w:rsid w:val="00BA58BF"/>
    <w:rsid w:val="00BC323C"/>
    <w:rsid w:val="00BC6949"/>
    <w:rsid w:val="00BD28F8"/>
    <w:rsid w:val="00BD3B7C"/>
    <w:rsid w:val="00BD5395"/>
    <w:rsid w:val="00BD6CC1"/>
    <w:rsid w:val="00BF0F89"/>
    <w:rsid w:val="00BF4896"/>
    <w:rsid w:val="00BF5D52"/>
    <w:rsid w:val="00BF625C"/>
    <w:rsid w:val="00BF638C"/>
    <w:rsid w:val="00C07016"/>
    <w:rsid w:val="00C16249"/>
    <w:rsid w:val="00C2624D"/>
    <w:rsid w:val="00C27386"/>
    <w:rsid w:val="00C32217"/>
    <w:rsid w:val="00C42C26"/>
    <w:rsid w:val="00C52161"/>
    <w:rsid w:val="00C54D58"/>
    <w:rsid w:val="00C573E1"/>
    <w:rsid w:val="00C861BA"/>
    <w:rsid w:val="00C907F0"/>
    <w:rsid w:val="00C95DF6"/>
    <w:rsid w:val="00CA037E"/>
    <w:rsid w:val="00CB225D"/>
    <w:rsid w:val="00CB4DAA"/>
    <w:rsid w:val="00CB6688"/>
    <w:rsid w:val="00CB7CEB"/>
    <w:rsid w:val="00CC762C"/>
    <w:rsid w:val="00CD4E01"/>
    <w:rsid w:val="00CD6A16"/>
    <w:rsid w:val="00CE0C9E"/>
    <w:rsid w:val="00D00C65"/>
    <w:rsid w:val="00D029F1"/>
    <w:rsid w:val="00D140B5"/>
    <w:rsid w:val="00D17BAE"/>
    <w:rsid w:val="00D21F93"/>
    <w:rsid w:val="00D2257A"/>
    <w:rsid w:val="00D31C84"/>
    <w:rsid w:val="00D41822"/>
    <w:rsid w:val="00D42F6B"/>
    <w:rsid w:val="00D44449"/>
    <w:rsid w:val="00D5396E"/>
    <w:rsid w:val="00D66DF7"/>
    <w:rsid w:val="00D756BF"/>
    <w:rsid w:val="00D854FC"/>
    <w:rsid w:val="00DA1B7B"/>
    <w:rsid w:val="00DA23C4"/>
    <w:rsid w:val="00DA6841"/>
    <w:rsid w:val="00DB0B7C"/>
    <w:rsid w:val="00DB79DF"/>
    <w:rsid w:val="00DC5B6E"/>
    <w:rsid w:val="00DC659F"/>
    <w:rsid w:val="00DC73CF"/>
    <w:rsid w:val="00DC79F9"/>
    <w:rsid w:val="00DE24DD"/>
    <w:rsid w:val="00DF3222"/>
    <w:rsid w:val="00E03B72"/>
    <w:rsid w:val="00E124A2"/>
    <w:rsid w:val="00E12511"/>
    <w:rsid w:val="00E21CB3"/>
    <w:rsid w:val="00E21D6C"/>
    <w:rsid w:val="00E248DB"/>
    <w:rsid w:val="00E25A6A"/>
    <w:rsid w:val="00E264BC"/>
    <w:rsid w:val="00E27C29"/>
    <w:rsid w:val="00E3079E"/>
    <w:rsid w:val="00E47002"/>
    <w:rsid w:val="00E472DE"/>
    <w:rsid w:val="00E477F8"/>
    <w:rsid w:val="00E5797B"/>
    <w:rsid w:val="00E61A24"/>
    <w:rsid w:val="00E6301F"/>
    <w:rsid w:val="00E63D77"/>
    <w:rsid w:val="00E65123"/>
    <w:rsid w:val="00E67CD1"/>
    <w:rsid w:val="00E7133D"/>
    <w:rsid w:val="00E75504"/>
    <w:rsid w:val="00E825F8"/>
    <w:rsid w:val="00E834B2"/>
    <w:rsid w:val="00E8494A"/>
    <w:rsid w:val="00EA18A9"/>
    <w:rsid w:val="00EA32F7"/>
    <w:rsid w:val="00EA64C0"/>
    <w:rsid w:val="00EB1CCB"/>
    <w:rsid w:val="00EB3A4D"/>
    <w:rsid w:val="00EC2402"/>
    <w:rsid w:val="00EC38CE"/>
    <w:rsid w:val="00EE0A11"/>
    <w:rsid w:val="00EE6E82"/>
    <w:rsid w:val="00EE7461"/>
    <w:rsid w:val="00EF7820"/>
    <w:rsid w:val="00F06456"/>
    <w:rsid w:val="00F14D59"/>
    <w:rsid w:val="00F20C85"/>
    <w:rsid w:val="00F2212A"/>
    <w:rsid w:val="00F2279A"/>
    <w:rsid w:val="00F230CD"/>
    <w:rsid w:val="00F44631"/>
    <w:rsid w:val="00F51C18"/>
    <w:rsid w:val="00F6318E"/>
    <w:rsid w:val="00F63A16"/>
    <w:rsid w:val="00F64AD2"/>
    <w:rsid w:val="00F76CFF"/>
    <w:rsid w:val="00F76D22"/>
    <w:rsid w:val="00F826B2"/>
    <w:rsid w:val="00F829D4"/>
    <w:rsid w:val="00FA31E2"/>
    <w:rsid w:val="00FB5593"/>
    <w:rsid w:val="00FB5D54"/>
    <w:rsid w:val="00FC55CE"/>
    <w:rsid w:val="00FC7CD4"/>
    <w:rsid w:val="00FF5B70"/>
    <w:rsid w:val="00FF5BB9"/>
    <w:rsid w:val="00FF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5E8CBA"/>
  <w14:defaultImageDpi w14:val="330"/>
  <w15:chartTrackingRefBased/>
  <w15:docId w15:val="{2237D480-9F78-417F-B589-05BFED96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822"/>
    <w:pPr>
      <w:spacing w:after="20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2C09"/>
    <w:pPr>
      <w:keepNext/>
      <w:keepLines/>
      <w:spacing w:before="240" w:after="240"/>
      <w:outlineLvl w:val="0"/>
    </w:pPr>
    <w:rPr>
      <w:rFonts w:ascii="Georgia Pro Light" w:eastAsiaTheme="majorEastAsia" w:hAnsi="Georgia Pro Light" w:cstheme="majorBidi"/>
      <w:b/>
      <w:color w:val="E94F35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1822"/>
    <w:pPr>
      <w:keepNext/>
      <w:keepLines/>
      <w:spacing w:before="240" w:after="0"/>
      <w:outlineLvl w:val="1"/>
    </w:pPr>
    <w:rPr>
      <w:rFonts w:eastAsiaTheme="majorEastAsia" w:cstheme="majorBidi"/>
      <w:b/>
      <w:color w:val="005CB9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1822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524D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13C33"/>
    <w:pPr>
      <w:keepNext/>
      <w:keepLines/>
      <w:spacing w:before="240" w:after="0"/>
      <w:outlineLvl w:val="3"/>
    </w:pPr>
    <w:rPr>
      <w:rFonts w:ascii="Calibri" w:eastAsiaTheme="majorEastAsia" w:hAnsi="Calibri" w:cstheme="majorBidi"/>
      <w:b/>
      <w:iCs/>
      <w:color w:val="000000" w:themeColor="text1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41822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005CB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D41822"/>
    <w:pPr>
      <w:spacing w:before="480" w:after="0"/>
    </w:pPr>
    <w:rPr>
      <w:rFonts w:eastAsiaTheme="majorEastAsia" w:cstheme="majorBidi"/>
      <w:b/>
      <w:color w:val="00524D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D41822"/>
    <w:rPr>
      <w:rFonts w:ascii="Arial" w:eastAsiaTheme="majorEastAsia" w:hAnsi="Arial" w:cstheme="majorBidi"/>
      <w:b/>
      <w:color w:val="00524D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D41822"/>
    <w:pPr>
      <w:numPr>
        <w:ilvl w:val="1"/>
      </w:numPr>
      <w:spacing w:after="360"/>
    </w:pPr>
    <w:rPr>
      <w:rFonts w:ascii="Calibri" w:eastAsiaTheme="minorEastAsia" w:hAnsi="Calibri"/>
      <w:color w:val="FF5100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D41822"/>
    <w:rPr>
      <w:rFonts w:ascii="Calibri" w:eastAsiaTheme="minorEastAsia" w:hAnsi="Calibri"/>
      <w:color w:val="FF5100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262C09"/>
    <w:rPr>
      <w:rFonts w:ascii="Georgia Pro Light" w:eastAsiaTheme="majorEastAsia" w:hAnsi="Georgia Pro Light" w:cstheme="majorBidi"/>
      <w:b/>
      <w:color w:val="E94F35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1822"/>
    <w:rPr>
      <w:rFonts w:ascii="Arial" w:eastAsiaTheme="majorEastAsia" w:hAnsi="Arial" w:cstheme="majorBidi"/>
      <w:b/>
      <w:color w:val="005CB9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41822"/>
    <w:rPr>
      <w:rFonts w:ascii="Calibri" w:eastAsiaTheme="majorEastAsia" w:hAnsi="Calibri" w:cstheme="majorBidi"/>
      <w:color w:val="00524D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13C33"/>
    <w:rPr>
      <w:rFonts w:ascii="Calibri" w:eastAsiaTheme="majorEastAsia" w:hAnsi="Calibri" w:cstheme="majorBidi"/>
      <w:b/>
      <w:iCs/>
      <w:color w:val="000000" w:themeColor="text1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D41822"/>
    <w:rPr>
      <w:rFonts w:ascii="Calibri" w:eastAsiaTheme="majorEastAsia" w:hAnsi="Calibri" w:cstheme="majorBidi"/>
      <w:color w:val="005CB9"/>
      <w:sz w:val="20"/>
    </w:rPr>
  </w:style>
  <w:style w:type="character" w:styleId="Hyperlink">
    <w:name w:val="Hyperlink"/>
    <w:basedOn w:val="DefaultParagraphFont"/>
    <w:uiPriority w:val="99"/>
    <w:unhideWhenUsed/>
    <w:qFormat/>
    <w:rsid w:val="00D41822"/>
    <w:rPr>
      <w:color w:val="005CB9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22498C"/>
    <w:rPr>
      <w:sz w:val="18"/>
    </w:rPr>
  </w:style>
  <w:style w:type="table" w:customStyle="1" w:styleId="DESE">
    <w:name w:val="DESE"/>
    <w:basedOn w:val="TableNormal"/>
    <w:uiPriority w:val="99"/>
    <w:rsid w:val="00613C33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Calibri" w:hAnsi="Calibri"/>
        <w:color w:val="FFFFFF" w:themeColor="background1"/>
      </w:rPr>
      <w:tblPr/>
      <w:tcPr>
        <w:shd w:val="clear" w:color="auto" w:fill="4F1A48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262C09"/>
    <w:pPr>
      <w:numPr>
        <w:numId w:val="11"/>
      </w:numPr>
      <w:tabs>
        <w:tab w:val="left" w:pos="714"/>
      </w:tabs>
      <w:spacing w:line="240" w:lineRule="auto"/>
    </w:pPr>
  </w:style>
  <w:style w:type="paragraph" w:styleId="ListBullet">
    <w:name w:val="List Bullet"/>
    <w:basedOn w:val="ListParagraph"/>
    <w:uiPriority w:val="99"/>
    <w:unhideWhenUsed/>
    <w:qFormat/>
    <w:rsid w:val="00973A90"/>
    <w:pPr>
      <w:numPr>
        <w:numId w:val="12"/>
      </w:numPr>
      <w:spacing w:line="240" w:lineRule="auto"/>
    </w:pPr>
  </w:style>
  <w:style w:type="paragraph" w:styleId="List">
    <w:name w:val="List"/>
    <w:basedOn w:val="ListBullet"/>
    <w:uiPriority w:val="99"/>
    <w:unhideWhenUsed/>
    <w:qFormat/>
    <w:rsid w:val="00A56FC7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262C09"/>
    <w:pPr>
      <w:tabs>
        <w:tab w:val="center" w:pos="4513"/>
        <w:tab w:val="right" w:pos="9026"/>
      </w:tabs>
      <w:spacing w:after="0"/>
    </w:pPr>
    <w:rPr>
      <w:color w:val="4F1A48"/>
    </w:rPr>
  </w:style>
  <w:style w:type="character" w:customStyle="1" w:styleId="FooterChar">
    <w:name w:val="Footer Char"/>
    <w:basedOn w:val="DefaultParagraphFont"/>
    <w:link w:val="Footer"/>
    <w:uiPriority w:val="99"/>
    <w:rsid w:val="00262C09"/>
    <w:rPr>
      <w:color w:val="4F1A48"/>
    </w:rPr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paragraph" w:styleId="ListBullet2">
    <w:name w:val="List Bullet 2"/>
    <w:basedOn w:val="Normal"/>
    <w:uiPriority w:val="99"/>
    <w:rsid w:val="00262C09"/>
    <w:pPr>
      <w:numPr>
        <w:numId w:val="2"/>
      </w:numPr>
      <w:tabs>
        <w:tab w:val="clear" w:pos="643"/>
        <w:tab w:val="left" w:pos="714"/>
      </w:tabs>
      <w:ind w:left="714" w:hanging="357"/>
      <w:contextualSpacing/>
    </w:pPr>
  </w:style>
  <w:style w:type="paragraph" w:customStyle="1" w:styleId="NameandTitle">
    <w:name w:val="Name and Title"/>
    <w:basedOn w:val="Normal"/>
    <w:qFormat/>
    <w:rsid w:val="00D41822"/>
    <w:pPr>
      <w:spacing w:after="0"/>
    </w:pPr>
    <w:rPr>
      <w:b/>
      <w:sz w:val="14"/>
    </w:rPr>
  </w:style>
  <w:style w:type="paragraph" w:customStyle="1" w:styleId="Addressandemail">
    <w:name w:val="Address and email"/>
    <w:basedOn w:val="Normal"/>
    <w:qFormat/>
    <w:rsid w:val="00D41822"/>
    <w:pPr>
      <w:spacing w:after="1600"/>
    </w:pPr>
    <w:rPr>
      <w:sz w:val="14"/>
    </w:rPr>
  </w:style>
  <w:style w:type="character" w:styleId="UnresolvedMention">
    <w:name w:val="Unresolved Mention"/>
    <w:basedOn w:val="DefaultParagraphFont"/>
    <w:uiPriority w:val="99"/>
    <w:semiHidden/>
    <w:unhideWhenUsed/>
    <w:rsid w:val="003C406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F5535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7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education.gov.au/regional-education-commissioner/resources/regional-education-commissioner-annual-report-2022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vu.edu.au/mitchell-institute/early-learning/childcare-deserts-oases-how-accessible-is-childcare-in-australi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education.gov.au/child-care-package/child-care-subsidy/approved-care-types/home-car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Work%20in%20Progress\_Education\ESE21-0647%20Regional%20Education%20Commissioner%20-%20Style%20Guide\ESE21-0647%20Regional%20Education%20Commissioner%20-%20Letterhead_01.dotx" TargetMode="External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2931130CE4140B1D2F07F360CDFAE" ma:contentTypeVersion="9" ma:contentTypeDescription="Create a new document." ma:contentTypeScope="" ma:versionID="ed4d91adf9e3ae4d6502dfc8c93b4cf5">
  <xsd:schema xmlns:xsd="http://www.w3.org/2001/XMLSchema" xmlns:xs="http://www.w3.org/2001/XMLSchema" xmlns:p="http://schemas.microsoft.com/office/2006/metadata/properties" xmlns:ns2="ec91ab06-9460-473b-bf7c-09335e1bf025" xmlns:ns3="2bd5b147-e2fe-42ef-8982-611885f66b98" targetNamespace="http://schemas.microsoft.com/office/2006/metadata/properties" ma:root="true" ma:fieldsID="fe46454fce874853cbba49110608e108" ns2:_="" ns3:_="">
    <xsd:import namespace="ec91ab06-9460-473b-bf7c-09335e1bf025"/>
    <xsd:import namespace="2bd5b147-e2fe-42ef-8982-611885f66b98"/>
    <xsd:element name="properties">
      <xsd:complexType>
        <xsd:sequence>
          <xsd:element name="documentManagement">
            <xsd:complexType>
              <xsd:all>
                <xsd:element ref="ns2:i0f84bba906045b4af568ee102a52dcb" minOccurs="0"/>
                <xsd:element ref="ns2:TaxCatchAl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1ab06-9460-473b-bf7c-09335e1bf025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9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b80c315-4e65-4437-a2d2-54bdda5e4455}" ma:internalName="TaxCatchAll" ma:showField="CatchAllData" ma:web="ec91ab06-9460-473b-bf7c-09335e1bf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5b147-e2fe-42ef-8982-611885f66b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91ab06-9460-473b-bf7c-09335e1bf025">
      <Value>1</Value>
    </TaxCatchAll>
    <i0f84bba906045b4af568ee102a52dcb xmlns="ec91ab06-9460-473b-bf7c-09335e1bf0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7B5412-8C6F-4B79-BE2C-D623EFC5A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1ab06-9460-473b-bf7c-09335e1bf025"/>
    <ds:schemaRef ds:uri="2bd5b147-e2fe-42ef-8982-611885f66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CD6226-3EAF-46C5-B0F2-A2410F074527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2bd5b147-e2fe-42ef-8982-611885f66b98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ec91ab06-9460-473b-bf7c-09335e1bf025"/>
  </ds:schemaRefs>
</ds:datastoreItem>
</file>

<file path=customXml/itemProps3.xml><?xml version="1.0" encoding="utf-8"?>
<ds:datastoreItem xmlns:ds="http://schemas.openxmlformats.org/officeDocument/2006/customXml" ds:itemID="{B94B59C6-6502-4106-89B2-AE68986461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ESE21-0647 Regional Education Commissioner - Letterhead_01</Template>
  <TotalTime>1</TotalTime>
  <Pages>2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102 - Regional Education Commissioner - Early Childhood Education and Care - Public inquiry</vt:lpstr>
    </vt:vector>
  </TitlesOfParts>
  <Company>Regional Education Commissioner</Company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102 - Regional Education Commissioner - Early Childhood Education and Care - Public inquiry</dc:title>
  <dc:subject/>
  <dc:creator>Regional Education Commissioner</dc:creator>
  <cp:keywords/>
  <dc:description/>
  <cp:lastModifiedBy>Chris Alston</cp:lastModifiedBy>
  <cp:revision>2</cp:revision>
  <dcterms:created xsi:type="dcterms:W3CDTF">2023-05-23T23:24:00Z</dcterms:created>
  <dcterms:modified xsi:type="dcterms:W3CDTF">2023-05-24T03:54:00Z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0x01010043D2931130CE4140B1D2F07F360CDFAE</vt:lpwstr>
  </property>
  <property fmtid="{D5CDD505-2E9C-101B-9397-08002B2CF9AE}" pid="3" name="ItemKeywords">
    <vt:lpwstr/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  <property fmtid="{D5CDD505-2E9C-101B-9397-08002B2CF9AE}" pid="6" name="MSIP_Label_5f877481-9e35-4b68-b667-876a73c6db41_Enabled">
    <vt:lpwstr>true</vt:lpwstr>
  </property>
  <property fmtid="{D5CDD505-2E9C-101B-9397-08002B2CF9AE}" pid="7" name="MSIP_Label_5f877481-9e35-4b68-b667-876a73c6db41_SetDate">
    <vt:lpwstr>2023-05-15T13:56:16Z</vt:lpwstr>
  </property>
  <property fmtid="{D5CDD505-2E9C-101B-9397-08002B2CF9AE}" pid="8" name="MSIP_Label_5f877481-9e35-4b68-b667-876a73c6db41_Method">
    <vt:lpwstr>Privileged</vt:lpwstr>
  </property>
  <property fmtid="{D5CDD505-2E9C-101B-9397-08002B2CF9AE}" pid="9" name="MSIP_Label_5f877481-9e35-4b68-b667-876a73c6db41_Name">
    <vt:lpwstr>5f877481-9e35-4b68-b667-876a73c6db41</vt:lpwstr>
  </property>
  <property fmtid="{D5CDD505-2E9C-101B-9397-08002B2CF9AE}" pid="10" name="MSIP_Label_5f877481-9e35-4b68-b667-876a73c6db41_SiteId">
    <vt:lpwstr>dd0cfd15-4558-4b12-8bad-ea26984fc417</vt:lpwstr>
  </property>
  <property fmtid="{D5CDD505-2E9C-101B-9397-08002B2CF9AE}" pid="11" name="MSIP_Label_5f877481-9e35-4b68-b667-876a73c6db41_ActionId">
    <vt:lpwstr>e03cf903-b27b-406b-94e0-c79dfea01bb7</vt:lpwstr>
  </property>
  <property fmtid="{D5CDD505-2E9C-101B-9397-08002B2CF9AE}" pid="12" name="MSIP_Label_5f877481-9e35-4b68-b667-876a73c6db41_ContentBits">
    <vt:lpwstr>0</vt:lpwstr>
  </property>
  <property fmtid="{D5CDD505-2E9C-101B-9397-08002B2CF9AE}" pid="13" name="RevIMBCS">
    <vt:lpwstr>1;#Unclassified|3955eeb1-2d18-4582-aeb2-00144ec3aaf5</vt:lpwstr>
  </property>
</Properties>
</file>