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ED1" w:rsidRDefault="00AE0BCE" w:rsidP="00AE0BCE">
      <w:pPr>
        <w:pStyle w:val="Chapter"/>
        <w:ind w:left="907" w:hanging="907"/>
      </w:pPr>
      <w:bookmarkStart w:id="0" w:name="_AppendixNotByChapter"/>
      <w:bookmarkStart w:id="1" w:name="ChapterNumber"/>
      <w:bookmarkEnd w:id="0"/>
      <w:r>
        <w:t>E</w:t>
      </w:r>
      <w:bookmarkEnd w:id="1"/>
      <w:r>
        <w:tab/>
      </w:r>
      <w:bookmarkStart w:id="2" w:name="ChapterTitle"/>
      <w:r>
        <w:t>Supporting research and related activities</w:t>
      </w:r>
      <w:bookmarkEnd w:id="2"/>
    </w:p>
    <w:p w:rsidR="009E1ED1" w:rsidRPr="0063784B" w:rsidRDefault="009E1ED1" w:rsidP="00B61021">
      <w:pPr>
        <w:pStyle w:val="BodyText"/>
        <w:spacing w:before="200"/>
      </w:pPr>
      <w:bookmarkStart w:id="3" w:name="begin"/>
      <w:bookmarkEnd w:id="3"/>
      <w:r w:rsidRPr="0063784B">
        <w:t>The Commission’s supporting research program encompasses a range of activities. This appendix provides</w:t>
      </w:r>
      <w:r w:rsidR="00CB6AAB" w:rsidRPr="0063784B">
        <w:t xml:space="preserve"> brief summaries of Staff Working P</w:t>
      </w:r>
      <w:r w:rsidRPr="0063784B">
        <w:t>apers</w:t>
      </w:r>
      <w:r w:rsidR="0094559B" w:rsidRPr="0063784B">
        <w:t xml:space="preserve"> released in the year.</w:t>
      </w:r>
      <w:r w:rsidRPr="0063784B">
        <w:t xml:space="preserve"> It also lists the presentations given by the Chairman, Commissioners and staff to parliamentary committees, c</w:t>
      </w:r>
      <w:bookmarkStart w:id="4" w:name="_GoBack"/>
      <w:bookmarkEnd w:id="4"/>
      <w:r w:rsidRPr="0063784B">
        <w:t>onferences and industry and community groups in 20</w:t>
      </w:r>
      <w:r w:rsidR="006A69EC" w:rsidRPr="0063784B">
        <w:t>1</w:t>
      </w:r>
      <w:r w:rsidR="00814771" w:rsidRPr="0063784B">
        <w:t>1</w:t>
      </w:r>
      <w:r w:rsidRPr="0063784B">
        <w:t>-</w:t>
      </w:r>
      <w:r w:rsidR="009D7078" w:rsidRPr="0063784B">
        <w:t>1</w:t>
      </w:r>
      <w:r w:rsidR="00814771" w:rsidRPr="0063784B">
        <w:t>2</w:t>
      </w:r>
      <w:r w:rsidR="00CB6AAB" w:rsidRPr="0063784B">
        <w:t>, as well as briefings to international visitors</w:t>
      </w:r>
      <w:r w:rsidRPr="0063784B">
        <w:t>.</w:t>
      </w:r>
    </w:p>
    <w:p w:rsidR="009E1ED1" w:rsidRPr="0063784B" w:rsidRDefault="009E1ED1">
      <w:pPr>
        <w:pStyle w:val="Heading2"/>
      </w:pPr>
      <w:r w:rsidRPr="0063784B">
        <w:t>Staff working papers</w:t>
      </w:r>
    </w:p>
    <w:p w:rsidR="009E1ED1" w:rsidRPr="0063784B" w:rsidRDefault="009E1ED1" w:rsidP="00B72D76">
      <w:pPr>
        <w:pStyle w:val="BodyText"/>
        <w:keepNext/>
        <w:rPr>
          <w:i/>
        </w:rPr>
      </w:pPr>
      <w:r w:rsidRPr="0063784B">
        <w:rPr>
          <w:i/>
        </w:rPr>
        <w:t>Note: The views expressed in staff working papers are those of the authors and do not necessarily reflect the views of the Productivity Commission</w:t>
      </w:r>
      <w:r w:rsidR="00B104C2" w:rsidRPr="0063784B">
        <w:rPr>
          <w:i/>
        </w:rPr>
        <w:t>.</w:t>
      </w:r>
    </w:p>
    <w:p w:rsidR="00E3570A" w:rsidRPr="0063784B" w:rsidRDefault="00E3570A" w:rsidP="00E3570A">
      <w:pPr>
        <w:pStyle w:val="Heading3"/>
      </w:pPr>
      <w:r w:rsidRPr="0063784B">
        <w:t>Multifactor Productivity Growth Cycles at the Industry Level</w:t>
      </w:r>
    </w:p>
    <w:p w:rsidR="00E3570A" w:rsidRPr="0063784B" w:rsidRDefault="00E3570A" w:rsidP="00E3570A">
      <w:pPr>
        <w:pStyle w:val="BodyText"/>
        <w:rPr>
          <w:i/>
        </w:rPr>
      </w:pPr>
      <w:r w:rsidRPr="0063784B">
        <w:rPr>
          <w:i/>
        </w:rPr>
        <w:t>Paula Barnes, July 2011</w:t>
      </w:r>
    </w:p>
    <w:p w:rsidR="00E3570A" w:rsidRPr="0063784B" w:rsidRDefault="00E3570A" w:rsidP="00E3570A">
      <w:pPr>
        <w:pStyle w:val="BodyText"/>
      </w:pPr>
      <w:r w:rsidRPr="0063784B">
        <w:t>This staff working paper examined multifactor productivity growth cycles at the industry level in Australia. There is considerable variation in industry-specific cycles across industries and the market sector. Moreover, the cycles chosen to examine industry MFP growth can have a considerable effect on the interpretation of industry productivity performance over time.</w:t>
      </w:r>
    </w:p>
    <w:p w:rsidR="00E3570A" w:rsidRPr="0063784B" w:rsidRDefault="00E3570A" w:rsidP="00E3570A">
      <w:pPr>
        <w:pStyle w:val="BodyText"/>
      </w:pPr>
      <w:r w:rsidRPr="0063784B">
        <w:t>Key points of the paper included:</w:t>
      </w:r>
    </w:p>
    <w:p w:rsidR="00160594" w:rsidRPr="0063784B" w:rsidRDefault="00160594" w:rsidP="00160594">
      <w:pPr>
        <w:pStyle w:val="ListBullet"/>
      </w:pPr>
      <w:r w:rsidRPr="0063784B">
        <w:t>Understanding productivity performance and its drivers at the aggregate market sector level requires a closer examination of the underlying productivity performance of individual industry sectors. But interpreting movements in both aggregate and industry productivity measures is not entirely straightforward.</w:t>
      </w:r>
    </w:p>
    <w:p w:rsidR="00160594" w:rsidRPr="0063784B" w:rsidRDefault="00160594" w:rsidP="00160594">
      <w:pPr>
        <w:pStyle w:val="ListBullet"/>
      </w:pPr>
      <w:r w:rsidRPr="0063784B">
        <w:t>Year-to-year changes in measured multifactor productivity (MFP) reflect not only technological progress, but also many other temporary influences.</w:t>
      </w:r>
    </w:p>
    <w:p w:rsidR="00160594" w:rsidRPr="0063784B" w:rsidRDefault="00160594" w:rsidP="00160594">
      <w:pPr>
        <w:pStyle w:val="ListBullet2"/>
      </w:pPr>
      <w:r w:rsidRPr="0063784B">
        <w:t>One important such influence is change in the utilisation rate of capital that, because of limited data, is not measured as a change in inputs but instead appears as a change in measured MFP.</w:t>
      </w:r>
    </w:p>
    <w:p w:rsidR="00160594" w:rsidRPr="0063784B" w:rsidRDefault="00160594" w:rsidP="00160594">
      <w:pPr>
        <w:pStyle w:val="ListBullet"/>
      </w:pPr>
      <w:r w:rsidRPr="0063784B">
        <w:lastRenderedPageBreak/>
        <w:t>A common approach when interpreting movements in MFP is to attempt to abstract from these temporary influences through longer-term averaging of measured growth. The Australian Bureau of Statistics (ABS) identifies periods over which to best examine market sector MFP. These are called ‘MFP growth cycles’ or ‘peak-to-peak periods’.</w:t>
      </w:r>
    </w:p>
    <w:p w:rsidR="00160594" w:rsidRPr="0063784B" w:rsidRDefault="00160594" w:rsidP="00160594">
      <w:pPr>
        <w:pStyle w:val="ListBullet2"/>
      </w:pPr>
      <w:r w:rsidRPr="0063784B">
        <w:t>The ABS identifies these periods by reference to peak deviations from trend MFP and to general economic conditions at the time.</w:t>
      </w:r>
    </w:p>
    <w:p w:rsidR="00160594" w:rsidRPr="0063784B" w:rsidRDefault="00160594" w:rsidP="00160594">
      <w:pPr>
        <w:pStyle w:val="ListBullet2"/>
      </w:pPr>
      <w:r w:rsidRPr="0063784B">
        <w:t>It is potentially misleading to use MFP cycles for the aggregate market sector for analysing industry MFP over time, as the influences affecting deviations from trend vary across industries.</w:t>
      </w:r>
    </w:p>
    <w:p w:rsidR="00160594" w:rsidRPr="0063784B" w:rsidRDefault="00160594" w:rsidP="00160594">
      <w:pPr>
        <w:pStyle w:val="ListBullet"/>
      </w:pPr>
      <w:r w:rsidRPr="0063784B">
        <w:t>Detailed industry studies would be able to provide information to aid in the identification of industry cycles. However, in the absence of such information, the ABS method for identifying MFP growth cycles for the market sector can be made more mechanical and generic so it can be applied to a range of industries. This modified approach includes:</w:t>
      </w:r>
    </w:p>
    <w:p w:rsidR="00160594" w:rsidRPr="0063784B" w:rsidRDefault="00160594" w:rsidP="00160594">
      <w:pPr>
        <w:pStyle w:val="ListBullet2"/>
      </w:pPr>
      <w:r w:rsidRPr="0063784B">
        <w:t>a uniform set of rules for selecting which peak deviations are to be used in industry MFP growth cycles — including taking account of the robustness of peak deviations to alternative trend estimates</w:t>
      </w:r>
    </w:p>
    <w:p w:rsidR="00160594" w:rsidRPr="0063784B" w:rsidRDefault="00160594" w:rsidP="00160594">
      <w:pPr>
        <w:pStyle w:val="ListBullet2"/>
      </w:pPr>
      <w:r w:rsidRPr="0063784B">
        <w:t>flagging where the selection of specific peak deviations may benefit from further investigation in industry-specific studies.</w:t>
      </w:r>
    </w:p>
    <w:p w:rsidR="00160594" w:rsidRPr="0063784B" w:rsidRDefault="00160594" w:rsidP="00160594">
      <w:pPr>
        <w:pStyle w:val="ListBullet"/>
      </w:pPr>
      <w:r w:rsidRPr="0063784B">
        <w:t>Applying this modified approach at the industry level suggests that there is considerable variation in industry-specific cycles.</w:t>
      </w:r>
    </w:p>
    <w:p w:rsidR="00160594" w:rsidRPr="0063784B" w:rsidRDefault="00160594" w:rsidP="00160594">
      <w:pPr>
        <w:pStyle w:val="ListBullet2"/>
      </w:pPr>
      <w:r w:rsidRPr="0063784B">
        <w:t>Less than a quarter of the industry cycles coincide with market sector cycles. For example, industries including Agriculture, forestry &amp; fishing, Mining, and Wholesale trade have no cycles in common with the market sector, while all cycles identified for Manufacturing coincide with those for the market sector.</w:t>
      </w:r>
    </w:p>
    <w:p w:rsidR="00160594" w:rsidRPr="0063784B" w:rsidRDefault="00160594" w:rsidP="00160594">
      <w:pPr>
        <w:pStyle w:val="ListBullet2"/>
      </w:pPr>
      <w:r w:rsidRPr="0063784B">
        <w:t>For both Mining and Wholesale trade, a period of negative MFP growth over a market sector cycle is actually a period of positive MFP growth over the closest industry-specific cycle.</w:t>
      </w:r>
    </w:p>
    <w:p w:rsidR="00160594" w:rsidRPr="0063784B" w:rsidRDefault="00160594" w:rsidP="00160594">
      <w:pPr>
        <w:pStyle w:val="ListBullet"/>
      </w:pPr>
      <w:r w:rsidRPr="0063784B">
        <w:t>This approach provides a generic method for the identification of industry cycles, but the paper also notes the scope for further refinement in the identification of cycles where more detailed industry-specific information is available.</w:t>
      </w:r>
    </w:p>
    <w:p w:rsidR="00E3570A" w:rsidRPr="0063784B" w:rsidRDefault="00E3570A" w:rsidP="00E3570A">
      <w:pPr>
        <w:pStyle w:val="BodyText"/>
      </w:pPr>
    </w:p>
    <w:p w:rsidR="00206B81" w:rsidRPr="0063784B" w:rsidRDefault="00160594" w:rsidP="006D3849">
      <w:pPr>
        <w:pStyle w:val="Heading3"/>
      </w:pPr>
      <w:r w:rsidRPr="0063784B">
        <w:lastRenderedPageBreak/>
        <w:t>Influences on Indigenous Labour Market Outcomes</w:t>
      </w:r>
    </w:p>
    <w:p w:rsidR="00160594" w:rsidRPr="0063784B" w:rsidRDefault="00160594" w:rsidP="00160594">
      <w:pPr>
        <w:pStyle w:val="BodyText"/>
        <w:rPr>
          <w:i/>
        </w:rPr>
      </w:pPr>
      <w:r w:rsidRPr="0063784B">
        <w:rPr>
          <w:i/>
        </w:rPr>
        <w:t>Annie Savvas, Clare Boulton and Ellie Jepsen, December 2011</w:t>
      </w:r>
    </w:p>
    <w:p w:rsidR="00160594" w:rsidRPr="0063784B" w:rsidRDefault="00160594" w:rsidP="00160594">
      <w:pPr>
        <w:pStyle w:val="BodyText"/>
      </w:pPr>
      <w:r w:rsidRPr="0063784B">
        <w:t>This paper used data from the 2008 National Aboriginal and Torres Strait Islander Social Survey (</w:t>
      </w:r>
      <w:proofErr w:type="spellStart"/>
      <w:r w:rsidRPr="0063784B">
        <w:t>NATSISS</w:t>
      </w:r>
      <w:proofErr w:type="spellEnd"/>
      <w:r w:rsidRPr="0063784B">
        <w:t>) to model the links between various personal characteristics and activities, and four Indigenous labour market outcomes. As causality may run in either direction, results are interpreted as associations.</w:t>
      </w:r>
    </w:p>
    <w:p w:rsidR="00160594" w:rsidRPr="0063784B" w:rsidRDefault="00160594" w:rsidP="00160594">
      <w:pPr>
        <w:pStyle w:val="BodyText"/>
      </w:pPr>
      <w:r w:rsidRPr="0063784B">
        <w:t>Key points from the paper were:</w:t>
      </w:r>
    </w:p>
    <w:p w:rsidR="00160594" w:rsidRPr="0063784B" w:rsidRDefault="00160594" w:rsidP="00160594">
      <w:pPr>
        <w:pStyle w:val="ListBullet"/>
      </w:pPr>
      <w:r w:rsidRPr="0063784B">
        <w:t xml:space="preserve">Results typically differ between men and women, in part because of different responsibilities in relation to child rearing, broader family responsibilities and other specialisation in unpaid work. Of these differences, the most notable were those for educational attainment. Results suggest that for women, attainment of year 10 or above is associated with a higher probability of employment and labour force participation, whereas this is less evident for men. </w:t>
      </w:r>
    </w:p>
    <w:p w:rsidR="00160594" w:rsidRPr="0063784B" w:rsidRDefault="00160594" w:rsidP="00160594">
      <w:pPr>
        <w:pStyle w:val="ListBullet"/>
      </w:pPr>
      <w:r w:rsidRPr="0063784B">
        <w:t xml:space="preserve">Results confirm findings from previous research that other human capital factors, such as good health, are positively associated with Indigenous employment and labour force participation. </w:t>
      </w:r>
    </w:p>
    <w:p w:rsidR="00160594" w:rsidRPr="0063784B" w:rsidRDefault="00160594" w:rsidP="00160594">
      <w:pPr>
        <w:pStyle w:val="ListBullet"/>
      </w:pPr>
      <w:r w:rsidRPr="0063784B">
        <w:t>Arrest and imprisonment were found to be negatively associated with Indigenous employment and labour force participation. A history of arrest was found to have a larger negative association with employment for women compared to men.</w:t>
      </w:r>
    </w:p>
    <w:p w:rsidR="00160594" w:rsidRPr="0063784B" w:rsidRDefault="00160594" w:rsidP="00160594">
      <w:pPr>
        <w:pStyle w:val="ListBullet"/>
      </w:pPr>
      <w:r w:rsidRPr="0063784B">
        <w:t xml:space="preserve">Models that omit personal characteristics that might determine an individual’s labour supply (such as ability, motivation and preferences) are likely to produce biased estimates of the effect of the human capital factors that are included in the model (such as education, health and disability). </w:t>
      </w:r>
    </w:p>
    <w:p w:rsidR="00160594" w:rsidRPr="0063784B" w:rsidRDefault="00160594" w:rsidP="00160594">
      <w:pPr>
        <w:pStyle w:val="ListBullet2"/>
      </w:pPr>
      <w:r w:rsidRPr="0063784B">
        <w:t xml:space="preserve">One benefit of including variables in the model that represent cultural and social engagement is that they may act as proxies for unobserved personal characteristics, reducing the impact of this source of bias. </w:t>
      </w:r>
    </w:p>
    <w:p w:rsidR="00160594" w:rsidRPr="0063784B" w:rsidRDefault="00160594" w:rsidP="00160594">
      <w:pPr>
        <w:pStyle w:val="ListBullet"/>
      </w:pPr>
      <w:r w:rsidRPr="0063784B">
        <w:t xml:space="preserve">The cultural and social engagement factors were found to have statistically significant associations with Indigenous labour market outcomes for women, but not for men. </w:t>
      </w:r>
    </w:p>
    <w:p w:rsidR="00160594" w:rsidRPr="0063784B" w:rsidRDefault="00160594" w:rsidP="00160594">
      <w:pPr>
        <w:pStyle w:val="ListBullet2"/>
      </w:pPr>
      <w:r w:rsidRPr="0063784B">
        <w:t>For women there were positive associations between employment and labour force participation, and engagement in social cultural events and the provision of support outside the household.</w:t>
      </w:r>
    </w:p>
    <w:p w:rsidR="00160594" w:rsidRPr="0063784B" w:rsidRDefault="00160594" w:rsidP="00160594">
      <w:pPr>
        <w:pStyle w:val="ListBullet"/>
      </w:pPr>
      <w:r w:rsidRPr="0063784B">
        <w:t>A greater understanding of the links between social capital and labour market outcomes could be explored using alternative econometric models. However, there are limits to the indicators that can be derived from the data.</w:t>
      </w:r>
    </w:p>
    <w:p w:rsidR="00EB48CA" w:rsidRPr="0063784B" w:rsidRDefault="00EB48CA" w:rsidP="00EB48CA">
      <w:pPr>
        <w:pStyle w:val="Heading3"/>
      </w:pPr>
      <w:r w:rsidRPr="0063784B">
        <w:lastRenderedPageBreak/>
        <w:t>Productivity in Electricity, Gas and Water: Measurement and Interpretation</w:t>
      </w:r>
    </w:p>
    <w:p w:rsidR="00160594" w:rsidRPr="0063784B" w:rsidRDefault="00EB48CA" w:rsidP="00160594">
      <w:pPr>
        <w:pStyle w:val="BodyText"/>
        <w:rPr>
          <w:i/>
        </w:rPr>
      </w:pPr>
      <w:r w:rsidRPr="0063784B">
        <w:rPr>
          <w:i/>
        </w:rPr>
        <w:t>Vernon Topp and Tony Kulys, April 2012</w:t>
      </w:r>
    </w:p>
    <w:p w:rsidR="00EB48CA" w:rsidRPr="0063784B" w:rsidRDefault="00EB48CA" w:rsidP="00EB48CA">
      <w:pPr>
        <w:pStyle w:val="BodyText"/>
      </w:pPr>
      <w:r w:rsidRPr="0063784B">
        <w:rPr>
          <w:rFonts w:ascii="TimesNewRoman" w:hAnsi="TimesNewRoman" w:cs="TimesNewRoman"/>
          <w:szCs w:val="26"/>
        </w:rPr>
        <w:t xml:space="preserve">This staff working paper examined </w:t>
      </w:r>
      <w:r w:rsidRPr="0063784B">
        <w:t xml:space="preserve">productivity trends in the Australian utilities industry and highlighted some significant issues relating to the measurement and interpretation of changes in measured productivity over time. </w:t>
      </w:r>
    </w:p>
    <w:p w:rsidR="00EB48CA" w:rsidRPr="0063784B" w:rsidRDefault="00EB48CA" w:rsidP="00EB48CA">
      <w:pPr>
        <w:pStyle w:val="BodyText"/>
      </w:pPr>
      <w:r w:rsidRPr="0063784B">
        <w:t>Key points from the paper included:</w:t>
      </w:r>
    </w:p>
    <w:p w:rsidR="00EB48CA" w:rsidRPr="0063784B" w:rsidRDefault="00EB48CA" w:rsidP="006C512D">
      <w:pPr>
        <w:pStyle w:val="ListBullet"/>
      </w:pPr>
      <w:r w:rsidRPr="0063784B">
        <w:t>Multifactor productivity (MFP) growth in Australia’s market sector has been considerably below average since 2003-04. Utilities (Electricity, Gas, Water and Waste services), have played a significant role in this, with MFP growth being strongly negative between 1997-98 and 2009-10 (MFP falling, on average, by 3.2 per cent per year).</w:t>
      </w:r>
    </w:p>
    <w:p w:rsidR="00EB48CA" w:rsidRPr="0063784B" w:rsidRDefault="00EB48CA" w:rsidP="006C512D">
      <w:pPr>
        <w:pStyle w:val="ListBullet"/>
      </w:pPr>
      <w:r w:rsidRPr="0063784B">
        <w:t>To better understand why, this study examined MFP at the subdivision level, with a particular focus on the two largest subdivisions — Electricity supply (</w:t>
      </w:r>
      <w:proofErr w:type="spellStart"/>
      <w:r w:rsidRPr="0063784B">
        <w:t>ES</w:t>
      </w:r>
      <w:proofErr w:type="spellEnd"/>
      <w:r w:rsidRPr="0063784B">
        <w:t>), and Water supply, sewerage and drainage services (</w:t>
      </w:r>
      <w:proofErr w:type="spellStart"/>
      <w:r w:rsidRPr="0063784B">
        <w:t>WSSD</w:t>
      </w:r>
      <w:proofErr w:type="spellEnd"/>
      <w:r w:rsidRPr="0063784B">
        <w:t xml:space="preserve">). MFP growth between 1997-98 and 2009-10 was negative for both </w:t>
      </w:r>
      <w:proofErr w:type="spellStart"/>
      <w:r w:rsidRPr="0063784B">
        <w:t>ES</w:t>
      </w:r>
      <w:proofErr w:type="spellEnd"/>
      <w:r w:rsidRPr="0063784B">
        <w:t xml:space="preserve"> (on average, -2.7 per cent per year) and </w:t>
      </w:r>
      <w:proofErr w:type="spellStart"/>
      <w:r w:rsidRPr="0063784B">
        <w:t>WSSD</w:t>
      </w:r>
      <w:proofErr w:type="spellEnd"/>
      <w:r w:rsidRPr="0063784B">
        <w:t xml:space="preserve"> (-4.3 per cent per year).</w:t>
      </w:r>
    </w:p>
    <w:p w:rsidR="00EB48CA" w:rsidRPr="0063784B" w:rsidRDefault="00EB48CA" w:rsidP="006C512D">
      <w:pPr>
        <w:pStyle w:val="ListBullet"/>
      </w:pPr>
      <w:r w:rsidRPr="0063784B">
        <w:t xml:space="preserve">Around half of the MFP decline in </w:t>
      </w:r>
      <w:proofErr w:type="spellStart"/>
      <w:r w:rsidRPr="0063784B">
        <w:t>ES</w:t>
      </w:r>
      <w:proofErr w:type="spellEnd"/>
      <w:r w:rsidRPr="0063784B">
        <w:t xml:space="preserve"> was due to an increase in the ratio of peak to average electricity demand, which lowered average rates of capacity utilisation. This was largely attributable to rapid growth in household use of </w:t>
      </w:r>
      <w:proofErr w:type="spellStart"/>
      <w:r w:rsidRPr="0063784B">
        <w:t>airconditioners</w:t>
      </w:r>
      <w:proofErr w:type="spellEnd"/>
      <w:r w:rsidRPr="0063784B">
        <w:t xml:space="preserve">. </w:t>
      </w:r>
    </w:p>
    <w:p w:rsidR="00EB48CA" w:rsidRPr="0063784B" w:rsidRDefault="00EB48CA" w:rsidP="006C512D">
      <w:pPr>
        <w:pStyle w:val="ListBullet2"/>
      </w:pPr>
      <w:r w:rsidRPr="0063784B">
        <w:t>Three other contributors were: cyclical investment in lumpy capital assets, which temporarily increased inputs ahead of growth in output; a shift to greater undergrounding of electricity cabling, which raised costs and the quality of output, but not the volume of measured output; and policy induced shifts away from coal-fired power to higher-cost, but less polluting, sources of new supply.</w:t>
      </w:r>
    </w:p>
    <w:p w:rsidR="00EB48CA" w:rsidRPr="0063784B" w:rsidRDefault="00EB48CA" w:rsidP="006C512D">
      <w:pPr>
        <w:pStyle w:val="ListBullet"/>
      </w:pPr>
      <w:r w:rsidRPr="0063784B">
        <w:t xml:space="preserve">In </w:t>
      </w:r>
      <w:proofErr w:type="spellStart"/>
      <w:r w:rsidRPr="0063784B">
        <w:t>WSSD</w:t>
      </w:r>
      <w:proofErr w:type="spellEnd"/>
      <w:r w:rsidRPr="0063784B">
        <w:t>, two developments contributed around 80 per cent of the decline in MFP after 1997-98. First, restrictions on water demand in response to widespread drought conditions led to lower measured output. Second, stricter sewage treatment standards increased industry costs, but there was no adjustment to measured output to account for the quality improvement.</w:t>
      </w:r>
    </w:p>
    <w:p w:rsidR="00EB48CA" w:rsidRPr="0063784B" w:rsidRDefault="00EB48CA" w:rsidP="006C512D">
      <w:pPr>
        <w:pStyle w:val="ListBullet2"/>
      </w:pPr>
      <w:r w:rsidRPr="0063784B">
        <w:t xml:space="preserve">Two other contributing factors were cyclical investment patterns, and a shift to higher-cost sources of new water supplies, particularly desalination plants, to improve water security. </w:t>
      </w:r>
    </w:p>
    <w:p w:rsidR="00EB48CA" w:rsidRPr="0063784B" w:rsidRDefault="00EB48CA" w:rsidP="006C512D">
      <w:pPr>
        <w:pStyle w:val="ListBullet"/>
      </w:pPr>
      <w:r w:rsidRPr="0063784B">
        <w:lastRenderedPageBreak/>
        <w:t xml:space="preserve">The negative influence on utilities MFP growth of two of these influences — the cyclical surge in new investment and the </w:t>
      </w:r>
      <w:proofErr w:type="spellStart"/>
      <w:r w:rsidRPr="0063784B">
        <w:t>2000s</w:t>
      </w:r>
      <w:proofErr w:type="spellEnd"/>
      <w:r w:rsidRPr="0063784B">
        <w:t xml:space="preserve"> drought — is expected to be largely temporary. However, the remaining factors are structural, permanently raising input requirements in the industry (though in some cases bringing an increase in the quality of outputs).</w:t>
      </w:r>
    </w:p>
    <w:p w:rsidR="00EB48CA" w:rsidRPr="0063784B" w:rsidRDefault="00EB48CA" w:rsidP="006C512D">
      <w:pPr>
        <w:pStyle w:val="ListBullet"/>
      </w:pPr>
      <w:r w:rsidRPr="0063784B">
        <w:t xml:space="preserve">This study highlights some of the challenges involved in measuring and interpreting estimates of MFP growth in utilities. </w:t>
      </w:r>
    </w:p>
    <w:p w:rsidR="00EB48CA" w:rsidRPr="0063784B" w:rsidRDefault="00EB48CA" w:rsidP="006C512D">
      <w:pPr>
        <w:pStyle w:val="ListBullet2"/>
      </w:pPr>
      <w:r w:rsidRPr="0063784B">
        <w:t xml:space="preserve">A particular concern is the influence of changes in capacity utilisation arising from either cyclical investment patterns, or changes in the structure of electricity demand. </w:t>
      </w:r>
    </w:p>
    <w:p w:rsidR="00EB48CA" w:rsidRPr="0063784B" w:rsidRDefault="00EB48CA" w:rsidP="006C512D">
      <w:pPr>
        <w:pStyle w:val="ListBullet2"/>
      </w:pPr>
      <w:r w:rsidRPr="0063784B">
        <w:t xml:space="preserve">Also, government policies, regulatory settings and external shocks (especially the weather) can impact on the quantity or quality of measured output, and on the choice of production technology, thereby influencing estimates of MFP.  </w:t>
      </w:r>
    </w:p>
    <w:p w:rsidR="00160594" w:rsidRPr="0063784B" w:rsidRDefault="00160594" w:rsidP="00160594">
      <w:pPr>
        <w:pStyle w:val="BodyText"/>
      </w:pPr>
    </w:p>
    <w:p w:rsidR="00202AA1" w:rsidRDefault="00202AA1" w:rsidP="00F12AC0">
      <w:pPr>
        <w:pStyle w:val="BodyText"/>
      </w:pPr>
    </w:p>
    <w:p w:rsidR="00F12AC0" w:rsidRDefault="00F12AC0">
      <w:pPr>
        <w:pStyle w:val="BodyText"/>
        <w:sectPr w:rsidR="00F12AC0" w:rsidSect="00AE0BCE">
          <w:headerReference w:type="even" r:id="rId9"/>
          <w:headerReference w:type="default" r:id="rId10"/>
          <w:footerReference w:type="even" r:id="rId11"/>
          <w:footerReference w:type="default" r:id="rId12"/>
          <w:pgSz w:w="11907" w:h="16840" w:code="9"/>
          <w:pgMar w:top="1985" w:right="1304" w:bottom="1418" w:left="1814" w:header="1701" w:footer="567" w:gutter="0"/>
          <w:pgNumType w:start="179" w:chapStyle="1" w:chapSep="period"/>
          <w:cols w:space="720"/>
        </w:sectPr>
      </w:pPr>
    </w:p>
    <w:p w:rsidR="00F12AC0" w:rsidRDefault="00F12AC0" w:rsidP="00F12AC0">
      <w:pPr>
        <w:pStyle w:val="TableTitle"/>
        <w:spacing w:before="120"/>
      </w:pPr>
      <w:r>
        <w:rPr>
          <w:b w:val="0"/>
        </w:rPr>
        <w:lastRenderedPageBreak/>
        <w:t xml:space="preserve">Table </w:t>
      </w:r>
      <w:proofErr w:type="spellStart"/>
      <w:r w:rsidR="00AE0BCE">
        <w:rPr>
          <w:b w:val="0"/>
        </w:rPr>
        <w:t>E.</w:t>
      </w:r>
      <w:r w:rsidR="002176F2">
        <w:rPr>
          <w:b w:val="0"/>
          <w:noProof/>
        </w:rPr>
        <w:t>1</w:t>
      </w:r>
      <w:proofErr w:type="spellEnd"/>
      <w:r>
        <w:tab/>
        <w:t>Speeches and presentations by the Chairman, Commissioners and staff, 20</w:t>
      </w:r>
      <w:r w:rsidR="000C76B4">
        <w:t>1</w:t>
      </w:r>
      <w:r w:rsidR="005648CF">
        <w:t>1</w:t>
      </w:r>
      <w:r>
        <w:t>-</w:t>
      </w:r>
      <w:r w:rsidR="009D7078">
        <w:t>1</w:t>
      </w:r>
      <w:r w:rsidR="005648CF">
        <w:t>2</w:t>
      </w:r>
      <w:r>
        <w:t xml:space="preserve"> </w:t>
      </w:r>
    </w:p>
    <w:tbl>
      <w:tblPr>
        <w:tblW w:w="13622" w:type="dxa"/>
        <w:tblInd w:w="-3" w:type="dxa"/>
        <w:tblLayout w:type="fixed"/>
        <w:tblCellMar>
          <w:left w:w="0" w:type="dxa"/>
          <w:right w:w="0" w:type="dxa"/>
        </w:tblCellMar>
        <w:tblLook w:val="0000" w:firstRow="0" w:lastRow="0" w:firstColumn="0" w:lastColumn="0" w:noHBand="0" w:noVBand="0"/>
      </w:tblPr>
      <w:tblGrid>
        <w:gridCol w:w="6299"/>
        <w:gridCol w:w="172"/>
        <w:gridCol w:w="5726"/>
        <w:gridCol w:w="1425"/>
      </w:tblGrid>
      <w:tr w:rsidR="00F12AC0" w:rsidRPr="00D014A7" w:rsidTr="00056100">
        <w:tc>
          <w:tcPr>
            <w:tcW w:w="6299" w:type="dxa"/>
            <w:tcBorders>
              <w:top w:val="single" w:sz="6" w:space="0" w:color="auto"/>
              <w:bottom w:val="single" w:sz="4" w:space="0" w:color="auto"/>
            </w:tcBorders>
            <w:shd w:val="clear" w:color="auto" w:fill="auto"/>
          </w:tcPr>
          <w:p w:rsidR="00F12AC0" w:rsidRDefault="00F12AC0" w:rsidP="0066156F">
            <w:pPr>
              <w:pStyle w:val="TableColumnHeading"/>
              <w:spacing w:before="100" w:after="40"/>
              <w:ind w:left="57"/>
              <w:jc w:val="left"/>
            </w:pPr>
            <w:r w:rsidRPr="00D014A7">
              <w:t>Organisation/event</w:t>
            </w:r>
          </w:p>
        </w:tc>
        <w:tc>
          <w:tcPr>
            <w:tcW w:w="172" w:type="dxa"/>
            <w:tcBorders>
              <w:top w:val="single" w:sz="6" w:space="0" w:color="auto"/>
              <w:bottom w:val="single" w:sz="4" w:space="0" w:color="auto"/>
            </w:tcBorders>
          </w:tcPr>
          <w:p w:rsidR="00F12AC0" w:rsidRPr="00D014A7" w:rsidRDefault="00F12AC0" w:rsidP="0066156F">
            <w:pPr>
              <w:pStyle w:val="TableColumnHeading"/>
              <w:spacing w:before="100" w:after="40"/>
              <w:ind w:left="57"/>
              <w:jc w:val="left"/>
            </w:pPr>
          </w:p>
        </w:tc>
        <w:tc>
          <w:tcPr>
            <w:tcW w:w="5726" w:type="dxa"/>
            <w:tcBorders>
              <w:top w:val="single" w:sz="6" w:space="0" w:color="auto"/>
              <w:bottom w:val="single" w:sz="4" w:space="0" w:color="auto"/>
            </w:tcBorders>
            <w:shd w:val="clear" w:color="auto" w:fill="auto"/>
          </w:tcPr>
          <w:p w:rsidR="00F12AC0" w:rsidRDefault="00F12AC0" w:rsidP="0066156F">
            <w:pPr>
              <w:pStyle w:val="TableColumnHeading"/>
              <w:spacing w:before="100" w:after="40"/>
              <w:ind w:left="57"/>
              <w:jc w:val="left"/>
            </w:pPr>
            <w:r w:rsidRPr="00D014A7">
              <w:t>Topic</w:t>
            </w:r>
          </w:p>
        </w:tc>
        <w:tc>
          <w:tcPr>
            <w:tcW w:w="1425" w:type="dxa"/>
            <w:tcBorders>
              <w:top w:val="single" w:sz="6" w:space="0" w:color="auto"/>
              <w:bottom w:val="single" w:sz="4" w:space="0" w:color="auto"/>
            </w:tcBorders>
            <w:shd w:val="clear" w:color="auto" w:fill="auto"/>
          </w:tcPr>
          <w:p w:rsidR="00F12AC0" w:rsidRDefault="00F12AC0" w:rsidP="0066156F">
            <w:pPr>
              <w:pStyle w:val="TableColumnHeading"/>
              <w:spacing w:before="100" w:after="40"/>
              <w:ind w:left="57"/>
            </w:pPr>
            <w:r w:rsidRPr="00D014A7">
              <w:t>Date</w:t>
            </w:r>
          </w:p>
        </w:tc>
      </w:tr>
      <w:tr w:rsidR="00351334" w:rsidRPr="00056100" w:rsidTr="00056100">
        <w:tc>
          <w:tcPr>
            <w:tcW w:w="6299" w:type="dxa"/>
            <w:tcBorders>
              <w:top w:val="single" w:sz="4" w:space="0" w:color="auto"/>
            </w:tcBorders>
          </w:tcPr>
          <w:p w:rsidR="00351334" w:rsidRPr="00056100" w:rsidRDefault="00351334" w:rsidP="00D978F8">
            <w:pPr>
              <w:pStyle w:val="TableBodyText"/>
              <w:spacing w:before="120"/>
              <w:ind w:left="57"/>
              <w:jc w:val="left"/>
              <w:rPr>
                <w:b/>
              </w:rPr>
            </w:pPr>
            <w:r w:rsidRPr="00056100">
              <w:rPr>
                <w:b/>
              </w:rPr>
              <w:t>Gary Banks, Chairman:</w:t>
            </w:r>
          </w:p>
        </w:tc>
        <w:tc>
          <w:tcPr>
            <w:tcW w:w="172" w:type="dxa"/>
            <w:tcBorders>
              <w:top w:val="single" w:sz="4" w:space="0" w:color="auto"/>
            </w:tcBorders>
          </w:tcPr>
          <w:p w:rsidR="00351334" w:rsidRPr="00056100" w:rsidRDefault="00351334" w:rsidP="00D978F8">
            <w:pPr>
              <w:pStyle w:val="TableBodyText"/>
              <w:spacing w:before="120"/>
              <w:ind w:left="57"/>
              <w:jc w:val="left"/>
              <w:rPr>
                <w:b/>
              </w:rPr>
            </w:pPr>
          </w:p>
        </w:tc>
        <w:tc>
          <w:tcPr>
            <w:tcW w:w="5726" w:type="dxa"/>
            <w:tcBorders>
              <w:top w:val="single" w:sz="4" w:space="0" w:color="auto"/>
            </w:tcBorders>
          </w:tcPr>
          <w:p w:rsidR="00351334" w:rsidRPr="00056100" w:rsidRDefault="00351334" w:rsidP="00D978F8">
            <w:pPr>
              <w:pStyle w:val="TableBodyText"/>
              <w:spacing w:before="120"/>
              <w:ind w:left="57"/>
              <w:jc w:val="left"/>
              <w:rPr>
                <w:b/>
              </w:rPr>
            </w:pPr>
          </w:p>
        </w:tc>
        <w:tc>
          <w:tcPr>
            <w:tcW w:w="1425" w:type="dxa"/>
            <w:tcBorders>
              <w:top w:val="single" w:sz="4" w:space="0" w:color="auto"/>
            </w:tcBorders>
          </w:tcPr>
          <w:p w:rsidR="00351334" w:rsidRPr="00056100" w:rsidRDefault="00351334" w:rsidP="00D978F8">
            <w:pPr>
              <w:pStyle w:val="TableBodyText"/>
              <w:spacing w:before="120"/>
              <w:ind w:left="57"/>
              <w:rPr>
                <w:b/>
              </w:rPr>
            </w:pPr>
          </w:p>
        </w:tc>
      </w:tr>
      <w:tr w:rsidR="00056100" w:rsidRPr="00056100" w:rsidTr="00056100">
        <w:tc>
          <w:tcPr>
            <w:tcW w:w="6299" w:type="dxa"/>
          </w:tcPr>
          <w:p w:rsidR="00056100" w:rsidRPr="00056100" w:rsidRDefault="00056100" w:rsidP="00056100">
            <w:pPr>
              <w:pStyle w:val="TableBodyText"/>
              <w:spacing w:before="60"/>
              <w:ind w:left="57"/>
              <w:jc w:val="left"/>
            </w:pPr>
            <w:r w:rsidRPr="00056100">
              <w:t xml:space="preserve">40th Australian Conference of Economists Business Symposium, Canberra </w:t>
            </w:r>
          </w:p>
        </w:tc>
        <w:tc>
          <w:tcPr>
            <w:tcW w:w="172" w:type="dxa"/>
          </w:tcPr>
          <w:p w:rsidR="00056100" w:rsidRPr="00056100" w:rsidRDefault="00056100" w:rsidP="00056100">
            <w:pPr>
              <w:pStyle w:val="TableBodyText"/>
              <w:spacing w:before="60"/>
              <w:ind w:left="57"/>
              <w:jc w:val="left"/>
            </w:pPr>
          </w:p>
        </w:tc>
        <w:tc>
          <w:tcPr>
            <w:tcW w:w="5726" w:type="dxa"/>
          </w:tcPr>
          <w:p w:rsidR="00056100" w:rsidRPr="00056100" w:rsidRDefault="00056100" w:rsidP="00056100">
            <w:pPr>
              <w:pStyle w:val="TableBodyText"/>
              <w:spacing w:before="60"/>
              <w:ind w:left="57"/>
              <w:jc w:val="left"/>
            </w:pPr>
            <w:r w:rsidRPr="00056100">
              <w:t>Does Public Policy get the Economics it deserves?</w:t>
            </w:r>
          </w:p>
        </w:tc>
        <w:tc>
          <w:tcPr>
            <w:tcW w:w="1425" w:type="dxa"/>
          </w:tcPr>
          <w:p w:rsidR="00056100" w:rsidRPr="00056100" w:rsidRDefault="00056100" w:rsidP="00056100">
            <w:pPr>
              <w:pStyle w:val="TableBodyText"/>
              <w:spacing w:before="60"/>
              <w:ind w:left="57"/>
              <w:jc w:val="left"/>
            </w:pPr>
            <w:r w:rsidRPr="00056100">
              <w:t>July 2011</w:t>
            </w:r>
          </w:p>
        </w:tc>
      </w:tr>
      <w:tr w:rsidR="00056100" w:rsidRPr="00056100" w:rsidTr="00056100">
        <w:tc>
          <w:tcPr>
            <w:tcW w:w="6299" w:type="dxa"/>
          </w:tcPr>
          <w:p w:rsidR="00056100" w:rsidRPr="00056100" w:rsidRDefault="00056100" w:rsidP="00056100">
            <w:pPr>
              <w:pStyle w:val="TableBodyText"/>
              <w:spacing w:before="60"/>
              <w:ind w:left="57"/>
              <w:jc w:val="left"/>
            </w:pPr>
            <w:r w:rsidRPr="00056100">
              <w:t>Australian Institute of Administrative Law Conference, Canberra</w:t>
            </w:r>
          </w:p>
        </w:tc>
        <w:tc>
          <w:tcPr>
            <w:tcW w:w="172" w:type="dxa"/>
          </w:tcPr>
          <w:p w:rsidR="00056100" w:rsidRPr="00056100" w:rsidRDefault="00056100" w:rsidP="00056100">
            <w:pPr>
              <w:pStyle w:val="TableBodyText"/>
              <w:spacing w:before="60"/>
              <w:ind w:left="57"/>
              <w:jc w:val="left"/>
            </w:pPr>
          </w:p>
        </w:tc>
        <w:tc>
          <w:tcPr>
            <w:tcW w:w="5726" w:type="dxa"/>
          </w:tcPr>
          <w:p w:rsidR="00056100" w:rsidRPr="00056100" w:rsidRDefault="00056100" w:rsidP="00056100">
            <w:pPr>
              <w:pStyle w:val="TableBodyText"/>
              <w:spacing w:before="60"/>
              <w:ind w:left="57"/>
              <w:jc w:val="left"/>
            </w:pPr>
            <w:r w:rsidRPr="00056100">
              <w:t>Independence and the Commission</w:t>
            </w:r>
          </w:p>
        </w:tc>
        <w:tc>
          <w:tcPr>
            <w:tcW w:w="1425" w:type="dxa"/>
          </w:tcPr>
          <w:p w:rsidR="00056100" w:rsidRPr="00056100" w:rsidRDefault="00056100" w:rsidP="00056100">
            <w:pPr>
              <w:pStyle w:val="TableBodyText"/>
              <w:spacing w:before="60"/>
              <w:ind w:left="57"/>
              <w:jc w:val="left"/>
            </w:pPr>
            <w:r w:rsidRPr="00056100">
              <w:t>July 2011</w:t>
            </w:r>
          </w:p>
        </w:tc>
      </w:tr>
      <w:tr w:rsidR="00056100" w:rsidRPr="00056100" w:rsidTr="00056100">
        <w:tc>
          <w:tcPr>
            <w:tcW w:w="6299" w:type="dxa"/>
          </w:tcPr>
          <w:p w:rsidR="00056100" w:rsidRPr="00056100" w:rsidRDefault="00056100" w:rsidP="00056100">
            <w:pPr>
              <w:pStyle w:val="TableBodyText"/>
              <w:spacing w:before="60"/>
              <w:ind w:left="57"/>
              <w:jc w:val="left"/>
            </w:pPr>
            <w:r w:rsidRPr="00056100">
              <w:t>Launch of CIPHER, Sydney</w:t>
            </w:r>
          </w:p>
        </w:tc>
        <w:tc>
          <w:tcPr>
            <w:tcW w:w="172" w:type="dxa"/>
          </w:tcPr>
          <w:p w:rsidR="00056100" w:rsidRPr="00056100" w:rsidRDefault="00056100" w:rsidP="00056100">
            <w:pPr>
              <w:pStyle w:val="TableBodyText"/>
              <w:spacing w:before="60"/>
              <w:ind w:left="57"/>
              <w:jc w:val="left"/>
            </w:pPr>
          </w:p>
        </w:tc>
        <w:tc>
          <w:tcPr>
            <w:tcW w:w="5726" w:type="dxa"/>
          </w:tcPr>
          <w:p w:rsidR="00056100" w:rsidRPr="00056100" w:rsidRDefault="00056100" w:rsidP="00056100">
            <w:pPr>
              <w:pStyle w:val="TableBodyText"/>
              <w:spacing w:before="60"/>
              <w:ind w:left="57"/>
              <w:jc w:val="left"/>
            </w:pPr>
            <w:r w:rsidRPr="00056100">
              <w:t>Evidence and Health Policy</w:t>
            </w:r>
          </w:p>
        </w:tc>
        <w:tc>
          <w:tcPr>
            <w:tcW w:w="1425" w:type="dxa"/>
          </w:tcPr>
          <w:p w:rsidR="00056100" w:rsidRPr="00056100" w:rsidRDefault="00056100" w:rsidP="00056100">
            <w:pPr>
              <w:pStyle w:val="TableBodyText"/>
              <w:spacing w:before="60"/>
              <w:ind w:left="57"/>
              <w:jc w:val="left"/>
            </w:pPr>
            <w:r w:rsidRPr="00056100">
              <w:t>July 2011</w:t>
            </w:r>
          </w:p>
        </w:tc>
      </w:tr>
      <w:tr w:rsidR="00056100" w:rsidRPr="00056100" w:rsidTr="00056100">
        <w:tc>
          <w:tcPr>
            <w:tcW w:w="6299" w:type="dxa"/>
          </w:tcPr>
          <w:p w:rsidR="00056100" w:rsidRPr="00056100" w:rsidRDefault="00056100" w:rsidP="00056100">
            <w:pPr>
              <w:pStyle w:val="TableBodyText"/>
              <w:spacing w:before="60"/>
              <w:ind w:left="57"/>
              <w:jc w:val="left"/>
            </w:pPr>
            <w:r w:rsidRPr="00056100">
              <w:t xml:space="preserve">APEC Residential Workshop on Structural Reform, Singapore </w:t>
            </w:r>
          </w:p>
        </w:tc>
        <w:tc>
          <w:tcPr>
            <w:tcW w:w="172" w:type="dxa"/>
          </w:tcPr>
          <w:p w:rsidR="00056100" w:rsidRPr="00056100" w:rsidRDefault="00056100" w:rsidP="00056100">
            <w:pPr>
              <w:pStyle w:val="TableBodyText"/>
              <w:spacing w:before="60"/>
              <w:ind w:left="57"/>
              <w:jc w:val="left"/>
            </w:pPr>
          </w:p>
        </w:tc>
        <w:tc>
          <w:tcPr>
            <w:tcW w:w="5726" w:type="dxa"/>
          </w:tcPr>
          <w:p w:rsidR="00056100" w:rsidRPr="00056100" w:rsidRDefault="00056100" w:rsidP="00056100">
            <w:pPr>
              <w:pStyle w:val="TableBodyText"/>
              <w:spacing w:before="60"/>
              <w:ind w:left="57"/>
              <w:jc w:val="left"/>
            </w:pPr>
            <w:r w:rsidRPr="00056100">
              <w:t>Successful reform – past lessons, future challenges</w:t>
            </w:r>
          </w:p>
        </w:tc>
        <w:tc>
          <w:tcPr>
            <w:tcW w:w="1425" w:type="dxa"/>
          </w:tcPr>
          <w:p w:rsidR="00056100" w:rsidRPr="00056100" w:rsidRDefault="00056100" w:rsidP="00056100">
            <w:pPr>
              <w:pStyle w:val="TableBodyText"/>
              <w:spacing w:before="60"/>
              <w:ind w:left="57"/>
              <w:jc w:val="left"/>
            </w:pPr>
            <w:r w:rsidRPr="00056100">
              <w:t>Aug 2011</w:t>
            </w:r>
          </w:p>
        </w:tc>
      </w:tr>
      <w:tr w:rsidR="00056100" w:rsidRPr="00056100" w:rsidTr="00056100">
        <w:tc>
          <w:tcPr>
            <w:tcW w:w="6299" w:type="dxa"/>
          </w:tcPr>
          <w:p w:rsidR="00056100" w:rsidRPr="00056100" w:rsidRDefault="00056100" w:rsidP="00056100">
            <w:pPr>
              <w:pStyle w:val="TableBodyText"/>
              <w:spacing w:before="60"/>
              <w:ind w:left="57"/>
              <w:jc w:val="left"/>
            </w:pPr>
            <w:proofErr w:type="spellStart"/>
            <w:r w:rsidRPr="00056100">
              <w:t>COAG</w:t>
            </w:r>
            <w:proofErr w:type="spellEnd"/>
            <w:r w:rsidRPr="00056100">
              <w:t xml:space="preserve"> Reform Council Workshop: ‘The National Statistical System’, Canberra</w:t>
            </w:r>
          </w:p>
        </w:tc>
        <w:tc>
          <w:tcPr>
            <w:tcW w:w="172" w:type="dxa"/>
          </w:tcPr>
          <w:p w:rsidR="00056100" w:rsidRPr="00056100" w:rsidRDefault="00056100" w:rsidP="00056100">
            <w:pPr>
              <w:pStyle w:val="TableBodyText"/>
              <w:spacing w:before="60"/>
              <w:ind w:left="57"/>
              <w:jc w:val="left"/>
            </w:pPr>
          </w:p>
        </w:tc>
        <w:tc>
          <w:tcPr>
            <w:tcW w:w="5726" w:type="dxa"/>
          </w:tcPr>
          <w:p w:rsidR="00056100" w:rsidRPr="00056100" w:rsidRDefault="00056100" w:rsidP="00056100">
            <w:pPr>
              <w:pStyle w:val="TableBodyText"/>
              <w:spacing w:before="60"/>
              <w:ind w:left="57"/>
              <w:jc w:val="left"/>
            </w:pPr>
            <w:r w:rsidRPr="00056100">
              <w:t>Priorities for Statistics in the future</w:t>
            </w:r>
          </w:p>
        </w:tc>
        <w:tc>
          <w:tcPr>
            <w:tcW w:w="1425" w:type="dxa"/>
          </w:tcPr>
          <w:p w:rsidR="00056100" w:rsidRPr="00056100" w:rsidRDefault="00056100" w:rsidP="00056100">
            <w:pPr>
              <w:pStyle w:val="TableBodyText"/>
              <w:spacing w:before="60"/>
              <w:ind w:left="57"/>
              <w:jc w:val="left"/>
            </w:pPr>
            <w:r w:rsidRPr="00056100">
              <w:t>Aug 2011</w:t>
            </w:r>
          </w:p>
        </w:tc>
      </w:tr>
      <w:tr w:rsidR="00056100" w:rsidRPr="00056100" w:rsidTr="00056100">
        <w:tc>
          <w:tcPr>
            <w:tcW w:w="6299" w:type="dxa"/>
          </w:tcPr>
          <w:p w:rsidR="00056100" w:rsidRPr="00056100" w:rsidRDefault="00056100" w:rsidP="00056100">
            <w:pPr>
              <w:pStyle w:val="TableBodyText"/>
              <w:spacing w:before="60"/>
              <w:ind w:left="57"/>
              <w:jc w:val="left"/>
            </w:pPr>
            <w:r w:rsidRPr="00056100">
              <w:t>Sydney Business Chamber Corporate Affairs Forum, Sydney</w:t>
            </w:r>
          </w:p>
        </w:tc>
        <w:tc>
          <w:tcPr>
            <w:tcW w:w="172" w:type="dxa"/>
          </w:tcPr>
          <w:p w:rsidR="00056100" w:rsidRPr="00056100" w:rsidRDefault="00056100" w:rsidP="00056100">
            <w:pPr>
              <w:pStyle w:val="TableBodyText"/>
              <w:spacing w:before="60"/>
              <w:ind w:left="57"/>
              <w:jc w:val="left"/>
            </w:pPr>
          </w:p>
        </w:tc>
        <w:tc>
          <w:tcPr>
            <w:tcW w:w="5726" w:type="dxa"/>
          </w:tcPr>
          <w:p w:rsidR="00056100" w:rsidRPr="00056100" w:rsidRDefault="00056100" w:rsidP="00056100">
            <w:pPr>
              <w:pStyle w:val="TableBodyText"/>
              <w:spacing w:before="60"/>
              <w:ind w:left="57"/>
              <w:jc w:val="left"/>
            </w:pPr>
            <w:r w:rsidRPr="00056100">
              <w:t>Pursuing productive reform in ‘Interesting Times’</w:t>
            </w:r>
          </w:p>
        </w:tc>
        <w:tc>
          <w:tcPr>
            <w:tcW w:w="1425" w:type="dxa"/>
          </w:tcPr>
          <w:p w:rsidR="00056100" w:rsidRPr="00056100" w:rsidRDefault="00056100" w:rsidP="00056100">
            <w:pPr>
              <w:pStyle w:val="TableBodyText"/>
              <w:spacing w:before="60"/>
              <w:ind w:left="57"/>
              <w:jc w:val="left"/>
            </w:pPr>
            <w:r w:rsidRPr="00056100">
              <w:t>Nov 2011</w:t>
            </w:r>
          </w:p>
        </w:tc>
      </w:tr>
      <w:tr w:rsidR="00056100" w:rsidRPr="00056100" w:rsidTr="00056100">
        <w:tc>
          <w:tcPr>
            <w:tcW w:w="6299" w:type="dxa"/>
          </w:tcPr>
          <w:p w:rsidR="00056100" w:rsidRPr="00056100" w:rsidRDefault="00056100" w:rsidP="00056100">
            <w:pPr>
              <w:pStyle w:val="TableBodyText"/>
              <w:spacing w:before="60"/>
              <w:ind w:left="57"/>
              <w:jc w:val="left"/>
            </w:pPr>
            <w:r w:rsidRPr="00056100">
              <w:t>Australian Institute of Company Directors Economic Forum, Sydney</w:t>
            </w:r>
          </w:p>
        </w:tc>
        <w:tc>
          <w:tcPr>
            <w:tcW w:w="172" w:type="dxa"/>
          </w:tcPr>
          <w:p w:rsidR="00056100" w:rsidRPr="00056100" w:rsidRDefault="00056100" w:rsidP="00056100">
            <w:pPr>
              <w:pStyle w:val="TableBodyText"/>
              <w:spacing w:before="60"/>
              <w:ind w:left="57"/>
              <w:jc w:val="left"/>
            </w:pPr>
          </w:p>
        </w:tc>
        <w:tc>
          <w:tcPr>
            <w:tcW w:w="5726" w:type="dxa"/>
          </w:tcPr>
          <w:p w:rsidR="00056100" w:rsidRPr="00056100" w:rsidRDefault="00056100" w:rsidP="00056100">
            <w:pPr>
              <w:pStyle w:val="TableBodyText"/>
              <w:spacing w:before="60"/>
              <w:ind w:left="57"/>
              <w:jc w:val="left"/>
            </w:pPr>
            <w:r w:rsidRPr="00056100">
              <w:t>Why regulation is important to economic performance</w:t>
            </w:r>
          </w:p>
        </w:tc>
        <w:tc>
          <w:tcPr>
            <w:tcW w:w="1425" w:type="dxa"/>
          </w:tcPr>
          <w:p w:rsidR="00056100" w:rsidRPr="00056100" w:rsidRDefault="00056100" w:rsidP="00056100">
            <w:pPr>
              <w:pStyle w:val="TableBodyText"/>
              <w:spacing w:before="60"/>
              <w:ind w:left="57"/>
              <w:jc w:val="left"/>
            </w:pPr>
            <w:r w:rsidRPr="00056100">
              <w:t>Sept 2011</w:t>
            </w:r>
          </w:p>
        </w:tc>
      </w:tr>
      <w:tr w:rsidR="00056100" w:rsidRPr="00056100" w:rsidTr="00056100">
        <w:tc>
          <w:tcPr>
            <w:tcW w:w="6299" w:type="dxa"/>
          </w:tcPr>
          <w:p w:rsidR="00056100" w:rsidRPr="00056100" w:rsidRDefault="00056100" w:rsidP="00056100">
            <w:pPr>
              <w:pStyle w:val="TableBodyText"/>
              <w:spacing w:before="60"/>
              <w:ind w:left="57"/>
              <w:jc w:val="left"/>
            </w:pPr>
            <w:r w:rsidRPr="00056100">
              <w:t>Swinburne University Chancellors Lecture, Melbourne</w:t>
            </w:r>
          </w:p>
        </w:tc>
        <w:tc>
          <w:tcPr>
            <w:tcW w:w="172" w:type="dxa"/>
          </w:tcPr>
          <w:p w:rsidR="00056100" w:rsidRPr="00056100" w:rsidRDefault="00056100" w:rsidP="00056100">
            <w:pPr>
              <w:pStyle w:val="TableBodyText"/>
              <w:spacing w:before="60"/>
              <w:ind w:left="57"/>
              <w:jc w:val="left"/>
            </w:pPr>
          </w:p>
        </w:tc>
        <w:tc>
          <w:tcPr>
            <w:tcW w:w="5726" w:type="dxa"/>
          </w:tcPr>
          <w:p w:rsidR="00056100" w:rsidRPr="00056100" w:rsidRDefault="00056100" w:rsidP="00056100">
            <w:pPr>
              <w:pStyle w:val="TableBodyText"/>
              <w:spacing w:before="60"/>
              <w:ind w:left="57"/>
              <w:jc w:val="left"/>
            </w:pPr>
            <w:r w:rsidRPr="00056100">
              <w:t>Independent policy advice and the Commission</w:t>
            </w:r>
          </w:p>
        </w:tc>
        <w:tc>
          <w:tcPr>
            <w:tcW w:w="1425" w:type="dxa"/>
          </w:tcPr>
          <w:p w:rsidR="00056100" w:rsidRPr="00056100" w:rsidRDefault="00056100" w:rsidP="00056100">
            <w:pPr>
              <w:pStyle w:val="TableBodyText"/>
              <w:spacing w:before="60"/>
              <w:ind w:left="57"/>
              <w:jc w:val="left"/>
            </w:pPr>
            <w:r w:rsidRPr="00056100">
              <w:t>Sept 2011</w:t>
            </w:r>
          </w:p>
        </w:tc>
      </w:tr>
      <w:tr w:rsidR="00056100" w:rsidRPr="00056100" w:rsidTr="00056100">
        <w:tc>
          <w:tcPr>
            <w:tcW w:w="6299" w:type="dxa"/>
          </w:tcPr>
          <w:p w:rsidR="00056100" w:rsidRPr="00056100" w:rsidRDefault="00056100" w:rsidP="00056100">
            <w:pPr>
              <w:pStyle w:val="TableBodyText"/>
              <w:spacing w:before="60"/>
              <w:ind w:left="57"/>
              <w:jc w:val="left"/>
            </w:pPr>
            <w:r w:rsidRPr="00056100">
              <w:t>Tax Forum, Canberra</w:t>
            </w:r>
          </w:p>
        </w:tc>
        <w:tc>
          <w:tcPr>
            <w:tcW w:w="172" w:type="dxa"/>
          </w:tcPr>
          <w:p w:rsidR="00056100" w:rsidRPr="00056100" w:rsidRDefault="00056100" w:rsidP="00056100">
            <w:pPr>
              <w:pStyle w:val="TableBodyText"/>
              <w:spacing w:before="60"/>
              <w:ind w:left="57"/>
              <w:jc w:val="left"/>
            </w:pPr>
          </w:p>
        </w:tc>
        <w:tc>
          <w:tcPr>
            <w:tcW w:w="5726" w:type="dxa"/>
          </w:tcPr>
          <w:p w:rsidR="00056100" w:rsidRPr="00056100" w:rsidRDefault="00056100" w:rsidP="00056100">
            <w:pPr>
              <w:pStyle w:val="TableBodyText"/>
              <w:spacing w:before="60"/>
              <w:ind w:left="57"/>
              <w:jc w:val="left"/>
            </w:pPr>
            <w:r w:rsidRPr="00056100">
              <w:t>Comments of Taxation and behaviour</w:t>
            </w:r>
          </w:p>
        </w:tc>
        <w:tc>
          <w:tcPr>
            <w:tcW w:w="1425" w:type="dxa"/>
          </w:tcPr>
          <w:p w:rsidR="00056100" w:rsidRPr="00056100" w:rsidRDefault="00056100" w:rsidP="00056100">
            <w:pPr>
              <w:pStyle w:val="TableBodyText"/>
              <w:spacing w:before="60"/>
              <w:ind w:left="57"/>
              <w:jc w:val="left"/>
            </w:pPr>
            <w:r w:rsidRPr="00056100">
              <w:t>Oct 2011</w:t>
            </w:r>
          </w:p>
        </w:tc>
      </w:tr>
      <w:tr w:rsidR="00056100" w:rsidRPr="00056100" w:rsidTr="00056100">
        <w:tc>
          <w:tcPr>
            <w:tcW w:w="6299" w:type="dxa"/>
          </w:tcPr>
          <w:p w:rsidR="00056100" w:rsidRPr="00056100" w:rsidRDefault="00056100" w:rsidP="00056100">
            <w:pPr>
              <w:pStyle w:val="TableBodyText"/>
              <w:spacing w:before="60"/>
              <w:ind w:left="57"/>
              <w:jc w:val="left"/>
            </w:pPr>
            <w:r w:rsidRPr="00056100">
              <w:t>The Treasury Seminar Series, Canberra</w:t>
            </w:r>
          </w:p>
        </w:tc>
        <w:tc>
          <w:tcPr>
            <w:tcW w:w="172" w:type="dxa"/>
          </w:tcPr>
          <w:p w:rsidR="00056100" w:rsidRPr="00056100" w:rsidRDefault="00056100" w:rsidP="00056100">
            <w:pPr>
              <w:pStyle w:val="TableBodyText"/>
              <w:spacing w:before="60"/>
              <w:ind w:left="57"/>
              <w:jc w:val="left"/>
            </w:pPr>
          </w:p>
        </w:tc>
        <w:tc>
          <w:tcPr>
            <w:tcW w:w="5726" w:type="dxa"/>
          </w:tcPr>
          <w:p w:rsidR="00056100" w:rsidRPr="00056100" w:rsidRDefault="00056100" w:rsidP="00056100">
            <w:pPr>
              <w:pStyle w:val="TableBodyText"/>
              <w:spacing w:before="60"/>
              <w:ind w:left="57"/>
              <w:jc w:val="left"/>
            </w:pPr>
            <w:r w:rsidRPr="00056100">
              <w:t>Tricks and Traps of the Inquiry Trade</w:t>
            </w:r>
          </w:p>
        </w:tc>
        <w:tc>
          <w:tcPr>
            <w:tcW w:w="1425" w:type="dxa"/>
          </w:tcPr>
          <w:p w:rsidR="00056100" w:rsidRPr="00056100" w:rsidRDefault="00056100" w:rsidP="00056100">
            <w:pPr>
              <w:pStyle w:val="TableBodyText"/>
              <w:spacing w:before="60"/>
              <w:ind w:left="57"/>
              <w:jc w:val="left"/>
            </w:pPr>
            <w:r w:rsidRPr="00056100">
              <w:t>Nov 2011</w:t>
            </w:r>
          </w:p>
        </w:tc>
      </w:tr>
      <w:tr w:rsidR="00056100" w:rsidRPr="00056100" w:rsidTr="00056100">
        <w:tc>
          <w:tcPr>
            <w:tcW w:w="6299" w:type="dxa"/>
          </w:tcPr>
          <w:p w:rsidR="00056100" w:rsidRPr="00056100" w:rsidRDefault="00056100" w:rsidP="00056100">
            <w:pPr>
              <w:pStyle w:val="TableBodyText"/>
              <w:spacing w:before="60"/>
              <w:ind w:left="57"/>
              <w:jc w:val="left"/>
            </w:pPr>
            <w:r w:rsidRPr="00056100">
              <w:t>OECD Regulatory Policy Conference, Paris</w:t>
            </w:r>
          </w:p>
        </w:tc>
        <w:tc>
          <w:tcPr>
            <w:tcW w:w="172" w:type="dxa"/>
          </w:tcPr>
          <w:p w:rsidR="00056100" w:rsidRPr="00056100" w:rsidRDefault="00056100" w:rsidP="00056100">
            <w:pPr>
              <w:pStyle w:val="TableBodyText"/>
              <w:spacing w:before="60"/>
              <w:ind w:left="57"/>
              <w:jc w:val="left"/>
            </w:pPr>
          </w:p>
        </w:tc>
        <w:tc>
          <w:tcPr>
            <w:tcW w:w="5726" w:type="dxa"/>
          </w:tcPr>
          <w:p w:rsidR="00056100" w:rsidRPr="00056100" w:rsidRDefault="00056100" w:rsidP="00056100">
            <w:pPr>
              <w:pStyle w:val="TableBodyText"/>
              <w:spacing w:before="60"/>
              <w:ind w:left="57"/>
              <w:jc w:val="left"/>
            </w:pPr>
            <w:r w:rsidRPr="00056100">
              <w:t>Reforming the Regulatory ‘Stock’</w:t>
            </w:r>
          </w:p>
        </w:tc>
        <w:tc>
          <w:tcPr>
            <w:tcW w:w="1425" w:type="dxa"/>
          </w:tcPr>
          <w:p w:rsidR="00056100" w:rsidRPr="00056100" w:rsidRDefault="00056100" w:rsidP="00056100">
            <w:pPr>
              <w:pStyle w:val="TableBodyText"/>
              <w:spacing w:before="60"/>
              <w:ind w:left="57"/>
              <w:jc w:val="left"/>
            </w:pPr>
            <w:r w:rsidRPr="00056100">
              <w:t>Nov 2011</w:t>
            </w:r>
          </w:p>
        </w:tc>
      </w:tr>
      <w:tr w:rsidR="00056100" w:rsidRPr="00056100" w:rsidTr="00056100">
        <w:tc>
          <w:tcPr>
            <w:tcW w:w="6299" w:type="dxa"/>
          </w:tcPr>
          <w:p w:rsidR="00056100" w:rsidRPr="00056100" w:rsidRDefault="00056100" w:rsidP="00056100">
            <w:pPr>
              <w:pStyle w:val="TableBodyText"/>
              <w:spacing w:before="60"/>
              <w:ind w:left="57"/>
              <w:jc w:val="left"/>
            </w:pPr>
            <w:r w:rsidRPr="00056100">
              <w:t>OECD Global Forum on Trade, Paris</w:t>
            </w:r>
          </w:p>
        </w:tc>
        <w:tc>
          <w:tcPr>
            <w:tcW w:w="172" w:type="dxa"/>
          </w:tcPr>
          <w:p w:rsidR="00056100" w:rsidRPr="00056100" w:rsidRDefault="00056100" w:rsidP="00056100">
            <w:pPr>
              <w:pStyle w:val="TableBodyText"/>
              <w:spacing w:before="60"/>
              <w:ind w:left="57"/>
              <w:jc w:val="left"/>
            </w:pPr>
          </w:p>
        </w:tc>
        <w:tc>
          <w:tcPr>
            <w:tcW w:w="5726" w:type="dxa"/>
          </w:tcPr>
          <w:p w:rsidR="00056100" w:rsidRPr="00056100" w:rsidRDefault="00056100" w:rsidP="00056100">
            <w:pPr>
              <w:pStyle w:val="TableBodyText"/>
              <w:spacing w:before="60"/>
              <w:ind w:left="57"/>
              <w:jc w:val="left"/>
            </w:pPr>
            <w:r w:rsidRPr="00056100">
              <w:t>The relationship of trade to employment and growth</w:t>
            </w:r>
          </w:p>
        </w:tc>
        <w:tc>
          <w:tcPr>
            <w:tcW w:w="1425" w:type="dxa"/>
          </w:tcPr>
          <w:p w:rsidR="00056100" w:rsidRPr="00056100" w:rsidRDefault="00056100" w:rsidP="00056100">
            <w:pPr>
              <w:pStyle w:val="TableBodyText"/>
              <w:spacing w:before="60"/>
              <w:ind w:left="57"/>
              <w:jc w:val="left"/>
            </w:pPr>
            <w:r w:rsidRPr="00056100">
              <w:t>Nov 2011</w:t>
            </w:r>
          </w:p>
        </w:tc>
      </w:tr>
      <w:tr w:rsidR="00056100" w:rsidRPr="00056100" w:rsidTr="00056100">
        <w:tc>
          <w:tcPr>
            <w:tcW w:w="6299" w:type="dxa"/>
          </w:tcPr>
          <w:p w:rsidR="00056100" w:rsidRPr="00056100" w:rsidRDefault="00056100" w:rsidP="00056100">
            <w:pPr>
              <w:pStyle w:val="TableBodyText"/>
              <w:spacing w:before="60"/>
              <w:ind w:left="57"/>
              <w:jc w:val="left"/>
            </w:pPr>
            <w:proofErr w:type="spellStart"/>
            <w:r w:rsidRPr="00056100">
              <w:t>ACCI</w:t>
            </w:r>
            <w:proofErr w:type="spellEnd"/>
            <w:r w:rsidRPr="00056100">
              <w:t xml:space="preserve"> Annual Dinner, Canberra</w:t>
            </w:r>
          </w:p>
        </w:tc>
        <w:tc>
          <w:tcPr>
            <w:tcW w:w="172" w:type="dxa"/>
          </w:tcPr>
          <w:p w:rsidR="00056100" w:rsidRPr="00056100" w:rsidRDefault="00056100" w:rsidP="00056100">
            <w:pPr>
              <w:pStyle w:val="TableBodyText"/>
              <w:spacing w:before="60"/>
              <w:ind w:left="57"/>
              <w:jc w:val="left"/>
            </w:pPr>
          </w:p>
        </w:tc>
        <w:tc>
          <w:tcPr>
            <w:tcW w:w="5726" w:type="dxa"/>
          </w:tcPr>
          <w:p w:rsidR="00056100" w:rsidRPr="00056100" w:rsidRDefault="00056100" w:rsidP="00056100">
            <w:pPr>
              <w:pStyle w:val="TableBodyText"/>
              <w:spacing w:before="60"/>
              <w:ind w:left="57"/>
              <w:jc w:val="left"/>
            </w:pPr>
            <w:r w:rsidRPr="00056100">
              <w:t>Industry assistance in a ‘patchwork economy’</w:t>
            </w:r>
          </w:p>
        </w:tc>
        <w:tc>
          <w:tcPr>
            <w:tcW w:w="1425" w:type="dxa"/>
          </w:tcPr>
          <w:p w:rsidR="00056100" w:rsidRPr="00056100" w:rsidRDefault="00056100" w:rsidP="00056100">
            <w:pPr>
              <w:pStyle w:val="TableBodyText"/>
              <w:spacing w:before="60"/>
              <w:ind w:left="57"/>
              <w:jc w:val="left"/>
            </w:pPr>
            <w:r w:rsidRPr="00056100">
              <w:t>Nov 2011</w:t>
            </w:r>
          </w:p>
        </w:tc>
      </w:tr>
      <w:tr w:rsidR="00056100" w:rsidRPr="00056100" w:rsidTr="00056100">
        <w:tc>
          <w:tcPr>
            <w:tcW w:w="6299" w:type="dxa"/>
          </w:tcPr>
          <w:p w:rsidR="00056100" w:rsidRPr="00056100" w:rsidRDefault="00056100" w:rsidP="00056100">
            <w:pPr>
              <w:pStyle w:val="TableBodyText"/>
              <w:spacing w:before="60"/>
              <w:ind w:left="57"/>
              <w:jc w:val="left"/>
            </w:pPr>
            <w:r w:rsidRPr="00056100">
              <w:t xml:space="preserve">International </w:t>
            </w:r>
            <w:proofErr w:type="spellStart"/>
            <w:r w:rsidRPr="00056100">
              <w:t>CEO</w:t>
            </w:r>
            <w:proofErr w:type="spellEnd"/>
            <w:r w:rsidRPr="00056100">
              <w:t xml:space="preserve"> Forum, Melbourne</w:t>
            </w:r>
          </w:p>
        </w:tc>
        <w:tc>
          <w:tcPr>
            <w:tcW w:w="172" w:type="dxa"/>
          </w:tcPr>
          <w:p w:rsidR="00056100" w:rsidRPr="00056100" w:rsidRDefault="00056100" w:rsidP="00056100">
            <w:pPr>
              <w:pStyle w:val="TableBodyText"/>
              <w:spacing w:before="60"/>
              <w:ind w:left="57"/>
              <w:jc w:val="left"/>
            </w:pPr>
          </w:p>
        </w:tc>
        <w:tc>
          <w:tcPr>
            <w:tcW w:w="5726" w:type="dxa"/>
          </w:tcPr>
          <w:p w:rsidR="00056100" w:rsidRPr="00056100" w:rsidRDefault="00056100" w:rsidP="00056100">
            <w:pPr>
              <w:pStyle w:val="TableBodyText"/>
              <w:spacing w:before="60"/>
              <w:ind w:left="57"/>
              <w:jc w:val="left"/>
            </w:pPr>
            <w:r w:rsidRPr="00056100">
              <w:t>Pursuing productive reform in ‘Interesting Times’</w:t>
            </w:r>
          </w:p>
        </w:tc>
        <w:tc>
          <w:tcPr>
            <w:tcW w:w="1425" w:type="dxa"/>
          </w:tcPr>
          <w:p w:rsidR="00056100" w:rsidRPr="00056100" w:rsidRDefault="00056100" w:rsidP="00056100">
            <w:pPr>
              <w:pStyle w:val="TableBodyText"/>
              <w:spacing w:before="60"/>
              <w:ind w:left="57"/>
              <w:jc w:val="left"/>
            </w:pPr>
            <w:r w:rsidRPr="00056100">
              <w:t>Feb 2012</w:t>
            </w:r>
          </w:p>
        </w:tc>
      </w:tr>
      <w:tr w:rsidR="00056100" w:rsidRPr="00056100" w:rsidTr="00056100">
        <w:tc>
          <w:tcPr>
            <w:tcW w:w="6299" w:type="dxa"/>
          </w:tcPr>
          <w:p w:rsidR="00056100" w:rsidRPr="00056100" w:rsidRDefault="00056100" w:rsidP="00056100">
            <w:pPr>
              <w:pStyle w:val="TableBodyText"/>
              <w:spacing w:before="60"/>
              <w:ind w:left="57"/>
              <w:jc w:val="left"/>
            </w:pPr>
            <w:proofErr w:type="spellStart"/>
            <w:r w:rsidRPr="00056100">
              <w:t>CEDA</w:t>
            </w:r>
            <w:proofErr w:type="spellEnd"/>
            <w:r w:rsidRPr="00056100">
              <w:t xml:space="preserve"> 2012 Economic and Political Overview, Melbourne</w:t>
            </w:r>
          </w:p>
        </w:tc>
        <w:tc>
          <w:tcPr>
            <w:tcW w:w="172" w:type="dxa"/>
          </w:tcPr>
          <w:p w:rsidR="00056100" w:rsidRPr="00056100" w:rsidRDefault="00056100" w:rsidP="00056100">
            <w:pPr>
              <w:pStyle w:val="TableBodyText"/>
              <w:spacing w:before="60"/>
              <w:ind w:left="57"/>
              <w:jc w:val="left"/>
            </w:pPr>
          </w:p>
        </w:tc>
        <w:tc>
          <w:tcPr>
            <w:tcW w:w="5726" w:type="dxa"/>
          </w:tcPr>
          <w:p w:rsidR="00056100" w:rsidRPr="00056100" w:rsidRDefault="00056100" w:rsidP="00056100">
            <w:pPr>
              <w:pStyle w:val="TableBodyText"/>
              <w:spacing w:before="60"/>
              <w:ind w:left="57"/>
              <w:jc w:val="left"/>
            </w:pPr>
            <w:r w:rsidRPr="00056100">
              <w:t>Productivity Perspectives</w:t>
            </w:r>
          </w:p>
        </w:tc>
        <w:tc>
          <w:tcPr>
            <w:tcW w:w="1425" w:type="dxa"/>
          </w:tcPr>
          <w:p w:rsidR="00056100" w:rsidRPr="00056100" w:rsidRDefault="00056100" w:rsidP="00056100">
            <w:pPr>
              <w:pStyle w:val="TableBodyText"/>
              <w:spacing w:before="60"/>
              <w:ind w:left="57"/>
              <w:jc w:val="left"/>
            </w:pPr>
            <w:r w:rsidRPr="00056100">
              <w:t>Feb 2012</w:t>
            </w:r>
          </w:p>
        </w:tc>
      </w:tr>
      <w:tr w:rsidR="00056100" w:rsidRPr="00056100" w:rsidTr="00056100">
        <w:tc>
          <w:tcPr>
            <w:tcW w:w="6299" w:type="dxa"/>
          </w:tcPr>
          <w:p w:rsidR="00056100" w:rsidRPr="00056100" w:rsidRDefault="00056100" w:rsidP="00056100">
            <w:pPr>
              <w:pStyle w:val="TableBodyText"/>
              <w:spacing w:before="60"/>
              <w:ind w:left="57"/>
              <w:jc w:val="left"/>
            </w:pPr>
            <w:r w:rsidRPr="00056100">
              <w:t>Science &amp; Technology Australia meets Policymakers Forum, Canberra</w:t>
            </w:r>
          </w:p>
        </w:tc>
        <w:tc>
          <w:tcPr>
            <w:tcW w:w="172" w:type="dxa"/>
          </w:tcPr>
          <w:p w:rsidR="00056100" w:rsidRPr="00056100" w:rsidRDefault="00056100" w:rsidP="00056100">
            <w:pPr>
              <w:pStyle w:val="TableBodyText"/>
              <w:spacing w:before="60"/>
              <w:ind w:left="57"/>
              <w:jc w:val="left"/>
            </w:pPr>
          </w:p>
        </w:tc>
        <w:tc>
          <w:tcPr>
            <w:tcW w:w="5726" w:type="dxa"/>
          </w:tcPr>
          <w:p w:rsidR="00056100" w:rsidRPr="00056100" w:rsidRDefault="00056100" w:rsidP="00056100">
            <w:pPr>
              <w:pStyle w:val="TableBodyText"/>
              <w:spacing w:before="60"/>
              <w:ind w:left="57"/>
              <w:jc w:val="left"/>
            </w:pPr>
            <w:r w:rsidRPr="00056100">
              <w:t>Successful policy and (scientific) evidence</w:t>
            </w:r>
          </w:p>
        </w:tc>
        <w:tc>
          <w:tcPr>
            <w:tcW w:w="1425" w:type="dxa"/>
          </w:tcPr>
          <w:p w:rsidR="00056100" w:rsidRPr="00056100" w:rsidRDefault="00056100" w:rsidP="00056100">
            <w:pPr>
              <w:pStyle w:val="TableBodyText"/>
              <w:spacing w:before="60"/>
              <w:ind w:left="57"/>
              <w:jc w:val="left"/>
            </w:pPr>
            <w:r w:rsidRPr="00056100">
              <w:t>Feb 2012</w:t>
            </w:r>
          </w:p>
        </w:tc>
      </w:tr>
      <w:tr w:rsidR="00056100" w:rsidRPr="00056100" w:rsidTr="00056100">
        <w:tc>
          <w:tcPr>
            <w:tcW w:w="6299" w:type="dxa"/>
          </w:tcPr>
          <w:p w:rsidR="00056100" w:rsidRPr="00056100" w:rsidRDefault="00056100" w:rsidP="00056100">
            <w:pPr>
              <w:pStyle w:val="TableBodyText"/>
              <w:spacing w:before="60"/>
              <w:ind w:left="57"/>
              <w:jc w:val="left"/>
            </w:pPr>
            <w:r w:rsidRPr="00056100">
              <w:t>Centre for Corporate Public Affairs 2012 Politics &amp; Public Review, Canberra</w:t>
            </w:r>
          </w:p>
        </w:tc>
        <w:tc>
          <w:tcPr>
            <w:tcW w:w="172" w:type="dxa"/>
          </w:tcPr>
          <w:p w:rsidR="00056100" w:rsidRPr="00056100" w:rsidRDefault="00056100" w:rsidP="00056100">
            <w:pPr>
              <w:pStyle w:val="TableBodyText"/>
              <w:spacing w:before="60"/>
              <w:ind w:left="57"/>
              <w:jc w:val="left"/>
            </w:pPr>
          </w:p>
        </w:tc>
        <w:tc>
          <w:tcPr>
            <w:tcW w:w="5726" w:type="dxa"/>
          </w:tcPr>
          <w:p w:rsidR="00056100" w:rsidRPr="00056100" w:rsidRDefault="00056100" w:rsidP="00056100">
            <w:pPr>
              <w:pStyle w:val="TableBodyText"/>
              <w:spacing w:before="60"/>
              <w:ind w:left="57"/>
              <w:jc w:val="left"/>
            </w:pPr>
            <w:r w:rsidRPr="00056100">
              <w:t>Public policy priorities and the Productivity Commission</w:t>
            </w:r>
          </w:p>
        </w:tc>
        <w:tc>
          <w:tcPr>
            <w:tcW w:w="1425" w:type="dxa"/>
          </w:tcPr>
          <w:p w:rsidR="00056100" w:rsidRPr="00056100" w:rsidRDefault="00056100" w:rsidP="00056100">
            <w:pPr>
              <w:pStyle w:val="TableBodyText"/>
              <w:spacing w:before="60"/>
              <w:ind w:left="57"/>
              <w:jc w:val="left"/>
            </w:pPr>
            <w:r w:rsidRPr="00056100">
              <w:t>March 2012</w:t>
            </w:r>
          </w:p>
        </w:tc>
      </w:tr>
      <w:tr w:rsidR="00056100" w:rsidRPr="00056100" w:rsidTr="00056100">
        <w:tc>
          <w:tcPr>
            <w:tcW w:w="6299" w:type="dxa"/>
          </w:tcPr>
          <w:p w:rsidR="00056100" w:rsidRPr="00056100" w:rsidRDefault="00056100" w:rsidP="00056100">
            <w:pPr>
              <w:pStyle w:val="TableBodyText"/>
              <w:spacing w:before="60"/>
              <w:ind w:left="57"/>
              <w:jc w:val="left"/>
            </w:pPr>
            <w:proofErr w:type="spellStart"/>
            <w:r w:rsidRPr="00056100">
              <w:t>CEDA’s</w:t>
            </w:r>
            <w:proofErr w:type="spellEnd"/>
            <w:r w:rsidRPr="00056100">
              <w:t xml:space="preserve"> Productivity Series: Improving Australia’s Scorecard, Sydney</w:t>
            </w:r>
          </w:p>
        </w:tc>
        <w:tc>
          <w:tcPr>
            <w:tcW w:w="172" w:type="dxa"/>
          </w:tcPr>
          <w:p w:rsidR="00056100" w:rsidRPr="00056100" w:rsidRDefault="00056100" w:rsidP="00056100">
            <w:pPr>
              <w:pStyle w:val="TableBodyText"/>
              <w:spacing w:before="60"/>
              <w:ind w:left="57"/>
              <w:jc w:val="left"/>
            </w:pPr>
          </w:p>
        </w:tc>
        <w:tc>
          <w:tcPr>
            <w:tcW w:w="5726" w:type="dxa"/>
          </w:tcPr>
          <w:p w:rsidR="00056100" w:rsidRPr="00056100" w:rsidRDefault="00056100" w:rsidP="00056100">
            <w:pPr>
              <w:pStyle w:val="TableBodyText"/>
              <w:spacing w:before="60"/>
              <w:ind w:left="57"/>
              <w:jc w:val="left"/>
            </w:pPr>
            <w:r w:rsidRPr="00056100">
              <w:t>Productivity and regulatory reform: what is needed?</w:t>
            </w:r>
          </w:p>
        </w:tc>
        <w:tc>
          <w:tcPr>
            <w:tcW w:w="1425" w:type="dxa"/>
          </w:tcPr>
          <w:p w:rsidR="00056100" w:rsidRPr="00056100" w:rsidRDefault="00056100" w:rsidP="00056100">
            <w:pPr>
              <w:pStyle w:val="TableBodyText"/>
              <w:spacing w:before="60"/>
              <w:ind w:left="57"/>
              <w:jc w:val="left"/>
            </w:pPr>
            <w:r w:rsidRPr="00056100">
              <w:t>March 2012</w:t>
            </w:r>
          </w:p>
        </w:tc>
      </w:tr>
      <w:tr w:rsidR="00056100" w:rsidRPr="00056100" w:rsidTr="00056100">
        <w:tc>
          <w:tcPr>
            <w:tcW w:w="6299" w:type="dxa"/>
          </w:tcPr>
          <w:p w:rsidR="00056100" w:rsidRPr="00056100" w:rsidRDefault="00056100" w:rsidP="00056100">
            <w:pPr>
              <w:pStyle w:val="TableBodyText"/>
              <w:spacing w:before="60"/>
              <w:ind w:left="57"/>
              <w:jc w:val="left"/>
            </w:pPr>
            <w:r w:rsidRPr="00056100">
              <w:t>Melbourne Institute, Public Economics Forum, Canberra</w:t>
            </w:r>
          </w:p>
        </w:tc>
        <w:tc>
          <w:tcPr>
            <w:tcW w:w="172" w:type="dxa"/>
          </w:tcPr>
          <w:p w:rsidR="00056100" w:rsidRPr="00056100" w:rsidRDefault="00056100" w:rsidP="00056100">
            <w:pPr>
              <w:pStyle w:val="TableBodyText"/>
              <w:spacing w:before="60"/>
              <w:ind w:left="57"/>
              <w:jc w:val="left"/>
            </w:pPr>
          </w:p>
        </w:tc>
        <w:tc>
          <w:tcPr>
            <w:tcW w:w="5726" w:type="dxa"/>
          </w:tcPr>
          <w:p w:rsidR="00056100" w:rsidRPr="00056100" w:rsidRDefault="00056100" w:rsidP="00056100">
            <w:pPr>
              <w:pStyle w:val="TableBodyText"/>
              <w:spacing w:before="60"/>
              <w:ind w:left="57"/>
              <w:jc w:val="left"/>
            </w:pPr>
            <w:r w:rsidRPr="00056100">
              <w:t>Introduction on challenges of the ‘three speed economy’</w:t>
            </w:r>
          </w:p>
        </w:tc>
        <w:tc>
          <w:tcPr>
            <w:tcW w:w="1425" w:type="dxa"/>
          </w:tcPr>
          <w:p w:rsidR="00056100" w:rsidRDefault="00056100" w:rsidP="00056100">
            <w:pPr>
              <w:pStyle w:val="TableBodyText"/>
              <w:spacing w:before="60"/>
              <w:ind w:left="57"/>
              <w:jc w:val="left"/>
            </w:pPr>
            <w:r w:rsidRPr="00056100">
              <w:t>April 2012</w:t>
            </w:r>
          </w:p>
          <w:p w:rsidR="000345D3" w:rsidRPr="00056100" w:rsidRDefault="000345D3" w:rsidP="00056100">
            <w:pPr>
              <w:pStyle w:val="TableBodyText"/>
              <w:spacing w:before="60"/>
              <w:ind w:left="57"/>
              <w:jc w:val="left"/>
            </w:pPr>
          </w:p>
        </w:tc>
      </w:tr>
      <w:tr w:rsidR="00056100" w:rsidRPr="00056100" w:rsidTr="00056100">
        <w:tc>
          <w:tcPr>
            <w:tcW w:w="6299" w:type="dxa"/>
          </w:tcPr>
          <w:p w:rsidR="00056100" w:rsidRPr="00056100" w:rsidRDefault="00056100" w:rsidP="00056100">
            <w:pPr>
              <w:pStyle w:val="TableBodyText"/>
              <w:spacing w:before="60"/>
              <w:ind w:left="57"/>
              <w:jc w:val="left"/>
            </w:pPr>
            <w:r w:rsidRPr="00056100">
              <w:lastRenderedPageBreak/>
              <w:t>Vic</w:t>
            </w:r>
            <w:r w:rsidR="000345D3">
              <w:t>torian</w:t>
            </w:r>
            <w:r w:rsidRPr="00056100">
              <w:t xml:space="preserve"> Public Service Executive Leadership Program, Melbourne</w:t>
            </w:r>
          </w:p>
        </w:tc>
        <w:tc>
          <w:tcPr>
            <w:tcW w:w="172" w:type="dxa"/>
          </w:tcPr>
          <w:p w:rsidR="00056100" w:rsidRPr="00056100" w:rsidRDefault="00056100" w:rsidP="00056100">
            <w:pPr>
              <w:pStyle w:val="TableBodyText"/>
              <w:spacing w:before="60"/>
              <w:ind w:left="57"/>
              <w:jc w:val="left"/>
            </w:pPr>
          </w:p>
        </w:tc>
        <w:tc>
          <w:tcPr>
            <w:tcW w:w="5726" w:type="dxa"/>
          </w:tcPr>
          <w:p w:rsidR="00056100" w:rsidRPr="00056100" w:rsidRDefault="00056100" w:rsidP="00056100">
            <w:pPr>
              <w:pStyle w:val="TableBodyText"/>
              <w:spacing w:before="60"/>
              <w:ind w:left="57"/>
              <w:jc w:val="left"/>
            </w:pPr>
            <w:r w:rsidRPr="00056100">
              <w:t>Role of the public service – providing independent policy advice</w:t>
            </w:r>
          </w:p>
        </w:tc>
        <w:tc>
          <w:tcPr>
            <w:tcW w:w="1425" w:type="dxa"/>
          </w:tcPr>
          <w:p w:rsidR="00056100" w:rsidRPr="00056100" w:rsidRDefault="00056100" w:rsidP="00056100">
            <w:pPr>
              <w:pStyle w:val="TableBodyText"/>
              <w:spacing w:before="60"/>
              <w:ind w:left="57"/>
              <w:jc w:val="left"/>
            </w:pPr>
            <w:r w:rsidRPr="00056100">
              <w:t>May 2012</w:t>
            </w:r>
          </w:p>
        </w:tc>
      </w:tr>
      <w:tr w:rsidR="00056100" w:rsidRPr="00056100" w:rsidTr="00056100">
        <w:tc>
          <w:tcPr>
            <w:tcW w:w="6299" w:type="dxa"/>
          </w:tcPr>
          <w:p w:rsidR="00056100" w:rsidRPr="00056100" w:rsidRDefault="00056100" w:rsidP="00056100">
            <w:pPr>
              <w:pStyle w:val="TableBodyText"/>
              <w:spacing w:before="60"/>
              <w:ind w:left="57"/>
              <w:jc w:val="left"/>
            </w:pPr>
            <w:r w:rsidRPr="00056100">
              <w:t>Deakin University Policy Forum, Melbourne</w:t>
            </w:r>
          </w:p>
        </w:tc>
        <w:tc>
          <w:tcPr>
            <w:tcW w:w="172" w:type="dxa"/>
          </w:tcPr>
          <w:p w:rsidR="00056100" w:rsidRPr="00056100" w:rsidRDefault="00056100" w:rsidP="00056100">
            <w:pPr>
              <w:pStyle w:val="TableBodyText"/>
              <w:spacing w:before="60"/>
              <w:ind w:left="57"/>
              <w:jc w:val="left"/>
            </w:pPr>
          </w:p>
        </w:tc>
        <w:tc>
          <w:tcPr>
            <w:tcW w:w="5726" w:type="dxa"/>
          </w:tcPr>
          <w:p w:rsidR="00056100" w:rsidRPr="00056100" w:rsidRDefault="00056100" w:rsidP="00056100">
            <w:pPr>
              <w:pStyle w:val="TableBodyText"/>
              <w:spacing w:before="60"/>
              <w:ind w:left="57"/>
              <w:jc w:val="left"/>
            </w:pPr>
            <w:r w:rsidRPr="00056100">
              <w:t>Challenges for the new Victorian Gambling and Alcohol Regulator: Setting the scene</w:t>
            </w:r>
          </w:p>
        </w:tc>
        <w:tc>
          <w:tcPr>
            <w:tcW w:w="1425" w:type="dxa"/>
          </w:tcPr>
          <w:p w:rsidR="00056100" w:rsidRPr="00056100" w:rsidRDefault="00056100" w:rsidP="00056100">
            <w:pPr>
              <w:pStyle w:val="TableBodyText"/>
              <w:spacing w:before="60"/>
              <w:ind w:left="57"/>
              <w:jc w:val="left"/>
            </w:pPr>
            <w:r w:rsidRPr="00056100">
              <w:t>May 2012</w:t>
            </w:r>
          </w:p>
        </w:tc>
      </w:tr>
      <w:tr w:rsidR="00056100" w:rsidRPr="00056100" w:rsidTr="00056100">
        <w:tc>
          <w:tcPr>
            <w:tcW w:w="6299" w:type="dxa"/>
          </w:tcPr>
          <w:p w:rsidR="00056100" w:rsidRPr="00056100" w:rsidRDefault="00056100" w:rsidP="00056100">
            <w:pPr>
              <w:pStyle w:val="TableBodyText"/>
              <w:spacing w:before="60"/>
              <w:ind w:left="57"/>
              <w:jc w:val="left"/>
            </w:pPr>
            <w:r w:rsidRPr="00056100">
              <w:t>Minerals Council of Australia Annual Minerals Week Seminar, Canberra</w:t>
            </w:r>
          </w:p>
        </w:tc>
        <w:tc>
          <w:tcPr>
            <w:tcW w:w="172" w:type="dxa"/>
          </w:tcPr>
          <w:p w:rsidR="00056100" w:rsidRPr="00056100" w:rsidRDefault="00056100" w:rsidP="00056100">
            <w:pPr>
              <w:pStyle w:val="TableBodyText"/>
              <w:spacing w:before="60"/>
              <w:ind w:left="57"/>
              <w:jc w:val="left"/>
            </w:pPr>
          </w:p>
        </w:tc>
        <w:tc>
          <w:tcPr>
            <w:tcW w:w="5726" w:type="dxa"/>
          </w:tcPr>
          <w:p w:rsidR="00056100" w:rsidRPr="00056100" w:rsidRDefault="00056100" w:rsidP="00056100">
            <w:pPr>
              <w:pStyle w:val="TableBodyText"/>
              <w:spacing w:before="60"/>
              <w:ind w:left="57"/>
              <w:jc w:val="left"/>
            </w:pPr>
            <w:r w:rsidRPr="00056100">
              <w:t>Who’s afraid of the Mining Boom?</w:t>
            </w:r>
          </w:p>
        </w:tc>
        <w:tc>
          <w:tcPr>
            <w:tcW w:w="1425" w:type="dxa"/>
          </w:tcPr>
          <w:p w:rsidR="00056100" w:rsidRPr="00056100" w:rsidRDefault="00056100" w:rsidP="00056100">
            <w:pPr>
              <w:pStyle w:val="TableBodyText"/>
              <w:spacing w:before="60"/>
              <w:ind w:left="57"/>
              <w:jc w:val="left"/>
            </w:pPr>
            <w:r w:rsidRPr="00056100">
              <w:t>May 2012</w:t>
            </w:r>
          </w:p>
        </w:tc>
      </w:tr>
      <w:tr w:rsidR="00056100" w:rsidRPr="00056100" w:rsidTr="00056100">
        <w:tc>
          <w:tcPr>
            <w:tcW w:w="6299" w:type="dxa"/>
          </w:tcPr>
          <w:p w:rsidR="00056100" w:rsidRPr="00056100" w:rsidRDefault="00056100" w:rsidP="00056100">
            <w:pPr>
              <w:pStyle w:val="TableBodyText"/>
              <w:spacing w:before="60"/>
              <w:ind w:left="57"/>
              <w:jc w:val="left"/>
            </w:pPr>
            <w:proofErr w:type="spellStart"/>
            <w:r w:rsidRPr="00056100">
              <w:t>CEDA’s</w:t>
            </w:r>
            <w:proofErr w:type="spellEnd"/>
            <w:r w:rsidRPr="00056100">
              <w:t xml:space="preserve"> State of the Nation 2012: Australia Unbound, Canberra</w:t>
            </w:r>
          </w:p>
        </w:tc>
        <w:tc>
          <w:tcPr>
            <w:tcW w:w="172" w:type="dxa"/>
          </w:tcPr>
          <w:p w:rsidR="00056100" w:rsidRPr="00056100" w:rsidRDefault="00056100" w:rsidP="00056100">
            <w:pPr>
              <w:pStyle w:val="TableBodyText"/>
              <w:spacing w:before="60"/>
              <w:ind w:left="57"/>
              <w:jc w:val="left"/>
            </w:pPr>
          </w:p>
        </w:tc>
        <w:tc>
          <w:tcPr>
            <w:tcW w:w="5726" w:type="dxa"/>
          </w:tcPr>
          <w:p w:rsidR="00056100" w:rsidRPr="00056100" w:rsidRDefault="00056100" w:rsidP="00056100">
            <w:pPr>
              <w:pStyle w:val="TableBodyText"/>
              <w:spacing w:before="60"/>
              <w:ind w:left="57"/>
              <w:jc w:val="left"/>
            </w:pPr>
            <w:r w:rsidRPr="00056100">
              <w:t>Whither Trans Tasman economic relations?</w:t>
            </w:r>
          </w:p>
        </w:tc>
        <w:tc>
          <w:tcPr>
            <w:tcW w:w="1425" w:type="dxa"/>
          </w:tcPr>
          <w:p w:rsidR="00056100" w:rsidRPr="00056100" w:rsidRDefault="00056100" w:rsidP="00056100">
            <w:pPr>
              <w:pStyle w:val="TableBodyText"/>
              <w:spacing w:before="60"/>
              <w:ind w:left="57"/>
              <w:jc w:val="left"/>
            </w:pPr>
            <w:r w:rsidRPr="00056100">
              <w:t>June 2012</w:t>
            </w:r>
          </w:p>
        </w:tc>
      </w:tr>
      <w:tr w:rsidR="00056100" w:rsidRPr="00056100" w:rsidTr="00056100">
        <w:tc>
          <w:tcPr>
            <w:tcW w:w="6299" w:type="dxa"/>
          </w:tcPr>
          <w:p w:rsidR="00056100" w:rsidRPr="00056100" w:rsidRDefault="00056100" w:rsidP="00056100">
            <w:pPr>
              <w:pStyle w:val="TableBodyText"/>
              <w:spacing w:before="60"/>
              <w:ind w:left="57"/>
              <w:jc w:val="left"/>
            </w:pPr>
            <w:r w:rsidRPr="00056100">
              <w:t>Alfred Deakin Research Institute Policy Forum, Canberra</w:t>
            </w:r>
          </w:p>
        </w:tc>
        <w:tc>
          <w:tcPr>
            <w:tcW w:w="172" w:type="dxa"/>
          </w:tcPr>
          <w:p w:rsidR="00056100" w:rsidRPr="00056100" w:rsidRDefault="00056100" w:rsidP="00056100">
            <w:pPr>
              <w:pStyle w:val="TableBodyText"/>
              <w:spacing w:before="60"/>
              <w:ind w:left="57"/>
              <w:jc w:val="left"/>
            </w:pPr>
          </w:p>
        </w:tc>
        <w:tc>
          <w:tcPr>
            <w:tcW w:w="5726" w:type="dxa"/>
          </w:tcPr>
          <w:p w:rsidR="00056100" w:rsidRPr="00056100" w:rsidRDefault="00056100" w:rsidP="00056100">
            <w:pPr>
              <w:pStyle w:val="TableBodyText"/>
              <w:spacing w:before="60"/>
              <w:ind w:left="57"/>
              <w:jc w:val="left"/>
            </w:pPr>
            <w:r w:rsidRPr="00056100">
              <w:t>Australia’s Productivity Performance and the Resources Sector</w:t>
            </w:r>
          </w:p>
        </w:tc>
        <w:tc>
          <w:tcPr>
            <w:tcW w:w="1425" w:type="dxa"/>
          </w:tcPr>
          <w:p w:rsidR="00056100" w:rsidRPr="00056100" w:rsidRDefault="00056100" w:rsidP="00056100">
            <w:pPr>
              <w:pStyle w:val="TableBodyText"/>
              <w:spacing w:before="60"/>
              <w:ind w:left="57"/>
              <w:jc w:val="left"/>
            </w:pPr>
            <w:r w:rsidRPr="00056100">
              <w:t>June 2012</w:t>
            </w:r>
          </w:p>
        </w:tc>
      </w:tr>
      <w:tr w:rsidR="00646F7C" w:rsidRPr="00423E1A" w:rsidTr="00ED1208">
        <w:tc>
          <w:tcPr>
            <w:tcW w:w="6299" w:type="dxa"/>
          </w:tcPr>
          <w:p w:rsidR="00646F7C" w:rsidRPr="00423E1A" w:rsidRDefault="00646F7C" w:rsidP="00056100">
            <w:pPr>
              <w:pStyle w:val="TableBodyText"/>
              <w:spacing w:before="120"/>
              <w:ind w:left="57"/>
              <w:jc w:val="left"/>
              <w:rPr>
                <w:b/>
              </w:rPr>
            </w:pPr>
            <w:r w:rsidRPr="00423E1A">
              <w:rPr>
                <w:b/>
              </w:rPr>
              <w:t>Commissioners:</w:t>
            </w:r>
          </w:p>
        </w:tc>
        <w:tc>
          <w:tcPr>
            <w:tcW w:w="172" w:type="dxa"/>
          </w:tcPr>
          <w:p w:rsidR="00646F7C" w:rsidRPr="00423E1A" w:rsidRDefault="00646F7C" w:rsidP="00056100">
            <w:pPr>
              <w:pStyle w:val="TableBodyText"/>
              <w:spacing w:before="120"/>
              <w:ind w:left="57"/>
              <w:jc w:val="left"/>
              <w:rPr>
                <w:b/>
              </w:rPr>
            </w:pPr>
          </w:p>
        </w:tc>
        <w:tc>
          <w:tcPr>
            <w:tcW w:w="5726" w:type="dxa"/>
          </w:tcPr>
          <w:p w:rsidR="00646F7C" w:rsidRPr="00423E1A" w:rsidRDefault="00646F7C" w:rsidP="00056100">
            <w:pPr>
              <w:pStyle w:val="TableBodyText"/>
              <w:spacing w:before="120"/>
              <w:ind w:left="57"/>
              <w:jc w:val="left"/>
              <w:rPr>
                <w:b/>
              </w:rPr>
            </w:pPr>
          </w:p>
        </w:tc>
        <w:tc>
          <w:tcPr>
            <w:tcW w:w="1425" w:type="dxa"/>
          </w:tcPr>
          <w:p w:rsidR="00646F7C" w:rsidRPr="00423E1A" w:rsidRDefault="00646F7C" w:rsidP="00056100">
            <w:pPr>
              <w:pStyle w:val="TableBodyText"/>
              <w:spacing w:before="120"/>
              <w:ind w:left="57"/>
              <w:jc w:val="left"/>
              <w:rPr>
                <w:b/>
              </w:rPr>
            </w:pPr>
          </w:p>
        </w:tc>
      </w:tr>
      <w:tr w:rsidR="00603652" w:rsidTr="00832EC9">
        <w:tc>
          <w:tcPr>
            <w:tcW w:w="6299" w:type="dxa"/>
          </w:tcPr>
          <w:p w:rsidR="00603652" w:rsidRDefault="00603652" w:rsidP="00603652">
            <w:pPr>
              <w:pStyle w:val="TableBodyText"/>
              <w:spacing w:before="60"/>
              <w:ind w:left="57"/>
              <w:jc w:val="left"/>
            </w:pPr>
            <w:r w:rsidRPr="00603652">
              <w:t>Australian Social Policy Conference 2011, Sydney</w:t>
            </w:r>
            <w:r>
              <w:t xml:space="preserve"> (</w:t>
            </w:r>
            <w:r w:rsidRPr="00603652">
              <w:t>Alison</w:t>
            </w:r>
            <w:r>
              <w:t xml:space="preserve"> </w:t>
            </w:r>
            <w:r w:rsidRPr="00603652">
              <w:t>McClelland</w:t>
            </w:r>
            <w:r>
              <w:t>)</w:t>
            </w:r>
          </w:p>
        </w:tc>
        <w:tc>
          <w:tcPr>
            <w:tcW w:w="172" w:type="dxa"/>
          </w:tcPr>
          <w:p w:rsidR="00603652" w:rsidRDefault="00603652" w:rsidP="00832EC9">
            <w:pPr>
              <w:pStyle w:val="TableBodyText"/>
              <w:spacing w:before="60"/>
              <w:ind w:left="57"/>
              <w:jc w:val="left"/>
            </w:pPr>
          </w:p>
        </w:tc>
        <w:tc>
          <w:tcPr>
            <w:tcW w:w="5726" w:type="dxa"/>
          </w:tcPr>
          <w:p w:rsidR="00603652" w:rsidRDefault="00603652" w:rsidP="00832EC9">
            <w:pPr>
              <w:pStyle w:val="TableBodyText"/>
              <w:spacing w:before="60"/>
              <w:ind w:left="57"/>
              <w:jc w:val="left"/>
            </w:pPr>
            <w:r>
              <w:t>Opening remarks</w:t>
            </w:r>
          </w:p>
        </w:tc>
        <w:tc>
          <w:tcPr>
            <w:tcW w:w="1425" w:type="dxa"/>
          </w:tcPr>
          <w:p w:rsidR="00603652" w:rsidRDefault="00603652" w:rsidP="00E2364D">
            <w:pPr>
              <w:pStyle w:val="TableBodyText"/>
              <w:spacing w:before="60"/>
              <w:ind w:left="57"/>
            </w:pPr>
            <w:r>
              <w:t>July 2011</w:t>
            </w:r>
          </w:p>
        </w:tc>
      </w:tr>
      <w:tr w:rsidR="00832EC9" w:rsidTr="00832EC9">
        <w:tc>
          <w:tcPr>
            <w:tcW w:w="6299" w:type="dxa"/>
          </w:tcPr>
          <w:p w:rsidR="00832EC9" w:rsidRDefault="00144688" w:rsidP="00832EC9">
            <w:pPr>
              <w:pStyle w:val="TableBodyText"/>
              <w:spacing w:before="60"/>
              <w:ind w:left="57"/>
              <w:jc w:val="left"/>
            </w:pPr>
            <w:r>
              <w:t>40</w:t>
            </w:r>
            <w:r w:rsidRPr="005916E1">
              <w:rPr>
                <w:vertAlign w:val="superscript"/>
              </w:rPr>
              <w:t>th</w:t>
            </w:r>
            <w:r>
              <w:t xml:space="preserve"> Australian Conference of Economists, Canberra (Patricia Scott)</w:t>
            </w:r>
          </w:p>
        </w:tc>
        <w:tc>
          <w:tcPr>
            <w:tcW w:w="172" w:type="dxa"/>
          </w:tcPr>
          <w:p w:rsidR="00832EC9" w:rsidRDefault="00832EC9" w:rsidP="00832EC9">
            <w:pPr>
              <w:pStyle w:val="TableBodyText"/>
              <w:spacing w:before="60"/>
              <w:ind w:left="57"/>
              <w:jc w:val="left"/>
            </w:pPr>
          </w:p>
        </w:tc>
        <w:tc>
          <w:tcPr>
            <w:tcW w:w="5726" w:type="dxa"/>
          </w:tcPr>
          <w:p w:rsidR="00832EC9" w:rsidRDefault="00144688" w:rsidP="00832EC9">
            <w:pPr>
              <w:pStyle w:val="TableBodyText"/>
              <w:spacing w:before="60"/>
              <w:ind w:left="57"/>
              <w:jc w:val="left"/>
            </w:pPr>
            <w:r>
              <w:t>Commission’s inquiry into Bilateral and regional trade agreements</w:t>
            </w:r>
          </w:p>
        </w:tc>
        <w:tc>
          <w:tcPr>
            <w:tcW w:w="1425" w:type="dxa"/>
          </w:tcPr>
          <w:p w:rsidR="00832EC9" w:rsidRDefault="00603652" w:rsidP="00E2364D">
            <w:pPr>
              <w:pStyle w:val="TableBodyText"/>
              <w:spacing w:before="60"/>
              <w:ind w:left="57"/>
            </w:pPr>
            <w:r>
              <w:t>Aug 2011</w:t>
            </w:r>
          </w:p>
        </w:tc>
      </w:tr>
      <w:tr w:rsidR="00144688" w:rsidRPr="00423E1A" w:rsidTr="00144688">
        <w:tc>
          <w:tcPr>
            <w:tcW w:w="6299" w:type="dxa"/>
          </w:tcPr>
          <w:p w:rsidR="00144688" w:rsidRPr="00144688" w:rsidRDefault="00144688" w:rsidP="00144688">
            <w:pPr>
              <w:pStyle w:val="TableBodyText"/>
              <w:spacing w:before="60"/>
              <w:ind w:left="57"/>
              <w:jc w:val="left"/>
            </w:pPr>
            <w:proofErr w:type="spellStart"/>
            <w:r>
              <w:t>QCOSS</w:t>
            </w:r>
            <w:proofErr w:type="spellEnd"/>
            <w:r>
              <w:t xml:space="preserve"> Conference (Robert Fitzgerald)</w:t>
            </w:r>
          </w:p>
        </w:tc>
        <w:tc>
          <w:tcPr>
            <w:tcW w:w="172" w:type="dxa"/>
          </w:tcPr>
          <w:p w:rsidR="00144688" w:rsidRPr="00144688" w:rsidRDefault="00144688" w:rsidP="00144688">
            <w:pPr>
              <w:pStyle w:val="TableBodyText"/>
              <w:spacing w:before="60"/>
              <w:ind w:left="57"/>
              <w:jc w:val="left"/>
            </w:pPr>
          </w:p>
        </w:tc>
        <w:tc>
          <w:tcPr>
            <w:tcW w:w="5726" w:type="dxa"/>
          </w:tcPr>
          <w:p w:rsidR="00144688" w:rsidRPr="00144688" w:rsidRDefault="00AE4A0B" w:rsidP="00144688">
            <w:pPr>
              <w:pStyle w:val="TableBodyText"/>
              <w:spacing w:before="60"/>
              <w:ind w:left="57"/>
              <w:jc w:val="left"/>
            </w:pPr>
            <w:r>
              <w:t>Human services reform and not for profit</w:t>
            </w:r>
          </w:p>
        </w:tc>
        <w:tc>
          <w:tcPr>
            <w:tcW w:w="1425" w:type="dxa"/>
          </w:tcPr>
          <w:p w:rsidR="00144688" w:rsidRPr="00144688" w:rsidRDefault="00144688" w:rsidP="00144688">
            <w:pPr>
              <w:pStyle w:val="TableBodyText"/>
              <w:spacing w:before="60"/>
              <w:ind w:left="57"/>
            </w:pPr>
            <w:r>
              <w:t>Aug 2011</w:t>
            </w:r>
          </w:p>
        </w:tc>
      </w:tr>
      <w:tr w:rsidR="00382935" w:rsidTr="00AE4A0B">
        <w:tc>
          <w:tcPr>
            <w:tcW w:w="6299" w:type="dxa"/>
          </w:tcPr>
          <w:p w:rsidR="00382935" w:rsidRDefault="00382935" w:rsidP="00382935">
            <w:pPr>
              <w:pStyle w:val="TableBodyText"/>
              <w:spacing w:before="60"/>
              <w:ind w:left="57"/>
              <w:jc w:val="left"/>
            </w:pPr>
            <w:r>
              <w:t>Parliamentary Library Staff Seminar, Canberra (Mike Woods)</w:t>
            </w:r>
          </w:p>
        </w:tc>
        <w:tc>
          <w:tcPr>
            <w:tcW w:w="172" w:type="dxa"/>
          </w:tcPr>
          <w:p w:rsidR="00382935" w:rsidRDefault="00382935" w:rsidP="00251E8B">
            <w:pPr>
              <w:pStyle w:val="TableBodyText"/>
              <w:spacing w:before="60"/>
              <w:ind w:left="57"/>
              <w:jc w:val="left"/>
            </w:pPr>
          </w:p>
        </w:tc>
        <w:tc>
          <w:tcPr>
            <w:tcW w:w="5726" w:type="dxa"/>
          </w:tcPr>
          <w:p w:rsidR="00382935" w:rsidRDefault="00382935" w:rsidP="00251E8B">
            <w:pPr>
              <w:pStyle w:val="TableBodyText"/>
              <w:spacing w:before="60"/>
              <w:ind w:left="57"/>
              <w:jc w:val="left"/>
            </w:pPr>
            <w:r>
              <w:t>Commission’s inquiry into Caring for Older Australians</w:t>
            </w:r>
          </w:p>
        </w:tc>
        <w:tc>
          <w:tcPr>
            <w:tcW w:w="1425" w:type="dxa"/>
          </w:tcPr>
          <w:p w:rsidR="00382935" w:rsidRDefault="00382935" w:rsidP="00251E8B">
            <w:pPr>
              <w:pStyle w:val="TableBodyText"/>
              <w:spacing w:before="60"/>
              <w:ind w:left="57"/>
            </w:pPr>
            <w:r>
              <w:t>Aug 2011</w:t>
            </w:r>
          </w:p>
        </w:tc>
      </w:tr>
      <w:tr w:rsidR="00AE4A0B" w:rsidTr="00AE4A0B">
        <w:tc>
          <w:tcPr>
            <w:tcW w:w="6299" w:type="dxa"/>
          </w:tcPr>
          <w:p w:rsidR="00AE4A0B" w:rsidRDefault="00AE4A0B" w:rsidP="00AE4A0B">
            <w:pPr>
              <w:pStyle w:val="TableBodyText"/>
              <w:spacing w:before="60"/>
              <w:ind w:left="57"/>
              <w:jc w:val="left"/>
            </w:pPr>
            <w:r>
              <w:t>Catholic Health Australia Conference, Canberra</w:t>
            </w:r>
            <w:r w:rsidR="00AF0B91">
              <w:t xml:space="preserve"> (Robert Fitzgerald)</w:t>
            </w:r>
          </w:p>
        </w:tc>
        <w:tc>
          <w:tcPr>
            <w:tcW w:w="172" w:type="dxa"/>
          </w:tcPr>
          <w:p w:rsidR="00AE4A0B" w:rsidRDefault="00AE4A0B" w:rsidP="00AE4A0B">
            <w:pPr>
              <w:pStyle w:val="TableBodyText"/>
              <w:spacing w:before="60"/>
              <w:ind w:left="57"/>
              <w:jc w:val="left"/>
            </w:pPr>
          </w:p>
        </w:tc>
        <w:tc>
          <w:tcPr>
            <w:tcW w:w="5726" w:type="dxa"/>
          </w:tcPr>
          <w:p w:rsidR="00AE4A0B" w:rsidRDefault="00AE4A0B" w:rsidP="00AE4A0B">
            <w:pPr>
              <w:pStyle w:val="TableBodyText"/>
              <w:spacing w:before="60"/>
              <w:ind w:left="57"/>
              <w:jc w:val="left"/>
            </w:pPr>
            <w:r>
              <w:t>Reforms in the human services sector; impacts and opportunities for Catholic Providers.</w:t>
            </w:r>
          </w:p>
        </w:tc>
        <w:tc>
          <w:tcPr>
            <w:tcW w:w="1425" w:type="dxa"/>
          </w:tcPr>
          <w:p w:rsidR="00AE4A0B" w:rsidRDefault="00AE4A0B" w:rsidP="00AE4A0B">
            <w:pPr>
              <w:pStyle w:val="TableBodyText"/>
              <w:spacing w:before="60"/>
              <w:ind w:left="57"/>
            </w:pPr>
            <w:r>
              <w:t>Sept 2011</w:t>
            </w:r>
          </w:p>
        </w:tc>
      </w:tr>
      <w:tr w:rsidR="00144688" w:rsidTr="00144688">
        <w:tc>
          <w:tcPr>
            <w:tcW w:w="6299" w:type="dxa"/>
          </w:tcPr>
          <w:p w:rsidR="00144688" w:rsidRDefault="00584AD0" w:rsidP="00584AD0">
            <w:pPr>
              <w:pStyle w:val="TableBodyText"/>
              <w:spacing w:before="60"/>
              <w:ind w:left="57"/>
              <w:jc w:val="left"/>
            </w:pPr>
            <w:r>
              <w:t>Philanthropy Australia Conference, Melbourne (Robert Fitzgerald)</w:t>
            </w:r>
          </w:p>
        </w:tc>
        <w:tc>
          <w:tcPr>
            <w:tcW w:w="172" w:type="dxa"/>
          </w:tcPr>
          <w:p w:rsidR="00144688" w:rsidRDefault="00144688" w:rsidP="00144688">
            <w:pPr>
              <w:pStyle w:val="TableBodyText"/>
              <w:spacing w:before="60"/>
              <w:ind w:left="57"/>
              <w:jc w:val="left"/>
            </w:pPr>
          </w:p>
        </w:tc>
        <w:tc>
          <w:tcPr>
            <w:tcW w:w="5726" w:type="dxa"/>
          </w:tcPr>
          <w:p w:rsidR="00144688" w:rsidRDefault="00584AD0" w:rsidP="00144688">
            <w:pPr>
              <w:pStyle w:val="TableBodyText"/>
              <w:spacing w:before="60"/>
              <w:ind w:left="57"/>
              <w:jc w:val="left"/>
            </w:pPr>
            <w:r>
              <w:t>Commission’s study into the Contribution of the Not for Profit Sector</w:t>
            </w:r>
          </w:p>
        </w:tc>
        <w:tc>
          <w:tcPr>
            <w:tcW w:w="1425" w:type="dxa"/>
          </w:tcPr>
          <w:p w:rsidR="00144688" w:rsidRDefault="00584AD0" w:rsidP="00144688">
            <w:pPr>
              <w:pStyle w:val="TableBodyText"/>
              <w:spacing w:before="60"/>
              <w:ind w:left="57"/>
            </w:pPr>
            <w:r>
              <w:t>Sept 2011</w:t>
            </w:r>
          </w:p>
        </w:tc>
      </w:tr>
      <w:tr w:rsidR="00144688" w:rsidTr="00144688">
        <w:tc>
          <w:tcPr>
            <w:tcW w:w="6299" w:type="dxa"/>
          </w:tcPr>
          <w:p w:rsidR="00144688" w:rsidRDefault="00584AD0" w:rsidP="00144688">
            <w:pPr>
              <w:pStyle w:val="TableBodyText"/>
              <w:spacing w:before="60"/>
              <w:ind w:left="57"/>
              <w:jc w:val="left"/>
            </w:pPr>
            <w:r>
              <w:t>National Catholic Education Conference, Canberra</w:t>
            </w:r>
            <w:r w:rsidR="00AF0B91">
              <w:t xml:space="preserve"> (Robert Fitzgerald)</w:t>
            </w:r>
          </w:p>
        </w:tc>
        <w:tc>
          <w:tcPr>
            <w:tcW w:w="172" w:type="dxa"/>
          </w:tcPr>
          <w:p w:rsidR="00144688" w:rsidRDefault="00144688" w:rsidP="00144688">
            <w:pPr>
              <w:pStyle w:val="TableBodyText"/>
              <w:spacing w:before="60"/>
              <w:ind w:left="57"/>
              <w:jc w:val="left"/>
            </w:pPr>
          </w:p>
        </w:tc>
        <w:tc>
          <w:tcPr>
            <w:tcW w:w="5726" w:type="dxa"/>
          </w:tcPr>
          <w:p w:rsidR="00144688" w:rsidRDefault="00AE4A0B" w:rsidP="00144688">
            <w:pPr>
              <w:pStyle w:val="TableBodyText"/>
              <w:spacing w:before="60"/>
              <w:ind w:left="57"/>
              <w:jc w:val="left"/>
            </w:pPr>
            <w:r>
              <w:t>In whose interests are we acting? Ethical, moral and pragmatic challenges for non profit school boards and leaders</w:t>
            </w:r>
          </w:p>
        </w:tc>
        <w:tc>
          <w:tcPr>
            <w:tcW w:w="1425" w:type="dxa"/>
          </w:tcPr>
          <w:p w:rsidR="00144688" w:rsidRDefault="00AE4A0B" w:rsidP="00144688">
            <w:pPr>
              <w:pStyle w:val="TableBodyText"/>
              <w:spacing w:before="60"/>
              <w:ind w:left="57"/>
            </w:pPr>
            <w:r>
              <w:t>Sept 2011</w:t>
            </w:r>
          </w:p>
        </w:tc>
      </w:tr>
      <w:tr w:rsidR="00144688" w:rsidTr="00144688">
        <w:tc>
          <w:tcPr>
            <w:tcW w:w="6299" w:type="dxa"/>
          </w:tcPr>
          <w:p w:rsidR="00144688" w:rsidRDefault="00AF0B91" w:rsidP="00144688">
            <w:pPr>
              <w:pStyle w:val="TableBodyText"/>
              <w:spacing w:before="60"/>
              <w:ind w:left="57"/>
              <w:jc w:val="left"/>
            </w:pPr>
            <w:r>
              <w:t>Korea Development Institute International Forum on the Service Sector Advancement, Korea (Mike Woods)</w:t>
            </w:r>
          </w:p>
        </w:tc>
        <w:tc>
          <w:tcPr>
            <w:tcW w:w="172" w:type="dxa"/>
          </w:tcPr>
          <w:p w:rsidR="00144688" w:rsidRDefault="00144688" w:rsidP="00144688">
            <w:pPr>
              <w:pStyle w:val="TableBodyText"/>
              <w:spacing w:before="60"/>
              <w:ind w:left="57"/>
              <w:jc w:val="left"/>
            </w:pPr>
          </w:p>
        </w:tc>
        <w:tc>
          <w:tcPr>
            <w:tcW w:w="5726" w:type="dxa"/>
          </w:tcPr>
          <w:p w:rsidR="00144688" w:rsidRPr="00D978F8" w:rsidRDefault="00AF0B91" w:rsidP="00144688">
            <w:pPr>
              <w:pStyle w:val="TableBodyText"/>
              <w:spacing w:before="60"/>
              <w:ind w:left="57"/>
              <w:jc w:val="left"/>
            </w:pPr>
            <w:r>
              <w:t>Service delivery to Australia’s ageing society</w:t>
            </w:r>
          </w:p>
        </w:tc>
        <w:tc>
          <w:tcPr>
            <w:tcW w:w="1425" w:type="dxa"/>
          </w:tcPr>
          <w:p w:rsidR="00144688" w:rsidRDefault="00AF0B91" w:rsidP="00144688">
            <w:pPr>
              <w:pStyle w:val="TableBodyText"/>
              <w:spacing w:before="60"/>
              <w:ind w:left="57"/>
            </w:pPr>
            <w:r>
              <w:t>Sept 2011</w:t>
            </w:r>
          </w:p>
        </w:tc>
      </w:tr>
      <w:tr w:rsidR="00AF0B91" w:rsidTr="00056100">
        <w:tc>
          <w:tcPr>
            <w:tcW w:w="6299" w:type="dxa"/>
          </w:tcPr>
          <w:p w:rsidR="00AF0B91" w:rsidRDefault="00961064" w:rsidP="005B24E1">
            <w:pPr>
              <w:pStyle w:val="TableBodyText"/>
              <w:spacing w:before="60"/>
              <w:ind w:left="57"/>
              <w:jc w:val="left"/>
            </w:pPr>
            <w:r>
              <w:t xml:space="preserve">Community Services &amp; Health Industry Skills Council </w:t>
            </w:r>
            <w:r w:rsidR="005B24E1">
              <w:t>National</w:t>
            </w:r>
            <w:r>
              <w:t xml:space="preserve"> Conference, Brisbane (</w:t>
            </w:r>
            <w:r w:rsidR="005B24E1">
              <w:t>Robert Fitzgerald)</w:t>
            </w:r>
          </w:p>
        </w:tc>
        <w:tc>
          <w:tcPr>
            <w:tcW w:w="172" w:type="dxa"/>
          </w:tcPr>
          <w:p w:rsidR="00AF0B91" w:rsidRDefault="00AF0B91" w:rsidP="00AF0B91">
            <w:pPr>
              <w:pStyle w:val="TableBodyText"/>
              <w:spacing w:before="60"/>
              <w:ind w:left="57"/>
              <w:jc w:val="left"/>
            </w:pPr>
          </w:p>
        </w:tc>
        <w:tc>
          <w:tcPr>
            <w:tcW w:w="5726" w:type="dxa"/>
          </w:tcPr>
          <w:p w:rsidR="00AF0B91" w:rsidRDefault="005B24E1" w:rsidP="00AF0B91">
            <w:pPr>
              <w:pStyle w:val="TableBodyText"/>
              <w:spacing w:before="60"/>
              <w:ind w:left="57"/>
              <w:jc w:val="left"/>
            </w:pPr>
            <w:r>
              <w:t>Commission’s inquiry into Caring for Older Australians</w:t>
            </w:r>
          </w:p>
        </w:tc>
        <w:tc>
          <w:tcPr>
            <w:tcW w:w="1425" w:type="dxa"/>
          </w:tcPr>
          <w:p w:rsidR="00AF0B91" w:rsidRDefault="005B24E1" w:rsidP="00AF0B91">
            <w:pPr>
              <w:pStyle w:val="TableBodyText"/>
              <w:spacing w:before="60"/>
              <w:ind w:left="57"/>
            </w:pPr>
            <w:r>
              <w:t>Oct 2011</w:t>
            </w:r>
          </w:p>
        </w:tc>
      </w:tr>
      <w:tr w:rsidR="00AF0B91" w:rsidTr="00056100">
        <w:tc>
          <w:tcPr>
            <w:tcW w:w="6299" w:type="dxa"/>
            <w:tcBorders>
              <w:bottom w:val="single" w:sz="4" w:space="0" w:color="auto"/>
            </w:tcBorders>
          </w:tcPr>
          <w:p w:rsidR="00AF0B91" w:rsidRDefault="005B24E1" w:rsidP="00AF0B91">
            <w:pPr>
              <w:pStyle w:val="TableBodyText"/>
              <w:spacing w:before="60"/>
              <w:ind w:left="57"/>
              <w:jc w:val="left"/>
            </w:pPr>
            <w:r>
              <w:t>Local Government Professionals Aged and Disability Services Seminar, Melbourne (Robert Fitzgerald)</w:t>
            </w:r>
          </w:p>
        </w:tc>
        <w:tc>
          <w:tcPr>
            <w:tcW w:w="172" w:type="dxa"/>
            <w:tcBorders>
              <w:bottom w:val="single" w:sz="4" w:space="0" w:color="auto"/>
            </w:tcBorders>
          </w:tcPr>
          <w:p w:rsidR="00AF0B91" w:rsidRDefault="00AF0B91" w:rsidP="00AF0B91">
            <w:pPr>
              <w:pStyle w:val="TableBodyText"/>
              <w:spacing w:before="60"/>
              <w:ind w:left="57"/>
              <w:jc w:val="left"/>
            </w:pPr>
          </w:p>
        </w:tc>
        <w:tc>
          <w:tcPr>
            <w:tcW w:w="5726" w:type="dxa"/>
            <w:tcBorders>
              <w:bottom w:val="single" w:sz="4" w:space="0" w:color="auto"/>
            </w:tcBorders>
          </w:tcPr>
          <w:p w:rsidR="00AF0B91" w:rsidRDefault="005B24E1" w:rsidP="00AF0B91">
            <w:pPr>
              <w:pStyle w:val="TableBodyText"/>
              <w:spacing w:before="60"/>
              <w:ind w:left="57"/>
              <w:jc w:val="left"/>
            </w:pPr>
            <w:r>
              <w:t>Commission’s inquiry into Caring for Older Australians</w:t>
            </w:r>
          </w:p>
        </w:tc>
        <w:tc>
          <w:tcPr>
            <w:tcW w:w="1425" w:type="dxa"/>
            <w:tcBorders>
              <w:bottom w:val="single" w:sz="4" w:space="0" w:color="auto"/>
            </w:tcBorders>
          </w:tcPr>
          <w:p w:rsidR="00AF0B91" w:rsidRDefault="005B24E1" w:rsidP="00AF0B91">
            <w:pPr>
              <w:pStyle w:val="TableBodyText"/>
              <w:spacing w:before="60"/>
              <w:ind w:left="57"/>
            </w:pPr>
            <w:r>
              <w:t>Oct 2011</w:t>
            </w:r>
          </w:p>
        </w:tc>
      </w:tr>
    </w:tbl>
    <w:p w:rsidR="00AB5CDE" w:rsidRDefault="00AB5CDE" w:rsidP="00AB5CDE">
      <w:pPr>
        <w:pStyle w:val="Continued"/>
      </w:pPr>
      <w:r>
        <w:t>(Continued on next page)</w:t>
      </w:r>
    </w:p>
    <w:p w:rsidR="00AB5CDE" w:rsidRDefault="00AB5CDE" w:rsidP="00AB5CDE">
      <w:pPr>
        <w:pStyle w:val="TableTitle"/>
        <w:spacing w:before="120"/>
      </w:pPr>
      <w:r>
        <w:rPr>
          <w:b w:val="0"/>
        </w:rPr>
        <w:lastRenderedPageBreak/>
        <w:t xml:space="preserve">Table </w:t>
      </w:r>
      <w:proofErr w:type="spellStart"/>
      <w:r w:rsidR="0063784B">
        <w:rPr>
          <w:b w:val="0"/>
        </w:rPr>
        <w:t>E</w:t>
      </w:r>
      <w:r>
        <w:rPr>
          <w:b w:val="0"/>
        </w:rPr>
        <w:t>.</w:t>
      </w:r>
      <w:r>
        <w:rPr>
          <w:b w:val="0"/>
          <w:noProof/>
        </w:rPr>
        <w:t>1</w:t>
      </w:r>
      <w:proofErr w:type="spellEnd"/>
      <w:r>
        <w:tab/>
      </w:r>
      <w:r w:rsidRPr="00B61021">
        <w:rPr>
          <w:sz w:val="20"/>
        </w:rPr>
        <w:t>(continued)</w:t>
      </w:r>
      <w:r>
        <w:t xml:space="preserve"> </w:t>
      </w:r>
    </w:p>
    <w:tbl>
      <w:tblPr>
        <w:tblW w:w="13622" w:type="dxa"/>
        <w:tblInd w:w="-3" w:type="dxa"/>
        <w:tblLayout w:type="fixed"/>
        <w:tblCellMar>
          <w:left w:w="0" w:type="dxa"/>
          <w:right w:w="0" w:type="dxa"/>
        </w:tblCellMar>
        <w:tblLook w:val="0000" w:firstRow="0" w:lastRow="0" w:firstColumn="0" w:lastColumn="0" w:noHBand="0" w:noVBand="0"/>
      </w:tblPr>
      <w:tblGrid>
        <w:gridCol w:w="6299"/>
        <w:gridCol w:w="172"/>
        <w:gridCol w:w="5726"/>
        <w:gridCol w:w="1425"/>
      </w:tblGrid>
      <w:tr w:rsidR="00AB5CDE" w:rsidRPr="00D014A7" w:rsidTr="00056100">
        <w:tc>
          <w:tcPr>
            <w:tcW w:w="6299" w:type="dxa"/>
            <w:tcBorders>
              <w:top w:val="single" w:sz="6" w:space="0" w:color="auto"/>
              <w:bottom w:val="single" w:sz="4" w:space="0" w:color="auto"/>
            </w:tcBorders>
            <w:shd w:val="clear" w:color="auto" w:fill="auto"/>
          </w:tcPr>
          <w:p w:rsidR="00AB5CDE" w:rsidRDefault="00AB5CDE" w:rsidP="00AB5CDE">
            <w:pPr>
              <w:pStyle w:val="TableColumnHeading"/>
              <w:spacing w:before="100" w:after="40"/>
              <w:ind w:left="57"/>
              <w:jc w:val="left"/>
            </w:pPr>
            <w:r w:rsidRPr="00D014A7">
              <w:t>Organisation/event</w:t>
            </w:r>
          </w:p>
        </w:tc>
        <w:tc>
          <w:tcPr>
            <w:tcW w:w="172" w:type="dxa"/>
            <w:tcBorders>
              <w:top w:val="single" w:sz="6" w:space="0" w:color="auto"/>
              <w:bottom w:val="single" w:sz="4" w:space="0" w:color="auto"/>
            </w:tcBorders>
          </w:tcPr>
          <w:p w:rsidR="00AB5CDE" w:rsidRPr="00D014A7" w:rsidRDefault="00AB5CDE" w:rsidP="00AB5CDE">
            <w:pPr>
              <w:pStyle w:val="TableColumnHeading"/>
              <w:spacing w:before="100" w:after="40"/>
              <w:ind w:left="57"/>
              <w:jc w:val="left"/>
            </w:pPr>
          </w:p>
        </w:tc>
        <w:tc>
          <w:tcPr>
            <w:tcW w:w="5726" w:type="dxa"/>
            <w:tcBorders>
              <w:top w:val="single" w:sz="6" w:space="0" w:color="auto"/>
              <w:bottom w:val="single" w:sz="4" w:space="0" w:color="auto"/>
            </w:tcBorders>
            <w:shd w:val="clear" w:color="auto" w:fill="auto"/>
          </w:tcPr>
          <w:p w:rsidR="00AB5CDE" w:rsidRDefault="00AB5CDE" w:rsidP="00AB5CDE">
            <w:pPr>
              <w:pStyle w:val="TableColumnHeading"/>
              <w:spacing w:before="100" w:after="40"/>
              <w:ind w:left="57"/>
              <w:jc w:val="left"/>
            </w:pPr>
            <w:r w:rsidRPr="00D014A7">
              <w:t>Topic</w:t>
            </w:r>
          </w:p>
        </w:tc>
        <w:tc>
          <w:tcPr>
            <w:tcW w:w="1425" w:type="dxa"/>
            <w:tcBorders>
              <w:top w:val="single" w:sz="6" w:space="0" w:color="auto"/>
              <w:bottom w:val="single" w:sz="4" w:space="0" w:color="auto"/>
            </w:tcBorders>
            <w:shd w:val="clear" w:color="auto" w:fill="auto"/>
          </w:tcPr>
          <w:p w:rsidR="00AB5CDE" w:rsidRDefault="00AB5CDE" w:rsidP="00AB5CDE">
            <w:pPr>
              <w:pStyle w:val="TableColumnHeading"/>
              <w:spacing w:before="100" w:after="40"/>
              <w:ind w:left="57"/>
            </w:pPr>
            <w:r w:rsidRPr="00D014A7">
              <w:t>Date</w:t>
            </w:r>
          </w:p>
        </w:tc>
      </w:tr>
      <w:tr w:rsidR="00056100" w:rsidTr="00056100">
        <w:tc>
          <w:tcPr>
            <w:tcW w:w="6299" w:type="dxa"/>
            <w:tcBorders>
              <w:top w:val="single" w:sz="4" w:space="0" w:color="auto"/>
            </w:tcBorders>
          </w:tcPr>
          <w:p w:rsidR="00056100" w:rsidRDefault="00056100" w:rsidP="000345D3">
            <w:pPr>
              <w:pStyle w:val="TableBodyText"/>
              <w:spacing w:before="60"/>
              <w:ind w:left="57"/>
              <w:jc w:val="left"/>
            </w:pPr>
            <w:r>
              <w:t>Brotherhood of St Laurence and Melbourne University Roundtable on Inclusive Growth in Australia, Melbourne (Alison McClelland)</w:t>
            </w:r>
          </w:p>
        </w:tc>
        <w:tc>
          <w:tcPr>
            <w:tcW w:w="172" w:type="dxa"/>
            <w:tcBorders>
              <w:top w:val="single" w:sz="4" w:space="0" w:color="auto"/>
            </w:tcBorders>
          </w:tcPr>
          <w:p w:rsidR="00056100" w:rsidRDefault="00056100" w:rsidP="000345D3">
            <w:pPr>
              <w:pStyle w:val="TableBodyText"/>
              <w:spacing w:before="60"/>
              <w:ind w:left="57"/>
              <w:jc w:val="left"/>
            </w:pPr>
          </w:p>
        </w:tc>
        <w:tc>
          <w:tcPr>
            <w:tcW w:w="5726" w:type="dxa"/>
            <w:tcBorders>
              <w:top w:val="single" w:sz="4" w:space="0" w:color="auto"/>
            </w:tcBorders>
          </w:tcPr>
          <w:p w:rsidR="00056100" w:rsidRDefault="00056100" w:rsidP="000345D3">
            <w:pPr>
              <w:pStyle w:val="TableBodyText"/>
              <w:spacing w:before="60"/>
              <w:ind w:left="57"/>
              <w:jc w:val="left"/>
            </w:pPr>
            <w:r>
              <w:t>How to have economic growth that benefits all Australians</w:t>
            </w:r>
          </w:p>
        </w:tc>
        <w:tc>
          <w:tcPr>
            <w:tcW w:w="1425" w:type="dxa"/>
            <w:tcBorders>
              <w:top w:val="single" w:sz="4" w:space="0" w:color="auto"/>
            </w:tcBorders>
          </w:tcPr>
          <w:p w:rsidR="00056100" w:rsidRDefault="00056100" w:rsidP="000345D3">
            <w:pPr>
              <w:pStyle w:val="TableBodyText"/>
              <w:spacing w:before="60"/>
              <w:ind w:left="57"/>
            </w:pPr>
            <w:r>
              <w:t>Oct 2011</w:t>
            </w:r>
          </w:p>
        </w:tc>
      </w:tr>
      <w:tr w:rsidR="006E168D" w:rsidTr="00056100">
        <w:tc>
          <w:tcPr>
            <w:tcW w:w="6299" w:type="dxa"/>
          </w:tcPr>
          <w:p w:rsidR="006E168D" w:rsidRDefault="006E168D" w:rsidP="00251E8B">
            <w:pPr>
              <w:pStyle w:val="TableBodyText"/>
              <w:spacing w:before="60"/>
              <w:ind w:left="57"/>
              <w:jc w:val="left"/>
            </w:pPr>
            <w:r>
              <w:t>Consumers Health Forum of Australia 2011 Lecture in Honour of Dr Christopher Newell AM, Canberra (Robert Fitzgerald)</w:t>
            </w:r>
          </w:p>
        </w:tc>
        <w:tc>
          <w:tcPr>
            <w:tcW w:w="172" w:type="dxa"/>
          </w:tcPr>
          <w:p w:rsidR="006E168D" w:rsidRDefault="006E168D" w:rsidP="00251E8B">
            <w:pPr>
              <w:pStyle w:val="TableBodyText"/>
              <w:spacing w:before="60"/>
              <w:ind w:left="57"/>
              <w:jc w:val="left"/>
            </w:pPr>
          </w:p>
        </w:tc>
        <w:tc>
          <w:tcPr>
            <w:tcW w:w="5726" w:type="dxa"/>
          </w:tcPr>
          <w:p w:rsidR="006E168D" w:rsidRDefault="006E168D" w:rsidP="00251E8B">
            <w:pPr>
              <w:pStyle w:val="TableBodyText"/>
              <w:spacing w:before="60"/>
              <w:ind w:left="57"/>
              <w:jc w:val="left"/>
            </w:pPr>
            <w:r>
              <w:t>Aged Care Reform</w:t>
            </w:r>
          </w:p>
        </w:tc>
        <w:tc>
          <w:tcPr>
            <w:tcW w:w="1425" w:type="dxa"/>
          </w:tcPr>
          <w:p w:rsidR="006E168D" w:rsidRDefault="006E168D" w:rsidP="00251E8B">
            <w:pPr>
              <w:pStyle w:val="TableBodyText"/>
              <w:spacing w:before="60"/>
              <w:ind w:left="57"/>
            </w:pPr>
            <w:r>
              <w:t>Oct 2011</w:t>
            </w:r>
          </w:p>
        </w:tc>
      </w:tr>
      <w:tr w:rsidR="00AF0B91" w:rsidTr="00056100">
        <w:tc>
          <w:tcPr>
            <w:tcW w:w="6299" w:type="dxa"/>
          </w:tcPr>
          <w:p w:rsidR="00AF0B91" w:rsidRDefault="009217B8" w:rsidP="00AF0B91">
            <w:pPr>
              <w:pStyle w:val="TableBodyText"/>
              <w:spacing w:before="60"/>
              <w:ind w:left="57"/>
              <w:jc w:val="left"/>
            </w:pPr>
            <w:r>
              <w:t>Australian Institute of Health and Welfare Conference, Canberra (Robert Fitzgerald)</w:t>
            </w:r>
          </w:p>
        </w:tc>
        <w:tc>
          <w:tcPr>
            <w:tcW w:w="172" w:type="dxa"/>
          </w:tcPr>
          <w:p w:rsidR="00AF0B91" w:rsidRDefault="00AF0B91" w:rsidP="00AF0B91">
            <w:pPr>
              <w:pStyle w:val="TableBodyText"/>
              <w:spacing w:before="60"/>
              <w:ind w:left="57"/>
              <w:jc w:val="left"/>
            </w:pPr>
          </w:p>
        </w:tc>
        <w:tc>
          <w:tcPr>
            <w:tcW w:w="5726" w:type="dxa"/>
          </w:tcPr>
          <w:p w:rsidR="00AF0B91" w:rsidRDefault="009217B8" w:rsidP="00AF0B91">
            <w:pPr>
              <w:pStyle w:val="TableBodyText"/>
              <w:spacing w:before="60"/>
              <w:ind w:left="57"/>
              <w:jc w:val="left"/>
            </w:pPr>
            <w:r>
              <w:t>Commission’s inquiry into Caring for Older Australians</w:t>
            </w:r>
          </w:p>
        </w:tc>
        <w:tc>
          <w:tcPr>
            <w:tcW w:w="1425" w:type="dxa"/>
          </w:tcPr>
          <w:p w:rsidR="00AF0B91" w:rsidRDefault="009217B8" w:rsidP="00AF0B91">
            <w:pPr>
              <w:pStyle w:val="TableBodyText"/>
              <w:spacing w:before="60"/>
              <w:ind w:left="57"/>
            </w:pPr>
            <w:r>
              <w:t>Nov 2011</w:t>
            </w:r>
          </w:p>
        </w:tc>
      </w:tr>
      <w:tr w:rsidR="00AF0B91" w:rsidTr="00056100">
        <w:tc>
          <w:tcPr>
            <w:tcW w:w="6299" w:type="dxa"/>
          </w:tcPr>
          <w:p w:rsidR="00AF0B91" w:rsidRDefault="009217B8" w:rsidP="00AF0B91">
            <w:pPr>
              <w:pStyle w:val="TableBodyText"/>
              <w:spacing w:before="60"/>
              <w:ind w:left="57"/>
              <w:jc w:val="left"/>
            </w:pPr>
            <w:r>
              <w:t>Bridge Housing Ltd Annual General Meeting, Sydney (Robert Fitzgerald)</w:t>
            </w:r>
          </w:p>
        </w:tc>
        <w:tc>
          <w:tcPr>
            <w:tcW w:w="172" w:type="dxa"/>
          </w:tcPr>
          <w:p w:rsidR="00AF0B91" w:rsidRDefault="00AF0B91" w:rsidP="00AF0B91">
            <w:pPr>
              <w:pStyle w:val="TableBodyText"/>
              <w:spacing w:before="60"/>
              <w:ind w:left="57"/>
              <w:jc w:val="left"/>
            </w:pPr>
          </w:p>
        </w:tc>
        <w:tc>
          <w:tcPr>
            <w:tcW w:w="5726" w:type="dxa"/>
          </w:tcPr>
          <w:p w:rsidR="00AF0B91" w:rsidRDefault="009217B8" w:rsidP="00AF0B91">
            <w:pPr>
              <w:pStyle w:val="TableBodyText"/>
              <w:spacing w:before="60"/>
              <w:ind w:left="57"/>
              <w:jc w:val="left"/>
            </w:pPr>
            <w:r>
              <w:t>Guest speaker: Human services reforms</w:t>
            </w:r>
          </w:p>
        </w:tc>
        <w:tc>
          <w:tcPr>
            <w:tcW w:w="1425" w:type="dxa"/>
          </w:tcPr>
          <w:p w:rsidR="00AF0B91" w:rsidRDefault="009217B8" w:rsidP="00AF0B91">
            <w:pPr>
              <w:pStyle w:val="TableBodyText"/>
              <w:spacing w:before="60"/>
              <w:ind w:left="57"/>
            </w:pPr>
            <w:r>
              <w:t>Nov 2011</w:t>
            </w:r>
          </w:p>
        </w:tc>
      </w:tr>
      <w:tr w:rsidR="00AF0B91" w:rsidTr="00056100">
        <w:tc>
          <w:tcPr>
            <w:tcW w:w="6299" w:type="dxa"/>
          </w:tcPr>
          <w:p w:rsidR="00AF0B91" w:rsidRDefault="009217B8" w:rsidP="00AF0B91">
            <w:pPr>
              <w:pStyle w:val="TableBodyText"/>
              <w:spacing w:before="60"/>
              <w:ind w:left="57"/>
              <w:jc w:val="left"/>
            </w:pPr>
            <w:r>
              <w:t xml:space="preserve">Job Futures Chairs &amp; </w:t>
            </w:r>
            <w:proofErr w:type="spellStart"/>
            <w:r>
              <w:t>CEOs’</w:t>
            </w:r>
            <w:proofErr w:type="spellEnd"/>
            <w:r>
              <w:t xml:space="preserve"> Forum, Sydney (Robert Fitzgerald)</w:t>
            </w:r>
          </w:p>
        </w:tc>
        <w:tc>
          <w:tcPr>
            <w:tcW w:w="172" w:type="dxa"/>
          </w:tcPr>
          <w:p w:rsidR="00AF0B91" w:rsidRDefault="00AF0B91" w:rsidP="00AF0B91">
            <w:pPr>
              <w:pStyle w:val="TableBodyText"/>
              <w:spacing w:before="60"/>
              <w:ind w:left="57"/>
              <w:jc w:val="left"/>
            </w:pPr>
          </w:p>
        </w:tc>
        <w:tc>
          <w:tcPr>
            <w:tcW w:w="5726" w:type="dxa"/>
          </w:tcPr>
          <w:p w:rsidR="00AF0B91" w:rsidRDefault="009217B8" w:rsidP="00AF0B91">
            <w:pPr>
              <w:pStyle w:val="TableBodyText"/>
              <w:spacing w:before="60"/>
              <w:ind w:left="57"/>
              <w:jc w:val="left"/>
            </w:pPr>
            <w:r>
              <w:t>Reforms to human services and not for profits</w:t>
            </w:r>
          </w:p>
        </w:tc>
        <w:tc>
          <w:tcPr>
            <w:tcW w:w="1425" w:type="dxa"/>
          </w:tcPr>
          <w:p w:rsidR="00AF0B91" w:rsidRDefault="009217B8" w:rsidP="00AF0B91">
            <w:pPr>
              <w:pStyle w:val="TableBodyText"/>
              <w:spacing w:before="60"/>
              <w:ind w:left="57"/>
            </w:pPr>
            <w:r>
              <w:t>Nov 2011</w:t>
            </w:r>
          </w:p>
        </w:tc>
      </w:tr>
      <w:tr w:rsidR="00AF0B91" w:rsidTr="00056100">
        <w:tc>
          <w:tcPr>
            <w:tcW w:w="6299" w:type="dxa"/>
          </w:tcPr>
          <w:p w:rsidR="00AF0B91" w:rsidRDefault="00432EFB" w:rsidP="00432EFB">
            <w:pPr>
              <w:pStyle w:val="TableBodyText"/>
              <w:spacing w:before="60"/>
              <w:ind w:left="57"/>
              <w:jc w:val="left"/>
            </w:pPr>
            <w:proofErr w:type="spellStart"/>
            <w:r>
              <w:t>AIHW</w:t>
            </w:r>
            <w:proofErr w:type="spellEnd"/>
            <w:r>
              <w:t xml:space="preserve"> conference: Welfare in a growing economy</w:t>
            </w:r>
            <w:r w:rsidR="00FF53F0">
              <w:t>, Canberra (Robert Fitzgerald)</w:t>
            </w:r>
          </w:p>
        </w:tc>
        <w:tc>
          <w:tcPr>
            <w:tcW w:w="172" w:type="dxa"/>
          </w:tcPr>
          <w:p w:rsidR="00AF0B91" w:rsidRDefault="00AF0B91" w:rsidP="00AF0B91">
            <w:pPr>
              <w:pStyle w:val="TableBodyText"/>
              <w:spacing w:before="60"/>
              <w:ind w:left="57"/>
              <w:jc w:val="left"/>
            </w:pPr>
          </w:p>
        </w:tc>
        <w:tc>
          <w:tcPr>
            <w:tcW w:w="5726" w:type="dxa"/>
          </w:tcPr>
          <w:p w:rsidR="00AF0B91" w:rsidRDefault="00432EFB" w:rsidP="00AF0B91">
            <w:pPr>
              <w:pStyle w:val="TableBodyText"/>
              <w:spacing w:before="60"/>
              <w:ind w:left="57"/>
              <w:jc w:val="left"/>
            </w:pPr>
            <w:r>
              <w:t>Reforming Australia human services: challenges &amp; opportunities</w:t>
            </w:r>
          </w:p>
        </w:tc>
        <w:tc>
          <w:tcPr>
            <w:tcW w:w="1425" w:type="dxa"/>
          </w:tcPr>
          <w:p w:rsidR="00AF0B91" w:rsidRDefault="00432EFB" w:rsidP="00AF0B91">
            <w:pPr>
              <w:pStyle w:val="TableBodyText"/>
              <w:spacing w:before="60"/>
              <w:ind w:left="57"/>
            </w:pPr>
            <w:r>
              <w:t>Nov 2011</w:t>
            </w:r>
          </w:p>
        </w:tc>
      </w:tr>
      <w:tr w:rsidR="00AF0B91" w:rsidRPr="00432EFB" w:rsidTr="00056100">
        <w:tc>
          <w:tcPr>
            <w:tcW w:w="6299" w:type="dxa"/>
          </w:tcPr>
          <w:p w:rsidR="00AF0B91" w:rsidRDefault="00432EFB" w:rsidP="00AF0B91">
            <w:pPr>
              <w:pStyle w:val="TableBodyText"/>
              <w:spacing w:before="60"/>
              <w:ind w:left="57"/>
              <w:jc w:val="left"/>
            </w:pPr>
            <w:r w:rsidRPr="00432EFB">
              <w:t>Australian Sustainability Awards</w:t>
            </w:r>
            <w:r w:rsidR="00FF53F0">
              <w:t>, Melbourne (Robert Fitzgerald)</w:t>
            </w:r>
          </w:p>
        </w:tc>
        <w:tc>
          <w:tcPr>
            <w:tcW w:w="172" w:type="dxa"/>
          </w:tcPr>
          <w:p w:rsidR="00AF0B91" w:rsidRDefault="00AF0B91" w:rsidP="00AF0B91">
            <w:pPr>
              <w:pStyle w:val="TableBodyText"/>
              <w:spacing w:before="60"/>
              <w:ind w:left="57"/>
              <w:jc w:val="left"/>
            </w:pPr>
          </w:p>
        </w:tc>
        <w:tc>
          <w:tcPr>
            <w:tcW w:w="5726" w:type="dxa"/>
          </w:tcPr>
          <w:p w:rsidR="00AF0B91" w:rsidRDefault="00FF53F0" w:rsidP="00AF0B91">
            <w:pPr>
              <w:pStyle w:val="TableBodyText"/>
              <w:spacing w:before="60"/>
              <w:ind w:left="57"/>
              <w:jc w:val="left"/>
            </w:pPr>
            <w:r>
              <w:t>Keynote speaker: Commission’s study into the Contribution of the Not for Profit Sector</w:t>
            </w:r>
          </w:p>
        </w:tc>
        <w:tc>
          <w:tcPr>
            <w:tcW w:w="1425" w:type="dxa"/>
          </w:tcPr>
          <w:p w:rsidR="00AF0B91" w:rsidRDefault="00FF53F0" w:rsidP="00AF0B91">
            <w:pPr>
              <w:pStyle w:val="TableBodyText"/>
              <w:spacing w:before="60"/>
              <w:ind w:left="57"/>
            </w:pPr>
            <w:r>
              <w:t>Dec 2011</w:t>
            </w:r>
          </w:p>
        </w:tc>
      </w:tr>
      <w:tr w:rsidR="00AF0B91" w:rsidTr="00056100">
        <w:tc>
          <w:tcPr>
            <w:tcW w:w="6299" w:type="dxa"/>
          </w:tcPr>
          <w:p w:rsidR="00AF0B91" w:rsidRDefault="00FF53F0" w:rsidP="00AF0B91">
            <w:pPr>
              <w:pStyle w:val="TableBodyText"/>
              <w:spacing w:before="60"/>
              <w:ind w:left="57"/>
              <w:jc w:val="left"/>
            </w:pPr>
            <w:r>
              <w:t>Victorian Water Industry Association Managing Directors Forum, Melbourne (Wendy Craik)</w:t>
            </w:r>
          </w:p>
        </w:tc>
        <w:tc>
          <w:tcPr>
            <w:tcW w:w="172" w:type="dxa"/>
          </w:tcPr>
          <w:p w:rsidR="00AF0B91" w:rsidRDefault="00AF0B91" w:rsidP="00AF0B91">
            <w:pPr>
              <w:pStyle w:val="TableBodyText"/>
              <w:spacing w:before="60"/>
              <w:ind w:left="57"/>
              <w:jc w:val="left"/>
            </w:pPr>
          </w:p>
        </w:tc>
        <w:tc>
          <w:tcPr>
            <w:tcW w:w="5726" w:type="dxa"/>
          </w:tcPr>
          <w:p w:rsidR="00AF0B91" w:rsidRDefault="00FF53F0" w:rsidP="00AF0B91">
            <w:pPr>
              <w:pStyle w:val="TableBodyText"/>
              <w:spacing w:before="60"/>
              <w:ind w:left="57"/>
              <w:jc w:val="left"/>
            </w:pPr>
            <w:r>
              <w:t>Commission’s inquiries into Australian Urban Water Sector and the Barriers to Effective Climate Change adaptation</w:t>
            </w:r>
          </w:p>
        </w:tc>
        <w:tc>
          <w:tcPr>
            <w:tcW w:w="1425" w:type="dxa"/>
          </w:tcPr>
          <w:p w:rsidR="00AF0B91" w:rsidRDefault="00FF53F0" w:rsidP="00AF0B91">
            <w:pPr>
              <w:pStyle w:val="TableBodyText"/>
              <w:spacing w:before="60"/>
              <w:ind w:left="57"/>
            </w:pPr>
            <w:r>
              <w:t>Feb 2012</w:t>
            </w:r>
          </w:p>
        </w:tc>
      </w:tr>
      <w:tr w:rsidR="00AF0B91" w:rsidTr="00056100">
        <w:tc>
          <w:tcPr>
            <w:tcW w:w="6299" w:type="dxa"/>
          </w:tcPr>
          <w:p w:rsidR="00AF0B91" w:rsidRDefault="00926A1D" w:rsidP="00AF0B91">
            <w:pPr>
              <w:pStyle w:val="TableBodyText"/>
              <w:spacing w:before="60"/>
              <w:ind w:left="57"/>
              <w:jc w:val="left"/>
            </w:pPr>
            <w:r>
              <w:t>Health Workforce Australia Reform, Adelaide (Mike Woods)</w:t>
            </w:r>
          </w:p>
        </w:tc>
        <w:tc>
          <w:tcPr>
            <w:tcW w:w="172" w:type="dxa"/>
          </w:tcPr>
          <w:p w:rsidR="00AF0B91" w:rsidRDefault="00AF0B91" w:rsidP="00AF0B91">
            <w:pPr>
              <w:pStyle w:val="TableBodyText"/>
              <w:spacing w:before="60"/>
              <w:ind w:left="57"/>
              <w:jc w:val="left"/>
            </w:pPr>
          </w:p>
        </w:tc>
        <w:tc>
          <w:tcPr>
            <w:tcW w:w="5726" w:type="dxa"/>
          </w:tcPr>
          <w:p w:rsidR="00AF0B91" w:rsidRDefault="00926A1D" w:rsidP="00AF0B91">
            <w:pPr>
              <w:pStyle w:val="TableBodyText"/>
              <w:spacing w:before="60"/>
              <w:ind w:left="57"/>
              <w:jc w:val="left"/>
            </w:pPr>
            <w:r>
              <w:t>Caring for older people reform — tackling workforce challenges: how will we provide safe, quality care?</w:t>
            </w:r>
          </w:p>
        </w:tc>
        <w:tc>
          <w:tcPr>
            <w:tcW w:w="1425" w:type="dxa"/>
          </w:tcPr>
          <w:p w:rsidR="00AF0B91" w:rsidRDefault="00926A1D" w:rsidP="00AF0B91">
            <w:pPr>
              <w:pStyle w:val="TableBodyText"/>
              <w:spacing w:before="60"/>
              <w:ind w:left="57"/>
            </w:pPr>
            <w:r>
              <w:t>Feb 2012</w:t>
            </w:r>
          </w:p>
        </w:tc>
      </w:tr>
      <w:tr w:rsidR="00AF0B91" w:rsidTr="00056100">
        <w:tc>
          <w:tcPr>
            <w:tcW w:w="6299" w:type="dxa"/>
          </w:tcPr>
          <w:p w:rsidR="00AF0B91" w:rsidRDefault="00926A1D" w:rsidP="00AF0B91">
            <w:pPr>
              <w:pStyle w:val="TableBodyText"/>
              <w:spacing w:before="60"/>
              <w:ind w:left="57"/>
              <w:jc w:val="left"/>
            </w:pPr>
            <w:r>
              <w:t>ACCC Retreat, Melbourne (Angela MacRae)</w:t>
            </w:r>
          </w:p>
        </w:tc>
        <w:tc>
          <w:tcPr>
            <w:tcW w:w="172" w:type="dxa"/>
          </w:tcPr>
          <w:p w:rsidR="00AF0B91" w:rsidRDefault="00AF0B91" w:rsidP="00AF0B91">
            <w:pPr>
              <w:pStyle w:val="TableBodyText"/>
              <w:spacing w:before="60"/>
              <w:ind w:left="57"/>
              <w:jc w:val="left"/>
            </w:pPr>
          </w:p>
        </w:tc>
        <w:tc>
          <w:tcPr>
            <w:tcW w:w="5726" w:type="dxa"/>
          </w:tcPr>
          <w:p w:rsidR="00AF0B91" w:rsidRDefault="00926A1D" w:rsidP="00AF0B91">
            <w:pPr>
              <w:pStyle w:val="TableBodyText"/>
              <w:spacing w:before="60"/>
              <w:ind w:left="57"/>
              <w:jc w:val="left"/>
            </w:pPr>
            <w:r>
              <w:t>Work and life balance</w:t>
            </w:r>
          </w:p>
        </w:tc>
        <w:tc>
          <w:tcPr>
            <w:tcW w:w="1425" w:type="dxa"/>
          </w:tcPr>
          <w:p w:rsidR="00AF0B91" w:rsidRDefault="00926A1D" w:rsidP="00AF0B91">
            <w:pPr>
              <w:pStyle w:val="TableBodyText"/>
              <w:spacing w:before="60"/>
              <w:ind w:left="57"/>
            </w:pPr>
            <w:r>
              <w:t>Feb 2012</w:t>
            </w:r>
          </w:p>
        </w:tc>
      </w:tr>
      <w:tr w:rsidR="00AF0B91" w:rsidTr="00056100">
        <w:tc>
          <w:tcPr>
            <w:tcW w:w="6299" w:type="dxa"/>
          </w:tcPr>
          <w:p w:rsidR="00AF0B91" w:rsidRDefault="00926A1D" w:rsidP="00AF0B91">
            <w:pPr>
              <w:pStyle w:val="TableBodyText"/>
              <w:spacing w:before="60"/>
              <w:ind w:left="57"/>
              <w:jc w:val="left"/>
            </w:pPr>
            <w:r>
              <w:t>Retail Leaders Forum, Sydney (Philip Weickhardt)</w:t>
            </w:r>
          </w:p>
        </w:tc>
        <w:tc>
          <w:tcPr>
            <w:tcW w:w="172" w:type="dxa"/>
          </w:tcPr>
          <w:p w:rsidR="00AF0B91" w:rsidRDefault="00AF0B91" w:rsidP="00AF0B91">
            <w:pPr>
              <w:pStyle w:val="TableBodyText"/>
              <w:spacing w:before="60"/>
              <w:ind w:left="57"/>
              <w:jc w:val="left"/>
            </w:pPr>
          </w:p>
        </w:tc>
        <w:tc>
          <w:tcPr>
            <w:tcW w:w="5726" w:type="dxa"/>
          </w:tcPr>
          <w:p w:rsidR="00AF0B91" w:rsidRDefault="00926A1D" w:rsidP="00AF0B91">
            <w:pPr>
              <w:pStyle w:val="TableBodyText"/>
              <w:spacing w:before="60"/>
              <w:ind w:left="57"/>
              <w:jc w:val="left"/>
            </w:pPr>
            <w:r>
              <w:t xml:space="preserve">Commission’s inquiry into Economic </w:t>
            </w:r>
            <w:proofErr w:type="spellStart"/>
            <w:r w:rsidRPr="00926A1D">
              <w:t>Economic</w:t>
            </w:r>
            <w:proofErr w:type="spellEnd"/>
            <w:r w:rsidRPr="00926A1D">
              <w:t xml:space="preserve"> Structure and Performance of the Australian Retail Industry</w:t>
            </w:r>
          </w:p>
        </w:tc>
        <w:tc>
          <w:tcPr>
            <w:tcW w:w="1425" w:type="dxa"/>
          </w:tcPr>
          <w:p w:rsidR="00AF0B91" w:rsidRDefault="00926A1D" w:rsidP="00AF0B91">
            <w:pPr>
              <w:pStyle w:val="TableBodyText"/>
              <w:spacing w:before="60"/>
              <w:ind w:left="57"/>
            </w:pPr>
            <w:r>
              <w:t>March 2012</w:t>
            </w:r>
          </w:p>
        </w:tc>
      </w:tr>
      <w:tr w:rsidR="00AF0B91" w:rsidTr="00056100">
        <w:tc>
          <w:tcPr>
            <w:tcW w:w="6299" w:type="dxa"/>
          </w:tcPr>
          <w:p w:rsidR="00AF0B91" w:rsidRDefault="00926A1D" w:rsidP="00AF0B91">
            <w:pPr>
              <w:pStyle w:val="TableBodyText"/>
              <w:spacing w:before="60"/>
              <w:ind w:left="57"/>
              <w:jc w:val="left"/>
            </w:pPr>
            <w:r>
              <w:t>Australian Coastal Council Conference and Research Forum, Hobart (Wendy Craik)</w:t>
            </w:r>
          </w:p>
        </w:tc>
        <w:tc>
          <w:tcPr>
            <w:tcW w:w="172" w:type="dxa"/>
          </w:tcPr>
          <w:p w:rsidR="00AF0B91" w:rsidRDefault="00AF0B91" w:rsidP="00AF0B91">
            <w:pPr>
              <w:pStyle w:val="TableBodyText"/>
              <w:spacing w:before="60"/>
              <w:ind w:left="57"/>
              <w:jc w:val="left"/>
            </w:pPr>
          </w:p>
        </w:tc>
        <w:tc>
          <w:tcPr>
            <w:tcW w:w="5726" w:type="dxa"/>
          </w:tcPr>
          <w:p w:rsidR="00AF0B91" w:rsidRDefault="00926A1D" w:rsidP="001A5C54">
            <w:pPr>
              <w:pStyle w:val="TableBodyText"/>
              <w:spacing w:before="60"/>
              <w:ind w:left="57"/>
              <w:jc w:val="left"/>
            </w:pPr>
            <w:r>
              <w:t>Commission’s</w:t>
            </w:r>
            <w:r w:rsidR="001A5C54">
              <w:t xml:space="preserve"> </w:t>
            </w:r>
            <w:r>
              <w:t>inquiry in Barriers to Effective Climate Change Adaptation</w:t>
            </w:r>
            <w:r w:rsidR="001A5C54">
              <w:t xml:space="preserve"> </w:t>
            </w:r>
          </w:p>
        </w:tc>
        <w:tc>
          <w:tcPr>
            <w:tcW w:w="1425" w:type="dxa"/>
          </w:tcPr>
          <w:p w:rsidR="00AF0B91" w:rsidRDefault="00ED3226" w:rsidP="00AF0B91">
            <w:pPr>
              <w:pStyle w:val="TableBodyText"/>
              <w:spacing w:before="60"/>
              <w:ind w:left="57"/>
            </w:pPr>
            <w:r>
              <w:t>March 2012</w:t>
            </w:r>
          </w:p>
        </w:tc>
      </w:tr>
      <w:tr w:rsidR="00AF0B91" w:rsidTr="00056100">
        <w:tc>
          <w:tcPr>
            <w:tcW w:w="6299" w:type="dxa"/>
          </w:tcPr>
          <w:p w:rsidR="00AF0B91" w:rsidRDefault="00ED3226" w:rsidP="00AF0B91">
            <w:pPr>
              <w:pStyle w:val="TableBodyText"/>
              <w:spacing w:before="60"/>
              <w:ind w:left="57"/>
              <w:jc w:val="left"/>
            </w:pPr>
            <w:proofErr w:type="spellStart"/>
            <w:r>
              <w:t>AHPA</w:t>
            </w:r>
            <w:proofErr w:type="spellEnd"/>
            <w:r>
              <w:t xml:space="preserve"> National Conference, Canberra (Robert Fitzgerald)</w:t>
            </w:r>
          </w:p>
        </w:tc>
        <w:tc>
          <w:tcPr>
            <w:tcW w:w="172" w:type="dxa"/>
          </w:tcPr>
          <w:p w:rsidR="00AF0B91" w:rsidRDefault="00AF0B91" w:rsidP="00AF0B91">
            <w:pPr>
              <w:pStyle w:val="TableBodyText"/>
              <w:spacing w:before="60"/>
              <w:ind w:left="57"/>
              <w:jc w:val="left"/>
            </w:pPr>
          </w:p>
        </w:tc>
        <w:tc>
          <w:tcPr>
            <w:tcW w:w="5726" w:type="dxa"/>
          </w:tcPr>
          <w:p w:rsidR="00AF0B91" w:rsidRDefault="00ED3226" w:rsidP="00ED3226">
            <w:pPr>
              <w:pStyle w:val="TableBodyText"/>
              <w:spacing w:before="60"/>
              <w:ind w:left="57"/>
              <w:jc w:val="left"/>
            </w:pPr>
            <w:r>
              <w:t xml:space="preserve">Keynote address on reforming human services, community wellbeing and wellness. </w:t>
            </w:r>
          </w:p>
        </w:tc>
        <w:tc>
          <w:tcPr>
            <w:tcW w:w="1425" w:type="dxa"/>
          </w:tcPr>
          <w:p w:rsidR="00AF0B91" w:rsidRDefault="00ED3226" w:rsidP="00AF0B91">
            <w:pPr>
              <w:pStyle w:val="TableBodyText"/>
              <w:spacing w:before="60"/>
              <w:ind w:left="57"/>
            </w:pPr>
            <w:r>
              <w:t>April 2012</w:t>
            </w:r>
          </w:p>
        </w:tc>
      </w:tr>
      <w:tr w:rsidR="00AF0B91" w:rsidTr="00056100">
        <w:tc>
          <w:tcPr>
            <w:tcW w:w="6299" w:type="dxa"/>
          </w:tcPr>
          <w:p w:rsidR="00AF0B91" w:rsidRDefault="00ED3226" w:rsidP="00ED3226">
            <w:pPr>
              <w:pStyle w:val="TableBodyText"/>
              <w:spacing w:before="60"/>
              <w:ind w:left="57"/>
              <w:jc w:val="left"/>
            </w:pPr>
            <w:proofErr w:type="spellStart"/>
            <w:r>
              <w:t>IPANZ</w:t>
            </w:r>
            <w:proofErr w:type="spellEnd"/>
            <w:r>
              <w:t xml:space="preserve"> Rethinking Local Government Conference, New Zealand (Warren Mundy) </w:t>
            </w:r>
          </w:p>
        </w:tc>
        <w:tc>
          <w:tcPr>
            <w:tcW w:w="172" w:type="dxa"/>
          </w:tcPr>
          <w:p w:rsidR="00AF0B91" w:rsidRDefault="00AF0B91" w:rsidP="00AF0B91">
            <w:pPr>
              <w:pStyle w:val="TableBodyText"/>
              <w:spacing w:before="60"/>
              <w:ind w:left="57"/>
              <w:jc w:val="left"/>
            </w:pPr>
          </w:p>
        </w:tc>
        <w:tc>
          <w:tcPr>
            <w:tcW w:w="5726" w:type="dxa"/>
          </w:tcPr>
          <w:p w:rsidR="00AF0B91" w:rsidRDefault="00ED3226" w:rsidP="00AF0B91">
            <w:pPr>
              <w:pStyle w:val="TableBodyText"/>
              <w:spacing w:before="60"/>
              <w:ind w:left="57"/>
              <w:jc w:val="left"/>
            </w:pPr>
            <w:r>
              <w:t>Local Government as a regulator: the Australia experience</w:t>
            </w:r>
          </w:p>
        </w:tc>
        <w:tc>
          <w:tcPr>
            <w:tcW w:w="1425" w:type="dxa"/>
          </w:tcPr>
          <w:p w:rsidR="00AF0B91" w:rsidRDefault="00ED3226" w:rsidP="00AF0B91">
            <w:pPr>
              <w:pStyle w:val="TableBodyText"/>
              <w:spacing w:before="60"/>
              <w:ind w:left="57"/>
            </w:pPr>
            <w:r>
              <w:t>April 2012</w:t>
            </w:r>
          </w:p>
        </w:tc>
      </w:tr>
      <w:tr w:rsidR="00AF0B91" w:rsidTr="00056100">
        <w:tc>
          <w:tcPr>
            <w:tcW w:w="6299" w:type="dxa"/>
          </w:tcPr>
          <w:p w:rsidR="00AF0B91" w:rsidRDefault="00ED3226" w:rsidP="00ED3226">
            <w:pPr>
              <w:pStyle w:val="TableBodyText"/>
              <w:spacing w:before="60"/>
              <w:ind w:left="57"/>
              <w:jc w:val="left"/>
            </w:pPr>
            <w:proofErr w:type="spellStart"/>
            <w:r>
              <w:t>CEDA</w:t>
            </w:r>
            <w:proofErr w:type="spellEnd"/>
            <w:r>
              <w:t xml:space="preserve"> Trustee Luncheon, Melbourne (Mike Woods)</w:t>
            </w:r>
          </w:p>
        </w:tc>
        <w:tc>
          <w:tcPr>
            <w:tcW w:w="172" w:type="dxa"/>
          </w:tcPr>
          <w:p w:rsidR="00AF0B91" w:rsidRDefault="00AF0B91" w:rsidP="00AF0B91">
            <w:pPr>
              <w:pStyle w:val="TableBodyText"/>
              <w:spacing w:before="60"/>
              <w:ind w:left="57"/>
              <w:jc w:val="left"/>
            </w:pPr>
          </w:p>
        </w:tc>
        <w:tc>
          <w:tcPr>
            <w:tcW w:w="5726" w:type="dxa"/>
          </w:tcPr>
          <w:p w:rsidR="00AF0B91" w:rsidRDefault="00ED3226" w:rsidP="00AF0B91">
            <w:pPr>
              <w:pStyle w:val="TableBodyText"/>
              <w:spacing w:before="60"/>
              <w:ind w:left="57"/>
              <w:jc w:val="left"/>
            </w:pPr>
            <w:r>
              <w:t>Commission’s inquiry into Caring for Older Australians</w:t>
            </w:r>
          </w:p>
        </w:tc>
        <w:tc>
          <w:tcPr>
            <w:tcW w:w="1425" w:type="dxa"/>
          </w:tcPr>
          <w:p w:rsidR="00AF0B91" w:rsidRDefault="00ED3226" w:rsidP="00AF0B91">
            <w:pPr>
              <w:pStyle w:val="TableBodyText"/>
              <w:spacing w:before="60"/>
              <w:ind w:left="57"/>
            </w:pPr>
            <w:r>
              <w:t>April 2012</w:t>
            </w:r>
          </w:p>
        </w:tc>
      </w:tr>
      <w:tr w:rsidR="00AF0B91" w:rsidTr="00AF0B91">
        <w:tc>
          <w:tcPr>
            <w:tcW w:w="6299" w:type="dxa"/>
          </w:tcPr>
          <w:p w:rsidR="00AF0B91" w:rsidRDefault="00ED3226" w:rsidP="00AF0B91">
            <w:pPr>
              <w:pStyle w:val="TableBodyText"/>
              <w:spacing w:before="60"/>
              <w:ind w:left="57"/>
              <w:jc w:val="left"/>
            </w:pPr>
            <w:r>
              <w:lastRenderedPageBreak/>
              <w:t>Australian New Zealand Leadership Forum, Sydney (Jonathan Coppel)</w:t>
            </w:r>
          </w:p>
        </w:tc>
        <w:tc>
          <w:tcPr>
            <w:tcW w:w="172" w:type="dxa"/>
          </w:tcPr>
          <w:p w:rsidR="00AF0B91" w:rsidRDefault="00AF0B91" w:rsidP="00AF0B91">
            <w:pPr>
              <w:pStyle w:val="TableBodyText"/>
              <w:spacing w:before="60"/>
              <w:ind w:left="57"/>
              <w:jc w:val="left"/>
            </w:pPr>
          </w:p>
        </w:tc>
        <w:tc>
          <w:tcPr>
            <w:tcW w:w="5726" w:type="dxa"/>
          </w:tcPr>
          <w:p w:rsidR="00AF0B91" w:rsidRDefault="00ED3226" w:rsidP="00AF0B91">
            <w:pPr>
              <w:pStyle w:val="TableBodyText"/>
              <w:spacing w:before="60"/>
              <w:ind w:left="57"/>
              <w:jc w:val="left"/>
            </w:pPr>
            <w:r>
              <w:t>Australian and New Zealand: together in the Indo-Pacific Century</w:t>
            </w:r>
          </w:p>
        </w:tc>
        <w:tc>
          <w:tcPr>
            <w:tcW w:w="1425" w:type="dxa"/>
          </w:tcPr>
          <w:p w:rsidR="00AF0B91" w:rsidRDefault="00ED3226" w:rsidP="00AF0B91">
            <w:pPr>
              <w:pStyle w:val="TableBodyText"/>
              <w:spacing w:before="60"/>
              <w:ind w:left="57"/>
            </w:pPr>
            <w:r>
              <w:t>April 2012</w:t>
            </w:r>
          </w:p>
        </w:tc>
      </w:tr>
      <w:tr w:rsidR="009B2878" w:rsidTr="009B2878">
        <w:tc>
          <w:tcPr>
            <w:tcW w:w="6299" w:type="dxa"/>
          </w:tcPr>
          <w:p w:rsidR="009B2878" w:rsidRDefault="001A5C54" w:rsidP="009B2878">
            <w:pPr>
              <w:pStyle w:val="TableBodyText"/>
              <w:spacing w:before="60"/>
              <w:ind w:left="57"/>
              <w:jc w:val="left"/>
            </w:pPr>
            <w:r>
              <w:t>Energy Networks Association</w:t>
            </w:r>
            <w:r w:rsidR="009B2878">
              <w:t xml:space="preserve"> </w:t>
            </w:r>
            <w:proofErr w:type="spellStart"/>
            <w:r w:rsidR="009B2878">
              <w:t>CEO</w:t>
            </w:r>
            <w:proofErr w:type="spellEnd"/>
            <w:r w:rsidR="009B2878">
              <w:t xml:space="preserve"> Forum</w:t>
            </w:r>
            <w:r>
              <w:t>, Brisbane (Philip Weickhardt)</w:t>
            </w:r>
            <w:r w:rsidR="009B2878">
              <w:t xml:space="preserve"> </w:t>
            </w:r>
          </w:p>
        </w:tc>
        <w:tc>
          <w:tcPr>
            <w:tcW w:w="172" w:type="dxa"/>
          </w:tcPr>
          <w:p w:rsidR="009B2878" w:rsidRDefault="009B2878" w:rsidP="009B2878">
            <w:pPr>
              <w:pStyle w:val="TableBodyText"/>
              <w:spacing w:before="60"/>
              <w:ind w:left="57"/>
              <w:jc w:val="left"/>
            </w:pPr>
          </w:p>
        </w:tc>
        <w:tc>
          <w:tcPr>
            <w:tcW w:w="5726" w:type="dxa"/>
          </w:tcPr>
          <w:p w:rsidR="009B2878" w:rsidRDefault="001A5C54" w:rsidP="009B2878">
            <w:pPr>
              <w:pStyle w:val="TableBodyText"/>
              <w:spacing w:before="60"/>
              <w:ind w:left="57"/>
              <w:jc w:val="left"/>
            </w:pPr>
            <w:r>
              <w:t>Commission’s inquiry into Electricity Network Regulation</w:t>
            </w:r>
          </w:p>
        </w:tc>
        <w:tc>
          <w:tcPr>
            <w:tcW w:w="1425" w:type="dxa"/>
          </w:tcPr>
          <w:p w:rsidR="009B2878" w:rsidRDefault="001A5C54" w:rsidP="009B2878">
            <w:pPr>
              <w:pStyle w:val="TableBodyText"/>
              <w:spacing w:before="60"/>
              <w:ind w:left="57"/>
            </w:pPr>
            <w:r>
              <w:t>April 2012</w:t>
            </w:r>
          </w:p>
        </w:tc>
      </w:tr>
      <w:tr w:rsidR="001A5C54" w:rsidTr="009B2878">
        <w:tc>
          <w:tcPr>
            <w:tcW w:w="6299" w:type="dxa"/>
          </w:tcPr>
          <w:p w:rsidR="001A5C54" w:rsidRDefault="001A5C54" w:rsidP="009B2878">
            <w:pPr>
              <w:pStyle w:val="TableBodyText"/>
              <w:spacing w:before="60"/>
              <w:ind w:left="57"/>
              <w:jc w:val="left"/>
            </w:pPr>
            <w:proofErr w:type="spellStart"/>
            <w:r>
              <w:t>NCCARF</w:t>
            </w:r>
            <w:proofErr w:type="spellEnd"/>
            <w:r>
              <w:t>/</w:t>
            </w:r>
            <w:proofErr w:type="spellStart"/>
            <w:r>
              <w:t>DCCEE</w:t>
            </w:r>
            <w:proofErr w:type="spellEnd"/>
            <w:r>
              <w:t>/</w:t>
            </w:r>
            <w:proofErr w:type="spellStart"/>
            <w:r>
              <w:t>ANU</w:t>
            </w:r>
            <w:proofErr w:type="spellEnd"/>
            <w:r>
              <w:t xml:space="preserve"> Workshop, Canberra (Wendy Craik)</w:t>
            </w:r>
          </w:p>
        </w:tc>
        <w:tc>
          <w:tcPr>
            <w:tcW w:w="172" w:type="dxa"/>
          </w:tcPr>
          <w:p w:rsidR="001A5C54" w:rsidRDefault="001A5C54" w:rsidP="009B2878">
            <w:pPr>
              <w:pStyle w:val="TableBodyText"/>
              <w:spacing w:before="60"/>
              <w:ind w:left="57"/>
              <w:jc w:val="left"/>
            </w:pPr>
          </w:p>
        </w:tc>
        <w:tc>
          <w:tcPr>
            <w:tcW w:w="5726" w:type="dxa"/>
          </w:tcPr>
          <w:p w:rsidR="001A5C54" w:rsidRDefault="001A5C54" w:rsidP="001A5C54">
            <w:pPr>
              <w:pStyle w:val="TableBodyText"/>
              <w:spacing w:before="60"/>
              <w:ind w:left="57"/>
              <w:jc w:val="left"/>
            </w:pPr>
            <w:r>
              <w:t xml:space="preserve">Commission’s inquiry in Barriers to Effective Climate Change Adaptation </w:t>
            </w:r>
          </w:p>
        </w:tc>
        <w:tc>
          <w:tcPr>
            <w:tcW w:w="1425" w:type="dxa"/>
          </w:tcPr>
          <w:p w:rsidR="001A5C54" w:rsidRDefault="001A5C54" w:rsidP="009B2878">
            <w:pPr>
              <w:pStyle w:val="TableBodyText"/>
              <w:spacing w:before="60"/>
              <w:ind w:left="57"/>
            </w:pPr>
            <w:r>
              <w:t>May 2012</w:t>
            </w:r>
          </w:p>
        </w:tc>
      </w:tr>
      <w:tr w:rsidR="001A5C54" w:rsidTr="009B2878">
        <w:tc>
          <w:tcPr>
            <w:tcW w:w="6299" w:type="dxa"/>
          </w:tcPr>
          <w:p w:rsidR="001A5C54" w:rsidRDefault="001A5C54" w:rsidP="009B2878">
            <w:pPr>
              <w:pStyle w:val="TableBodyText"/>
              <w:spacing w:before="60"/>
              <w:ind w:left="57"/>
              <w:jc w:val="left"/>
            </w:pPr>
            <w:r>
              <w:t>Practical Responses to Climate Change National Conference, Canberra (Wendy Craik)</w:t>
            </w:r>
          </w:p>
        </w:tc>
        <w:tc>
          <w:tcPr>
            <w:tcW w:w="172" w:type="dxa"/>
          </w:tcPr>
          <w:p w:rsidR="001A5C54" w:rsidRDefault="001A5C54" w:rsidP="009B2878">
            <w:pPr>
              <w:pStyle w:val="TableBodyText"/>
              <w:spacing w:before="60"/>
              <w:ind w:left="57"/>
              <w:jc w:val="left"/>
            </w:pPr>
          </w:p>
        </w:tc>
        <w:tc>
          <w:tcPr>
            <w:tcW w:w="5726" w:type="dxa"/>
          </w:tcPr>
          <w:p w:rsidR="001A5C54" w:rsidRDefault="001A5C54" w:rsidP="001A5C54">
            <w:pPr>
              <w:pStyle w:val="TableBodyText"/>
              <w:spacing w:before="60"/>
              <w:ind w:left="57"/>
              <w:jc w:val="left"/>
            </w:pPr>
            <w:r>
              <w:t xml:space="preserve">Commission’s inquiry in Barriers to Effective Climate Change Adaptation </w:t>
            </w:r>
          </w:p>
        </w:tc>
        <w:tc>
          <w:tcPr>
            <w:tcW w:w="1425" w:type="dxa"/>
          </w:tcPr>
          <w:p w:rsidR="001A5C54" w:rsidRDefault="001A5C54" w:rsidP="009B2878">
            <w:pPr>
              <w:pStyle w:val="TableBodyText"/>
              <w:spacing w:before="60"/>
              <w:ind w:left="57"/>
            </w:pPr>
            <w:r>
              <w:t>May 2012</w:t>
            </w:r>
          </w:p>
        </w:tc>
      </w:tr>
      <w:tr w:rsidR="001A5C54" w:rsidTr="009B2878">
        <w:tc>
          <w:tcPr>
            <w:tcW w:w="6299" w:type="dxa"/>
          </w:tcPr>
          <w:p w:rsidR="001A5C54" w:rsidRDefault="006A75BE" w:rsidP="006A75BE">
            <w:pPr>
              <w:pStyle w:val="TableBodyText"/>
              <w:spacing w:before="60"/>
              <w:ind w:left="57"/>
              <w:jc w:val="left"/>
            </w:pPr>
            <w:r>
              <w:t>Annual General Meeting for Early Childhood Management Services, Melbourne (Angela MacRae)</w:t>
            </w:r>
          </w:p>
        </w:tc>
        <w:tc>
          <w:tcPr>
            <w:tcW w:w="172" w:type="dxa"/>
          </w:tcPr>
          <w:p w:rsidR="001A5C54" w:rsidRDefault="001A5C54" w:rsidP="009B2878">
            <w:pPr>
              <w:pStyle w:val="TableBodyText"/>
              <w:spacing w:before="60"/>
              <w:ind w:left="57"/>
              <w:jc w:val="left"/>
            </w:pPr>
          </w:p>
        </w:tc>
        <w:tc>
          <w:tcPr>
            <w:tcW w:w="5726" w:type="dxa"/>
          </w:tcPr>
          <w:p w:rsidR="001A5C54" w:rsidRDefault="006A75BE" w:rsidP="009B2878">
            <w:pPr>
              <w:pStyle w:val="TableBodyText"/>
              <w:spacing w:before="60"/>
              <w:ind w:left="57"/>
              <w:jc w:val="left"/>
            </w:pPr>
            <w:r>
              <w:t>Commission’s study into Early Childhood Development Workforce`</w:t>
            </w:r>
          </w:p>
        </w:tc>
        <w:tc>
          <w:tcPr>
            <w:tcW w:w="1425" w:type="dxa"/>
          </w:tcPr>
          <w:p w:rsidR="001A5C54" w:rsidRDefault="006A75BE" w:rsidP="009B2878">
            <w:pPr>
              <w:pStyle w:val="TableBodyText"/>
              <w:spacing w:before="60"/>
              <w:ind w:left="57"/>
            </w:pPr>
            <w:r>
              <w:t>May 2012</w:t>
            </w:r>
          </w:p>
        </w:tc>
      </w:tr>
      <w:tr w:rsidR="006A75BE" w:rsidTr="009B2878">
        <w:tc>
          <w:tcPr>
            <w:tcW w:w="6299" w:type="dxa"/>
          </w:tcPr>
          <w:p w:rsidR="006A75BE" w:rsidRDefault="006A75BE" w:rsidP="009B2878">
            <w:pPr>
              <w:pStyle w:val="TableBodyText"/>
              <w:spacing w:before="60"/>
              <w:ind w:left="57"/>
              <w:jc w:val="left"/>
            </w:pPr>
            <w:r>
              <w:t>Policy Forum on Adaption in OECD Countries, Paris (Jonathan Coppel)</w:t>
            </w:r>
          </w:p>
        </w:tc>
        <w:tc>
          <w:tcPr>
            <w:tcW w:w="172" w:type="dxa"/>
          </w:tcPr>
          <w:p w:rsidR="006A75BE" w:rsidRDefault="006A75BE" w:rsidP="009B2878">
            <w:pPr>
              <w:pStyle w:val="TableBodyText"/>
              <w:spacing w:before="60"/>
              <w:ind w:left="57"/>
              <w:jc w:val="left"/>
            </w:pPr>
          </w:p>
        </w:tc>
        <w:tc>
          <w:tcPr>
            <w:tcW w:w="5726" w:type="dxa"/>
          </w:tcPr>
          <w:p w:rsidR="006A75BE" w:rsidRDefault="006A75BE" w:rsidP="006A75BE">
            <w:pPr>
              <w:pStyle w:val="TableBodyText"/>
              <w:spacing w:before="60"/>
              <w:ind w:left="57"/>
              <w:jc w:val="left"/>
            </w:pPr>
            <w:r>
              <w:t xml:space="preserve">Commission’s inquiry in Barriers to Effective Climate Change Adaptation </w:t>
            </w:r>
          </w:p>
        </w:tc>
        <w:tc>
          <w:tcPr>
            <w:tcW w:w="1425" w:type="dxa"/>
          </w:tcPr>
          <w:p w:rsidR="006A75BE" w:rsidRDefault="006A75BE" w:rsidP="009B2878">
            <w:pPr>
              <w:pStyle w:val="TableBodyText"/>
              <w:spacing w:before="60"/>
              <w:ind w:left="57"/>
            </w:pPr>
            <w:r>
              <w:t>May 2012</w:t>
            </w:r>
          </w:p>
        </w:tc>
      </w:tr>
      <w:tr w:rsidR="006A75BE" w:rsidTr="00AF0B91">
        <w:tc>
          <w:tcPr>
            <w:tcW w:w="6299" w:type="dxa"/>
          </w:tcPr>
          <w:p w:rsidR="006A75BE" w:rsidRDefault="00302CDA" w:rsidP="00AF0B91">
            <w:pPr>
              <w:pStyle w:val="TableBodyText"/>
              <w:spacing w:before="60"/>
              <w:ind w:left="57"/>
              <w:jc w:val="left"/>
            </w:pPr>
            <w:r>
              <w:t>The Homelessness NSW 2012 Conference, Newcastle (Robert Fitzgerald)</w:t>
            </w:r>
          </w:p>
        </w:tc>
        <w:tc>
          <w:tcPr>
            <w:tcW w:w="172" w:type="dxa"/>
          </w:tcPr>
          <w:p w:rsidR="006A75BE" w:rsidRDefault="006A75BE" w:rsidP="00AF0B91">
            <w:pPr>
              <w:pStyle w:val="TableBodyText"/>
              <w:spacing w:before="60"/>
              <w:ind w:left="57"/>
              <w:jc w:val="left"/>
            </w:pPr>
          </w:p>
        </w:tc>
        <w:tc>
          <w:tcPr>
            <w:tcW w:w="5726" w:type="dxa"/>
          </w:tcPr>
          <w:p w:rsidR="006A75BE" w:rsidRDefault="00302CDA" w:rsidP="00AF0B91">
            <w:pPr>
              <w:pStyle w:val="TableBodyText"/>
              <w:spacing w:before="60"/>
              <w:ind w:left="57"/>
              <w:jc w:val="left"/>
            </w:pPr>
            <w:r>
              <w:t>Getting results in Newcastle: the next era for the not for profit sector</w:t>
            </w:r>
          </w:p>
        </w:tc>
        <w:tc>
          <w:tcPr>
            <w:tcW w:w="1425" w:type="dxa"/>
          </w:tcPr>
          <w:p w:rsidR="006A75BE" w:rsidRDefault="00302CDA" w:rsidP="00AF0B91">
            <w:pPr>
              <w:pStyle w:val="TableBodyText"/>
              <w:spacing w:before="60"/>
              <w:ind w:left="57"/>
            </w:pPr>
            <w:r>
              <w:t>May 2012</w:t>
            </w:r>
          </w:p>
        </w:tc>
      </w:tr>
      <w:tr w:rsidR="006A75BE" w:rsidTr="00AF0B91">
        <w:tc>
          <w:tcPr>
            <w:tcW w:w="6299" w:type="dxa"/>
          </w:tcPr>
          <w:p w:rsidR="006A75BE" w:rsidRDefault="00302CDA" w:rsidP="00AF0B91">
            <w:pPr>
              <w:pStyle w:val="TableBodyText"/>
              <w:spacing w:before="60"/>
              <w:ind w:left="57"/>
              <w:jc w:val="left"/>
            </w:pPr>
            <w:r>
              <w:t>University of South Australia Chancellors’ Council meeting, Adelaide (Mike Woods)</w:t>
            </w:r>
          </w:p>
        </w:tc>
        <w:tc>
          <w:tcPr>
            <w:tcW w:w="172" w:type="dxa"/>
          </w:tcPr>
          <w:p w:rsidR="006A75BE" w:rsidRDefault="006A75BE" w:rsidP="00AF0B91">
            <w:pPr>
              <w:pStyle w:val="TableBodyText"/>
              <w:spacing w:before="60"/>
              <w:ind w:left="57"/>
              <w:jc w:val="left"/>
            </w:pPr>
          </w:p>
        </w:tc>
        <w:tc>
          <w:tcPr>
            <w:tcW w:w="5726" w:type="dxa"/>
          </w:tcPr>
          <w:p w:rsidR="006A75BE" w:rsidRDefault="00302CDA" w:rsidP="00AF0B91">
            <w:pPr>
              <w:pStyle w:val="TableBodyText"/>
              <w:spacing w:before="60"/>
              <w:ind w:left="57"/>
              <w:jc w:val="left"/>
            </w:pPr>
            <w:r>
              <w:t>Productivity in Universities</w:t>
            </w:r>
          </w:p>
        </w:tc>
        <w:tc>
          <w:tcPr>
            <w:tcW w:w="1425" w:type="dxa"/>
          </w:tcPr>
          <w:p w:rsidR="006A75BE" w:rsidRDefault="00302CDA" w:rsidP="00AF0B91">
            <w:pPr>
              <w:pStyle w:val="TableBodyText"/>
              <w:spacing w:before="60"/>
              <w:ind w:left="57"/>
            </w:pPr>
            <w:r>
              <w:t>May 2012</w:t>
            </w:r>
          </w:p>
        </w:tc>
      </w:tr>
      <w:tr w:rsidR="00302CDA" w:rsidTr="00AF0B91">
        <w:tc>
          <w:tcPr>
            <w:tcW w:w="6299" w:type="dxa"/>
          </w:tcPr>
          <w:p w:rsidR="00302CDA" w:rsidRDefault="00302CDA" w:rsidP="00AF0B91">
            <w:pPr>
              <w:pStyle w:val="TableBodyText"/>
              <w:spacing w:before="60"/>
              <w:ind w:left="57"/>
              <w:jc w:val="left"/>
            </w:pPr>
            <w:r>
              <w:t>Australian National Institute for Public Policy course, Canberra (Wendy Craik)</w:t>
            </w:r>
          </w:p>
        </w:tc>
        <w:tc>
          <w:tcPr>
            <w:tcW w:w="172" w:type="dxa"/>
          </w:tcPr>
          <w:p w:rsidR="00302CDA" w:rsidRDefault="00302CDA" w:rsidP="00AF0B91">
            <w:pPr>
              <w:pStyle w:val="TableBodyText"/>
              <w:spacing w:before="60"/>
              <w:ind w:left="57"/>
              <w:jc w:val="left"/>
            </w:pPr>
          </w:p>
        </w:tc>
        <w:tc>
          <w:tcPr>
            <w:tcW w:w="5726" w:type="dxa"/>
          </w:tcPr>
          <w:p w:rsidR="00302CDA" w:rsidRDefault="00302CDA" w:rsidP="00302CDA">
            <w:pPr>
              <w:pStyle w:val="TableBodyText"/>
              <w:spacing w:before="60"/>
              <w:ind w:left="57"/>
              <w:jc w:val="left"/>
            </w:pPr>
            <w:r>
              <w:t xml:space="preserve">Commission’s inquiry in Barriers to Effective Climate Change Adaptation </w:t>
            </w:r>
          </w:p>
        </w:tc>
        <w:tc>
          <w:tcPr>
            <w:tcW w:w="1425" w:type="dxa"/>
          </w:tcPr>
          <w:p w:rsidR="00302CDA" w:rsidRDefault="00302CDA" w:rsidP="00AF0B91">
            <w:pPr>
              <w:pStyle w:val="TableBodyText"/>
              <w:spacing w:before="60"/>
              <w:ind w:left="57"/>
            </w:pPr>
            <w:r>
              <w:t>May 2012</w:t>
            </w:r>
          </w:p>
        </w:tc>
      </w:tr>
      <w:tr w:rsidR="00302CDA" w:rsidTr="00AF0B91">
        <w:tc>
          <w:tcPr>
            <w:tcW w:w="6299" w:type="dxa"/>
          </w:tcPr>
          <w:p w:rsidR="00302CDA" w:rsidRDefault="00302CDA" w:rsidP="00AF0B91">
            <w:pPr>
              <w:pStyle w:val="TableBodyText"/>
              <w:spacing w:before="60"/>
              <w:ind w:left="57"/>
              <w:jc w:val="left"/>
            </w:pPr>
            <w:r>
              <w:t>OECD Policy Seminar, Mexico (Mike Woods)</w:t>
            </w:r>
          </w:p>
        </w:tc>
        <w:tc>
          <w:tcPr>
            <w:tcW w:w="172" w:type="dxa"/>
          </w:tcPr>
          <w:p w:rsidR="00302CDA" w:rsidRDefault="00302CDA" w:rsidP="00AF0B91">
            <w:pPr>
              <w:pStyle w:val="TableBodyText"/>
              <w:spacing w:before="60"/>
              <w:ind w:left="57"/>
              <w:jc w:val="left"/>
            </w:pPr>
          </w:p>
        </w:tc>
        <w:tc>
          <w:tcPr>
            <w:tcW w:w="5726" w:type="dxa"/>
          </w:tcPr>
          <w:p w:rsidR="00302CDA" w:rsidRDefault="00302CDA" w:rsidP="00302CDA">
            <w:pPr>
              <w:pStyle w:val="TableBodyText"/>
              <w:spacing w:before="60"/>
              <w:ind w:left="57"/>
              <w:jc w:val="left"/>
            </w:pPr>
            <w:r>
              <w:t>Peer review of the OECD review of regulatory policies in Mexico</w:t>
            </w:r>
          </w:p>
        </w:tc>
        <w:tc>
          <w:tcPr>
            <w:tcW w:w="1425" w:type="dxa"/>
          </w:tcPr>
          <w:p w:rsidR="00302CDA" w:rsidRDefault="00302CDA" w:rsidP="00AF0B91">
            <w:pPr>
              <w:pStyle w:val="TableBodyText"/>
              <w:spacing w:before="60"/>
              <w:ind w:left="57"/>
            </w:pPr>
            <w:r>
              <w:t>July 2012</w:t>
            </w:r>
          </w:p>
        </w:tc>
      </w:tr>
      <w:tr w:rsidR="00302CDA" w:rsidTr="00AF0B91">
        <w:tc>
          <w:tcPr>
            <w:tcW w:w="6299" w:type="dxa"/>
          </w:tcPr>
          <w:p w:rsidR="00302CDA" w:rsidRDefault="00872A5E" w:rsidP="00AF0B91">
            <w:pPr>
              <w:pStyle w:val="TableBodyText"/>
              <w:spacing w:before="60"/>
              <w:ind w:left="57"/>
              <w:jc w:val="left"/>
            </w:pPr>
            <w:proofErr w:type="spellStart"/>
            <w:r>
              <w:t>LGMA</w:t>
            </w:r>
            <w:proofErr w:type="spellEnd"/>
            <w:r>
              <w:t xml:space="preserve"> NSW Forum: tackling the issues, Sydney (Warren Mundy)</w:t>
            </w:r>
          </w:p>
        </w:tc>
        <w:tc>
          <w:tcPr>
            <w:tcW w:w="172" w:type="dxa"/>
          </w:tcPr>
          <w:p w:rsidR="00302CDA" w:rsidRDefault="00302CDA" w:rsidP="00AF0B91">
            <w:pPr>
              <w:pStyle w:val="TableBodyText"/>
              <w:spacing w:before="60"/>
              <w:ind w:left="57"/>
              <w:jc w:val="left"/>
            </w:pPr>
          </w:p>
        </w:tc>
        <w:tc>
          <w:tcPr>
            <w:tcW w:w="5726" w:type="dxa"/>
          </w:tcPr>
          <w:p w:rsidR="00302CDA" w:rsidRDefault="00872A5E" w:rsidP="00872A5E">
            <w:pPr>
              <w:pStyle w:val="TableBodyText"/>
              <w:spacing w:before="60"/>
              <w:ind w:left="57"/>
              <w:jc w:val="left"/>
            </w:pPr>
            <w:r>
              <w:t xml:space="preserve">Commission’s study into </w:t>
            </w:r>
            <w:r w:rsidRPr="00872A5E">
              <w:t>Performance Benchmarking of Australian Business Regulation: Role of Local Government as Regulator</w:t>
            </w:r>
          </w:p>
        </w:tc>
        <w:tc>
          <w:tcPr>
            <w:tcW w:w="1425" w:type="dxa"/>
          </w:tcPr>
          <w:p w:rsidR="00302CDA" w:rsidRDefault="00872A5E" w:rsidP="00AF0B91">
            <w:pPr>
              <w:pStyle w:val="TableBodyText"/>
              <w:spacing w:before="60"/>
              <w:ind w:left="57"/>
            </w:pPr>
            <w:r>
              <w:t>June 2012</w:t>
            </w:r>
          </w:p>
        </w:tc>
      </w:tr>
      <w:tr w:rsidR="00872A5E" w:rsidTr="006E168D">
        <w:tc>
          <w:tcPr>
            <w:tcW w:w="6299" w:type="dxa"/>
          </w:tcPr>
          <w:p w:rsidR="00872A5E" w:rsidRDefault="00872A5E" w:rsidP="00AF0B91">
            <w:pPr>
              <w:pStyle w:val="TableBodyText"/>
              <w:spacing w:before="60"/>
              <w:ind w:left="57"/>
              <w:jc w:val="left"/>
            </w:pPr>
            <w:r>
              <w:t>ALGA National General Assembly of Local Government, Canberra (Warren Mundy)</w:t>
            </w:r>
          </w:p>
        </w:tc>
        <w:tc>
          <w:tcPr>
            <w:tcW w:w="172" w:type="dxa"/>
          </w:tcPr>
          <w:p w:rsidR="00872A5E" w:rsidRDefault="00872A5E" w:rsidP="00AF0B91">
            <w:pPr>
              <w:pStyle w:val="TableBodyText"/>
              <w:spacing w:before="60"/>
              <w:ind w:left="57"/>
              <w:jc w:val="left"/>
            </w:pPr>
          </w:p>
        </w:tc>
        <w:tc>
          <w:tcPr>
            <w:tcW w:w="5726" w:type="dxa"/>
          </w:tcPr>
          <w:p w:rsidR="00872A5E" w:rsidRDefault="00872A5E" w:rsidP="00872A5E">
            <w:pPr>
              <w:pStyle w:val="TableBodyText"/>
              <w:spacing w:before="60"/>
              <w:ind w:left="57"/>
              <w:jc w:val="left"/>
            </w:pPr>
            <w:r>
              <w:t xml:space="preserve">Commission’s study into </w:t>
            </w:r>
            <w:r w:rsidRPr="00872A5E">
              <w:t>Performance Benchmarking of Australian Business Regulation: Role of Local Government as Regulator</w:t>
            </w:r>
          </w:p>
        </w:tc>
        <w:tc>
          <w:tcPr>
            <w:tcW w:w="1425" w:type="dxa"/>
          </w:tcPr>
          <w:p w:rsidR="00872A5E" w:rsidRDefault="00872A5E" w:rsidP="00AF0B91">
            <w:pPr>
              <w:pStyle w:val="TableBodyText"/>
              <w:spacing w:before="60"/>
              <w:ind w:left="57"/>
            </w:pPr>
            <w:r>
              <w:t>June 2012</w:t>
            </w:r>
          </w:p>
        </w:tc>
      </w:tr>
      <w:tr w:rsidR="00872A5E" w:rsidTr="006E168D">
        <w:tc>
          <w:tcPr>
            <w:tcW w:w="6299" w:type="dxa"/>
            <w:tcBorders>
              <w:bottom w:val="single" w:sz="4" w:space="0" w:color="auto"/>
            </w:tcBorders>
          </w:tcPr>
          <w:p w:rsidR="00872A5E" w:rsidRDefault="00872A5E" w:rsidP="00AF0B91">
            <w:pPr>
              <w:pStyle w:val="TableBodyText"/>
              <w:spacing w:before="60"/>
              <w:ind w:left="57"/>
              <w:jc w:val="left"/>
            </w:pPr>
            <w:proofErr w:type="spellStart"/>
            <w:r>
              <w:t>NCCARF</w:t>
            </w:r>
            <w:proofErr w:type="spellEnd"/>
            <w:r>
              <w:t xml:space="preserve"> Climate Adaptation in Action 2012: sharing knowledge to adapt, Melbourne (Wendy Craik)</w:t>
            </w:r>
          </w:p>
        </w:tc>
        <w:tc>
          <w:tcPr>
            <w:tcW w:w="172" w:type="dxa"/>
            <w:tcBorders>
              <w:bottom w:val="single" w:sz="4" w:space="0" w:color="auto"/>
            </w:tcBorders>
          </w:tcPr>
          <w:p w:rsidR="00872A5E" w:rsidRDefault="00872A5E" w:rsidP="00AF0B91">
            <w:pPr>
              <w:pStyle w:val="TableBodyText"/>
              <w:spacing w:before="60"/>
              <w:ind w:left="57"/>
              <w:jc w:val="left"/>
            </w:pPr>
          </w:p>
        </w:tc>
        <w:tc>
          <w:tcPr>
            <w:tcW w:w="5726" w:type="dxa"/>
            <w:tcBorders>
              <w:bottom w:val="single" w:sz="4" w:space="0" w:color="auto"/>
            </w:tcBorders>
          </w:tcPr>
          <w:p w:rsidR="00872A5E" w:rsidRDefault="00872A5E" w:rsidP="00872A5E">
            <w:pPr>
              <w:pStyle w:val="TableBodyText"/>
              <w:spacing w:before="60"/>
              <w:ind w:left="57"/>
              <w:jc w:val="left"/>
            </w:pPr>
            <w:r>
              <w:t xml:space="preserve">Commission’s inquiry in Barriers to Effective Climate Change Adaptation </w:t>
            </w:r>
          </w:p>
        </w:tc>
        <w:tc>
          <w:tcPr>
            <w:tcW w:w="1425" w:type="dxa"/>
            <w:tcBorders>
              <w:bottom w:val="single" w:sz="4" w:space="0" w:color="auto"/>
            </w:tcBorders>
          </w:tcPr>
          <w:p w:rsidR="00872A5E" w:rsidRDefault="00872A5E" w:rsidP="00AF0B91">
            <w:pPr>
              <w:pStyle w:val="TableBodyText"/>
              <w:spacing w:before="60"/>
              <w:ind w:left="57"/>
            </w:pPr>
            <w:r>
              <w:t>June 2012</w:t>
            </w:r>
          </w:p>
        </w:tc>
      </w:tr>
    </w:tbl>
    <w:p w:rsidR="006E168D" w:rsidRDefault="006E168D" w:rsidP="006E168D">
      <w:pPr>
        <w:pStyle w:val="Continued"/>
      </w:pPr>
      <w:r>
        <w:t>(Continued on next page)</w:t>
      </w:r>
    </w:p>
    <w:p w:rsidR="006E168D" w:rsidRDefault="006E168D" w:rsidP="006E168D">
      <w:pPr>
        <w:pStyle w:val="TableTitle"/>
        <w:spacing w:before="120"/>
      </w:pPr>
      <w:r>
        <w:rPr>
          <w:b w:val="0"/>
        </w:rPr>
        <w:lastRenderedPageBreak/>
        <w:t xml:space="preserve">Table </w:t>
      </w:r>
      <w:proofErr w:type="spellStart"/>
      <w:r w:rsidR="0063784B">
        <w:rPr>
          <w:b w:val="0"/>
        </w:rPr>
        <w:t>E</w:t>
      </w:r>
      <w:r>
        <w:rPr>
          <w:b w:val="0"/>
        </w:rPr>
        <w:t>.</w:t>
      </w:r>
      <w:r>
        <w:rPr>
          <w:b w:val="0"/>
          <w:noProof/>
        </w:rPr>
        <w:t>1</w:t>
      </w:r>
      <w:proofErr w:type="spellEnd"/>
      <w:r>
        <w:tab/>
      </w:r>
      <w:r w:rsidRPr="00B61021">
        <w:rPr>
          <w:sz w:val="20"/>
        </w:rPr>
        <w:t>(continued)</w:t>
      </w:r>
      <w:r>
        <w:t xml:space="preserve"> </w:t>
      </w:r>
    </w:p>
    <w:tbl>
      <w:tblPr>
        <w:tblW w:w="13622" w:type="dxa"/>
        <w:tblInd w:w="-3" w:type="dxa"/>
        <w:tblLayout w:type="fixed"/>
        <w:tblCellMar>
          <w:left w:w="0" w:type="dxa"/>
          <w:right w:w="0" w:type="dxa"/>
        </w:tblCellMar>
        <w:tblLook w:val="0000" w:firstRow="0" w:lastRow="0" w:firstColumn="0" w:lastColumn="0" w:noHBand="0" w:noVBand="0"/>
      </w:tblPr>
      <w:tblGrid>
        <w:gridCol w:w="6299"/>
        <w:gridCol w:w="172"/>
        <w:gridCol w:w="5726"/>
        <w:gridCol w:w="1425"/>
      </w:tblGrid>
      <w:tr w:rsidR="006E168D" w:rsidRPr="00D014A7" w:rsidTr="00251E8B">
        <w:tc>
          <w:tcPr>
            <w:tcW w:w="6299" w:type="dxa"/>
            <w:tcBorders>
              <w:top w:val="single" w:sz="6" w:space="0" w:color="auto"/>
              <w:bottom w:val="single" w:sz="4" w:space="0" w:color="auto"/>
            </w:tcBorders>
            <w:shd w:val="clear" w:color="auto" w:fill="auto"/>
          </w:tcPr>
          <w:p w:rsidR="006E168D" w:rsidRDefault="006E168D" w:rsidP="00251E8B">
            <w:pPr>
              <w:pStyle w:val="TableColumnHeading"/>
              <w:spacing w:before="100" w:after="40"/>
              <w:ind w:left="57"/>
              <w:jc w:val="left"/>
            </w:pPr>
            <w:r w:rsidRPr="00D014A7">
              <w:t>Organisation/event</w:t>
            </w:r>
          </w:p>
        </w:tc>
        <w:tc>
          <w:tcPr>
            <w:tcW w:w="172" w:type="dxa"/>
            <w:tcBorders>
              <w:top w:val="single" w:sz="6" w:space="0" w:color="auto"/>
              <w:bottom w:val="single" w:sz="4" w:space="0" w:color="auto"/>
            </w:tcBorders>
          </w:tcPr>
          <w:p w:rsidR="006E168D" w:rsidRPr="00D014A7" w:rsidRDefault="006E168D" w:rsidP="00251E8B">
            <w:pPr>
              <w:pStyle w:val="TableColumnHeading"/>
              <w:spacing w:before="100" w:after="40"/>
              <w:ind w:left="57"/>
              <w:jc w:val="left"/>
            </w:pPr>
          </w:p>
        </w:tc>
        <w:tc>
          <w:tcPr>
            <w:tcW w:w="5726" w:type="dxa"/>
            <w:tcBorders>
              <w:top w:val="single" w:sz="6" w:space="0" w:color="auto"/>
              <w:bottom w:val="single" w:sz="4" w:space="0" w:color="auto"/>
            </w:tcBorders>
            <w:shd w:val="clear" w:color="auto" w:fill="auto"/>
          </w:tcPr>
          <w:p w:rsidR="006E168D" w:rsidRDefault="006E168D" w:rsidP="00251E8B">
            <w:pPr>
              <w:pStyle w:val="TableColumnHeading"/>
              <w:spacing w:before="100" w:after="40"/>
              <w:ind w:left="57"/>
              <w:jc w:val="left"/>
            </w:pPr>
            <w:r w:rsidRPr="00D014A7">
              <w:t>Topic</w:t>
            </w:r>
          </w:p>
        </w:tc>
        <w:tc>
          <w:tcPr>
            <w:tcW w:w="1425" w:type="dxa"/>
            <w:tcBorders>
              <w:top w:val="single" w:sz="6" w:space="0" w:color="auto"/>
              <w:bottom w:val="single" w:sz="4" w:space="0" w:color="auto"/>
            </w:tcBorders>
            <w:shd w:val="clear" w:color="auto" w:fill="auto"/>
          </w:tcPr>
          <w:p w:rsidR="006E168D" w:rsidRDefault="006E168D" w:rsidP="00251E8B">
            <w:pPr>
              <w:pStyle w:val="TableColumnHeading"/>
              <w:spacing w:before="100" w:after="40"/>
              <w:ind w:left="57"/>
            </w:pPr>
            <w:r w:rsidRPr="00D014A7">
              <w:t>Date</w:t>
            </w:r>
          </w:p>
        </w:tc>
      </w:tr>
      <w:tr w:rsidR="00872A5E" w:rsidRPr="00423E1A" w:rsidTr="00AF0B91">
        <w:tc>
          <w:tcPr>
            <w:tcW w:w="6299" w:type="dxa"/>
          </w:tcPr>
          <w:p w:rsidR="00872A5E" w:rsidRPr="00423E1A" w:rsidRDefault="00872A5E" w:rsidP="00AF0B91">
            <w:pPr>
              <w:pStyle w:val="TableBodyText"/>
              <w:spacing w:before="200"/>
              <w:ind w:left="57"/>
              <w:jc w:val="left"/>
              <w:rPr>
                <w:b/>
              </w:rPr>
            </w:pPr>
            <w:r>
              <w:rPr>
                <w:b/>
              </w:rPr>
              <w:t>Staff</w:t>
            </w:r>
            <w:r w:rsidRPr="00423E1A">
              <w:rPr>
                <w:b/>
              </w:rPr>
              <w:t>:</w:t>
            </w:r>
          </w:p>
        </w:tc>
        <w:tc>
          <w:tcPr>
            <w:tcW w:w="172" w:type="dxa"/>
          </w:tcPr>
          <w:p w:rsidR="00872A5E" w:rsidRPr="00423E1A" w:rsidRDefault="00872A5E" w:rsidP="00AF0B91">
            <w:pPr>
              <w:pStyle w:val="TableBodyText"/>
              <w:spacing w:before="200"/>
              <w:ind w:left="57"/>
              <w:jc w:val="left"/>
              <w:rPr>
                <w:b/>
              </w:rPr>
            </w:pPr>
          </w:p>
        </w:tc>
        <w:tc>
          <w:tcPr>
            <w:tcW w:w="5726" w:type="dxa"/>
          </w:tcPr>
          <w:p w:rsidR="00872A5E" w:rsidRPr="00423E1A" w:rsidRDefault="00872A5E" w:rsidP="00AF0B91">
            <w:pPr>
              <w:pStyle w:val="TableBodyText"/>
              <w:spacing w:before="200"/>
              <w:ind w:left="57"/>
              <w:jc w:val="left"/>
              <w:rPr>
                <w:b/>
              </w:rPr>
            </w:pPr>
          </w:p>
        </w:tc>
        <w:tc>
          <w:tcPr>
            <w:tcW w:w="1425" w:type="dxa"/>
          </w:tcPr>
          <w:p w:rsidR="00872A5E" w:rsidRPr="00423E1A" w:rsidRDefault="00872A5E" w:rsidP="00AF0B91">
            <w:pPr>
              <w:pStyle w:val="TableBodyText"/>
              <w:spacing w:before="200"/>
              <w:ind w:left="57"/>
              <w:jc w:val="left"/>
              <w:rPr>
                <w:b/>
              </w:rPr>
            </w:pPr>
          </w:p>
        </w:tc>
      </w:tr>
      <w:tr w:rsidR="00382935" w:rsidTr="00AB5CDE">
        <w:tc>
          <w:tcPr>
            <w:tcW w:w="6299" w:type="dxa"/>
          </w:tcPr>
          <w:p w:rsidR="00382935" w:rsidRDefault="00382935" w:rsidP="00AF0B91">
            <w:pPr>
              <w:pStyle w:val="TableBodyText"/>
              <w:spacing w:before="60"/>
              <w:ind w:left="57"/>
              <w:jc w:val="left"/>
            </w:pPr>
            <w:r>
              <w:t>Parliamentary Library Staff Seminar, Canberra (Rosalie McLachlan &amp; Anthony Housego)</w:t>
            </w:r>
          </w:p>
        </w:tc>
        <w:tc>
          <w:tcPr>
            <w:tcW w:w="172" w:type="dxa"/>
          </w:tcPr>
          <w:p w:rsidR="00382935" w:rsidRDefault="00382935" w:rsidP="00AF0B91">
            <w:pPr>
              <w:pStyle w:val="TableBodyText"/>
              <w:spacing w:before="60"/>
              <w:ind w:left="57"/>
              <w:jc w:val="left"/>
            </w:pPr>
          </w:p>
        </w:tc>
        <w:tc>
          <w:tcPr>
            <w:tcW w:w="5726" w:type="dxa"/>
          </w:tcPr>
          <w:p w:rsidR="00382935" w:rsidRDefault="00382935" w:rsidP="00AF0B91">
            <w:pPr>
              <w:pStyle w:val="TableBodyText"/>
              <w:spacing w:before="60"/>
              <w:ind w:left="57"/>
              <w:jc w:val="left"/>
            </w:pPr>
            <w:r>
              <w:t>Commission’s inquiry into Caring for Older Australians</w:t>
            </w:r>
          </w:p>
        </w:tc>
        <w:tc>
          <w:tcPr>
            <w:tcW w:w="1425" w:type="dxa"/>
          </w:tcPr>
          <w:p w:rsidR="00382935" w:rsidRDefault="00382935" w:rsidP="00AF0B91">
            <w:pPr>
              <w:pStyle w:val="TableBodyText"/>
              <w:spacing w:before="60"/>
              <w:ind w:left="57"/>
            </w:pPr>
            <w:r>
              <w:t>Aug 2011</w:t>
            </w:r>
          </w:p>
        </w:tc>
      </w:tr>
      <w:tr w:rsidR="00872A5E" w:rsidTr="006E168D">
        <w:tc>
          <w:tcPr>
            <w:tcW w:w="6299" w:type="dxa"/>
          </w:tcPr>
          <w:p w:rsidR="00872A5E" w:rsidRDefault="00872A5E" w:rsidP="00AF0B91">
            <w:pPr>
              <w:pStyle w:val="TableBodyText"/>
              <w:spacing w:before="60"/>
              <w:ind w:left="57"/>
              <w:jc w:val="left"/>
            </w:pPr>
            <w:r>
              <w:t>Victorian Taxi Industry Inquiry, Melbourne (Alan Johnston)</w:t>
            </w:r>
          </w:p>
        </w:tc>
        <w:tc>
          <w:tcPr>
            <w:tcW w:w="172" w:type="dxa"/>
          </w:tcPr>
          <w:p w:rsidR="00872A5E" w:rsidRDefault="00872A5E" w:rsidP="00AF0B91">
            <w:pPr>
              <w:pStyle w:val="TableBodyText"/>
              <w:spacing w:before="60"/>
              <w:ind w:left="57"/>
              <w:jc w:val="left"/>
            </w:pPr>
          </w:p>
        </w:tc>
        <w:tc>
          <w:tcPr>
            <w:tcW w:w="5726" w:type="dxa"/>
          </w:tcPr>
          <w:p w:rsidR="00872A5E" w:rsidRDefault="00872A5E" w:rsidP="00AF0B91">
            <w:pPr>
              <w:pStyle w:val="TableBodyText"/>
              <w:spacing w:before="60"/>
              <w:ind w:left="57"/>
              <w:jc w:val="left"/>
            </w:pPr>
            <w:r>
              <w:t>Reform of the Victorian Taxi Industry</w:t>
            </w:r>
          </w:p>
        </w:tc>
        <w:tc>
          <w:tcPr>
            <w:tcW w:w="1425" w:type="dxa"/>
          </w:tcPr>
          <w:p w:rsidR="00872A5E" w:rsidRDefault="00872A5E" w:rsidP="00AF0B91">
            <w:pPr>
              <w:pStyle w:val="TableBodyText"/>
              <w:spacing w:before="60"/>
              <w:ind w:left="57"/>
            </w:pPr>
            <w:r>
              <w:t>Sept 2011</w:t>
            </w:r>
          </w:p>
        </w:tc>
      </w:tr>
      <w:tr w:rsidR="00872A5E" w:rsidTr="006E168D">
        <w:tc>
          <w:tcPr>
            <w:tcW w:w="6299" w:type="dxa"/>
          </w:tcPr>
          <w:p w:rsidR="00872A5E" w:rsidRDefault="00872A5E" w:rsidP="00AF0B91">
            <w:pPr>
              <w:pStyle w:val="TableBodyText"/>
              <w:spacing w:before="60"/>
              <w:ind w:left="57"/>
              <w:jc w:val="left"/>
            </w:pPr>
            <w:r>
              <w:t>Australian Economic Forum, Sydney (Dean Parham &amp; Leo Soames)</w:t>
            </w:r>
          </w:p>
        </w:tc>
        <w:tc>
          <w:tcPr>
            <w:tcW w:w="172" w:type="dxa"/>
          </w:tcPr>
          <w:p w:rsidR="00872A5E" w:rsidRDefault="00872A5E" w:rsidP="00AF0B91">
            <w:pPr>
              <w:pStyle w:val="TableBodyText"/>
              <w:spacing w:before="60"/>
              <w:ind w:left="57"/>
              <w:jc w:val="left"/>
            </w:pPr>
          </w:p>
        </w:tc>
        <w:tc>
          <w:tcPr>
            <w:tcW w:w="5726" w:type="dxa"/>
          </w:tcPr>
          <w:p w:rsidR="00872A5E" w:rsidRDefault="00872A5E" w:rsidP="00AF0B91">
            <w:pPr>
              <w:pStyle w:val="TableBodyText"/>
              <w:spacing w:before="60"/>
              <w:ind w:left="57"/>
              <w:jc w:val="left"/>
            </w:pPr>
            <w:r>
              <w:t xml:space="preserve">Productivity </w:t>
            </w:r>
            <w:proofErr w:type="spellStart"/>
            <w:r>
              <w:t>Masterclass</w:t>
            </w:r>
            <w:proofErr w:type="spellEnd"/>
          </w:p>
        </w:tc>
        <w:tc>
          <w:tcPr>
            <w:tcW w:w="1425" w:type="dxa"/>
          </w:tcPr>
          <w:p w:rsidR="00872A5E" w:rsidRDefault="00872A5E" w:rsidP="00AF0B91">
            <w:pPr>
              <w:pStyle w:val="TableBodyText"/>
              <w:spacing w:before="60"/>
              <w:ind w:left="57"/>
            </w:pPr>
            <w:r>
              <w:t>Sept 2011</w:t>
            </w:r>
          </w:p>
        </w:tc>
      </w:tr>
      <w:tr w:rsidR="00872A5E" w:rsidTr="006E168D">
        <w:tc>
          <w:tcPr>
            <w:tcW w:w="6299" w:type="dxa"/>
          </w:tcPr>
          <w:p w:rsidR="00872A5E" w:rsidRDefault="00872A5E" w:rsidP="00AF0B91">
            <w:pPr>
              <w:pStyle w:val="TableBodyText"/>
              <w:spacing w:before="60"/>
              <w:ind w:left="57"/>
              <w:jc w:val="left"/>
            </w:pPr>
            <w:r>
              <w:t>National Housing Supply Council, Melbourne (Sue Holmes &amp; Rosalyn Bell)</w:t>
            </w:r>
          </w:p>
        </w:tc>
        <w:tc>
          <w:tcPr>
            <w:tcW w:w="172" w:type="dxa"/>
          </w:tcPr>
          <w:p w:rsidR="00872A5E" w:rsidRDefault="00872A5E" w:rsidP="00AF0B91">
            <w:pPr>
              <w:pStyle w:val="TableBodyText"/>
              <w:spacing w:before="60"/>
              <w:ind w:left="57"/>
              <w:jc w:val="left"/>
            </w:pPr>
          </w:p>
        </w:tc>
        <w:tc>
          <w:tcPr>
            <w:tcW w:w="5726" w:type="dxa"/>
          </w:tcPr>
          <w:p w:rsidR="00872A5E" w:rsidRDefault="00872A5E" w:rsidP="00AF0B91">
            <w:pPr>
              <w:pStyle w:val="TableBodyText"/>
              <w:spacing w:before="60"/>
              <w:ind w:left="57"/>
              <w:jc w:val="left"/>
            </w:pPr>
            <w:r>
              <w:t xml:space="preserve">Commission’s study into </w:t>
            </w:r>
            <w:r w:rsidRPr="004D6784">
              <w:t>Performance Benchmarking of Australian Business Regulation: Planning, Zoning and Development Assessments</w:t>
            </w:r>
          </w:p>
        </w:tc>
        <w:tc>
          <w:tcPr>
            <w:tcW w:w="1425" w:type="dxa"/>
          </w:tcPr>
          <w:p w:rsidR="00872A5E" w:rsidRDefault="00872A5E" w:rsidP="00AF0B91">
            <w:pPr>
              <w:pStyle w:val="TableBodyText"/>
              <w:spacing w:before="60"/>
              <w:ind w:left="57"/>
            </w:pPr>
            <w:r>
              <w:t>Sept 2011</w:t>
            </w:r>
          </w:p>
        </w:tc>
      </w:tr>
      <w:tr w:rsidR="00872A5E" w:rsidTr="009217B8">
        <w:trPr>
          <w:trHeight w:val="610"/>
        </w:trPr>
        <w:tc>
          <w:tcPr>
            <w:tcW w:w="6299" w:type="dxa"/>
          </w:tcPr>
          <w:p w:rsidR="00872A5E" w:rsidRDefault="00872A5E" w:rsidP="00AF0B91">
            <w:pPr>
              <w:pStyle w:val="TableBodyText"/>
              <w:spacing w:before="60"/>
              <w:ind w:left="57"/>
              <w:jc w:val="left"/>
            </w:pPr>
            <w:proofErr w:type="spellStart"/>
            <w:r>
              <w:t>COAG</w:t>
            </w:r>
            <w:proofErr w:type="spellEnd"/>
            <w:r>
              <w:t xml:space="preserve"> Reform Council Conference on Objective for Cities – how are we faring, Melbourne (Sue Holmes)</w:t>
            </w:r>
          </w:p>
        </w:tc>
        <w:tc>
          <w:tcPr>
            <w:tcW w:w="172" w:type="dxa"/>
          </w:tcPr>
          <w:p w:rsidR="00872A5E" w:rsidRDefault="00872A5E" w:rsidP="00AF0B91">
            <w:pPr>
              <w:pStyle w:val="TableBodyText"/>
              <w:spacing w:before="60"/>
              <w:ind w:left="57"/>
              <w:jc w:val="left"/>
            </w:pPr>
          </w:p>
        </w:tc>
        <w:tc>
          <w:tcPr>
            <w:tcW w:w="5726" w:type="dxa"/>
          </w:tcPr>
          <w:p w:rsidR="00872A5E" w:rsidRDefault="00872A5E" w:rsidP="00AF0B91">
            <w:pPr>
              <w:pStyle w:val="TableBodyText"/>
              <w:spacing w:before="60"/>
              <w:ind w:left="57"/>
              <w:jc w:val="left"/>
            </w:pPr>
            <w:r>
              <w:t>What is evidence-based policy making? How do we get it?</w:t>
            </w:r>
          </w:p>
        </w:tc>
        <w:tc>
          <w:tcPr>
            <w:tcW w:w="1425" w:type="dxa"/>
          </w:tcPr>
          <w:p w:rsidR="00872A5E" w:rsidRDefault="00872A5E" w:rsidP="00AF0B91">
            <w:pPr>
              <w:pStyle w:val="TableBodyText"/>
              <w:spacing w:before="60"/>
              <w:ind w:left="57"/>
            </w:pPr>
            <w:r>
              <w:t>Oct 2011</w:t>
            </w:r>
          </w:p>
        </w:tc>
      </w:tr>
      <w:tr w:rsidR="00872A5E" w:rsidTr="00AF0B91">
        <w:tc>
          <w:tcPr>
            <w:tcW w:w="6299" w:type="dxa"/>
          </w:tcPr>
          <w:p w:rsidR="00872A5E" w:rsidRDefault="00872A5E" w:rsidP="00FD72CD">
            <w:pPr>
              <w:pStyle w:val="TableBodyText"/>
              <w:spacing w:before="60"/>
              <w:ind w:left="57"/>
              <w:jc w:val="left"/>
            </w:pPr>
            <w:r>
              <w:t>OECD international collaborative initiative for trade and employment conference, Paris (Patrick Jomini)</w:t>
            </w:r>
          </w:p>
        </w:tc>
        <w:tc>
          <w:tcPr>
            <w:tcW w:w="172" w:type="dxa"/>
          </w:tcPr>
          <w:p w:rsidR="00872A5E" w:rsidRDefault="00872A5E" w:rsidP="00AF0B91">
            <w:pPr>
              <w:pStyle w:val="TableBodyText"/>
              <w:spacing w:before="60"/>
              <w:ind w:left="57"/>
              <w:jc w:val="left"/>
            </w:pPr>
          </w:p>
        </w:tc>
        <w:tc>
          <w:tcPr>
            <w:tcW w:w="5726" w:type="dxa"/>
          </w:tcPr>
          <w:p w:rsidR="00872A5E" w:rsidRDefault="00872A5E" w:rsidP="00AF0B91">
            <w:pPr>
              <w:pStyle w:val="TableBodyText"/>
              <w:spacing w:before="60"/>
              <w:ind w:left="57"/>
              <w:jc w:val="left"/>
            </w:pPr>
            <w:r>
              <w:t>Interactions between trade and employment: Australia case study</w:t>
            </w:r>
          </w:p>
        </w:tc>
        <w:tc>
          <w:tcPr>
            <w:tcW w:w="1425" w:type="dxa"/>
          </w:tcPr>
          <w:p w:rsidR="00872A5E" w:rsidRDefault="00872A5E" w:rsidP="00AF0B91">
            <w:pPr>
              <w:pStyle w:val="TableBodyText"/>
              <w:spacing w:before="60"/>
              <w:ind w:left="57"/>
            </w:pPr>
            <w:r>
              <w:t>Nov 2011</w:t>
            </w:r>
          </w:p>
        </w:tc>
      </w:tr>
      <w:tr w:rsidR="00872A5E" w:rsidTr="00427B01">
        <w:tc>
          <w:tcPr>
            <w:tcW w:w="6299" w:type="dxa"/>
          </w:tcPr>
          <w:p w:rsidR="00872A5E" w:rsidRDefault="00872A5E" w:rsidP="00427B01">
            <w:pPr>
              <w:pStyle w:val="TableBodyText"/>
              <w:spacing w:before="60"/>
              <w:ind w:left="57"/>
              <w:jc w:val="left"/>
            </w:pPr>
            <w:r>
              <w:t>Reserve Bank of Bank, Sydney (Dean Parham &amp; Leo Soames)</w:t>
            </w:r>
          </w:p>
        </w:tc>
        <w:tc>
          <w:tcPr>
            <w:tcW w:w="172" w:type="dxa"/>
          </w:tcPr>
          <w:p w:rsidR="00872A5E" w:rsidRDefault="00872A5E" w:rsidP="00427B01">
            <w:pPr>
              <w:pStyle w:val="TableBodyText"/>
              <w:spacing w:before="60"/>
              <w:ind w:left="57"/>
              <w:jc w:val="left"/>
            </w:pPr>
          </w:p>
        </w:tc>
        <w:tc>
          <w:tcPr>
            <w:tcW w:w="5726" w:type="dxa"/>
          </w:tcPr>
          <w:p w:rsidR="00872A5E" w:rsidRDefault="00872A5E" w:rsidP="00427B01">
            <w:pPr>
              <w:pStyle w:val="TableBodyText"/>
              <w:spacing w:before="60"/>
              <w:ind w:left="57"/>
              <w:jc w:val="left"/>
            </w:pPr>
            <w:r>
              <w:t xml:space="preserve">Productivity </w:t>
            </w:r>
            <w:proofErr w:type="spellStart"/>
            <w:r>
              <w:t>Masterclass</w:t>
            </w:r>
            <w:proofErr w:type="spellEnd"/>
          </w:p>
        </w:tc>
        <w:tc>
          <w:tcPr>
            <w:tcW w:w="1425" w:type="dxa"/>
          </w:tcPr>
          <w:p w:rsidR="00872A5E" w:rsidRDefault="00872A5E" w:rsidP="00427B01">
            <w:pPr>
              <w:pStyle w:val="TableBodyText"/>
              <w:spacing w:before="60"/>
              <w:ind w:left="57"/>
            </w:pPr>
            <w:r>
              <w:t>Nov 2011</w:t>
            </w:r>
          </w:p>
        </w:tc>
      </w:tr>
      <w:tr w:rsidR="00872A5E" w:rsidTr="00427B01">
        <w:tc>
          <w:tcPr>
            <w:tcW w:w="6299" w:type="dxa"/>
          </w:tcPr>
          <w:p w:rsidR="00872A5E" w:rsidRDefault="00872A5E" w:rsidP="00427B01">
            <w:pPr>
              <w:pStyle w:val="TableBodyText"/>
              <w:spacing w:before="60"/>
              <w:ind w:left="57"/>
              <w:jc w:val="left"/>
            </w:pPr>
            <w:r>
              <w:t>The Treasury, Canberra (Dean Parham &amp; Leo Soames)</w:t>
            </w:r>
          </w:p>
        </w:tc>
        <w:tc>
          <w:tcPr>
            <w:tcW w:w="172" w:type="dxa"/>
          </w:tcPr>
          <w:p w:rsidR="00872A5E" w:rsidRDefault="00872A5E" w:rsidP="00427B01">
            <w:pPr>
              <w:pStyle w:val="TableBodyText"/>
              <w:spacing w:before="60"/>
              <w:ind w:left="57"/>
              <w:jc w:val="left"/>
            </w:pPr>
          </w:p>
        </w:tc>
        <w:tc>
          <w:tcPr>
            <w:tcW w:w="5726" w:type="dxa"/>
          </w:tcPr>
          <w:p w:rsidR="00872A5E" w:rsidRDefault="00872A5E" w:rsidP="00427B01">
            <w:pPr>
              <w:pStyle w:val="TableBodyText"/>
              <w:spacing w:before="60"/>
              <w:ind w:left="57"/>
              <w:jc w:val="left"/>
            </w:pPr>
            <w:r>
              <w:t xml:space="preserve">Productivity </w:t>
            </w:r>
            <w:proofErr w:type="spellStart"/>
            <w:r>
              <w:t>Masterclass</w:t>
            </w:r>
            <w:proofErr w:type="spellEnd"/>
          </w:p>
        </w:tc>
        <w:tc>
          <w:tcPr>
            <w:tcW w:w="1425" w:type="dxa"/>
          </w:tcPr>
          <w:p w:rsidR="00872A5E" w:rsidRDefault="00872A5E" w:rsidP="00427B01">
            <w:pPr>
              <w:pStyle w:val="TableBodyText"/>
              <w:spacing w:before="60"/>
              <w:ind w:left="57"/>
            </w:pPr>
            <w:r>
              <w:t>Nov 2011</w:t>
            </w:r>
          </w:p>
        </w:tc>
      </w:tr>
      <w:tr w:rsidR="00872A5E" w:rsidTr="00432EFB">
        <w:trPr>
          <w:trHeight w:val="94"/>
        </w:trPr>
        <w:tc>
          <w:tcPr>
            <w:tcW w:w="6299" w:type="dxa"/>
          </w:tcPr>
          <w:p w:rsidR="00872A5E" w:rsidRDefault="00872A5E" w:rsidP="00432EFB">
            <w:pPr>
              <w:pStyle w:val="TableBodyText"/>
              <w:spacing w:before="60"/>
              <w:ind w:left="57"/>
              <w:jc w:val="left"/>
            </w:pPr>
            <w:r>
              <w:t>Forum of Federations p</w:t>
            </w:r>
            <w:r>
              <w:rPr>
                <w:rStyle w:val="searchword"/>
              </w:rPr>
              <w:t>ublic</w:t>
            </w:r>
            <w:r>
              <w:t xml:space="preserve"> service </w:t>
            </w:r>
            <w:r>
              <w:rPr>
                <w:rStyle w:val="searchword"/>
              </w:rPr>
              <w:t>benchmarking</w:t>
            </w:r>
            <w:r>
              <w:t xml:space="preserve"> </w:t>
            </w:r>
            <w:r>
              <w:rPr>
                <w:rStyle w:val="searchword"/>
              </w:rPr>
              <w:t>under</w:t>
            </w:r>
            <w:r>
              <w:t xml:space="preserve"> </w:t>
            </w:r>
            <w:r>
              <w:rPr>
                <w:rStyle w:val="searchword"/>
              </w:rPr>
              <w:t>localism</w:t>
            </w:r>
            <w:r>
              <w:t xml:space="preserve"> </w:t>
            </w:r>
            <w:r>
              <w:rPr>
                <w:rStyle w:val="searchword"/>
              </w:rPr>
              <w:t>and</w:t>
            </w:r>
            <w:r>
              <w:t xml:space="preserve"> f</w:t>
            </w:r>
            <w:r>
              <w:rPr>
                <w:rStyle w:val="searchword"/>
              </w:rPr>
              <w:t>ederalism, London (Lawrence McDonald)</w:t>
            </w:r>
          </w:p>
        </w:tc>
        <w:tc>
          <w:tcPr>
            <w:tcW w:w="172" w:type="dxa"/>
          </w:tcPr>
          <w:p w:rsidR="00872A5E" w:rsidRDefault="00872A5E" w:rsidP="00144688">
            <w:pPr>
              <w:pStyle w:val="TableBodyText"/>
              <w:spacing w:before="60"/>
              <w:ind w:left="57"/>
              <w:jc w:val="left"/>
            </w:pPr>
          </w:p>
        </w:tc>
        <w:tc>
          <w:tcPr>
            <w:tcW w:w="5726" w:type="dxa"/>
          </w:tcPr>
          <w:p w:rsidR="00872A5E" w:rsidRDefault="00872A5E" w:rsidP="00432EFB">
            <w:pPr>
              <w:pStyle w:val="TableBodyText"/>
              <w:spacing w:before="60"/>
              <w:ind w:left="57"/>
              <w:jc w:val="left"/>
            </w:pPr>
            <w:r>
              <w:t xml:space="preserve">Some Australian experiences in performance assessment </w:t>
            </w:r>
          </w:p>
        </w:tc>
        <w:tc>
          <w:tcPr>
            <w:tcW w:w="1425" w:type="dxa"/>
          </w:tcPr>
          <w:p w:rsidR="00872A5E" w:rsidRDefault="00872A5E" w:rsidP="00144688">
            <w:pPr>
              <w:pStyle w:val="TableBodyText"/>
              <w:spacing w:before="60"/>
              <w:ind w:left="57"/>
            </w:pPr>
            <w:r>
              <w:t>Feb 2012</w:t>
            </w:r>
          </w:p>
        </w:tc>
      </w:tr>
      <w:tr w:rsidR="00872A5E" w:rsidTr="00432EFB">
        <w:trPr>
          <w:trHeight w:val="94"/>
        </w:trPr>
        <w:tc>
          <w:tcPr>
            <w:tcW w:w="6299" w:type="dxa"/>
          </w:tcPr>
          <w:p w:rsidR="00872A5E" w:rsidRDefault="00872A5E" w:rsidP="00432EFB">
            <w:pPr>
              <w:pStyle w:val="TableBodyText"/>
              <w:spacing w:before="60"/>
              <w:ind w:left="57"/>
              <w:jc w:val="left"/>
            </w:pPr>
            <w:r>
              <w:t>Annual Economics Teachers’ Conference, Melbourne (Clinton Pobke)</w:t>
            </w:r>
          </w:p>
        </w:tc>
        <w:tc>
          <w:tcPr>
            <w:tcW w:w="172" w:type="dxa"/>
          </w:tcPr>
          <w:p w:rsidR="00872A5E" w:rsidRDefault="00872A5E" w:rsidP="00144688">
            <w:pPr>
              <w:pStyle w:val="TableBodyText"/>
              <w:spacing w:before="60"/>
              <w:ind w:left="57"/>
              <w:jc w:val="left"/>
            </w:pPr>
          </w:p>
        </w:tc>
        <w:tc>
          <w:tcPr>
            <w:tcW w:w="5726" w:type="dxa"/>
          </w:tcPr>
          <w:p w:rsidR="00872A5E" w:rsidRDefault="00872A5E" w:rsidP="00ED3226">
            <w:pPr>
              <w:pStyle w:val="TableBodyText"/>
              <w:spacing w:before="60"/>
              <w:ind w:left="57"/>
              <w:jc w:val="left"/>
            </w:pPr>
            <w:r>
              <w:t>Overview of Commission’s work on microeconomic reform</w:t>
            </w:r>
          </w:p>
        </w:tc>
        <w:tc>
          <w:tcPr>
            <w:tcW w:w="1425" w:type="dxa"/>
          </w:tcPr>
          <w:p w:rsidR="00872A5E" w:rsidRDefault="00872A5E" w:rsidP="00144688">
            <w:pPr>
              <w:pStyle w:val="TableBodyText"/>
              <w:spacing w:before="60"/>
              <w:ind w:left="57"/>
            </w:pPr>
            <w:r>
              <w:t>March 2012</w:t>
            </w:r>
          </w:p>
        </w:tc>
      </w:tr>
      <w:tr w:rsidR="00872A5E" w:rsidTr="006E168D">
        <w:trPr>
          <w:trHeight w:val="94"/>
        </w:trPr>
        <w:tc>
          <w:tcPr>
            <w:tcW w:w="6299" w:type="dxa"/>
          </w:tcPr>
          <w:p w:rsidR="00872A5E" w:rsidRDefault="00872A5E" w:rsidP="00432EFB">
            <w:pPr>
              <w:pStyle w:val="TableBodyText"/>
              <w:spacing w:before="60"/>
              <w:ind w:left="57"/>
              <w:jc w:val="left"/>
            </w:pPr>
            <w:r>
              <w:t xml:space="preserve">Inaugural Homelessness Research Conference, Melbourne (Sophie </w:t>
            </w:r>
            <w:proofErr w:type="spellStart"/>
            <w:r>
              <w:t>Vassilios</w:t>
            </w:r>
            <w:proofErr w:type="spellEnd"/>
            <w:r>
              <w:t>)</w:t>
            </w:r>
          </w:p>
        </w:tc>
        <w:tc>
          <w:tcPr>
            <w:tcW w:w="172" w:type="dxa"/>
          </w:tcPr>
          <w:p w:rsidR="00872A5E" w:rsidRDefault="00872A5E" w:rsidP="00144688">
            <w:pPr>
              <w:pStyle w:val="TableBodyText"/>
              <w:spacing w:before="60"/>
              <w:ind w:left="57"/>
              <w:jc w:val="left"/>
            </w:pPr>
          </w:p>
        </w:tc>
        <w:tc>
          <w:tcPr>
            <w:tcW w:w="5726" w:type="dxa"/>
          </w:tcPr>
          <w:p w:rsidR="00872A5E" w:rsidRDefault="00872A5E" w:rsidP="00ED3226">
            <w:pPr>
              <w:pStyle w:val="TableBodyText"/>
              <w:spacing w:before="60"/>
              <w:ind w:left="57"/>
              <w:jc w:val="left"/>
            </w:pPr>
            <w:r>
              <w:t>Report of Government Services</w:t>
            </w:r>
          </w:p>
        </w:tc>
        <w:tc>
          <w:tcPr>
            <w:tcW w:w="1425" w:type="dxa"/>
          </w:tcPr>
          <w:p w:rsidR="00872A5E" w:rsidRDefault="00872A5E" w:rsidP="00144688">
            <w:pPr>
              <w:pStyle w:val="TableBodyText"/>
              <w:spacing w:before="60"/>
              <w:ind w:left="57"/>
            </w:pPr>
            <w:r>
              <w:t>April 2012</w:t>
            </w:r>
          </w:p>
        </w:tc>
      </w:tr>
      <w:tr w:rsidR="00872A5E" w:rsidTr="006E168D">
        <w:trPr>
          <w:trHeight w:val="94"/>
        </w:trPr>
        <w:tc>
          <w:tcPr>
            <w:tcW w:w="6299" w:type="dxa"/>
            <w:tcBorders>
              <w:bottom w:val="single" w:sz="4" w:space="0" w:color="auto"/>
            </w:tcBorders>
          </w:tcPr>
          <w:p w:rsidR="00872A5E" w:rsidRDefault="00872A5E" w:rsidP="006A75BE">
            <w:pPr>
              <w:pStyle w:val="TableBodyText"/>
              <w:spacing w:before="60"/>
              <w:ind w:left="57"/>
              <w:jc w:val="left"/>
            </w:pPr>
            <w:r>
              <w:t xml:space="preserve">Melbourne Institute’s </w:t>
            </w:r>
            <w:proofErr w:type="spellStart"/>
            <w:r>
              <w:t>Intergen+10</w:t>
            </w:r>
            <w:proofErr w:type="spellEnd"/>
            <w:r>
              <w:t>, Canberra (Ralph Lattimore)</w:t>
            </w:r>
          </w:p>
        </w:tc>
        <w:tc>
          <w:tcPr>
            <w:tcW w:w="172" w:type="dxa"/>
            <w:tcBorders>
              <w:bottom w:val="single" w:sz="4" w:space="0" w:color="auto"/>
            </w:tcBorders>
          </w:tcPr>
          <w:p w:rsidR="00872A5E" w:rsidRDefault="00872A5E" w:rsidP="00144688">
            <w:pPr>
              <w:pStyle w:val="TableBodyText"/>
              <w:spacing w:before="60"/>
              <w:ind w:left="57"/>
              <w:jc w:val="left"/>
            </w:pPr>
          </w:p>
        </w:tc>
        <w:tc>
          <w:tcPr>
            <w:tcW w:w="5726" w:type="dxa"/>
            <w:tcBorders>
              <w:bottom w:val="single" w:sz="4" w:space="0" w:color="auto"/>
            </w:tcBorders>
          </w:tcPr>
          <w:p w:rsidR="00872A5E" w:rsidRDefault="00872A5E" w:rsidP="00ED3226">
            <w:pPr>
              <w:pStyle w:val="TableBodyText"/>
              <w:spacing w:before="60"/>
              <w:ind w:left="57"/>
              <w:jc w:val="left"/>
            </w:pPr>
            <w:r>
              <w:t>The economic effects of ageing with an emphasis on the implications of productivity</w:t>
            </w:r>
          </w:p>
        </w:tc>
        <w:tc>
          <w:tcPr>
            <w:tcW w:w="1425" w:type="dxa"/>
            <w:tcBorders>
              <w:bottom w:val="single" w:sz="4" w:space="0" w:color="auto"/>
            </w:tcBorders>
          </w:tcPr>
          <w:p w:rsidR="00872A5E" w:rsidRDefault="00872A5E" w:rsidP="00144688">
            <w:pPr>
              <w:pStyle w:val="TableBodyText"/>
              <w:spacing w:before="60"/>
              <w:ind w:left="57"/>
            </w:pPr>
            <w:r>
              <w:t>May 2012</w:t>
            </w:r>
          </w:p>
        </w:tc>
      </w:tr>
    </w:tbl>
    <w:p w:rsidR="00B61021" w:rsidRDefault="00B61021" w:rsidP="00F12AC0">
      <w:pPr>
        <w:pStyle w:val="TableTitle"/>
        <w:spacing w:before="600"/>
        <w:rPr>
          <w:b w:val="0"/>
        </w:rPr>
      </w:pPr>
    </w:p>
    <w:p w:rsidR="00F12AC0" w:rsidRPr="00C74582" w:rsidRDefault="00B61021" w:rsidP="00C74582">
      <w:pPr>
        <w:pStyle w:val="TableTitle"/>
        <w:spacing w:before="120"/>
        <w:rPr>
          <w:b w:val="0"/>
        </w:rPr>
      </w:pPr>
      <w:r>
        <w:rPr>
          <w:b w:val="0"/>
        </w:rPr>
        <w:br w:type="page"/>
      </w:r>
      <w:r w:rsidR="00F12AC0">
        <w:rPr>
          <w:b w:val="0"/>
        </w:rPr>
        <w:lastRenderedPageBreak/>
        <w:t xml:space="preserve">Table </w:t>
      </w:r>
      <w:proofErr w:type="spellStart"/>
      <w:r w:rsidR="00AE0BCE">
        <w:rPr>
          <w:b w:val="0"/>
        </w:rPr>
        <w:t>E.</w:t>
      </w:r>
      <w:r w:rsidR="002176F2">
        <w:rPr>
          <w:b w:val="0"/>
          <w:noProof/>
        </w:rPr>
        <w:t>2</w:t>
      </w:r>
      <w:proofErr w:type="spellEnd"/>
      <w:r w:rsidR="00F12AC0" w:rsidRPr="00C74582">
        <w:rPr>
          <w:b w:val="0"/>
        </w:rPr>
        <w:tab/>
        <w:t>International delegations and visitors, 20</w:t>
      </w:r>
      <w:r w:rsidR="000C76B4" w:rsidRPr="00C74582">
        <w:rPr>
          <w:b w:val="0"/>
        </w:rPr>
        <w:t>1</w:t>
      </w:r>
      <w:r w:rsidR="00C74582">
        <w:rPr>
          <w:b w:val="0"/>
        </w:rPr>
        <w:t>1</w:t>
      </w:r>
      <w:r w:rsidR="00F12AC0" w:rsidRPr="00C74582">
        <w:rPr>
          <w:b w:val="0"/>
        </w:rPr>
        <w:t>-</w:t>
      </w:r>
      <w:r w:rsidR="009D7078" w:rsidRPr="00C74582">
        <w:rPr>
          <w:b w:val="0"/>
        </w:rPr>
        <w:t>1</w:t>
      </w:r>
      <w:r w:rsidR="00C74582">
        <w:rPr>
          <w:b w:val="0"/>
        </w:rPr>
        <w:t>2</w:t>
      </w:r>
    </w:p>
    <w:tbl>
      <w:tblPr>
        <w:tblW w:w="13331" w:type="dxa"/>
        <w:tblInd w:w="-3" w:type="dxa"/>
        <w:tblLayout w:type="fixed"/>
        <w:tblCellMar>
          <w:left w:w="0" w:type="dxa"/>
          <w:right w:w="0" w:type="dxa"/>
        </w:tblCellMar>
        <w:tblLook w:val="0000" w:firstRow="0" w:lastRow="0" w:firstColumn="0" w:lastColumn="0" w:noHBand="0" w:noVBand="0"/>
      </w:tblPr>
      <w:tblGrid>
        <w:gridCol w:w="5104"/>
        <w:gridCol w:w="142"/>
        <w:gridCol w:w="6664"/>
        <w:gridCol w:w="1421"/>
      </w:tblGrid>
      <w:tr w:rsidR="00CC4254" w:rsidRPr="00D23929" w:rsidTr="00C74582">
        <w:tc>
          <w:tcPr>
            <w:tcW w:w="5104" w:type="dxa"/>
            <w:tcBorders>
              <w:top w:val="single" w:sz="6" w:space="0" w:color="auto"/>
              <w:bottom w:val="single" w:sz="4" w:space="0" w:color="auto"/>
            </w:tcBorders>
            <w:shd w:val="clear" w:color="auto" w:fill="auto"/>
          </w:tcPr>
          <w:p w:rsidR="00CC4254" w:rsidRPr="00D23929" w:rsidRDefault="00CC4254" w:rsidP="00D24DBD">
            <w:pPr>
              <w:pStyle w:val="TableColumnHeading"/>
              <w:spacing w:before="60" w:after="40" w:line="220" w:lineRule="exact"/>
              <w:ind w:left="57"/>
              <w:jc w:val="left"/>
            </w:pPr>
            <w:r w:rsidRPr="00D23929">
              <w:t>Organisation/delegation</w:t>
            </w:r>
          </w:p>
        </w:tc>
        <w:tc>
          <w:tcPr>
            <w:tcW w:w="142" w:type="dxa"/>
            <w:tcBorders>
              <w:top w:val="single" w:sz="6" w:space="0" w:color="auto"/>
              <w:bottom w:val="single" w:sz="4" w:space="0" w:color="auto"/>
            </w:tcBorders>
            <w:shd w:val="clear" w:color="auto" w:fill="auto"/>
          </w:tcPr>
          <w:p w:rsidR="00CC4254" w:rsidRPr="00D23929" w:rsidRDefault="00CC4254" w:rsidP="00D24DBD">
            <w:pPr>
              <w:pStyle w:val="TableColumnHeading"/>
              <w:spacing w:before="60"/>
            </w:pPr>
          </w:p>
        </w:tc>
        <w:tc>
          <w:tcPr>
            <w:tcW w:w="6664" w:type="dxa"/>
            <w:tcBorders>
              <w:top w:val="single" w:sz="6" w:space="0" w:color="auto"/>
              <w:bottom w:val="single" w:sz="4" w:space="0" w:color="auto"/>
            </w:tcBorders>
            <w:shd w:val="clear" w:color="auto" w:fill="auto"/>
          </w:tcPr>
          <w:p w:rsidR="00CC4254" w:rsidRPr="00D23929" w:rsidRDefault="00CC4254" w:rsidP="00D24DBD">
            <w:pPr>
              <w:pStyle w:val="TableColumnHeading"/>
              <w:spacing w:before="60" w:after="40" w:line="220" w:lineRule="exact"/>
              <w:ind w:left="57"/>
              <w:jc w:val="left"/>
            </w:pPr>
            <w:r w:rsidRPr="00D23929">
              <w:t>Briefing/discussion purpose of visit</w:t>
            </w:r>
          </w:p>
        </w:tc>
        <w:tc>
          <w:tcPr>
            <w:tcW w:w="1421" w:type="dxa"/>
            <w:tcBorders>
              <w:top w:val="single" w:sz="6" w:space="0" w:color="auto"/>
              <w:bottom w:val="single" w:sz="4" w:space="0" w:color="auto"/>
            </w:tcBorders>
            <w:shd w:val="clear" w:color="auto" w:fill="auto"/>
          </w:tcPr>
          <w:p w:rsidR="00CC4254" w:rsidRPr="00D23929" w:rsidRDefault="00CC4254" w:rsidP="00D24DBD">
            <w:pPr>
              <w:pStyle w:val="TableColumnHeading"/>
              <w:spacing w:before="60"/>
              <w:ind w:left="0" w:right="0"/>
            </w:pPr>
            <w:r w:rsidRPr="00D23929">
              <w:t>Date/location</w:t>
            </w:r>
          </w:p>
        </w:tc>
      </w:tr>
      <w:tr w:rsidR="00C74582" w:rsidRPr="00D23929" w:rsidTr="00C74582">
        <w:tc>
          <w:tcPr>
            <w:tcW w:w="5104" w:type="dxa"/>
            <w:tcBorders>
              <w:top w:val="single" w:sz="4" w:space="0" w:color="auto"/>
            </w:tcBorders>
          </w:tcPr>
          <w:p w:rsidR="00C74582" w:rsidRDefault="00C74582" w:rsidP="000345D3">
            <w:pPr>
              <w:pStyle w:val="TableBodyText"/>
              <w:spacing w:before="60"/>
              <w:jc w:val="left"/>
            </w:pPr>
            <w:r>
              <w:t xml:space="preserve">Professor Stephen </w:t>
            </w:r>
            <w:proofErr w:type="spellStart"/>
            <w:r>
              <w:t>Littlechild</w:t>
            </w:r>
            <w:proofErr w:type="spellEnd"/>
            <w:r>
              <w:t>, University of Cambridge</w:t>
            </w:r>
          </w:p>
        </w:tc>
        <w:tc>
          <w:tcPr>
            <w:tcW w:w="142" w:type="dxa"/>
            <w:tcBorders>
              <w:top w:val="single" w:sz="4" w:space="0" w:color="auto"/>
            </w:tcBorders>
          </w:tcPr>
          <w:p w:rsidR="00C74582" w:rsidRPr="00D23929" w:rsidRDefault="00C74582" w:rsidP="00D24DBD">
            <w:pPr>
              <w:pStyle w:val="TableBodyText"/>
              <w:spacing w:before="60"/>
              <w:jc w:val="left"/>
            </w:pPr>
          </w:p>
        </w:tc>
        <w:tc>
          <w:tcPr>
            <w:tcW w:w="6664" w:type="dxa"/>
            <w:tcBorders>
              <w:top w:val="single" w:sz="4" w:space="0" w:color="auto"/>
            </w:tcBorders>
          </w:tcPr>
          <w:p w:rsidR="00C74582" w:rsidRDefault="00C74582" w:rsidP="000345D3">
            <w:pPr>
              <w:pStyle w:val="TableBodyText"/>
              <w:spacing w:before="60"/>
              <w:jc w:val="left"/>
            </w:pPr>
            <w:r>
              <w:t>Seminar to the Commission on the nature of competition and the evolving regulatory process</w:t>
            </w:r>
          </w:p>
        </w:tc>
        <w:tc>
          <w:tcPr>
            <w:tcW w:w="1421" w:type="dxa"/>
            <w:tcBorders>
              <w:top w:val="single" w:sz="4" w:space="0" w:color="auto"/>
            </w:tcBorders>
          </w:tcPr>
          <w:p w:rsidR="00C74582" w:rsidRDefault="00C74582" w:rsidP="00C74582">
            <w:pPr>
              <w:pStyle w:val="TableBodyText"/>
              <w:spacing w:before="60"/>
              <w:ind w:left="0" w:right="0"/>
            </w:pPr>
            <w:r>
              <w:t>July 2011 (M)</w:t>
            </w:r>
          </w:p>
        </w:tc>
      </w:tr>
      <w:tr w:rsidR="00C74582" w:rsidRPr="00D23929" w:rsidTr="00C74582">
        <w:tc>
          <w:tcPr>
            <w:tcW w:w="5104" w:type="dxa"/>
          </w:tcPr>
          <w:p w:rsidR="00C74582" w:rsidRDefault="00C74582" w:rsidP="001B7778">
            <w:pPr>
              <w:pStyle w:val="TableBodyText"/>
              <w:spacing w:before="60"/>
              <w:jc w:val="left"/>
            </w:pPr>
            <w:r>
              <w:t xml:space="preserve">Pascal </w:t>
            </w:r>
            <w:proofErr w:type="spellStart"/>
            <w:r>
              <w:t>Lamy</w:t>
            </w:r>
            <w:proofErr w:type="spellEnd"/>
            <w:r>
              <w:t xml:space="preserve"> </w:t>
            </w:r>
          </w:p>
        </w:tc>
        <w:tc>
          <w:tcPr>
            <w:tcW w:w="142" w:type="dxa"/>
          </w:tcPr>
          <w:p w:rsidR="00C74582" w:rsidRPr="00D23929" w:rsidRDefault="00C74582" w:rsidP="00D24DBD">
            <w:pPr>
              <w:pStyle w:val="TableBodyText"/>
              <w:spacing w:before="60"/>
              <w:jc w:val="left"/>
            </w:pPr>
          </w:p>
        </w:tc>
        <w:tc>
          <w:tcPr>
            <w:tcW w:w="6664" w:type="dxa"/>
          </w:tcPr>
          <w:p w:rsidR="00C74582" w:rsidRDefault="001B7778" w:rsidP="000345D3">
            <w:pPr>
              <w:pStyle w:val="TableBodyText"/>
              <w:spacing w:before="60"/>
              <w:jc w:val="left"/>
            </w:pPr>
            <w:r>
              <w:t>Discussion of Commission’s role and trade policy development</w:t>
            </w:r>
            <w:r w:rsidR="0063784B">
              <w:t>s</w:t>
            </w:r>
          </w:p>
        </w:tc>
        <w:tc>
          <w:tcPr>
            <w:tcW w:w="1421" w:type="dxa"/>
          </w:tcPr>
          <w:p w:rsidR="00C74582" w:rsidRDefault="00C74582" w:rsidP="00C74582">
            <w:pPr>
              <w:pStyle w:val="TableBodyText"/>
              <w:spacing w:before="60"/>
              <w:ind w:left="0" w:right="0"/>
            </w:pPr>
            <w:r>
              <w:t>Aug 2011 (C)</w:t>
            </w:r>
          </w:p>
        </w:tc>
      </w:tr>
      <w:tr w:rsidR="00C74582" w:rsidRPr="00D23929" w:rsidTr="00C74582">
        <w:tc>
          <w:tcPr>
            <w:tcW w:w="5104" w:type="dxa"/>
            <w:shd w:val="clear" w:color="auto" w:fill="auto"/>
          </w:tcPr>
          <w:p w:rsidR="00C74582" w:rsidRDefault="00C74582" w:rsidP="000345D3">
            <w:pPr>
              <w:pStyle w:val="TableBodyText"/>
              <w:spacing w:before="60"/>
              <w:jc w:val="left"/>
            </w:pPr>
            <w:r>
              <w:t>Japanese Delegation</w:t>
            </w:r>
          </w:p>
        </w:tc>
        <w:tc>
          <w:tcPr>
            <w:tcW w:w="142" w:type="dxa"/>
            <w:shd w:val="clear" w:color="auto" w:fill="auto"/>
          </w:tcPr>
          <w:p w:rsidR="00C74582" w:rsidRPr="00D23929" w:rsidRDefault="00C74582" w:rsidP="00D24DBD">
            <w:pPr>
              <w:pStyle w:val="TableBodyText"/>
              <w:spacing w:before="60"/>
              <w:jc w:val="left"/>
            </w:pPr>
          </w:p>
        </w:tc>
        <w:tc>
          <w:tcPr>
            <w:tcW w:w="6664" w:type="dxa"/>
            <w:shd w:val="clear" w:color="auto" w:fill="auto"/>
          </w:tcPr>
          <w:p w:rsidR="00C74582" w:rsidRDefault="00C74582" w:rsidP="000345D3">
            <w:pPr>
              <w:pStyle w:val="TableBodyText"/>
              <w:spacing w:before="60"/>
              <w:jc w:val="left"/>
            </w:pPr>
            <w:r>
              <w:t>Study tour of carbon pricing scheme</w:t>
            </w:r>
          </w:p>
        </w:tc>
        <w:tc>
          <w:tcPr>
            <w:tcW w:w="1421" w:type="dxa"/>
            <w:shd w:val="clear" w:color="auto" w:fill="auto"/>
          </w:tcPr>
          <w:p w:rsidR="00C74582" w:rsidRDefault="00C74582" w:rsidP="00C74582">
            <w:pPr>
              <w:pStyle w:val="TableBodyText"/>
              <w:spacing w:before="60"/>
              <w:ind w:left="0" w:right="0"/>
            </w:pPr>
            <w:r>
              <w:t>Sept 2011 (C)</w:t>
            </w:r>
          </w:p>
        </w:tc>
      </w:tr>
      <w:tr w:rsidR="00C74582" w:rsidRPr="00D23929" w:rsidTr="00C74582">
        <w:tc>
          <w:tcPr>
            <w:tcW w:w="5104" w:type="dxa"/>
            <w:shd w:val="clear" w:color="auto" w:fill="auto"/>
          </w:tcPr>
          <w:p w:rsidR="00C74582" w:rsidRDefault="00C74582" w:rsidP="000345D3">
            <w:pPr>
              <w:pStyle w:val="TableBodyText"/>
              <w:spacing w:before="60"/>
              <w:jc w:val="left"/>
            </w:pPr>
            <w:r>
              <w:t>Chilean Delegation</w:t>
            </w:r>
          </w:p>
        </w:tc>
        <w:tc>
          <w:tcPr>
            <w:tcW w:w="142" w:type="dxa"/>
            <w:shd w:val="clear" w:color="auto" w:fill="auto"/>
          </w:tcPr>
          <w:p w:rsidR="00C74582" w:rsidRPr="00D23929" w:rsidRDefault="00C74582" w:rsidP="00D24DBD">
            <w:pPr>
              <w:pStyle w:val="TableBodyText"/>
              <w:spacing w:before="60"/>
              <w:jc w:val="left"/>
            </w:pPr>
          </w:p>
        </w:tc>
        <w:tc>
          <w:tcPr>
            <w:tcW w:w="6664" w:type="dxa"/>
            <w:shd w:val="clear" w:color="auto" w:fill="auto"/>
          </w:tcPr>
          <w:p w:rsidR="00C74582" w:rsidRDefault="00C74582" w:rsidP="000345D3">
            <w:pPr>
              <w:pStyle w:val="TableBodyText"/>
              <w:spacing w:before="60"/>
              <w:jc w:val="left"/>
            </w:pPr>
            <w:r>
              <w:t>Ministerial visit</w:t>
            </w:r>
          </w:p>
        </w:tc>
        <w:tc>
          <w:tcPr>
            <w:tcW w:w="1421" w:type="dxa"/>
            <w:shd w:val="clear" w:color="auto" w:fill="auto"/>
          </w:tcPr>
          <w:p w:rsidR="00C74582" w:rsidRDefault="00C74582" w:rsidP="00C74582">
            <w:pPr>
              <w:pStyle w:val="TableBodyText"/>
              <w:spacing w:before="60"/>
              <w:ind w:left="0" w:right="0"/>
            </w:pPr>
            <w:r>
              <w:t>Sept 2011 (C)</w:t>
            </w:r>
          </w:p>
        </w:tc>
      </w:tr>
      <w:tr w:rsidR="00C74582" w:rsidRPr="00D23929" w:rsidTr="00C74582">
        <w:tc>
          <w:tcPr>
            <w:tcW w:w="5104" w:type="dxa"/>
            <w:shd w:val="clear" w:color="auto" w:fill="auto"/>
          </w:tcPr>
          <w:p w:rsidR="00C74582" w:rsidRDefault="00C74582" w:rsidP="000345D3">
            <w:pPr>
              <w:pStyle w:val="TableBodyText"/>
              <w:spacing w:before="60"/>
              <w:jc w:val="left"/>
            </w:pPr>
            <w:r>
              <w:t>Indonesian Delegation</w:t>
            </w:r>
          </w:p>
        </w:tc>
        <w:tc>
          <w:tcPr>
            <w:tcW w:w="142" w:type="dxa"/>
            <w:shd w:val="clear" w:color="auto" w:fill="auto"/>
          </w:tcPr>
          <w:p w:rsidR="00C74582" w:rsidRPr="00D23929" w:rsidRDefault="00C74582" w:rsidP="00D24DBD">
            <w:pPr>
              <w:pStyle w:val="TableBodyText"/>
              <w:spacing w:before="60"/>
              <w:jc w:val="left"/>
            </w:pPr>
          </w:p>
        </w:tc>
        <w:tc>
          <w:tcPr>
            <w:tcW w:w="6664" w:type="dxa"/>
            <w:shd w:val="clear" w:color="auto" w:fill="auto"/>
          </w:tcPr>
          <w:p w:rsidR="00C74582" w:rsidRDefault="00C74582" w:rsidP="000345D3">
            <w:pPr>
              <w:pStyle w:val="TableBodyText"/>
              <w:spacing w:before="60"/>
              <w:jc w:val="left"/>
            </w:pPr>
            <w:r>
              <w:t>The Commission’s role and activities and measuring productivity</w:t>
            </w:r>
          </w:p>
        </w:tc>
        <w:tc>
          <w:tcPr>
            <w:tcW w:w="1421" w:type="dxa"/>
            <w:shd w:val="clear" w:color="auto" w:fill="auto"/>
          </w:tcPr>
          <w:p w:rsidR="00C74582" w:rsidRDefault="00C74582" w:rsidP="00C74582">
            <w:pPr>
              <w:pStyle w:val="TableBodyText"/>
              <w:spacing w:before="60"/>
              <w:ind w:left="0" w:right="0"/>
            </w:pPr>
            <w:r>
              <w:t>Oct 2011 (C)</w:t>
            </w:r>
          </w:p>
        </w:tc>
      </w:tr>
      <w:tr w:rsidR="00C74582" w:rsidRPr="00D23929" w:rsidTr="00C74582">
        <w:tc>
          <w:tcPr>
            <w:tcW w:w="5104" w:type="dxa"/>
            <w:shd w:val="clear" w:color="auto" w:fill="auto"/>
          </w:tcPr>
          <w:p w:rsidR="00C74582" w:rsidRDefault="00C74582" w:rsidP="000345D3">
            <w:pPr>
              <w:pStyle w:val="TableBodyText"/>
              <w:spacing w:before="60"/>
              <w:jc w:val="left"/>
            </w:pPr>
            <w:r>
              <w:t>Dr Roberto Newell Garcia, President, Mexican Institute for Competitiveness</w:t>
            </w:r>
          </w:p>
        </w:tc>
        <w:tc>
          <w:tcPr>
            <w:tcW w:w="142" w:type="dxa"/>
            <w:shd w:val="clear" w:color="auto" w:fill="auto"/>
          </w:tcPr>
          <w:p w:rsidR="00C74582" w:rsidRPr="00D23929" w:rsidRDefault="00C74582" w:rsidP="00D24DBD">
            <w:pPr>
              <w:pStyle w:val="TableBodyText"/>
              <w:spacing w:before="60"/>
              <w:jc w:val="left"/>
            </w:pPr>
          </w:p>
        </w:tc>
        <w:tc>
          <w:tcPr>
            <w:tcW w:w="6664" w:type="dxa"/>
            <w:shd w:val="clear" w:color="auto" w:fill="auto"/>
          </w:tcPr>
          <w:p w:rsidR="00C74582" w:rsidRDefault="00C74582" w:rsidP="000345D3">
            <w:pPr>
              <w:pStyle w:val="TableBodyText"/>
              <w:spacing w:before="60"/>
              <w:jc w:val="left"/>
            </w:pPr>
            <w:r>
              <w:t>Richard Snape Lecture: Political economy of reform in Mexico</w:t>
            </w:r>
          </w:p>
        </w:tc>
        <w:tc>
          <w:tcPr>
            <w:tcW w:w="1421" w:type="dxa"/>
            <w:shd w:val="clear" w:color="auto" w:fill="auto"/>
          </w:tcPr>
          <w:p w:rsidR="00C74582" w:rsidRDefault="00C74582" w:rsidP="00C74582">
            <w:pPr>
              <w:pStyle w:val="TableBodyText"/>
              <w:spacing w:before="60"/>
              <w:ind w:left="0" w:right="0"/>
            </w:pPr>
            <w:r>
              <w:t>Oct 2011 (M)</w:t>
            </w:r>
          </w:p>
        </w:tc>
      </w:tr>
      <w:tr w:rsidR="00C74582" w:rsidRPr="00D23929" w:rsidTr="00C74582">
        <w:tc>
          <w:tcPr>
            <w:tcW w:w="5104" w:type="dxa"/>
            <w:shd w:val="clear" w:color="auto" w:fill="auto"/>
          </w:tcPr>
          <w:p w:rsidR="00C74582" w:rsidRDefault="00C74582" w:rsidP="000345D3">
            <w:pPr>
              <w:pStyle w:val="TableBodyText"/>
              <w:spacing w:before="60"/>
              <w:jc w:val="left"/>
            </w:pPr>
            <w:r>
              <w:t xml:space="preserve">Dr </w:t>
            </w:r>
            <w:proofErr w:type="spellStart"/>
            <w:r>
              <w:t>Suprijo</w:t>
            </w:r>
            <w:proofErr w:type="spellEnd"/>
            <w:r>
              <w:t xml:space="preserve"> De, Indian Ministry of Finance</w:t>
            </w:r>
          </w:p>
        </w:tc>
        <w:tc>
          <w:tcPr>
            <w:tcW w:w="142" w:type="dxa"/>
            <w:shd w:val="clear" w:color="auto" w:fill="auto"/>
          </w:tcPr>
          <w:p w:rsidR="00C74582" w:rsidRPr="00D23929" w:rsidRDefault="00C74582" w:rsidP="00D24DBD">
            <w:pPr>
              <w:pStyle w:val="TableBodyText"/>
              <w:spacing w:before="60"/>
              <w:jc w:val="left"/>
            </w:pPr>
          </w:p>
        </w:tc>
        <w:tc>
          <w:tcPr>
            <w:tcW w:w="6664" w:type="dxa"/>
            <w:shd w:val="clear" w:color="auto" w:fill="auto"/>
          </w:tcPr>
          <w:p w:rsidR="00C74582" w:rsidRDefault="00C74582" w:rsidP="000345D3">
            <w:pPr>
              <w:pStyle w:val="TableBodyText"/>
              <w:spacing w:before="60"/>
              <w:jc w:val="left"/>
            </w:pPr>
            <w:r>
              <w:t>The Commission’s role and activities</w:t>
            </w:r>
          </w:p>
        </w:tc>
        <w:tc>
          <w:tcPr>
            <w:tcW w:w="1421" w:type="dxa"/>
            <w:shd w:val="clear" w:color="auto" w:fill="auto"/>
          </w:tcPr>
          <w:p w:rsidR="00C74582" w:rsidRDefault="00C74582" w:rsidP="00C74582">
            <w:pPr>
              <w:pStyle w:val="TableBodyText"/>
              <w:spacing w:before="60"/>
              <w:ind w:left="0" w:right="0"/>
            </w:pPr>
            <w:r>
              <w:t>Oct 2011 (C)</w:t>
            </w:r>
          </w:p>
        </w:tc>
      </w:tr>
      <w:tr w:rsidR="00C74582" w:rsidRPr="00D23929" w:rsidTr="00C74582">
        <w:tc>
          <w:tcPr>
            <w:tcW w:w="5104" w:type="dxa"/>
            <w:shd w:val="clear" w:color="auto" w:fill="auto"/>
          </w:tcPr>
          <w:p w:rsidR="00C74582" w:rsidRDefault="00C74582" w:rsidP="000345D3">
            <w:pPr>
              <w:pStyle w:val="TableBodyText"/>
              <w:spacing w:before="60"/>
              <w:jc w:val="left"/>
            </w:pPr>
            <w:r>
              <w:t xml:space="preserve">Professor Josef </w:t>
            </w:r>
            <w:proofErr w:type="spellStart"/>
            <w:r>
              <w:t>Konvitz</w:t>
            </w:r>
            <w:proofErr w:type="spellEnd"/>
          </w:p>
        </w:tc>
        <w:tc>
          <w:tcPr>
            <w:tcW w:w="142" w:type="dxa"/>
            <w:shd w:val="clear" w:color="auto" w:fill="auto"/>
          </w:tcPr>
          <w:p w:rsidR="00C74582" w:rsidRPr="00D23929" w:rsidRDefault="00C74582" w:rsidP="00D24DBD">
            <w:pPr>
              <w:pStyle w:val="TableBodyText"/>
              <w:spacing w:before="60"/>
              <w:jc w:val="left"/>
            </w:pPr>
          </w:p>
        </w:tc>
        <w:tc>
          <w:tcPr>
            <w:tcW w:w="6664" w:type="dxa"/>
            <w:shd w:val="clear" w:color="auto" w:fill="auto"/>
          </w:tcPr>
          <w:p w:rsidR="00C74582" w:rsidRDefault="00C74582" w:rsidP="000345D3">
            <w:pPr>
              <w:pStyle w:val="TableBodyText"/>
              <w:spacing w:before="60"/>
              <w:jc w:val="left"/>
            </w:pPr>
            <w:r>
              <w:t>The Commission’s role and activities</w:t>
            </w:r>
          </w:p>
        </w:tc>
        <w:tc>
          <w:tcPr>
            <w:tcW w:w="1421" w:type="dxa"/>
            <w:shd w:val="clear" w:color="auto" w:fill="auto"/>
          </w:tcPr>
          <w:p w:rsidR="00C74582" w:rsidRDefault="00C74582" w:rsidP="00C74582">
            <w:pPr>
              <w:pStyle w:val="TableBodyText"/>
              <w:spacing w:before="60"/>
              <w:ind w:left="0" w:right="0"/>
            </w:pPr>
            <w:r>
              <w:t>Oct 2011 (C)</w:t>
            </w:r>
          </w:p>
        </w:tc>
      </w:tr>
      <w:tr w:rsidR="00C74582" w:rsidRPr="00D23929" w:rsidTr="00C74582">
        <w:tc>
          <w:tcPr>
            <w:tcW w:w="5104" w:type="dxa"/>
            <w:shd w:val="clear" w:color="auto" w:fill="auto"/>
          </w:tcPr>
          <w:p w:rsidR="00C74582" w:rsidRDefault="00C74582" w:rsidP="000345D3">
            <w:pPr>
              <w:pStyle w:val="TableBodyText"/>
              <w:spacing w:before="60"/>
              <w:jc w:val="left"/>
            </w:pPr>
            <w:r>
              <w:t>Chinese Taiwan Delegation</w:t>
            </w:r>
          </w:p>
        </w:tc>
        <w:tc>
          <w:tcPr>
            <w:tcW w:w="142" w:type="dxa"/>
            <w:shd w:val="clear" w:color="auto" w:fill="auto"/>
          </w:tcPr>
          <w:p w:rsidR="00C74582" w:rsidRPr="00D23929" w:rsidRDefault="00C74582" w:rsidP="00D24DBD">
            <w:pPr>
              <w:pStyle w:val="TableBodyText"/>
              <w:spacing w:before="60"/>
              <w:jc w:val="left"/>
            </w:pPr>
          </w:p>
        </w:tc>
        <w:tc>
          <w:tcPr>
            <w:tcW w:w="6664" w:type="dxa"/>
            <w:shd w:val="clear" w:color="auto" w:fill="auto"/>
          </w:tcPr>
          <w:p w:rsidR="00C74582" w:rsidRDefault="00C74582" w:rsidP="000345D3">
            <w:pPr>
              <w:pStyle w:val="TableBodyText"/>
              <w:spacing w:before="60"/>
              <w:jc w:val="left"/>
            </w:pPr>
            <w:r>
              <w:t>The Commission’s role and activities</w:t>
            </w:r>
          </w:p>
        </w:tc>
        <w:tc>
          <w:tcPr>
            <w:tcW w:w="1421" w:type="dxa"/>
            <w:shd w:val="clear" w:color="auto" w:fill="auto"/>
          </w:tcPr>
          <w:p w:rsidR="00C74582" w:rsidRDefault="00C74582" w:rsidP="00C74582">
            <w:pPr>
              <w:pStyle w:val="TableBodyText"/>
              <w:spacing w:before="60"/>
              <w:ind w:left="0" w:right="0"/>
            </w:pPr>
            <w:r>
              <w:t>Oct 2011 (C)</w:t>
            </w:r>
          </w:p>
        </w:tc>
      </w:tr>
      <w:tr w:rsidR="00C74582" w:rsidRPr="00D23929" w:rsidTr="00C74582">
        <w:tc>
          <w:tcPr>
            <w:tcW w:w="5104" w:type="dxa"/>
            <w:shd w:val="clear" w:color="auto" w:fill="auto"/>
          </w:tcPr>
          <w:p w:rsidR="00C74582" w:rsidRDefault="00C74582" w:rsidP="000345D3">
            <w:pPr>
              <w:pStyle w:val="TableBodyText"/>
              <w:spacing w:before="60"/>
              <w:jc w:val="left"/>
            </w:pPr>
            <w:r>
              <w:t>China State Council</w:t>
            </w:r>
          </w:p>
        </w:tc>
        <w:tc>
          <w:tcPr>
            <w:tcW w:w="142" w:type="dxa"/>
            <w:shd w:val="clear" w:color="auto" w:fill="auto"/>
          </w:tcPr>
          <w:p w:rsidR="00C74582" w:rsidRPr="00D23929" w:rsidRDefault="00C74582" w:rsidP="00D24DBD">
            <w:pPr>
              <w:pStyle w:val="TableBodyText"/>
              <w:spacing w:before="60"/>
              <w:jc w:val="left"/>
            </w:pPr>
          </w:p>
        </w:tc>
        <w:tc>
          <w:tcPr>
            <w:tcW w:w="6664" w:type="dxa"/>
            <w:shd w:val="clear" w:color="auto" w:fill="auto"/>
          </w:tcPr>
          <w:p w:rsidR="00C74582" w:rsidRDefault="00C74582" w:rsidP="000345D3">
            <w:pPr>
              <w:pStyle w:val="TableBodyText"/>
              <w:spacing w:before="60"/>
              <w:jc w:val="left"/>
            </w:pPr>
            <w:r>
              <w:t>The Commission’s role and activities</w:t>
            </w:r>
          </w:p>
        </w:tc>
        <w:tc>
          <w:tcPr>
            <w:tcW w:w="1421" w:type="dxa"/>
            <w:shd w:val="clear" w:color="auto" w:fill="auto"/>
          </w:tcPr>
          <w:p w:rsidR="00C74582" w:rsidRDefault="00C74582" w:rsidP="00C74582">
            <w:pPr>
              <w:pStyle w:val="TableBodyText"/>
              <w:spacing w:before="60"/>
              <w:ind w:left="0" w:right="0"/>
            </w:pPr>
            <w:r>
              <w:t>Oct 2011 (C)</w:t>
            </w:r>
          </w:p>
        </w:tc>
      </w:tr>
      <w:tr w:rsidR="00C74582" w:rsidRPr="00C74582" w:rsidTr="00C74582">
        <w:tc>
          <w:tcPr>
            <w:tcW w:w="5104" w:type="dxa"/>
            <w:shd w:val="clear" w:color="auto" w:fill="auto"/>
          </w:tcPr>
          <w:p w:rsidR="00C74582" w:rsidRPr="00C74582" w:rsidRDefault="00C74582" w:rsidP="000345D3">
            <w:pPr>
              <w:pStyle w:val="TableBodyText"/>
              <w:spacing w:before="60"/>
              <w:jc w:val="left"/>
            </w:pPr>
            <w:proofErr w:type="spellStart"/>
            <w:r w:rsidRPr="00C74582">
              <w:t>Jeroen</w:t>
            </w:r>
            <w:proofErr w:type="spellEnd"/>
            <w:r w:rsidRPr="00C74582">
              <w:t xml:space="preserve"> </w:t>
            </w:r>
            <w:proofErr w:type="spellStart"/>
            <w:r w:rsidRPr="00C74582">
              <w:t>Nijland</w:t>
            </w:r>
            <w:proofErr w:type="spellEnd"/>
          </w:p>
        </w:tc>
        <w:tc>
          <w:tcPr>
            <w:tcW w:w="142" w:type="dxa"/>
            <w:shd w:val="clear" w:color="auto" w:fill="auto"/>
          </w:tcPr>
          <w:p w:rsidR="00C74582" w:rsidRPr="00C74582" w:rsidRDefault="00C74582" w:rsidP="00D24DBD">
            <w:pPr>
              <w:pStyle w:val="TableBodyText"/>
              <w:spacing w:before="60"/>
              <w:jc w:val="left"/>
            </w:pPr>
          </w:p>
        </w:tc>
        <w:tc>
          <w:tcPr>
            <w:tcW w:w="6664" w:type="dxa"/>
            <w:shd w:val="clear" w:color="auto" w:fill="auto"/>
          </w:tcPr>
          <w:p w:rsidR="00C74582" w:rsidRPr="00C74582" w:rsidRDefault="001B7778" w:rsidP="000345D3">
            <w:pPr>
              <w:pStyle w:val="TableBodyText"/>
              <w:spacing w:before="60"/>
              <w:jc w:val="left"/>
            </w:pPr>
            <w:r>
              <w:t>Regulatory reform and links with OECD</w:t>
            </w:r>
          </w:p>
        </w:tc>
        <w:tc>
          <w:tcPr>
            <w:tcW w:w="1421" w:type="dxa"/>
            <w:shd w:val="clear" w:color="auto" w:fill="auto"/>
          </w:tcPr>
          <w:p w:rsidR="00C74582" w:rsidRPr="00C74582" w:rsidRDefault="00C74582" w:rsidP="00C74582">
            <w:pPr>
              <w:pStyle w:val="TableBodyText"/>
              <w:spacing w:before="60"/>
              <w:ind w:right="0"/>
            </w:pPr>
            <w:r w:rsidRPr="00C74582">
              <w:t>Oct 2011 (C)</w:t>
            </w:r>
          </w:p>
        </w:tc>
      </w:tr>
      <w:tr w:rsidR="00C74582" w:rsidRPr="00C74582" w:rsidTr="00C74582">
        <w:tc>
          <w:tcPr>
            <w:tcW w:w="5104" w:type="dxa"/>
            <w:shd w:val="clear" w:color="auto" w:fill="auto"/>
          </w:tcPr>
          <w:p w:rsidR="00C74582" w:rsidRPr="00C74582" w:rsidRDefault="00C74582" w:rsidP="000345D3">
            <w:pPr>
              <w:pStyle w:val="TableBodyText"/>
              <w:spacing w:before="60"/>
              <w:jc w:val="left"/>
            </w:pPr>
            <w:r w:rsidRPr="00C74582">
              <w:t>China Ministry of Finance Delegation</w:t>
            </w:r>
          </w:p>
        </w:tc>
        <w:tc>
          <w:tcPr>
            <w:tcW w:w="142" w:type="dxa"/>
            <w:shd w:val="clear" w:color="auto" w:fill="auto"/>
          </w:tcPr>
          <w:p w:rsidR="00C74582" w:rsidRPr="00C74582" w:rsidRDefault="00C74582" w:rsidP="00D24DBD">
            <w:pPr>
              <w:pStyle w:val="TableBodyText"/>
              <w:spacing w:before="60"/>
              <w:jc w:val="left"/>
            </w:pPr>
          </w:p>
        </w:tc>
        <w:tc>
          <w:tcPr>
            <w:tcW w:w="6664" w:type="dxa"/>
            <w:shd w:val="clear" w:color="auto" w:fill="auto"/>
          </w:tcPr>
          <w:p w:rsidR="00C74582" w:rsidRPr="00C74582" w:rsidRDefault="00C74582" w:rsidP="000345D3">
            <w:pPr>
              <w:pStyle w:val="TableBodyText"/>
              <w:spacing w:before="60"/>
              <w:jc w:val="left"/>
            </w:pPr>
            <w:r w:rsidRPr="00C74582">
              <w:t>The Commission’s role and activities</w:t>
            </w:r>
          </w:p>
        </w:tc>
        <w:tc>
          <w:tcPr>
            <w:tcW w:w="1421" w:type="dxa"/>
            <w:shd w:val="clear" w:color="auto" w:fill="auto"/>
          </w:tcPr>
          <w:p w:rsidR="00C74582" w:rsidRPr="00C74582" w:rsidRDefault="00C74582" w:rsidP="00C74582">
            <w:pPr>
              <w:pStyle w:val="TableBodyText"/>
              <w:spacing w:before="60"/>
              <w:ind w:right="0"/>
            </w:pPr>
            <w:r w:rsidRPr="00C74582">
              <w:t>Nov 2012 (C)</w:t>
            </w:r>
          </w:p>
        </w:tc>
      </w:tr>
      <w:tr w:rsidR="00C74582" w:rsidRPr="00C74582" w:rsidTr="00C74582">
        <w:tc>
          <w:tcPr>
            <w:tcW w:w="5104" w:type="dxa"/>
            <w:shd w:val="clear" w:color="auto" w:fill="auto"/>
          </w:tcPr>
          <w:p w:rsidR="00C74582" w:rsidRPr="00C74582" w:rsidRDefault="00C74582" w:rsidP="000345D3">
            <w:pPr>
              <w:pStyle w:val="TableBodyText"/>
              <w:spacing w:before="60"/>
              <w:jc w:val="left"/>
            </w:pPr>
            <w:r w:rsidRPr="00C74582">
              <w:t>OECD Mission</w:t>
            </w:r>
          </w:p>
        </w:tc>
        <w:tc>
          <w:tcPr>
            <w:tcW w:w="142" w:type="dxa"/>
            <w:shd w:val="clear" w:color="auto" w:fill="auto"/>
          </w:tcPr>
          <w:p w:rsidR="00C74582" w:rsidRPr="00C74582" w:rsidRDefault="00C74582" w:rsidP="00D24DBD">
            <w:pPr>
              <w:pStyle w:val="TableBodyText"/>
              <w:spacing w:before="60"/>
              <w:jc w:val="left"/>
            </w:pPr>
          </w:p>
        </w:tc>
        <w:tc>
          <w:tcPr>
            <w:tcW w:w="6664" w:type="dxa"/>
            <w:shd w:val="clear" w:color="auto" w:fill="auto"/>
          </w:tcPr>
          <w:p w:rsidR="00C74582" w:rsidRPr="00C74582" w:rsidRDefault="00C74582" w:rsidP="000345D3">
            <w:pPr>
              <w:pStyle w:val="TableBodyText"/>
              <w:spacing w:before="60"/>
              <w:jc w:val="left"/>
            </w:pPr>
            <w:r w:rsidRPr="00C74582">
              <w:t>Productivity (trends, details); Structural Change (incl. land use, zoning, housing); Reform Agenda (including health and productivity, infrastructure regulation).</w:t>
            </w:r>
          </w:p>
        </w:tc>
        <w:tc>
          <w:tcPr>
            <w:tcW w:w="1421" w:type="dxa"/>
            <w:shd w:val="clear" w:color="auto" w:fill="auto"/>
          </w:tcPr>
          <w:p w:rsidR="00C74582" w:rsidRPr="00C74582" w:rsidRDefault="00C74582" w:rsidP="00C74582">
            <w:pPr>
              <w:pStyle w:val="TableBodyText"/>
              <w:spacing w:before="60"/>
              <w:ind w:right="0"/>
            </w:pPr>
            <w:r w:rsidRPr="00C74582">
              <w:t>Dec 2011 (C)</w:t>
            </w:r>
          </w:p>
        </w:tc>
      </w:tr>
      <w:tr w:rsidR="00C74582" w:rsidRPr="00C74582" w:rsidTr="00C74582">
        <w:tc>
          <w:tcPr>
            <w:tcW w:w="5104" w:type="dxa"/>
            <w:shd w:val="clear" w:color="auto" w:fill="auto"/>
          </w:tcPr>
          <w:p w:rsidR="00C74582" w:rsidRPr="00C74582" w:rsidRDefault="00C74582" w:rsidP="000345D3">
            <w:pPr>
              <w:pStyle w:val="TableBodyText"/>
              <w:spacing w:before="60"/>
              <w:jc w:val="left"/>
            </w:pPr>
            <w:r w:rsidRPr="00C74582">
              <w:t xml:space="preserve">Greg Bounds and Nikolai </w:t>
            </w:r>
            <w:proofErr w:type="spellStart"/>
            <w:r w:rsidRPr="00C74582">
              <w:t>Malyshev</w:t>
            </w:r>
            <w:proofErr w:type="spellEnd"/>
            <w:r w:rsidRPr="00C74582">
              <w:t>, OECD officials</w:t>
            </w:r>
          </w:p>
        </w:tc>
        <w:tc>
          <w:tcPr>
            <w:tcW w:w="142" w:type="dxa"/>
            <w:shd w:val="clear" w:color="auto" w:fill="auto"/>
          </w:tcPr>
          <w:p w:rsidR="00C74582" w:rsidRPr="00C74582" w:rsidRDefault="00C74582" w:rsidP="00D24DBD">
            <w:pPr>
              <w:pStyle w:val="TableBodyText"/>
              <w:spacing w:before="60"/>
              <w:jc w:val="left"/>
            </w:pPr>
          </w:p>
        </w:tc>
        <w:tc>
          <w:tcPr>
            <w:tcW w:w="6664" w:type="dxa"/>
            <w:shd w:val="clear" w:color="auto" w:fill="auto"/>
          </w:tcPr>
          <w:p w:rsidR="00C74582" w:rsidRPr="00C74582" w:rsidRDefault="001B7778" w:rsidP="000345D3">
            <w:pPr>
              <w:pStyle w:val="TableBodyText"/>
              <w:spacing w:before="60"/>
              <w:jc w:val="left"/>
            </w:pPr>
            <w:r>
              <w:t>The role of OECD Regulatory Policy Committee</w:t>
            </w:r>
          </w:p>
        </w:tc>
        <w:tc>
          <w:tcPr>
            <w:tcW w:w="1421" w:type="dxa"/>
            <w:shd w:val="clear" w:color="auto" w:fill="auto"/>
          </w:tcPr>
          <w:p w:rsidR="00C74582" w:rsidRPr="00C74582" w:rsidRDefault="00C74582" w:rsidP="00C74582">
            <w:pPr>
              <w:pStyle w:val="TableBodyText"/>
              <w:spacing w:before="60"/>
              <w:ind w:right="0"/>
            </w:pPr>
            <w:r w:rsidRPr="00C74582">
              <w:t>Feb 2012 (M)</w:t>
            </w:r>
          </w:p>
        </w:tc>
      </w:tr>
      <w:tr w:rsidR="00C74582" w:rsidRPr="00C74582" w:rsidTr="00C74582">
        <w:tc>
          <w:tcPr>
            <w:tcW w:w="5104" w:type="dxa"/>
            <w:shd w:val="clear" w:color="auto" w:fill="auto"/>
          </w:tcPr>
          <w:p w:rsidR="00C74582" w:rsidRPr="00C74582" w:rsidRDefault="00C74582" w:rsidP="000345D3">
            <w:pPr>
              <w:pStyle w:val="TableBodyText"/>
              <w:spacing w:before="60"/>
              <w:jc w:val="left"/>
            </w:pPr>
            <w:r w:rsidRPr="00C74582">
              <w:t>New Zealand Productivity Commission</w:t>
            </w:r>
          </w:p>
        </w:tc>
        <w:tc>
          <w:tcPr>
            <w:tcW w:w="142" w:type="dxa"/>
            <w:shd w:val="clear" w:color="auto" w:fill="auto"/>
          </w:tcPr>
          <w:p w:rsidR="00C74582" w:rsidRPr="00C74582" w:rsidRDefault="00C74582" w:rsidP="00D24DBD">
            <w:pPr>
              <w:pStyle w:val="TableBodyText"/>
              <w:spacing w:before="60"/>
              <w:jc w:val="left"/>
            </w:pPr>
          </w:p>
        </w:tc>
        <w:tc>
          <w:tcPr>
            <w:tcW w:w="6664" w:type="dxa"/>
            <w:shd w:val="clear" w:color="auto" w:fill="auto"/>
          </w:tcPr>
          <w:p w:rsidR="00C74582" w:rsidRPr="00C74582" w:rsidRDefault="00C74582" w:rsidP="000345D3">
            <w:pPr>
              <w:pStyle w:val="TableBodyText"/>
              <w:spacing w:before="60"/>
              <w:jc w:val="left"/>
            </w:pPr>
            <w:r w:rsidRPr="00C74582">
              <w:t>Inaugural Meeting of the Australian and New Zealand Productivity Commissions</w:t>
            </w:r>
          </w:p>
        </w:tc>
        <w:tc>
          <w:tcPr>
            <w:tcW w:w="1421" w:type="dxa"/>
            <w:shd w:val="clear" w:color="auto" w:fill="auto"/>
          </w:tcPr>
          <w:p w:rsidR="00C74582" w:rsidRPr="00C74582" w:rsidRDefault="00C74582" w:rsidP="00C74582">
            <w:pPr>
              <w:pStyle w:val="TableBodyText"/>
              <w:spacing w:before="60"/>
              <w:ind w:right="0"/>
            </w:pPr>
            <w:r w:rsidRPr="00C74582">
              <w:t>Feb 2012 (C)</w:t>
            </w:r>
          </w:p>
        </w:tc>
      </w:tr>
      <w:tr w:rsidR="00C74582" w:rsidRPr="00C74582" w:rsidTr="00AE0BCE">
        <w:tc>
          <w:tcPr>
            <w:tcW w:w="5104" w:type="dxa"/>
            <w:shd w:val="clear" w:color="auto" w:fill="auto"/>
          </w:tcPr>
          <w:p w:rsidR="00C74582" w:rsidRPr="00C74582" w:rsidRDefault="00C74582" w:rsidP="000345D3">
            <w:pPr>
              <w:pStyle w:val="TableBodyText"/>
              <w:spacing w:before="60"/>
              <w:jc w:val="left"/>
            </w:pPr>
            <w:r w:rsidRPr="00C74582">
              <w:t xml:space="preserve">Professor John </w:t>
            </w:r>
            <w:proofErr w:type="spellStart"/>
            <w:r w:rsidRPr="00C74582">
              <w:t>Micklewright</w:t>
            </w:r>
            <w:proofErr w:type="spellEnd"/>
            <w:r w:rsidRPr="00C74582">
              <w:t>, University of London</w:t>
            </w:r>
          </w:p>
        </w:tc>
        <w:tc>
          <w:tcPr>
            <w:tcW w:w="142" w:type="dxa"/>
            <w:shd w:val="clear" w:color="auto" w:fill="auto"/>
          </w:tcPr>
          <w:p w:rsidR="00C74582" w:rsidRPr="00C74582" w:rsidRDefault="00C74582" w:rsidP="00D24DBD">
            <w:pPr>
              <w:pStyle w:val="TableBodyText"/>
              <w:spacing w:before="60"/>
              <w:jc w:val="left"/>
            </w:pPr>
          </w:p>
        </w:tc>
        <w:tc>
          <w:tcPr>
            <w:tcW w:w="6664" w:type="dxa"/>
            <w:shd w:val="clear" w:color="auto" w:fill="auto"/>
          </w:tcPr>
          <w:p w:rsidR="00C74582" w:rsidRPr="00C74582" w:rsidRDefault="00C74582" w:rsidP="000345D3">
            <w:pPr>
              <w:pStyle w:val="TableBodyText"/>
              <w:spacing w:before="60"/>
              <w:jc w:val="left"/>
            </w:pPr>
            <w:r w:rsidRPr="00C74582">
              <w:t>Seminar to the Commission on the Great Recession and the distribution of household income</w:t>
            </w:r>
          </w:p>
        </w:tc>
        <w:tc>
          <w:tcPr>
            <w:tcW w:w="1421" w:type="dxa"/>
            <w:shd w:val="clear" w:color="auto" w:fill="auto"/>
          </w:tcPr>
          <w:p w:rsidR="00C74582" w:rsidRPr="00C74582" w:rsidRDefault="00C74582" w:rsidP="00C74582">
            <w:pPr>
              <w:pStyle w:val="TableBodyText"/>
              <w:spacing w:before="60"/>
              <w:ind w:left="0" w:right="0"/>
            </w:pPr>
            <w:r w:rsidRPr="00C74582">
              <w:t>Mar 2012 (M)</w:t>
            </w:r>
          </w:p>
        </w:tc>
      </w:tr>
      <w:tr w:rsidR="00C74582" w:rsidRPr="00D23929" w:rsidTr="00AE0BCE">
        <w:tc>
          <w:tcPr>
            <w:tcW w:w="5104" w:type="dxa"/>
            <w:tcBorders>
              <w:bottom w:val="single" w:sz="4" w:space="0" w:color="auto"/>
            </w:tcBorders>
            <w:shd w:val="clear" w:color="auto" w:fill="auto"/>
          </w:tcPr>
          <w:p w:rsidR="00C74582" w:rsidRDefault="00C74582" w:rsidP="000345D3">
            <w:pPr>
              <w:pStyle w:val="TableBodyText"/>
              <w:spacing w:before="60"/>
              <w:jc w:val="left"/>
            </w:pPr>
            <w:r>
              <w:t>Philippines National Economic and Development Authority (</w:t>
            </w:r>
            <w:proofErr w:type="spellStart"/>
            <w:r>
              <w:t>NEDA</w:t>
            </w:r>
            <w:proofErr w:type="spellEnd"/>
            <w:r>
              <w:t>) Delegation</w:t>
            </w:r>
          </w:p>
        </w:tc>
        <w:tc>
          <w:tcPr>
            <w:tcW w:w="142" w:type="dxa"/>
            <w:tcBorders>
              <w:bottom w:val="single" w:sz="4" w:space="0" w:color="auto"/>
            </w:tcBorders>
            <w:shd w:val="clear" w:color="auto" w:fill="auto"/>
          </w:tcPr>
          <w:p w:rsidR="00C74582" w:rsidRPr="00D23929" w:rsidRDefault="00C74582" w:rsidP="00D24DBD">
            <w:pPr>
              <w:pStyle w:val="TableBodyText"/>
              <w:spacing w:before="60"/>
              <w:jc w:val="left"/>
            </w:pPr>
          </w:p>
        </w:tc>
        <w:tc>
          <w:tcPr>
            <w:tcW w:w="6664" w:type="dxa"/>
            <w:tcBorders>
              <w:bottom w:val="single" w:sz="4" w:space="0" w:color="auto"/>
            </w:tcBorders>
            <w:shd w:val="clear" w:color="auto" w:fill="auto"/>
          </w:tcPr>
          <w:p w:rsidR="00C74582" w:rsidRPr="001648AA" w:rsidRDefault="00C74582" w:rsidP="000345D3">
            <w:pPr>
              <w:pStyle w:val="TableBodyText"/>
              <w:spacing w:before="60"/>
              <w:jc w:val="left"/>
            </w:pPr>
            <w:r>
              <w:t>Discuss public private partnerships along with other aspects of economic planning in Australia</w:t>
            </w:r>
          </w:p>
        </w:tc>
        <w:tc>
          <w:tcPr>
            <w:tcW w:w="1421" w:type="dxa"/>
            <w:tcBorders>
              <w:bottom w:val="single" w:sz="4" w:space="0" w:color="auto"/>
            </w:tcBorders>
            <w:shd w:val="clear" w:color="auto" w:fill="auto"/>
          </w:tcPr>
          <w:p w:rsidR="00C74582" w:rsidRDefault="00C74582" w:rsidP="00C74582">
            <w:pPr>
              <w:pStyle w:val="TableBodyText"/>
              <w:spacing w:before="60"/>
              <w:ind w:right="0"/>
            </w:pPr>
            <w:r>
              <w:t>Mar 2012 (C)</w:t>
            </w:r>
          </w:p>
        </w:tc>
      </w:tr>
    </w:tbl>
    <w:p w:rsidR="00AE0BCE" w:rsidRDefault="00AE0BCE" w:rsidP="00AE0BCE">
      <w:pPr>
        <w:pStyle w:val="Continued"/>
      </w:pPr>
      <w:r>
        <w:t>(continued next page)</w:t>
      </w:r>
    </w:p>
    <w:p w:rsidR="00AE0BCE" w:rsidRPr="00C74582" w:rsidRDefault="00AE0BCE" w:rsidP="00AE0BCE">
      <w:pPr>
        <w:pStyle w:val="TableTitle"/>
        <w:spacing w:before="120"/>
        <w:rPr>
          <w:b w:val="0"/>
        </w:rPr>
      </w:pPr>
      <w:r>
        <w:rPr>
          <w:b w:val="0"/>
        </w:rPr>
        <w:lastRenderedPageBreak/>
        <w:t>Table E.</w:t>
      </w:r>
      <w:r w:rsidR="00C161D2">
        <w:rPr>
          <w:b w:val="0"/>
        </w:rPr>
        <w:t>2</w:t>
      </w:r>
      <w:r w:rsidRPr="00C74582">
        <w:rPr>
          <w:b w:val="0"/>
        </w:rPr>
        <w:tab/>
      </w:r>
      <w:r w:rsidR="00F40928" w:rsidRPr="00B61021">
        <w:rPr>
          <w:sz w:val="20"/>
        </w:rPr>
        <w:t xml:space="preserve"> (continued)</w:t>
      </w:r>
      <w:r w:rsidR="00F40928">
        <w:t xml:space="preserve"> </w:t>
      </w:r>
    </w:p>
    <w:tbl>
      <w:tblPr>
        <w:tblW w:w="13331" w:type="dxa"/>
        <w:tblInd w:w="-3" w:type="dxa"/>
        <w:tblLayout w:type="fixed"/>
        <w:tblCellMar>
          <w:left w:w="0" w:type="dxa"/>
          <w:right w:w="0" w:type="dxa"/>
        </w:tblCellMar>
        <w:tblLook w:val="0000" w:firstRow="0" w:lastRow="0" w:firstColumn="0" w:lastColumn="0" w:noHBand="0" w:noVBand="0"/>
      </w:tblPr>
      <w:tblGrid>
        <w:gridCol w:w="5104"/>
        <w:gridCol w:w="142"/>
        <w:gridCol w:w="6664"/>
        <w:gridCol w:w="1421"/>
      </w:tblGrid>
      <w:tr w:rsidR="00AE0BCE" w:rsidRPr="00D23929" w:rsidTr="000345D3">
        <w:tc>
          <w:tcPr>
            <w:tcW w:w="5104" w:type="dxa"/>
            <w:tcBorders>
              <w:top w:val="single" w:sz="6" w:space="0" w:color="auto"/>
              <w:bottom w:val="single" w:sz="4" w:space="0" w:color="auto"/>
            </w:tcBorders>
            <w:shd w:val="clear" w:color="auto" w:fill="auto"/>
          </w:tcPr>
          <w:p w:rsidR="00AE0BCE" w:rsidRPr="00D23929" w:rsidRDefault="00AE0BCE" w:rsidP="000345D3">
            <w:pPr>
              <w:pStyle w:val="TableColumnHeading"/>
              <w:spacing w:before="60" w:after="40" w:line="220" w:lineRule="exact"/>
              <w:ind w:left="57"/>
              <w:jc w:val="left"/>
            </w:pPr>
            <w:r w:rsidRPr="00D23929">
              <w:t>Organisation/delegation</w:t>
            </w:r>
          </w:p>
        </w:tc>
        <w:tc>
          <w:tcPr>
            <w:tcW w:w="142" w:type="dxa"/>
            <w:tcBorders>
              <w:top w:val="single" w:sz="6" w:space="0" w:color="auto"/>
              <w:bottom w:val="single" w:sz="4" w:space="0" w:color="auto"/>
            </w:tcBorders>
            <w:shd w:val="clear" w:color="auto" w:fill="auto"/>
          </w:tcPr>
          <w:p w:rsidR="00AE0BCE" w:rsidRPr="00D23929" w:rsidRDefault="00AE0BCE" w:rsidP="000345D3">
            <w:pPr>
              <w:pStyle w:val="TableColumnHeading"/>
              <w:spacing w:before="60"/>
            </w:pPr>
          </w:p>
        </w:tc>
        <w:tc>
          <w:tcPr>
            <w:tcW w:w="6664" w:type="dxa"/>
            <w:tcBorders>
              <w:top w:val="single" w:sz="6" w:space="0" w:color="auto"/>
              <w:bottom w:val="single" w:sz="4" w:space="0" w:color="auto"/>
            </w:tcBorders>
            <w:shd w:val="clear" w:color="auto" w:fill="auto"/>
          </w:tcPr>
          <w:p w:rsidR="00AE0BCE" w:rsidRPr="00D23929" w:rsidRDefault="00AE0BCE" w:rsidP="000345D3">
            <w:pPr>
              <w:pStyle w:val="TableColumnHeading"/>
              <w:spacing w:before="60" w:after="40" w:line="220" w:lineRule="exact"/>
              <w:ind w:left="57"/>
              <w:jc w:val="left"/>
            </w:pPr>
            <w:r w:rsidRPr="00D23929">
              <w:t>Briefing/discussion purpose of visit</w:t>
            </w:r>
          </w:p>
        </w:tc>
        <w:tc>
          <w:tcPr>
            <w:tcW w:w="1421" w:type="dxa"/>
            <w:tcBorders>
              <w:top w:val="single" w:sz="6" w:space="0" w:color="auto"/>
              <w:bottom w:val="single" w:sz="4" w:space="0" w:color="auto"/>
            </w:tcBorders>
            <w:shd w:val="clear" w:color="auto" w:fill="auto"/>
          </w:tcPr>
          <w:p w:rsidR="00AE0BCE" w:rsidRPr="00D23929" w:rsidRDefault="00AE0BCE" w:rsidP="000345D3">
            <w:pPr>
              <w:pStyle w:val="TableColumnHeading"/>
              <w:spacing w:before="60"/>
              <w:ind w:left="0" w:right="0"/>
            </w:pPr>
            <w:r w:rsidRPr="00D23929">
              <w:t>Date/location</w:t>
            </w:r>
          </w:p>
        </w:tc>
      </w:tr>
      <w:tr w:rsidR="00C74582" w:rsidRPr="00D23929" w:rsidTr="00C74582">
        <w:tc>
          <w:tcPr>
            <w:tcW w:w="5104" w:type="dxa"/>
            <w:shd w:val="clear" w:color="auto" w:fill="auto"/>
          </w:tcPr>
          <w:p w:rsidR="00C74582" w:rsidRDefault="00C74582" w:rsidP="000345D3">
            <w:pPr>
              <w:pStyle w:val="TableBodyText"/>
              <w:spacing w:before="60"/>
              <w:jc w:val="left"/>
            </w:pPr>
            <w:r>
              <w:t xml:space="preserve">Singapore Delegation </w:t>
            </w:r>
          </w:p>
        </w:tc>
        <w:tc>
          <w:tcPr>
            <w:tcW w:w="142" w:type="dxa"/>
            <w:shd w:val="clear" w:color="auto" w:fill="auto"/>
          </w:tcPr>
          <w:p w:rsidR="00C74582" w:rsidRPr="00D23929" w:rsidRDefault="00C74582" w:rsidP="00D24DBD">
            <w:pPr>
              <w:pStyle w:val="TableBodyText"/>
              <w:spacing w:before="60"/>
              <w:jc w:val="left"/>
            </w:pPr>
          </w:p>
        </w:tc>
        <w:tc>
          <w:tcPr>
            <w:tcW w:w="6664" w:type="dxa"/>
            <w:shd w:val="clear" w:color="auto" w:fill="auto"/>
          </w:tcPr>
          <w:p w:rsidR="00C74582" w:rsidRPr="00DD1CA7" w:rsidRDefault="00C74582" w:rsidP="000345D3">
            <w:pPr>
              <w:pStyle w:val="TableBodyText"/>
              <w:spacing w:before="60"/>
              <w:jc w:val="left"/>
            </w:pPr>
            <w:r>
              <w:t>Discuss carbon p</w:t>
            </w:r>
            <w:r w:rsidRPr="00624E96">
              <w:t>ricing mechanisms and policies to reduce emissions</w:t>
            </w:r>
          </w:p>
        </w:tc>
        <w:tc>
          <w:tcPr>
            <w:tcW w:w="1421" w:type="dxa"/>
            <w:shd w:val="clear" w:color="auto" w:fill="auto"/>
          </w:tcPr>
          <w:p w:rsidR="00C74582" w:rsidRDefault="00C74582" w:rsidP="00C74582">
            <w:pPr>
              <w:pStyle w:val="TableBodyText"/>
              <w:spacing w:before="60"/>
              <w:ind w:right="0"/>
            </w:pPr>
            <w:r>
              <w:t>Mar 2012 (M)</w:t>
            </w:r>
          </w:p>
        </w:tc>
      </w:tr>
      <w:tr w:rsidR="00C74582" w:rsidRPr="00D23929" w:rsidTr="00F40928">
        <w:trPr>
          <w:trHeight w:val="728"/>
        </w:trPr>
        <w:tc>
          <w:tcPr>
            <w:tcW w:w="5104" w:type="dxa"/>
            <w:shd w:val="clear" w:color="auto" w:fill="auto"/>
          </w:tcPr>
          <w:p w:rsidR="00C74582" w:rsidRDefault="00C74582" w:rsidP="000345D3">
            <w:pPr>
              <w:pStyle w:val="TableBodyText"/>
              <w:spacing w:before="60"/>
              <w:jc w:val="left"/>
            </w:pPr>
            <w:r>
              <w:t>Professor Michael Enright, University of Hong Kong (CPA Australia)</w:t>
            </w:r>
          </w:p>
        </w:tc>
        <w:tc>
          <w:tcPr>
            <w:tcW w:w="142" w:type="dxa"/>
            <w:shd w:val="clear" w:color="auto" w:fill="auto"/>
          </w:tcPr>
          <w:p w:rsidR="00C74582" w:rsidRPr="00D23929" w:rsidRDefault="00C74582" w:rsidP="00D24DBD">
            <w:pPr>
              <w:pStyle w:val="TableBodyText"/>
              <w:spacing w:before="60"/>
              <w:jc w:val="left"/>
            </w:pPr>
          </w:p>
        </w:tc>
        <w:tc>
          <w:tcPr>
            <w:tcW w:w="6664" w:type="dxa"/>
            <w:shd w:val="clear" w:color="auto" w:fill="auto"/>
          </w:tcPr>
          <w:p w:rsidR="00C74582" w:rsidRPr="00DD1CA7" w:rsidRDefault="00C74582" w:rsidP="000345D3">
            <w:pPr>
              <w:pStyle w:val="TableBodyText"/>
              <w:spacing w:before="60"/>
              <w:jc w:val="left"/>
            </w:pPr>
            <w:r w:rsidRPr="005959D4">
              <w:t>Discuss CPA Australia and Australia’s competitiveness research project</w:t>
            </w:r>
          </w:p>
        </w:tc>
        <w:tc>
          <w:tcPr>
            <w:tcW w:w="1421" w:type="dxa"/>
            <w:shd w:val="clear" w:color="auto" w:fill="auto"/>
          </w:tcPr>
          <w:p w:rsidR="00C74582" w:rsidRDefault="00C74582" w:rsidP="00C74582">
            <w:pPr>
              <w:pStyle w:val="TableBodyText"/>
              <w:spacing w:before="60"/>
              <w:ind w:right="0"/>
            </w:pPr>
            <w:r>
              <w:t>April 2012 (C)</w:t>
            </w:r>
          </w:p>
        </w:tc>
      </w:tr>
      <w:tr w:rsidR="00C74582" w:rsidRPr="00D23929" w:rsidTr="00C74582">
        <w:tc>
          <w:tcPr>
            <w:tcW w:w="5104" w:type="dxa"/>
            <w:shd w:val="clear" w:color="auto" w:fill="auto"/>
          </w:tcPr>
          <w:p w:rsidR="00C74582" w:rsidRDefault="00C74582" w:rsidP="000345D3">
            <w:pPr>
              <w:pStyle w:val="TableBodyText"/>
              <w:spacing w:before="60"/>
              <w:jc w:val="left"/>
            </w:pPr>
            <w:r>
              <w:t xml:space="preserve">New Zealand Minister for Health The Hon Tony </w:t>
            </w:r>
            <w:proofErr w:type="spellStart"/>
            <w:r>
              <w:t>Ryall</w:t>
            </w:r>
            <w:proofErr w:type="spellEnd"/>
            <w:r>
              <w:t>,</w:t>
            </w:r>
          </w:p>
        </w:tc>
        <w:tc>
          <w:tcPr>
            <w:tcW w:w="142" w:type="dxa"/>
            <w:shd w:val="clear" w:color="auto" w:fill="auto"/>
          </w:tcPr>
          <w:p w:rsidR="00C74582" w:rsidRPr="00D23929" w:rsidRDefault="00C74582" w:rsidP="00D24DBD">
            <w:pPr>
              <w:pStyle w:val="TableBodyText"/>
              <w:spacing w:before="60"/>
              <w:jc w:val="left"/>
            </w:pPr>
          </w:p>
        </w:tc>
        <w:tc>
          <w:tcPr>
            <w:tcW w:w="6664" w:type="dxa"/>
            <w:shd w:val="clear" w:color="auto" w:fill="auto"/>
          </w:tcPr>
          <w:p w:rsidR="00C74582" w:rsidRPr="005959D4" w:rsidRDefault="00C74582" w:rsidP="000345D3">
            <w:pPr>
              <w:pStyle w:val="TableBodyText"/>
              <w:spacing w:before="60"/>
              <w:jc w:val="left"/>
            </w:pPr>
            <w:r>
              <w:t>Discuss Health sector, in particular hospital and primary health care productivity; Australian experiences and lessons that can be learnt</w:t>
            </w:r>
          </w:p>
        </w:tc>
        <w:tc>
          <w:tcPr>
            <w:tcW w:w="1421" w:type="dxa"/>
            <w:shd w:val="clear" w:color="auto" w:fill="auto"/>
          </w:tcPr>
          <w:p w:rsidR="00C74582" w:rsidRDefault="00C74582" w:rsidP="00C74582">
            <w:pPr>
              <w:pStyle w:val="TableBodyText"/>
              <w:spacing w:before="60"/>
              <w:ind w:right="0"/>
            </w:pPr>
            <w:r>
              <w:t>April 2012 (C)</w:t>
            </w:r>
          </w:p>
        </w:tc>
      </w:tr>
      <w:tr w:rsidR="00C74582" w:rsidRPr="00D23929" w:rsidTr="00C74582">
        <w:tc>
          <w:tcPr>
            <w:tcW w:w="5104" w:type="dxa"/>
            <w:shd w:val="clear" w:color="auto" w:fill="auto"/>
          </w:tcPr>
          <w:p w:rsidR="00C74582" w:rsidRDefault="00C74582" w:rsidP="000345D3">
            <w:pPr>
              <w:pStyle w:val="TableBodyText"/>
              <w:spacing w:before="60"/>
              <w:jc w:val="left"/>
            </w:pPr>
            <w:r>
              <w:t>Professor Mark Roberts, Pennsylvania State University</w:t>
            </w:r>
          </w:p>
        </w:tc>
        <w:tc>
          <w:tcPr>
            <w:tcW w:w="142" w:type="dxa"/>
            <w:shd w:val="clear" w:color="auto" w:fill="auto"/>
          </w:tcPr>
          <w:p w:rsidR="00C74582" w:rsidRPr="00D23929" w:rsidRDefault="00C74582" w:rsidP="00D24DBD">
            <w:pPr>
              <w:pStyle w:val="TableBodyText"/>
              <w:spacing w:before="60"/>
              <w:jc w:val="left"/>
            </w:pPr>
          </w:p>
        </w:tc>
        <w:tc>
          <w:tcPr>
            <w:tcW w:w="6664" w:type="dxa"/>
            <w:shd w:val="clear" w:color="auto" w:fill="auto"/>
          </w:tcPr>
          <w:p w:rsidR="00C74582" w:rsidRDefault="00C74582" w:rsidP="000345D3">
            <w:pPr>
              <w:pStyle w:val="TableBodyText"/>
              <w:spacing w:before="60"/>
              <w:jc w:val="left"/>
            </w:pPr>
            <w:r>
              <w:t>Seminar to the Commission on R&amp;D, Innovation and Productivity in German Manufacturing Industries</w:t>
            </w:r>
          </w:p>
        </w:tc>
        <w:tc>
          <w:tcPr>
            <w:tcW w:w="1421" w:type="dxa"/>
            <w:shd w:val="clear" w:color="auto" w:fill="auto"/>
          </w:tcPr>
          <w:p w:rsidR="00C74582" w:rsidRDefault="00C74582" w:rsidP="00C74582">
            <w:pPr>
              <w:pStyle w:val="TableBodyText"/>
              <w:spacing w:before="60"/>
              <w:ind w:left="0" w:right="0"/>
            </w:pPr>
            <w:r>
              <w:t>May 2012 (C)</w:t>
            </w:r>
          </w:p>
        </w:tc>
      </w:tr>
      <w:tr w:rsidR="00C74582" w:rsidRPr="00D23929" w:rsidTr="00C74582">
        <w:tc>
          <w:tcPr>
            <w:tcW w:w="5104" w:type="dxa"/>
            <w:shd w:val="clear" w:color="auto" w:fill="auto"/>
          </w:tcPr>
          <w:p w:rsidR="00C74582" w:rsidRDefault="00C74582" w:rsidP="000345D3">
            <w:pPr>
              <w:pStyle w:val="TableBodyText"/>
              <w:spacing w:before="60"/>
              <w:jc w:val="left"/>
            </w:pPr>
            <w:proofErr w:type="spellStart"/>
            <w:r>
              <w:t>ANAO</w:t>
            </w:r>
            <w:proofErr w:type="spellEnd"/>
            <w:r>
              <w:t>/NZ Audit Office</w:t>
            </w:r>
          </w:p>
        </w:tc>
        <w:tc>
          <w:tcPr>
            <w:tcW w:w="142" w:type="dxa"/>
            <w:shd w:val="clear" w:color="auto" w:fill="auto"/>
          </w:tcPr>
          <w:p w:rsidR="00C74582" w:rsidRPr="00D23929" w:rsidRDefault="00C74582" w:rsidP="00D24DBD">
            <w:pPr>
              <w:pStyle w:val="TableBodyText"/>
              <w:spacing w:before="60"/>
              <w:jc w:val="left"/>
            </w:pPr>
          </w:p>
        </w:tc>
        <w:tc>
          <w:tcPr>
            <w:tcW w:w="6664" w:type="dxa"/>
            <w:shd w:val="clear" w:color="auto" w:fill="auto"/>
          </w:tcPr>
          <w:p w:rsidR="00C74582" w:rsidRDefault="00C74582" w:rsidP="000345D3">
            <w:pPr>
              <w:pStyle w:val="TableBodyText"/>
              <w:spacing w:before="60"/>
              <w:jc w:val="left"/>
            </w:pPr>
            <w:r w:rsidRPr="006D082E">
              <w:t>Discuss Productivity Commission work program</w:t>
            </w:r>
          </w:p>
        </w:tc>
        <w:tc>
          <w:tcPr>
            <w:tcW w:w="1421" w:type="dxa"/>
            <w:shd w:val="clear" w:color="auto" w:fill="auto"/>
          </w:tcPr>
          <w:p w:rsidR="00C74582" w:rsidRDefault="00C74582" w:rsidP="00C74582">
            <w:pPr>
              <w:pStyle w:val="TableBodyText"/>
              <w:spacing w:before="60"/>
              <w:ind w:right="0"/>
            </w:pPr>
            <w:r>
              <w:t>May 2012 (C)</w:t>
            </w:r>
          </w:p>
        </w:tc>
      </w:tr>
      <w:tr w:rsidR="00C74582" w:rsidRPr="00D23929" w:rsidTr="00C74582">
        <w:tc>
          <w:tcPr>
            <w:tcW w:w="5104" w:type="dxa"/>
            <w:shd w:val="clear" w:color="auto" w:fill="auto"/>
          </w:tcPr>
          <w:p w:rsidR="00C74582" w:rsidRDefault="00C74582" w:rsidP="000345D3">
            <w:pPr>
              <w:pStyle w:val="TableBodyText"/>
              <w:spacing w:before="60"/>
              <w:jc w:val="left"/>
            </w:pPr>
            <w:r>
              <w:t>Council of the Dutch Scientific Council for Government Policy</w:t>
            </w:r>
            <w:r w:rsidR="0063784B">
              <w:t>,</w:t>
            </w:r>
            <w:r>
              <w:t xml:space="preserve"> Professor Peter van </w:t>
            </w:r>
            <w:proofErr w:type="spellStart"/>
            <w:r>
              <w:t>Lieshout</w:t>
            </w:r>
            <w:proofErr w:type="spellEnd"/>
            <w:r>
              <w:t xml:space="preserve"> and Mr N </w:t>
            </w:r>
            <w:proofErr w:type="spellStart"/>
            <w:r>
              <w:t>Schermers</w:t>
            </w:r>
            <w:proofErr w:type="spellEnd"/>
            <w:r>
              <w:t>,</w:t>
            </w:r>
          </w:p>
        </w:tc>
        <w:tc>
          <w:tcPr>
            <w:tcW w:w="142" w:type="dxa"/>
            <w:shd w:val="clear" w:color="auto" w:fill="auto"/>
          </w:tcPr>
          <w:p w:rsidR="00C74582" w:rsidRPr="00D23929" w:rsidRDefault="00C74582" w:rsidP="00D24DBD">
            <w:pPr>
              <w:pStyle w:val="TableBodyText"/>
              <w:spacing w:before="60"/>
              <w:jc w:val="left"/>
            </w:pPr>
          </w:p>
        </w:tc>
        <w:tc>
          <w:tcPr>
            <w:tcW w:w="6664" w:type="dxa"/>
            <w:shd w:val="clear" w:color="auto" w:fill="auto"/>
          </w:tcPr>
          <w:p w:rsidR="00C74582" w:rsidRDefault="00C74582" w:rsidP="000345D3">
            <w:pPr>
              <w:pStyle w:val="TableBodyText"/>
              <w:spacing w:before="60"/>
              <w:jc w:val="left"/>
            </w:pPr>
            <w:r>
              <w:t>Discuss long term (growth) strategy of Australia for his research on the best strategy for the future of the Netherlands.</w:t>
            </w:r>
          </w:p>
        </w:tc>
        <w:tc>
          <w:tcPr>
            <w:tcW w:w="1421" w:type="dxa"/>
            <w:shd w:val="clear" w:color="auto" w:fill="auto"/>
          </w:tcPr>
          <w:p w:rsidR="00C74582" w:rsidRDefault="00C74582" w:rsidP="00C74582">
            <w:pPr>
              <w:pStyle w:val="TableBodyText"/>
              <w:spacing w:before="60"/>
              <w:ind w:right="0"/>
            </w:pPr>
            <w:r>
              <w:t>June 2012 (C)</w:t>
            </w:r>
          </w:p>
        </w:tc>
      </w:tr>
      <w:tr w:rsidR="00C74582" w:rsidRPr="00D23929" w:rsidTr="00C74582">
        <w:tc>
          <w:tcPr>
            <w:tcW w:w="5104" w:type="dxa"/>
            <w:shd w:val="clear" w:color="auto" w:fill="auto"/>
          </w:tcPr>
          <w:p w:rsidR="00C74582" w:rsidRDefault="00C74582" w:rsidP="000345D3">
            <w:pPr>
              <w:pStyle w:val="TableBodyText"/>
              <w:spacing w:before="60"/>
              <w:jc w:val="left"/>
            </w:pPr>
            <w:r>
              <w:t>New Zealand Treasury officials</w:t>
            </w:r>
          </w:p>
        </w:tc>
        <w:tc>
          <w:tcPr>
            <w:tcW w:w="142" w:type="dxa"/>
            <w:shd w:val="clear" w:color="auto" w:fill="auto"/>
          </w:tcPr>
          <w:p w:rsidR="00C74582" w:rsidRPr="00D23929" w:rsidRDefault="00C74582" w:rsidP="00D24DBD">
            <w:pPr>
              <w:pStyle w:val="TableBodyText"/>
              <w:spacing w:before="60"/>
              <w:jc w:val="left"/>
            </w:pPr>
          </w:p>
        </w:tc>
        <w:tc>
          <w:tcPr>
            <w:tcW w:w="6664" w:type="dxa"/>
            <w:shd w:val="clear" w:color="auto" w:fill="auto"/>
          </w:tcPr>
          <w:p w:rsidR="00C74582" w:rsidRPr="00955C1F" w:rsidRDefault="00C74582" w:rsidP="000345D3">
            <w:pPr>
              <w:pStyle w:val="TableBodyText"/>
              <w:spacing w:before="60"/>
              <w:jc w:val="left"/>
            </w:pPr>
            <w:r w:rsidRPr="00955C1F">
              <w:t>Economic growth and structural reform policy priorities</w:t>
            </w:r>
          </w:p>
        </w:tc>
        <w:tc>
          <w:tcPr>
            <w:tcW w:w="1421" w:type="dxa"/>
            <w:shd w:val="clear" w:color="auto" w:fill="auto"/>
          </w:tcPr>
          <w:p w:rsidR="00C74582" w:rsidRDefault="00C74582" w:rsidP="00C74582">
            <w:pPr>
              <w:pStyle w:val="TableBodyText"/>
              <w:spacing w:before="60"/>
              <w:ind w:right="0"/>
            </w:pPr>
            <w:r>
              <w:t>June 2012 (C)</w:t>
            </w:r>
          </w:p>
        </w:tc>
      </w:tr>
      <w:tr w:rsidR="00C74582" w:rsidRPr="00D23929" w:rsidTr="00C74582">
        <w:tc>
          <w:tcPr>
            <w:tcW w:w="5104" w:type="dxa"/>
            <w:tcBorders>
              <w:bottom w:val="single" w:sz="4" w:space="0" w:color="auto"/>
            </w:tcBorders>
            <w:shd w:val="clear" w:color="auto" w:fill="auto"/>
          </w:tcPr>
          <w:p w:rsidR="00C74582" w:rsidRPr="00EC4431" w:rsidRDefault="00C74582" w:rsidP="000345D3">
            <w:pPr>
              <w:pStyle w:val="TableBodyText"/>
              <w:spacing w:before="60"/>
              <w:jc w:val="left"/>
            </w:pPr>
            <w:r>
              <w:t>Chinese National Development and Reform Commission</w:t>
            </w:r>
          </w:p>
        </w:tc>
        <w:tc>
          <w:tcPr>
            <w:tcW w:w="142" w:type="dxa"/>
            <w:tcBorders>
              <w:bottom w:val="single" w:sz="4" w:space="0" w:color="auto"/>
            </w:tcBorders>
            <w:shd w:val="clear" w:color="auto" w:fill="auto"/>
          </w:tcPr>
          <w:p w:rsidR="00C74582" w:rsidRPr="00D23929" w:rsidRDefault="00C74582" w:rsidP="00D24DBD">
            <w:pPr>
              <w:pStyle w:val="TableBodyText"/>
              <w:spacing w:before="60"/>
              <w:jc w:val="left"/>
            </w:pPr>
          </w:p>
        </w:tc>
        <w:tc>
          <w:tcPr>
            <w:tcW w:w="6664" w:type="dxa"/>
            <w:tcBorders>
              <w:bottom w:val="single" w:sz="4" w:space="0" w:color="auto"/>
            </w:tcBorders>
            <w:shd w:val="clear" w:color="auto" w:fill="auto"/>
          </w:tcPr>
          <w:p w:rsidR="00C74582" w:rsidRDefault="00C74582" w:rsidP="000345D3">
            <w:pPr>
              <w:pStyle w:val="TableBodyText"/>
              <w:spacing w:before="60"/>
              <w:jc w:val="left"/>
            </w:pPr>
            <w:r>
              <w:t>Briefing on the Carbon Pricing Study</w:t>
            </w:r>
          </w:p>
        </w:tc>
        <w:tc>
          <w:tcPr>
            <w:tcW w:w="1421" w:type="dxa"/>
            <w:tcBorders>
              <w:bottom w:val="single" w:sz="4" w:space="0" w:color="auto"/>
            </w:tcBorders>
            <w:shd w:val="clear" w:color="auto" w:fill="auto"/>
          </w:tcPr>
          <w:p w:rsidR="00C74582" w:rsidRDefault="00C74582" w:rsidP="00C74582">
            <w:pPr>
              <w:pStyle w:val="TableBodyText"/>
              <w:spacing w:before="60"/>
              <w:ind w:right="0"/>
            </w:pPr>
            <w:r>
              <w:t>June 2012 (M)</w:t>
            </w:r>
          </w:p>
        </w:tc>
      </w:tr>
    </w:tbl>
    <w:p w:rsidR="009D7D73" w:rsidRDefault="00C74582" w:rsidP="00895895">
      <w:pPr>
        <w:pStyle w:val="Note"/>
      </w:pPr>
      <w:r>
        <w:t xml:space="preserve"> </w:t>
      </w:r>
      <w:r w:rsidR="00F12AC0">
        <w:t xml:space="preserve">(C)   Canberra    (M)   </w:t>
      </w:r>
      <w:smartTag w:uri="urn:schemas-microsoft-com:office:smarttags" w:element="City">
        <w:smartTag w:uri="urn:schemas-microsoft-com:office:smarttags" w:element="place">
          <w:r w:rsidR="00F12AC0">
            <w:t>Melbourne</w:t>
          </w:r>
        </w:smartTag>
      </w:smartTag>
    </w:p>
    <w:p w:rsidR="00250C9E" w:rsidRDefault="00250C9E" w:rsidP="00250C9E"/>
    <w:p w:rsidR="006C2C28" w:rsidRPr="006C2C28" w:rsidRDefault="006C2C28" w:rsidP="006C2C28">
      <w:pPr>
        <w:rPr>
          <w:sz w:val="27"/>
          <w:szCs w:val="27"/>
        </w:rPr>
      </w:pPr>
    </w:p>
    <w:p w:rsidR="00421480" w:rsidRPr="0043517C" w:rsidRDefault="00421480" w:rsidP="0043517C">
      <w:pPr>
        <w:pStyle w:val="ListBullet"/>
        <w:numPr>
          <w:ilvl w:val="0"/>
          <w:numId w:val="0"/>
        </w:numPr>
        <w:ind w:left="340" w:hanging="340"/>
      </w:pPr>
    </w:p>
    <w:sectPr w:rsidR="00421480" w:rsidRPr="0043517C" w:rsidSect="00850BB7">
      <w:headerReference w:type="even" r:id="rId13"/>
      <w:headerReference w:type="default" r:id="rId14"/>
      <w:footerReference w:type="even" r:id="rId15"/>
      <w:footerReference w:type="default" r:id="rId16"/>
      <w:headerReference w:type="first" r:id="rId17"/>
      <w:footerReference w:type="first" r:id="rId18"/>
      <w:type w:val="evenPage"/>
      <w:pgSz w:w="16840" w:h="11907" w:orient="landscape" w:code="9"/>
      <w:pgMar w:top="1814" w:right="1985" w:bottom="1304" w:left="1418" w:header="1701" w:footer="567" w:gutter="0"/>
      <w:pgNumType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45D3" w:rsidRDefault="000345D3">
      <w:r>
        <w:separator/>
      </w:r>
    </w:p>
  </w:endnote>
  <w:endnote w:type="continuationSeparator" w:id="0">
    <w:p w:rsidR="000345D3" w:rsidRDefault="00034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GoudyOlSt BT">
    <w:altName w:val="Georgia"/>
    <w:charset w:val="00"/>
    <w:family w:val="roman"/>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345D3">
      <w:trPr>
        <w:trHeight w:hRule="exact" w:val="740"/>
      </w:trPr>
      <w:tc>
        <w:tcPr>
          <w:tcW w:w="510" w:type="dxa"/>
          <w:tcBorders>
            <w:top w:val="single" w:sz="6" w:space="0" w:color="auto"/>
          </w:tcBorders>
        </w:tcPr>
        <w:p w:rsidR="000345D3" w:rsidRDefault="000345D3">
          <w:pPr>
            <w:pStyle w:val="Footer"/>
            <w:tabs>
              <w:tab w:val="left" w:pos="0"/>
            </w:tabs>
            <w:ind w:right="0"/>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C235F0">
            <w:rPr>
              <w:rStyle w:val="PageNumber"/>
              <w:noProof/>
            </w:rPr>
            <w:t>180</w:t>
          </w:r>
          <w:r>
            <w:rPr>
              <w:rStyle w:val="PageNumber"/>
            </w:rPr>
            <w:fldChar w:fldCharType="end"/>
          </w:r>
        </w:p>
      </w:tc>
      <w:tc>
        <w:tcPr>
          <w:tcW w:w="1644" w:type="dxa"/>
          <w:tcBorders>
            <w:top w:val="single" w:sz="6" w:space="0" w:color="auto"/>
          </w:tcBorders>
        </w:tcPr>
        <w:p w:rsidR="000345D3" w:rsidRDefault="00C161D2">
          <w:pPr>
            <w:pStyle w:val="Footer"/>
          </w:pPr>
          <w:fldSimple w:instr=" SUBJECT  \* MERGEFORMAT ">
            <w:r w:rsidR="002176F2">
              <w:t>Annual Report 2011-12</w:t>
            </w:r>
          </w:fldSimple>
        </w:p>
      </w:tc>
      <w:tc>
        <w:tcPr>
          <w:tcW w:w="6634" w:type="dxa"/>
        </w:tcPr>
        <w:p w:rsidR="000345D3" w:rsidRDefault="000345D3">
          <w:pPr>
            <w:pStyle w:val="Footer"/>
          </w:pPr>
        </w:p>
      </w:tc>
    </w:tr>
  </w:tbl>
  <w:p w:rsidR="000345D3" w:rsidRDefault="000345D3">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345D3">
      <w:trPr>
        <w:trHeight w:hRule="exact" w:val="740"/>
      </w:trPr>
      <w:tc>
        <w:tcPr>
          <w:tcW w:w="6634" w:type="dxa"/>
        </w:tcPr>
        <w:p w:rsidR="000345D3" w:rsidRDefault="000345D3">
          <w:pPr>
            <w:pStyle w:val="Footer"/>
            <w:ind w:right="360" w:firstLine="360"/>
          </w:pPr>
        </w:p>
      </w:tc>
      <w:tc>
        <w:tcPr>
          <w:tcW w:w="1644" w:type="dxa"/>
          <w:tcBorders>
            <w:top w:val="single" w:sz="6" w:space="0" w:color="auto"/>
          </w:tcBorders>
        </w:tcPr>
        <w:p w:rsidR="000345D3" w:rsidRDefault="00C161D2">
          <w:pPr>
            <w:pStyle w:val="Footer"/>
          </w:pPr>
          <w:fldSimple w:instr=" TITLE  \* MERGEFORMAT ">
            <w:r w:rsidR="002176F2">
              <w:t>Supporting research and related activities</w:t>
            </w:r>
          </w:fldSimple>
        </w:p>
      </w:tc>
      <w:tc>
        <w:tcPr>
          <w:tcW w:w="510" w:type="dxa"/>
          <w:tcBorders>
            <w:top w:val="single" w:sz="6" w:space="0" w:color="auto"/>
          </w:tcBorders>
        </w:tcPr>
        <w:p w:rsidR="000345D3" w:rsidRDefault="000345D3">
          <w:pPr>
            <w:pStyle w:val="Footer"/>
            <w:jc w:val="right"/>
          </w:pPr>
          <w:r>
            <w:rPr>
              <w:rStyle w:val="PageNumber"/>
            </w:rPr>
            <w:fldChar w:fldCharType="begin"/>
          </w:r>
          <w:r>
            <w:rPr>
              <w:rStyle w:val="PageNumber"/>
            </w:rPr>
            <w:instrText xml:space="preserve"> PAGE </w:instrText>
          </w:r>
          <w:r>
            <w:rPr>
              <w:rStyle w:val="PageNumber"/>
            </w:rPr>
            <w:fldChar w:fldCharType="separate"/>
          </w:r>
          <w:r w:rsidR="006A5BA7">
            <w:rPr>
              <w:rStyle w:val="PageNumber"/>
              <w:noProof/>
            </w:rPr>
            <w:t>179</w:t>
          </w:r>
          <w:r>
            <w:rPr>
              <w:rStyle w:val="PageNumber"/>
            </w:rPr>
            <w:fldChar w:fldCharType="end"/>
          </w:r>
        </w:p>
      </w:tc>
    </w:tr>
  </w:tbl>
  <w:p w:rsidR="000345D3" w:rsidRDefault="000345D3">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5D3" w:rsidRDefault="000345D3">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5D3" w:rsidRDefault="000345D3">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5D3" w:rsidRDefault="000345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45D3" w:rsidRDefault="000345D3">
      <w:r>
        <w:separator/>
      </w:r>
    </w:p>
  </w:footnote>
  <w:footnote w:type="continuationSeparator" w:id="0">
    <w:p w:rsidR="000345D3" w:rsidRDefault="000345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345D3">
      <w:tc>
        <w:tcPr>
          <w:tcW w:w="2155" w:type="dxa"/>
          <w:tcBorders>
            <w:top w:val="single" w:sz="24" w:space="0" w:color="auto"/>
          </w:tcBorders>
        </w:tcPr>
        <w:p w:rsidR="000345D3" w:rsidRDefault="000345D3">
          <w:pPr>
            <w:pStyle w:val="HeaderEven"/>
          </w:pPr>
        </w:p>
      </w:tc>
      <w:tc>
        <w:tcPr>
          <w:tcW w:w="6634" w:type="dxa"/>
          <w:tcBorders>
            <w:top w:val="single" w:sz="6" w:space="0" w:color="auto"/>
          </w:tcBorders>
        </w:tcPr>
        <w:p w:rsidR="000345D3" w:rsidRDefault="000345D3">
          <w:pPr>
            <w:pStyle w:val="HeaderEven"/>
          </w:pPr>
        </w:p>
      </w:tc>
    </w:tr>
  </w:tbl>
  <w:p w:rsidR="000345D3" w:rsidRDefault="000345D3">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345D3">
      <w:tc>
        <w:tcPr>
          <w:tcW w:w="6634" w:type="dxa"/>
          <w:tcBorders>
            <w:top w:val="single" w:sz="6" w:space="0" w:color="auto"/>
          </w:tcBorders>
        </w:tcPr>
        <w:p w:rsidR="000345D3" w:rsidRDefault="000345D3">
          <w:pPr>
            <w:pStyle w:val="HeaderOdd"/>
          </w:pPr>
        </w:p>
      </w:tc>
      <w:tc>
        <w:tcPr>
          <w:tcW w:w="2155" w:type="dxa"/>
          <w:tcBorders>
            <w:top w:val="single" w:sz="24" w:space="0" w:color="auto"/>
          </w:tcBorders>
        </w:tcPr>
        <w:p w:rsidR="000345D3" w:rsidRDefault="000345D3">
          <w:pPr>
            <w:pStyle w:val="HeaderOdd"/>
          </w:pPr>
        </w:p>
      </w:tc>
    </w:tr>
  </w:tbl>
  <w:p w:rsidR="000345D3" w:rsidRDefault="000345D3">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5D3" w:rsidRDefault="000345D3">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5D3" w:rsidRDefault="000345D3">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5D3" w:rsidRDefault="000345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7"/>
  </w:num>
  <w:num w:numId="2">
    <w:abstractNumId w:val="10"/>
  </w:num>
  <w:num w:numId="3">
    <w:abstractNumId w:val="16"/>
  </w:num>
  <w:num w:numId="4">
    <w:abstractNumId w:val="25"/>
  </w:num>
  <w:num w:numId="5">
    <w:abstractNumId w:val="20"/>
  </w:num>
  <w:num w:numId="6">
    <w:abstractNumId w:val="42"/>
  </w:num>
  <w:num w:numId="7">
    <w:abstractNumId w:val="43"/>
  </w:num>
  <w:num w:numId="8">
    <w:abstractNumId w:val="17"/>
  </w:num>
  <w:num w:numId="9">
    <w:abstractNumId w:val="26"/>
  </w:num>
  <w:num w:numId="10">
    <w:abstractNumId w:val="9"/>
  </w:num>
  <w:num w:numId="11">
    <w:abstractNumId w:val="28"/>
  </w:num>
  <w:num w:numId="12">
    <w:abstractNumId w:val="7"/>
  </w:num>
  <w:num w:numId="13">
    <w:abstractNumId w:val="15"/>
  </w:num>
  <w:num w:numId="14">
    <w:abstractNumId w:val="14"/>
  </w:num>
  <w:num w:numId="15">
    <w:abstractNumId w:val="19"/>
  </w:num>
  <w:num w:numId="16">
    <w:abstractNumId w:val="22"/>
  </w:num>
  <w:num w:numId="17">
    <w:abstractNumId w:val="30"/>
  </w:num>
  <w:num w:numId="18">
    <w:abstractNumId w:val="5"/>
  </w:num>
  <w:num w:numId="19">
    <w:abstractNumId w:val="3"/>
  </w:num>
  <w:num w:numId="20">
    <w:abstractNumId w:val="2"/>
  </w:num>
  <w:num w:numId="21">
    <w:abstractNumId w:val="4"/>
  </w:num>
  <w:num w:numId="22">
    <w:abstractNumId w:val="1"/>
  </w:num>
  <w:num w:numId="23">
    <w:abstractNumId w:val="0"/>
  </w:num>
  <w:num w:numId="24">
    <w:abstractNumId w:val="12"/>
  </w:num>
  <w:num w:numId="25">
    <w:abstractNumId w:val="34"/>
  </w:num>
  <w:num w:numId="26">
    <w:abstractNumId w:val="36"/>
  </w:num>
  <w:num w:numId="27">
    <w:abstractNumId w:val="24"/>
  </w:num>
  <w:num w:numId="28">
    <w:abstractNumId w:val="27"/>
  </w:num>
  <w:num w:numId="29">
    <w:abstractNumId w:val="29"/>
  </w:num>
  <w:num w:numId="30">
    <w:abstractNumId w:val="41"/>
  </w:num>
  <w:num w:numId="31">
    <w:abstractNumId w:val="33"/>
  </w:num>
  <w:num w:numId="32">
    <w:abstractNumId w:val="38"/>
  </w:num>
  <w:num w:numId="33">
    <w:abstractNumId w:val="39"/>
  </w:num>
  <w:num w:numId="34">
    <w:abstractNumId w:val="31"/>
  </w:num>
  <w:num w:numId="35">
    <w:abstractNumId w:val="21"/>
  </w:num>
  <w:num w:numId="36">
    <w:abstractNumId w:val="44"/>
  </w:num>
  <w:num w:numId="37">
    <w:abstractNumId w:val="8"/>
  </w:num>
  <w:num w:numId="38">
    <w:abstractNumId w:val="18"/>
  </w:num>
  <w:num w:numId="39">
    <w:abstractNumId w:val="40"/>
  </w:num>
  <w:num w:numId="40">
    <w:abstractNumId w:val="32"/>
  </w:num>
  <w:num w:numId="41">
    <w:abstractNumId w:val="13"/>
  </w:num>
  <w:num w:numId="42">
    <w:abstractNumId w:val="35"/>
  </w:num>
  <w:num w:numId="43">
    <w:abstractNumId w:val="23"/>
  </w:num>
  <w:num w:numId="44">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5">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activeWritingStyle w:appName="MSWord" w:lang="en-AU" w:vendorID="8" w:dllVersion="513" w:checkStyle="1"/>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34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E"/>
    <w:docVar w:name="DocType" w:val="0"/>
    <w:docVar w:name="FindingOptions" w:val="1"/>
    <w:docVar w:name="LongChapterTitle" w:val="Chapter"/>
    <w:docVar w:name="LongReportTitle" w:val="Report title"/>
    <w:docVar w:name="RecOptions" w:val="111"/>
    <w:docVar w:name="ShortChapterTitle" w:val="Supporting research and related activities"/>
    <w:docVar w:name="ShortReportTitle" w:val="Annual Report 2011-12"/>
    <w:docVar w:name="SideNote" w:val="1"/>
    <w:docVar w:name="UseShortChapter" w:val="0"/>
    <w:docVar w:name="UseShortReport" w:val="0"/>
  </w:docVars>
  <w:rsids>
    <w:rsidRoot w:val="00EF2271"/>
    <w:rsid w:val="00000768"/>
    <w:rsid w:val="000019DA"/>
    <w:rsid w:val="00005CCD"/>
    <w:rsid w:val="000065E4"/>
    <w:rsid w:val="000168CF"/>
    <w:rsid w:val="00025212"/>
    <w:rsid w:val="0003066F"/>
    <w:rsid w:val="00034028"/>
    <w:rsid w:val="000345D3"/>
    <w:rsid w:val="000372D9"/>
    <w:rsid w:val="000510A6"/>
    <w:rsid w:val="00052315"/>
    <w:rsid w:val="00056100"/>
    <w:rsid w:val="000742F3"/>
    <w:rsid w:val="00076511"/>
    <w:rsid w:val="00080E73"/>
    <w:rsid w:val="00081263"/>
    <w:rsid w:val="000960CB"/>
    <w:rsid w:val="000A2684"/>
    <w:rsid w:val="000A6BD9"/>
    <w:rsid w:val="000B7764"/>
    <w:rsid w:val="000C76B4"/>
    <w:rsid w:val="000D2909"/>
    <w:rsid w:val="000D46B7"/>
    <w:rsid w:val="000E2D49"/>
    <w:rsid w:val="000F0CB5"/>
    <w:rsid w:val="000F4CF8"/>
    <w:rsid w:val="00100811"/>
    <w:rsid w:val="001017DB"/>
    <w:rsid w:val="00107453"/>
    <w:rsid w:val="001100B9"/>
    <w:rsid w:val="001170CF"/>
    <w:rsid w:val="001332A8"/>
    <w:rsid w:val="001353C7"/>
    <w:rsid w:val="00144688"/>
    <w:rsid w:val="00144BF7"/>
    <w:rsid w:val="00160594"/>
    <w:rsid w:val="00163035"/>
    <w:rsid w:val="00165381"/>
    <w:rsid w:val="00165A15"/>
    <w:rsid w:val="00170E77"/>
    <w:rsid w:val="0017186D"/>
    <w:rsid w:val="00181A1C"/>
    <w:rsid w:val="0018376E"/>
    <w:rsid w:val="001838A3"/>
    <w:rsid w:val="00184D8E"/>
    <w:rsid w:val="001854D6"/>
    <w:rsid w:val="00192322"/>
    <w:rsid w:val="0019240D"/>
    <w:rsid w:val="00193F16"/>
    <w:rsid w:val="00195FFA"/>
    <w:rsid w:val="00196EE2"/>
    <w:rsid w:val="001A455F"/>
    <w:rsid w:val="001A5C54"/>
    <w:rsid w:val="001A5E9F"/>
    <w:rsid w:val="001B7778"/>
    <w:rsid w:val="001D0529"/>
    <w:rsid w:val="001D2594"/>
    <w:rsid w:val="001D3DD9"/>
    <w:rsid w:val="001D4889"/>
    <w:rsid w:val="001D767C"/>
    <w:rsid w:val="001E3D2C"/>
    <w:rsid w:val="001F3CC5"/>
    <w:rsid w:val="00202AA1"/>
    <w:rsid w:val="002031DC"/>
    <w:rsid w:val="00204544"/>
    <w:rsid w:val="00204CEE"/>
    <w:rsid w:val="00206B81"/>
    <w:rsid w:val="00207B53"/>
    <w:rsid w:val="00207C7D"/>
    <w:rsid w:val="002104E1"/>
    <w:rsid w:val="0021619E"/>
    <w:rsid w:val="002176F2"/>
    <w:rsid w:val="00222DAE"/>
    <w:rsid w:val="00227576"/>
    <w:rsid w:val="00235EA1"/>
    <w:rsid w:val="00243287"/>
    <w:rsid w:val="00250662"/>
    <w:rsid w:val="00250C9E"/>
    <w:rsid w:val="00251E8B"/>
    <w:rsid w:val="00252AD8"/>
    <w:rsid w:val="00254365"/>
    <w:rsid w:val="00255914"/>
    <w:rsid w:val="0026119D"/>
    <w:rsid w:val="00263F5E"/>
    <w:rsid w:val="0027035D"/>
    <w:rsid w:val="0028327A"/>
    <w:rsid w:val="00287BA5"/>
    <w:rsid w:val="0029586A"/>
    <w:rsid w:val="002A759E"/>
    <w:rsid w:val="002B6F0B"/>
    <w:rsid w:val="002C4249"/>
    <w:rsid w:val="002F3099"/>
    <w:rsid w:val="00302CDA"/>
    <w:rsid w:val="003070AA"/>
    <w:rsid w:val="00323833"/>
    <w:rsid w:val="00327310"/>
    <w:rsid w:val="003336B7"/>
    <w:rsid w:val="00337C94"/>
    <w:rsid w:val="00342560"/>
    <w:rsid w:val="00344245"/>
    <w:rsid w:val="00350F3A"/>
    <w:rsid w:val="00351334"/>
    <w:rsid w:val="003535A7"/>
    <w:rsid w:val="003628AB"/>
    <w:rsid w:val="003742CE"/>
    <w:rsid w:val="00375A6F"/>
    <w:rsid w:val="003772E9"/>
    <w:rsid w:val="00380897"/>
    <w:rsid w:val="00382935"/>
    <w:rsid w:val="00384C78"/>
    <w:rsid w:val="003900DB"/>
    <w:rsid w:val="00392798"/>
    <w:rsid w:val="003A5D48"/>
    <w:rsid w:val="003B09D4"/>
    <w:rsid w:val="003B165A"/>
    <w:rsid w:val="003B3419"/>
    <w:rsid w:val="003D5608"/>
    <w:rsid w:val="003D7082"/>
    <w:rsid w:val="00401B03"/>
    <w:rsid w:val="004042FD"/>
    <w:rsid w:val="00405AB9"/>
    <w:rsid w:val="00410266"/>
    <w:rsid w:val="0041598E"/>
    <w:rsid w:val="00417245"/>
    <w:rsid w:val="00421480"/>
    <w:rsid w:val="00427B01"/>
    <w:rsid w:val="00430C1F"/>
    <w:rsid w:val="00431483"/>
    <w:rsid w:val="00432EFB"/>
    <w:rsid w:val="0043517C"/>
    <w:rsid w:val="00442032"/>
    <w:rsid w:val="00463565"/>
    <w:rsid w:val="00471E07"/>
    <w:rsid w:val="004721C8"/>
    <w:rsid w:val="00474617"/>
    <w:rsid w:val="004754E5"/>
    <w:rsid w:val="004843B6"/>
    <w:rsid w:val="00491FA0"/>
    <w:rsid w:val="00496D01"/>
    <w:rsid w:val="0049737F"/>
    <w:rsid w:val="004A55E7"/>
    <w:rsid w:val="004B52D0"/>
    <w:rsid w:val="004B5E60"/>
    <w:rsid w:val="004B73DF"/>
    <w:rsid w:val="004C212E"/>
    <w:rsid w:val="004C239F"/>
    <w:rsid w:val="004C6ADD"/>
    <w:rsid w:val="004C6DD1"/>
    <w:rsid w:val="004D2DCB"/>
    <w:rsid w:val="004D6726"/>
    <w:rsid w:val="004D6784"/>
    <w:rsid w:val="004D798C"/>
    <w:rsid w:val="004E142C"/>
    <w:rsid w:val="004F14C4"/>
    <w:rsid w:val="004F237E"/>
    <w:rsid w:val="004F6369"/>
    <w:rsid w:val="004F7A58"/>
    <w:rsid w:val="005013B5"/>
    <w:rsid w:val="005013C6"/>
    <w:rsid w:val="00515EC3"/>
    <w:rsid w:val="0052295B"/>
    <w:rsid w:val="00525983"/>
    <w:rsid w:val="005278C9"/>
    <w:rsid w:val="00530752"/>
    <w:rsid w:val="00536DE5"/>
    <w:rsid w:val="005413D5"/>
    <w:rsid w:val="0054236F"/>
    <w:rsid w:val="005432B7"/>
    <w:rsid w:val="0055035A"/>
    <w:rsid w:val="00554439"/>
    <w:rsid w:val="005618C7"/>
    <w:rsid w:val="005648CF"/>
    <w:rsid w:val="00570BE8"/>
    <w:rsid w:val="00571CE0"/>
    <w:rsid w:val="00577FEF"/>
    <w:rsid w:val="00584AD0"/>
    <w:rsid w:val="005916E1"/>
    <w:rsid w:val="00592159"/>
    <w:rsid w:val="00594F2D"/>
    <w:rsid w:val="005A0C65"/>
    <w:rsid w:val="005A0D3A"/>
    <w:rsid w:val="005A49E1"/>
    <w:rsid w:val="005B0091"/>
    <w:rsid w:val="005B24E1"/>
    <w:rsid w:val="005D7E27"/>
    <w:rsid w:val="005E0AF2"/>
    <w:rsid w:val="005E4D1F"/>
    <w:rsid w:val="005F0B2A"/>
    <w:rsid w:val="005F50E5"/>
    <w:rsid w:val="00603652"/>
    <w:rsid w:val="00612F6D"/>
    <w:rsid w:val="0062143D"/>
    <w:rsid w:val="00633411"/>
    <w:rsid w:val="0063784B"/>
    <w:rsid w:val="00643D06"/>
    <w:rsid w:val="00646F7C"/>
    <w:rsid w:val="00647157"/>
    <w:rsid w:val="0065148F"/>
    <w:rsid w:val="00651589"/>
    <w:rsid w:val="006608D1"/>
    <w:rsid w:val="00661509"/>
    <w:rsid w:val="0066156F"/>
    <w:rsid w:val="006616E0"/>
    <w:rsid w:val="00661BA0"/>
    <w:rsid w:val="00670EB0"/>
    <w:rsid w:val="00671F1C"/>
    <w:rsid w:val="00672838"/>
    <w:rsid w:val="006737F9"/>
    <w:rsid w:val="0067603D"/>
    <w:rsid w:val="006807B3"/>
    <w:rsid w:val="00684ABA"/>
    <w:rsid w:val="006850A0"/>
    <w:rsid w:val="00686957"/>
    <w:rsid w:val="006920E6"/>
    <w:rsid w:val="00692C8D"/>
    <w:rsid w:val="006A4876"/>
    <w:rsid w:val="006A5BA7"/>
    <w:rsid w:val="006A63AA"/>
    <w:rsid w:val="006A69EC"/>
    <w:rsid w:val="006A75BE"/>
    <w:rsid w:val="006C2C28"/>
    <w:rsid w:val="006C512D"/>
    <w:rsid w:val="006D088C"/>
    <w:rsid w:val="006D2F0A"/>
    <w:rsid w:val="006D3849"/>
    <w:rsid w:val="006D3BD8"/>
    <w:rsid w:val="006D7423"/>
    <w:rsid w:val="006E168D"/>
    <w:rsid w:val="006E2C6A"/>
    <w:rsid w:val="00704569"/>
    <w:rsid w:val="0073060E"/>
    <w:rsid w:val="00734A2B"/>
    <w:rsid w:val="00735A0E"/>
    <w:rsid w:val="00735F78"/>
    <w:rsid w:val="0075051C"/>
    <w:rsid w:val="0075147C"/>
    <w:rsid w:val="00752574"/>
    <w:rsid w:val="0075397E"/>
    <w:rsid w:val="007548BA"/>
    <w:rsid w:val="00755744"/>
    <w:rsid w:val="007558CD"/>
    <w:rsid w:val="00762D5B"/>
    <w:rsid w:val="00766F0F"/>
    <w:rsid w:val="00770840"/>
    <w:rsid w:val="007850FD"/>
    <w:rsid w:val="0079125A"/>
    <w:rsid w:val="007A1317"/>
    <w:rsid w:val="007A533C"/>
    <w:rsid w:val="007A7B54"/>
    <w:rsid w:val="007B6EF4"/>
    <w:rsid w:val="007C669F"/>
    <w:rsid w:val="007C70D7"/>
    <w:rsid w:val="007E1CFB"/>
    <w:rsid w:val="007E212D"/>
    <w:rsid w:val="007E25AB"/>
    <w:rsid w:val="007E4F0A"/>
    <w:rsid w:val="008052EE"/>
    <w:rsid w:val="00807379"/>
    <w:rsid w:val="00807BDF"/>
    <w:rsid w:val="00813AF2"/>
    <w:rsid w:val="00814771"/>
    <w:rsid w:val="00815211"/>
    <w:rsid w:val="00821CA4"/>
    <w:rsid w:val="00825645"/>
    <w:rsid w:val="00832EC9"/>
    <w:rsid w:val="00850BB7"/>
    <w:rsid w:val="008518DF"/>
    <w:rsid w:val="0085640E"/>
    <w:rsid w:val="00857FC4"/>
    <w:rsid w:val="00864770"/>
    <w:rsid w:val="0086684A"/>
    <w:rsid w:val="0087133D"/>
    <w:rsid w:val="00872A5E"/>
    <w:rsid w:val="00882DF8"/>
    <w:rsid w:val="00884467"/>
    <w:rsid w:val="00887A97"/>
    <w:rsid w:val="00893535"/>
    <w:rsid w:val="0089563C"/>
    <w:rsid w:val="00895895"/>
    <w:rsid w:val="008B5398"/>
    <w:rsid w:val="008C46E0"/>
    <w:rsid w:val="008C70F0"/>
    <w:rsid w:val="008D0F1A"/>
    <w:rsid w:val="008D12BF"/>
    <w:rsid w:val="008D3F68"/>
    <w:rsid w:val="008E360E"/>
    <w:rsid w:val="008F1148"/>
    <w:rsid w:val="008F5516"/>
    <w:rsid w:val="0090487E"/>
    <w:rsid w:val="009201CE"/>
    <w:rsid w:val="009217B8"/>
    <w:rsid w:val="00926A1D"/>
    <w:rsid w:val="00944AD7"/>
    <w:rsid w:val="0094559B"/>
    <w:rsid w:val="00955C1F"/>
    <w:rsid w:val="00960587"/>
    <w:rsid w:val="00961064"/>
    <w:rsid w:val="00961B44"/>
    <w:rsid w:val="0096405F"/>
    <w:rsid w:val="00972179"/>
    <w:rsid w:val="009750B2"/>
    <w:rsid w:val="00983DE7"/>
    <w:rsid w:val="00990EB7"/>
    <w:rsid w:val="0099299A"/>
    <w:rsid w:val="00997AF3"/>
    <w:rsid w:val="009A342D"/>
    <w:rsid w:val="009A344B"/>
    <w:rsid w:val="009A3584"/>
    <w:rsid w:val="009B0533"/>
    <w:rsid w:val="009B072A"/>
    <w:rsid w:val="009B2878"/>
    <w:rsid w:val="009B7CB7"/>
    <w:rsid w:val="009C4444"/>
    <w:rsid w:val="009C4595"/>
    <w:rsid w:val="009C7729"/>
    <w:rsid w:val="009D2238"/>
    <w:rsid w:val="009D5AAC"/>
    <w:rsid w:val="009D7078"/>
    <w:rsid w:val="009D7D73"/>
    <w:rsid w:val="009E1ED1"/>
    <w:rsid w:val="009E2B55"/>
    <w:rsid w:val="00A02B1D"/>
    <w:rsid w:val="00A125F7"/>
    <w:rsid w:val="00A1450D"/>
    <w:rsid w:val="00A204AB"/>
    <w:rsid w:val="00A26188"/>
    <w:rsid w:val="00A272D8"/>
    <w:rsid w:val="00A33B72"/>
    <w:rsid w:val="00A41FE4"/>
    <w:rsid w:val="00A44535"/>
    <w:rsid w:val="00A46873"/>
    <w:rsid w:val="00A4771D"/>
    <w:rsid w:val="00A5303A"/>
    <w:rsid w:val="00A57DAC"/>
    <w:rsid w:val="00A65E52"/>
    <w:rsid w:val="00A717B9"/>
    <w:rsid w:val="00A77525"/>
    <w:rsid w:val="00A9102B"/>
    <w:rsid w:val="00A935DE"/>
    <w:rsid w:val="00AA512B"/>
    <w:rsid w:val="00AB492C"/>
    <w:rsid w:val="00AB5CDE"/>
    <w:rsid w:val="00AB65DD"/>
    <w:rsid w:val="00AC31D8"/>
    <w:rsid w:val="00AC65E6"/>
    <w:rsid w:val="00AD259B"/>
    <w:rsid w:val="00AD5182"/>
    <w:rsid w:val="00AE0BCE"/>
    <w:rsid w:val="00AE4A0B"/>
    <w:rsid w:val="00AE770E"/>
    <w:rsid w:val="00AF0B15"/>
    <w:rsid w:val="00AF0B91"/>
    <w:rsid w:val="00AF61C5"/>
    <w:rsid w:val="00B104C2"/>
    <w:rsid w:val="00B162A6"/>
    <w:rsid w:val="00B3105A"/>
    <w:rsid w:val="00B338AD"/>
    <w:rsid w:val="00B34333"/>
    <w:rsid w:val="00B34907"/>
    <w:rsid w:val="00B34E16"/>
    <w:rsid w:val="00B364C7"/>
    <w:rsid w:val="00B3715D"/>
    <w:rsid w:val="00B45C9C"/>
    <w:rsid w:val="00B46FFE"/>
    <w:rsid w:val="00B61021"/>
    <w:rsid w:val="00B70300"/>
    <w:rsid w:val="00B72D76"/>
    <w:rsid w:val="00B75C06"/>
    <w:rsid w:val="00B90759"/>
    <w:rsid w:val="00BB3CF6"/>
    <w:rsid w:val="00BC2B3D"/>
    <w:rsid w:val="00BC5558"/>
    <w:rsid w:val="00BC595B"/>
    <w:rsid w:val="00BC74B9"/>
    <w:rsid w:val="00BD43F2"/>
    <w:rsid w:val="00BE4A9A"/>
    <w:rsid w:val="00BF399F"/>
    <w:rsid w:val="00BF68FB"/>
    <w:rsid w:val="00C045F3"/>
    <w:rsid w:val="00C05C0E"/>
    <w:rsid w:val="00C13722"/>
    <w:rsid w:val="00C161D2"/>
    <w:rsid w:val="00C235F0"/>
    <w:rsid w:val="00C34BAA"/>
    <w:rsid w:val="00C458A2"/>
    <w:rsid w:val="00C53A0E"/>
    <w:rsid w:val="00C55611"/>
    <w:rsid w:val="00C607C4"/>
    <w:rsid w:val="00C713EE"/>
    <w:rsid w:val="00C73363"/>
    <w:rsid w:val="00C74582"/>
    <w:rsid w:val="00C75E8C"/>
    <w:rsid w:val="00C80782"/>
    <w:rsid w:val="00C95EAA"/>
    <w:rsid w:val="00CA29C6"/>
    <w:rsid w:val="00CA6BC6"/>
    <w:rsid w:val="00CB0438"/>
    <w:rsid w:val="00CB0D1E"/>
    <w:rsid w:val="00CB53B7"/>
    <w:rsid w:val="00CB56BC"/>
    <w:rsid w:val="00CB6AAB"/>
    <w:rsid w:val="00CB6BBB"/>
    <w:rsid w:val="00CB711A"/>
    <w:rsid w:val="00CB7549"/>
    <w:rsid w:val="00CC0C2A"/>
    <w:rsid w:val="00CC4254"/>
    <w:rsid w:val="00CC654E"/>
    <w:rsid w:val="00CD3971"/>
    <w:rsid w:val="00D02361"/>
    <w:rsid w:val="00D064D8"/>
    <w:rsid w:val="00D17F88"/>
    <w:rsid w:val="00D22F4B"/>
    <w:rsid w:val="00D23929"/>
    <w:rsid w:val="00D24DBD"/>
    <w:rsid w:val="00D360C8"/>
    <w:rsid w:val="00D425B2"/>
    <w:rsid w:val="00D46EC1"/>
    <w:rsid w:val="00D54617"/>
    <w:rsid w:val="00D55FF0"/>
    <w:rsid w:val="00D614AF"/>
    <w:rsid w:val="00D645EB"/>
    <w:rsid w:val="00D6604F"/>
    <w:rsid w:val="00D671CD"/>
    <w:rsid w:val="00D83729"/>
    <w:rsid w:val="00D8401B"/>
    <w:rsid w:val="00D96EE7"/>
    <w:rsid w:val="00D978F8"/>
    <w:rsid w:val="00DA2EA5"/>
    <w:rsid w:val="00DA4125"/>
    <w:rsid w:val="00DA68A5"/>
    <w:rsid w:val="00DB2EB8"/>
    <w:rsid w:val="00DB58CC"/>
    <w:rsid w:val="00DC0F7E"/>
    <w:rsid w:val="00DC27A2"/>
    <w:rsid w:val="00DE0678"/>
    <w:rsid w:val="00DF1186"/>
    <w:rsid w:val="00DF1DB5"/>
    <w:rsid w:val="00DF3935"/>
    <w:rsid w:val="00E161EF"/>
    <w:rsid w:val="00E221B2"/>
    <w:rsid w:val="00E2364D"/>
    <w:rsid w:val="00E3222C"/>
    <w:rsid w:val="00E33BBA"/>
    <w:rsid w:val="00E352CA"/>
    <w:rsid w:val="00E3570A"/>
    <w:rsid w:val="00E36335"/>
    <w:rsid w:val="00E43CB8"/>
    <w:rsid w:val="00E446C8"/>
    <w:rsid w:val="00E515EA"/>
    <w:rsid w:val="00E52F0A"/>
    <w:rsid w:val="00E57898"/>
    <w:rsid w:val="00E67E6E"/>
    <w:rsid w:val="00E72746"/>
    <w:rsid w:val="00E756BE"/>
    <w:rsid w:val="00E763AB"/>
    <w:rsid w:val="00E8785D"/>
    <w:rsid w:val="00E9479B"/>
    <w:rsid w:val="00E9675A"/>
    <w:rsid w:val="00EB48CA"/>
    <w:rsid w:val="00EB77D1"/>
    <w:rsid w:val="00EC35D4"/>
    <w:rsid w:val="00EC4D5E"/>
    <w:rsid w:val="00ED1208"/>
    <w:rsid w:val="00ED25EA"/>
    <w:rsid w:val="00ED3226"/>
    <w:rsid w:val="00EF2271"/>
    <w:rsid w:val="00F12AC0"/>
    <w:rsid w:val="00F14978"/>
    <w:rsid w:val="00F20581"/>
    <w:rsid w:val="00F25D09"/>
    <w:rsid w:val="00F3046F"/>
    <w:rsid w:val="00F3115A"/>
    <w:rsid w:val="00F32A4A"/>
    <w:rsid w:val="00F36632"/>
    <w:rsid w:val="00F37A5D"/>
    <w:rsid w:val="00F40928"/>
    <w:rsid w:val="00F67C7C"/>
    <w:rsid w:val="00F71830"/>
    <w:rsid w:val="00F73E48"/>
    <w:rsid w:val="00F75302"/>
    <w:rsid w:val="00F75D59"/>
    <w:rsid w:val="00F76101"/>
    <w:rsid w:val="00F761B9"/>
    <w:rsid w:val="00F85DE0"/>
    <w:rsid w:val="00F9262C"/>
    <w:rsid w:val="00F951C4"/>
    <w:rsid w:val="00F97639"/>
    <w:rsid w:val="00F97B14"/>
    <w:rsid w:val="00FA1638"/>
    <w:rsid w:val="00FA4A18"/>
    <w:rsid w:val="00FA4E64"/>
    <w:rsid w:val="00FB2072"/>
    <w:rsid w:val="00FB47E9"/>
    <w:rsid w:val="00FC4E9F"/>
    <w:rsid w:val="00FC65BC"/>
    <w:rsid w:val="00FD2F57"/>
    <w:rsid w:val="00FD37D4"/>
    <w:rsid w:val="00FD721C"/>
    <w:rsid w:val="00FD72CD"/>
    <w:rsid w:val="00FD783E"/>
    <w:rsid w:val="00FF3C35"/>
    <w:rsid w:val="00FF53F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6A5BA7"/>
    <w:rPr>
      <w:sz w:val="26"/>
      <w:szCs w:val="24"/>
    </w:rPr>
  </w:style>
  <w:style w:type="paragraph" w:styleId="Heading1">
    <w:name w:val="heading 1"/>
    <w:basedOn w:val="BodyText"/>
    <w:next w:val="BodyText"/>
    <w:rsid w:val="006A5BA7"/>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6A5BA7"/>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6A5BA7"/>
    <w:pPr>
      <w:spacing w:before="560" w:line="320" w:lineRule="exact"/>
      <w:ind w:left="0" w:firstLine="0"/>
      <w:outlineLvl w:val="2"/>
    </w:pPr>
    <w:rPr>
      <w:sz w:val="26"/>
    </w:rPr>
  </w:style>
  <w:style w:type="paragraph" w:styleId="Heading4">
    <w:name w:val="heading 4"/>
    <w:basedOn w:val="Heading3"/>
    <w:next w:val="BodyText"/>
    <w:qFormat/>
    <w:rsid w:val="006A5BA7"/>
    <w:pPr>
      <w:spacing w:before="480"/>
      <w:outlineLvl w:val="3"/>
    </w:pPr>
    <w:rPr>
      <w:b w:val="0"/>
      <w:i/>
      <w:sz w:val="24"/>
    </w:rPr>
  </w:style>
  <w:style w:type="paragraph" w:styleId="Heading5">
    <w:name w:val="heading 5"/>
    <w:basedOn w:val="Heading4"/>
    <w:next w:val="BodyText"/>
    <w:qFormat/>
    <w:rsid w:val="006A5BA7"/>
    <w:pPr>
      <w:outlineLvl w:val="4"/>
    </w:pPr>
    <w:rPr>
      <w:rFonts w:ascii="Times New Roman" w:hAnsi="Times New Roman"/>
      <w:sz w:val="26"/>
    </w:rPr>
  </w:style>
  <w:style w:type="paragraph" w:styleId="Heading6">
    <w:name w:val="heading 6"/>
    <w:basedOn w:val="BodyText"/>
    <w:next w:val="BodyText"/>
    <w:rsid w:val="006A5BA7"/>
    <w:pPr>
      <w:spacing w:after="60"/>
      <w:jc w:val="left"/>
      <w:outlineLvl w:val="5"/>
    </w:pPr>
    <w:rPr>
      <w:i/>
      <w:sz w:val="22"/>
    </w:rPr>
  </w:style>
  <w:style w:type="paragraph" w:styleId="Heading7">
    <w:name w:val="heading 7"/>
    <w:basedOn w:val="BodyText"/>
    <w:next w:val="BodyText"/>
    <w:rsid w:val="006A5BA7"/>
    <w:pPr>
      <w:spacing w:after="60" w:line="240" w:lineRule="auto"/>
      <w:jc w:val="left"/>
      <w:outlineLvl w:val="6"/>
    </w:pPr>
    <w:rPr>
      <w:rFonts w:ascii="Arial" w:hAnsi="Arial"/>
      <w:sz w:val="20"/>
    </w:rPr>
  </w:style>
  <w:style w:type="paragraph" w:styleId="Heading8">
    <w:name w:val="heading 8"/>
    <w:basedOn w:val="BodyText"/>
    <w:next w:val="BodyText"/>
    <w:rsid w:val="006A5BA7"/>
    <w:pPr>
      <w:spacing w:after="60" w:line="240" w:lineRule="auto"/>
      <w:jc w:val="left"/>
      <w:outlineLvl w:val="7"/>
    </w:pPr>
    <w:rPr>
      <w:rFonts w:ascii="Arial" w:hAnsi="Arial"/>
      <w:i/>
      <w:sz w:val="20"/>
    </w:rPr>
  </w:style>
  <w:style w:type="paragraph" w:styleId="Heading9">
    <w:name w:val="heading 9"/>
    <w:basedOn w:val="BodyText"/>
    <w:next w:val="BodyText"/>
    <w:rsid w:val="006A5BA7"/>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6A5B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5BA7"/>
  </w:style>
  <w:style w:type="paragraph" w:styleId="BodyText">
    <w:name w:val="Body Text"/>
    <w:link w:val="BodyTextChar"/>
    <w:qFormat/>
    <w:rsid w:val="006A5BA7"/>
    <w:pPr>
      <w:spacing w:before="240" w:line="320" w:lineRule="atLeast"/>
      <w:jc w:val="both"/>
    </w:pPr>
    <w:rPr>
      <w:sz w:val="26"/>
    </w:rPr>
  </w:style>
  <w:style w:type="paragraph" w:customStyle="1" w:styleId="Chapter">
    <w:name w:val="Chapter"/>
    <w:basedOn w:val="Heading1"/>
    <w:next w:val="BodyText"/>
    <w:rsid w:val="006A5BA7"/>
    <w:pPr>
      <w:ind w:left="0" w:firstLine="0"/>
      <w:outlineLvl w:val="9"/>
    </w:pPr>
  </w:style>
  <w:style w:type="paragraph" w:customStyle="1" w:styleId="SequenceInfo">
    <w:name w:val="Sequence Info"/>
    <w:basedOn w:val="BodyText"/>
    <w:rsid w:val="006A5BA7"/>
    <w:rPr>
      <w:vanish/>
      <w:sz w:val="16"/>
    </w:rPr>
  </w:style>
  <w:style w:type="character" w:styleId="CommentReference">
    <w:name w:val="annotation reference"/>
    <w:basedOn w:val="DefaultParagraphFont"/>
    <w:semiHidden/>
    <w:rsid w:val="006A5BA7"/>
    <w:rPr>
      <w:b/>
      <w:vanish/>
      <w:color w:val="FF00FF"/>
      <w:sz w:val="20"/>
    </w:rPr>
  </w:style>
  <w:style w:type="paragraph" w:styleId="CommentText">
    <w:name w:val="annotation text"/>
    <w:basedOn w:val="Normal"/>
    <w:semiHidden/>
    <w:rsid w:val="006A5BA7"/>
    <w:pPr>
      <w:spacing w:before="120" w:line="240" w:lineRule="atLeast"/>
      <w:ind w:left="567" w:hanging="567"/>
    </w:pPr>
    <w:rPr>
      <w:sz w:val="20"/>
    </w:rPr>
  </w:style>
  <w:style w:type="paragraph" w:customStyle="1" w:styleId="Abbreviation">
    <w:name w:val="Abbreviation"/>
    <w:basedOn w:val="BodyText"/>
    <w:rsid w:val="006A5BA7"/>
    <w:pPr>
      <w:spacing w:before="120"/>
      <w:ind w:left="2381" w:hanging="2381"/>
      <w:jc w:val="left"/>
    </w:pPr>
  </w:style>
  <w:style w:type="paragraph" w:customStyle="1" w:styleId="Box">
    <w:name w:val="Box"/>
    <w:basedOn w:val="BodyText"/>
    <w:qFormat/>
    <w:rsid w:val="006A5BA7"/>
    <w:pPr>
      <w:keepNext/>
      <w:spacing w:before="120" w:line="280" w:lineRule="atLeast"/>
    </w:pPr>
    <w:rPr>
      <w:rFonts w:ascii="Arial" w:hAnsi="Arial"/>
      <w:sz w:val="22"/>
    </w:rPr>
  </w:style>
  <w:style w:type="paragraph" w:customStyle="1" w:styleId="QuoteBullet">
    <w:name w:val="Quote Bullet"/>
    <w:basedOn w:val="Quote"/>
    <w:rsid w:val="006A5BA7"/>
    <w:pPr>
      <w:numPr>
        <w:numId w:val="11"/>
      </w:numPr>
    </w:pPr>
  </w:style>
  <w:style w:type="paragraph" w:customStyle="1" w:styleId="BoxListBullet">
    <w:name w:val="Box List Bullet"/>
    <w:basedOn w:val="BodyText"/>
    <w:link w:val="BoxListBulletChar"/>
    <w:rsid w:val="006A5BA7"/>
    <w:pPr>
      <w:keepNext/>
      <w:numPr>
        <w:numId w:val="5"/>
      </w:numPr>
      <w:spacing w:before="60" w:line="280" w:lineRule="atLeast"/>
    </w:pPr>
    <w:rPr>
      <w:rFonts w:ascii="Arial" w:hAnsi="Arial"/>
      <w:sz w:val="22"/>
    </w:rPr>
  </w:style>
  <w:style w:type="paragraph" w:customStyle="1" w:styleId="BoxListBullet2">
    <w:name w:val="Box List Bullet 2"/>
    <w:basedOn w:val="BodyText"/>
    <w:link w:val="BoxListBullet2Char"/>
    <w:rsid w:val="006A5BA7"/>
    <w:pPr>
      <w:keepNext/>
      <w:numPr>
        <w:numId w:val="2"/>
      </w:numPr>
      <w:spacing w:before="60" w:line="280" w:lineRule="atLeast"/>
    </w:pPr>
    <w:rPr>
      <w:rFonts w:ascii="Arial" w:hAnsi="Arial"/>
      <w:sz w:val="22"/>
    </w:rPr>
  </w:style>
  <w:style w:type="paragraph" w:customStyle="1" w:styleId="BoxListNumber">
    <w:name w:val="Box List Number"/>
    <w:basedOn w:val="BodyText"/>
    <w:rsid w:val="006A5BA7"/>
    <w:pPr>
      <w:keepNext/>
      <w:numPr>
        <w:numId w:val="14"/>
      </w:numPr>
      <w:spacing w:before="60" w:line="280" w:lineRule="atLeast"/>
    </w:pPr>
    <w:rPr>
      <w:rFonts w:ascii="Arial" w:hAnsi="Arial"/>
      <w:sz w:val="22"/>
    </w:rPr>
  </w:style>
  <w:style w:type="paragraph" w:customStyle="1" w:styleId="BoxListNumber2">
    <w:name w:val="Box List Number 2"/>
    <w:basedOn w:val="BoxListNumber"/>
    <w:rsid w:val="006A5BA7"/>
    <w:pPr>
      <w:numPr>
        <w:ilvl w:val="1"/>
      </w:numPr>
    </w:pPr>
  </w:style>
  <w:style w:type="paragraph" w:customStyle="1" w:styleId="BoxQuote">
    <w:name w:val="Box Quote"/>
    <w:basedOn w:val="BodyText"/>
    <w:next w:val="Box"/>
    <w:rsid w:val="006A5BA7"/>
    <w:pPr>
      <w:keepNext/>
      <w:spacing w:before="60" w:line="260" w:lineRule="exact"/>
      <w:ind w:left="284"/>
    </w:pPr>
    <w:rPr>
      <w:rFonts w:ascii="Arial" w:hAnsi="Arial"/>
      <w:sz w:val="20"/>
    </w:rPr>
  </w:style>
  <w:style w:type="paragraph" w:customStyle="1" w:styleId="BoxSource">
    <w:name w:val="Box Source"/>
    <w:basedOn w:val="Source"/>
    <w:next w:val="BodyText"/>
    <w:rsid w:val="006A5BA7"/>
    <w:pPr>
      <w:spacing w:before="180" w:after="0"/>
    </w:pPr>
  </w:style>
  <w:style w:type="paragraph" w:customStyle="1" w:styleId="BoxSpace">
    <w:name w:val="Box Space"/>
    <w:basedOn w:val="BodyText"/>
    <w:rsid w:val="002176F2"/>
    <w:pPr>
      <w:keepNext/>
      <w:spacing w:before="360" w:line="80" w:lineRule="exact"/>
      <w:jc w:val="left"/>
    </w:pPr>
  </w:style>
  <w:style w:type="paragraph" w:customStyle="1" w:styleId="BoxSubtitle">
    <w:name w:val="Box Subtitle"/>
    <w:basedOn w:val="BoxTitle"/>
    <w:next w:val="Normal"/>
    <w:rsid w:val="006A5BA7"/>
    <w:pPr>
      <w:spacing w:after="80" w:line="200" w:lineRule="exact"/>
      <w:ind w:firstLine="0"/>
    </w:pPr>
    <w:rPr>
      <w:b w:val="0"/>
      <w:sz w:val="20"/>
    </w:rPr>
  </w:style>
  <w:style w:type="paragraph" w:customStyle="1" w:styleId="BoxTitle">
    <w:name w:val="Box Title"/>
    <w:basedOn w:val="Caption"/>
    <w:next w:val="BoxSubtitle"/>
    <w:rsid w:val="006A5BA7"/>
    <w:pPr>
      <w:spacing w:before="120" w:after="0"/>
      <w:ind w:left="1304" w:hanging="1304"/>
    </w:pPr>
    <w:rPr>
      <w:sz w:val="24"/>
    </w:rPr>
  </w:style>
  <w:style w:type="paragraph" w:styleId="Caption">
    <w:name w:val="caption"/>
    <w:basedOn w:val="Normal"/>
    <w:next w:val="BodyText"/>
    <w:rsid w:val="006A5BA7"/>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6A5BA7"/>
    <w:pPr>
      <w:ind w:left="907"/>
    </w:pPr>
    <w:rPr>
      <w:rFonts w:ascii="Arial" w:hAnsi="Arial"/>
      <w:b/>
      <w:sz w:val="22"/>
    </w:rPr>
  </w:style>
  <w:style w:type="character" w:customStyle="1" w:styleId="DocumentInfo">
    <w:name w:val="Document Info"/>
    <w:basedOn w:val="DefaultParagraphFont"/>
    <w:rsid w:val="006A5BA7"/>
    <w:rPr>
      <w:rFonts w:ascii="Arial" w:hAnsi="Arial"/>
      <w:sz w:val="14"/>
    </w:rPr>
  </w:style>
  <w:style w:type="paragraph" w:styleId="Footer">
    <w:name w:val="footer"/>
    <w:basedOn w:val="BodyText"/>
    <w:rsid w:val="006A5BA7"/>
    <w:pPr>
      <w:spacing w:before="80" w:line="200" w:lineRule="exact"/>
      <w:ind w:right="6"/>
      <w:jc w:val="left"/>
    </w:pPr>
    <w:rPr>
      <w:caps/>
      <w:spacing w:val="-4"/>
      <w:sz w:val="16"/>
    </w:rPr>
  </w:style>
  <w:style w:type="character" w:customStyle="1" w:styleId="DraftingNote">
    <w:name w:val="Drafting Note"/>
    <w:basedOn w:val="DefaultParagraphFont"/>
    <w:rsid w:val="006A5BA7"/>
    <w:rPr>
      <w:b/>
      <w:color w:val="FF0000"/>
      <w:sz w:val="24"/>
      <w:u w:val="dotted"/>
    </w:rPr>
  </w:style>
  <w:style w:type="paragraph" w:customStyle="1" w:styleId="Default">
    <w:name w:val="Default"/>
    <w:rsid w:val="00BB3CF6"/>
    <w:pPr>
      <w:autoSpaceDE w:val="0"/>
      <w:autoSpaceDN w:val="0"/>
      <w:adjustRightInd w:val="0"/>
    </w:pPr>
    <w:rPr>
      <w:rFonts w:ascii="GoudyOlSt BT" w:hAnsi="GoudyOlSt BT" w:cs="GoudyOlSt BT"/>
      <w:color w:val="000000"/>
      <w:sz w:val="24"/>
      <w:szCs w:val="24"/>
      <w:lang w:val="en-US" w:eastAsia="en-US"/>
    </w:rPr>
  </w:style>
  <w:style w:type="paragraph" w:customStyle="1" w:styleId="Figure">
    <w:name w:val="Figure"/>
    <w:basedOn w:val="BodyText"/>
    <w:rsid w:val="006A5BA7"/>
    <w:pPr>
      <w:keepNext/>
      <w:spacing w:before="120" w:after="120" w:line="240" w:lineRule="atLeast"/>
      <w:jc w:val="center"/>
    </w:pPr>
  </w:style>
  <w:style w:type="paragraph" w:customStyle="1" w:styleId="FigureTitle">
    <w:name w:val="Figure Title"/>
    <w:basedOn w:val="Caption"/>
    <w:next w:val="Subtitle"/>
    <w:rsid w:val="006A5BA7"/>
    <w:rPr>
      <w:sz w:val="24"/>
    </w:rPr>
  </w:style>
  <w:style w:type="paragraph" w:styleId="Subtitle">
    <w:name w:val="Subtitle"/>
    <w:basedOn w:val="Caption"/>
    <w:link w:val="SubtitleChar"/>
    <w:rsid w:val="006A5BA7"/>
    <w:pPr>
      <w:spacing w:before="0" w:line="200" w:lineRule="exact"/>
      <w:ind w:firstLine="0"/>
    </w:pPr>
    <w:rPr>
      <w:b w:val="0"/>
      <w:sz w:val="20"/>
    </w:rPr>
  </w:style>
  <w:style w:type="paragraph" w:customStyle="1" w:styleId="Finding">
    <w:name w:val="Finding"/>
    <w:basedOn w:val="BodyText"/>
    <w:rsid w:val="006A5BA7"/>
    <w:pPr>
      <w:keepLines/>
      <w:spacing w:before="180"/>
    </w:pPr>
    <w:rPr>
      <w:i/>
    </w:rPr>
  </w:style>
  <w:style w:type="paragraph" w:customStyle="1" w:styleId="FindingBullet">
    <w:name w:val="Finding Bullet"/>
    <w:basedOn w:val="Finding"/>
    <w:rsid w:val="006A5BA7"/>
    <w:pPr>
      <w:numPr>
        <w:numId w:val="6"/>
      </w:numPr>
      <w:spacing w:before="80"/>
    </w:pPr>
  </w:style>
  <w:style w:type="paragraph" w:customStyle="1" w:styleId="FindingNoTitle">
    <w:name w:val="Finding NoTitle"/>
    <w:basedOn w:val="Finding"/>
    <w:rsid w:val="006A5BA7"/>
    <w:pPr>
      <w:spacing w:before="240"/>
    </w:pPr>
  </w:style>
  <w:style w:type="paragraph" w:customStyle="1" w:styleId="FindingTitle">
    <w:name w:val="Finding Title"/>
    <w:basedOn w:val="RecTitle"/>
    <w:next w:val="Finding"/>
    <w:rsid w:val="006A5BA7"/>
    <w:pPr>
      <w:framePr w:wrap="notBeside" w:hAnchor="text"/>
    </w:pPr>
  </w:style>
  <w:style w:type="paragraph" w:customStyle="1" w:styleId="FooterEnd">
    <w:name w:val="Footer End"/>
    <w:basedOn w:val="Footer"/>
    <w:rsid w:val="006A5BA7"/>
    <w:pPr>
      <w:spacing w:before="0" w:line="20" w:lineRule="exact"/>
    </w:pPr>
  </w:style>
  <w:style w:type="character" w:styleId="FootnoteReference">
    <w:name w:val="footnote reference"/>
    <w:basedOn w:val="DefaultParagraphFont"/>
    <w:semiHidden/>
    <w:rsid w:val="006A5BA7"/>
    <w:rPr>
      <w:rFonts w:ascii="Times New Roman" w:hAnsi="Times New Roman"/>
      <w:position w:val="6"/>
      <w:sz w:val="22"/>
      <w:vertAlign w:val="baseline"/>
    </w:rPr>
  </w:style>
  <w:style w:type="paragraph" w:styleId="FootnoteText">
    <w:name w:val="footnote text"/>
    <w:basedOn w:val="BodyText"/>
    <w:rsid w:val="006A5BA7"/>
    <w:pPr>
      <w:tabs>
        <w:tab w:val="left" w:pos="284"/>
      </w:tabs>
      <w:spacing w:before="80" w:line="260" w:lineRule="exact"/>
      <w:ind w:left="284" w:hanging="284"/>
    </w:pPr>
    <w:rPr>
      <w:sz w:val="22"/>
    </w:rPr>
  </w:style>
  <w:style w:type="paragraph" w:styleId="Header">
    <w:name w:val="header"/>
    <w:basedOn w:val="BodyText"/>
    <w:rsid w:val="006A5BA7"/>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A5BA7"/>
    <w:pPr>
      <w:spacing w:line="20" w:lineRule="exact"/>
    </w:pPr>
    <w:rPr>
      <w:sz w:val="16"/>
    </w:rPr>
  </w:style>
  <w:style w:type="paragraph" w:customStyle="1" w:styleId="HeaderEven">
    <w:name w:val="Header Even"/>
    <w:basedOn w:val="Header"/>
    <w:rsid w:val="006A5BA7"/>
  </w:style>
  <w:style w:type="paragraph" w:customStyle="1" w:styleId="HeaderOdd">
    <w:name w:val="Header Odd"/>
    <w:basedOn w:val="Header"/>
    <w:rsid w:val="006A5BA7"/>
  </w:style>
  <w:style w:type="paragraph" w:customStyle="1" w:styleId="InformationRequest">
    <w:name w:val="Information Request"/>
    <w:basedOn w:val="Finding"/>
    <w:next w:val="BodyText"/>
    <w:rsid w:val="006A5BA7"/>
    <w:pPr>
      <w:spacing w:before="360" w:after="120"/>
    </w:pPr>
    <w:rPr>
      <w:rFonts w:ascii="Arial" w:hAnsi="Arial"/>
      <w:sz w:val="24"/>
    </w:rPr>
  </w:style>
  <w:style w:type="paragraph" w:styleId="ListBullet">
    <w:name w:val="List Bullet"/>
    <w:basedOn w:val="BodyText"/>
    <w:rsid w:val="006A5BA7"/>
    <w:pPr>
      <w:numPr>
        <w:numId w:val="4"/>
      </w:numPr>
      <w:spacing w:before="120"/>
    </w:pPr>
  </w:style>
  <w:style w:type="paragraph" w:styleId="ListBullet2">
    <w:name w:val="List Bullet 2"/>
    <w:basedOn w:val="BodyText"/>
    <w:link w:val="ListBullet2Char"/>
    <w:rsid w:val="006A5BA7"/>
    <w:pPr>
      <w:numPr>
        <w:numId w:val="10"/>
      </w:numPr>
      <w:spacing w:before="120"/>
    </w:pPr>
  </w:style>
  <w:style w:type="paragraph" w:styleId="ListBullet3">
    <w:name w:val="List Bullet 3"/>
    <w:basedOn w:val="BodyText"/>
    <w:rsid w:val="006A5BA7"/>
    <w:pPr>
      <w:numPr>
        <w:numId w:val="1"/>
      </w:numPr>
      <w:spacing w:before="120"/>
    </w:pPr>
  </w:style>
  <w:style w:type="paragraph" w:styleId="ListNumber">
    <w:name w:val="List Number"/>
    <w:basedOn w:val="BodyText"/>
    <w:rsid w:val="006A5BA7"/>
    <w:pPr>
      <w:numPr>
        <w:numId w:val="13"/>
      </w:numPr>
      <w:spacing w:before="120"/>
    </w:pPr>
  </w:style>
  <w:style w:type="paragraph" w:styleId="ListNumber2">
    <w:name w:val="List Number 2"/>
    <w:basedOn w:val="ListNumber"/>
    <w:rsid w:val="006A5BA7"/>
    <w:pPr>
      <w:numPr>
        <w:ilvl w:val="1"/>
      </w:numPr>
    </w:pPr>
  </w:style>
  <w:style w:type="paragraph" w:styleId="ListNumber3">
    <w:name w:val="List Number 3"/>
    <w:basedOn w:val="ListNumber2"/>
    <w:rsid w:val="006A5BA7"/>
    <w:pPr>
      <w:numPr>
        <w:ilvl w:val="2"/>
      </w:numPr>
    </w:pPr>
  </w:style>
  <w:style w:type="paragraph" w:customStyle="1" w:styleId="Note">
    <w:name w:val="Note"/>
    <w:basedOn w:val="BodyText"/>
    <w:next w:val="BodyText"/>
    <w:rsid w:val="006A5BA7"/>
    <w:pPr>
      <w:keepLines/>
      <w:spacing w:before="80" w:line="220" w:lineRule="exact"/>
    </w:pPr>
    <w:rPr>
      <w:rFonts w:ascii="Arial" w:hAnsi="Arial"/>
      <w:sz w:val="18"/>
    </w:rPr>
  </w:style>
  <w:style w:type="character" w:customStyle="1" w:styleId="NoteLabel">
    <w:name w:val="Note Label"/>
    <w:basedOn w:val="DefaultParagraphFont"/>
    <w:rsid w:val="006A5BA7"/>
    <w:rPr>
      <w:rFonts w:ascii="Arial" w:hAnsi="Arial"/>
      <w:b/>
      <w:position w:val="6"/>
      <w:sz w:val="18"/>
    </w:rPr>
  </w:style>
  <w:style w:type="character" w:styleId="PageNumber">
    <w:name w:val="page number"/>
    <w:basedOn w:val="DefaultParagraphFont"/>
    <w:rsid w:val="006A5BA7"/>
    <w:rPr>
      <w:rFonts w:ascii="Arial" w:hAnsi="Arial"/>
      <w:b/>
      <w:sz w:val="16"/>
    </w:rPr>
  </w:style>
  <w:style w:type="paragraph" w:customStyle="1" w:styleId="PartDivider">
    <w:name w:val="Part Divider"/>
    <w:basedOn w:val="BodyText"/>
    <w:next w:val="BodyText"/>
    <w:rsid w:val="006A5BA7"/>
    <w:pPr>
      <w:spacing w:before="0" w:line="40" w:lineRule="exact"/>
      <w:jc w:val="right"/>
    </w:pPr>
    <w:rPr>
      <w:smallCaps/>
      <w:sz w:val="16"/>
    </w:rPr>
  </w:style>
  <w:style w:type="paragraph" w:customStyle="1" w:styleId="PartNumber">
    <w:name w:val="Part Number"/>
    <w:basedOn w:val="BodyText"/>
    <w:next w:val="BodyText"/>
    <w:rsid w:val="006A5BA7"/>
    <w:pPr>
      <w:spacing w:before="4000" w:line="320" w:lineRule="exact"/>
      <w:ind w:left="6634"/>
      <w:jc w:val="right"/>
    </w:pPr>
    <w:rPr>
      <w:smallCaps/>
      <w:spacing w:val="60"/>
      <w:sz w:val="32"/>
    </w:rPr>
  </w:style>
  <w:style w:type="paragraph" w:customStyle="1" w:styleId="PartTitle">
    <w:name w:val="Part Title"/>
    <w:basedOn w:val="BodyText"/>
    <w:rsid w:val="006A5BA7"/>
    <w:pPr>
      <w:spacing w:before="160" w:after="1360" w:line="520" w:lineRule="exact"/>
      <w:ind w:right="2381"/>
      <w:jc w:val="right"/>
    </w:pPr>
    <w:rPr>
      <w:smallCaps/>
      <w:sz w:val="52"/>
    </w:rPr>
  </w:style>
  <w:style w:type="paragraph" w:styleId="Quote">
    <w:name w:val="Quote"/>
    <w:basedOn w:val="BodyText"/>
    <w:next w:val="BodyText"/>
    <w:qFormat/>
    <w:rsid w:val="006A5BA7"/>
    <w:pPr>
      <w:spacing w:before="120" w:line="280" w:lineRule="exact"/>
      <w:ind w:left="340"/>
    </w:pPr>
    <w:rPr>
      <w:sz w:val="24"/>
    </w:rPr>
  </w:style>
  <w:style w:type="paragraph" w:customStyle="1" w:styleId="Rec">
    <w:name w:val="Rec"/>
    <w:basedOn w:val="BodyText"/>
    <w:rsid w:val="006A5BA7"/>
    <w:pPr>
      <w:keepLines/>
      <w:spacing w:before="180"/>
    </w:pPr>
    <w:rPr>
      <w:b/>
      <w:i/>
    </w:rPr>
  </w:style>
  <w:style w:type="paragraph" w:customStyle="1" w:styleId="RecBullet">
    <w:name w:val="Rec Bullet"/>
    <w:basedOn w:val="Rec"/>
    <w:rsid w:val="006A5BA7"/>
    <w:pPr>
      <w:numPr>
        <w:numId w:val="7"/>
      </w:numPr>
      <w:spacing w:before="80"/>
    </w:pPr>
  </w:style>
  <w:style w:type="paragraph" w:customStyle="1" w:styleId="RecTitle">
    <w:name w:val="Rec Title"/>
    <w:basedOn w:val="BodyText"/>
    <w:next w:val="Normal"/>
    <w:rsid w:val="006A5BA7"/>
    <w:pPr>
      <w:keepNext/>
      <w:keepLines/>
    </w:pPr>
    <w:rPr>
      <w:caps/>
      <w:sz w:val="20"/>
    </w:rPr>
  </w:style>
  <w:style w:type="paragraph" w:customStyle="1" w:styleId="RecB">
    <w:name w:val="RecB"/>
    <w:basedOn w:val="Normal"/>
    <w:rsid w:val="006A5BA7"/>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6A5BA7"/>
    <w:pPr>
      <w:numPr>
        <w:numId w:val="8"/>
      </w:numPr>
      <w:spacing w:before="80"/>
    </w:pPr>
  </w:style>
  <w:style w:type="paragraph" w:customStyle="1" w:styleId="RecBNoTitle">
    <w:name w:val="RecB NoTitle"/>
    <w:basedOn w:val="RecB"/>
    <w:rsid w:val="006A5BA7"/>
    <w:pPr>
      <w:spacing w:before="240"/>
    </w:pPr>
  </w:style>
  <w:style w:type="paragraph" w:customStyle="1" w:styleId="Reference">
    <w:name w:val="Reference"/>
    <w:basedOn w:val="BodyText"/>
    <w:rsid w:val="006A5BA7"/>
    <w:pPr>
      <w:spacing w:before="120"/>
      <w:ind w:left="340" w:hanging="340"/>
    </w:pPr>
  </w:style>
  <w:style w:type="paragraph" w:customStyle="1" w:styleId="SideNote">
    <w:name w:val="Side Note"/>
    <w:basedOn w:val="BodyText"/>
    <w:next w:val="BodyText"/>
    <w:rsid w:val="006A5BA7"/>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rsid w:val="006A5BA7"/>
    <w:pPr>
      <w:framePr w:wrap="around"/>
      <w:numPr>
        <w:numId w:val="3"/>
      </w:numPr>
      <w:tabs>
        <w:tab w:val="left" w:pos="227"/>
      </w:tabs>
    </w:pPr>
  </w:style>
  <w:style w:type="paragraph" w:customStyle="1" w:styleId="SideNoteGraphic">
    <w:name w:val="Side Note Graphic"/>
    <w:basedOn w:val="SideNote"/>
    <w:next w:val="BodyText"/>
    <w:rsid w:val="006A5BA7"/>
    <w:pPr>
      <w:framePr w:wrap="around"/>
    </w:pPr>
  </w:style>
  <w:style w:type="paragraph" w:customStyle="1" w:styleId="Source">
    <w:name w:val="Source"/>
    <w:basedOn w:val="Note"/>
    <w:next w:val="BodyText"/>
    <w:rsid w:val="006A5BA7"/>
    <w:pPr>
      <w:spacing w:after="120"/>
    </w:pPr>
  </w:style>
  <w:style w:type="paragraph" w:customStyle="1" w:styleId="TableBodyText">
    <w:name w:val="Table Body Text"/>
    <w:basedOn w:val="BodyText"/>
    <w:rsid w:val="006A5BA7"/>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6A5BA7"/>
    <w:pPr>
      <w:numPr>
        <w:numId w:val="9"/>
      </w:numPr>
      <w:jc w:val="left"/>
    </w:pPr>
  </w:style>
  <w:style w:type="paragraph" w:customStyle="1" w:styleId="TableColumnHeading">
    <w:name w:val="Table Column Heading"/>
    <w:basedOn w:val="TableBodyText"/>
    <w:rsid w:val="006A5BA7"/>
    <w:pPr>
      <w:spacing w:before="80" w:after="80"/>
    </w:pPr>
    <w:rPr>
      <w:i/>
    </w:rPr>
  </w:style>
  <w:style w:type="paragraph" w:styleId="TableofFigures">
    <w:name w:val="table of figures"/>
    <w:basedOn w:val="TOC3"/>
    <w:next w:val="BodyText"/>
    <w:semiHidden/>
    <w:rsid w:val="006A5BA7"/>
    <w:pPr>
      <w:ind w:left="737" w:hanging="737"/>
    </w:pPr>
  </w:style>
  <w:style w:type="paragraph" w:styleId="TOC3">
    <w:name w:val="toc 3"/>
    <w:basedOn w:val="TOC2"/>
    <w:semiHidden/>
    <w:rsid w:val="006A5BA7"/>
    <w:pPr>
      <w:spacing w:before="60"/>
      <w:ind w:left="1190" w:hanging="680"/>
    </w:pPr>
    <w:rPr>
      <w:b w:val="0"/>
    </w:rPr>
  </w:style>
  <w:style w:type="paragraph" w:customStyle="1" w:styleId="TableTitle">
    <w:name w:val="Table Title"/>
    <w:basedOn w:val="Caption"/>
    <w:next w:val="Subtitle"/>
    <w:rsid w:val="006A5BA7"/>
    <w:rPr>
      <w:sz w:val="24"/>
    </w:rPr>
  </w:style>
  <w:style w:type="paragraph" w:customStyle="1" w:styleId="TableUnitsRow">
    <w:name w:val="Table Units Row"/>
    <w:basedOn w:val="TableBodyText"/>
    <w:rsid w:val="006A5BA7"/>
    <w:pPr>
      <w:spacing w:before="80" w:after="80"/>
    </w:pPr>
  </w:style>
  <w:style w:type="paragraph" w:styleId="TOC1">
    <w:name w:val="toc 1"/>
    <w:basedOn w:val="Normal"/>
    <w:next w:val="TOC2"/>
    <w:semiHidden/>
    <w:rsid w:val="006A5BA7"/>
    <w:pPr>
      <w:tabs>
        <w:tab w:val="right" w:pos="8789"/>
      </w:tabs>
      <w:spacing w:before="480" w:after="60" w:line="320" w:lineRule="exact"/>
      <w:ind w:left="1191" w:right="851" w:hanging="1191"/>
    </w:pPr>
    <w:rPr>
      <w:b/>
      <w:caps/>
    </w:rPr>
  </w:style>
  <w:style w:type="paragraph" w:styleId="TOC2">
    <w:name w:val="toc 2"/>
    <w:basedOn w:val="BodyText"/>
    <w:semiHidden/>
    <w:rsid w:val="006A5BA7"/>
    <w:pPr>
      <w:tabs>
        <w:tab w:val="right" w:pos="8789"/>
      </w:tabs>
      <w:ind w:left="510" w:right="851" w:hanging="510"/>
      <w:jc w:val="left"/>
    </w:pPr>
    <w:rPr>
      <w:b/>
    </w:rPr>
  </w:style>
  <w:style w:type="paragraph" w:styleId="TOC4">
    <w:name w:val="toc 4"/>
    <w:basedOn w:val="TOC3"/>
    <w:semiHidden/>
    <w:rsid w:val="006A5BA7"/>
    <w:pPr>
      <w:ind w:left="1191" w:firstLine="0"/>
    </w:pPr>
  </w:style>
  <w:style w:type="paragraph" w:customStyle="1" w:styleId="BoxContinued">
    <w:name w:val="Box Continued"/>
    <w:basedOn w:val="BodyText"/>
    <w:next w:val="BodyText"/>
    <w:rsid w:val="006A5BA7"/>
    <w:pPr>
      <w:spacing w:before="180" w:line="220" w:lineRule="exact"/>
      <w:jc w:val="right"/>
    </w:pPr>
    <w:rPr>
      <w:rFonts w:ascii="Arial" w:hAnsi="Arial"/>
      <w:sz w:val="18"/>
    </w:rPr>
  </w:style>
  <w:style w:type="paragraph" w:customStyle="1" w:styleId="Continued">
    <w:name w:val="Continued"/>
    <w:basedOn w:val="BoxContinued"/>
    <w:next w:val="BodyText"/>
    <w:rsid w:val="006A5BA7"/>
  </w:style>
  <w:style w:type="paragraph" w:customStyle="1" w:styleId="BoxHeading1">
    <w:name w:val="Box Heading 1"/>
    <w:basedOn w:val="BodyText"/>
    <w:next w:val="Box"/>
    <w:rsid w:val="006A5BA7"/>
    <w:pPr>
      <w:keepNext/>
      <w:spacing w:before="200" w:line="280" w:lineRule="atLeast"/>
    </w:pPr>
    <w:rPr>
      <w:rFonts w:ascii="Arial" w:hAnsi="Arial"/>
      <w:b/>
      <w:sz w:val="22"/>
    </w:rPr>
  </w:style>
  <w:style w:type="paragraph" w:customStyle="1" w:styleId="BoxHeading2">
    <w:name w:val="Box Heading 2"/>
    <w:basedOn w:val="BoxHeading1"/>
    <w:next w:val="Normal"/>
    <w:rsid w:val="006A5BA7"/>
    <w:rPr>
      <w:b w:val="0"/>
      <w:i/>
    </w:rPr>
  </w:style>
  <w:style w:type="character" w:styleId="Hyperlink">
    <w:name w:val="Hyperlink"/>
    <w:rsid w:val="00A33B72"/>
    <w:rPr>
      <w:color w:val="0000FF"/>
      <w:u w:val="single"/>
    </w:rPr>
  </w:style>
  <w:style w:type="paragraph" w:styleId="NormalWeb">
    <w:name w:val="Normal (Web)"/>
    <w:basedOn w:val="Normal"/>
    <w:rsid w:val="00DF1186"/>
    <w:pPr>
      <w:spacing w:before="100" w:beforeAutospacing="1" w:after="100" w:afterAutospacing="1"/>
    </w:pPr>
    <w:rPr>
      <w:rFonts w:ascii="Arial" w:hAnsi="Arial" w:cs="Arial"/>
      <w:color w:val="000000"/>
      <w:sz w:val="24"/>
      <w:lang w:eastAsia="ko-KR"/>
    </w:rPr>
  </w:style>
  <w:style w:type="paragraph" w:styleId="Date">
    <w:name w:val="Date"/>
    <w:basedOn w:val="Normal"/>
    <w:next w:val="Normal"/>
    <w:rsid w:val="007C70D7"/>
  </w:style>
  <w:style w:type="character" w:customStyle="1" w:styleId="BodyTextChar">
    <w:name w:val="Body Text Char"/>
    <w:link w:val="BodyText"/>
    <w:rsid w:val="00263F5E"/>
    <w:rPr>
      <w:sz w:val="26"/>
    </w:rPr>
  </w:style>
  <w:style w:type="character" w:customStyle="1" w:styleId="ListBullet2Char">
    <w:name w:val="List Bullet 2 Char"/>
    <w:basedOn w:val="BodyTextChar"/>
    <w:link w:val="ListBullet2"/>
    <w:rsid w:val="00263F5E"/>
    <w:rPr>
      <w:sz w:val="26"/>
    </w:rPr>
  </w:style>
  <w:style w:type="character" w:customStyle="1" w:styleId="BoxListBulletChar">
    <w:name w:val="Box List Bullet Char"/>
    <w:link w:val="BoxListBullet"/>
    <w:rsid w:val="00243287"/>
    <w:rPr>
      <w:rFonts w:ascii="Arial" w:hAnsi="Arial"/>
      <w:sz w:val="22"/>
    </w:rPr>
  </w:style>
  <w:style w:type="character" w:customStyle="1" w:styleId="BoxListBullet2Char">
    <w:name w:val="Box List Bullet 2 Char"/>
    <w:link w:val="BoxListBullet2"/>
    <w:rsid w:val="00243287"/>
    <w:rPr>
      <w:rFonts w:ascii="Arial" w:hAnsi="Arial"/>
      <w:sz w:val="22"/>
    </w:rPr>
  </w:style>
  <w:style w:type="paragraph" w:styleId="BalloonText">
    <w:name w:val="Balloon Text"/>
    <w:basedOn w:val="Normal"/>
    <w:link w:val="BalloonTextChar"/>
    <w:rsid w:val="006A5BA7"/>
    <w:rPr>
      <w:rFonts w:ascii="Tahoma" w:hAnsi="Tahoma" w:cs="Tahoma"/>
      <w:sz w:val="16"/>
      <w:szCs w:val="16"/>
    </w:rPr>
  </w:style>
  <w:style w:type="character" w:customStyle="1" w:styleId="CharChar">
    <w:name w:val="Char Char"/>
    <w:rsid w:val="00144BF7"/>
    <w:rPr>
      <w:color w:val="000000"/>
      <w:sz w:val="26"/>
      <w:lang w:val="en-AU" w:eastAsia="en-US" w:bidi="ar-SA"/>
    </w:rPr>
  </w:style>
  <w:style w:type="paragraph" w:customStyle="1" w:styleId="Jurisdictioncommentsbodytext">
    <w:name w:val="Jurisdiction comments body text"/>
    <w:rsid w:val="006A5BA7"/>
    <w:pPr>
      <w:spacing w:after="140"/>
      <w:jc w:val="both"/>
    </w:pPr>
    <w:rPr>
      <w:rFonts w:ascii="Arial" w:hAnsi="Arial"/>
      <w:sz w:val="24"/>
      <w:lang w:eastAsia="en-US"/>
    </w:rPr>
  </w:style>
  <w:style w:type="paragraph" w:customStyle="1" w:styleId="Jurisdictioncommentsheading">
    <w:name w:val="Jurisdiction comments heading"/>
    <w:rsid w:val="006A5BA7"/>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6A5BA7"/>
    <w:pPr>
      <w:numPr>
        <w:numId w:val="12"/>
      </w:numPr>
      <w:spacing w:after="140"/>
      <w:jc w:val="both"/>
    </w:pPr>
    <w:rPr>
      <w:rFonts w:ascii="Arial" w:hAnsi="Arial"/>
      <w:sz w:val="24"/>
      <w:lang w:eastAsia="en-US"/>
    </w:rPr>
  </w:style>
  <w:style w:type="character" w:styleId="Emphasis">
    <w:name w:val="Emphasis"/>
    <w:basedOn w:val="DefaultParagraphFont"/>
    <w:rsid w:val="006A5BA7"/>
    <w:rPr>
      <w:i/>
      <w:iCs/>
    </w:rPr>
  </w:style>
  <w:style w:type="paragraph" w:styleId="Title">
    <w:name w:val="Title"/>
    <w:basedOn w:val="Normal"/>
    <w:qFormat/>
    <w:rsid w:val="006C2C28"/>
    <w:pPr>
      <w:spacing w:after="120"/>
      <w:jc w:val="center"/>
    </w:pPr>
    <w:rPr>
      <w:b/>
      <w:bCs/>
      <w:sz w:val="20"/>
    </w:rPr>
  </w:style>
  <w:style w:type="character" w:customStyle="1" w:styleId="searchword">
    <w:name w:val="searchword"/>
    <w:basedOn w:val="DefaultParagraphFont"/>
    <w:rsid w:val="00432EFB"/>
  </w:style>
  <w:style w:type="paragraph" w:customStyle="1" w:styleId="RecBBullet2">
    <w:name w:val="RecB Bullet 2"/>
    <w:basedOn w:val="ListBullet2"/>
    <w:semiHidden/>
    <w:rsid w:val="006A5BA7"/>
    <w:pPr>
      <w:pBdr>
        <w:left w:val="single" w:sz="24" w:space="29" w:color="C0C0C0"/>
      </w:pBdr>
    </w:pPr>
    <w:rPr>
      <w:b/>
      <w:i/>
    </w:rPr>
  </w:style>
  <w:style w:type="character" w:customStyle="1" w:styleId="BalloonTextChar">
    <w:name w:val="Balloon Text Char"/>
    <w:basedOn w:val="DefaultParagraphFont"/>
    <w:link w:val="BalloonText"/>
    <w:rsid w:val="006A5BA7"/>
    <w:rPr>
      <w:rFonts w:ascii="Tahoma" w:hAnsi="Tahoma" w:cs="Tahoma"/>
      <w:sz w:val="16"/>
      <w:szCs w:val="16"/>
    </w:rPr>
  </w:style>
  <w:style w:type="character" w:customStyle="1" w:styleId="SubtitleChar">
    <w:name w:val="Subtitle Char"/>
    <w:basedOn w:val="DefaultParagraphFont"/>
    <w:link w:val="Subtitle"/>
    <w:rsid w:val="006A5BA7"/>
    <w:rPr>
      <w:rFonts w:ascii="Arial" w:hAnsi="Arial"/>
      <w:szCs w:val="24"/>
    </w:rPr>
  </w:style>
  <w:style w:type="paragraph" w:customStyle="1" w:styleId="BoxListBullet3">
    <w:name w:val="Box List Bullet 3"/>
    <w:basedOn w:val="ListBullet3"/>
    <w:rsid w:val="006A5BA7"/>
    <w:pPr>
      <w:numPr>
        <w:numId w:val="17"/>
      </w:numPr>
      <w:tabs>
        <w:tab w:val="left" w:pos="907"/>
      </w:tabs>
      <w:spacing w:before="60" w:line="280" w:lineRule="atLeast"/>
      <w:ind w:left="907" w:hanging="340"/>
    </w:pPr>
    <w:rPr>
      <w:rFonts w:ascii="Arial" w:hAnsi="Arial"/>
      <w:sz w:val="22"/>
    </w:rPr>
  </w:style>
  <w:style w:type="paragraph" w:customStyle="1" w:styleId="BoxQuoteBullet">
    <w:name w:val="Box Quote Bullet"/>
    <w:basedOn w:val="BoxQuote"/>
    <w:next w:val="Box"/>
    <w:rsid w:val="006A5BA7"/>
    <w:pPr>
      <w:numPr>
        <w:numId w:val="15"/>
      </w:numPr>
      <w:ind w:left="568" w:hanging="284"/>
    </w:pPr>
  </w:style>
  <w:style w:type="paragraph" w:customStyle="1" w:styleId="InformationRequestBullet">
    <w:name w:val="Information Request Bullet"/>
    <w:basedOn w:val="ListBullet"/>
    <w:next w:val="BodyText"/>
    <w:rsid w:val="006A5BA7"/>
    <w:pPr>
      <w:numPr>
        <w:numId w:val="16"/>
      </w:numPr>
      <w:ind w:left="340" w:hanging="340"/>
    </w:pPr>
    <w:rPr>
      <w:rFonts w:ascii="Arial" w:hAnsi="Arial"/>
      <w:i/>
      <w:sz w:val="24"/>
    </w:rPr>
  </w:style>
  <w:style w:type="paragraph" w:customStyle="1" w:styleId="BoxSpaceAbove">
    <w:name w:val="Box Space Above"/>
    <w:basedOn w:val="BodyText"/>
    <w:rsid w:val="006A5BA7"/>
    <w:pPr>
      <w:keepNext/>
      <w:spacing w:before="360" w:line="80" w:lineRule="exact"/>
      <w:jc w:val="left"/>
    </w:pPr>
  </w:style>
  <w:style w:type="paragraph" w:customStyle="1" w:styleId="BoxSpaceBelow">
    <w:name w:val="Box Space Below"/>
    <w:basedOn w:val="Box"/>
    <w:rsid w:val="006A5BA7"/>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6A5BA7"/>
    <w:rPr>
      <w:sz w:val="26"/>
      <w:szCs w:val="24"/>
    </w:rPr>
  </w:style>
  <w:style w:type="paragraph" w:styleId="Heading1">
    <w:name w:val="heading 1"/>
    <w:basedOn w:val="BodyText"/>
    <w:next w:val="BodyText"/>
    <w:rsid w:val="006A5BA7"/>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6A5BA7"/>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6A5BA7"/>
    <w:pPr>
      <w:spacing w:before="560" w:line="320" w:lineRule="exact"/>
      <w:ind w:left="0" w:firstLine="0"/>
      <w:outlineLvl w:val="2"/>
    </w:pPr>
    <w:rPr>
      <w:sz w:val="26"/>
    </w:rPr>
  </w:style>
  <w:style w:type="paragraph" w:styleId="Heading4">
    <w:name w:val="heading 4"/>
    <w:basedOn w:val="Heading3"/>
    <w:next w:val="BodyText"/>
    <w:qFormat/>
    <w:rsid w:val="006A5BA7"/>
    <w:pPr>
      <w:spacing w:before="480"/>
      <w:outlineLvl w:val="3"/>
    </w:pPr>
    <w:rPr>
      <w:b w:val="0"/>
      <w:i/>
      <w:sz w:val="24"/>
    </w:rPr>
  </w:style>
  <w:style w:type="paragraph" w:styleId="Heading5">
    <w:name w:val="heading 5"/>
    <w:basedOn w:val="Heading4"/>
    <w:next w:val="BodyText"/>
    <w:qFormat/>
    <w:rsid w:val="006A5BA7"/>
    <w:pPr>
      <w:outlineLvl w:val="4"/>
    </w:pPr>
    <w:rPr>
      <w:rFonts w:ascii="Times New Roman" w:hAnsi="Times New Roman"/>
      <w:sz w:val="26"/>
    </w:rPr>
  </w:style>
  <w:style w:type="paragraph" w:styleId="Heading6">
    <w:name w:val="heading 6"/>
    <w:basedOn w:val="BodyText"/>
    <w:next w:val="BodyText"/>
    <w:rsid w:val="006A5BA7"/>
    <w:pPr>
      <w:spacing w:after="60"/>
      <w:jc w:val="left"/>
      <w:outlineLvl w:val="5"/>
    </w:pPr>
    <w:rPr>
      <w:i/>
      <w:sz w:val="22"/>
    </w:rPr>
  </w:style>
  <w:style w:type="paragraph" w:styleId="Heading7">
    <w:name w:val="heading 7"/>
    <w:basedOn w:val="BodyText"/>
    <w:next w:val="BodyText"/>
    <w:rsid w:val="006A5BA7"/>
    <w:pPr>
      <w:spacing w:after="60" w:line="240" w:lineRule="auto"/>
      <w:jc w:val="left"/>
      <w:outlineLvl w:val="6"/>
    </w:pPr>
    <w:rPr>
      <w:rFonts w:ascii="Arial" w:hAnsi="Arial"/>
      <w:sz w:val="20"/>
    </w:rPr>
  </w:style>
  <w:style w:type="paragraph" w:styleId="Heading8">
    <w:name w:val="heading 8"/>
    <w:basedOn w:val="BodyText"/>
    <w:next w:val="BodyText"/>
    <w:rsid w:val="006A5BA7"/>
    <w:pPr>
      <w:spacing w:after="60" w:line="240" w:lineRule="auto"/>
      <w:jc w:val="left"/>
      <w:outlineLvl w:val="7"/>
    </w:pPr>
    <w:rPr>
      <w:rFonts w:ascii="Arial" w:hAnsi="Arial"/>
      <w:i/>
      <w:sz w:val="20"/>
    </w:rPr>
  </w:style>
  <w:style w:type="paragraph" w:styleId="Heading9">
    <w:name w:val="heading 9"/>
    <w:basedOn w:val="BodyText"/>
    <w:next w:val="BodyText"/>
    <w:rsid w:val="006A5BA7"/>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6A5B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5BA7"/>
  </w:style>
  <w:style w:type="paragraph" w:styleId="BodyText">
    <w:name w:val="Body Text"/>
    <w:link w:val="BodyTextChar"/>
    <w:qFormat/>
    <w:rsid w:val="006A5BA7"/>
    <w:pPr>
      <w:spacing w:before="240" w:line="320" w:lineRule="atLeast"/>
      <w:jc w:val="both"/>
    </w:pPr>
    <w:rPr>
      <w:sz w:val="26"/>
    </w:rPr>
  </w:style>
  <w:style w:type="paragraph" w:customStyle="1" w:styleId="Chapter">
    <w:name w:val="Chapter"/>
    <w:basedOn w:val="Heading1"/>
    <w:next w:val="BodyText"/>
    <w:rsid w:val="006A5BA7"/>
    <w:pPr>
      <w:ind w:left="0" w:firstLine="0"/>
      <w:outlineLvl w:val="9"/>
    </w:pPr>
  </w:style>
  <w:style w:type="paragraph" w:customStyle="1" w:styleId="SequenceInfo">
    <w:name w:val="Sequence Info"/>
    <w:basedOn w:val="BodyText"/>
    <w:rsid w:val="006A5BA7"/>
    <w:rPr>
      <w:vanish/>
      <w:sz w:val="16"/>
    </w:rPr>
  </w:style>
  <w:style w:type="character" w:styleId="CommentReference">
    <w:name w:val="annotation reference"/>
    <w:basedOn w:val="DefaultParagraphFont"/>
    <w:semiHidden/>
    <w:rsid w:val="006A5BA7"/>
    <w:rPr>
      <w:b/>
      <w:vanish/>
      <w:color w:val="FF00FF"/>
      <w:sz w:val="20"/>
    </w:rPr>
  </w:style>
  <w:style w:type="paragraph" w:styleId="CommentText">
    <w:name w:val="annotation text"/>
    <w:basedOn w:val="Normal"/>
    <w:semiHidden/>
    <w:rsid w:val="006A5BA7"/>
    <w:pPr>
      <w:spacing w:before="120" w:line="240" w:lineRule="atLeast"/>
      <w:ind w:left="567" w:hanging="567"/>
    </w:pPr>
    <w:rPr>
      <w:sz w:val="20"/>
    </w:rPr>
  </w:style>
  <w:style w:type="paragraph" w:customStyle="1" w:styleId="Abbreviation">
    <w:name w:val="Abbreviation"/>
    <w:basedOn w:val="BodyText"/>
    <w:rsid w:val="006A5BA7"/>
    <w:pPr>
      <w:spacing w:before="120"/>
      <w:ind w:left="2381" w:hanging="2381"/>
      <w:jc w:val="left"/>
    </w:pPr>
  </w:style>
  <w:style w:type="paragraph" w:customStyle="1" w:styleId="Box">
    <w:name w:val="Box"/>
    <w:basedOn w:val="BodyText"/>
    <w:qFormat/>
    <w:rsid w:val="006A5BA7"/>
    <w:pPr>
      <w:keepNext/>
      <w:spacing w:before="120" w:line="280" w:lineRule="atLeast"/>
    </w:pPr>
    <w:rPr>
      <w:rFonts w:ascii="Arial" w:hAnsi="Arial"/>
      <w:sz w:val="22"/>
    </w:rPr>
  </w:style>
  <w:style w:type="paragraph" w:customStyle="1" w:styleId="QuoteBullet">
    <w:name w:val="Quote Bullet"/>
    <w:basedOn w:val="Quote"/>
    <w:rsid w:val="006A5BA7"/>
    <w:pPr>
      <w:numPr>
        <w:numId w:val="11"/>
      </w:numPr>
    </w:pPr>
  </w:style>
  <w:style w:type="paragraph" w:customStyle="1" w:styleId="BoxListBullet">
    <w:name w:val="Box List Bullet"/>
    <w:basedOn w:val="BodyText"/>
    <w:link w:val="BoxListBulletChar"/>
    <w:rsid w:val="006A5BA7"/>
    <w:pPr>
      <w:keepNext/>
      <w:numPr>
        <w:numId w:val="5"/>
      </w:numPr>
      <w:spacing w:before="60" w:line="280" w:lineRule="atLeast"/>
    </w:pPr>
    <w:rPr>
      <w:rFonts w:ascii="Arial" w:hAnsi="Arial"/>
      <w:sz w:val="22"/>
    </w:rPr>
  </w:style>
  <w:style w:type="paragraph" w:customStyle="1" w:styleId="BoxListBullet2">
    <w:name w:val="Box List Bullet 2"/>
    <w:basedOn w:val="BodyText"/>
    <w:link w:val="BoxListBullet2Char"/>
    <w:rsid w:val="006A5BA7"/>
    <w:pPr>
      <w:keepNext/>
      <w:numPr>
        <w:numId w:val="2"/>
      </w:numPr>
      <w:spacing w:before="60" w:line="280" w:lineRule="atLeast"/>
    </w:pPr>
    <w:rPr>
      <w:rFonts w:ascii="Arial" w:hAnsi="Arial"/>
      <w:sz w:val="22"/>
    </w:rPr>
  </w:style>
  <w:style w:type="paragraph" w:customStyle="1" w:styleId="BoxListNumber">
    <w:name w:val="Box List Number"/>
    <w:basedOn w:val="BodyText"/>
    <w:rsid w:val="006A5BA7"/>
    <w:pPr>
      <w:keepNext/>
      <w:numPr>
        <w:numId w:val="14"/>
      </w:numPr>
      <w:spacing w:before="60" w:line="280" w:lineRule="atLeast"/>
    </w:pPr>
    <w:rPr>
      <w:rFonts w:ascii="Arial" w:hAnsi="Arial"/>
      <w:sz w:val="22"/>
    </w:rPr>
  </w:style>
  <w:style w:type="paragraph" w:customStyle="1" w:styleId="BoxListNumber2">
    <w:name w:val="Box List Number 2"/>
    <w:basedOn w:val="BoxListNumber"/>
    <w:rsid w:val="006A5BA7"/>
    <w:pPr>
      <w:numPr>
        <w:ilvl w:val="1"/>
      </w:numPr>
    </w:pPr>
  </w:style>
  <w:style w:type="paragraph" w:customStyle="1" w:styleId="BoxQuote">
    <w:name w:val="Box Quote"/>
    <w:basedOn w:val="BodyText"/>
    <w:next w:val="Box"/>
    <w:rsid w:val="006A5BA7"/>
    <w:pPr>
      <w:keepNext/>
      <w:spacing w:before="60" w:line="260" w:lineRule="exact"/>
      <w:ind w:left="284"/>
    </w:pPr>
    <w:rPr>
      <w:rFonts w:ascii="Arial" w:hAnsi="Arial"/>
      <w:sz w:val="20"/>
    </w:rPr>
  </w:style>
  <w:style w:type="paragraph" w:customStyle="1" w:styleId="BoxSource">
    <w:name w:val="Box Source"/>
    <w:basedOn w:val="Source"/>
    <w:next w:val="BodyText"/>
    <w:rsid w:val="006A5BA7"/>
    <w:pPr>
      <w:spacing w:before="180" w:after="0"/>
    </w:pPr>
  </w:style>
  <w:style w:type="paragraph" w:customStyle="1" w:styleId="BoxSpace">
    <w:name w:val="Box Space"/>
    <w:basedOn w:val="BodyText"/>
    <w:rsid w:val="002176F2"/>
    <w:pPr>
      <w:keepNext/>
      <w:spacing w:before="360" w:line="80" w:lineRule="exact"/>
      <w:jc w:val="left"/>
    </w:pPr>
  </w:style>
  <w:style w:type="paragraph" w:customStyle="1" w:styleId="BoxSubtitle">
    <w:name w:val="Box Subtitle"/>
    <w:basedOn w:val="BoxTitle"/>
    <w:next w:val="Normal"/>
    <w:rsid w:val="006A5BA7"/>
    <w:pPr>
      <w:spacing w:after="80" w:line="200" w:lineRule="exact"/>
      <w:ind w:firstLine="0"/>
    </w:pPr>
    <w:rPr>
      <w:b w:val="0"/>
      <w:sz w:val="20"/>
    </w:rPr>
  </w:style>
  <w:style w:type="paragraph" w:customStyle="1" w:styleId="BoxTitle">
    <w:name w:val="Box Title"/>
    <w:basedOn w:val="Caption"/>
    <w:next w:val="BoxSubtitle"/>
    <w:rsid w:val="006A5BA7"/>
    <w:pPr>
      <w:spacing w:before="120" w:after="0"/>
      <w:ind w:left="1304" w:hanging="1304"/>
    </w:pPr>
    <w:rPr>
      <w:sz w:val="24"/>
    </w:rPr>
  </w:style>
  <w:style w:type="paragraph" w:styleId="Caption">
    <w:name w:val="caption"/>
    <w:basedOn w:val="Normal"/>
    <w:next w:val="BodyText"/>
    <w:rsid w:val="006A5BA7"/>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6A5BA7"/>
    <w:pPr>
      <w:ind w:left="907"/>
    </w:pPr>
    <w:rPr>
      <w:rFonts w:ascii="Arial" w:hAnsi="Arial"/>
      <w:b/>
      <w:sz w:val="22"/>
    </w:rPr>
  </w:style>
  <w:style w:type="character" w:customStyle="1" w:styleId="DocumentInfo">
    <w:name w:val="Document Info"/>
    <w:basedOn w:val="DefaultParagraphFont"/>
    <w:rsid w:val="006A5BA7"/>
    <w:rPr>
      <w:rFonts w:ascii="Arial" w:hAnsi="Arial"/>
      <w:sz w:val="14"/>
    </w:rPr>
  </w:style>
  <w:style w:type="paragraph" w:styleId="Footer">
    <w:name w:val="footer"/>
    <w:basedOn w:val="BodyText"/>
    <w:rsid w:val="006A5BA7"/>
    <w:pPr>
      <w:spacing w:before="80" w:line="200" w:lineRule="exact"/>
      <w:ind w:right="6"/>
      <w:jc w:val="left"/>
    </w:pPr>
    <w:rPr>
      <w:caps/>
      <w:spacing w:val="-4"/>
      <w:sz w:val="16"/>
    </w:rPr>
  </w:style>
  <w:style w:type="character" w:customStyle="1" w:styleId="DraftingNote">
    <w:name w:val="Drafting Note"/>
    <w:basedOn w:val="DefaultParagraphFont"/>
    <w:rsid w:val="006A5BA7"/>
    <w:rPr>
      <w:b/>
      <w:color w:val="FF0000"/>
      <w:sz w:val="24"/>
      <w:u w:val="dotted"/>
    </w:rPr>
  </w:style>
  <w:style w:type="paragraph" w:customStyle="1" w:styleId="Default">
    <w:name w:val="Default"/>
    <w:rsid w:val="00BB3CF6"/>
    <w:pPr>
      <w:autoSpaceDE w:val="0"/>
      <w:autoSpaceDN w:val="0"/>
      <w:adjustRightInd w:val="0"/>
    </w:pPr>
    <w:rPr>
      <w:rFonts w:ascii="GoudyOlSt BT" w:hAnsi="GoudyOlSt BT" w:cs="GoudyOlSt BT"/>
      <w:color w:val="000000"/>
      <w:sz w:val="24"/>
      <w:szCs w:val="24"/>
      <w:lang w:val="en-US" w:eastAsia="en-US"/>
    </w:rPr>
  </w:style>
  <w:style w:type="paragraph" w:customStyle="1" w:styleId="Figure">
    <w:name w:val="Figure"/>
    <w:basedOn w:val="BodyText"/>
    <w:rsid w:val="006A5BA7"/>
    <w:pPr>
      <w:keepNext/>
      <w:spacing w:before="120" w:after="120" w:line="240" w:lineRule="atLeast"/>
      <w:jc w:val="center"/>
    </w:pPr>
  </w:style>
  <w:style w:type="paragraph" w:customStyle="1" w:styleId="FigureTitle">
    <w:name w:val="Figure Title"/>
    <w:basedOn w:val="Caption"/>
    <w:next w:val="Subtitle"/>
    <w:rsid w:val="006A5BA7"/>
    <w:rPr>
      <w:sz w:val="24"/>
    </w:rPr>
  </w:style>
  <w:style w:type="paragraph" w:styleId="Subtitle">
    <w:name w:val="Subtitle"/>
    <w:basedOn w:val="Caption"/>
    <w:link w:val="SubtitleChar"/>
    <w:rsid w:val="006A5BA7"/>
    <w:pPr>
      <w:spacing w:before="0" w:line="200" w:lineRule="exact"/>
      <w:ind w:firstLine="0"/>
    </w:pPr>
    <w:rPr>
      <w:b w:val="0"/>
      <w:sz w:val="20"/>
    </w:rPr>
  </w:style>
  <w:style w:type="paragraph" w:customStyle="1" w:styleId="Finding">
    <w:name w:val="Finding"/>
    <w:basedOn w:val="BodyText"/>
    <w:rsid w:val="006A5BA7"/>
    <w:pPr>
      <w:keepLines/>
      <w:spacing w:before="180"/>
    </w:pPr>
    <w:rPr>
      <w:i/>
    </w:rPr>
  </w:style>
  <w:style w:type="paragraph" w:customStyle="1" w:styleId="FindingBullet">
    <w:name w:val="Finding Bullet"/>
    <w:basedOn w:val="Finding"/>
    <w:rsid w:val="006A5BA7"/>
    <w:pPr>
      <w:numPr>
        <w:numId w:val="6"/>
      </w:numPr>
      <w:spacing w:before="80"/>
    </w:pPr>
  </w:style>
  <w:style w:type="paragraph" w:customStyle="1" w:styleId="FindingNoTitle">
    <w:name w:val="Finding NoTitle"/>
    <w:basedOn w:val="Finding"/>
    <w:rsid w:val="006A5BA7"/>
    <w:pPr>
      <w:spacing w:before="240"/>
    </w:pPr>
  </w:style>
  <w:style w:type="paragraph" w:customStyle="1" w:styleId="FindingTitle">
    <w:name w:val="Finding Title"/>
    <w:basedOn w:val="RecTitle"/>
    <w:next w:val="Finding"/>
    <w:rsid w:val="006A5BA7"/>
    <w:pPr>
      <w:framePr w:wrap="notBeside" w:hAnchor="text"/>
    </w:pPr>
  </w:style>
  <w:style w:type="paragraph" w:customStyle="1" w:styleId="FooterEnd">
    <w:name w:val="Footer End"/>
    <w:basedOn w:val="Footer"/>
    <w:rsid w:val="006A5BA7"/>
    <w:pPr>
      <w:spacing w:before="0" w:line="20" w:lineRule="exact"/>
    </w:pPr>
  </w:style>
  <w:style w:type="character" w:styleId="FootnoteReference">
    <w:name w:val="footnote reference"/>
    <w:basedOn w:val="DefaultParagraphFont"/>
    <w:semiHidden/>
    <w:rsid w:val="006A5BA7"/>
    <w:rPr>
      <w:rFonts w:ascii="Times New Roman" w:hAnsi="Times New Roman"/>
      <w:position w:val="6"/>
      <w:sz w:val="22"/>
      <w:vertAlign w:val="baseline"/>
    </w:rPr>
  </w:style>
  <w:style w:type="paragraph" w:styleId="FootnoteText">
    <w:name w:val="footnote text"/>
    <w:basedOn w:val="BodyText"/>
    <w:rsid w:val="006A5BA7"/>
    <w:pPr>
      <w:tabs>
        <w:tab w:val="left" w:pos="284"/>
      </w:tabs>
      <w:spacing w:before="80" w:line="260" w:lineRule="exact"/>
      <w:ind w:left="284" w:hanging="284"/>
    </w:pPr>
    <w:rPr>
      <w:sz w:val="22"/>
    </w:rPr>
  </w:style>
  <w:style w:type="paragraph" w:styleId="Header">
    <w:name w:val="header"/>
    <w:basedOn w:val="BodyText"/>
    <w:rsid w:val="006A5BA7"/>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A5BA7"/>
    <w:pPr>
      <w:spacing w:line="20" w:lineRule="exact"/>
    </w:pPr>
    <w:rPr>
      <w:sz w:val="16"/>
    </w:rPr>
  </w:style>
  <w:style w:type="paragraph" w:customStyle="1" w:styleId="HeaderEven">
    <w:name w:val="Header Even"/>
    <w:basedOn w:val="Header"/>
    <w:rsid w:val="006A5BA7"/>
  </w:style>
  <w:style w:type="paragraph" w:customStyle="1" w:styleId="HeaderOdd">
    <w:name w:val="Header Odd"/>
    <w:basedOn w:val="Header"/>
    <w:rsid w:val="006A5BA7"/>
  </w:style>
  <w:style w:type="paragraph" w:customStyle="1" w:styleId="InformationRequest">
    <w:name w:val="Information Request"/>
    <w:basedOn w:val="Finding"/>
    <w:next w:val="BodyText"/>
    <w:rsid w:val="006A5BA7"/>
    <w:pPr>
      <w:spacing w:before="360" w:after="120"/>
    </w:pPr>
    <w:rPr>
      <w:rFonts w:ascii="Arial" w:hAnsi="Arial"/>
      <w:sz w:val="24"/>
    </w:rPr>
  </w:style>
  <w:style w:type="paragraph" w:styleId="ListBullet">
    <w:name w:val="List Bullet"/>
    <w:basedOn w:val="BodyText"/>
    <w:rsid w:val="006A5BA7"/>
    <w:pPr>
      <w:numPr>
        <w:numId w:val="4"/>
      </w:numPr>
      <w:spacing w:before="120"/>
    </w:pPr>
  </w:style>
  <w:style w:type="paragraph" w:styleId="ListBullet2">
    <w:name w:val="List Bullet 2"/>
    <w:basedOn w:val="BodyText"/>
    <w:link w:val="ListBullet2Char"/>
    <w:rsid w:val="006A5BA7"/>
    <w:pPr>
      <w:numPr>
        <w:numId w:val="10"/>
      </w:numPr>
      <w:spacing w:before="120"/>
    </w:pPr>
  </w:style>
  <w:style w:type="paragraph" w:styleId="ListBullet3">
    <w:name w:val="List Bullet 3"/>
    <w:basedOn w:val="BodyText"/>
    <w:rsid w:val="006A5BA7"/>
    <w:pPr>
      <w:numPr>
        <w:numId w:val="1"/>
      </w:numPr>
      <w:spacing w:before="120"/>
    </w:pPr>
  </w:style>
  <w:style w:type="paragraph" w:styleId="ListNumber">
    <w:name w:val="List Number"/>
    <w:basedOn w:val="BodyText"/>
    <w:rsid w:val="006A5BA7"/>
    <w:pPr>
      <w:numPr>
        <w:numId w:val="13"/>
      </w:numPr>
      <w:spacing w:before="120"/>
    </w:pPr>
  </w:style>
  <w:style w:type="paragraph" w:styleId="ListNumber2">
    <w:name w:val="List Number 2"/>
    <w:basedOn w:val="ListNumber"/>
    <w:rsid w:val="006A5BA7"/>
    <w:pPr>
      <w:numPr>
        <w:ilvl w:val="1"/>
      </w:numPr>
    </w:pPr>
  </w:style>
  <w:style w:type="paragraph" w:styleId="ListNumber3">
    <w:name w:val="List Number 3"/>
    <w:basedOn w:val="ListNumber2"/>
    <w:rsid w:val="006A5BA7"/>
    <w:pPr>
      <w:numPr>
        <w:ilvl w:val="2"/>
      </w:numPr>
    </w:pPr>
  </w:style>
  <w:style w:type="paragraph" w:customStyle="1" w:styleId="Note">
    <w:name w:val="Note"/>
    <w:basedOn w:val="BodyText"/>
    <w:next w:val="BodyText"/>
    <w:rsid w:val="006A5BA7"/>
    <w:pPr>
      <w:keepLines/>
      <w:spacing w:before="80" w:line="220" w:lineRule="exact"/>
    </w:pPr>
    <w:rPr>
      <w:rFonts w:ascii="Arial" w:hAnsi="Arial"/>
      <w:sz w:val="18"/>
    </w:rPr>
  </w:style>
  <w:style w:type="character" w:customStyle="1" w:styleId="NoteLabel">
    <w:name w:val="Note Label"/>
    <w:basedOn w:val="DefaultParagraphFont"/>
    <w:rsid w:val="006A5BA7"/>
    <w:rPr>
      <w:rFonts w:ascii="Arial" w:hAnsi="Arial"/>
      <w:b/>
      <w:position w:val="6"/>
      <w:sz w:val="18"/>
    </w:rPr>
  </w:style>
  <w:style w:type="character" w:styleId="PageNumber">
    <w:name w:val="page number"/>
    <w:basedOn w:val="DefaultParagraphFont"/>
    <w:rsid w:val="006A5BA7"/>
    <w:rPr>
      <w:rFonts w:ascii="Arial" w:hAnsi="Arial"/>
      <w:b/>
      <w:sz w:val="16"/>
    </w:rPr>
  </w:style>
  <w:style w:type="paragraph" w:customStyle="1" w:styleId="PartDivider">
    <w:name w:val="Part Divider"/>
    <w:basedOn w:val="BodyText"/>
    <w:next w:val="BodyText"/>
    <w:rsid w:val="006A5BA7"/>
    <w:pPr>
      <w:spacing w:before="0" w:line="40" w:lineRule="exact"/>
      <w:jc w:val="right"/>
    </w:pPr>
    <w:rPr>
      <w:smallCaps/>
      <w:sz w:val="16"/>
    </w:rPr>
  </w:style>
  <w:style w:type="paragraph" w:customStyle="1" w:styleId="PartNumber">
    <w:name w:val="Part Number"/>
    <w:basedOn w:val="BodyText"/>
    <w:next w:val="BodyText"/>
    <w:rsid w:val="006A5BA7"/>
    <w:pPr>
      <w:spacing w:before="4000" w:line="320" w:lineRule="exact"/>
      <w:ind w:left="6634"/>
      <w:jc w:val="right"/>
    </w:pPr>
    <w:rPr>
      <w:smallCaps/>
      <w:spacing w:val="60"/>
      <w:sz w:val="32"/>
    </w:rPr>
  </w:style>
  <w:style w:type="paragraph" w:customStyle="1" w:styleId="PartTitle">
    <w:name w:val="Part Title"/>
    <w:basedOn w:val="BodyText"/>
    <w:rsid w:val="006A5BA7"/>
    <w:pPr>
      <w:spacing w:before="160" w:after="1360" w:line="520" w:lineRule="exact"/>
      <w:ind w:right="2381"/>
      <w:jc w:val="right"/>
    </w:pPr>
    <w:rPr>
      <w:smallCaps/>
      <w:sz w:val="52"/>
    </w:rPr>
  </w:style>
  <w:style w:type="paragraph" w:styleId="Quote">
    <w:name w:val="Quote"/>
    <w:basedOn w:val="BodyText"/>
    <w:next w:val="BodyText"/>
    <w:qFormat/>
    <w:rsid w:val="006A5BA7"/>
    <w:pPr>
      <w:spacing w:before="120" w:line="280" w:lineRule="exact"/>
      <w:ind w:left="340"/>
    </w:pPr>
    <w:rPr>
      <w:sz w:val="24"/>
    </w:rPr>
  </w:style>
  <w:style w:type="paragraph" w:customStyle="1" w:styleId="Rec">
    <w:name w:val="Rec"/>
    <w:basedOn w:val="BodyText"/>
    <w:rsid w:val="006A5BA7"/>
    <w:pPr>
      <w:keepLines/>
      <w:spacing w:before="180"/>
    </w:pPr>
    <w:rPr>
      <w:b/>
      <w:i/>
    </w:rPr>
  </w:style>
  <w:style w:type="paragraph" w:customStyle="1" w:styleId="RecBullet">
    <w:name w:val="Rec Bullet"/>
    <w:basedOn w:val="Rec"/>
    <w:rsid w:val="006A5BA7"/>
    <w:pPr>
      <w:numPr>
        <w:numId w:val="7"/>
      </w:numPr>
      <w:spacing w:before="80"/>
    </w:pPr>
  </w:style>
  <w:style w:type="paragraph" w:customStyle="1" w:styleId="RecTitle">
    <w:name w:val="Rec Title"/>
    <w:basedOn w:val="BodyText"/>
    <w:next w:val="Normal"/>
    <w:rsid w:val="006A5BA7"/>
    <w:pPr>
      <w:keepNext/>
      <w:keepLines/>
    </w:pPr>
    <w:rPr>
      <w:caps/>
      <w:sz w:val="20"/>
    </w:rPr>
  </w:style>
  <w:style w:type="paragraph" w:customStyle="1" w:styleId="RecB">
    <w:name w:val="RecB"/>
    <w:basedOn w:val="Normal"/>
    <w:rsid w:val="006A5BA7"/>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6A5BA7"/>
    <w:pPr>
      <w:numPr>
        <w:numId w:val="8"/>
      </w:numPr>
      <w:spacing w:before="80"/>
    </w:pPr>
  </w:style>
  <w:style w:type="paragraph" w:customStyle="1" w:styleId="RecBNoTitle">
    <w:name w:val="RecB NoTitle"/>
    <w:basedOn w:val="RecB"/>
    <w:rsid w:val="006A5BA7"/>
    <w:pPr>
      <w:spacing w:before="240"/>
    </w:pPr>
  </w:style>
  <w:style w:type="paragraph" w:customStyle="1" w:styleId="Reference">
    <w:name w:val="Reference"/>
    <w:basedOn w:val="BodyText"/>
    <w:rsid w:val="006A5BA7"/>
    <w:pPr>
      <w:spacing w:before="120"/>
      <w:ind w:left="340" w:hanging="340"/>
    </w:pPr>
  </w:style>
  <w:style w:type="paragraph" w:customStyle="1" w:styleId="SideNote">
    <w:name w:val="Side Note"/>
    <w:basedOn w:val="BodyText"/>
    <w:next w:val="BodyText"/>
    <w:rsid w:val="006A5BA7"/>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rsid w:val="006A5BA7"/>
    <w:pPr>
      <w:framePr w:wrap="around"/>
      <w:numPr>
        <w:numId w:val="3"/>
      </w:numPr>
      <w:tabs>
        <w:tab w:val="left" w:pos="227"/>
      </w:tabs>
    </w:pPr>
  </w:style>
  <w:style w:type="paragraph" w:customStyle="1" w:styleId="SideNoteGraphic">
    <w:name w:val="Side Note Graphic"/>
    <w:basedOn w:val="SideNote"/>
    <w:next w:val="BodyText"/>
    <w:rsid w:val="006A5BA7"/>
    <w:pPr>
      <w:framePr w:wrap="around"/>
    </w:pPr>
  </w:style>
  <w:style w:type="paragraph" w:customStyle="1" w:styleId="Source">
    <w:name w:val="Source"/>
    <w:basedOn w:val="Note"/>
    <w:next w:val="BodyText"/>
    <w:rsid w:val="006A5BA7"/>
    <w:pPr>
      <w:spacing w:after="120"/>
    </w:pPr>
  </w:style>
  <w:style w:type="paragraph" w:customStyle="1" w:styleId="TableBodyText">
    <w:name w:val="Table Body Text"/>
    <w:basedOn w:val="BodyText"/>
    <w:rsid w:val="006A5BA7"/>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6A5BA7"/>
    <w:pPr>
      <w:numPr>
        <w:numId w:val="9"/>
      </w:numPr>
      <w:jc w:val="left"/>
    </w:pPr>
  </w:style>
  <w:style w:type="paragraph" w:customStyle="1" w:styleId="TableColumnHeading">
    <w:name w:val="Table Column Heading"/>
    <w:basedOn w:val="TableBodyText"/>
    <w:rsid w:val="006A5BA7"/>
    <w:pPr>
      <w:spacing w:before="80" w:after="80"/>
    </w:pPr>
    <w:rPr>
      <w:i/>
    </w:rPr>
  </w:style>
  <w:style w:type="paragraph" w:styleId="TableofFigures">
    <w:name w:val="table of figures"/>
    <w:basedOn w:val="TOC3"/>
    <w:next w:val="BodyText"/>
    <w:semiHidden/>
    <w:rsid w:val="006A5BA7"/>
    <w:pPr>
      <w:ind w:left="737" w:hanging="737"/>
    </w:pPr>
  </w:style>
  <w:style w:type="paragraph" w:styleId="TOC3">
    <w:name w:val="toc 3"/>
    <w:basedOn w:val="TOC2"/>
    <w:semiHidden/>
    <w:rsid w:val="006A5BA7"/>
    <w:pPr>
      <w:spacing w:before="60"/>
      <w:ind w:left="1190" w:hanging="680"/>
    </w:pPr>
    <w:rPr>
      <w:b w:val="0"/>
    </w:rPr>
  </w:style>
  <w:style w:type="paragraph" w:customStyle="1" w:styleId="TableTitle">
    <w:name w:val="Table Title"/>
    <w:basedOn w:val="Caption"/>
    <w:next w:val="Subtitle"/>
    <w:rsid w:val="006A5BA7"/>
    <w:rPr>
      <w:sz w:val="24"/>
    </w:rPr>
  </w:style>
  <w:style w:type="paragraph" w:customStyle="1" w:styleId="TableUnitsRow">
    <w:name w:val="Table Units Row"/>
    <w:basedOn w:val="TableBodyText"/>
    <w:rsid w:val="006A5BA7"/>
    <w:pPr>
      <w:spacing w:before="80" w:after="80"/>
    </w:pPr>
  </w:style>
  <w:style w:type="paragraph" w:styleId="TOC1">
    <w:name w:val="toc 1"/>
    <w:basedOn w:val="Normal"/>
    <w:next w:val="TOC2"/>
    <w:semiHidden/>
    <w:rsid w:val="006A5BA7"/>
    <w:pPr>
      <w:tabs>
        <w:tab w:val="right" w:pos="8789"/>
      </w:tabs>
      <w:spacing w:before="480" w:after="60" w:line="320" w:lineRule="exact"/>
      <w:ind w:left="1191" w:right="851" w:hanging="1191"/>
    </w:pPr>
    <w:rPr>
      <w:b/>
      <w:caps/>
    </w:rPr>
  </w:style>
  <w:style w:type="paragraph" w:styleId="TOC2">
    <w:name w:val="toc 2"/>
    <w:basedOn w:val="BodyText"/>
    <w:semiHidden/>
    <w:rsid w:val="006A5BA7"/>
    <w:pPr>
      <w:tabs>
        <w:tab w:val="right" w:pos="8789"/>
      </w:tabs>
      <w:ind w:left="510" w:right="851" w:hanging="510"/>
      <w:jc w:val="left"/>
    </w:pPr>
    <w:rPr>
      <w:b/>
    </w:rPr>
  </w:style>
  <w:style w:type="paragraph" w:styleId="TOC4">
    <w:name w:val="toc 4"/>
    <w:basedOn w:val="TOC3"/>
    <w:semiHidden/>
    <w:rsid w:val="006A5BA7"/>
    <w:pPr>
      <w:ind w:left="1191" w:firstLine="0"/>
    </w:pPr>
  </w:style>
  <w:style w:type="paragraph" w:customStyle="1" w:styleId="BoxContinued">
    <w:name w:val="Box Continued"/>
    <w:basedOn w:val="BodyText"/>
    <w:next w:val="BodyText"/>
    <w:rsid w:val="006A5BA7"/>
    <w:pPr>
      <w:spacing w:before="180" w:line="220" w:lineRule="exact"/>
      <w:jc w:val="right"/>
    </w:pPr>
    <w:rPr>
      <w:rFonts w:ascii="Arial" w:hAnsi="Arial"/>
      <w:sz w:val="18"/>
    </w:rPr>
  </w:style>
  <w:style w:type="paragraph" w:customStyle="1" w:styleId="Continued">
    <w:name w:val="Continued"/>
    <w:basedOn w:val="BoxContinued"/>
    <w:next w:val="BodyText"/>
    <w:rsid w:val="006A5BA7"/>
  </w:style>
  <w:style w:type="paragraph" w:customStyle="1" w:styleId="BoxHeading1">
    <w:name w:val="Box Heading 1"/>
    <w:basedOn w:val="BodyText"/>
    <w:next w:val="Box"/>
    <w:rsid w:val="006A5BA7"/>
    <w:pPr>
      <w:keepNext/>
      <w:spacing w:before="200" w:line="280" w:lineRule="atLeast"/>
    </w:pPr>
    <w:rPr>
      <w:rFonts w:ascii="Arial" w:hAnsi="Arial"/>
      <w:b/>
      <w:sz w:val="22"/>
    </w:rPr>
  </w:style>
  <w:style w:type="paragraph" w:customStyle="1" w:styleId="BoxHeading2">
    <w:name w:val="Box Heading 2"/>
    <w:basedOn w:val="BoxHeading1"/>
    <w:next w:val="Normal"/>
    <w:rsid w:val="006A5BA7"/>
    <w:rPr>
      <w:b w:val="0"/>
      <w:i/>
    </w:rPr>
  </w:style>
  <w:style w:type="character" w:styleId="Hyperlink">
    <w:name w:val="Hyperlink"/>
    <w:rsid w:val="00A33B72"/>
    <w:rPr>
      <w:color w:val="0000FF"/>
      <w:u w:val="single"/>
    </w:rPr>
  </w:style>
  <w:style w:type="paragraph" w:styleId="NormalWeb">
    <w:name w:val="Normal (Web)"/>
    <w:basedOn w:val="Normal"/>
    <w:rsid w:val="00DF1186"/>
    <w:pPr>
      <w:spacing w:before="100" w:beforeAutospacing="1" w:after="100" w:afterAutospacing="1"/>
    </w:pPr>
    <w:rPr>
      <w:rFonts w:ascii="Arial" w:hAnsi="Arial" w:cs="Arial"/>
      <w:color w:val="000000"/>
      <w:sz w:val="24"/>
      <w:lang w:eastAsia="ko-KR"/>
    </w:rPr>
  </w:style>
  <w:style w:type="paragraph" w:styleId="Date">
    <w:name w:val="Date"/>
    <w:basedOn w:val="Normal"/>
    <w:next w:val="Normal"/>
    <w:rsid w:val="007C70D7"/>
  </w:style>
  <w:style w:type="character" w:customStyle="1" w:styleId="BodyTextChar">
    <w:name w:val="Body Text Char"/>
    <w:link w:val="BodyText"/>
    <w:rsid w:val="00263F5E"/>
    <w:rPr>
      <w:sz w:val="26"/>
    </w:rPr>
  </w:style>
  <w:style w:type="character" w:customStyle="1" w:styleId="ListBullet2Char">
    <w:name w:val="List Bullet 2 Char"/>
    <w:basedOn w:val="BodyTextChar"/>
    <w:link w:val="ListBullet2"/>
    <w:rsid w:val="00263F5E"/>
    <w:rPr>
      <w:sz w:val="26"/>
    </w:rPr>
  </w:style>
  <w:style w:type="character" w:customStyle="1" w:styleId="BoxListBulletChar">
    <w:name w:val="Box List Bullet Char"/>
    <w:link w:val="BoxListBullet"/>
    <w:rsid w:val="00243287"/>
    <w:rPr>
      <w:rFonts w:ascii="Arial" w:hAnsi="Arial"/>
      <w:sz w:val="22"/>
    </w:rPr>
  </w:style>
  <w:style w:type="character" w:customStyle="1" w:styleId="BoxListBullet2Char">
    <w:name w:val="Box List Bullet 2 Char"/>
    <w:link w:val="BoxListBullet2"/>
    <w:rsid w:val="00243287"/>
    <w:rPr>
      <w:rFonts w:ascii="Arial" w:hAnsi="Arial"/>
      <w:sz w:val="22"/>
    </w:rPr>
  </w:style>
  <w:style w:type="paragraph" w:styleId="BalloonText">
    <w:name w:val="Balloon Text"/>
    <w:basedOn w:val="Normal"/>
    <w:link w:val="BalloonTextChar"/>
    <w:rsid w:val="006A5BA7"/>
    <w:rPr>
      <w:rFonts w:ascii="Tahoma" w:hAnsi="Tahoma" w:cs="Tahoma"/>
      <w:sz w:val="16"/>
      <w:szCs w:val="16"/>
    </w:rPr>
  </w:style>
  <w:style w:type="character" w:customStyle="1" w:styleId="CharChar">
    <w:name w:val="Char Char"/>
    <w:rsid w:val="00144BF7"/>
    <w:rPr>
      <w:color w:val="000000"/>
      <w:sz w:val="26"/>
      <w:lang w:val="en-AU" w:eastAsia="en-US" w:bidi="ar-SA"/>
    </w:rPr>
  </w:style>
  <w:style w:type="paragraph" w:customStyle="1" w:styleId="Jurisdictioncommentsbodytext">
    <w:name w:val="Jurisdiction comments body text"/>
    <w:rsid w:val="006A5BA7"/>
    <w:pPr>
      <w:spacing w:after="140"/>
      <w:jc w:val="both"/>
    </w:pPr>
    <w:rPr>
      <w:rFonts w:ascii="Arial" w:hAnsi="Arial"/>
      <w:sz w:val="24"/>
      <w:lang w:eastAsia="en-US"/>
    </w:rPr>
  </w:style>
  <w:style w:type="paragraph" w:customStyle="1" w:styleId="Jurisdictioncommentsheading">
    <w:name w:val="Jurisdiction comments heading"/>
    <w:rsid w:val="006A5BA7"/>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6A5BA7"/>
    <w:pPr>
      <w:numPr>
        <w:numId w:val="12"/>
      </w:numPr>
      <w:spacing w:after="140"/>
      <w:jc w:val="both"/>
    </w:pPr>
    <w:rPr>
      <w:rFonts w:ascii="Arial" w:hAnsi="Arial"/>
      <w:sz w:val="24"/>
      <w:lang w:eastAsia="en-US"/>
    </w:rPr>
  </w:style>
  <w:style w:type="character" w:styleId="Emphasis">
    <w:name w:val="Emphasis"/>
    <w:basedOn w:val="DefaultParagraphFont"/>
    <w:rsid w:val="006A5BA7"/>
    <w:rPr>
      <w:i/>
      <w:iCs/>
    </w:rPr>
  </w:style>
  <w:style w:type="paragraph" w:styleId="Title">
    <w:name w:val="Title"/>
    <w:basedOn w:val="Normal"/>
    <w:qFormat/>
    <w:rsid w:val="006C2C28"/>
    <w:pPr>
      <w:spacing w:after="120"/>
      <w:jc w:val="center"/>
    </w:pPr>
    <w:rPr>
      <w:b/>
      <w:bCs/>
      <w:sz w:val="20"/>
    </w:rPr>
  </w:style>
  <w:style w:type="character" w:customStyle="1" w:styleId="searchword">
    <w:name w:val="searchword"/>
    <w:basedOn w:val="DefaultParagraphFont"/>
    <w:rsid w:val="00432EFB"/>
  </w:style>
  <w:style w:type="paragraph" w:customStyle="1" w:styleId="RecBBullet2">
    <w:name w:val="RecB Bullet 2"/>
    <w:basedOn w:val="ListBullet2"/>
    <w:semiHidden/>
    <w:rsid w:val="006A5BA7"/>
    <w:pPr>
      <w:pBdr>
        <w:left w:val="single" w:sz="24" w:space="29" w:color="C0C0C0"/>
      </w:pBdr>
    </w:pPr>
    <w:rPr>
      <w:b/>
      <w:i/>
    </w:rPr>
  </w:style>
  <w:style w:type="character" w:customStyle="1" w:styleId="BalloonTextChar">
    <w:name w:val="Balloon Text Char"/>
    <w:basedOn w:val="DefaultParagraphFont"/>
    <w:link w:val="BalloonText"/>
    <w:rsid w:val="006A5BA7"/>
    <w:rPr>
      <w:rFonts w:ascii="Tahoma" w:hAnsi="Tahoma" w:cs="Tahoma"/>
      <w:sz w:val="16"/>
      <w:szCs w:val="16"/>
    </w:rPr>
  </w:style>
  <w:style w:type="character" w:customStyle="1" w:styleId="SubtitleChar">
    <w:name w:val="Subtitle Char"/>
    <w:basedOn w:val="DefaultParagraphFont"/>
    <w:link w:val="Subtitle"/>
    <w:rsid w:val="006A5BA7"/>
    <w:rPr>
      <w:rFonts w:ascii="Arial" w:hAnsi="Arial"/>
      <w:szCs w:val="24"/>
    </w:rPr>
  </w:style>
  <w:style w:type="paragraph" w:customStyle="1" w:styleId="BoxListBullet3">
    <w:name w:val="Box List Bullet 3"/>
    <w:basedOn w:val="ListBullet3"/>
    <w:rsid w:val="006A5BA7"/>
    <w:pPr>
      <w:numPr>
        <w:numId w:val="17"/>
      </w:numPr>
      <w:tabs>
        <w:tab w:val="left" w:pos="907"/>
      </w:tabs>
      <w:spacing w:before="60" w:line="280" w:lineRule="atLeast"/>
      <w:ind w:left="907" w:hanging="340"/>
    </w:pPr>
    <w:rPr>
      <w:rFonts w:ascii="Arial" w:hAnsi="Arial"/>
      <w:sz w:val="22"/>
    </w:rPr>
  </w:style>
  <w:style w:type="paragraph" w:customStyle="1" w:styleId="BoxQuoteBullet">
    <w:name w:val="Box Quote Bullet"/>
    <w:basedOn w:val="BoxQuote"/>
    <w:next w:val="Box"/>
    <w:rsid w:val="006A5BA7"/>
    <w:pPr>
      <w:numPr>
        <w:numId w:val="15"/>
      </w:numPr>
      <w:ind w:left="568" w:hanging="284"/>
    </w:pPr>
  </w:style>
  <w:style w:type="paragraph" w:customStyle="1" w:styleId="InformationRequestBullet">
    <w:name w:val="Information Request Bullet"/>
    <w:basedOn w:val="ListBullet"/>
    <w:next w:val="BodyText"/>
    <w:rsid w:val="006A5BA7"/>
    <w:pPr>
      <w:numPr>
        <w:numId w:val="16"/>
      </w:numPr>
      <w:ind w:left="340" w:hanging="340"/>
    </w:pPr>
    <w:rPr>
      <w:rFonts w:ascii="Arial" w:hAnsi="Arial"/>
      <w:i/>
      <w:sz w:val="24"/>
    </w:rPr>
  </w:style>
  <w:style w:type="paragraph" w:customStyle="1" w:styleId="BoxSpaceAbove">
    <w:name w:val="Box Space Above"/>
    <w:basedOn w:val="BodyText"/>
    <w:rsid w:val="006A5BA7"/>
    <w:pPr>
      <w:keepNext/>
      <w:spacing w:before="360" w:line="80" w:lineRule="exact"/>
      <w:jc w:val="left"/>
    </w:pPr>
  </w:style>
  <w:style w:type="paragraph" w:customStyle="1" w:styleId="BoxSpaceBelow">
    <w:name w:val="Box Space Below"/>
    <w:basedOn w:val="Box"/>
    <w:rsid w:val="006A5BA7"/>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713320">
      <w:bodyDiv w:val="1"/>
      <w:marLeft w:val="0"/>
      <w:marRight w:val="0"/>
      <w:marTop w:val="0"/>
      <w:marBottom w:val="0"/>
      <w:divBdr>
        <w:top w:val="none" w:sz="0" w:space="0" w:color="auto"/>
        <w:left w:val="none" w:sz="0" w:space="0" w:color="auto"/>
        <w:bottom w:val="none" w:sz="0" w:space="0" w:color="auto"/>
        <w:right w:val="none" w:sz="0" w:space="0" w:color="auto"/>
      </w:divBdr>
    </w:div>
    <w:div w:id="442574166">
      <w:bodyDiv w:val="1"/>
      <w:marLeft w:val="0"/>
      <w:marRight w:val="0"/>
      <w:marTop w:val="0"/>
      <w:marBottom w:val="0"/>
      <w:divBdr>
        <w:top w:val="none" w:sz="0" w:space="0" w:color="auto"/>
        <w:left w:val="none" w:sz="0" w:space="0" w:color="auto"/>
        <w:bottom w:val="none" w:sz="0" w:space="0" w:color="auto"/>
        <w:right w:val="none" w:sz="0" w:space="0" w:color="auto"/>
      </w:divBdr>
      <w:divsChild>
        <w:div w:id="1244799209">
          <w:marLeft w:val="2925"/>
          <w:marRight w:val="0"/>
          <w:marTop w:val="0"/>
          <w:marBottom w:val="0"/>
          <w:divBdr>
            <w:top w:val="none" w:sz="0" w:space="0" w:color="auto"/>
            <w:left w:val="none" w:sz="0" w:space="0" w:color="auto"/>
            <w:bottom w:val="none" w:sz="0" w:space="0" w:color="auto"/>
            <w:right w:val="none" w:sz="0" w:space="0" w:color="auto"/>
          </w:divBdr>
          <w:divsChild>
            <w:div w:id="1848713821">
              <w:marLeft w:val="0"/>
              <w:marRight w:val="0"/>
              <w:marTop w:val="0"/>
              <w:marBottom w:val="0"/>
              <w:divBdr>
                <w:top w:val="none" w:sz="0" w:space="0" w:color="auto"/>
                <w:left w:val="none" w:sz="0" w:space="0" w:color="auto"/>
                <w:bottom w:val="none" w:sz="0" w:space="0" w:color="auto"/>
                <w:right w:val="none" w:sz="0" w:space="0" w:color="auto"/>
              </w:divBdr>
              <w:divsChild>
                <w:div w:id="1144156744">
                  <w:marLeft w:val="0"/>
                  <w:marRight w:val="0"/>
                  <w:marTop w:val="0"/>
                  <w:marBottom w:val="0"/>
                  <w:divBdr>
                    <w:top w:val="none" w:sz="0" w:space="0" w:color="auto"/>
                    <w:left w:val="none" w:sz="0" w:space="0" w:color="auto"/>
                    <w:bottom w:val="none" w:sz="0" w:space="0" w:color="auto"/>
                    <w:right w:val="none" w:sz="0" w:space="0" w:color="auto"/>
                  </w:divBdr>
                  <w:divsChild>
                    <w:div w:id="761102240">
                      <w:marLeft w:val="0"/>
                      <w:marRight w:val="0"/>
                      <w:marTop w:val="0"/>
                      <w:marBottom w:val="0"/>
                      <w:divBdr>
                        <w:top w:val="none" w:sz="0" w:space="0" w:color="auto"/>
                        <w:left w:val="none" w:sz="0" w:space="0" w:color="auto"/>
                        <w:bottom w:val="none" w:sz="0" w:space="0" w:color="auto"/>
                        <w:right w:val="none" w:sz="0" w:space="0" w:color="auto"/>
                      </w:divBdr>
                      <w:divsChild>
                        <w:div w:id="1593850545">
                          <w:marLeft w:val="0"/>
                          <w:marRight w:val="0"/>
                          <w:marTop w:val="0"/>
                          <w:marBottom w:val="0"/>
                          <w:divBdr>
                            <w:top w:val="none" w:sz="0" w:space="0" w:color="auto"/>
                            <w:left w:val="none" w:sz="0" w:space="0" w:color="auto"/>
                            <w:bottom w:val="none" w:sz="0" w:space="0" w:color="auto"/>
                            <w:right w:val="none" w:sz="0" w:space="0" w:color="auto"/>
                          </w:divBdr>
                          <w:divsChild>
                            <w:div w:id="66728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0267828">
      <w:bodyDiv w:val="1"/>
      <w:marLeft w:val="0"/>
      <w:marRight w:val="0"/>
      <w:marTop w:val="0"/>
      <w:marBottom w:val="0"/>
      <w:divBdr>
        <w:top w:val="none" w:sz="0" w:space="0" w:color="auto"/>
        <w:left w:val="none" w:sz="0" w:space="0" w:color="auto"/>
        <w:bottom w:val="none" w:sz="0" w:space="0" w:color="auto"/>
        <w:right w:val="none" w:sz="0" w:space="0" w:color="auto"/>
      </w:divBdr>
      <w:divsChild>
        <w:div w:id="148716602">
          <w:marLeft w:val="2925"/>
          <w:marRight w:val="0"/>
          <w:marTop w:val="0"/>
          <w:marBottom w:val="0"/>
          <w:divBdr>
            <w:top w:val="none" w:sz="0" w:space="0" w:color="auto"/>
            <w:left w:val="none" w:sz="0" w:space="0" w:color="auto"/>
            <w:bottom w:val="none" w:sz="0" w:space="0" w:color="auto"/>
            <w:right w:val="none" w:sz="0" w:space="0" w:color="auto"/>
          </w:divBdr>
          <w:divsChild>
            <w:div w:id="1837648391">
              <w:marLeft w:val="0"/>
              <w:marRight w:val="0"/>
              <w:marTop w:val="0"/>
              <w:marBottom w:val="0"/>
              <w:divBdr>
                <w:top w:val="none" w:sz="0" w:space="0" w:color="auto"/>
                <w:left w:val="none" w:sz="0" w:space="0" w:color="auto"/>
                <w:bottom w:val="none" w:sz="0" w:space="0" w:color="auto"/>
                <w:right w:val="none" w:sz="0" w:space="0" w:color="auto"/>
              </w:divBdr>
              <w:divsChild>
                <w:div w:id="842403113">
                  <w:marLeft w:val="0"/>
                  <w:marRight w:val="0"/>
                  <w:marTop w:val="0"/>
                  <w:marBottom w:val="0"/>
                  <w:divBdr>
                    <w:top w:val="none" w:sz="0" w:space="0" w:color="auto"/>
                    <w:left w:val="none" w:sz="0" w:space="0" w:color="auto"/>
                    <w:bottom w:val="none" w:sz="0" w:space="0" w:color="auto"/>
                    <w:right w:val="none" w:sz="0" w:space="0" w:color="auto"/>
                  </w:divBdr>
                  <w:divsChild>
                    <w:div w:id="1412384841">
                      <w:marLeft w:val="0"/>
                      <w:marRight w:val="0"/>
                      <w:marTop w:val="0"/>
                      <w:marBottom w:val="0"/>
                      <w:divBdr>
                        <w:top w:val="none" w:sz="0" w:space="0" w:color="auto"/>
                        <w:left w:val="none" w:sz="0" w:space="0" w:color="auto"/>
                        <w:bottom w:val="none" w:sz="0" w:space="0" w:color="auto"/>
                        <w:right w:val="none" w:sz="0" w:space="0" w:color="auto"/>
                      </w:divBdr>
                      <w:divsChild>
                        <w:div w:id="934021133">
                          <w:marLeft w:val="0"/>
                          <w:marRight w:val="0"/>
                          <w:marTop w:val="0"/>
                          <w:marBottom w:val="0"/>
                          <w:divBdr>
                            <w:top w:val="none" w:sz="0" w:space="0" w:color="auto"/>
                            <w:left w:val="none" w:sz="0" w:space="0" w:color="auto"/>
                            <w:bottom w:val="none" w:sz="0" w:space="0" w:color="auto"/>
                            <w:right w:val="none" w:sz="0" w:space="0" w:color="auto"/>
                          </w:divBdr>
                          <w:divsChild>
                            <w:div w:id="113587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8415160">
      <w:bodyDiv w:val="1"/>
      <w:marLeft w:val="0"/>
      <w:marRight w:val="0"/>
      <w:marTop w:val="0"/>
      <w:marBottom w:val="0"/>
      <w:divBdr>
        <w:top w:val="none" w:sz="0" w:space="0" w:color="auto"/>
        <w:left w:val="none" w:sz="0" w:space="0" w:color="auto"/>
        <w:bottom w:val="none" w:sz="0" w:space="0" w:color="auto"/>
        <w:right w:val="none" w:sz="0" w:space="0" w:color="auto"/>
      </w:divBdr>
      <w:divsChild>
        <w:div w:id="890730095">
          <w:marLeft w:val="0"/>
          <w:marRight w:val="0"/>
          <w:marTop w:val="0"/>
          <w:marBottom w:val="0"/>
          <w:divBdr>
            <w:top w:val="none" w:sz="0" w:space="0" w:color="auto"/>
            <w:left w:val="none" w:sz="0" w:space="0" w:color="auto"/>
            <w:bottom w:val="none" w:sz="0" w:space="0" w:color="auto"/>
            <w:right w:val="none" w:sz="0" w:space="0" w:color="auto"/>
          </w:divBdr>
        </w:div>
      </w:divsChild>
    </w:div>
    <w:div w:id="689840656">
      <w:bodyDiv w:val="1"/>
      <w:marLeft w:val="0"/>
      <w:marRight w:val="0"/>
      <w:marTop w:val="0"/>
      <w:marBottom w:val="0"/>
      <w:divBdr>
        <w:top w:val="none" w:sz="0" w:space="0" w:color="auto"/>
        <w:left w:val="none" w:sz="0" w:space="0" w:color="auto"/>
        <w:bottom w:val="none" w:sz="0" w:space="0" w:color="auto"/>
        <w:right w:val="none" w:sz="0" w:space="0" w:color="auto"/>
      </w:divBdr>
      <w:divsChild>
        <w:div w:id="1931812253">
          <w:marLeft w:val="2925"/>
          <w:marRight w:val="0"/>
          <w:marTop w:val="0"/>
          <w:marBottom w:val="0"/>
          <w:divBdr>
            <w:top w:val="none" w:sz="0" w:space="0" w:color="auto"/>
            <w:left w:val="none" w:sz="0" w:space="0" w:color="auto"/>
            <w:bottom w:val="none" w:sz="0" w:space="0" w:color="auto"/>
            <w:right w:val="none" w:sz="0" w:space="0" w:color="auto"/>
          </w:divBdr>
          <w:divsChild>
            <w:div w:id="1402096001">
              <w:marLeft w:val="0"/>
              <w:marRight w:val="0"/>
              <w:marTop w:val="0"/>
              <w:marBottom w:val="0"/>
              <w:divBdr>
                <w:top w:val="none" w:sz="0" w:space="0" w:color="auto"/>
                <w:left w:val="none" w:sz="0" w:space="0" w:color="auto"/>
                <w:bottom w:val="none" w:sz="0" w:space="0" w:color="auto"/>
                <w:right w:val="none" w:sz="0" w:space="0" w:color="auto"/>
              </w:divBdr>
              <w:divsChild>
                <w:div w:id="1475247021">
                  <w:marLeft w:val="0"/>
                  <w:marRight w:val="0"/>
                  <w:marTop w:val="0"/>
                  <w:marBottom w:val="0"/>
                  <w:divBdr>
                    <w:top w:val="none" w:sz="0" w:space="0" w:color="auto"/>
                    <w:left w:val="none" w:sz="0" w:space="0" w:color="auto"/>
                    <w:bottom w:val="none" w:sz="0" w:space="0" w:color="auto"/>
                    <w:right w:val="none" w:sz="0" w:space="0" w:color="auto"/>
                  </w:divBdr>
                  <w:divsChild>
                    <w:div w:id="930046041">
                      <w:marLeft w:val="0"/>
                      <w:marRight w:val="0"/>
                      <w:marTop w:val="0"/>
                      <w:marBottom w:val="0"/>
                      <w:divBdr>
                        <w:top w:val="none" w:sz="0" w:space="0" w:color="auto"/>
                        <w:left w:val="none" w:sz="0" w:space="0" w:color="auto"/>
                        <w:bottom w:val="none" w:sz="0" w:space="0" w:color="auto"/>
                        <w:right w:val="none" w:sz="0" w:space="0" w:color="auto"/>
                      </w:divBdr>
                      <w:divsChild>
                        <w:div w:id="1442918645">
                          <w:marLeft w:val="0"/>
                          <w:marRight w:val="0"/>
                          <w:marTop w:val="0"/>
                          <w:marBottom w:val="0"/>
                          <w:divBdr>
                            <w:top w:val="none" w:sz="0" w:space="0" w:color="auto"/>
                            <w:left w:val="none" w:sz="0" w:space="0" w:color="auto"/>
                            <w:bottom w:val="none" w:sz="0" w:space="0" w:color="auto"/>
                            <w:right w:val="none" w:sz="0" w:space="0" w:color="auto"/>
                          </w:divBdr>
                          <w:divsChild>
                            <w:div w:id="44034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0396927">
      <w:bodyDiv w:val="1"/>
      <w:marLeft w:val="0"/>
      <w:marRight w:val="0"/>
      <w:marTop w:val="0"/>
      <w:marBottom w:val="0"/>
      <w:divBdr>
        <w:top w:val="none" w:sz="0" w:space="0" w:color="auto"/>
        <w:left w:val="none" w:sz="0" w:space="0" w:color="auto"/>
        <w:bottom w:val="none" w:sz="0" w:space="0" w:color="auto"/>
        <w:right w:val="none" w:sz="0" w:space="0" w:color="auto"/>
      </w:divBdr>
      <w:divsChild>
        <w:div w:id="918708065">
          <w:marLeft w:val="2442"/>
          <w:marRight w:val="0"/>
          <w:marTop w:val="0"/>
          <w:marBottom w:val="0"/>
          <w:divBdr>
            <w:top w:val="none" w:sz="0" w:space="0" w:color="auto"/>
            <w:left w:val="none" w:sz="0" w:space="0" w:color="auto"/>
            <w:bottom w:val="none" w:sz="0" w:space="0" w:color="auto"/>
            <w:right w:val="none" w:sz="0" w:space="0" w:color="auto"/>
          </w:divBdr>
          <w:divsChild>
            <w:div w:id="1378163265">
              <w:marLeft w:val="0"/>
              <w:marRight w:val="0"/>
              <w:marTop w:val="0"/>
              <w:marBottom w:val="0"/>
              <w:divBdr>
                <w:top w:val="none" w:sz="0" w:space="0" w:color="auto"/>
                <w:left w:val="none" w:sz="0" w:space="0" w:color="auto"/>
                <w:bottom w:val="none" w:sz="0" w:space="0" w:color="auto"/>
                <w:right w:val="none" w:sz="0" w:space="0" w:color="auto"/>
              </w:divBdr>
              <w:divsChild>
                <w:div w:id="1929582566">
                  <w:marLeft w:val="0"/>
                  <w:marRight w:val="0"/>
                  <w:marTop w:val="0"/>
                  <w:marBottom w:val="0"/>
                  <w:divBdr>
                    <w:top w:val="none" w:sz="0" w:space="0" w:color="auto"/>
                    <w:left w:val="none" w:sz="0" w:space="0" w:color="auto"/>
                    <w:bottom w:val="none" w:sz="0" w:space="0" w:color="auto"/>
                    <w:right w:val="none" w:sz="0" w:space="0" w:color="auto"/>
                  </w:divBdr>
                  <w:divsChild>
                    <w:div w:id="2132897699">
                      <w:marLeft w:val="0"/>
                      <w:marRight w:val="0"/>
                      <w:marTop w:val="0"/>
                      <w:marBottom w:val="0"/>
                      <w:divBdr>
                        <w:top w:val="none" w:sz="0" w:space="0" w:color="auto"/>
                        <w:left w:val="none" w:sz="0" w:space="0" w:color="auto"/>
                        <w:bottom w:val="none" w:sz="0" w:space="0" w:color="auto"/>
                        <w:right w:val="none" w:sz="0" w:space="0" w:color="auto"/>
                      </w:divBdr>
                      <w:divsChild>
                        <w:div w:id="3068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0979981">
      <w:bodyDiv w:val="1"/>
      <w:marLeft w:val="0"/>
      <w:marRight w:val="0"/>
      <w:marTop w:val="0"/>
      <w:marBottom w:val="0"/>
      <w:divBdr>
        <w:top w:val="none" w:sz="0" w:space="0" w:color="auto"/>
        <w:left w:val="none" w:sz="0" w:space="0" w:color="auto"/>
        <w:bottom w:val="none" w:sz="0" w:space="0" w:color="auto"/>
        <w:right w:val="none" w:sz="0" w:space="0" w:color="auto"/>
      </w:divBdr>
      <w:divsChild>
        <w:div w:id="1176576277">
          <w:marLeft w:val="2925"/>
          <w:marRight w:val="0"/>
          <w:marTop w:val="0"/>
          <w:marBottom w:val="0"/>
          <w:divBdr>
            <w:top w:val="none" w:sz="0" w:space="0" w:color="auto"/>
            <w:left w:val="none" w:sz="0" w:space="0" w:color="auto"/>
            <w:bottom w:val="none" w:sz="0" w:space="0" w:color="auto"/>
            <w:right w:val="none" w:sz="0" w:space="0" w:color="auto"/>
          </w:divBdr>
          <w:divsChild>
            <w:div w:id="1099258264">
              <w:marLeft w:val="0"/>
              <w:marRight w:val="0"/>
              <w:marTop w:val="0"/>
              <w:marBottom w:val="0"/>
              <w:divBdr>
                <w:top w:val="none" w:sz="0" w:space="0" w:color="auto"/>
                <w:left w:val="none" w:sz="0" w:space="0" w:color="auto"/>
                <w:bottom w:val="none" w:sz="0" w:space="0" w:color="auto"/>
                <w:right w:val="none" w:sz="0" w:space="0" w:color="auto"/>
              </w:divBdr>
              <w:divsChild>
                <w:div w:id="82532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351302">
      <w:bodyDiv w:val="1"/>
      <w:marLeft w:val="0"/>
      <w:marRight w:val="0"/>
      <w:marTop w:val="0"/>
      <w:marBottom w:val="0"/>
      <w:divBdr>
        <w:top w:val="none" w:sz="0" w:space="0" w:color="auto"/>
        <w:left w:val="none" w:sz="0" w:space="0" w:color="auto"/>
        <w:bottom w:val="none" w:sz="0" w:space="0" w:color="auto"/>
        <w:right w:val="none" w:sz="0" w:space="0" w:color="auto"/>
      </w:divBdr>
      <w:divsChild>
        <w:div w:id="2108193375">
          <w:marLeft w:val="2925"/>
          <w:marRight w:val="0"/>
          <w:marTop w:val="0"/>
          <w:marBottom w:val="0"/>
          <w:divBdr>
            <w:top w:val="none" w:sz="0" w:space="0" w:color="auto"/>
            <w:left w:val="none" w:sz="0" w:space="0" w:color="auto"/>
            <w:bottom w:val="none" w:sz="0" w:space="0" w:color="auto"/>
            <w:right w:val="none" w:sz="0" w:space="0" w:color="auto"/>
          </w:divBdr>
          <w:divsChild>
            <w:div w:id="2116166398">
              <w:marLeft w:val="0"/>
              <w:marRight w:val="0"/>
              <w:marTop w:val="0"/>
              <w:marBottom w:val="0"/>
              <w:divBdr>
                <w:top w:val="none" w:sz="0" w:space="0" w:color="auto"/>
                <w:left w:val="none" w:sz="0" w:space="0" w:color="auto"/>
                <w:bottom w:val="none" w:sz="0" w:space="0" w:color="auto"/>
                <w:right w:val="none" w:sz="0" w:space="0" w:color="auto"/>
              </w:divBdr>
              <w:divsChild>
                <w:div w:id="683093926">
                  <w:marLeft w:val="0"/>
                  <w:marRight w:val="0"/>
                  <w:marTop w:val="0"/>
                  <w:marBottom w:val="0"/>
                  <w:divBdr>
                    <w:top w:val="none" w:sz="0" w:space="0" w:color="auto"/>
                    <w:left w:val="none" w:sz="0" w:space="0" w:color="auto"/>
                    <w:bottom w:val="none" w:sz="0" w:space="0" w:color="auto"/>
                    <w:right w:val="none" w:sz="0" w:space="0" w:color="auto"/>
                  </w:divBdr>
                  <w:divsChild>
                    <w:div w:id="1841773400">
                      <w:marLeft w:val="0"/>
                      <w:marRight w:val="0"/>
                      <w:marTop w:val="0"/>
                      <w:marBottom w:val="0"/>
                      <w:divBdr>
                        <w:top w:val="none" w:sz="0" w:space="0" w:color="auto"/>
                        <w:left w:val="none" w:sz="0" w:space="0" w:color="auto"/>
                        <w:bottom w:val="none" w:sz="0" w:space="0" w:color="auto"/>
                        <w:right w:val="none" w:sz="0" w:space="0" w:color="auto"/>
                      </w:divBdr>
                      <w:divsChild>
                        <w:div w:id="1546873136">
                          <w:marLeft w:val="0"/>
                          <w:marRight w:val="0"/>
                          <w:marTop w:val="0"/>
                          <w:marBottom w:val="0"/>
                          <w:divBdr>
                            <w:top w:val="none" w:sz="0" w:space="0" w:color="auto"/>
                            <w:left w:val="none" w:sz="0" w:space="0" w:color="auto"/>
                            <w:bottom w:val="none" w:sz="0" w:space="0" w:color="auto"/>
                            <w:right w:val="none" w:sz="0" w:space="0" w:color="auto"/>
                          </w:divBdr>
                          <w:divsChild>
                            <w:div w:id="112184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2732691">
      <w:bodyDiv w:val="1"/>
      <w:marLeft w:val="0"/>
      <w:marRight w:val="0"/>
      <w:marTop w:val="0"/>
      <w:marBottom w:val="0"/>
      <w:divBdr>
        <w:top w:val="none" w:sz="0" w:space="0" w:color="auto"/>
        <w:left w:val="none" w:sz="0" w:space="0" w:color="auto"/>
        <w:bottom w:val="none" w:sz="0" w:space="0" w:color="auto"/>
        <w:right w:val="none" w:sz="0" w:space="0" w:color="auto"/>
      </w:divBdr>
      <w:divsChild>
        <w:div w:id="759763621">
          <w:marLeft w:val="2925"/>
          <w:marRight w:val="0"/>
          <w:marTop w:val="0"/>
          <w:marBottom w:val="0"/>
          <w:divBdr>
            <w:top w:val="none" w:sz="0" w:space="0" w:color="auto"/>
            <w:left w:val="none" w:sz="0" w:space="0" w:color="auto"/>
            <w:bottom w:val="none" w:sz="0" w:space="0" w:color="auto"/>
            <w:right w:val="none" w:sz="0" w:space="0" w:color="auto"/>
          </w:divBdr>
          <w:divsChild>
            <w:div w:id="1818493419">
              <w:marLeft w:val="0"/>
              <w:marRight w:val="0"/>
              <w:marTop w:val="0"/>
              <w:marBottom w:val="0"/>
              <w:divBdr>
                <w:top w:val="none" w:sz="0" w:space="0" w:color="auto"/>
                <w:left w:val="none" w:sz="0" w:space="0" w:color="auto"/>
                <w:bottom w:val="none" w:sz="0" w:space="0" w:color="auto"/>
                <w:right w:val="none" w:sz="0" w:space="0" w:color="auto"/>
              </w:divBdr>
              <w:divsChild>
                <w:div w:id="491484177">
                  <w:marLeft w:val="0"/>
                  <w:marRight w:val="0"/>
                  <w:marTop w:val="0"/>
                  <w:marBottom w:val="0"/>
                  <w:divBdr>
                    <w:top w:val="none" w:sz="0" w:space="0" w:color="auto"/>
                    <w:left w:val="none" w:sz="0" w:space="0" w:color="auto"/>
                    <w:bottom w:val="none" w:sz="0" w:space="0" w:color="auto"/>
                    <w:right w:val="none" w:sz="0" w:space="0" w:color="auto"/>
                  </w:divBdr>
                  <w:divsChild>
                    <w:div w:id="2107800539">
                      <w:marLeft w:val="0"/>
                      <w:marRight w:val="0"/>
                      <w:marTop w:val="0"/>
                      <w:marBottom w:val="0"/>
                      <w:divBdr>
                        <w:top w:val="none" w:sz="0" w:space="0" w:color="auto"/>
                        <w:left w:val="none" w:sz="0" w:space="0" w:color="auto"/>
                        <w:bottom w:val="none" w:sz="0" w:space="0" w:color="auto"/>
                        <w:right w:val="none" w:sz="0" w:space="0" w:color="auto"/>
                      </w:divBdr>
                      <w:divsChild>
                        <w:div w:id="182388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0072259">
      <w:bodyDiv w:val="1"/>
      <w:marLeft w:val="0"/>
      <w:marRight w:val="0"/>
      <w:marTop w:val="0"/>
      <w:marBottom w:val="0"/>
      <w:divBdr>
        <w:top w:val="none" w:sz="0" w:space="0" w:color="auto"/>
        <w:left w:val="none" w:sz="0" w:space="0" w:color="auto"/>
        <w:bottom w:val="none" w:sz="0" w:space="0" w:color="auto"/>
        <w:right w:val="none" w:sz="0" w:space="0" w:color="auto"/>
      </w:divBdr>
      <w:divsChild>
        <w:div w:id="653146381">
          <w:marLeft w:val="2925"/>
          <w:marRight w:val="0"/>
          <w:marTop w:val="0"/>
          <w:marBottom w:val="0"/>
          <w:divBdr>
            <w:top w:val="none" w:sz="0" w:space="0" w:color="auto"/>
            <w:left w:val="none" w:sz="0" w:space="0" w:color="auto"/>
            <w:bottom w:val="none" w:sz="0" w:space="0" w:color="auto"/>
            <w:right w:val="none" w:sz="0" w:space="0" w:color="auto"/>
          </w:divBdr>
          <w:divsChild>
            <w:div w:id="1293905522">
              <w:marLeft w:val="0"/>
              <w:marRight w:val="0"/>
              <w:marTop w:val="0"/>
              <w:marBottom w:val="0"/>
              <w:divBdr>
                <w:top w:val="none" w:sz="0" w:space="0" w:color="auto"/>
                <w:left w:val="none" w:sz="0" w:space="0" w:color="auto"/>
                <w:bottom w:val="none" w:sz="0" w:space="0" w:color="auto"/>
                <w:right w:val="none" w:sz="0" w:space="0" w:color="auto"/>
              </w:divBdr>
              <w:divsChild>
                <w:div w:id="83769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726092">
      <w:bodyDiv w:val="1"/>
      <w:marLeft w:val="0"/>
      <w:marRight w:val="0"/>
      <w:marTop w:val="0"/>
      <w:marBottom w:val="0"/>
      <w:divBdr>
        <w:top w:val="none" w:sz="0" w:space="0" w:color="auto"/>
        <w:left w:val="none" w:sz="0" w:space="0" w:color="auto"/>
        <w:bottom w:val="none" w:sz="0" w:space="0" w:color="auto"/>
        <w:right w:val="none" w:sz="0" w:space="0" w:color="auto"/>
      </w:divBdr>
    </w:div>
    <w:div w:id="1704869046">
      <w:bodyDiv w:val="1"/>
      <w:marLeft w:val="0"/>
      <w:marRight w:val="0"/>
      <w:marTop w:val="0"/>
      <w:marBottom w:val="0"/>
      <w:divBdr>
        <w:top w:val="none" w:sz="0" w:space="0" w:color="auto"/>
        <w:left w:val="none" w:sz="0" w:space="0" w:color="auto"/>
        <w:bottom w:val="none" w:sz="0" w:space="0" w:color="auto"/>
        <w:right w:val="none" w:sz="0" w:space="0" w:color="auto"/>
      </w:divBdr>
      <w:divsChild>
        <w:div w:id="1510099125">
          <w:marLeft w:val="0"/>
          <w:marRight w:val="0"/>
          <w:marTop w:val="0"/>
          <w:marBottom w:val="0"/>
          <w:divBdr>
            <w:top w:val="none" w:sz="0" w:space="0" w:color="auto"/>
            <w:left w:val="none" w:sz="0" w:space="0" w:color="auto"/>
            <w:bottom w:val="none" w:sz="0" w:space="0" w:color="auto"/>
            <w:right w:val="none" w:sz="0" w:space="0" w:color="auto"/>
          </w:divBdr>
          <w:divsChild>
            <w:div w:id="1762531048">
              <w:marLeft w:val="0"/>
              <w:marRight w:val="0"/>
              <w:marTop w:val="0"/>
              <w:marBottom w:val="0"/>
              <w:divBdr>
                <w:top w:val="none" w:sz="0" w:space="0" w:color="auto"/>
                <w:left w:val="none" w:sz="0" w:space="0" w:color="auto"/>
                <w:bottom w:val="none" w:sz="0" w:space="0" w:color="auto"/>
                <w:right w:val="none" w:sz="0" w:space="0" w:color="auto"/>
              </w:divBdr>
              <w:divsChild>
                <w:div w:id="1508599317">
                  <w:marLeft w:val="0"/>
                  <w:marRight w:val="0"/>
                  <w:marTop w:val="0"/>
                  <w:marBottom w:val="0"/>
                  <w:divBdr>
                    <w:top w:val="none" w:sz="0" w:space="0" w:color="auto"/>
                    <w:left w:val="none" w:sz="0" w:space="0" w:color="auto"/>
                    <w:bottom w:val="none" w:sz="0" w:space="0" w:color="auto"/>
                    <w:right w:val="none" w:sz="0" w:space="0" w:color="auto"/>
                  </w:divBdr>
                  <w:divsChild>
                    <w:div w:id="17391872">
                      <w:marLeft w:val="0"/>
                      <w:marRight w:val="0"/>
                      <w:marTop w:val="0"/>
                      <w:marBottom w:val="0"/>
                      <w:divBdr>
                        <w:top w:val="none" w:sz="0" w:space="0" w:color="auto"/>
                        <w:left w:val="none" w:sz="0" w:space="0" w:color="auto"/>
                        <w:bottom w:val="none" w:sz="0" w:space="0" w:color="auto"/>
                        <w:right w:val="none" w:sz="0" w:space="0" w:color="auto"/>
                      </w:divBdr>
                      <w:divsChild>
                        <w:div w:id="342824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F83340-E3CF-4E3E-AFCC-03A2E6019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19</TotalTime>
  <Pages>12</Pages>
  <Words>3228</Words>
  <Characters>19991</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Supporting research and related activities</vt:lpstr>
    </vt:vector>
  </TitlesOfParts>
  <Company>GB</Company>
  <LinksUpToDate>false</LinksUpToDate>
  <CharactersWithSpaces>23173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Supporting research and related activities</dc:title>
  <dc:subject>Annual Report 2011-12</dc:subject>
  <dc:creator>Productivity Commission</dc:creator>
  <cp:keywords/>
  <dc:description>E.</dc:description>
  <cp:lastModifiedBy>Horsfall, Tracey</cp:lastModifiedBy>
  <cp:revision>33</cp:revision>
  <cp:lastPrinted>2012-10-16T04:51:00Z</cp:lastPrinted>
  <dcterms:created xsi:type="dcterms:W3CDTF">2012-07-26T01:07:00Z</dcterms:created>
  <dcterms:modified xsi:type="dcterms:W3CDTF">2012-10-25T03:30:00Z</dcterms:modified>
</cp:coreProperties>
</file>

<file path=docProps/custom.xml><?xml version="1.0" encoding="utf-8"?>
<Properties xmlns="http://schemas.openxmlformats.org/officeDocument/2006/custom-properties" xmlns:vt="http://schemas.openxmlformats.org/officeDocument/2006/docPropsVTypes"/>
</file>