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54" w:rsidRDefault="00615454" w:rsidP="00615454">
      <w:pPr>
        <w:pStyle w:val="Heading2"/>
      </w:pPr>
      <w:bookmarkStart w:id="0" w:name="_GoBack"/>
      <w:bookmarkEnd w:id="0"/>
      <w:r>
        <w:t>Erratum — Looking Back on Structural Change in Australia: 2002–2012</w:t>
      </w:r>
    </w:p>
    <w:p w:rsidR="00615454" w:rsidRPr="00645D73" w:rsidRDefault="00615454" w:rsidP="00615454">
      <w:pPr>
        <w:pStyle w:val="BodyText"/>
      </w:pPr>
      <w:r>
        <w:t>The following page replaces page 104 in chapter 5 of the technical supplement.</w:t>
      </w:r>
    </w:p>
    <w:p w:rsidR="00615454" w:rsidRDefault="00615454" w:rsidP="003C1263">
      <w:pPr>
        <w:pStyle w:val="BodyText"/>
        <w:spacing w:before="0"/>
        <w:sectPr w:rsidR="00615454" w:rsidSect="0089285E">
          <w:headerReference w:type="even" r:id="rId9"/>
          <w:headerReference w:type="default" r:id="rId10"/>
          <w:footerReference w:type="even" r:id="rId11"/>
          <w:footerReference w:type="default" r:id="rId12"/>
          <w:footnotePr>
            <w:numStart w:val="43"/>
          </w:footnotePr>
          <w:pgSz w:w="11907" w:h="16840" w:code="9"/>
          <w:pgMar w:top="1985" w:right="1304" w:bottom="1418" w:left="1814" w:header="1701" w:footer="567" w:gutter="0"/>
          <w:pgNumType w:start="1" w:chapSep="period"/>
          <w:cols w:space="720"/>
        </w:sectPr>
      </w:pPr>
    </w:p>
    <w:p w:rsidR="00D77923" w:rsidRDefault="00915B99" w:rsidP="003C1263">
      <w:pPr>
        <w:pStyle w:val="BodyText"/>
        <w:spacing w:before="0"/>
      </w:pPr>
      <w:r>
        <w:lastRenderedPageBreak/>
        <w:t>categories are traditionally used to represent workers’ skill levels.)</w:t>
      </w:r>
      <w:r w:rsidRPr="008C7C68">
        <w:t xml:space="preserve"> </w:t>
      </w:r>
      <w:r w:rsidRPr="004A7B04">
        <w:t>I</w:t>
      </w:r>
      <w:r>
        <w:t>n general,</w:t>
      </w:r>
      <w:r w:rsidRPr="004A7B04">
        <w:t xml:space="preserve"> the sectors requi</w:t>
      </w:r>
      <w:r>
        <w:t>ring proportionally the most highly</w:t>
      </w:r>
      <w:r>
        <w:noBreakHyphen/>
      </w:r>
      <w:r w:rsidRPr="004A7B04">
        <w:t>skilled workers</w:t>
      </w:r>
      <w:r w:rsidR="00B33F8C">
        <w:t xml:space="preserve"> (Managers and P</w:t>
      </w:r>
      <w:r w:rsidR="00B33F8C" w:rsidRPr="004A7B04">
        <w:t>rofessionals</w:t>
      </w:r>
      <w:r w:rsidR="00B33F8C">
        <w:t>)</w:t>
      </w:r>
      <w:r w:rsidR="00B33F8C" w:rsidRPr="004A7B04">
        <w:t xml:space="preserve"> </w:t>
      </w:r>
      <w:r w:rsidRPr="004A7B04">
        <w:t>are business services and social servi</w:t>
      </w:r>
      <w:r>
        <w:t xml:space="preserve">ces. Within these sectors, </w:t>
      </w:r>
      <w:r w:rsidR="00B33F8C">
        <w:t xml:space="preserve">these occupations </w:t>
      </w:r>
      <w:r>
        <w:t xml:space="preserve">together </w:t>
      </w:r>
      <w:r w:rsidRPr="004A7B04">
        <w:t>constitute at least half of the workforce.</w:t>
      </w:r>
      <w:r w:rsidR="00872231">
        <w:t xml:space="preserve"> </w:t>
      </w:r>
      <w:r w:rsidR="00D77923">
        <w:t>When comparing 2001 and 2010,</w:t>
      </w:r>
      <w:r w:rsidR="00D77923" w:rsidRPr="004A7B04">
        <w:t xml:space="preserve"> </w:t>
      </w:r>
      <w:r w:rsidR="00D77923">
        <w:t xml:space="preserve">the sector with the largest proportional decrease in its </w:t>
      </w:r>
      <w:r w:rsidR="00B33F8C">
        <w:t>lowest</w:t>
      </w:r>
      <w:r w:rsidR="00D77923">
        <w:noBreakHyphen/>
        <w:t>skilled workforce</w:t>
      </w:r>
      <w:r w:rsidR="00B33F8C">
        <w:t xml:space="preserve"> (Machinery operators and drivers and Labourers)</w:t>
      </w:r>
      <w:r w:rsidR="00D77923">
        <w:t xml:space="preserve"> was manufacturing. </w:t>
      </w:r>
      <w:r w:rsidR="006900F3">
        <w:t>This indicates that net job losses in that sector comprised mainly lower-skilled jobs</w:t>
      </w:r>
      <w:r w:rsidR="00D77923">
        <w:t>.</w:t>
      </w:r>
    </w:p>
    <w:p w:rsidR="00915B99" w:rsidRPr="004A7B04" w:rsidRDefault="00915B99" w:rsidP="00915B99">
      <w:pPr>
        <w:pStyle w:val="FigureTitle"/>
        <w:rPr>
          <w:position w:val="6"/>
          <w:sz w:val="18"/>
        </w:rPr>
      </w:pPr>
      <w:r w:rsidRPr="00EF3627">
        <w:rPr>
          <w:b w:val="0"/>
        </w:rPr>
        <w:t xml:space="preserve">Figure </w:t>
      </w:r>
      <w:bookmarkStart w:id="1" w:name="OLE_LINK15"/>
      <w:r>
        <w:rPr>
          <w:b w:val="0"/>
        </w:rPr>
        <w:t>5.</w:t>
      </w:r>
      <w:r>
        <w:rPr>
          <w:b w:val="0"/>
          <w:noProof/>
        </w:rPr>
        <w:t>6</w:t>
      </w:r>
      <w:bookmarkEnd w:id="1"/>
      <w:r w:rsidRPr="004A7B04">
        <w:tab/>
        <w:t>Change in occupational composition of sectors,</w:t>
      </w:r>
      <w:r>
        <w:br/>
      </w:r>
      <w:r w:rsidRPr="004A7B04">
        <w:t>2001 and 2010</w:t>
      </w:r>
      <w:r w:rsidRPr="004A7B04">
        <w:rPr>
          <w:position w:val="6"/>
          <w:sz w:val="18"/>
        </w:rPr>
        <w:t>a</w:t>
      </w:r>
      <w:r>
        <w:rPr>
          <w:position w:val="6"/>
          <w:sz w:val="18"/>
        </w:rPr>
        <w:t>, b, c, d</w:t>
      </w:r>
    </w:p>
    <w:p w:rsidR="00915B99" w:rsidRPr="004A7B04" w:rsidRDefault="00915B99" w:rsidP="00915B99">
      <w:pPr>
        <w:pStyle w:val="Subtitle"/>
      </w:pPr>
      <w:r>
        <w:t>Percentage of workers in each occupation, within each sector</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915B99" w:rsidRPr="004A7B04" w:rsidTr="00C2095C">
        <w:tc>
          <w:tcPr>
            <w:tcW w:w="8777" w:type="dxa"/>
          </w:tcPr>
          <w:p w:rsidR="00915B99" w:rsidRPr="004A7B04" w:rsidRDefault="003241C4">
            <w:pPr>
              <w:keepNext/>
              <w:spacing w:before="120" w:after="120" w:line="240" w:lineRule="atLeast"/>
              <w:jc w:val="center"/>
              <w:rPr>
                <w:noProof/>
                <w:szCs w:val="20"/>
              </w:rPr>
            </w:pPr>
            <w:r>
              <w:rPr>
                <w:noProof/>
                <w:szCs w:val="20"/>
              </w:rPr>
              <w:drawing>
                <wp:inline distT="0" distB="0" distL="0" distR="0">
                  <wp:extent cx="5373370" cy="2725420"/>
                  <wp:effectExtent l="0" t="0" r="0" b="0"/>
                  <wp:docPr id="1" name="Picture 1" descr="This figures shows the occupational composition of each sector. The composition in 2001, which is represented by the first vertical bar for each sector, is compared to the composition in 2010, which is represented by the second vertical bar. The five broad occupational categories are managers, followed by professionals, followed by technicians and trades workers, followed by community and personal services, clerical and administrative and sales workers, followed by machinery operators, drivers and labou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3370" cy="2725420"/>
                          </a:xfrm>
                          <a:prstGeom prst="rect">
                            <a:avLst/>
                          </a:prstGeom>
                          <a:noFill/>
                          <a:ln>
                            <a:noFill/>
                          </a:ln>
                        </pic:spPr>
                      </pic:pic>
                    </a:graphicData>
                  </a:graphic>
                </wp:inline>
              </w:drawing>
            </w:r>
          </w:p>
        </w:tc>
      </w:tr>
    </w:tbl>
    <w:p w:rsidR="00915B99" w:rsidRPr="004A7B04" w:rsidRDefault="00915B99" w:rsidP="00915B99">
      <w:pPr>
        <w:pStyle w:val="Note"/>
      </w:pPr>
      <w:r w:rsidRPr="00EF3627">
        <w:rPr>
          <w:rStyle w:val="NoteLabel"/>
        </w:rPr>
        <w:t>a</w:t>
      </w:r>
      <w:r w:rsidRPr="004A7B04">
        <w:t xml:space="preserve"> For each sector, the left bar refers to 2001 while the right bar refers to 2010. </w:t>
      </w:r>
      <w:r>
        <w:t>Similar occupational categories have been grouped together to retain a sufficiently large sample size. From highest</w:t>
      </w:r>
      <w:r>
        <w:noBreakHyphen/>
        <w:t>skilled to lowest</w:t>
      </w:r>
      <w:r>
        <w:noBreakHyphen/>
        <w:t xml:space="preserve">skilled, occupations are approximately ranked in the following order: Managers and Professionals; Technicians and trades workers; Community and personal services, Clerical and administrative, and Sales workers; Machinery Operators and Drivers; and Labourers (ABS 2006a).  </w:t>
      </w:r>
      <w:r>
        <w:rPr>
          <w:rStyle w:val="NoteLabel"/>
        </w:rPr>
        <w:t>b</w:t>
      </w:r>
      <w:r w:rsidRPr="004A7B04">
        <w:t xml:space="preserve"> Agriculture is excluded because of the high proportion of o</w:t>
      </w:r>
      <w:r>
        <w:t>wner</w:t>
      </w:r>
      <w:r>
        <w:noBreakHyphen/>
        <w:t xml:space="preserve">managers in this industry.  </w:t>
      </w:r>
      <w:r>
        <w:rPr>
          <w:rStyle w:val="NoteLabel"/>
        </w:rPr>
        <w:t>c</w:t>
      </w:r>
      <w:r w:rsidRPr="004A7B04">
        <w:t xml:space="preserve"> </w:t>
      </w:r>
      <w:r>
        <w:t>Estimates refer to the working</w:t>
      </w:r>
      <w:r>
        <w:noBreakHyphen/>
        <w:t>age population (15–</w:t>
      </w:r>
      <w:r>
        <w:softHyphen/>
        <w:t>64 years) and are population</w:t>
      </w:r>
      <w:r>
        <w:noBreakHyphen/>
        <w:t xml:space="preserve">weighted.  </w:t>
      </w:r>
      <w:r>
        <w:rPr>
          <w:rStyle w:val="NoteLabel"/>
        </w:rPr>
        <w:t>d</w:t>
      </w:r>
      <w:r w:rsidRPr="004A7B04">
        <w:t xml:space="preserve"> </w:t>
      </w:r>
      <w:r>
        <w:t>Sectors are defined in appendix A.</w:t>
      </w:r>
    </w:p>
    <w:p w:rsidR="00915B99" w:rsidRDefault="00915B99" w:rsidP="00915B99">
      <w:pPr>
        <w:pStyle w:val="Source"/>
      </w:pPr>
      <w:r w:rsidRPr="004A7B04">
        <w:rPr>
          <w:i/>
        </w:rPr>
        <w:t>Source</w:t>
      </w:r>
      <w:r w:rsidRPr="004A7B04">
        <w:t xml:space="preserve">: </w:t>
      </w:r>
      <w:r>
        <w:t>Productivity Commission</w:t>
      </w:r>
      <w:r w:rsidRPr="004A7B04">
        <w:t xml:space="preserve"> </w:t>
      </w:r>
      <w:r>
        <w:t>estimates</w:t>
      </w:r>
      <w:r w:rsidRPr="004A7B04">
        <w:t xml:space="preserve"> using HILDA Survey 2001–2010 U</w:t>
      </w:r>
      <w:r>
        <w:t>nconfidentialised Release 10.1.</w:t>
      </w:r>
    </w:p>
    <w:p w:rsidR="00B33F8C" w:rsidRDefault="0070016B" w:rsidP="003C1263">
      <w:pPr>
        <w:pStyle w:val="BodyText"/>
      </w:pPr>
      <w:r>
        <w:t>At the same time, within the rapidly</w:t>
      </w:r>
      <w:r>
        <w:noBreakHyphen/>
        <w:t xml:space="preserve">growing mining sector, the proportion of workers in the </w:t>
      </w:r>
      <w:r w:rsidR="00FB199A">
        <w:t>lowest</w:t>
      </w:r>
      <w:r>
        <w:noBreakHyphen/>
        <w:t xml:space="preserve">skilled occupations was expanding. This is likely to reflect the types of </w:t>
      </w:r>
      <w:r w:rsidR="00B33F8C">
        <w:t>labour</w:t>
      </w:r>
      <w:r>
        <w:t xml:space="preserve"> required during the construction phase of the resources boom. These observation</w:t>
      </w:r>
      <w:r w:rsidR="006A26A9">
        <w:t>s</w:t>
      </w:r>
      <w:r>
        <w:t xml:space="preserve"> also suggest that the boom </w:t>
      </w:r>
      <w:r w:rsidR="00872231">
        <w:t>created</w:t>
      </w:r>
      <w:r>
        <w:t xml:space="preserve"> job</w:t>
      </w:r>
      <w:r w:rsidR="00B33F8C">
        <w:t>s</w:t>
      </w:r>
      <w:r>
        <w:t xml:space="preserve"> for lower</w:t>
      </w:r>
      <w:r w:rsidR="00A578FD">
        <w:noBreakHyphen/>
      </w:r>
      <w:r>
        <w:t>skilled workers who were no longer required in other industries. As discussed in chapter 6</w:t>
      </w:r>
      <w:r w:rsidR="00872231">
        <w:t xml:space="preserve">, </w:t>
      </w:r>
      <w:r w:rsidR="00B33F8C">
        <w:t>many</w:t>
      </w:r>
      <w:r>
        <w:t xml:space="preserve"> of the workers joining the mining sector </w:t>
      </w:r>
      <w:r w:rsidR="00872231">
        <w:t>appear to have come</w:t>
      </w:r>
      <w:r>
        <w:t xml:space="preserve"> from manufacturing</w:t>
      </w:r>
      <w:r w:rsidR="00B33F8C">
        <w:t>, as expected given the broad similarity of skills required.</w:t>
      </w:r>
    </w:p>
    <w:sectPr w:rsidR="00B33F8C" w:rsidSect="00615454">
      <w:footnotePr>
        <w:numStart w:val="43"/>
      </w:footnotePr>
      <w:type w:val="evenPage"/>
      <w:pgSz w:w="11907" w:h="16840" w:code="9"/>
      <w:pgMar w:top="1985" w:right="1304" w:bottom="1418" w:left="1814" w:header="1701" w:footer="56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B99" w:rsidRDefault="00915B99">
      <w:r>
        <w:separator/>
      </w:r>
    </w:p>
  </w:endnote>
  <w:endnote w:type="continuationSeparator" w:id="0">
    <w:p w:rsidR="00915B99" w:rsidRDefault="0091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096E55">
      <w:trPr>
        <w:trHeight w:hRule="exact" w:val="740"/>
      </w:trPr>
      <w:tc>
        <w:tcPr>
          <w:tcW w:w="510" w:type="dxa"/>
          <w:tcBorders>
            <w:top w:val="single" w:sz="6" w:space="0" w:color="auto"/>
          </w:tcBorders>
        </w:tcPr>
        <w:p w:rsidR="00096E55" w:rsidRDefault="003C5E25" w:rsidP="0019293B">
          <w:pPr>
            <w:pStyle w:val="Footer"/>
            <w:tabs>
              <w:tab w:val="left" w:pos="0"/>
            </w:tabs>
            <w:ind w:right="0"/>
            <w:rPr>
              <w:rStyle w:val="PageNumber"/>
            </w:rPr>
          </w:pPr>
          <w:r>
            <w:rPr>
              <w:rStyle w:val="PageNumber"/>
            </w:rPr>
            <w:t>104</w:t>
          </w:r>
        </w:p>
      </w:tc>
      <w:tc>
        <w:tcPr>
          <w:tcW w:w="1644" w:type="dxa"/>
          <w:tcBorders>
            <w:top w:val="single" w:sz="6" w:space="0" w:color="auto"/>
          </w:tcBorders>
        </w:tcPr>
        <w:p w:rsidR="00096E55" w:rsidRDefault="003241C4" w:rsidP="0019293B">
          <w:pPr>
            <w:pStyle w:val="Footer"/>
          </w:pPr>
          <w:fldSimple w:instr=" SUBJECT  \* MERGEFORMAT ">
            <w:r w:rsidR="00615454">
              <w:t>Looking back on structural change</w:t>
            </w:r>
          </w:fldSimple>
        </w:p>
      </w:tc>
      <w:tc>
        <w:tcPr>
          <w:tcW w:w="6634" w:type="dxa"/>
        </w:tcPr>
        <w:p w:rsidR="00096E55" w:rsidRDefault="00096E55" w:rsidP="0019293B">
          <w:pPr>
            <w:pStyle w:val="Footer"/>
          </w:pPr>
        </w:p>
      </w:tc>
    </w:tr>
  </w:tbl>
  <w:p w:rsidR="00096E55" w:rsidRDefault="00096E5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096E55">
      <w:trPr>
        <w:trHeight w:hRule="exact" w:val="740"/>
      </w:trPr>
      <w:tc>
        <w:tcPr>
          <w:tcW w:w="6634" w:type="dxa"/>
        </w:tcPr>
        <w:p w:rsidR="00096E55" w:rsidRDefault="00096E55">
          <w:pPr>
            <w:pStyle w:val="Footer"/>
            <w:ind w:right="360" w:firstLine="360"/>
          </w:pPr>
        </w:p>
      </w:tc>
      <w:tc>
        <w:tcPr>
          <w:tcW w:w="1644" w:type="dxa"/>
          <w:tcBorders>
            <w:top w:val="single" w:sz="6" w:space="0" w:color="auto"/>
          </w:tcBorders>
        </w:tcPr>
        <w:p w:rsidR="00096E55" w:rsidRDefault="00096E55">
          <w:pPr>
            <w:pStyle w:val="Footer"/>
          </w:pPr>
        </w:p>
      </w:tc>
      <w:tc>
        <w:tcPr>
          <w:tcW w:w="510" w:type="dxa"/>
          <w:tcBorders>
            <w:top w:val="single" w:sz="6" w:space="0" w:color="auto"/>
          </w:tcBorders>
        </w:tcPr>
        <w:p w:rsidR="00096E55" w:rsidRDefault="00096E55" w:rsidP="00780589">
          <w:pPr>
            <w:pStyle w:val="Footer"/>
            <w:tabs>
              <w:tab w:val="left" w:pos="187"/>
              <w:tab w:val="right" w:pos="504"/>
            </w:tabs>
          </w:pPr>
        </w:p>
      </w:tc>
    </w:tr>
  </w:tbl>
  <w:p w:rsidR="00096E55" w:rsidRDefault="00096E5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B99" w:rsidRDefault="00915B99">
      <w:r>
        <w:separator/>
      </w:r>
    </w:p>
  </w:footnote>
  <w:footnote w:type="continuationSeparator" w:id="0">
    <w:p w:rsidR="00915B99" w:rsidRDefault="00915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96E55">
      <w:tc>
        <w:tcPr>
          <w:tcW w:w="2155" w:type="dxa"/>
          <w:tcBorders>
            <w:top w:val="single" w:sz="24" w:space="0" w:color="auto"/>
          </w:tcBorders>
        </w:tcPr>
        <w:p w:rsidR="00096E55" w:rsidRDefault="00096E55" w:rsidP="0019293B">
          <w:pPr>
            <w:pStyle w:val="HeaderEven"/>
          </w:pPr>
        </w:p>
      </w:tc>
      <w:tc>
        <w:tcPr>
          <w:tcW w:w="6634" w:type="dxa"/>
          <w:tcBorders>
            <w:top w:val="single" w:sz="6" w:space="0" w:color="auto"/>
          </w:tcBorders>
        </w:tcPr>
        <w:p w:rsidR="00096E55" w:rsidRDefault="00096E55" w:rsidP="0019293B">
          <w:pPr>
            <w:pStyle w:val="HeaderEven"/>
          </w:pPr>
        </w:p>
      </w:tc>
    </w:tr>
  </w:tbl>
  <w:p w:rsidR="00096E55" w:rsidRDefault="00096E5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96E55">
      <w:tc>
        <w:tcPr>
          <w:tcW w:w="6634" w:type="dxa"/>
          <w:tcBorders>
            <w:top w:val="single" w:sz="6" w:space="0" w:color="auto"/>
          </w:tcBorders>
        </w:tcPr>
        <w:p w:rsidR="00096E55" w:rsidRDefault="00096E55" w:rsidP="00E669E2">
          <w:pPr>
            <w:pStyle w:val="HeaderOdd"/>
          </w:pPr>
        </w:p>
      </w:tc>
      <w:tc>
        <w:tcPr>
          <w:tcW w:w="2155" w:type="dxa"/>
          <w:tcBorders>
            <w:top w:val="single" w:sz="24" w:space="0" w:color="auto"/>
          </w:tcBorders>
        </w:tcPr>
        <w:p w:rsidR="00096E55" w:rsidRDefault="00096E55" w:rsidP="00E669E2">
          <w:pPr>
            <w:pStyle w:val="HeaderOdd"/>
          </w:pPr>
        </w:p>
      </w:tc>
    </w:tr>
  </w:tbl>
  <w:p w:rsidR="00096E55" w:rsidRDefault="00096E5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8">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1">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4">
    <w:nsid w:val="51F74561"/>
    <w:multiLevelType w:val="singleLevel"/>
    <w:tmpl w:val="ED98921A"/>
    <w:lvl w:ilvl="0">
      <w:start w:val="1"/>
      <w:numFmt w:val="decimal"/>
      <w:lvlText w:val="%1."/>
      <w:legacy w:legacy="1" w:legacySpace="0" w:legacyIndent="340"/>
      <w:lvlJc w:val="left"/>
      <w:pPr>
        <w:ind w:left="340" w:hanging="340"/>
      </w:pPr>
    </w:lvl>
  </w:abstractNum>
  <w:abstractNum w:abstractNumId="2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7">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28">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9">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nsid w:val="5A096576"/>
    <w:multiLevelType w:val="singleLevel"/>
    <w:tmpl w:val="ED98921A"/>
    <w:lvl w:ilvl="0">
      <w:start w:val="1"/>
      <w:numFmt w:val="decimal"/>
      <w:lvlText w:val="%1."/>
      <w:legacy w:legacy="1" w:legacySpace="0" w:legacyIndent="340"/>
      <w:lvlJc w:val="left"/>
      <w:pPr>
        <w:ind w:left="340" w:hanging="340"/>
      </w:pPr>
    </w:lvl>
  </w:abstractNum>
  <w:abstractNum w:abstractNumId="32">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0055F7F"/>
    <w:multiLevelType w:val="singleLevel"/>
    <w:tmpl w:val="ED98921A"/>
    <w:lvl w:ilvl="0">
      <w:start w:val="1"/>
      <w:numFmt w:val="decimal"/>
      <w:lvlText w:val="%1."/>
      <w:legacy w:legacy="1" w:legacySpace="0" w:legacyIndent="340"/>
      <w:lvlJc w:val="left"/>
      <w:pPr>
        <w:ind w:left="340" w:hanging="340"/>
      </w:pPr>
    </w:lvl>
  </w:abstractNum>
  <w:abstractNum w:abstractNumId="34">
    <w:nsid w:val="608E741E"/>
    <w:multiLevelType w:val="singleLevel"/>
    <w:tmpl w:val="ED98921A"/>
    <w:lvl w:ilvl="0">
      <w:start w:val="1"/>
      <w:numFmt w:val="decimal"/>
      <w:lvlText w:val="%1."/>
      <w:legacy w:legacy="1" w:legacySpace="0" w:legacyIndent="340"/>
      <w:lvlJc w:val="left"/>
      <w:pPr>
        <w:ind w:left="340" w:hanging="340"/>
      </w:pPr>
    </w:lvl>
  </w:abstractNum>
  <w:abstractNum w:abstractNumId="35">
    <w:nsid w:val="61320C1E"/>
    <w:multiLevelType w:val="singleLevel"/>
    <w:tmpl w:val="C444122C"/>
    <w:lvl w:ilvl="0">
      <w:start w:val="1"/>
      <w:numFmt w:val="decimal"/>
      <w:lvlText w:val="%1."/>
      <w:legacy w:legacy="1" w:legacySpace="0" w:legacyIndent="284"/>
      <w:lvlJc w:val="left"/>
      <w:pPr>
        <w:ind w:left="284" w:hanging="284"/>
      </w:pPr>
    </w:lvl>
  </w:abstractNum>
  <w:abstractNum w:abstractNumId="36">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37">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8">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39">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0">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2">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3">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4">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0"/>
  </w:num>
  <w:num w:numId="3">
    <w:abstractNumId w:val="42"/>
  </w:num>
  <w:num w:numId="4">
    <w:abstractNumId w:val="7"/>
  </w:num>
  <w:num w:numId="5">
    <w:abstractNumId w:val="5"/>
  </w:num>
  <w:num w:numId="6">
    <w:abstractNumId w:val="25"/>
  </w:num>
  <w:num w:numId="7">
    <w:abstractNumId w:val="3"/>
  </w:num>
  <w:num w:numId="8">
    <w:abstractNumId w:val="9"/>
  </w:num>
  <w:num w:numId="9">
    <w:abstractNumId w:val="2"/>
  </w:num>
  <w:num w:numId="10">
    <w:abstractNumId w:val="37"/>
  </w:num>
  <w:num w:numId="11">
    <w:abstractNumId w:val="4"/>
  </w:num>
  <w:num w:numId="12">
    <w:abstractNumId w:val="1"/>
  </w:num>
  <w:num w:numId="13">
    <w:abstractNumId w:val="0"/>
  </w:num>
  <w:num w:numId="14">
    <w:abstractNumId w:val="28"/>
  </w:num>
  <w:num w:numId="15">
    <w:abstractNumId w:val="43"/>
  </w:num>
  <w:num w:numId="16">
    <w:abstractNumId w:val="17"/>
  </w:num>
  <w:num w:numId="17">
    <w:abstractNumId w:val="16"/>
  </w:num>
  <w:num w:numId="18">
    <w:abstractNumId w:val="26"/>
  </w:num>
  <w:num w:numId="19">
    <w:abstractNumId w:val="12"/>
  </w:num>
  <w:num w:numId="20">
    <w:abstractNumId w:val="34"/>
  </w:num>
  <w:num w:numId="21">
    <w:abstractNumId w:val="36"/>
  </w:num>
  <w:num w:numId="22">
    <w:abstractNumId w:val="24"/>
  </w:num>
  <w:num w:numId="23">
    <w:abstractNumId w:val="27"/>
  </w:num>
  <w:num w:numId="24">
    <w:abstractNumId w:val="29"/>
  </w:num>
  <w:num w:numId="25">
    <w:abstractNumId w:val="41"/>
  </w:num>
  <w:num w:numId="26">
    <w:abstractNumId w:val="33"/>
  </w:num>
  <w:num w:numId="27">
    <w:abstractNumId w:val="38"/>
  </w:num>
  <w:num w:numId="28">
    <w:abstractNumId w:val="39"/>
  </w:num>
  <w:num w:numId="29">
    <w:abstractNumId w:val="31"/>
  </w:num>
  <w:num w:numId="30">
    <w:abstractNumId w:val="21"/>
  </w:num>
  <w:num w:numId="31">
    <w:abstractNumId w:val="44"/>
  </w:num>
  <w:num w:numId="32">
    <w:abstractNumId w:val="15"/>
  </w:num>
  <w:num w:numId="33">
    <w:abstractNumId w:val="8"/>
  </w:num>
  <w:num w:numId="34">
    <w:abstractNumId w:val="18"/>
  </w:num>
  <w:num w:numId="35">
    <w:abstractNumId w:val="40"/>
  </w:num>
  <w:num w:numId="36">
    <w:abstractNumId w:val="32"/>
  </w:num>
  <w:num w:numId="37">
    <w:abstractNumId w:val="13"/>
  </w:num>
  <w:num w:numId="38">
    <w:abstractNumId w:val="35"/>
  </w:num>
  <w:num w:numId="39">
    <w:abstractNumId w:val="14"/>
  </w:num>
  <w:num w:numId="40">
    <w:abstractNumId w:val="17"/>
  </w:num>
  <w:num w:numId="41">
    <w:abstractNumId w:val="9"/>
  </w:num>
  <w:num w:numId="42">
    <w:abstractNumId w:val="23"/>
  </w:num>
  <w:num w:numId="43">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4">
    <w:abstractNumId w:val="11"/>
  </w:num>
  <w:num w:numId="45">
    <w:abstractNumId w:val="19"/>
  </w:num>
  <w:num w:numId="46">
    <w:abstractNumId w:val="22"/>
  </w:num>
  <w:num w:numId="47">
    <w:abstractNumId w:val="10"/>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289"/>
  </w:hdrShapeDefaults>
  <w:footnotePr>
    <w:numStart w:val="4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Looking back on structural change"/>
  </w:docVars>
  <w:rsids>
    <w:rsidRoot w:val="00915B99"/>
    <w:rsid w:val="000227D5"/>
    <w:rsid w:val="000245AA"/>
    <w:rsid w:val="0003664B"/>
    <w:rsid w:val="0004111F"/>
    <w:rsid w:val="000565B3"/>
    <w:rsid w:val="00056960"/>
    <w:rsid w:val="0007150B"/>
    <w:rsid w:val="00084BA2"/>
    <w:rsid w:val="000938F5"/>
    <w:rsid w:val="00096E55"/>
    <w:rsid w:val="000A64DA"/>
    <w:rsid w:val="000B601B"/>
    <w:rsid w:val="000C207E"/>
    <w:rsid w:val="000F0035"/>
    <w:rsid w:val="000F420B"/>
    <w:rsid w:val="00110116"/>
    <w:rsid w:val="00120072"/>
    <w:rsid w:val="00126EB8"/>
    <w:rsid w:val="001274D4"/>
    <w:rsid w:val="001363AA"/>
    <w:rsid w:val="00161488"/>
    <w:rsid w:val="00183E82"/>
    <w:rsid w:val="001878BB"/>
    <w:rsid w:val="00191AE0"/>
    <w:rsid w:val="0019293B"/>
    <w:rsid w:val="0019426B"/>
    <w:rsid w:val="001A0DC2"/>
    <w:rsid w:val="001A52A1"/>
    <w:rsid w:val="001C0865"/>
    <w:rsid w:val="001C3ABA"/>
    <w:rsid w:val="001E7BE8"/>
    <w:rsid w:val="001F0248"/>
    <w:rsid w:val="001F3EB3"/>
    <w:rsid w:val="001F4F86"/>
    <w:rsid w:val="00202C2C"/>
    <w:rsid w:val="002135AB"/>
    <w:rsid w:val="002144BE"/>
    <w:rsid w:val="00242279"/>
    <w:rsid w:val="00245C82"/>
    <w:rsid w:val="00291B40"/>
    <w:rsid w:val="002B4008"/>
    <w:rsid w:val="002D0E8E"/>
    <w:rsid w:val="002F1052"/>
    <w:rsid w:val="00301189"/>
    <w:rsid w:val="00323E09"/>
    <w:rsid w:val="003241C4"/>
    <w:rsid w:val="00327E0E"/>
    <w:rsid w:val="00333932"/>
    <w:rsid w:val="00335AF3"/>
    <w:rsid w:val="003518AA"/>
    <w:rsid w:val="00352165"/>
    <w:rsid w:val="00353182"/>
    <w:rsid w:val="003565D9"/>
    <w:rsid w:val="003602E1"/>
    <w:rsid w:val="0037026F"/>
    <w:rsid w:val="00371240"/>
    <w:rsid w:val="00374731"/>
    <w:rsid w:val="00375987"/>
    <w:rsid w:val="00376E59"/>
    <w:rsid w:val="003919F9"/>
    <w:rsid w:val="003C1263"/>
    <w:rsid w:val="003C38B5"/>
    <w:rsid w:val="003C5D99"/>
    <w:rsid w:val="003C5E25"/>
    <w:rsid w:val="003E2F59"/>
    <w:rsid w:val="003F0789"/>
    <w:rsid w:val="00401882"/>
    <w:rsid w:val="004100C8"/>
    <w:rsid w:val="00411DBD"/>
    <w:rsid w:val="00412ACE"/>
    <w:rsid w:val="00431249"/>
    <w:rsid w:val="00434C19"/>
    <w:rsid w:val="0043548E"/>
    <w:rsid w:val="00450810"/>
    <w:rsid w:val="00477144"/>
    <w:rsid w:val="00491380"/>
    <w:rsid w:val="0049459F"/>
    <w:rsid w:val="004A38DD"/>
    <w:rsid w:val="004B43AE"/>
    <w:rsid w:val="004C30ED"/>
    <w:rsid w:val="004D5675"/>
    <w:rsid w:val="00523639"/>
    <w:rsid w:val="00531FE5"/>
    <w:rsid w:val="005402FA"/>
    <w:rsid w:val="00583C39"/>
    <w:rsid w:val="00587F28"/>
    <w:rsid w:val="005909CF"/>
    <w:rsid w:val="00591E71"/>
    <w:rsid w:val="005A0D41"/>
    <w:rsid w:val="00607BF1"/>
    <w:rsid w:val="00615454"/>
    <w:rsid w:val="00623892"/>
    <w:rsid w:val="00630D4D"/>
    <w:rsid w:val="00632A74"/>
    <w:rsid w:val="006373E7"/>
    <w:rsid w:val="006900F3"/>
    <w:rsid w:val="006A26A9"/>
    <w:rsid w:val="006A4655"/>
    <w:rsid w:val="006B2B3C"/>
    <w:rsid w:val="006C1D81"/>
    <w:rsid w:val="006C7038"/>
    <w:rsid w:val="006E73EF"/>
    <w:rsid w:val="0070016B"/>
    <w:rsid w:val="00711EDD"/>
    <w:rsid w:val="00714D4D"/>
    <w:rsid w:val="00727E88"/>
    <w:rsid w:val="007604BB"/>
    <w:rsid w:val="00780589"/>
    <w:rsid w:val="00785232"/>
    <w:rsid w:val="007A21EB"/>
    <w:rsid w:val="007B1A93"/>
    <w:rsid w:val="007C36C9"/>
    <w:rsid w:val="007D6401"/>
    <w:rsid w:val="007E01E4"/>
    <w:rsid w:val="007F5E43"/>
    <w:rsid w:val="007F7107"/>
    <w:rsid w:val="00800D4C"/>
    <w:rsid w:val="0081030F"/>
    <w:rsid w:val="0082087D"/>
    <w:rsid w:val="00835771"/>
    <w:rsid w:val="00842933"/>
    <w:rsid w:val="0086082C"/>
    <w:rsid w:val="00864ADC"/>
    <w:rsid w:val="00872231"/>
    <w:rsid w:val="00880153"/>
    <w:rsid w:val="00880F97"/>
    <w:rsid w:val="0088133A"/>
    <w:rsid w:val="0089285E"/>
    <w:rsid w:val="0089436C"/>
    <w:rsid w:val="008D365C"/>
    <w:rsid w:val="00902B91"/>
    <w:rsid w:val="009030BF"/>
    <w:rsid w:val="00907937"/>
    <w:rsid w:val="0091032F"/>
    <w:rsid w:val="00914368"/>
    <w:rsid w:val="00915B99"/>
    <w:rsid w:val="00931076"/>
    <w:rsid w:val="0093143B"/>
    <w:rsid w:val="009345D9"/>
    <w:rsid w:val="00934B15"/>
    <w:rsid w:val="00940C87"/>
    <w:rsid w:val="00942B62"/>
    <w:rsid w:val="0095323B"/>
    <w:rsid w:val="00956A0C"/>
    <w:rsid w:val="00956BD9"/>
    <w:rsid w:val="00961F13"/>
    <w:rsid w:val="00962489"/>
    <w:rsid w:val="00977926"/>
    <w:rsid w:val="00990C2C"/>
    <w:rsid w:val="009E1844"/>
    <w:rsid w:val="009F0D1B"/>
    <w:rsid w:val="009F696D"/>
    <w:rsid w:val="009F6BC6"/>
    <w:rsid w:val="00A17328"/>
    <w:rsid w:val="00A23A20"/>
    <w:rsid w:val="00A268B9"/>
    <w:rsid w:val="00A2703A"/>
    <w:rsid w:val="00A33DFF"/>
    <w:rsid w:val="00A34613"/>
    <w:rsid w:val="00A35115"/>
    <w:rsid w:val="00A36D9A"/>
    <w:rsid w:val="00A554AB"/>
    <w:rsid w:val="00A57062"/>
    <w:rsid w:val="00A578FD"/>
    <w:rsid w:val="00A92B53"/>
    <w:rsid w:val="00A94FA6"/>
    <w:rsid w:val="00AA49A0"/>
    <w:rsid w:val="00AA6710"/>
    <w:rsid w:val="00AB0681"/>
    <w:rsid w:val="00AD520B"/>
    <w:rsid w:val="00B33F8C"/>
    <w:rsid w:val="00B425C3"/>
    <w:rsid w:val="00B440AD"/>
    <w:rsid w:val="00B479BB"/>
    <w:rsid w:val="00B53E7E"/>
    <w:rsid w:val="00B6342E"/>
    <w:rsid w:val="00B7113F"/>
    <w:rsid w:val="00B9737D"/>
    <w:rsid w:val="00BA73B6"/>
    <w:rsid w:val="00BA7E27"/>
    <w:rsid w:val="00BB2603"/>
    <w:rsid w:val="00BB4FCD"/>
    <w:rsid w:val="00BC04E9"/>
    <w:rsid w:val="00BD13EA"/>
    <w:rsid w:val="00BE3808"/>
    <w:rsid w:val="00BF52EC"/>
    <w:rsid w:val="00C062E9"/>
    <w:rsid w:val="00C07B64"/>
    <w:rsid w:val="00C13721"/>
    <w:rsid w:val="00C14FE4"/>
    <w:rsid w:val="00C2095C"/>
    <w:rsid w:val="00C3066D"/>
    <w:rsid w:val="00C52416"/>
    <w:rsid w:val="00C543F4"/>
    <w:rsid w:val="00C6291C"/>
    <w:rsid w:val="00C633CB"/>
    <w:rsid w:val="00C63CCC"/>
    <w:rsid w:val="00C736B7"/>
    <w:rsid w:val="00C75DE0"/>
    <w:rsid w:val="00C81D4A"/>
    <w:rsid w:val="00C8762C"/>
    <w:rsid w:val="00CA00F9"/>
    <w:rsid w:val="00CA2961"/>
    <w:rsid w:val="00CB50D7"/>
    <w:rsid w:val="00CB5D7F"/>
    <w:rsid w:val="00CB7177"/>
    <w:rsid w:val="00CC1998"/>
    <w:rsid w:val="00CC4946"/>
    <w:rsid w:val="00CD586B"/>
    <w:rsid w:val="00CF451B"/>
    <w:rsid w:val="00D270A4"/>
    <w:rsid w:val="00D31FE9"/>
    <w:rsid w:val="00D34E1B"/>
    <w:rsid w:val="00D3699A"/>
    <w:rsid w:val="00D376BA"/>
    <w:rsid w:val="00D45520"/>
    <w:rsid w:val="00D45634"/>
    <w:rsid w:val="00D5568A"/>
    <w:rsid w:val="00D60470"/>
    <w:rsid w:val="00D63D73"/>
    <w:rsid w:val="00D64452"/>
    <w:rsid w:val="00D66E1E"/>
    <w:rsid w:val="00D75722"/>
    <w:rsid w:val="00D77923"/>
    <w:rsid w:val="00D80CF5"/>
    <w:rsid w:val="00D97249"/>
    <w:rsid w:val="00DA5BBA"/>
    <w:rsid w:val="00DB26D2"/>
    <w:rsid w:val="00DB67C9"/>
    <w:rsid w:val="00DC0C95"/>
    <w:rsid w:val="00DD6580"/>
    <w:rsid w:val="00E17C72"/>
    <w:rsid w:val="00E21FC6"/>
    <w:rsid w:val="00E431A9"/>
    <w:rsid w:val="00E669E2"/>
    <w:rsid w:val="00E672F5"/>
    <w:rsid w:val="00E76135"/>
    <w:rsid w:val="00E82F4F"/>
    <w:rsid w:val="00EC2844"/>
    <w:rsid w:val="00EC5500"/>
    <w:rsid w:val="00ED18F8"/>
    <w:rsid w:val="00EF6C6C"/>
    <w:rsid w:val="00F01109"/>
    <w:rsid w:val="00F056FC"/>
    <w:rsid w:val="00F10476"/>
    <w:rsid w:val="00F135D8"/>
    <w:rsid w:val="00F31299"/>
    <w:rsid w:val="00F3534A"/>
    <w:rsid w:val="00F51609"/>
    <w:rsid w:val="00F740ED"/>
    <w:rsid w:val="00F81006"/>
    <w:rsid w:val="00F85325"/>
    <w:rsid w:val="00FB199A"/>
    <w:rsid w:val="00FD22B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uiPriority="99" w:qFormat="1"/>
    <w:lsdException w:name="heading 3" w:uiPriority="99"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15B99"/>
    <w:rPr>
      <w:sz w:val="26"/>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uiPriority w:val="99"/>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uiPriority w:val="99"/>
    <w:qFormat/>
    <w:rsid w:val="00A17328"/>
    <w:pPr>
      <w:spacing w:before="560" w:line="320" w:lineRule="exact"/>
      <w:ind w:left="0" w:firstLine="0"/>
      <w:outlineLvl w:val="2"/>
    </w:pPr>
    <w:rPr>
      <w:sz w:val="26"/>
    </w:rPr>
  </w:style>
  <w:style w:type="paragraph" w:styleId="Heading4">
    <w:name w:val="heading 4"/>
    <w:basedOn w:val="Heading3"/>
    <w:next w:val="BodyText"/>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rsid w:val="009F0D1B"/>
    <w:pPr>
      <w:keepNext/>
      <w:numPr>
        <w:numId w:val="47"/>
      </w:numPr>
      <w:spacing w:before="60" w:line="280" w:lineRule="atLeast"/>
    </w:pPr>
    <w:rPr>
      <w:rFonts w:ascii="Arial" w:hAnsi="Arial"/>
      <w:sz w:val="22"/>
    </w:rPr>
  </w:style>
  <w:style w:type="paragraph" w:customStyle="1" w:styleId="BoxListNumber">
    <w:name w:val="Box List Number"/>
    <w:basedOn w:val="BodyText"/>
    <w:rsid w:val="00376E59"/>
    <w:pPr>
      <w:keepNext/>
      <w:numPr>
        <w:numId w:val="39"/>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spacing w:before="12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rPr>
      <w:sz w:val="24"/>
    </w:rPr>
  </w:style>
  <w:style w:type="paragraph" w:customStyle="1" w:styleId="QuoteBullet">
    <w:name w:val="Quote Bullet"/>
    <w:basedOn w:val="Quote"/>
    <w:rsid w:val="00323E09"/>
    <w:pPr>
      <w:numPr>
        <w:numId w:val="14"/>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15"/>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40"/>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5402FA"/>
    <w:pPr>
      <w:numPr>
        <w:numId w:val="4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45"/>
      </w:numPr>
      <w:ind w:left="568" w:hanging="284"/>
    </w:pPr>
  </w:style>
  <w:style w:type="paragraph" w:customStyle="1" w:styleId="InformationRequestBullet">
    <w:name w:val="Information Request Bullet"/>
    <w:basedOn w:val="ListBullet"/>
    <w:next w:val="BodyText"/>
    <w:rsid w:val="00BA7E27"/>
    <w:pPr>
      <w:numPr>
        <w:numId w:val="46"/>
      </w:numPr>
      <w:ind w:left="340" w:hanging="340"/>
    </w:pPr>
    <w:rPr>
      <w:rFonts w:ascii="Arial" w:hAnsi="Arial"/>
      <w:i/>
      <w:sz w:val="24"/>
    </w:rPr>
  </w:style>
  <w:style w:type="paragraph" w:customStyle="1" w:styleId="BoxSpaceBelow">
    <w:name w:val="Box Space Below"/>
    <w:basedOn w:val="Box"/>
    <w:rsid w:val="009E1844"/>
    <w:pPr>
      <w:keepNext w:val="0"/>
      <w:spacing w:before="60" w:after="60" w:line="80" w:lineRule="exact"/>
    </w:pPr>
    <w:rPr>
      <w:sz w:val="14"/>
    </w:rPr>
  </w:style>
  <w:style w:type="character" w:customStyle="1" w:styleId="Heading2Char">
    <w:name w:val="Heading 2 Char"/>
    <w:basedOn w:val="DefaultParagraphFont"/>
    <w:link w:val="Heading2"/>
    <w:uiPriority w:val="99"/>
    <w:rsid w:val="00915B99"/>
    <w:rPr>
      <w:rFonts w:ascii="Arial" w:hAnsi="Arial"/>
      <w:b/>
      <w:sz w:val="32"/>
    </w:rPr>
  </w:style>
  <w:style w:type="character" w:customStyle="1" w:styleId="Heading3Char">
    <w:name w:val="Heading 3 Char"/>
    <w:basedOn w:val="DefaultParagraphFont"/>
    <w:link w:val="Heading3"/>
    <w:uiPriority w:val="99"/>
    <w:rsid w:val="00915B99"/>
    <w:rPr>
      <w:rFonts w:ascii="Arial" w:hAnsi="Arial"/>
      <w:b/>
      <w:sz w:val="26"/>
    </w:rPr>
  </w:style>
  <w:style w:type="character" w:customStyle="1" w:styleId="BodyTextChar">
    <w:name w:val="Body Text Char"/>
    <w:basedOn w:val="DefaultParagraphFont"/>
    <w:link w:val="BodyText"/>
    <w:rsid w:val="00915B99"/>
    <w:rPr>
      <w:sz w:val="26"/>
    </w:rPr>
  </w:style>
  <w:style w:type="paragraph" w:styleId="CommentSubject">
    <w:name w:val="annotation subject"/>
    <w:basedOn w:val="CommentText"/>
    <w:next w:val="CommentText"/>
    <w:link w:val="CommentSubjectChar"/>
    <w:rsid w:val="00D45520"/>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45520"/>
    <w:rPr>
      <w:szCs w:val="24"/>
    </w:rPr>
  </w:style>
  <w:style w:type="character" w:customStyle="1" w:styleId="CommentSubjectChar">
    <w:name w:val="Comment Subject Char"/>
    <w:basedOn w:val="CommentTextChar"/>
    <w:link w:val="CommentSubject"/>
    <w:rsid w:val="00D45520"/>
    <w:rPr>
      <w:b/>
      <w:bCs/>
      <w:szCs w:val="24"/>
    </w:rPr>
  </w:style>
  <w:style w:type="paragraph" w:styleId="Revision">
    <w:name w:val="Revision"/>
    <w:hidden/>
    <w:uiPriority w:val="99"/>
    <w:semiHidden/>
    <w:rsid w:val="00727E88"/>
    <w:rPr>
      <w:sz w:val="26"/>
      <w:szCs w:val="24"/>
    </w:rPr>
  </w:style>
  <w:style w:type="character" w:styleId="Hyperlink">
    <w:name w:val="Hyperlink"/>
    <w:basedOn w:val="DefaultParagraphFont"/>
    <w:rsid w:val="00CF451B"/>
    <w:rPr>
      <w:color w:val="0000FF" w:themeColor="hyperlink"/>
      <w:u w:val="single"/>
    </w:rPr>
  </w:style>
  <w:style w:type="character" w:styleId="FollowedHyperlink">
    <w:name w:val="FollowedHyperlink"/>
    <w:basedOn w:val="DefaultParagraphFont"/>
    <w:rsid w:val="00CF451B"/>
    <w:rPr>
      <w:color w:val="800080" w:themeColor="followedHyperlink"/>
      <w:u w:val="single"/>
    </w:rPr>
  </w:style>
  <w:style w:type="table" w:styleId="TableGrid">
    <w:name w:val="Table Grid"/>
    <w:basedOn w:val="TableNormal"/>
    <w:rsid w:val="00C2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uiPriority="99" w:qFormat="1"/>
    <w:lsdException w:name="heading 3" w:uiPriority="99"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15B99"/>
    <w:rPr>
      <w:sz w:val="26"/>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uiPriority w:val="99"/>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uiPriority w:val="99"/>
    <w:qFormat/>
    <w:rsid w:val="00A17328"/>
    <w:pPr>
      <w:spacing w:before="560" w:line="320" w:lineRule="exact"/>
      <w:ind w:left="0" w:firstLine="0"/>
      <w:outlineLvl w:val="2"/>
    </w:pPr>
    <w:rPr>
      <w:sz w:val="26"/>
    </w:rPr>
  </w:style>
  <w:style w:type="paragraph" w:styleId="Heading4">
    <w:name w:val="heading 4"/>
    <w:basedOn w:val="Heading3"/>
    <w:next w:val="BodyText"/>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rsid w:val="009F0D1B"/>
    <w:pPr>
      <w:keepNext/>
      <w:numPr>
        <w:numId w:val="47"/>
      </w:numPr>
      <w:spacing w:before="60" w:line="280" w:lineRule="atLeast"/>
    </w:pPr>
    <w:rPr>
      <w:rFonts w:ascii="Arial" w:hAnsi="Arial"/>
      <w:sz w:val="22"/>
    </w:rPr>
  </w:style>
  <w:style w:type="paragraph" w:customStyle="1" w:styleId="BoxListNumber">
    <w:name w:val="Box List Number"/>
    <w:basedOn w:val="BodyText"/>
    <w:rsid w:val="00376E59"/>
    <w:pPr>
      <w:keepNext/>
      <w:numPr>
        <w:numId w:val="39"/>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spacing w:before="12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rPr>
      <w:sz w:val="24"/>
    </w:rPr>
  </w:style>
  <w:style w:type="paragraph" w:customStyle="1" w:styleId="QuoteBullet">
    <w:name w:val="Quote Bullet"/>
    <w:basedOn w:val="Quote"/>
    <w:rsid w:val="00323E09"/>
    <w:pPr>
      <w:numPr>
        <w:numId w:val="14"/>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15"/>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40"/>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5402FA"/>
    <w:pPr>
      <w:numPr>
        <w:numId w:val="4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45"/>
      </w:numPr>
      <w:ind w:left="568" w:hanging="284"/>
    </w:pPr>
  </w:style>
  <w:style w:type="paragraph" w:customStyle="1" w:styleId="InformationRequestBullet">
    <w:name w:val="Information Request Bullet"/>
    <w:basedOn w:val="ListBullet"/>
    <w:next w:val="BodyText"/>
    <w:rsid w:val="00BA7E27"/>
    <w:pPr>
      <w:numPr>
        <w:numId w:val="46"/>
      </w:numPr>
      <w:ind w:left="340" w:hanging="340"/>
    </w:pPr>
    <w:rPr>
      <w:rFonts w:ascii="Arial" w:hAnsi="Arial"/>
      <w:i/>
      <w:sz w:val="24"/>
    </w:rPr>
  </w:style>
  <w:style w:type="paragraph" w:customStyle="1" w:styleId="BoxSpaceBelow">
    <w:name w:val="Box Space Below"/>
    <w:basedOn w:val="Box"/>
    <w:rsid w:val="009E1844"/>
    <w:pPr>
      <w:keepNext w:val="0"/>
      <w:spacing w:before="60" w:after="60" w:line="80" w:lineRule="exact"/>
    </w:pPr>
    <w:rPr>
      <w:sz w:val="14"/>
    </w:rPr>
  </w:style>
  <w:style w:type="character" w:customStyle="1" w:styleId="Heading2Char">
    <w:name w:val="Heading 2 Char"/>
    <w:basedOn w:val="DefaultParagraphFont"/>
    <w:link w:val="Heading2"/>
    <w:uiPriority w:val="99"/>
    <w:rsid w:val="00915B99"/>
    <w:rPr>
      <w:rFonts w:ascii="Arial" w:hAnsi="Arial"/>
      <w:b/>
      <w:sz w:val="32"/>
    </w:rPr>
  </w:style>
  <w:style w:type="character" w:customStyle="1" w:styleId="Heading3Char">
    <w:name w:val="Heading 3 Char"/>
    <w:basedOn w:val="DefaultParagraphFont"/>
    <w:link w:val="Heading3"/>
    <w:uiPriority w:val="99"/>
    <w:rsid w:val="00915B99"/>
    <w:rPr>
      <w:rFonts w:ascii="Arial" w:hAnsi="Arial"/>
      <w:b/>
      <w:sz w:val="26"/>
    </w:rPr>
  </w:style>
  <w:style w:type="character" w:customStyle="1" w:styleId="BodyTextChar">
    <w:name w:val="Body Text Char"/>
    <w:basedOn w:val="DefaultParagraphFont"/>
    <w:link w:val="BodyText"/>
    <w:rsid w:val="00915B99"/>
    <w:rPr>
      <w:sz w:val="26"/>
    </w:rPr>
  </w:style>
  <w:style w:type="paragraph" w:styleId="CommentSubject">
    <w:name w:val="annotation subject"/>
    <w:basedOn w:val="CommentText"/>
    <w:next w:val="CommentText"/>
    <w:link w:val="CommentSubjectChar"/>
    <w:rsid w:val="00D45520"/>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45520"/>
    <w:rPr>
      <w:szCs w:val="24"/>
    </w:rPr>
  </w:style>
  <w:style w:type="character" w:customStyle="1" w:styleId="CommentSubjectChar">
    <w:name w:val="Comment Subject Char"/>
    <w:basedOn w:val="CommentTextChar"/>
    <w:link w:val="CommentSubject"/>
    <w:rsid w:val="00D45520"/>
    <w:rPr>
      <w:b/>
      <w:bCs/>
      <w:szCs w:val="24"/>
    </w:rPr>
  </w:style>
  <w:style w:type="paragraph" w:styleId="Revision">
    <w:name w:val="Revision"/>
    <w:hidden/>
    <w:uiPriority w:val="99"/>
    <w:semiHidden/>
    <w:rsid w:val="00727E88"/>
    <w:rPr>
      <w:sz w:val="26"/>
      <w:szCs w:val="24"/>
    </w:rPr>
  </w:style>
  <w:style w:type="character" w:styleId="Hyperlink">
    <w:name w:val="Hyperlink"/>
    <w:basedOn w:val="DefaultParagraphFont"/>
    <w:rsid w:val="00CF451B"/>
    <w:rPr>
      <w:color w:val="0000FF" w:themeColor="hyperlink"/>
      <w:u w:val="single"/>
    </w:rPr>
  </w:style>
  <w:style w:type="character" w:styleId="FollowedHyperlink">
    <w:name w:val="FollowedHyperlink"/>
    <w:basedOn w:val="DefaultParagraphFont"/>
    <w:rsid w:val="00CF451B"/>
    <w:rPr>
      <w:color w:val="800080" w:themeColor="followedHyperlink"/>
      <w:u w:val="single"/>
    </w:rPr>
  </w:style>
  <w:style w:type="table" w:styleId="TableGrid">
    <w:name w:val="Table Grid"/>
    <w:basedOn w:val="TableNormal"/>
    <w:rsid w:val="00C2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E40B1-2F84-4541-BED6-64E468E6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29</TotalTime>
  <Pages>2</Pages>
  <Words>323</Words>
  <Characters>1913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Chapter</vt:lpstr>
    </vt:vector>
  </TitlesOfParts>
  <Company>Productivity Commission</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Looking back on structural change</dc:subject>
  <dc:creator>Productivity Commission</dc:creator>
  <dc:description>1.</dc:description>
  <cp:lastModifiedBy>Productivity Commission</cp:lastModifiedBy>
  <cp:revision>14</cp:revision>
  <cp:lastPrinted>2014-02-13T05:28:00Z</cp:lastPrinted>
  <dcterms:created xsi:type="dcterms:W3CDTF">2014-02-13T05:27:00Z</dcterms:created>
  <dcterms:modified xsi:type="dcterms:W3CDTF">2014-02-18T23:36:00Z</dcterms:modified>
</cp:coreProperties>
</file>