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26187" w:rsidP="006E591C">
      <w:pPr>
        <w:pStyle w:val="Chapter"/>
        <w:spacing w:before="0"/>
        <w:ind w:left="907" w:hanging="907"/>
      </w:pPr>
      <w:bookmarkStart w:id="0" w:name="_AppendixNotByChapter"/>
      <w:bookmarkStart w:id="1" w:name="ChapterNumber"/>
      <w:bookmarkEnd w:id="0"/>
      <w:r>
        <w:t>C</w:t>
      </w:r>
      <w:bookmarkEnd w:id="1"/>
      <w:r>
        <w:tab/>
      </w:r>
      <w:bookmarkStart w:id="2" w:name="ChapterTitle"/>
      <w:r>
        <w:t>Supporting data and analysis</w:t>
      </w:r>
      <w:bookmarkEnd w:id="2"/>
    </w:p>
    <w:p w:rsidR="00CD7B9C" w:rsidRDefault="00CD7B9C" w:rsidP="00CD7B9C">
      <w:pPr>
        <w:pStyle w:val="BodyText"/>
      </w:pPr>
      <w:bookmarkStart w:id="3" w:name="begin"/>
      <w:bookmarkEnd w:id="3"/>
      <w:r>
        <w:t xml:space="preserve">This </w:t>
      </w:r>
      <w:r w:rsidR="00613352">
        <w:t>appendix</w:t>
      </w:r>
      <w:r>
        <w:t xml:space="preserve"> </w:t>
      </w:r>
      <w:r w:rsidR="00A44240">
        <w:t>presents</w:t>
      </w:r>
      <w:r>
        <w:t xml:space="preserve"> a </w:t>
      </w:r>
      <w:r w:rsidR="00A44240">
        <w:t xml:space="preserve">selection of </w:t>
      </w:r>
      <w:r w:rsidR="00CB3FBE">
        <w:t xml:space="preserve">supplementary </w:t>
      </w:r>
      <w:r w:rsidR="00A44240">
        <w:t xml:space="preserve">data and </w:t>
      </w:r>
      <w:r w:rsidR="00CC3C96">
        <w:t xml:space="preserve">analyses </w:t>
      </w:r>
      <w:r w:rsidR="00A44240">
        <w:t>that support the discussion contained in chapters</w:t>
      </w:r>
      <w:r w:rsidR="0070691F">
        <w:t> </w:t>
      </w:r>
      <w:r w:rsidR="00A44240">
        <w:t xml:space="preserve">5 and 6. </w:t>
      </w:r>
    </w:p>
    <w:p w:rsidR="00DA1687" w:rsidRDefault="00726187" w:rsidP="00DA1687">
      <w:pPr>
        <w:pStyle w:val="Heading2"/>
      </w:pPr>
      <w:r>
        <w:t>C.</w:t>
      </w:r>
      <w:r w:rsidR="00AE62AA">
        <w:rPr>
          <w:noProof/>
        </w:rPr>
        <w:t>1</w:t>
      </w:r>
      <w:r w:rsidR="004E265B">
        <w:tab/>
      </w:r>
      <w:r w:rsidR="00DA1687">
        <w:t>Use of HILDA Survey data</w:t>
      </w:r>
    </w:p>
    <w:p w:rsidR="00DA1687" w:rsidRDefault="00A44240" w:rsidP="00DA1687">
      <w:pPr>
        <w:pStyle w:val="BodyText"/>
      </w:pPr>
      <w:r>
        <w:t>Much of the labour market analysis presented in chapter 5 (and in parts of chapter 6) uses</w:t>
      </w:r>
      <w:r w:rsidR="00DA1687">
        <w:t xml:space="preserve"> data from the Household, Income and Labour Dynamics in Australia (HILDA) Survey. The HILDA Survey tracks the </w:t>
      </w:r>
      <w:r>
        <w:t>year</w:t>
      </w:r>
      <w:r w:rsidR="0070691F">
        <w:noBreakHyphen/>
      </w:r>
      <w:r>
        <w:t>to</w:t>
      </w:r>
      <w:r w:rsidR="0070691F">
        <w:noBreakHyphen/>
      </w:r>
      <w:r>
        <w:t xml:space="preserve">year </w:t>
      </w:r>
      <w:r w:rsidR="00DA1687">
        <w:t>moveme</w:t>
      </w:r>
      <w:r>
        <w:t xml:space="preserve">nts of individuals from </w:t>
      </w:r>
      <w:r w:rsidR="00384C32">
        <w:t xml:space="preserve">a </w:t>
      </w:r>
      <w:r w:rsidR="00DA1687">
        <w:t xml:space="preserve">nationally representative sample of households. </w:t>
      </w:r>
      <w:r>
        <w:t xml:space="preserve">This </w:t>
      </w:r>
      <w:r w:rsidR="00CB3FBE">
        <w:t xml:space="preserve">supplement </w:t>
      </w:r>
      <w:r>
        <w:t>uses HILDA Survey data from 2001 to 2010.</w:t>
      </w:r>
    </w:p>
    <w:p w:rsidR="00DA1687" w:rsidRDefault="00DA1687" w:rsidP="00DA1687">
      <w:pPr>
        <w:pStyle w:val="BodyText"/>
      </w:pPr>
      <w:r>
        <w:t>In using the HILDA Survey data to describe year</w:t>
      </w:r>
      <w:r w:rsidR="0070691F">
        <w:noBreakHyphen/>
      </w:r>
      <w:r>
        <w:t>to</w:t>
      </w:r>
      <w:r w:rsidR="0070691F">
        <w:noBreakHyphen/>
      </w:r>
      <w:r>
        <w:t>year changes in individuals’ employment characteristics, some limitations to the analysis are acknowledged:</w:t>
      </w:r>
    </w:p>
    <w:p w:rsidR="00DA1687" w:rsidRDefault="00DA1687" w:rsidP="00DA1687">
      <w:pPr>
        <w:pStyle w:val="ListBullet"/>
      </w:pPr>
      <w:r>
        <w:t xml:space="preserve">Employment data </w:t>
      </w:r>
      <w:r w:rsidR="00A44240">
        <w:t xml:space="preserve">in the HILDA Survey </w:t>
      </w:r>
      <w:r>
        <w:t>refer to workers’ main job only</w:t>
      </w:r>
      <w:r w:rsidR="00384C32">
        <w:t>, at the time of the survey</w:t>
      </w:r>
      <w:r>
        <w:t>. Hence, the analysis does not capture the effects of workers holding multiple jobs at the same time or changing jobs several times during a given year.</w:t>
      </w:r>
    </w:p>
    <w:p w:rsidR="00DA1687" w:rsidRDefault="00DA1687" w:rsidP="00DA1687">
      <w:pPr>
        <w:pStyle w:val="ListBullet"/>
      </w:pPr>
      <w:r>
        <w:t xml:space="preserve">The </w:t>
      </w:r>
      <w:r w:rsidR="00A44240">
        <w:t>HILDA S</w:t>
      </w:r>
      <w:r>
        <w:t>urvey sample could be subject to attrition bias in a way that affects measurements of labour mobility. Individuals who move location m</w:t>
      </w:r>
      <w:r w:rsidR="00505CCB">
        <w:t xml:space="preserve">ight be more difficult for data </w:t>
      </w:r>
      <w:r>
        <w:t>collectors to track and are, therefore, more likely to drop out of the survey. This could result in an underestimate of the rate of geographic mobility. However, the analysis focuses on transitions between consecutive pairs of years (rather than longer</w:t>
      </w:r>
      <w:r w:rsidR="0070691F">
        <w:noBreakHyphen/>
      </w:r>
      <w:r>
        <w:t>term changes from a base year)</w:t>
      </w:r>
      <w:r w:rsidR="00384C32">
        <w:t>, which</w:t>
      </w:r>
      <w:r>
        <w:t xml:space="preserve"> limits the potential impact of this attrition bias.</w:t>
      </w:r>
    </w:p>
    <w:p w:rsidR="00DA1687" w:rsidRDefault="00A44240" w:rsidP="00DA1687">
      <w:pPr>
        <w:pStyle w:val="ListBullet"/>
      </w:pPr>
      <w:r>
        <w:t>The HILDA S</w:t>
      </w:r>
      <w:r w:rsidR="00DA1687">
        <w:t xml:space="preserve">urvey design </w:t>
      </w:r>
      <w:r>
        <w:t xml:space="preserve">is not fully representative of new migrants to the country. For most years of the survey, new migrants can only be incorporated into the survey if they join a household which is already part of the sample. </w:t>
      </w:r>
    </w:p>
    <w:p w:rsidR="00DA1687" w:rsidRDefault="00DA1687" w:rsidP="00DA1687">
      <w:pPr>
        <w:pStyle w:val="ListBullet"/>
      </w:pPr>
      <w:r>
        <w:t>RBA researchers</w:t>
      </w:r>
      <w:r w:rsidR="00296661">
        <w:t xml:space="preserve"> —</w:t>
      </w:r>
      <w:r>
        <w:t xml:space="preserve"> </w:t>
      </w:r>
      <w:r w:rsidR="00296661">
        <w:t xml:space="preserve">after observing that some workers appeared to change industry without having changed employer — </w:t>
      </w:r>
      <w:r>
        <w:t xml:space="preserve">have raised the possibility that ‘spurious industry reclassifications’ exist in the </w:t>
      </w:r>
      <w:r w:rsidR="00296661">
        <w:t xml:space="preserve">HILDA Survey </w:t>
      </w:r>
      <w:r>
        <w:t>dataset (D’Arcy</w:t>
      </w:r>
      <w:r w:rsidR="00F646D2">
        <w:t> et al. </w:t>
      </w:r>
      <w:r w:rsidR="00296661">
        <w:t>2012, p.</w:t>
      </w:r>
      <w:r w:rsidR="0070691F">
        <w:t> </w:t>
      </w:r>
      <w:r w:rsidR="00296661">
        <w:t>11).</w:t>
      </w:r>
      <w:r>
        <w:t xml:space="preserve"> (</w:t>
      </w:r>
      <w:r w:rsidR="004B49A1">
        <w:t>Analysis presented in footnote 10 of chapter 5, however, suggests that</w:t>
      </w:r>
      <w:r>
        <w:t xml:space="preserve"> it possible for a worker to change industry without </w:t>
      </w:r>
      <w:r>
        <w:lastRenderedPageBreak/>
        <w:t>changing employer</w:t>
      </w:r>
      <w:r w:rsidR="004B49A1">
        <w:t>. This conclusion is supported by data presented in section C.5 of this appendix.</w:t>
      </w:r>
      <w:r>
        <w:t>)</w:t>
      </w:r>
    </w:p>
    <w:p w:rsidR="00DA1687" w:rsidRDefault="00DA1687" w:rsidP="00DA1687">
      <w:pPr>
        <w:pStyle w:val="BodyText"/>
      </w:pPr>
      <w:r>
        <w:t>The sample of respondents used to compute t</w:t>
      </w:r>
      <w:r w:rsidR="00296661">
        <w:t xml:space="preserve">he estimates </w:t>
      </w:r>
      <w:r w:rsidR="00467958">
        <w:t xml:space="preserve">presented </w:t>
      </w:r>
      <w:r w:rsidR="00296661">
        <w:t>in the analys</w:t>
      </w:r>
      <w:r w:rsidR="00467958">
        <w:t>e</w:t>
      </w:r>
      <w:r w:rsidR="00296661">
        <w:t>s</w:t>
      </w:r>
      <w:r w:rsidR="00384C32">
        <w:t xml:space="preserve"> </w:t>
      </w:r>
      <w:r w:rsidR="00467958">
        <w:t>of</w:t>
      </w:r>
      <w:r w:rsidR="00296661">
        <w:t xml:space="preserve"> chapter</w:t>
      </w:r>
      <w:r w:rsidR="00384C32">
        <w:t>s</w:t>
      </w:r>
      <w:r w:rsidR="00296661">
        <w:t xml:space="preserve"> 5 and 6 </w:t>
      </w:r>
      <w:r w:rsidR="003F6550">
        <w:t>was</w:t>
      </w:r>
      <w:r>
        <w:t xml:space="preserve"> limited to the working</w:t>
      </w:r>
      <w:r w:rsidR="0070691F">
        <w:noBreakHyphen/>
      </w:r>
      <w:r>
        <w:t>age popu</w:t>
      </w:r>
      <w:r w:rsidR="00296661">
        <w:t>lation (aged between 15 and </w:t>
      </w:r>
      <w:r w:rsidR="003F6550">
        <w:t>64</w:t>
      </w:r>
      <w:r w:rsidR="00296661">
        <w:t xml:space="preserve"> years</w:t>
      </w:r>
      <w:r w:rsidR="003F6550">
        <w:t xml:space="preserve">), for </w:t>
      </w:r>
      <w:r w:rsidR="00384C32">
        <w:t xml:space="preserve">the following </w:t>
      </w:r>
      <w:r w:rsidR="003F6550">
        <w:t>reasons:</w:t>
      </w:r>
      <w:r>
        <w:t xml:space="preserve"> </w:t>
      </w:r>
    </w:p>
    <w:p w:rsidR="00DA1687" w:rsidRDefault="00DA1687" w:rsidP="00DA1687">
      <w:pPr>
        <w:pStyle w:val="ListBullet"/>
      </w:pPr>
      <w:r>
        <w:t xml:space="preserve">The upper age bound to 64 years controls for the effect of workers’ retirement on patterns of exit from the workforce. From age 65 onwards, workers are more likely to be exiting the workforce due to their age and eligibility for retirement benefits, rather than due to structural </w:t>
      </w:r>
      <w:r w:rsidR="008A2C6F">
        <w:t xml:space="preserve">or cyclical </w:t>
      </w:r>
      <w:r>
        <w:t xml:space="preserve">changes in the economy. </w:t>
      </w:r>
    </w:p>
    <w:p w:rsidR="00F056FC" w:rsidRDefault="00DA1687" w:rsidP="00120072">
      <w:pPr>
        <w:pStyle w:val="ListBullet"/>
      </w:pPr>
      <w:r>
        <w:t xml:space="preserve">The lower age bound to 15 years is based on the legal minimum working age in Australia (depending on the jurisdiction, conditions of employment and industry). Many people who enter the workforce at this age do so while still enrolled in compulsory education. </w:t>
      </w:r>
      <w:r w:rsidR="008A2C6F">
        <w:t>Thus</w:t>
      </w:r>
      <w:r>
        <w:t xml:space="preserve">, their motivation for joining the workforce </w:t>
      </w:r>
      <w:r w:rsidR="008A2C6F">
        <w:t>may</w:t>
      </w:r>
      <w:r>
        <w:t xml:space="preserve"> be due to reasons other than structural changes in the economy. </w:t>
      </w:r>
      <w:r w:rsidR="008A2C6F">
        <w:t>Nonetheless, th</w:t>
      </w:r>
      <w:r w:rsidR="00C24C13">
        <w:t>e fact th</w:t>
      </w:r>
      <w:r w:rsidR="008A2C6F">
        <w:t xml:space="preserve">at </w:t>
      </w:r>
      <w:r>
        <w:t>the intake of young workers</w:t>
      </w:r>
      <w:r w:rsidR="008A2C6F">
        <w:t xml:space="preserve"> is higher</w:t>
      </w:r>
      <w:r>
        <w:t xml:space="preserve"> in some industries than in others</w:t>
      </w:r>
      <w:r w:rsidR="008A2C6F">
        <w:t xml:space="preserve"> may partly explain differences in industry expansion and contraction</w:t>
      </w:r>
      <w:r>
        <w:t>.</w:t>
      </w:r>
    </w:p>
    <w:p w:rsidR="000D1BAE" w:rsidRDefault="00726187" w:rsidP="00D16E49">
      <w:pPr>
        <w:pStyle w:val="Heading2"/>
      </w:pPr>
      <w:r>
        <w:t>C.</w:t>
      </w:r>
      <w:r w:rsidR="00AE62AA">
        <w:rPr>
          <w:noProof/>
        </w:rPr>
        <w:t>2</w:t>
      </w:r>
      <w:r w:rsidR="004E265B">
        <w:tab/>
      </w:r>
      <w:r w:rsidR="000F0510">
        <w:t>Detailed analysis</w:t>
      </w:r>
      <w:r w:rsidR="00D16E49">
        <w:t xml:space="preserve">: </w:t>
      </w:r>
      <w:r w:rsidR="00A135FC">
        <w:t>m</w:t>
      </w:r>
      <w:r w:rsidR="000D1BAE">
        <w:t>obility between sectors</w:t>
      </w:r>
    </w:p>
    <w:p w:rsidR="00D16E49" w:rsidRDefault="00D16E49" w:rsidP="000D1BAE">
      <w:pPr>
        <w:pStyle w:val="BodyText"/>
      </w:pPr>
      <w:r>
        <w:t>Building on chapter</w:t>
      </w:r>
      <w:r w:rsidR="0070691F">
        <w:t> </w:t>
      </w:r>
      <w:r>
        <w:t xml:space="preserve">5’s analysis of workers’ mobility between sectors, </w:t>
      </w:r>
      <w:r w:rsidR="00435083">
        <w:t xml:space="preserve">the following </w:t>
      </w:r>
      <w:r>
        <w:t>analysis looks in more detail at</w:t>
      </w:r>
      <w:r w:rsidR="000D1BAE">
        <w:t xml:space="preserve"> the </w:t>
      </w:r>
      <w:r>
        <w:t xml:space="preserve">individual transitions of </w:t>
      </w:r>
      <w:r w:rsidR="000D1BAE">
        <w:t>workers who changed sector</w:t>
      </w:r>
      <w:r>
        <w:t xml:space="preserve">s </w:t>
      </w:r>
      <w:r w:rsidR="0048166C">
        <w:t xml:space="preserve">from </w:t>
      </w:r>
      <w:r>
        <w:t xml:space="preserve">one year </w:t>
      </w:r>
      <w:r w:rsidR="0048166C">
        <w:t xml:space="preserve">to </w:t>
      </w:r>
      <w:r>
        <w:t xml:space="preserve">the next. </w:t>
      </w:r>
    </w:p>
    <w:p w:rsidR="000D1BAE" w:rsidRDefault="00D16E49" w:rsidP="000D1BAE">
      <w:pPr>
        <w:pStyle w:val="BodyText"/>
      </w:pPr>
      <w:r>
        <w:t>Using HILDA data, f</w:t>
      </w:r>
      <w:r w:rsidR="000D1BAE">
        <w:t xml:space="preserve">igure </w:t>
      </w:r>
      <w:r w:rsidR="004613D4">
        <w:t>C</w:t>
      </w:r>
      <w:r w:rsidR="000D1BAE">
        <w:t>.1 illustrates which sectors workers were moving into</w:t>
      </w:r>
      <w:r>
        <w:t>, and out of.</w:t>
      </w:r>
      <w:r w:rsidR="000D1BAE">
        <w:t xml:space="preserve"> </w:t>
      </w:r>
      <w:r w:rsidR="00435083">
        <w:t>For presentational purposes, t</w:t>
      </w:r>
      <w:r>
        <w:t>ransitions between 2001 and 2002 are compared</w:t>
      </w:r>
      <w:r w:rsidR="00435083">
        <w:t xml:space="preserve"> only</w:t>
      </w:r>
      <w:r>
        <w:t xml:space="preserve"> to the transitions that took place between 2009 and 2010. </w:t>
      </w:r>
      <w:r w:rsidR="000D1BAE">
        <w:t xml:space="preserve">For each sector, represented by a horizontal bar, positive values (on the right side of the vertical axis) refer </w:t>
      </w:r>
      <w:r w:rsidR="00467958">
        <w:t xml:space="preserve">to </w:t>
      </w:r>
      <w:r w:rsidR="000D1BAE">
        <w:t xml:space="preserve">the number of workers moving </w:t>
      </w:r>
      <w:r w:rsidR="000D1BAE">
        <w:rPr>
          <w:i/>
        </w:rPr>
        <w:t>into</w:t>
      </w:r>
      <w:r w:rsidR="000D1BAE">
        <w:t xml:space="preserve"> that sector, while negative values (on the left side of the vertical axis) refer </w:t>
      </w:r>
      <w:r w:rsidR="00467958">
        <w:t xml:space="preserve">to </w:t>
      </w:r>
      <w:r w:rsidR="000D1BAE">
        <w:t xml:space="preserve">the number of workers moving </w:t>
      </w:r>
      <w:r w:rsidR="000D1BAE">
        <w:rPr>
          <w:i/>
        </w:rPr>
        <w:t>out</w:t>
      </w:r>
      <w:r w:rsidR="000D1BAE">
        <w:t xml:space="preserve"> of that sector. </w:t>
      </w:r>
      <w:r w:rsidR="00435083">
        <w:t xml:space="preserve">Within </w:t>
      </w:r>
      <w:r w:rsidR="00CA5BD7">
        <w:t>each</w:t>
      </w:r>
      <w:r w:rsidR="00435083">
        <w:t xml:space="preserve"> positive or negative</w:t>
      </w:r>
      <w:r w:rsidR="00CA5BD7">
        <w:t xml:space="preserve"> bar</w:t>
      </w:r>
      <w:r w:rsidR="00435083">
        <w:t>, individual segments indicate the industry that workers are arriving from or</w:t>
      </w:r>
      <w:r w:rsidR="00CA5BD7">
        <w:t xml:space="preserve"> moving to, respectively.</w:t>
      </w:r>
      <w:r w:rsidR="00435083">
        <w:t xml:space="preserve"> </w:t>
      </w:r>
      <w:r w:rsidR="000D1BAE">
        <w:t>Movements into or out of agriculture and mining are excluded due to low sample counts</w:t>
      </w:r>
      <w:r>
        <w:t xml:space="preserve"> for these sectors</w:t>
      </w:r>
      <w:r w:rsidR="000D1BAE">
        <w:t>.</w:t>
      </w:r>
    </w:p>
    <w:p w:rsidR="00484429" w:rsidRDefault="000D1BAE" w:rsidP="00484429">
      <w:pPr>
        <w:pStyle w:val="BodyText"/>
      </w:pPr>
      <w:r>
        <w:t xml:space="preserve">For both time periods under consideration, the sectors that workers were </w:t>
      </w:r>
      <w:r w:rsidR="00CA5BD7">
        <w:t xml:space="preserve">most commonly moving </w:t>
      </w:r>
      <w:r w:rsidRPr="000D1BAE">
        <w:rPr>
          <w:i/>
        </w:rPr>
        <w:t>to</w:t>
      </w:r>
      <w:r>
        <w:t xml:space="preserve"> were distribution, business and social services. Most of the workers joining these sectors </w:t>
      </w:r>
      <w:r w:rsidR="0048166C">
        <w:t xml:space="preserve">had come </w:t>
      </w:r>
      <w:r>
        <w:t>out of other service</w:t>
      </w:r>
      <w:r w:rsidR="0048166C">
        <w:t xml:space="preserve"> sectors</w:t>
      </w:r>
      <w:r>
        <w:t xml:space="preserve">. </w:t>
      </w:r>
      <w:r w:rsidR="004232E1">
        <w:t>T</w:t>
      </w:r>
      <w:r w:rsidR="00484429">
        <w:t xml:space="preserve">he most common sectors that workers were moving </w:t>
      </w:r>
      <w:r w:rsidR="00467958">
        <w:rPr>
          <w:i/>
        </w:rPr>
        <w:t xml:space="preserve">from </w:t>
      </w:r>
      <w:r w:rsidR="00484429">
        <w:t xml:space="preserve">were distribution, business and </w:t>
      </w:r>
      <w:r w:rsidR="00484429">
        <w:lastRenderedPageBreak/>
        <w:t>personal services.</w:t>
      </w:r>
      <w:r w:rsidR="00CA5BD7">
        <w:t xml:space="preserve"> This is indicative of the large amount of employment </w:t>
      </w:r>
      <w:r w:rsidR="0048166C">
        <w:t>‘</w:t>
      </w:r>
      <w:r w:rsidR="00CA5BD7">
        <w:t>churn</w:t>
      </w:r>
      <w:r w:rsidR="0048166C">
        <w:t>’</w:t>
      </w:r>
      <w:r w:rsidR="00CA5BD7">
        <w:t xml:space="preserve"> that characterises some of the services sectors.</w:t>
      </w:r>
      <w:r w:rsidR="00484429">
        <w:t xml:space="preserve"> </w:t>
      </w:r>
    </w:p>
    <w:p w:rsidR="000D1BAE" w:rsidRDefault="000D1BAE" w:rsidP="000D1BAE">
      <w:pPr>
        <w:pStyle w:val="FigureTitle"/>
        <w:rPr>
          <w:position w:val="6"/>
          <w:sz w:val="18"/>
          <w:szCs w:val="20"/>
        </w:rPr>
      </w:pPr>
      <w:bookmarkStart w:id="4" w:name="OLE_LINK6"/>
      <w:r>
        <w:rPr>
          <w:b w:val="0"/>
        </w:rPr>
        <w:t xml:space="preserve">Figure </w:t>
      </w:r>
      <w:r w:rsidR="00726187">
        <w:rPr>
          <w:b w:val="0"/>
        </w:rPr>
        <w:t>C.</w:t>
      </w:r>
      <w:r w:rsidR="00AE62AA">
        <w:rPr>
          <w:b w:val="0"/>
          <w:noProof/>
        </w:rPr>
        <w:t>1</w:t>
      </w:r>
      <w:bookmarkEnd w:id="4"/>
      <w:r>
        <w:rPr>
          <w:b w:val="0"/>
        </w:rPr>
        <w:tab/>
      </w:r>
      <w:r w:rsidR="00C76613">
        <w:t>Number of w</w:t>
      </w:r>
      <w:r>
        <w:t>orkers changing sect</w:t>
      </w:r>
      <w:r w:rsidR="00C76613">
        <w:t xml:space="preserve">ors between consecutive years, </w:t>
      </w:r>
      <w:r>
        <w:t>2001</w:t>
      </w:r>
      <w:r w:rsidR="00CA5BD7">
        <w:t xml:space="preserve"> to </w:t>
      </w:r>
      <w:r>
        <w:t>2002 and 2009</w:t>
      </w:r>
      <w:r w:rsidR="00CA5BD7">
        <w:t xml:space="preserve"> to </w:t>
      </w:r>
      <w:r>
        <w:t>2010</w:t>
      </w:r>
      <w:r w:rsidRPr="00CA5BD7">
        <w:rPr>
          <w:rStyle w:val="NoteLabel"/>
          <w:b/>
        </w:rPr>
        <w:t>a</w:t>
      </w:r>
      <w:r w:rsidR="00CC3C96">
        <w:rPr>
          <w:rStyle w:val="NoteLabel"/>
          <w:b/>
        </w:rPr>
        <w:t>, b, c, d</w:t>
      </w:r>
      <w:r w:rsidR="00227171">
        <w:rPr>
          <w:rStyle w:val="NoteLabel"/>
          <w:b/>
        </w:rPr>
        <w:t>, e</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0D1BAE" w:rsidTr="000D1BAE">
        <w:tc>
          <w:tcPr>
            <w:tcW w:w="8777" w:type="dxa"/>
            <w:tcBorders>
              <w:top w:val="single" w:sz="6" w:space="0" w:color="auto"/>
              <w:left w:val="nil"/>
              <w:bottom w:val="nil"/>
              <w:right w:val="nil"/>
            </w:tcBorders>
            <w:hideMark/>
          </w:tcPr>
          <w:p w:rsidR="000D1BAE" w:rsidRDefault="000D1BAE">
            <w:pPr>
              <w:keepNext/>
              <w:spacing w:line="240" w:lineRule="atLeast"/>
              <w:jc w:val="center"/>
              <w:rPr>
                <w:highlight w:val="yellow"/>
              </w:rPr>
            </w:pPr>
            <w:r>
              <w:rPr>
                <w:noProof/>
              </w:rPr>
              <mc:AlternateContent>
                <mc:Choice Requires="wpg">
                  <w:drawing>
                    <wp:anchor distT="0" distB="0" distL="114300" distR="114300" simplePos="0" relativeHeight="251659264" behindDoc="0" locked="0" layoutInCell="1" allowOverlap="1" wp14:anchorId="409E2519" wp14:editId="0E021517">
                      <wp:simplePos x="0" y="0"/>
                      <wp:positionH relativeFrom="column">
                        <wp:posOffset>1199515</wp:posOffset>
                      </wp:positionH>
                      <wp:positionV relativeFrom="paragraph">
                        <wp:posOffset>488315</wp:posOffset>
                      </wp:positionV>
                      <wp:extent cx="4030980" cy="288290"/>
                      <wp:effectExtent l="0" t="0" r="26670" b="16510"/>
                      <wp:wrapNone/>
                      <wp:docPr id="46" name="Group 46"/>
                      <wp:cNvGraphicFramePr/>
                      <a:graphic xmlns:a="http://schemas.openxmlformats.org/drawingml/2006/main">
                        <a:graphicData uri="http://schemas.microsoft.com/office/word/2010/wordprocessingGroup">
                          <wpg:wgp>
                            <wpg:cNvGrpSpPr/>
                            <wpg:grpSpPr>
                              <a:xfrm>
                                <a:off x="0" y="0"/>
                                <a:ext cx="4030980" cy="288290"/>
                                <a:chOff x="0" y="0"/>
                                <a:chExt cx="4031347" cy="288820"/>
                              </a:xfrm>
                            </wpg:grpSpPr>
                            <wps:wsp>
                              <wps:cNvPr id="9" name="Left Brace 9"/>
                              <wps:cNvSpPr/>
                              <wps:spPr>
                                <a:xfrm rot="5400000">
                                  <a:off x="2964754" y="-777773"/>
                                  <a:ext cx="130664" cy="2002522"/>
                                </a:xfrm>
                                <a:prstGeom prst="leftBrace">
                                  <a:avLst>
                                    <a:gd name="adj1" fmla="val 35083"/>
                                    <a:gd name="adj2" fmla="val 49655"/>
                                  </a:avLst>
                                </a:prstGeom>
                                <a:noFill/>
                                <a:ln w="9525" cap="flat" cmpd="sng" algn="ctr">
                                  <a:solidFill>
                                    <a:sysClr val="windowText" lastClr="000000"/>
                                  </a:solidFill>
                                  <a:prstDash val="solid"/>
                                </a:ln>
                                <a:effectLst/>
                              </wps:spPr>
                              <wps:bodyPr rtlCol="0" anchor="t"/>
                            </wps:wsp>
                            <wps:wsp>
                              <wps:cNvPr id="10" name="TextBox 20"/>
                              <wps:cNvSpPr txBox="1"/>
                              <wps:spPr>
                                <a:xfrm>
                                  <a:off x="111494" y="7974"/>
                                  <a:ext cx="1917331" cy="187755"/>
                                </a:xfrm>
                                <a:prstGeom prst="rect">
                                  <a:avLst/>
                                </a:prstGeom>
                                <a:noFill/>
                                <a:ln w="9525" cmpd="sng">
                                  <a:noFill/>
                                </a:ln>
                                <a:effectLst/>
                              </wps:spPr>
                              <wps:txbx>
                                <w:txbxContent>
                                  <w:p w:rsidR="00EC511B" w:rsidRDefault="00EC511B" w:rsidP="000D1BAE">
                                    <w:pPr>
                                      <w:pStyle w:val="NormalWeb"/>
                                      <w:spacing w:before="0" w:beforeAutospacing="0" w:after="0" w:afterAutospacing="0"/>
                                      <w:rPr>
                                        <w:rFonts w:ascii="Arial" w:hAnsi="Arial" w:cs="Arial"/>
                                        <w:i/>
                                        <w:iCs/>
                                        <w:color w:val="000000" w:themeColor="dark1"/>
                                        <w:sz w:val="17"/>
                                        <w:szCs w:val="17"/>
                                      </w:rPr>
                                    </w:pPr>
                                    <w:r>
                                      <w:rPr>
                                        <w:rFonts w:ascii="Arial" w:hAnsi="Arial" w:cs="Arial"/>
                                        <w:i/>
                                        <w:iCs/>
                                        <w:color w:val="000000" w:themeColor="dark1"/>
                                        <w:sz w:val="17"/>
                                        <w:szCs w:val="17"/>
                                      </w:rPr>
                                      <w:t>Workers moving out of the sector</w:t>
                                    </w:r>
                                  </w:p>
                                </w:txbxContent>
                              </wps:txbx>
                              <wps:bodyPr wrap="square" lIns="0" tIns="0" rIns="0" bIns="0" rtlCol="0" anchor="t"/>
                            </wps:wsp>
                            <wps:wsp>
                              <wps:cNvPr id="11" name="Left Brace 11"/>
                              <wps:cNvSpPr/>
                              <wps:spPr>
                                <a:xfrm rot="5400000">
                                  <a:off x="935929" y="-777773"/>
                                  <a:ext cx="130664" cy="2002522"/>
                                </a:xfrm>
                                <a:prstGeom prst="leftBrace">
                                  <a:avLst>
                                    <a:gd name="adj1" fmla="val 35083"/>
                                    <a:gd name="adj2" fmla="val 49655"/>
                                  </a:avLst>
                                </a:prstGeom>
                                <a:noFill/>
                                <a:ln w="9525" cap="flat" cmpd="sng" algn="ctr">
                                  <a:solidFill>
                                    <a:sysClr val="windowText" lastClr="000000"/>
                                  </a:solidFill>
                                  <a:prstDash val="solid"/>
                                </a:ln>
                                <a:effectLst/>
                              </wps:spPr>
                              <wps:bodyPr rtlCol="0" anchor="t"/>
                            </wps:wsp>
                            <wps:wsp>
                              <wps:cNvPr id="12" name="TextBox 21"/>
                              <wps:cNvSpPr txBox="1"/>
                              <wps:spPr>
                                <a:xfrm>
                                  <a:off x="2155129" y="0"/>
                                  <a:ext cx="1837184" cy="185560"/>
                                </a:xfrm>
                                <a:prstGeom prst="rect">
                                  <a:avLst/>
                                </a:prstGeom>
                                <a:noFill/>
                                <a:ln w="9525" cmpd="sng">
                                  <a:noFill/>
                                </a:ln>
                                <a:effectLst/>
                              </wps:spPr>
                              <wps:txbx>
                                <w:txbxContent>
                                  <w:p w:rsidR="00EC511B" w:rsidRDefault="00EC511B" w:rsidP="000D1BAE">
                                    <w:pPr>
                                      <w:pStyle w:val="NormalWeb"/>
                                      <w:spacing w:before="0" w:beforeAutospacing="0" w:after="0" w:afterAutospacing="0"/>
                                      <w:rPr>
                                        <w:rFonts w:ascii="Arial" w:hAnsi="Arial" w:cs="Arial"/>
                                        <w:i/>
                                        <w:iCs/>
                                        <w:color w:val="000000" w:themeColor="dark1"/>
                                        <w:sz w:val="17"/>
                                        <w:szCs w:val="17"/>
                                      </w:rPr>
                                    </w:pPr>
                                    <w:r>
                                      <w:rPr>
                                        <w:rFonts w:ascii="Arial" w:hAnsi="Arial" w:cs="Arial"/>
                                        <w:i/>
                                        <w:iCs/>
                                        <w:color w:val="000000" w:themeColor="dark1"/>
                                        <w:sz w:val="17"/>
                                        <w:szCs w:val="17"/>
                                      </w:rPr>
                                      <w:t>Workers moving into the sector</w:t>
                                    </w:r>
                                  </w:p>
                                </w:txbxContent>
                              </wps:txbx>
                              <wps:bodyPr wrap="square" lIns="0" tIns="0" rIns="0" bIns="0" rtlCol="0" anchor="t"/>
                            </wps:wsp>
                          </wpg:wgp>
                        </a:graphicData>
                      </a:graphic>
                      <wp14:sizeRelH relativeFrom="page">
                        <wp14:pctWidth>0</wp14:pctWidth>
                      </wp14:sizeRelH>
                      <wp14:sizeRelV relativeFrom="margin">
                        <wp14:pctHeight>0</wp14:pctHeight>
                      </wp14:sizeRelV>
                    </wp:anchor>
                  </w:drawing>
                </mc:Choice>
                <mc:Fallback>
                  <w:pict>
                    <v:group id="Group 46" o:spid="_x0000_s1026" style="position:absolute;left:0;text-align:left;margin-left:94.45pt;margin-top:38.45pt;width:317.4pt;height:22.7pt;z-index:251659264;mso-height-relative:margin" coordsize="40313,2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9" o:spid="_x0000_s1027" type="#_x0000_t87" style="position:absolute;left:29647;top:-7778;width:1307;height:2002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6vF8IA&#10;AADaAAAADwAAAGRycy9kb3ducmV2LnhtbESP3WrCQBSE7wXfYTmCd7ppwaCpq4SSQG+qaH2AQ/aY&#10;hGbPptnNT9/eLRS8HGbmG2Z/nEwjBupcbVnByzoCQVxYXXOp4PaVr7YgnEfW2FgmBb/k4HiYz/aY&#10;aDvyhYarL0WAsEtQQeV9m0jpiooMurVtiYN3t51BH2RXSt3hGOCmka9RFEuDNYeFClt6r6j4vvZG&#10;Qfw5nGR66zO2+U9+l5v0nO1SpZaLKX0D4Wnyz/B/+0Mr2MHflXAD5O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q8XwgAAANoAAAAPAAAAAAAAAAAAAAAAAJgCAABkcnMvZG93&#10;bnJldi54bWxQSwUGAAAAAAQABAD1AAAAhwMAAAAA&#10;" adj="494,10725" strokecolor="windowText"/>
                      <v:shapetype id="_x0000_t202" coordsize="21600,21600" o:spt="202" path="m,l,21600r21600,l21600,xe">
                        <v:stroke joinstyle="miter"/>
                        <v:path gradientshapeok="t" o:connecttype="rect"/>
                      </v:shapetype>
                      <v:shape id="TextBox 20" o:spid="_x0000_s1028" type="#_x0000_t202" style="position:absolute;left:1114;top:79;width:19174;height:18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EC511B" w:rsidRDefault="00EC511B" w:rsidP="000D1BAE">
                              <w:pPr>
                                <w:pStyle w:val="NormalWeb"/>
                                <w:spacing w:before="0" w:beforeAutospacing="0" w:after="0" w:afterAutospacing="0"/>
                                <w:rPr>
                                  <w:rFonts w:ascii="Arial" w:hAnsi="Arial" w:cs="Arial"/>
                                  <w:i/>
                                  <w:iCs/>
                                  <w:color w:val="000000" w:themeColor="dark1"/>
                                  <w:sz w:val="17"/>
                                  <w:szCs w:val="17"/>
                                </w:rPr>
                              </w:pPr>
                              <w:r>
                                <w:rPr>
                                  <w:rFonts w:ascii="Arial" w:hAnsi="Arial" w:cs="Arial"/>
                                  <w:i/>
                                  <w:iCs/>
                                  <w:color w:val="000000" w:themeColor="dark1"/>
                                  <w:sz w:val="17"/>
                                  <w:szCs w:val="17"/>
                                </w:rPr>
                                <w:t>Workers moving out of the sector</w:t>
                              </w:r>
                            </w:p>
                          </w:txbxContent>
                        </v:textbox>
                      </v:shape>
                      <v:shape id="Left Brace 11" o:spid="_x0000_s1029" type="#_x0000_t87" style="position:absolute;left:9359;top:-7778;width:1307;height:2002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Qwg8EA&#10;AADbAAAADwAAAGRycy9kb3ducmV2LnhtbERPzWrCQBC+C32HZQrezMaCwaauEsRAL1VMfYAhOyah&#10;2dmYXZP07d1Cwdt8fL+z2U2mFQP1rrGsYBnFIIhLqxuuFFy+88UahPPIGlvLpOCXHOy2L7MNptqO&#10;fKah8JUIIexSVFB736VSurImgy6yHXHgrrY36APsK6l7HEO4aeVbHCfSYMOhocaO9jWVP8XdKEi+&#10;hqPMLvcD2/yWX+UqOx3eM6Xmr1P2AcLT5J/if/enDvOX8PdLOE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EMIPBAAAA2wAAAA8AAAAAAAAAAAAAAAAAmAIAAGRycy9kb3du&#10;cmV2LnhtbFBLBQYAAAAABAAEAPUAAACGAwAAAAA=&#10;" adj="494,10725" strokecolor="windowText"/>
                      <v:shape id="TextBox 21" o:spid="_x0000_s1030" type="#_x0000_t202" style="position:absolute;left:21551;width:18372;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EC511B" w:rsidRDefault="00EC511B" w:rsidP="000D1BAE">
                              <w:pPr>
                                <w:pStyle w:val="NormalWeb"/>
                                <w:spacing w:before="0" w:beforeAutospacing="0" w:after="0" w:afterAutospacing="0"/>
                                <w:rPr>
                                  <w:rFonts w:ascii="Arial" w:hAnsi="Arial" w:cs="Arial"/>
                                  <w:i/>
                                  <w:iCs/>
                                  <w:color w:val="000000" w:themeColor="dark1"/>
                                  <w:sz w:val="17"/>
                                  <w:szCs w:val="17"/>
                                </w:rPr>
                              </w:pPr>
                              <w:r>
                                <w:rPr>
                                  <w:rFonts w:ascii="Arial" w:hAnsi="Arial" w:cs="Arial"/>
                                  <w:i/>
                                  <w:iCs/>
                                  <w:color w:val="000000" w:themeColor="dark1"/>
                                  <w:sz w:val="17"/>
                                  <w:szCs w:val="17"/>
                                </w:rPr>
                                <w:t>Workers moving into the sector</w:t>
                              </w:r>
                            </w:p>
                          </w:txbxContent>
                        </v:textbox>
                      </v:shape>
                    </v:group>
                  </w:pict>
                </mc:Fallback>
              </mc:AlternateContent>
            </w:r>
            <w:r>
              <w:rPr>
                <w:noProof/>
                <w:szCs w:val="20"/>
              </w:rPr>
              <w:drawing>
                <wp:inline distT="0" distB="0" distL="0" distR="0" wp14:anchorId="00EFC124" wp14:editId="08D134E2">
                  <wp:extent cx="5400675" cy="2762250"/>
                  <wp:effectExtent l="0" t="0" r="0" b="0"/>
                  <wp:docPr id="307" name="Chart 307" descr="The top graph of this figure shows the number of workers who moved out of one sector and into another sector, between 2001 and 2002. It specifies which sectors they were moving out of and into."/>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bookmarkStart w:id="5" w:name="_GoBack"/>
      <w:tr w:rsidR="000D1BAE" w:rsidTr="000D1BAE">
        <w:tc>
          <w:tcPr>
            <w:tcW w:w="8777" w:type="dxa"/>
            <w:tcBorders>
              <w:top w:val="nil"/>
              <w:left w:val="nil"/>
              <w:bottom w:val="single" w:sz="6" w:space="0" w:color="auto"/>
              <w:right w:val="nil"/>
            </w:tcBorders>
            <w:hideMark/>
          </w:tcPr>
          <w:p w:rsidR="000D1BAE" w:rsidRDefault="000D1BAE">
            <w:pPr>
              <w:keepNext/>
              <w:spacing w:line="240" w:lineRule="atLeast"/>
              <w:jc w:val="center"/>
              <w:rPr>
                <w:highlight w:val="yellow"/>
              </w:rPr>
            </w:pPr>
            <w:r>
              <w:rPr>
                <w:noProof/>
              </w:rPr>
              <mc:AlternateContent>
                <mc:Choice Requires="wpg">
                  <w:drawing>
                    <wp:anchor distT="0" distB="0" distL="114300" distR="114300" simplePos="0" relativeHeight="251660288" behindDoc="0" locked="0" layoutInCell="1" allowOverlap="1" wp14:anchorId="5CE67B6C" wp14:editId="1119C1DB">
                      <wp:simplePos x="0" y="0"/>
                      <wp:positionH relativeFrom="column">
                        <wp:posOffset>1201420</wp:posOffset>
                      </wp:positionH>
                      <wp:positionV relativeFrom="paragraph">
                        <wp:posOffset>201295</wp:posOffset>
                      </wp:positionV>
                      <wp:extent cx="4030980" cy="285115"/>
                      <wp:effectExtent l="0" t="0" r="26670" b="19685"/>
                      <wp:wrapNone/>
                      <wp:docPr id="7" name="Group 7"/>
                      <wp:cNvGraphicFramePr/>
                      <a:graphic xmlns:a="http://schemas.openxmlformats.org/drawingml/2006/main">
                        <a:graphicData uri="http://schemas.microsoft.com/office/word/2010/wordprocessingGroup">
                          <wpg:wgp>
                            <wpg:cNvGrpSpPr/>
                            <wpg:grpSpPr>
                              <a:xfrm>
                                <a:off x="0" y="0"/>
                                <a:ext cx="4030980" cy="285115"/>
                                <a:chOff x="0" y="0"/>
                                <a:chExt cx="4031347" cy="285543"/>
                              </a:xfrm>
                            </wpg:grpSpPr>
                            <wps:wsp>
                              <wps:cNvPr id="4" name="TextBox 20"/>
                              <wps:cNvSpPr txBox="1"/>
                              <wps:spPr>
                                <a:xfrm>
                                  <a:off x="78679" y="0"/>
                                  <a:ext cx="1917331" cy="187755"/>
                                </a:xfrm>
                                <a:prstGeom prst="rect">
                                  <a:avLst/>
                                </a:prstGeom>
                                <a:noFill/>
                                <a:ln w="9525" cmpd="sng">
                                  <a:noFill/>
                                </a:ln>
                                <a:effectLst/>
                              </wps:spPr>
                              <wps:txbx>
                                <w:txbxContent>
                                  <w:p w:rsidR="00EC511B" w:rsidRDefault="00EC511B" w:rsidP="000D1BAE">
                                    <w:pPr>
                                      <w:pStyle w:val="NormalWeb"/>
                                      <w:spacing w:before="0" w:beforeAutospacing="0" w:after="0" w:afterAutospacing="0"/>
                                      <w:rPr>
                                        <w:sz w:val="17"/>
                                        <w:szCs w:val="17"/>
                                      </w:rPr>
                                    </w:pPr>
                                    <w:r>
                                      <w:rPr>
                                        <w:rFonts w:ascii="Arial" w:hAnsi="Arial" w:cs="Arial"/>
                                        <w:i/>
                                        <w:iCs/>
                                        <w:color w:val="000000" w:themeColor="dark1"/>
                                        <w:sz w:val="17"/>
                                        <w:szCs w:val="17"/>
                                      </w:rPr>
                                      <w:t>Workers moving out of the sector</w:t>
                                    </w:r>
                                  </w:p>
                                </w:txbxContent>
                              </wps:txbx>
                              <wps:bodyPr wrap="square" lIns="0" tIns="0" rIns="0" bIns="0" rtlCol="0" anchor="t"/>
                            </wps:wsp>
                            <wps:wsp>
                              <wps:cNvPr id="5" name="TextBox 21"/>
                              <wps:cNvSpPr txBox="1"/>
                              <wps:spPr>
                                <a:xfrm>
                                  <a:off x="2155129" y="0"/>
                                  <a:ext cx="1837184" cy="185560"/>
                                </a:xfrm>
                                <a:prstGeom prst="rect">
                                  <a:avLst/>
                                </a:prstGeom>
                                <a:noFill/>
                                <a:ln w="9525" cmpd="sng">
                                  <a:noFill/>
                                </a:ln>
                                <a:effectLst/>
                              </wps:spPr>
                              <wps:txbx>
                                <w:txbxContent>
                                  <w:p w:rsidR="00EC511B" w:rsidRDefault="00EC511B" w:rsidP="000D1BAE">
                                    <w:pPr>
                                      <w:pStyle w:val="NormalWeb"/>
                                      <w:spacing w:before="0" w:beforeAutospacing="0" w:after="0" w:afterAutospacing="0"/>
                                      <w:rPr>
                                        <w:sz w:val="17"/>
                                        <w:szCs w:val="17"/>
                                      </w:rPr>
                                    </w:pPr>
                                    <w:r>
                                      <w:rPr>
                                        <w:rFonts w:ascii="Arial" w:hAnsi="Arial" w:cs="Arial"/>
                                        <w:i/>
                                        <w:iCs/>
                                        <w:color w:val="000000" w:themeColor="dark1"/>
                                        <w:sz w:val="17"/>
                                        <w:szCs w:val="17"/>
                                      </w:rPr>
                                      <w:t>Workers moving into the sector</w:t>
                                    </w:r>
                                  </w:p>
                                </w:txbxContent>
                              </wps:txbx>
                              <wps:bodyPr wrap="square" lIns="0" tIns="0" rIns="0" bIns="0" rtlCol="0" anchor="t"/>
                            </wps:wsp>
                            <wps:wsp>
                              <wps:cNvPr id="6" name="Left Brace 6"/>
                              <wps:cNvSpPr/>
                              <wps:spPr>
                                <a:xfrm rot="5400000">
                                  <a:off x="2964754" y="-781050"/>
                                  <a:ext cx="130664" cy="2002522"/>
                                </a:xfrm>
                                <a:prstGeom prst="leftBrace">
                                  <a:avLst>
                                    <a:gd name="adj1" fmla="val 35083"/>
                                    <a:gd name="adj2" fmla="val 49655"/>
                                  </a:avLst>
                                </a:prstGeom>
                                <a:noFill/>
                                <a:ln w="9525" cap="flat" cmpd="sng" algn="ctr">
                                  <a:solidFill>
                                    <a:sysClr val="windowText" lastClr="000000"/>
                                  </a:solidFill>
                                  <a:prstDash val="solid"/>
                                </a:ln>
                                <a:effectLst/>
                              </wps:spPr>
                              <wps:bodyPr rtlCol="0" anchor="t"/>
                            </wps:wsp>
                            <wps:wsp>
                              <wps:cNvPr id="8" name="Left Brace 8"/>
                              <wps:cNvSpPr/>
                              <wps:spPr>
                                <a:xfrm rot="5400000">
                                  <a:off x="935929" y="-781050"/>
                                  <a:ext cx="130664" cy="2002522"/>
                                </a:xfrm>
                                <a:prstGeom prst="leftBrace">
                                  <a:avLst>
                                    <a:gd name="adj1" fmla="val 35083"/>
                                    <a:gd name="adj2" fmla="val 49655"/>
                                  </a:avLst>
                                </a:prstGeom>
                                <a:noFill/>
                                <a:ln w="9525" cap="flat" cmpd="sng" algn="ctr">
                                  <a:solidFill>
                                    <a:sysClr val="windowText" lastClr="000000"/>
                                  </a:solidFill>
                                  <a:prstDash val="solid"/>
                                </a:ln>
                                <a:effectLst/>
                              </wps:spPr>
                              <wps:bodyPr rtlCol="0" anchor="t"/>
                            </wps:wsp>
                          </wpg:wgp>
                        </a:graphicData>
                      </a:graphic>
                      <wp14:sizeRelH relativeFrom="page">
                        <wp14:pctWidth>0</wp14:pctWidth>
                      </wp14:sizeRelH>
                      <wp14:sizeRelV relativeFrom="page">
                        <wp14:pctHeight>0</wp14:pctHeight>
                      </wp14:sizeRelV>
                    </wp:anchor>
                  </w:drawing>
                </mc:Choice>
                <mc:Fallback>
                  <w:pict>
                    <v:group id="Group 7" o:spid="_x0000_s1031" style="position:absolute;left:0;text-align:left;margin-left:94.6pt;margin-top:15.85pt;width:317.4pt;height:22.45pt;z-index:251660288" coordsize="40313,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">
                      <v:shape id="TextBox 20" o:spid="_x0000_s1032" type="#_x0000_t202" style="position:absolute;left:786;width:19174;height:1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EC511B" w:rsidRDefault="00EC511B" w:rsidP="000D1BAE">
                              <w:pPr>
                                <w:pStyle w:val="NormalWeb"/>
                                <w:spacing w:before="0" w:beforeAutospacing="0" w:after="0" w:afterAutospacing="0"/>
                                <w:rPr>
                                  <w:sz w:val="17"/>
                                  <w:szCs w:val="17"/>
                                </w:rPr>
                              </w:pPr>
                              <w:r>
                                <w:rPr>
                                  <w:rFonts w:ascii="Arial" w:hAnsi="Arial" w:cs="Arial"/>
                                  <w:i/>
                                  <w:iCs/>
                                  <w:color w:val="000000" w:themeColor="dark1"/>
                                  <w:sz w:val="17"/>
                                  <w:szCs w:val="17"/>
                                </w:rPr>
                                <w:t>Workers moving out of the sector</w:t>
                              </w:r>
                            </w:p>
                          </w:txbxContent>
                        </v:textbox>
                      </v:shape>
                      <v:shape id="TextBox 21" o:spid="_x0000_s1033" type="#_x0000_t202" style="position:absolute;left:21551;width:18372;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EC511B" w:rsidRDefault="00EC511B" w:rsidP="000D1BAE">
                              <w:pPr>
                                <w:pStyle w:val="NormalWeb"/>
                                <w:spacing w:before="0" w:beforeAutospacing="0" w:after="0" w:afterAutospacing="0"/>
                                <w:rPr>
                                  <w:sz w:val="17"/>
                                  <w:szCs w:val="17"/>
                                </w:rPr>
                              </w:pPr>
                              <w:r>
                                <w:rPr>
                                  <w:rFonts w:ascii="Arial" w:hAnsi="Arial" w:cs="Arial"/>
                                  <w:i/>
                                  <w:iCs/>
                                  <w:color w:val="000000" w:themeColor="dark1"/>
                                  <w:sz w:val="17"/>
                                  <w:szCs w:val="17"/>
                                </w:rPr>
                                <w:t>Workers moving into the sector</w:t>
                              </w:r>
                            </w:p>
                          </w:txbxContent>
                        </v:textbox>
                      </v:shape>
                      <v:shape id="Left Brace 6" o:spid="_x0000_s1034" type="#_x0000_t87" style="position:absolute;left:29647;top:-7811;width:1307;height:2002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E7ZcEA&#10;AADaAAAADwAAAGRycy9kb3ducmV2LnhtbESP0YrCMBRE3xf8h3AF39ZUQVlrUyliwRd3WfUDLs21&#10;LTY3tYm1/v1GEPZxmDkzTLIZTCN66lxtWcFsGoEgLqyuuVRwPuWfXyCcR9bYWCYFT3KwSUcfCcba&#10;PviX+qMvRShhF6OCyvs2ltIVFRl0U9sSB+9iO4M+yK6UusNHKDeNnEfRUhqsOSxU2NK2ouJ6vBsF&#10;y0P/LbPzfcc2v+UXuch+dqtMqcl4yNYgPA3+P/ym9zp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RO2XBAAAA2gAAAA8AAAAAAAAAAAAAAAAAmAIAAGRycy9kb3du&#10;cmV2LnhtbFBLBQYAAAAABAAEAPUAAACGAwAAAAA=&#10;" adj="494,10725" strokecolor="windowText"/>
                      <v:shape id="Left Brace 8" o:spid="_x0000_s1035" type="#_x0000_t87" style="position:absolute;left:9359;top:-7811;width:1307;height:2002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IKjL4A&#10;AADaAAAADwAAAGRycy9kb3ducmV2LnhtbERPzYrCMBC+C75DGMGbpi4objUtZbHgZRVdH2BoxrbY&#10;TGoTa337zUHw+PH9b9PBNKKnztWWFSzmEQjiwuqaSwWXv3y2BuE8ssbGMil4kYM0GY+2GGv75BP1&#10;Z1+KEMIuRgWV920spSsqMujmtiUO3NV2Bn2AXSl1h88Qbhr5FUUrabDm0FBhSz8VFbfzwyhY/fYH&#10;mV0eO7b5Pb/KZXbcfWdKTSdDtgHhafAf8du91wrC1nAl3ACZ/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BCCoy+AAAA2gAAAA8AAAAAAAAAAAAAAAAAmAIAAGRycy9kb3ducmV2&#10;LnhtbFBLBQYAAAAABAAEAPUAAACDAwAAAAA=&#10;" adj="494,10725" strokecolor="windowText"/>
                    </v:group>
                  </w:pict>
                </mc:Fallback>
              </mc:AlternateContent>
            </w:r>
            <w:bookmarkEnd w:id="5"/>
            <w:r>
              <w:rPr>
                <w:noProof/>
                <w:szCs w:val="20"/>
              </w:rPr>
              <w:drawing>
                <wp:inline distT="0" distB="0" distL="0" distR="0" wp14:anchorId="242EA1BD" wp14:editId="2BFF8576">
                  <wp:extent cx="5381625" cy="2581275"/>
                  <wp:effectExtent l="0" t="0" r="0" b="0"/>
                  <wp:docPr id="309" name="Chart 309" descr="The lower graph of this figure shows the number of workers who moved out of one sector and into another sector, between 2009 and 2010. It specifies which sectors they were moving out of and into."/>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CC3C96" w:rsidRDefault="00CC3C96" w:rsidP="00CC3C96">
      <w:pPr>
        <w:pStyle w:val="Note"/>
      </w:pPr>
      <w:r>
        <w:rPr>
          <w:b/>
          <w:position w:val="6"/>
        </w:rPr>
        <w:t>a</w:t>
      </w:r>
      <w:r>
        <w:t xml:space="preserve"> Positive values indicate the number of workers moving into the sector, in which case the legend denotes the </w:t>
      </w:r>
      <w:r w:rsidRPr="00CA5BD7">
        <w:rPr>
          <w:i/>
        </w:rPr>
        <w:t>previous</w:t>
      </w:r>
      <w:r>
        <w:t xml:space="preserve"> sector that workers worked in. Negative values indicate the number of workers moving out of the sector, in which case, the legend denotes the subsequent sector that workers moved into. Hence, the sum of all the positive and negative values (across sectors) sum to zero.</w:t>
      </w:r>
      <w:r w:rsidR="005C276C">
        <w:t xml:space="preserve"> </w:t>
      </w:r>
      <w:r>
        <w:t xml:space="preserve"> </w:t>
      </w:r>
      <w:r>
        <w:rPr>
          <w:b/>
          <w:position w:val="6"/>
        </w:rPr>
        <w:t>b</w:t>
      </w:r>
      <w:r>
        <w:t xml:space="preserve"> Agriculture and mining sectors are excluded due to the low sample count and high standard errors associated with these estimates. </w:t>
      </w:r>
      <w:r w:rsidR="005C276C">
        <w:t xml:space="preserve"> </w:t>
      </w:r>
      <w:r>
        <w:rPr>
          <w:b/>
          <w:position w:val="6"/>
        </w:rPr>
        <w:t>c</w:t>
      </w:r>
      <w:r>
        <w:t xml:space="preserve"> Estimates exclude workers who were not employed before or after their move. </w:t>
      </w:r>
      <w:r w:rsidR="005C276C">
        <w:t xml:space="preserve"> </w:t>
      </w:r>
      <w:r>
        <w:rPr>
          <w:b/>
          <w:position w:val="6"/>
        </w:rPr>
        <w:t>d</w:t>
      </w:r>
      <w:r>
        <w:t xml:space="preserve"> Estimates refer to the working</w:t>
      </w:r>
      <w:r>
        <w:noBreakHyphen/>
        <w:t>age population. All estimates are population</w:t>
      </w:r>
      <w:r>
        <w:noBreakHyphen/>
        <w:t>weighted.</w:t>
      </w:r>
      <w:r w:rsidR="00227171">
        <w:t xml:space="preserve">  </w:t>
      </w:r>
      <w:r w:rsidR="00227171">
        <w:rPr>
          <w:rStyle w:val="NoteLabel"/>
        </w:rPr>
        <w:t>e</w:t>
      </w:r>
      <w:r w:rsidR="00227171" w:rsidRPr="004A7B04">
        <w:t xml:space="preserve"> </w:t>
      </w:r>
      <w:r w:rsidR="00227171">
        <w:t>Sectors are defined in appendix A.</w:t>
      </w:r>
    </w:p>
    <w:p w:rsidR="00CC3C96" w:rsidRDefault="00CC3C96" w:rsidP="00CC3C96">
      <w:pPr>
        <w:pStyle w:val="Source"/>
      </w:pPr>
      <w:r>
        <w:rPr>
          <w:i/>
        </w:rPr>
        <w:t>Source</w:t>
      </w:r>
      <w:r>
        <w:t xml:space="preserve">: </w:t>
      </w:r>
      <w:r w:rsidR="00006151">
        <w:t>Productivity Commission</w:t>
      </w:r>
      <w:r>
        <w:t xml:space="preserve"> </w:t>
      </w:r>
      <w:r w:rsidR="00D235ED">
        <w:t>estimates</w:t>
      </w:r>
      <w:r>
        <w:t xml:space="preserve"> using HILDA Survey 2001–2010, Unconfidentialised Release 10.1.</w:t>
      </w:r>
    </w:p>
    <w:p w:rsidR="00EF1D83" w:rsidRDefault="00EF1D83" w:rsidP="00EF1D83">
      <w:pPr>
        <w:pStyle w:val="BodyText"/>
      </w:pPr>
      <w:r>
        <w:lastRenderedPageBreak/>
        <w:t>Some comparisons in workers’ transitions between the different time periods point towards some key structural shifts in the composition of the economy</w:t>
      </w:r>
      <w:r w:rsidR="00680714">
        <w:t xml:space="preserve"> between the two transition periods</w:t>
      </w:r>
      <w:r>
        <w:t xml:space="preserve">. For instance: </w:t>
      </w:r>
    </w:p>
    <w:p w:rsidR="00EF1D83" w:rsidRDefault="00EF1D83" w:rsidP="00EF1D83">
      <w:pPr>
        <w:pStyle w:val="ListBullet"/>
      </w:pPr>
      <w:r>
        <w:t>The sector which experienced the largest jump in the number of workers it attracted from other sectors was social services (and, within this sector, especially Health care and social services).</w:t>
      </w:r>
    </w:p>
    <w:p w:rsidR="00EF1D83" w:rsidRDefault="00EF1D83" w:rsidP="00EF1D83">
      <w:pPr>
        <w:pStyle w:val="ListBullet"/>
      </w:pPr>
      <w:r>
        <w:t xml:space="preserve">Between </w:t>
      </w:r>
      <w:r w:rsidR="00680714">
        <w:t>2001–02 and 2009–10</w:t>
      </w:r>
      <w:r>
        <w:t xml:space="preserve">, the number of workers moving </w:t>
      </w:r>
      <w:r w:rsidRPr="00484429">
        <w:rPr>
          <w:i/>
        </w:rPr>
        <w:t>out</w:t>
      </w:r>
      <w:r>
        <w:t xml:space="preserve"> of manufacturing and into another sector </w:t>
      </w:r>
      <w:r w:rsidR="00680714">
        <w:t xml:space="preserve">barely </w:t>
      </w:r>
      <w:r>
        <w:t xml:space="preserve">changed. However, the number moving </w:t>
      </w:r>
      <w:r w:rsidRPr="00484429">
        <w:rPr>
          <w:i/>
        </w:rPr>
        <w:t>into</w:t>
      </w:r>
      <w:r>
        <w:t xml:space="preserve"> manufacturing from other sectors fell considerably. The lower inflow of workers into manufacturing in the most recent period helps to explain </w:t>
      </w:r>
      <w:r w:rsidR="00680714">
        <w:t xml:space="preserve">that </w:t>
      </w:r>
      <w:r>
        <w:t>sector’s contraction.</w:t>
      </w:r>
    </w:p>
    <w:p w:rsidR="00EF1D83" w:rsidRDefault="00EF1D83" w:rsidP="00EF1D83">
      <w:pPr>
        <w:pStyle w:val="BodyText"/>
      </w:pPr>
      <w:r>
        <w:t>Given the pronounced</w:t>
      </w:r>
      <w:r w:rsidR="002C41BF">
        <w:t xml:space="preserve"> relative</w:t>
      </w:r>
      <w:r>
        <w:t xml:space="preserve"> decline of the manufacturing sector over time, it is of interest to identify </w:t>
      </w:r>
      <w:r w:rsidR="002C41BF">
        <w:t xml:space="preserve">the </w:t>
      </w:r>
      <w:r>
        <w:t xml:space="preserve">sectors </w:t>
      </w:r>
      <w:r w:rsidR="002C41BF">
        <w:t xml:space="preserve">that </w:t>
      </w:r>
      <w:r>
        <w:t xml:space="preserve">manufacturing </w:t>
      </w:r>
      <w:r w:rsidR="002C41BF">
        <w:t xml:space="preserve">workers </w:t>
      </w:r>
      <w:r>
        <w:t xml:space="preserve">were mainly moving to. For both time periods under consideration, distribution services was the most common destination (and, within this sector, particularly Construction and Wholesale trade (data not shown)). Utilities and construction used </w:t>
      </w:r>
      <w:r w:rsidR="002C41BF">
        <w:t xml:space="preserve">to </w:t>
      </w:r>
      <w:r>
        <w:t>be a common destination</w:t>
      </w:r>
      <w:r w:rsidR="00127FD8" w:rsidRPr="00127FD8">
        <w:t xml:space="preserve"> </w:t>
      </w:r>
      <w:r w:rsidR="00127FD8">
        <w:t>also</w:t>
      </w:r>
      <w:r>
        <w:t>, but this was less so during the most recent period.</w:t>
      </w:r>
    </w:p>
    <w:p w:rsidR="006A18B0" w:rsidRDefault="00726187" w:rsidP="006A18B0">
      <w:pPr>
        <w:pStyle w:val="Heading2"/>
      </w:pPr>
      <w:proofErr w:type="spellStart"/>
      <w:r>
        <w:t>C.</w:t>
      </w:r>
      <w:r w:rsidR="00AE62AA">
        <w:rPr>
          <w:noProof/>
        </w:rPr>
        <w:t>3</w:t>
      </w:r>
      <w:proofErr w:type="spellEnd"/>
      <w:r w:rsidR="004E265B">
        <w:tab/>
      </w:r>
      <w:r w:rsidR="00743F49">
        <w:t>Detailed analysis:</w:t>
      </w:r>
      <w:r w:rsidR="006A18B0">
        <w:t xml:space="preserve"> </w:t>
      </w:r>
      <w:r w:rsidR="00A135FC">
        <w:t>w</w:t>
      </w:r>
      <w:r w:rsidR="006A18B0">
        <w:t>orkers length of tenure</w:t>
      </w:r>
    </w:p>
    <w:p w:rsidR="006A18B0" w:rsidRPr="006A18B0" w:rsidRDefault="006A18B0" w:rsidP="006A18B0">
      <w:pPr>
        <w:pStyle w:val="BodyText"/>
      </w:pPr>
      <w:r>
        <w:t xml:space="preserve">Figure </w:t>
      </w:r>
      <w:r w:rsidR="005B7F13">
        <w:t>C</w:t>
      </w:r>
      <w:r>
        <w:t xml:space="preserve">.2 </w:t>
      </w:r>
      <w:r w:rsidR="00646AC5">
        <w:t>compares</w:t>
      </w:r>
      <w:r>
        <w:t xml:space="preserve"> the composition of workers within each sector</w:t>
      </w:r>
      <w:r w:rsidR="00646AC5">
        <w:t xml:space="preserve"> in 2002 and 2010</w:t>
      </w:r>
      <w:r>
        <w:t xml:space="preserve">, according to their length of tenure with their current employer. </w:t>
      </w:r>
    </w:p>
    <w:p w:rsidR="006A18B0" w:rsidRDefault="006A18B0" w:rsidP="006A18B0">
      <w:pPr>
        <w:pStyle w:val="FigureTitle"/>
      </w:pPr>
      <w:r>
        <w:rPr>
          <w:b w:val="0"/>
        </w:rPr>
        <w:t xml:space="preserve">Figure </w:t>
      </w:r>
      <w:r w:rsidR="00726187">
        <w:rPr>
          <w:b w:val="0"/>
        </w:rPr>
        <w:t>C.</w:t>
      </w:r>
      <w:r w:rsidR="00AE62AA">
        <w:rPr>
          <w:b w:val="0"/>
          <w:noProof/>
        </w:rPr>
        <w:t>2</w:t>
      </w:r>
      <w:r>
        <w:tab/>
        <w:t>Tenure with current employer, by sector, 2002 and 2010</w:t>
      </w:r>
      <w:r w:rsidRPr="00A00AF5">
        <w:rPr>
          <w:position w:val="6"/>
          <w:sz w:val="18"/>
          <w:szCs w:val="20"/>
        </w:rPr>
        <w:t>a</w:t>
      </w:r>
      <w:r w:rsidR="00227171">
        <w:rPr>
          <w:position w:val="6"/>
          <w:sz w:val="18"/>
          <w:szCs w:val="20"/>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A18B0" w:rsidTr="006A18B0">
        <w:trPr>
          <w:trHeight w:val="3266"/>
        </w:trPr>
        <w:tc>
          <w:tcPr>
            <w:tcW w:w="8777" w:type="dxa"/>
          </w:tcPr>
          <w:p w:rsidR="006A18B0" w:rsidRDefault="006A18B0" w:rsidP="00493D0F">
            <w:pPr>
              <w:pStyle w:val="Figure"/>
            </w:pPr>
            <w:r>
              <w:rPr>
                <w:noProof/>
              </w:rPr>
              <w:drawing>
                <wp:inline distT="0" distB="0" distL="0" distR="0" wp14:anchorId="04AFC362" wp14:editId="65E72CF6">
                  <wp:extent cx="5418667" cy="2294466"/>
                  <wp:effectExtent l="0" t="0" r="0" b="0"/>
                  <wp:docPr id="1" name="Chart 1" descr="This figure shows the composition of workers in each sector, according to their length of tenure with their current employer. The composition in 2002 (which is illustrated by the first vertical bar for each sector) is compared to the composition in 2010 (which is illustrated by the second vertical bar for each secto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6A18B0" w:rsidRDefault="006A18B0" w:rsidP="006A18B0">
      <w:pPr>
        <w:pStyle w:val="Note"/>
        <w:rPr>
          <w:i/>
        </w:rPr>
      </w:pPr>
      <w:r w:rsidRPr="00414541">
        <w:rPr>
          <w:rStyle w:val="NoteLabel"/>
        </w:rPr>
        <w:t>a</w:t>
      </w:r>
      <w:r>
        <w:rPr>
          <w:b/>
          <w:position w:val="6"/>
        </w:rPr>
        <w:t> </w:t>
      </w:r>
      <w:r w:rsidRPr="00192358">
        <w:t>For each sector, the fir</w:t>
      </w:r>
      <w:r>
        <w:t xml:space="preserve">st vertical bar refers to 2002 and </w:t>
      </w:r>
      <w:r w:rsidRPr="00192358">
        <w:t>the second vertical bar refers to 2010.</w:t>
      </w:r>
      <w:r w:rsidR="00227171">
        <w:t xml:space="preserve">  </w:t>
      </w:r>
      <w:r w:rsidR="00227171">
        <w:rPr>
          <w:rStyle w:val="NoteLabel"/>
        </w:rPr>
        <w:t>b</w:t>
      </w:r>
      <w:r w:rsidR="00227171" w:rsidRPr="004A7B04">
        <w:t xml:space="preserve"> </w:t>
      </w:r>
      <w:r w:rsidR="00227171">
        <w:t>Sectors are defined in appendix A.</w:t>
      </w:r>
    </w:p>
    <w:p w:rsidR="006A18B0" w:rsidRPr="00EF1D83" w:rsidRDefault="006A18B0" w:rsidP="00493D0F">
      <w:pPr>
        <w:pStyle w:val="Source"/>
      </w:pPr>
      <w:r>
        <w:rPr>
          <w:i/>
        </w:rPr>
        <w:t>Source</w:t>
      </w:r>
      <w:r w:rsidRPr="00167F06">
        <w:t xml:space="preserve">: </w:t>
      </w:r>
      <w:r>
        <w:t>ABS (</w:t>
      </w:r>
      <w:r>
        <w:rPr>
          <w:i/>
        </w:rPr>
        <w:t>Labour Mobility, Australia</w:t>
      </w:r>
      <w:r>
        <w:t>, Cat. no. 6209).</w:t>
      </w:r>
    </w:p>
    <w:p w:rsidR="00D16E49" w:rsidRDefault="00726187" w:rsidP="00D16E49">
      <w:pPr>
        <w:pStyle w:val="Heading2"/>
      </w:pPr>
      <w:proofErr w:type="spellStart"/>
      <w:r>
        <w:lastRenderedPageBreak/>
        <w:t>C.</w:t>
      </w:r>
      <w:r w:rsidR="00AE62AA">
        <w:rPr>
          <w:noProof/>
        </w:rPr>
        <w:t>4</w:t>
      </w:r>
      <w:proofErr w:type="spellEnd"/>
      <w:r w:rsidR="004E265B">
        <w:tab/>
      </w:r>
      <w:r w:rsidR="00D16E49">
        <w:t xml:space="preserve">Detailed analysis: </w:t>
      </w:r>
      <w:r w:rsidR="00A135FC">
        <w:t>w</w:t>
      </w:r>
      <w:r w:rsidR="00D16E49">
        <w:t>orkers joining the resources sector</w:t>
      </w:r>
    </w:p>
    <w:p w:rsidR="006775CF" w:rsidRPr="0068002E" w:rsidRDefault="0068002E" w:rsidP="0068002E">
      <w:pPr>
        <w:pStyle w:val="BodyText"/>
      </w:pPr>
      <w:r>
        <w:t xml:space="preserve">Table </w:t>
      </w:r>
      <w:r w:rsidR="00BB7E95">
        <w:t>C</w:t>
      </w:r>
      <w:r>
        <w:t>.1 us</w:t>
      </w:r>
      <w:r w:rsidR="006775CF">
        <w:t xml:space="preserve">es HILDA Survey data to look at </w:t>
      </w:r>
      <w:r w:rsidR="002F60E0">
        <w:t xml:space="preserve">the </w:t>
      </w:r>
      <w:r w:rsidR="006775CF">
        <w:t xml:space="preserve">previous </w:t>
      </w:r>
      <w:r w:rsidR="002F60E0">
        <w:t xml:space="preserve">industry of employment </w:t>
      </w:r>
      <w:r w:rsidR="006775CF">
        <w:t xml:space="preserve">of workers who were joining the </w:t>
      </w:r>
      <w:r w:rsidR="00467958">
        <w:t>resources sector</w:t>
      </w:r>
      <w:r w:rsidR="00CC3C96">
        <w:rPr>
          <w:rStyle w:val="FootnoteReference"/>
        </w:rPr>
        <w:footnoteReference w:id="1"/>
      </w:r>
      <w:r w:rsidR="006775CF">
        <w:t xml:space="preserve"> </w:t>
      </w:r>
      <w:r w:rsidR="002F60E0">
        <w:t xml:space="preserve">(from another industry) </w:t>
      </w:r>
      <w:r w:rsidR="00861464">
        <w:t>each year from 2002 to 2010. It is emphasised that</w:t>
      </w:r>
      <w:r w:rsidR="006775CF">
        <w:t xml:space="preserve"> these estimates should be treated as indicative only, due to the small size (and consequential high standard errors) of the sample under analysis.</w:t>
      </w:r>
    </w:p>
    <w:p w:rsidR="000543D7" w:rsidRDefault="000543D7" w:rsidP="000543D7">
      <w:pPr>
        <w:pStyle w:val="TableTitle"/>
      </w:pPr>
      <w:r>
        <w:rPr>
          <w:b w:val="0"/>
        </w:rPr>
        <w:t xml:space="preserve">Table </w:t>
      </w:r>
      <w:r w:rsidR="00726187" w:rsidRPr="00726187">
        <w:rPr>
          <w:b w:val="0"/>
        </w:rPr>
        <w:t>C</w:t>
      </w:r>
      <w:r w:rsidR="00726187">
        <w:t>.</w:t>
      </w:r>
      <w:r w:rsidR="00AE62AA">
        <w:rPr>
          <w:b w:val="0"/>
          <w:noProof/>
        </w:rPr>
        <w:t>1</w:t>
      </w:r>
      <w:r>
        <w:tab/>
      </w:r>
      <w:r w:rsidR="002F60E0">
        <w:t>P</w:t>
      </w:r>
      <w:r w:rsidR="002D12FA">
        <w:t xml:space="preserve">revious </w:t>
      </w:r>
      <w:r>
        <w:t>industry of workers joining the resources sector, 2002 to 2010</w:t>
      </w:r>
      <w:r w:rsidR="002F60E0">
        <w:t>, indicative estimates</w:t>
      </w:r>
      <w:r w:rsidR="002D12FA" w:rsidRPr="002D12FA">
        <w:rPr>
          <w:rStyle w:val="NoteLabel"/>
          <w:b/>
        </w:rPr>
        <w:t>a</w:t>
      </w:r>
      <w:r w:rsidR="00227171">
        <w:rPr>
          <w:rStyle w:val="NoteLabel"/>
          <w:b/>
        </w:rPr>
        <w:t>, b</w:t>
      </w:r>
    </w:p>
    <w:p w:rsidR="000543D7" w:rsidRDefault="000543D7" w:rsidP="000543D7">
      <w:pPr>
        <w:pStyle w:val="Subtitle"/>
      </w:pPr>
      <w:r>
        <w:t xml:space="preserve">Per cent of </w:t>
      </w:r>
      <w:r w:rsidR="00B95100">
        <w:t>joining</w:t>
      </w:r>
      <w:r w:rsidR="00EC511B">
        <w:t xml:space="preserve"> </w:t>
      </w:r>
      <w:r>
        <w:t>workers</w:t>
      </w:r>
      <w:r w:rsidR="00B95100">
        <w:t>,</w:t>
      </w:r>
      <w:r>
        <w:t xml:space="preserve"> by previous industry</w:t>
      </w:r>
    </w:p>
    <w:tbl>
      <w:tblPr>
        <w:tblW w:w="5000" w:type="pct"/>
        <w:tblCellMar>
          <w:left w:w="0" w:type="dxa"/>
          <w:right w:w="0" w:type="dxa"/>
        </w:tblCellMar>
        <w:tblLook w:val="04A0" w:firstRow="1" w:lastRow="0" w:firstColumn="1" w:lastColumn="0" w:noHBand="0" w:noVBand="1"/>
      </w:tblPr>
      <w:tblGrid>
        <w:gridCol w:w="2370"/>
        <w:gridCol w:w="713"/>
        <w:gridCol w:w="714"/>
        <w:gridCol w:w="714"/>
        <w:gridCol w:w="714"/>
        <w:gridCol w:w="714"/>
        <w:gridCol w:w="714"/>
        <w:gridCol w:w="714"/>
        <w:gridCol w:w="714"/>
        <w:gridCol w:w="708"/>
      </w:tblGrid>
      <w:tr w:rsidR="000543D7" w:rsidTr="002D12FA">
        <w:tc>
          <w:tcPr>
            <w:tcW w:w="1349" w:type="pct"/>
            <w:tcBorders>
              <w:top w:val="single" w:sz="6" w:space="0" w:color="auto"/>
              <w:left w:val="nil"/>
              <w:bottom w:val="single" w:sz="6" w:space="0" w:color="auto"/>
              <w:right w:val="nil"/>
            </w:tcBorders>
            <w:hideMark/>
          </w:tcPr>
          <w:p w:rsidR="000543D7" w:rsidRDefault="000543D7">
            <w:pPr>
              <w:pStyle w:val="TableColumnHeading"/>
              <w:jc w:val="left"/>
              <w:rPr>
                <w:sz w:val="18"/>
                <w:szCs w:val="18"/>
              </w:rPr>
            </w:pPr>
            <w:r>
              <w:rPr>
                <w:sz w:val="18"/>
                <w:szCs w:val="18"/>
              </w:rPr>
              <w:t>Previous industry</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2002</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2003</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2004</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2005</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2006</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2007</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2008</w:t>
            </w:r>
          </w:p>
        </w:tc>
        <w:tc>
          <w:tcPr>
            <w:tcW w:w="406" w:type="pct"/>
            <w:tcBorders>
              <w:top w:val="single" w:sz="6" w:space="0" w:color="auto"/>
              <w:left w:val="nil"/>
              <w:bottom w:val="single" w:sz="6" w:space="0" w:color="auto"/>
              <w:right w:val="nil"/>
            </w:tcBorders>
            <w:hideMark/>
          </w:tcPr>
          <w:p w:rsidR="000543D7" w:rsidRDefault="000543D7">
            <w:pPr>
              <w:pStyle w:val="TableColumnHeading"/>
              <w:rPr>
                <w:rFonts w:cs="Arial"/>
                <w:color w:val="000000"/>
                <w:sz w:val="18"/>
                <w:szCs w:val="18"/>
              </w:rPr>
            </w:pPr>
            <w:r>
              <w:rPr>
                <w:rFonts w:cs="Arial"/>
                <w:color w:val="000000"/>
                <w:sz w:val="18"/>
                <w:szCs w:val="18"/>
              </w:rPr>
              <w:t>2009</w:t>
            </w:r>
          </w:p>
        </w:tc>
        <w:tc>
          <w:tcPr>
            <w:tcW w:w="406" w:type="pct"/>
            <w:tcBorders>
              <w:top w:val="single" w:sz="6" w:space="0" w:color="auto"/>
              <w:left w:val="nil"/>
              <w:bottom w:val="single" w:sz="6" w:space="0" w:color="auto"/>
              <w:right w:val="nil"/>
            </w:tcBorders>
            <w:hideMark/>
          </w:tcPr>
          <w:p w:rsidR="000543D7" w:rsidRDefault="000543D7">
            <w:pPr>
              <w:pStyle w:val="TableColumnHeading"/>
              <w:ind w:right="6"/>
              <w:rPr>
                <w:rFonts w:cs="Arial"/>
                <w:color w:val="000000"/>
                <w:sz w:val="18"/>
                <w:szCs w:val="18"/>
              </w:rPr>
            </w:pPr>
            <w:r>
              <w:rPr>
                <w:rFonts w:cs="Arial"/>
                <w:color w:val="000000"/>
                <w:sz w:val="18"/>
                <w:szCs w:val="18"/>
              </w:rPr>
              <w:t>2010</w:t>
            </w:r>
          </w:p>
        </w:tc>
      </w:tr>
      <w:tr w:rsidR="000543D7" w:rsidTr="002D12FA">
        <w:tc>
          <w:tcPr>
            <w:tcW w:w="1349" w:type="pct"/>
            <w:tcBorders>
              <w:top w:val="single" w:sz="6" w:space="0" w:color="auto"/>
              <w:left w:val="nil"/>
              <w:bottom w:val="nil"/>
              <w:right w:val="nil"/>
            </w:tcBorders>
            <w:vAlign w:val="center"/>
            <w:hideMark/>
          </w:tcPr>
          <w:p w:rsidR="000543D7" w:rsidRDefault="000543D7">
            <w:pPr>
              <w:pStyle w:val="TableBodyText"/>
              <w:spacing w:before="40"/>
              <w:jc w:val="left"/>
              <w:rPr>
                <w:sz w:val="18"/>
                <w:szCs w:val="18"/>
              </w:rPr>
            </w:pPr>
            <w:r>
              <w:rPr>
                <w:sz w:val="18"/>
                <w:szCs w:val="18"/>
              </w:rPr>
              <w:t>Manufacturing</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29.0</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34.5</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49.8</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31.2</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20.4</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29.8</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16.5</w:t>
            </w:r>
          </w:p>
        </w:tc>
        <w:tc>
          <w:tcPr>
            <w:tcW w:w="406" w:type="pct"/>
            <w:tcBorders>
              <w:top w:val="single" w:sz="6" w:space="0" w:color="auto"/>
              <w:left w:val="nil"/>
              <w:bottom w:val="nil"/>
              <w:right w:val="nil"/>
            </w:tcBorders>
            <w:hideMark/>
          </w:tcPr>
          <w:p w:rsidR="000543D7" w:rsidRDefault="000543D7">
            <w:pPr>
              <w:pStyle w:val="TableBodyText"/>
              <w:spacing w:before="40"/>
              <w:rPr>
                <w:sz w:val="18"/>
                <w:szCs w:val="18"/>
              </w:rPr>
            </w:pPr>
            <w:r>
              <w:rPr>
                <w:sz w:val="18"/>
                <w:szCs w:val="18"/>
              </w:rPr>
              <w:t>25.7</w:t>
            </w:r>
          </w:p>
        </w:tc>
        <w:tc>
          <w:tcPr>
            <w:tcW w:w="406" w:type="pct"/>
            <w:tcBorders>
              <w:top w:val="single" w:sz="6" w:space="0" w:color="auto"/>
              <w:left w:val="nil"/>
              <w:bottom w:val="nil"/>
              <w:right w:val="nil"/>
            </w:tcBorders>
            <w:hideMark/>
          </w:tcPr>
          <w:p w:rsidR="000543D7" w:rsidRDefault="000543D7">
            <w:pPr>
              <w:pStyle w:val="TableBodyText"/>
              <w:spacing w:before="40"/>
              <w:ind w:right="6"/>
              <w:rPr>
                <w:sz w:val="18"/>
                <w:szCs w:val="18"/>
              </w:rPr>
            </w:pPr>
            <w:r>
              <w:rPr>
                <w:sz w:val="18"/>
                <w:szCs w:val="18"/>
              </w:rPr>
              <w:t>13.4</w:t>
            </w:r>
          </w:p>
        </w:tc>
      </w:tr>
      <w:tr w:rsidR="000543D7" w:rsidTr="002D12FA">
        <w:tc>
          <w:tcPr>
            <w:tcW w:w="1349" w:type="pct"/>
            <w:vAlign w:val="center"/>
            <w:hideMark/>
          </w:tcPr>
          <w:p w:rsidR="000543D7" w:rsidRDefault="000543D7" w:rsidP="00227171">
            <w:pPr>
              <w:pStyle w:val="TableBodyText"/>
              <w:ind w:left="119" w:hanging="113"/>
              <w:jc w:val="left"/>
              <w:rPr>
                <w:sz w:val="18"/>
                <w:szCs w:val="18"/>
              </w:rPr>
            </w:pPr>
            <w:r>
              <w:rPr>
                <w:sz w:val="18"/>
                <w:szCs w:val="18"/>
              </w:rPr>
              <w:t xml:space="preserve">Electricity, gas, water </w:t>
            </w:r>
            <w:r>
              <w:rPr>
                <w:sz w:val="18"/>
                <w:szCs w:val="18"/>
              </w:rPr>
              <w:br/>
              <w:t xml:space="preserve">&amp; waste </w:t>
            </w:r>
            <w:r w:rsidR="00227171">
              <w:rPr>
                <w:sz w:val="18"/>
                <w:szCs w:val="18"/>
              </w:rPr>
              <w:t>services</w:t>
            </w:r>
            <w:r w:rsidR="00227171">
              <w:rPr>
                <w:rStyle w:val="NoteLabel"/>
              </w:rPr>
              <w:t>c</w:t>
            </w:r>
          </w:p>
        </w:tc>
        <w:tc>
          <w:tcPr>
            <w:tcW w:w="406" w:type="pct"/>
            <w:hideMark/>
          </w:tcPr>
          <w:p w:rsidR="000543D7" w:rsidRDefault="000543D7">
            <w:pPr>
              <w:pStyle w:val="TableBodyText"/>
              <w:rPr>
                <w:sz w:val="18"/>
                <w:szCs w:val="18"/>
              </w:rPr>
            </w:pPr>
            <w:r>
              <w:rPr>
                <w:sz w:val="18"/>
                <w:szCs w:val="18"/>
              </w:rPr>
              <w:t>9.8</w:t>
            </w:r>
          </w:p>
        </w:tc>
        <w:tc>
          <w:tcPr>
            <w:tcW w:w="406" w:type="pct"/>
            <w:hideMark/>
          </w:tcPr>
          <w:p w:rsidR="000543D7" w:rsidRDefault="000543D7">
            <w:pPr>
              <w:pStyle w:val="TableBodyText"/>
              <w:rPr>
                <w:sz w:val="18"/>
                <w:szCs w:val="18"/>
              </w:rPr>
            </w:pPr>
            <w:r>
              <w:rPr>
                <w:sz w:val="18"/>
                <w:szCs w:val="18"/>
              </w:rPr>
              <w:t>–</w:t>
            </w:r>
          </w:p>
        </w:tc>
        <w:tc>
          <w:tcPr>
            <w:tcW w:w="406" w:type="pct"/>
            <w:hideMark/>
          </w:tcPr>
          <w:p w:rsidR="000543D7" w:rsidRDefault="000543D7">
            <w:pPr>
              <w:pStyle w:val="TableBodyText"/>
              <w:rPr>
                <w:sz w:val="18"/>
                <w:szCs w:val="18"/>
              </w:rPr>
            </w:pPr>
            <w:r>
              <w:rPr>
                <w:sz w:val="18"/>
                <w:szCs w:val="18"/>
              </w:rPr>
              <w:t>–</w:t>
            </w:r>
          </w:p>
        </w:tc>
        <w:tc>
          <w:tcPr>
            <w:tcW w:w="406" w:type="pct"/>
            <w:hideMark/>
          </w:tcPr>
          <w:p w:rsidR="000543D7" w:rsidRDefault="000543D7">
            <w:pPr>
              <w:pStyle w:val="TableBodyText"/>
              <w:rPr>
                <w:sz w:val="18"/>
                <w:szCs w:val="18"/>
              </w:rPr>
            </w:pPr>
            <w:r>
              <w:rPr>
                <w:sz w:val="18"/>
                <w:szCs w:val="18"/>
              </w:rPr>
              <w:t>8.5</w:t>
            </w:r>
          </w:p>
        </w:tc>
        <w:tc>
          <w:tcPr>
            <w:tcW w:w="406" w:type="pct"/>
            <w:hideMark/>
          </w:tcPr>
          <w:p w:rsidR="000543D7" w:rsidRDefault="000543D7">
            <w:pPr>
              <w:pStyle w:val="TableBodyText"/>
              <w:rPr>
                <w:sz w:val="18"/>
                <w:szCs w:val="18"/>
              </w:rPr>
            </w:pPr>
            <w:r>
              <w:rPr>
                <w:sz w:val="18"/>
                <w:szCs w:val="18"/>
              </w:rPr>
              <w:t>–</w:t>
            </w:r>
          </w:p>
        </w:tc>
        <w:tc>
          <w:tcPr>
            <w:tcW w:w="406" w:type="pct"/>
            <w:hideMark/>
          </w:tcPr>
          <w:p w:rsidR="000543D7" w:rsidRDefault="000543D7">
            <w:pPr>
              <w:pStyle w:val="TableBodyText"/>
              <w:rPr>
                <w:sz w:val="18"/>
                <w:szCs w:val="18"/>
              </w:rPr>
            </w:pPr>
            <w:r>
              <w:rPr>
                <w:sz w:val="18"/>
                <w:szCs w:val="18"/>
              </w:rPr>
              <w:t>–</w:t>
            </w:r>
          </w:p>
        </w:tc>
        <w:tc>
          <w:tcPr>
            <w:tcW w:w="406" w:type="pct"/>
            <w:hideMark/>
          </w:tcPr>
          <w:p w:rsidR="000543D7" w:rsidRDefault="000543D7">
            <w:pPr>
              <w:pStyle w:val="TableBodyText"/>
              <w:rPr>
                <w:sz w:val="18"/>
                <w:szCs w:val="18"/>
              </w:rPr>
            </w:pPr>
            <w:r>
              <w:rPr>
                <w:sz w:val="18"/>
                <w:szCs w:val="18"/>
              </w:rPr>
              <w:t>10.0</w:t>
            </w:r>
          </w:p>
        </w:tc>
        <w:tc>
          <w:tcPr>
            <w:tcW w:w="406" w:type="pct"/>
            <w:hideMark/>
          </w:tcPr>
          <w:p w:rsidR="000543D7" w:rsidRDefault="000543D7">
            <w:pPr>
              <w:pStyle w:val="TableBodyText"/>
              <w:rPr>
                <w:sz w:val="18"/>
                <w:szCs w:val="18"/>
              </w:rPr>
            </w:pPr>
            <w:r>
              <w:rPr>
                <w:sz w:val="18"/>
                <w:szCs w:val="18"/>
              </w:rPr>
              <w:t>–</w:t>
            </w:r>
          </w:p>
        </w:tc>
        <w:tc>
          <w:tcPr>
            <w:tcW w:w="406" w:type="pct"/>
            <w:hideMark/>
          </w:tcPr>
          <w:p w:rsidR="000543D7" w:rsidRDefault="000543D7">
            <w:pPr>
              <w:pStyle w:val="TableBodyText"/>
              <w:ind w:right="6"/>
              <w:rPr>
                <w:sz w:val="18"/>
                <w:szCs w:val="18"/>
              </w:rPr>
            </w:pPr>
            <w:r>
              <w:rPr>
                <w:sz w:val="18"/>
                <w:szCs w:val="18"/>
              </w:rPr>
              <w:t>4.7</w:t>
            </w:r>
          </w:p>
        </w:tc>
      </w:tr>
      <w:tr w:rsidR="000543D7" w:rsidTr="002D12FA">
        <w:tc>
          <w:tcPr>
            <w:tcW w:w="1349" w:type="pct"/>
            <w:vAlign w:val="center"/>
            <w:hideMark/>
          </w:tcPr>
          <w:p w:rsidR="000543D7" w:rsidRDefault="00227171" w:rsidP="00227171">
            <w:pPr>
              <w:pStyle w:val="TableBodyText"/>
              <w:jc w:val="left"/>
              <w:rPr>
                <w:sz w:val="18"/>
                <w:szCs w:val="18"/>
              </w:rPr>
            </w:pPr>
            <w:r>
              <w:rPr>
                <w:sz w:val="18"/>
                <w:szCs w:val="18"/>
              </w:rPr>
              <w:t>Construction</w:t>
            </w:r>
            <w:r>
              <w:rPr>
                <w:rStyle w:val="NoteLabel"/>
              </w:rPr>
              <w:t>c</w:t>
            </w:r>
          </w:p>
        </w:tc>
        <w:tc>
          <w:tcPr>
            <w:tcW w:w="406" w:type="pct"/>
            <w:hideMark/>
          </w:tcPr>
          <w:p w:rsidR="000543D7" w:rsidRDefault="000543D7">
            <w:pPr>
              <w:pStyle w:val="TableBodyText"/>
              <w:rPr>
                <w:sz w:val="18"/>
                <w:szCs w:val="18"/>
              </w:rPr>
            </w:pPr>
            <w:r>
              <w:rPr>
                <w:sz w:val="18"/>
                <w:szCs w:val="18"/>
              </w:rPr>
              <w:t>10.4</w:t>
            </w:r>
          </w:p>
        </w:tc>
        <w:tc>
          <w:tcPr>
            <w:tcW w:w="406" w:type="pct"/>
            <w:hideMark/>
          </w:tcPr>
          <w:p w:rsidR="000543D7" w:rsidRDefault="000543D7">
            <w:pPr>
              <w:pStyle w:val="TableBodyText"/>
              <w:rPr>
                <w:sz w:val="18"/>
                <w:szCs w:val="18"/>
              </w:rPr>
            </w:pPr>
            <w:r>
              <w:rPr>
                <w:sz w:val="18"/>
                <w:szCs w:val="18"/>
              </w:rPr>
              <w:t>17.0</w:t>
            </w:r>
          </w:p>
        </w:tc>
        <w:tc>
          <w:tcPr>
            <w:tcW w:w="406" w:type="pct"/>
            <w:hideMark/>
          </w:tcPr>
          <w:p w:rsidR="000543D7" w:rsidRDefault="000543D7">
            <w:pPr>
              <w:pStyle w:val="TableBodyText"/>
              <w:rPr>
                <w:sz w:val="18"/>
                <w:szCs w:val="18"/>
              </w:rPr>
            </w:pPr>
            <w:r>
              <w:rPr>
                <w:sz w:val="18"/>
                <w:szCs w:val="18"/>
              </w:rPr>
              <w:t>6.5</w:t>
            </w:r>
          </w:p>
        </w:tc>
        <w:tc>
          <w:tcPr>
            <w:tcW w:w="406" w:type="pct"/>
            <w:hideMark/>
          </w:tcPr>
          <w:p w:rsidR="000543D7" w:rsidRDefault="000543D7">
            <w:pPr>
              <w:pStyle w:val="TableBodyText"/>
              <w:rPr>
                <w:sz w:val="18"/>
                <w:szCs w:val="18"/>
              </w:rPr>
            </w:pPr>
            <w:r>
              <w:rPr>
                <w:sz w:val="18"/>
                <w:szCs w:val="18"/>
              </w:rPr>
              <w:t>15.5</w:t>
            </w:r>
          </w:p>
        </w:tc>
        <w:tc>
          <w:tcPr>
            <w:tcW w:w="406" w:type="pct"/>
            <w:hideMark/>
          </w:tcPr>
          <w:p w:rsidR="000543D7" w:rsidRDefault="000543D7">
            <w:pPr>
              <w:pStyle w:val="TableBodyText"/>
              <w:rPr>
                <w:sz w:val="18"/>
                <w:szCs w:val="18"/>
              </w:rPr>
            </w:pPr>
            <w:r>
              <w:rPr>
                <w:sz w:val="18"/>
                <w:szCs w:val="18"/>
              </w:rPr>
              <w:t>11.0</w:t>
            </w:r>
          </w:p>
        </w:tc>
        <w:tc>
          <w:tcPr>
            <w:tcW w:w="406" w:type="pct"/>
            <w:hideMark/>
          </w:tcPr>
          <w:p w:rsidR="000543D7" w:rsidRDefault="000543D7">
            <w:pPr>
              <w:pStyle w:val="TableBodyText"/>
              <w:rPr>
                <w:sz w:val="18"/>
                <w:szCs w:val="18"/>
              </w:rPr>
            </w:pPr>
            <w:r>
              <w:rPr>
                <w:sz w:val="18"/>
                <w:szCs w:val="18"/>
              </w:rPr>
              <w:t>12.6</w:t>
            </w:r>
          </w:p>
        </w:tc>
        <w:tc>
          <w:tcPr>
            <w:tcW w:w="406" w:type="pct"/>
            <w:hideMark/>
          </w:tcPr>
          <w:p w:rsidR="000543D7" w:rsidRDefault="000543D7">
            <w:pPr>
              <w:pStyle w:val="TableBodyText"/>
              <w:rPr>
                <w:sz w:val="18"/>
                <w:szCs w:val="18"/>
              </w:rPr>
            </w:pPr>
            <w:r>
              <w:rPr>
                <w:sz w:val="18"/>
                <w:szCs w:val="18"/>
              </w:rPr>
              <w:t>27.1</w:t>
            </w:r>
          </w:p>
        </w:tc>
        <w:tc>
          <w:tcPr>
            <w:tcW w:w="406" w:type="pct"/>
            <w:hideMark/>
          </w:tcPr>
          <w:p w:rsidR="000543D7" w:rsidRDefault="000543D7">
            <w:pPr>
              <w:pStyle w:val="TableBodyText"/>
              <w:rPr>
                <w:sz w:val="18"/>
                <w:szCs w:val="18"/>
              </w:rPr>
            </w:pPr>
            <w:r>
              <w:rPr>
                <w:sz w:val="18"/>
                <w:szCs w:val="18"/>
              </w:rPr>
              <w:t>20.8</w:t>
            </w:r>
          </w:p>
        </w:tc>
        <w:tc>
          <w:tcPr>
            <w:tcW w:w="406" w:type="pct"/>
            <w:hideMark/>
          </w:tcPr>
          <w:p w:rsidR="000543D7" w:rsidRDefault="000543D7">
            <w:pPr>
              <w:pStyle w:val="TableBodyText"/>
              <w:ind w:right="6"/>
              <w:rPr>
                <w:sz w:val="18"/>
                <w:szCs w:val="18"/>
              </w:rPr>
            </w:pPr>
            <w:r>
              <w:rPr>
                <w:sz w:val="18"/>
                <w:szCs w:val="18"/>
              </w:rPr>
              <w:t>21.7</w:t>
            </w:r>
          </w:p>
        </w:tc>
      </w:tr>
      <w:tr w:rsidR="000543D7" w:rsidTr="002D12FA">
        <w:tc>
          <w:tcPr>
            <w:tcW w:w="1349" w:type="pct"/>
            <w:vAlign w:val="center"/>
            <w:hideMark/>
          </w:tcPr>
          <w:p w:rsidR="000543D7" w:rsidRDefault="000543D7" w:rsidP="00227171">
            <w:pPr>
              <w:pStyle w:val="TableBodyText"/>
              <w:jc w:val="left"/>
              <w:rPr>
                <w:sz w:val="18"/>
                <w:szCs w:val="18"/>
              </w:rPr>
            </w:pPr>
            <w:r>
              <w:rPr>
                <w:sz w:val="18"/>
                <w:szCs w:val="18"/>
              </w:rPr>
              <w:t xml:space="preserve">Wholesale </w:t>
            </w:r>
            <w:r w:rsidR="00227171">
              <w:rPr>
                <w:sz w:val="18"/>
                <w:szCs w:val="18"/>
              </w:rPr>
              <w:t>trade</w:t>
            </w:r>
            <w:r w:rsidR="00227171">
              <w:rPr>
                <w:rStyle w:val="NoteLabel"/>
              </w:rPr>
              <w:t>c</w:t>
            </w:r>
          </w:p>
        </w:tc>
        <w:tc>
          <w:tcPr>
            <w:tcW w:w="406" w:type="pct"/>
            <w:hideMark/>
          </w:tcPr>
          <w:p w:rsidR="000543D7" w:rsidRDefault="000543D7">
            <w:pPr>
              <w:pStyle w:val="TableBodyText"/>
              <w:rPr>
                <w:sz w:val="18"/>
                <w:szCs w:val="18"/>
              </w:rPr>
            </w:pPr>
            <w:r>
              <w:rPr>
                <w:sz w:val="18"/>
                <w:szCs w:val="18"/>
              </w:rPr>
              <w:t>–</w:t>
            </w:r>
          </w:p>
        </w:tc>
        <w:tc>
          <w:tcPr>
            <w:tcW w:w="406" w:type="pct"/>
            <w:hideMark/>
          </w:tcPr>
          <w:p w:rsidR="000543D7" w:rsidRDefault="000543D7">
            <w:pPr>
              <w:pStyle w:val="TableBodyText"/>
              <w:rPr>
                <w:sz w:val="18"/>
                <w:szCs w:val="18"/>
              </w:rPr>
            </w:pPr>
            <w:r>
              <w:rPr>
                <w:sz w:val="18"/>
                <w:szCs w:val="18"/>
              </w:rPr>
              <w:t>20.1</w:t>
            </w:r>
          </w:p>
        </w:tc>
        <w:tc>
          <w:tcPr>
            <w:tcW w:w="406" w:type="pct"/>
            <w:hideMark/>
          </w:tcPr>
          <w:p w:rsidR="000543D7" w:rsidRDefault="000543D7">
            <w:pPr>
              <w:pStyle w:val="TableBodyText"/>
              <w:rPr>
                <w:sz w:val="18"/>
                <w:szCs w:val="18"/>
              </w:rPr>
            </w:pPr>
            <w:r>
              <w:rPr>
                <w:sz w:val="18"/>
                <w:szCs w:val="18"/>
              </w:rPr>
              <w:t>5.7</w:t>
            </w:r>
          </w:p>
        </w:tc>
        <w:tc>
          <w:tcPr>
            <w:tcW w:w="406" w:type="pct"/>
            <w:hideMark/>
          </w:tcPr>
          <w:p w:rsidR="000543D7" w:rsidRDefault="000543D7">
            <w:pPr>
              <w:pStyle w:val="TableBodyText"/>
              <w:rPr>
                <w:sz w:val="18"/>
                <w:szCs w:val="18"/>
              </w:rPr>
            </w:pPr>
            <w:r>
              <w:rPr>
                <w:sz w:val="18"/>
                <w:szCs w:val="18"/>
              </w:rPr>
              <w:t>2.5</w:t>
            </w:r>
          </w:p>
        </w:tc>
        <w:tc>
          <w:tcPr>
            <w:tcW w:w="406" w:type="pct"/>
            <w:hideMark/>
          </w:tcPr>
          <w:p w:rsidR="000543D7" w:rsidRDefault="000543D7">
            <w:pPr>
              <w:pStyle w:val="TableBodyText"/>
              <w:rPr>
                <w:sz w:val="18"/>
                <w:szCs w:val="18"/>
              </w:rPr>
            </w:pPr>
            <w:r>
              <w:rPr>
                <w:sz w:val="18"/>
                <w:szCs w:val="18"/>
              </w:rPr>
              <w:t>10.4</w:t>
            </w:r>
          </w:p>
        </w:tc>
        <w:tc>
          <w:tcPr>
            <w:tcW w:w="406" w:type="pct"/>
            <w:hideMark/>
          </w:tcPr>
          <w:p w:rsidR="000543D7" w:rsidRDefault="000543D7">
            <w:pPr>
              <w:pStyle w:val="TableBodyText"/>
              <w:rPr>
                <w:sz w:val="18"/>
                <w:szCs w:val="18"/>
              </w:rPr>
            </w:pPr>
            <w:r>
              <w:rPr>
                <w:sz w:val="18"/>
                <w:szCs w:val="18"/>
              </w:rPr>
              <w:t>2.2</w:t>
            </w:r>
          </w:p>
        </w:tc>
        <w:tc>
          <w:tcPr>
            <w:tcW w:w="406" w:type="pct"/>
            <w:hideMark/>
          </w:tcPr>
          <w:p w:rsidR="000543D7" w:rsidRDefault="000543D7">
            <w:pPr>
              <w:pStyle w:val="TableBodyText"/>
              <w:rPr>
                <w:sz w:val="18"/>
                <w:szCs w:val="18"/>
              </w:rPr>
            </w:pPr>
            <w:r>
              <w:rPr>
                <w:sz w:val="18"/>
                <w:szCs w:val="18"/>
              </w:rPr>
              <w:t>1.8</w:t>
            </w:r>
          </w:p>
        </w:tc>
        <w:tc>
          <w:tcPr>
            <w:tcW w:w="406" w:type="pct"/>
            <w:hideMark/>
          </w:tcPr>
          <w:p w:rsidR="000543D7" w:rsidRDefault="000543D7">
            <w:pPr>
              <w:pStyle w:val="TableBodyText"/>
              <w:rPr>
                <w:sz w:val="18"/>
                <w:szCs w:val="18"/>
              </w:rPr>
            </w:pPr>
            <w:r>
              <w:rPr>
                <w:sz w:val="18"/>
                <w:szCs w:val="18"/>
              </w:rPr>
              <w:t>3.7</w:t>
            </w:r>
          </w:p>
        </w:tc>
        <w:tc>
          <w:tcPr>
            <w:tcW w:w="406" w:type="pct"/>
            <w:hideMark/>
          </w:tcPr>
          <w:p w:rsidR="000543D7" w:rsidRDefault="000543D7">
            <w:pPr>
              <w:pStyle w:val="TableBodyText"/>
              <w:ind w:right="6"/>
              <w:rPr>
                <w:sz w:val="18"/>
                <w:szCs w:val="18"/>
              </w:rPr>
            </w:pPr>
            <w:r>
              <w:rPr>
                <w:sz w:val="18"/>
                <w:szCs w:val="18"/>
              </w:rPr>
              <w:t>18.1</w:t>
            </w:r>
          </w:p>
        </w:tc>
      </w:tr>
      <w:tr w:rsidR="000543D7" w:rsidTr="002D12FA">
        <w:tc>
          <w:tcPr>
            <w:tcW w:w="1349" w:type="pct"/>
            <w:vAlign w:val="center"/>
            <w:hideMark/>
          </w:tcPr>
          <w:p w:rsidR="000543D7" w:rsidRPr="0068002E" w:rsidRDefault="000543D7" w:rsidP="00227171">
            <w:pPr>
              <w:pStyle w:val="TableBodyText"/>
              <w:ind w:left="119" w:hanging="113"/>
              <w:jc w:val="left"/>
              <w:rPr>
                <w:b/>
                <w:sz w:val="18"/>
                <w:szCs w:val="18"/>
              </w:rPr>
            </w:pPr>
            <w:r>
              <w:rPr>
                <w:sz w:val="18"/>
                <w:szCs w:val="18"/>
              </w:rPr>
              <w:t xml:space="preserve">Transport, postal &amp; </w:t>
            </w:r>
            <w:r w:rsidR="00227171">
              <w:rPr>
                <w:sz w:val="18"/>
                <w:szCs w:val="18"/>
              </w:rPr>
              <w:t>warehousing</w:t>
            </w:r>
            <w:r w:rsidR="00227171">
              <w:rPr>
                <w:rStyle w:val="NoteLabel"/>
              </w:rPr>
              <w:t>c</w:t>
            </w:r>
          </w:p>
        </w:tc>
        <w:tc>
          <w:tcPr>
            <w:tcW w:w="406" w:type="pct"/>
            <w:hideMark/>
          </w:tcPr>
          <w:p w:rsidR="000543D7" w:rsidRDefault="000543D7">
            <w:pPr>
              <w:pStyle w:val="TableBodyText"/>
            </w:pPr>
            <w:r>
              <w:rPr>
                <w:sz w:val="18"/>
                <w:szCs w:val="18"/>
              </w:rPr>
              <w:t>–</w:t>
            </w:r>
          </w:p>
        </w:tc>
        <w:tc>
          <w:tcPr>
            <w:tcW w:w="406" w:type="pct"/>
            <w:hideMark/>
          </w:tcPr>
          <w:p w:rsidR="000543D7" w:rsidRDefault="000543D7">
            <w:pPr>
              <w:pStyle w:val="TableBodyText"/>
              <w:rPr>
                <w:sz w:val="18"/>
                <w:szCs w:val="18"/>
              </w:rPr>
            </w:pPr>
            <w:r>
              <w:rPr>
                <w:sz w:val="18"/>
                <w:szCs w:val="18"/>
              </w:rPr>
              <w:t>7.8</w:t>
            </w:r>
          </w:p>
        </w:tc>
        <w:tc>
          <w:tcPr>
            <w:tcW w:w="406" w:type="pct"/>
            <w:hideMark/>
          </w:tcPr>
          <w:p w:rsidR="000543D7" w:rsidRDefault="000543D7">
            <w:pPr>
              <w:pStyle w:val="TableBodyText"/>
              <w:rPr>
                <w:sz w:val="18"/>
                <w:szCs w:val="18"/>
              </w:rPr>
            </w:pPr>
            <w:r>
              <w:rPr>
                <w:sz w:val="18"/>
                <w:szCs w:val="18"/>
              </w:rPr>
              <w:t>–</w:t>
            </w:r>
          </w:p>
        </w:tc>
        <w:tc>
          <w:tcPr>
            <w:tcW w:w="406" w:type="pct"/>
            <w:hideMark/>
          </w:tcPr>
          <w:p w:rsidR="000543D7" w:rsidRDefault="000543D7">
            <w:pPr>
              <w:pStyle w:val="TableBodyText"/>
              <w:rPr>
                <w:sz w:val="18"/>
                <w:szCs w:val="18"/>
              </w:rPr>
            </w:pPr>
            <w:r>
              <w:rPr>
                <w:sz w:val="18"/>
                <w:szCs w:val="18"/>
              </w:rPr>
              <w:t>8.3</w:t>
            </w:r>
          </w:p>
        </w:tc>
        <w:tc>
          <w:tcPr>
            <w:tcW w:w="406" w:type="pct"/>
            <w:hideMark/>
          </w:tcPr>
          <w:p w:rsidR="000543D7" w:rsidRDefault="000543D7">
            <w:pPr>
              <w:pStyle w:val="TableBodyText"/>
              <w:rPr>
                <w:sz w:val="18"/>
                <w:szCs w:val="18"/>
              </w:rPr>
            </w:pPr>
            <w:r>
              <w:rPr>
                <w:sz w:val="18"/>
                <w:szCs w:val="18"/>
              </w:rPr>
              <w:t>7.3</w:t>
            </w:r>
          </w:p>
        </w:tc>
        <w:tc>
          <w:tcPr>
            <w:tcW w:w="406" w:type="pct"/>
            <w:hideMark/>
          </w:tcPr>
          <w:p w:rsidR="000543D7" w:rsidRDefault="000543D7">
            <w:pPr>
              <w:pStyle w:val="TableBodyText"/>
              <w:rPr>
                <w:sz w:val="18"/>
                <w:szCs w:val="18"/>
              </w:rPr>
            </w:pPr>
            <w:r>
              <w:rPr>
                <w:sz w:val="18"/>
                <w:szCs w:val="18"/>
              </w:rPr>
              <w:t>2.2</w:t>
            </w:r>
          </w:p>
        </w:tc>
        <w:tc>
          <w:tcPr>
            <w:tcW w:w="406" w:type="pct"/>
            <w:hideMark/>
          </w:tcPr>
          <w:p w:rsidR="000543D7" w:rsidRDefault="000543D7">
            <w:pPr>
              <w:pStyle w:val="TableBodyText"/>
              <w:rPr>
                <w:sz w:val="18"/>
                <w:szCs w:val="18"/>
              </w:rPr>
            </w:pPr>
            <w:r>
              <w:rPr>
                <w:sz w:val="18"/>
                <w:szCs w:val="18"/>
              </w:rPr>
              <w:t>6.9</w:t>
            </w:r>
          </w:p>
        </w:tc>
        <w:tc>
          <w:tcPr>
            <w:tcW w:w="406" w:type="pct"/>
            <w:hideMark/>
          </w:tcPr>
          <w:p w:rsidR="000543D7" w:rsidRDefault="000543D7">
            <w:pPr>
              <w:pStyle w:val="TableBodyText"/>
              <w:rPr>
                <w:sz w:val="18"/>
                <w:szCs w:val="18"/>
              </w:rPr>
            </w:pPr>
            <w:r>
              <w:rPr>
                <w:sz w:val="18"/>
                <w:szCs w:val="18"/>
              </w:rPr>
              <w:t>8.1</w:t>
            </w:r>
          </w:p>
        </w:tc>
        <w:tc>
          <w:tcPr>
            <w:tcW w:w="406" w:type="pct"/>
            <w:hideMark/>
          </w:tcPr>
          <w:p w:rsidR="000543D7" w:rsidRDefault="000543D7">
            <w:pPr>
              <w:pStyle w:val="TableBodyText"/>
              <w:ind w:right="6"/>
              <w:rPr>
                <w:sz w:val="18"/>
                <w:szCs w:val="18"/>
              </w:rPr>
            </w:pPr>
            <w:r>
              <w:rPr>
                <w:sz w:val="18"/>
                <w:szCs w:val="18"/>
              </w:rPr>
              <w:t>3.4</w:t>
            </w:r>
          </w:p>
        </w:tc>
      </w:tr>
      <w:tr w:rsidR="000543D7" w:rsidTr="002D12FA">
        <w:tc>
          <w:tcPr>
            <w:tcW w:w="1349" w:type="pct"/>
            <w:vAlign w:val="center"/>
            <w:hideMark/>
          </w:tcPr>
          <w:p w:rsidR="000543D7" w:rsidRPr="0068002E" w:rsidRDefault="000543D7" w:rsidP="00227171">
            <w:pPr>
              <w:pStyle w:val="TableBodyText"/>
              <w:ind w:left="119" w:hanging="113"/>
              <w:jc w:val="left"/>
              <w:rPr>
                <w:b/>
                <w:sz w:val="18"/>
                <w:szCs w:val="18"/>
              </w:rPr>
            </w:pPr>
            <w:r>
              <w:rPr>
                <w:sz w:val="18"/>
                <w:szCs w:val="18"/>
              </w:rPr>
              <w:t xml:space="preserve">Professional, scientific </w:t>
            </w:r>
            <w:r>
              <w:rPr>
                <w:sz w:val="18"/>
                <w:szCs w:val="18"/>
              </w:rPr>
              <w:br/>
              <w:t xml:space="preserve">&amp; technical </w:t>
            </w:r>
            <w:r w:rsidR="00227171">
              <w:rPr>
                <w:sz w:val="18"/>
                <w:szCs w:val="18"/>
              </w:rPr>
              <w:t>services</w:t>
            </w:r>
            <w:r w:rsidR="00227171">
              <w:rPr>
                <w:rStyle w:val="NoteLabel"/>
              </w:rPr>
              <w:t>c</w:t>
            </w:r>
          </w:p>
        </w:tc>
        <w:tc>
          <w:tcPr>
            <w:tcW w:w="406" w:type="pct"/>
            <w:hideMark/>
          </w:tcPr>
          <w:p w:rsidR="000543D7" w:rsidRDefault="000543D7">
            <w:pPr>
              <w:pStyle w:val="TableBodyText"/>
              <w:rPr>
                <w:sz w:val="18"/>
                <w:szCs w:val="18"/>
              </w:rPr>
            </w:pPr>
            <w:r>
              <w:rPr>
                <w:sz w:val="18"/>
                <w:szCs w:val="18"/>
              </w:rPr>
              <w:t>25.8</w:t>
            </w:r>
          </w:p>
        </w:tc>
        <w:tc>
          <w:tcPr>
            <w:tcW w:w="406" w:type="pct"/>
            <w:hideMark/>
          </w:tcPr>
          <w:p w:rsidR="000543D7" w:rsidRDefault="000543D7">
            <w:pPr>
              <w:pStyle w:val="TableBodyText"/>
              <w:rPr>
                <w:sz w:val="18"/>
                <w:szCs w:val="18"/>
              </w:rPr>
            </w:pPr>
            <w:r>
              <w:rPr>
                <w:sz w:val="18"/>
                <w:szCs w:val="18"/>
              </w:rPr>
              <w:t>3.4</w:t>
            </w:r>
          </w:p>
        </w:tc>
        <w:tc>
          <w:tcPr>
            <w:tcW w:w="406" w:type="pct"/>
            <w:hideMark/>
          </w:tcPr>
          <w:p w:rsidR="000543D7" w:rsidRDefault="000543D7">
            <w:pPr>
              <w:pStyle w:val="TableBodyText"/>
              <w:rPr>
                <w:sz w:val="18"/>
                <w:szCs w:val="18"/>
              </w:rPr>
            </w:pPr>
            <w:r>
              <w:rPr>
                <w:sz w:val="18"/>
                <w:szCs w:val="18"/>
              </w:rPr>
              <w:t>11.9</w:t>
            </w:r>
          </w:p>
        </w:tc>
        <w:tc>
          <w:tcPr>
            <w:tcW w:w="406" w:type="pct"/>
            <w:hideMark/>
          </w:tcPr>
          <w:p w:rsidR="000543D7" w:rsidRDefault="000543D7">
            <w:pPr>
              <w:pStyle w:val="TableBodyText"/>
              <w:rPr>
                <w:sz w:val="18"/>
                <w:szCs w:val="18"/>
              </w:rPr>
            </w:pPr>
            <w:r>
              <w:rPr>
                <w:sz w:val="18"/>
                <w:szCs w:val="18"/>
              </w:rPr>
              <w:t>16.1</w:t>
            </w:r>
          </w:p>
        </w:tc>
        <w:tc>
          <w:tcPr>
            <w:tcW w:w="406" w:type="pct"/>
            <w:hideMark/>
          </w:tcPr>
          <w:p w:rsidR="000543D7" w:rsidRDefault="000543D7">
            <w:pPr>
              <w:pStyle w:val="TableBodyText"/>
              <w:rPr>
                <w:sz w:val="18"/>
                <w:szCs w:val="18"/>
              </w:rPr>
            </w:pPr>
            <w:r>
              <w:rPr>
                <w:sz w:val="18"/>
                <w:szCs w:val="18"/>
              </w:rPr>
              <w:t>16.3</w:t>
            </w:r>
          </w:p>
        </w:tc>
        <w:tc>
          <w:tcPr>
            <w:tcW w:w="406" w:type="pct"/>
            <w:hideMark/>
          </w:tcPr>
          <w:p w:rsidR="000543D7" w:rsidRDefault="000543D7">
            <w:pPr>
              <w:pStyle w:val="TableBodyText"/>
              <w:rPr>
                <w:sz w:val="18"/>
                <w:szCs w:val="18"/>
              </w:rPr>
            </w:pPr>
            <w:r>
              <w:rPr>
                <w:sz w:val="18"/>
                <w:szCs w:val="18"/>
              </w:rPr>
              <w:t>9.5</w:t>
            </w:r>
          </w:p>
        </w:tc>
        <w:tc>
          <w:tcPr>
            <w:tcW w:w="406" w:type="pct"/>
            <w:hideMark/>
          </w:tcPr>
          <w:p w:rsidR="000543D7" w:rsidRDefault="000543D7">
            <w:pPr>
              <w:pStyle w:val="TableBodyText"/>
              <w:rPr>
                <w:sz w:val="18"/>
                <w:szCs w:val="18"/>
              </w:rPr>
            </w:pPr>
            <w:r>
              <w:rPr>
                <w:sz w:val="18"/>
                <w:szCs w:val="18"/>
              </w:rPr>
              <w:t>17.9</w:t>
            </w:r>
          </w:p>
        </w:tc>
        <w:tc>
          <w:tcPr>
            <w:tcW w:w="406" w:type="pct"/>
            <w:hideMark/>
          </w:tcPr>
          <w:p w:rsidR="000543D7" w:rsidRDefault="000543D7">
            <w:pPr>
              <w:pStyle w:val="TableBodyText"/>
              <w:rPr>
                <w:sz w:val="18"/>
                <w:szCs w:val="18"/>
              </w:rPr>
            </w:pPr>
            <w:r>
              <w:rPr>
                <w:sz w:val="18"/>
                <w:szCs w:val="18"/>
              </w:rPr>
              <w:t>23.1</w:t>
            </w:r>
          </w:p>
        </w:tc>
        <w:tc>
          <w:tcPr>
            <w:tcW w:w="406" w:type="pct"/>
            <w:hideMark/>
          </w:tcPr>
          <w:p w:rsidR="000543D7" w:rsidRDefault="000543D7">
            <w:pPr>
              <w:pStyle w:val="TableBodyText"/>
              <w:ind w:right="6"/>
              <w:rPr>
                <w:sz w:val="18"/>
                <w:szCs w:val="18"/>
              </w:rPr>
            </w:pPr>
            <w:r>
              <w:rPr>
                <w:sz w:val="18"/>
                <w:szCs w:val="18"/>
              </w:rPr>
              <w:t>13.8</w:t>
            </w:r>
          </w:p>
        </w:tc>
      </w:tr>
      <w:tr w:rsidR="000543D7" w:rsidTr="002D12FA">
        <w:tc>
          <w:tcPr>
            <w:tcW w:w="1349" w:type="pct"/>
            <w:vAlign w:val="center"/>
            <w:hideMark/>
          </w:tcPr>
          <w:p w:rsidR="000543D7" w:rsidRDefault="000543D7">
            <w:pPr>
              <w:pStyle w:val="TableBodyText"/>
              <w:jc w:val="left"/>
              <w:rPr>
                <w:sz w:val="18"/>
                <w:szCs w:val="18"/>
              </w:rPr>
            </w:pPr>
            <w:r>
              <w:rPr>
                <w:sz w:val="18"/>
                <w:szCs w:val="18"/>
              </w:rPr>
              <w:t>All other industries</w:t>
            </w:r>
          </w:p>
        </w:tc>
        <w:tc>
          <w:tcPr>
            <w:tcW w:w="406" w:type="pct"/>
            <w:vAlign w:val="center"/>
            <w:hideMark/>
          </w:tcPr>
          <w:p w:rsidR="000543D7" w:rsidRDefault="000543D7">
            <w:pPr>
              <w:pStyle w:val="TableBodyText"/>
              <w:rPr>
                <w:sz w:val="18"/>
                <w:szCs w:val="18"/>
              </w:rPr>
            </w:pPr>
            <w:r>
              <w:rPr>
                <w:sz w:val="18"/>
                <w:szCs w:val="18"/>
              </w:rPr>
              <w:t>25.0</w:t>
            </w:r>
          </w:p>
        </w:tc>
        <w:tc>
          <w:tcPr>
            <w:tcW w:w="406" w:type="pct"/>
            <w:vAlign w:val="center"/>
            <w:hideMark/>
          </w:tcPr>
          <w:p w:rsidR="000543D7" w:rsidRDefault="000543D7">
            <w:pPr>
              <w:pStyle w:val="TableBodyText"/>
              <w:rPr>
                <w:sz w:val="18"/>
                <w:szCs w:val="18"/>
              </w:rPr>
            </w:pPr>
            <w:r>
              <w:rPr>
                <w:sz w:val="18"/>
                <w:szCs w:val="18"/>
              </w:rPr>
              <w:t>17.2</w:t>
            </w:r>
          </w:p>
        </w:tc>
        <w:tc>
          <w:tcPr>
            <w:tcW w:w="406" w:type="pct"/>
            <w:vAlign w:val="center"/>
            <w:hideMark/>
          </w:tcPr>
          <w:p w:rsidR="000543D7" w:rsidRDefault="000543D7">
            <w:pPr>
              <w:pStyle w:val="TableBodyText"/>
              <w:rPr>
                <w:sz w:val="18"/>
                <w:szCs w:val="18"/>
              </w:rPr>
            </w:pPr>
            <w:r>
              <w:rPr>
                <w:sz w:val="18"/>
                <w:szCs w:val="18"/>
              </w:rPr>
              <w:t>26.1</w:t>
            </w:r>
          </w:p>
        </w:tc>
        <w:tc>
          <w:tcPr>
            <w:tcW w:w="406" w:type="pct"/>
            <w:vAlign w:val="center"/>
            <w:hideMark/>
          </w:tcPr>
          <w:p w:rsidR="000543D7" w:rsidRDefault="000543D7">
            <w:pPr>
              <w:pStyle w:val="TableBodyText"/>
              <w:rPr>
                <w:sz w:val="18"/>
                <w:szCs w:val="18"/>
              </w:rPr>
            </w:pPr>
            <w:r>
              <w:rPr>
                <w:sz w:val="18"/>
                <w:szCs w:val="18"/>
              </w:rPr>
              <w:t>17.9</w:t>
            </w:r>
          </w:p>
        </w:tc>
        <w:tc>
          <w:tcPr>
            <w:tcW w:w="406" w:type="pct"/>
            <w:vAlign w:val="center"/>
            <w:hideMark/>
          </w:tcPr>
          <w:p w:rsidR="000543D7" w:rsidRDefault="000543D7">
            <w:pPr>
              <w:pStyle w:val="TableBodyText"/>
              <w:rPr>
                <w:sz w:val="18"/>
                <w:szCs w:val="18"/>
              </w:rPr>
            </w:pPr>
            <w:r>
              <w:rPr>
                <w:sz w:val="18"/>
                <w:szCs w:val="18"/>
              </w:rPr>
              <w:t>34.6</w:t>
            </w:r>
          </w:p>
        </w:tc>
        <w:tc>
          <w:tcPr>
            <w:tcW w:w="406" w:type="pct"/>
            <w:vAlign w:val="center"/>
            <w:hideMark/>
          </w:tcPr>
          <w:p w:rsidR="000543D7" w:rsidRDefault="000543D7">
            <w:pPr>
              <w:pStyle w:val="TableBodyText"/>
              <w:rPr>
                <w:sz w:val="18"/>
                <w:szCs w:val="18"/>
              </w:rPr>
            </w:pPr>
            <w:r>
              <w:rPr>
                <w:sz w:val="18"/>
                <w:szCs w:val="18"/>
              </w:rPr>
              <w:t>43.7</w:t>
            </w:r>
          </w:p>
        </w:tc>
        <w:tc>
          <w:tcPr>
            <w:tcW w:w="406" w:type="pct"/>
            <w:vAlign w:val="center"/>
            <w:hideMark/>
          </w:tcPr>
          <w:p w:rsidR="000543D7" w:rsidRDefault="000543D7">
            <w:pPr>
              <w:pStyle w:val="TableBodyText"/>
              <w:rPr>
                <w:sz w:val="18"/>
                <w:szCs w:val="18"/>
              </w:rPr>
            </w:pPr>
            <w:r>
              <w:rPr>
                <w:sz w:val="18"/>
                <w:szCs w:val="18"/>
              </w:rPr>
              <w:t>19.8</w:t>
            </w:r>
          </w:p>
        </w:tc>
        <w:tc>
          <w:tcPr>
            <w:tcW w:w="406" w:type="pct"/>
            <w:vAlign w:val="center"/>
            <w:hideMark/>
          </w:tcPr>
          <w:p w:rsidR="000543D7" w:rsidRDefault="000543D7">
            <w:pPr>
              <w:pStyle w:val="TableBodyText"/>
              <w:rPr>
                <w:sz w:val="18"/>
                <w:szCs w:val="18"/>
              </w:rPr>
            </w:pPr>
            <w:r>
              <w:rPr>
                <w:sz w:val="18"/>
                <w:szCs w:val="18"/>
              </w:rPr>
              <w:t>18.6</w:t>
            </w:r>
          </w:p>
        </w:tc>
        <w:tc>
          <w:tcPr>
            <w:tcW w:w="406" w:type="pct"/>
            <w:vAlign w:val="center"/>
            <w:hideMark/>
          </w:tcPr>
          <w:p w:rsidR="000543D7" w:rsidRDefault="000543D7">
            <w:pPr>
              <w:pStyle w:val="TableBodyText"/>
              <w:ind w:right="6"/>
              <w:rPr>
                <w:sz w:val="18"/>
                <w:szCs w:val="18"/>
              </w:rPr>
            </w:pPr>
            <w:r>
              <w:rPr>
                <w:sz w:val="18"/>
                <w:szCs w:val="18"/>
              </w:rPr>
              <w:t>24.9</w:t>
            </w:r>
          </w:p>
        </w:tc>
      </w:tr>
      <w:tr w:rsidR="000543D7" w:rsidTr="002D12FA">
        <w:tc>
          <w:tcPr>
            <w:tcW w:w="1349" w:type="pct"/>
            <w:tcBorders>
              <w:top w:val="nil"/>
              <w:left w:val="nil"/>
              <w:bottom w:val="single" w:sz="6" w:space="0" w:color="auto"/>
              <w:right w:val="nil"/>
            </w:tcBorders>
            <w:vAlign w:val="center"/>
            <w:hideMark/>
          </w:tcPr>
          <w:p w:rsidR="000543D7" w:rsidRDefault="000543D7">
            <w:pPr>
              <w:pStyle w:val="TableBodyText"/>
              <w:spacing w:before="40" w:line="240" w:lineRule="exact"/>
              <w:jc w:val="left"/>
              <w:rPr>
                <w:sz w:val="18"/>
                <w:szCs w:val="18"/>
              </w:rPr>
            </w:pPr>
            <w:r>
              <w:rPr>
                <w:sz w:val="18"/>
                <w:szCs w:val="18"/>
              </w:rPr>
              <w:t>All industries</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rPr>
                <w:sz w:val="18"/>
                <w:szCs w:val="18"/>
              </w:rPr>
            </w:pPr>
            <w:r>
              <w:rPr>
                <w:sz w:val="18"/>
                <w:szCs w:val="18"/>
              </w:rPr>
              <w:t>100.0</w:t>
            </w:r>
          </w:p>
        </w:tc>
        <w:tc>
          <w:tcPr>
            <w:tcW w:w="406" w:type="pct"/>
            <w:tcBorders>
              <w:top w:val="nil"/>
              <w:left w:val="nil"/>
              <w:bottom w:val="single" w:sz="6" w:space="0" w:color="auto"/>
              <w:right w:val="nil"/>
            </w:tcBorders>
            <w:hideMark/>
          </w:tcPr>
          <w:p w:rsidR="000543D7" w:rsidRDefault="000543D7">
            <w:pPr>
              <w:pStyle w:val="TableBodyText"/>
              <w:spacing w:before="40" w:line="240" w:lineRule="exact"/>
              <w:ind w:right="6"/>
              <w:rPr>
                <w:sz w:val="18"/>
                <w:szCs w:val="18"/>
              </w:rPr>
            </w:pPr>
            <w:r>
              <w:rPr>
                <w:sz w:val="18"/>
                <w:szCs w:val="18"/>
              </w:rPr>
              <w:t>100.0</w:t>
            </w:r>
          </w:p>
        </w:tc>
      </w:tr>
    </w:tbl>
    <w:p w:rsidR="000543D7" w:rsidRDefault="002D12FA" w:rsidP="000543D7">
      <w:pPr>
        <w:pStyle w:val="Note"/>
      </w:pPr>
      <w:r>
        <w:rPr>
          <w:rStyle w:val="NoteLabel"/>
        </w:rPr>
        <w:t>a</w:t>
      </w:r>
      <w:r>
        <w:rPr>
          <w:b/>
        </w:rPr>
        <w:t xml:space="preserve"> </w:t>
      </w:r>
      <w:r>
        <w:t>Years in column headings refer to the second year of the transition. For example, 2003 refers to the industry of origin of workers having moved to the resources sector between 2002 and 2003.</w:t>
      </w:r>
      <w:r w:rsidR="00227171">
        <w:t xml:space="preserve">  </w:t>
      </w:r>
      <w:r w:rsidR="00227171">
        <w:rPr>
          <w:rStyle w:val="NoteLabel"/>
        </w:rPr>
        <w:t>b</w:t>
      </w:r>
      <w:r w:rsidR="00227171" w:rsidRPr="004A7B04">
        <w:t xml:space="preserve"> </w:t>
      </w:r>
      <w:r w:rsidR="00227171">
        <w:t xml:space="preserve">Sectors are defined in appendix A.  </w:t>
      </w:r>
      <w:r w:rsidR="00227171">
        <w:rPr>
          <w:rStyle w:val="NoteLabel"/>
        </w:rPr>
        <w:t>c</w:t>
      </w:r>
      <w:r>
        <w:rPr>
          <w:b/>
        </w:rPr>
        <w:t xml:space="preserve"> </w:t>
      </w:r>
      <w:r w:rsidR="0068002E">
        <w:t xml:space="preserve">Estimates </w:t>
      </w:r>
      <w:r w:rsidR="008A6DC8">
        <w:t xml:space="preserve">in these rows </w:t>
      </w:r>
      <w:r w:rsidR="0068002E">
        <w:t>should be interpreted as indicative only, due to the high standard errors</w:t>
      </w:r>
      <w:r>
        <w:t xml:space="preserve"> in some years</w:t>
      </w:r>
      <w:r w:rsidR="0068002E">
        <w:t xml:space="preserve">. </w:t>
      </w:r>
      <w:r w:rsidR="000543D7" w:rsidRPr="005F5423">
        <w:t>–</w:t>
      </w:r>
      <w:r w:rsidR="000543D7">
        <w:t xml:space="preserve"> Nil or negligible. All </w:t>
      </w:r>
      <w:r w:rsidR="00D235ED">
        <w:t>estimates</w:t>
      </w:r>
      <w:r w:rsidR="000543D7">
        <w:t xml:space="preserve"> are population</w:t>
      </w:r>
      <w:r w:rsidR="0070691F">
        <w:noBreakHyphen/>
      </w:r>
      <w:r w:rsidR="000543D7">
        <w:t>weighted.</w:t>
      </w:r>
    </w:p>
    <w:p w:rsidR="006775CF" w:rsidRDefault="000543D7" w:rsidP="006A18B0">
      <w:pPr>
        <w:pStyle w:val="Source"/>
      </w:pPr>
      <w:r>
        <w:rPr>
          <w:i/>
        </w:rPr>
        <w:t>Source</w:t>
      </w:r>
      <w:r>
        <w:t xml:space="preserve">: </w:t>
      </w:r>
      <w:r w:rsidR="00006151">
        <w:t>Productivity Commission</w:t>
      </w:r>
      <w:r>
        <w:t xml:space="preserve"> </w:t>
      </w:r>
      <w:r w:rsidR="00D235ED">
        <w:t>estimates</w:t>
      </w:r>
      <w:r>
        <w:t xml:space="preserve"> using HILDA Survey 2001–2010 Unconfidentialised Release 10.1.</w:t>
      </w:r>
    </w:p>
    <w:p w:rsidR="00AE56B3" w:rsidRDefault="00726187" w:rsidP="00AE56B3">
      <w:pPr>
        <w:pStyle w:val="Heading2"/>
      </w:pPr>
      <w:proofErr w:type="spellStart"/>
      <w:r>
        <w:t>C.</w:t>
      </w:r>
      <w:r w:rsidR="00AE62AA">
        <w:rPr>
          <w:noProof/>
        </w:rPr>
        <w:t>5</w:t>
      </w:r>
      <w:proofErr w:type="spellEnd"/>
      <w:r w:rsidR="00AE56B3">
        <w:tab/>
        <w:t>Detailed analysis: inter</w:t>
      </w:r>
      <w:r w:rsidR="0070691F">
        <w:noBreakHyphen/>
      </w:r>
      <w:r w:rsidR="00AE56B3">
        <w:t>industry movements by firms</w:t>
      </w:r>
    </w:p>
    <w:p w:rsidR="00AE56B3" w:rsidRDefault="00AE56B3" w:rsidP="00AE56B3">
      <w:pPr>
        <w:pStyle w:val="BodyText"/>
      </w:pPr>
      <w:r>
        <w:t xml:space="preserve">Structural adjustment can involve the reallocation of labour, capital and </w:t>
      </w:r>
      <w:r w:rsidR="00EC511B">
        <w:t xml:space="preserve">land </w:t>
      </w:r>
      <w:r>
        <w:t xml:space="preserve">between firms (chapter 1). As some firms become less profitable and eventually </w:t>
      </w:r>
      <w:r w:rsidR="00127FD8">
        <w:t xml:space="preserve">contract </w:t>
      </w:r>
      <w:r>
        <w:t xml:space="preserve">or </w:t>
      </w:r>
      <w:r w:rsidR="00EC511B">
        <w:t xml:space="preserve">shut </w:t>
      </w:r>
      <w:r>
        <w:t>down, resources are freed up for use by other, more profitable enterprises.</w:t>
      </w:r>
    </w:p>
    <w:p w:rsidR="00AE56B3" w:rsidRDefault="00AE56B3" w:rsidP="00AE56B3">
      <w:pPr>
        <w:pStyle w:val="BodyText"/>
      </w:pPr>
      <w:r>
        <w:lastRenderedPageBreak/>
        <w:t>However, some firms can undergo structural adjustment without physically closing down, moving location or shedding employees. As the Industries Assistance Commission observed:</w:t>
      </w:r>
    </w:p>
    <w:p w:rsidR="00AE56B3" w:rsidRDefault="00AE56B3" w:rsidP="00AE56B3">
      <w:pPr>
        <w:pStyle w:val="Quote"/>
      </w:pPr>
      <w:r>
        <w:t>…</w:t>
      </w:r>
      <w:r w:rsidR="00EC511B">
        <w:t> </w:t>
      </w:r>
      <w:r>
        <w:t>not all adjustment to structural change involves movement by workers between firms and industries. An important type of adjustment to change takes place when firms change their activities without changing their employees. In response to pressures for change, firms may be able to specialise or rationalise their production lines entirely (which may involve changing industry classification). In these cases, employees retained by the firm may change their industry or occupation classification, without actually changing firms</w:t>
      </w:r>
      <w:r w:rsidR="00EC511B">
        <w:t> </w:t>
      </w:r>
      <w:r>
        <w:t>…</w:t>
      </w:r>
      <w:r w:rsidR="00EC511B">
        <w:t> </w:t>
      </w:r>
      <w:r>
        <w:t>[C]onfining the discussion of labour adjustment to movements between firms must significantly understate the adjustment capacity of the labour force</w:t>
      </w:r>
      <w:r w:rsidR="00EC511B">
        <w:t> </w:t>
      </w:r>
      <w:r>
        <w:t>…</w:t>
      </w:r>
      <w:r w:rsidR="00EC511B">
        <w:t> </w:t>
      </w:r>
      <w:r>
        <w:t>(1977, pp. 55–56)</w:t>
      </w:r>
    </w:p>
    <w:p w:rsidR="00AE56B3" w:rsidRPr="00C215DD" w:rsidRDefault="00CE09B2" w:rsidP="00AE56B3">
      <w:pPr>
        <w:pStyle w:val="BodyText"/>
      </w:pPr>
      <w:r>
        <w:t>Thus</w:t>
      </w:r>
      <w:r w:rsidR="00AE56B3">
        <w:t>, the reallocation of labour</w:t>
      </w:r>
      <w:r w:rsidR="00127FD8">
        <w:t>, capital and land</w:t>
      </w:r>
      <w:r w:rsidR="00AE56B3">
        <w:t xml:space="preserve"> across industries can take place simply through </w:t>
      </w:r>
      <w:r>
        <w:t>the industry</w:t>
      </w:r>
      <w:r w:rsidR="00AE56B3">
        <w:t xml:space="preserve"> reclassification</w:t>
      </w:r>
      <w:r>
        <w:t xml:space="preserve"> of</w:t>
      </w:r>
      <w:r w:rsidR="00603B9C">
        <w:t xml:space="preserve"> some</w:t>
      </w:r>
      <w:r>
        <w:t xml:space="preserve"> firms</w:t>
      </w:r>
      <w:r w:rsidR="00603B9C">
        <w:t xml:space="preserve"> that have changed their </w:t>
      </w:r>
      <w:r w:rsidR="00D10951">
        <w:t xml:space="preserve">main </w:t>
      </w:r>
      <w:r w:rsidR="00603B9C">
        <w:t>activity</w:t>
      </w:r>
      <w:r w:rsidR="00AE56B3">
        <w:t xml:space="preserve">. Evidence of </w:t>
      </w:r>
      <w:r>
        <w:t xml:space="preserve">such </w:t>
      </w:r>
      <w:r w:rsidR="00603B9C">
        <w:t>re</w:t>
      </w:r>
      <w:r w:rsidR="00AE56B3">
        <w:t xml:space="preserve">classification would, therefore, indicate that structural adjustment of this type </w:t>
      </w:r>
      <w:r w:rsidR="00CC3784">
        <w:t xml:space="preserve">does </w:t>
      </w:r>
      <w:r w:rsidR="00B84C86">
        <w:t>occur</w:t>
      </w:r>
      <w:r w:rsidR="00AE56B3">
        <w:t xml:space="preserve"> in the Australian economy.</w:t>
      </w:r>
      <w:r w:rsidR="00603B9C">
        <w:rPr>
          <w:rStyle w:val="FootnoteReference"/>
        </w:rPr>
        <w:footnoteReference w:id="2"/>
      </w:r>
    </w:p>
    <w:p w:rsidR="00AE56B3" w:rsidRDefault="00AE56B3" w:rsidP="004E265B">
      <w:pPr>
        <w:pStyle w:val="Heading3"/>
      </w:pPr>
      <w:r>
        <w:t>Evidence of inter</w:t>
      </w:r>
      <w:r w:rsidR="0070691F">
        <w:noBreakHyphen/>
      </w:r>
      <w:r>
        <w:t>industry movements by firms</w:t>
      </w:r>
    </w:p>
    <w:p w:rsidR="00AE56B3" w:rsidRPr="00F41248" w:rsidRDefault="00AE56B3" w:rsidP="00AE56B3">
      <w:pPr>
        <w:pStyle w:val="BodyText"/>
      </w:pPr>
      <w:r w:rsidRPr="00F41248">
        <w:t>To investigate whether firms change industry classification over time (that is, are inter</w:t>
      </w:r>
      <w:r w:rsidRPr="00F41248">
        <w:noBreakHyphen/>
        <w:t xml:space="preserve">industry </w:t>
      </w:r>
      <w:r>
        <w:t>‘</w:t>
      </w:r>
      <w:r w:rsidRPr="00F41248">
        <w:t>movers</w:t>
      </w:r>
      <w:r>
        <w:t>’</w:t>
      </w:r>
      <w:r w:rsidRPr="00F41248">
        <w:t>), longitudinal firm</w:t>
      </w:r>
      <w:r w:rsidRPr="00F41248">
        <w:noBreakHyphen/>
        <w:t xml:space="preserve">level data are required. </w:t>
      </w:r>
      <w:r>
        <w:t>In Australia, t</w:t>
      </w:r>
      <w:r w:rsidRPr="00F41248">
        <w:t xml:space="preserve">he two </w:t>
      </w:r>
      <w:r>
        <w:t>publicly</w:t>
      </w:r>
      <w:r w:rsidR="0070691F">
        <w:noBreakHyphen/>
      </w:r>
      <w:r w:rsidRPr="00F41248">
        <w:t>accessible such data sources are the Australian Bureau of Statistics’ Business Longitudinal Survey</w:t>
      </w:r>
      <w:r>
        <w:t xml:space="preserve"> (BLS)</w:t>
      </w:r>
      <w:r w:rsidRPr="00F41248">
        <w:t>, covering the period 1994</w:t>
      </w:r>
      <w:r w:rsidRPr="00F41248">
        <w:noBreakHyphen/>
        <w:t>95 to 1997</w:t>
      </w:r>
      <w:r w:rsidRPr="00F41248">
        <w:noBreakHyphen/>
        <w:t xml:space="preserve">98, and the earlier Australian Workplace and Industrial Relations Surveys (AWIRS), commissioned by the </w:t>
      </w:r>
      <w:r>
        <w:t>then</w:t>
      </w:r>
      <w:r w:rsidR="0070691F">
        <w:noBreakHyphen/>
      </w:r>
      <w:r w:rsidRPr="00F41248">
        <w:t>Department of Education, Employment and Workplace Relations in 1989</w:t>
      </w:r>
      <w:r w:rsidRPr="00F41248">
        <w:noBreakHyphen/>
        <w:t>90 and again in 1995</w:t>
      </w:r>
      <w:r>
        <w:t>.</w:t>
      </w:r>
      <w:r>
        <w:rPr>
          <w:rStyle w:val="FootnoteReference"/>
        </w:rPr>
        <w:footnoteReference w:id="3"/>
      </w:r>
      <w:r>
        <w:t xml:space="preserve"> The AWIRS surveys are primarily cross</w:t>
      </w:r>
      <w:r>
        <w:noBreakHyphen/>
        <w:t>sectional surveys, but they are linked by a panel element</w:t>
      </w:r>
      <w:r w:rsidRPr="00F41248">
        <w:t xml:space="preserve">. </w:t>
      </w:r>
      <w:r>
        <w:t>Both the BLS and AWIRS offer</w:t>
      </w:r>
      <w:r w:rsidRPr="00F41248">
        <w:t xml:space="preserve"> only partial coverage of the entire firm population, but </w:t>
      </w:r>
      <w:r>
        <w:t>their scope is sufficiently broad</w:t>
      </w:r>
      <w:r w:rsidRPr="00F41248">
        <w:t xml:space="preserve"> to shed light on the wider </w:t>
      </w:r>
      <w:r w:rsidR="00883BDF">
        <w:t>preval</w:t>
      </w:r>
      <w:r w:rsidR="00883BDF" w:rsidRPr="00F41248">
        <w:t xml:space="preserve">ence </w:t>
      </w:r>
      <w:r w:rsidRPr="00F41248">
        <w:t>of inter</w:t>
      </w:r>
      <w:r w:rsidRPr="00F41248">
        <w:noBreakHyphen/>
        <w:t>industry movements (table </w:t>
      </w:r>
      <w:r>
        <w:t>C.</w:t>
      </w:r>
      <w:r w:rsidR="00A16E3A">
        <w:t>2</w:t>
      </w:r>
      <w:r>
        <w:t>).</w:t>
      </w:r>
    </w:p>
    <w:p w:rsidR="00AE56B3" w:rsidRDefault="00AE56B3" w:rsidP="00AE56B3">
      <w:pPr>
        <w:pStyle w:val="TableTitle"/>
        <w:spacing w:before="240"/>
      </w:pPr>
      <w:r>
        <w:rPr>
          <w:b w:val="0"/>
        </w:rPr>
        <w:lastRenderedPageBreak/>
        <w:t xml:space="preserve">Table </w:t>
      </w:r>
      <w:r w:rsidR="00EC511B" w:rsidRPr="00EC511B">
        <w:rPr>
          <w:b w:val="0"/>
        </w:rPr>
        <w:t>C</w:t>
      </w:r>
      <w:r w:rsidR="00EC511B">
        <w:t>.</w:t>
      </w:r>
      <w:r w:rsidR="00AE62AA">
        <w:rPr>
          <w:b w:val="0"/>
          <w:noProof/>
        </w:rPr>
        <w:t>2</w:t>
      </w:r>
      <w:r>
        <w:tab/>
        <w:t>Frequency of firm inter</w:t>
      </w:r>
      <w:r>
        <w:noBreakHyphen/>
        <w:t>industry movements over time</w:t>
      </w:r>
      <w:r w:rsidRPr="00C215DD">
        <w:rPr>
          <w:rStyle w:val="NoteLabel"/>
          <w:b/>
        </w:rPr>
        <w:t>a</w:t>
      </w:r>
    </w:p>
    <w:p w:rsidR="00AE56B3" w:rsidRDefault="00AE56B3" w:rsidP="00AE56B3">
      <w:pPr>
        <w:pStyle w:val="Style3"/>
      </w:pPr>
      <w:r>
        <w:t>Number of businesses that changed ANZSIC divisions</w:t>
      </w:r>
    </w:p>
    <w:tbl>
      <w:tblPr>
        <w:tblW w:w="5000" w:type="pct"/>
        <w:tblLayout w:type="fixed"/>
        <w:tblCellMar>
          <w:left w:w="0" w:type="dxa"/>
          <w:right w:w="0" w:type="dxa"/>
        </w:tblCellMar>
        <w:tblLook w:val="0000" w:firstRow="0" w:lastRow="0" w:firstColumn="0" w:lastColumn="0" w:noHBand="0" w:noVBand="0"/>
      </w:tblPr>
      <w:tblGrid>
        <w:gridCol w:w="1886"/>
        <w:gridCol w:w="1322"/>
        <w:gridCol w:w="853"/>
        <w:gridCol w:w="2176"/>
        <w:gridCol w:w="2552"/>
      </w:tblGrid>
      <w:tr w:rsidR="00AE56B3" w:rsidTr="002B7E29">
        <w:tc>
          <w:tcPr>
            <w:tcW w:w="1073" w:type="pct"/>
            <w:tcBorders>
              <w:top w:val="single" w:sz="6" w:space="0" w:color="auto"/>
              <w:bottom w:val="single" w:sz="6" w:space="0" w:color="auto"/>
            </w:tcBorders>
          </w:tcPr>
          <w:p w:rsidR="00AE56B3" w:rsidRDefault="00AE56B3" w:rsidP="002B7E29">
            <w:pPr>
              <w:pStyle w:val="TableColumnHeading"/>
              <w:jc w:val="left"/>
            </w:pPr>
          </w:p>
        </w:tc>
        <w:tc>
          <w:tcPr>
            <w:tcW w:w="1237" w:type="pct"/>
            <w:gridSpan w:val="2"/>
            <w:tcBorders>
              <w:top w:val="single" w:sz="6" w:space="0" w:color="auto"/>
              <w:bottom w:val="single" w:sz="6" w:space="0" w:color="auto"/>
            </w:tcBorders>
          </w:tcPr>
          <w:p w:rsidR="00AE56B3" w:rsidRDefault="00AE56B3" w:rsidP="002B7E29">
            <w:pPr>
              <w:pStyle w:val="TableColumnHeading"/>
            </w:pPr>
            <w:r>
              <w:t>Movers</w:t>
            </w:r>
          </w:p>
        </w:tc>
        <w:tc>
          <w:tcPr>
            <w:tcW w:w="1238" w:type="pct"/>
            <w:tcBorders>
              <w:top w:val="single" w:sz="6" w:space="0" w:color="auto"/>
              <w:bottom w:val="single" w:sz="6" w:space="0" w:color="auto"/>
            </w:tcBorders>
          </w:tcPr>
          <w:p w:rsidR="00AE56B3" w:rsidRDefault="00AE56B3" w:rsidP="002B7E29">
            <w:pPr>
              <w:pStyle w:val="TableColumnHeading"/>
              <w:ind w:right="28"/>
            </w:pPr>
            <w:r>
              <w:t>Non</w:t>
            </w:r>
            <w:r>
              <w:noBreakHyphen/>
              <w:t>movers</w:t>
            </w:r>
          </w:p>
        </w:tc>
        <w:tc>
          <w:tcPr>
            <w:tcW w:w="1452" w:type="pct"/>
            <w:tcBorders>
              <w:top w:val="single" w:sz="6" w:space="0" w:color="auto"/>
              <w:bottom w:val="single" w:sz="6" w:space="0" w:color="auto"/>
            </w:tcBorders>
          </w:tcPr>
          <w:p w:rsidR="00AE56B3" w:rsidRDefault="00AE56B3" w:rsidP="002B7E29">
            <w:pPr>
              <w:pStyle w:val="TableColumnHeading"/>
              <w:ind w:right="28"/>
            </w:pPr>
            <w:r>
              <w:t>Percentage of movers</w:t>
            </w:r>
          </w:p>
        </w:tc>
      </w:tr>
      <w:tr w:rsidR="00AE56B3" w:rsidTr="002B7E29">
        <w:tc>
          <w:tcPr>
            <w:tcW w:w="1825" w:type="pct"/>
            <w:gridSpan w:val="2"/>
            <w:tcBorders>
              <w:top w:val="single" w:sz="6" w:space="0" w:color="auto"/>
            </w:tcBorders>
          </w:tcPr>
          <w:p w:rsidR="00AE56B3" w:rsidRPr="00F10350" w:rsidRDefault="00AE56B3" w:rsidP="002B7E29">
            <w:pPr>
              <w:pStyle w:val="TableUnitsRow"/>
              <w:jc w:val="left"/>
            </w:pPr>
            <w:r w:rsidRPr="00E15785">
              <w:rPr>
                <w:b/>
              </w:rPr>
              <w:t>Business Longitudinal Survey</w:t>
            </w:r>
          </w:p>
        </w:tc>
        <w:tc>
          <w:tcPr>
            <w:tcW w:w="485" w:type="pct"/>
            <w:tcBorders>
              <w:top w:val="single" w:sz="6" w:space="0" w:color="auto"/>
            </w:tcBorders>
          </w:tcPr>
          <w:p w:rsidR="00AE56B3" w:rsidRDefault="00AE56B3" w:rsidP="002B7E29">
            <w:pPr>
              <w:pStyle w:val="TableUnitsRow"/>
            </w:pPr>
            <w:r>
              <w:t>n</w:t>
            </w:r>
          </w:p>
        </w:tc>
        <w:tc>
          <w:tcPr>
            <w:tcW w:w="1238" w:type="pct"/>
            <w:tcBorders>
              <w:top w:val="single" w:sz="6" w:space="0" w:color="auto"/>
            </w:tcBorders>
          </w:tcPr>
          <w:p w:rsidR="00AE56B3" w:rsidRDefault="00AE56B3" w:rsidP="002B7E29">
            <w:pPr>
              <w:pStyle w:val="TableUnitsRow"/>
              <w:ind w:right="28"/>
            </w:pPr>
            <w:r>
              <w:t>n</w:t>
            </w:r>
          </w:p>
        </w:tc>
        <w:tc>
          <w:tcPr>
            <w:tcW w:w="1452" w:type="pct"/>
            <w:tcBorders>
              <w:top w:val="single" w:sz="6" w:space="0" w:color="auto"/>
            </w:tcBorders>
          </w:tcPr>
          <w:p w:rsidR="00AE56B3" w:rsidRDefault="00AE56B3" w:rsidP="002B7E29">
            <w:pPr>
              <w:pStyle w:val="TableUnitsRow"/>
              <w:ind w:right="28"/>
            </w:pPr>
            <w:r>
              <w:t>%</w:t>
            </w:r>
          </w:p>
        </w:tc>
      </w:tr>
      <w:tr w:rsidR="00AE56B3" w:rsidTr="002B7E29">
        <w:tc>
          <w:tcPr>
            <w:tcW w:w="1073" w:type="pct"/>
          </w:tcPr>
          <w:p w:rsidR="00AE56B3" w:rsidRDefault="00AE56B3" w:rsidP="00A65E78">
            <w:pPr>
              <w:pStyle w:val="TableBodyText"/>
              <w:jc w:val="left"/>
            </w:pPr>
            <w:r>
              <w:t>1995–96</w:t>
            </w:r>
          </w:p>
        </w:tc>
        <w:tc>
          <w:tcPr>
            <w:tcW w:w="1237" w:type="pct"/>
            <w:gridSpan w:val="2"/>
          </w:tcPr>
          <w:p w:rsidR="00AE56B3" w:rsidRDefault="00AE56B3" w:rsidP="002B7E29">
            <w:pPr>
              <w:pStyle w:val="TableBodyText"/>
            </w:pPr>
            <w:r>
              <w:t>33</w:t>
            </w:r>
          </w:p>
        </w:tc>
        <w:tc>
          <w:tcPr>
            <w:tcW w:w="1238" w:type="pct"/>
          </w:tcPr>
          <w:p w:rsidR="00AE56B3" w:rsidRDefault="00AE56B3" w:rsidP="002B7E29">
            <w:pPr>
              <w:pStyle w:val="TableBodyText"/>
              <w:ind w:right="28"/>
            </w:pPr>
            <w:r>
              <w:t>4 019</w:t>
            </w:r>
          </w:p>
        </w:tc>
        <w:tc>
          <w:tcPr>
            <w:tcW w:w="1452" w:type="pct"/>
          </w:tcPr>
          <w:p w:rsidR="00AE56B3" w:rsidRDefault="00AE56B3" w:rsidP="002B7E29">
            <w:pPr>
              <w:pStyle w:val="TableBodyText"/>
              <w:ind w:right="28"/>
            </w:pPr>
            <w:r>
              <w:t>0.81</w:t>
            </w:r>
          </w:p>
        </w:tc>
      </w:tr>
      <w:tr w:rsidR="00AE56B3" w:rsidTr="002B7E29">
        <w:tc>
          <w:tcPr>
            <w:tcW w:w="1073" w:type="pct"/>
          </w:tcPr>
          <w:p w:rsidR="00AE56B3" w:rsidRDefault="00AE56B3" w:rsidP="00A65E78">
            <w:pPr>
              <w:pStyle w:val="TableBodyText"/>
              <w:jc w:val="left"/>
            </w:pPr>
            <w:r>
              <w:t>1996–97</w:t>
            </w:r>
          </w:p>
        </w:tc>
        <w:tc>
          <w:tcPr>
            <w:tcW w:w="1237" w:type="pct"/>
            <w:gridSpan w:val="2"/>
          </w:tcPr>
          <w:p w:rsidR="00AE56B3" w:rsidRDefault="00AE56B3" w:rsidP="002B7E29">
            <w:pPr>
              <w:pStyle w:val="TableBodyText"/>
            </w:pPr>
            <w:r>
              <w:t>39</w:t>
            </w:r>
          </w:p>
        </w:tc>
        <w:tc>
          <w:tcPr>
            <w:tcW w:w="1238" w:type="pct"/>
          </w:tcPr>
          <w:p w:rsidR="00AE56B3" w:rsidRDefault="00AE56B3" w:rsidP="002B7E29">
            <w:pPr>
              <w:pStyle w:val="TableBodyText"/>
              <w:ind w:right="28"/>
            </w:pPr>
            <w:r>
              <w:t>3 976</w:t>
            </w:r>
          </w:p>
        </w:tc>
        <w:tc>
          <w:tcPr>
            <w:tcW w:w="1452" w:type="pct"/>
          </w:tcPr>
          <w:p w:rsidR="00AE56B3" w:rsidRDefault="00AE56B3" w:rsidP="002B7E29">
            <w:pPr>
              <w:pStyle w:val="TableBodyText"/>
              <w:ind w:right="28"/>
            </w:pPr>
            <w:r>
              <w:t>0.97</w:t>
            </w:r>
          </w:p>
        </w:tc>
      </w:tr>
      <w:tr w:rsidR="00AE56B3" w:rsidTr="002B7E29">
        <w:tc>
          <w:tcPr>
            <w:tcW w:w="1073" w:type="pct"/>
          </w:tcPr>
          <w:p w:rsidR="00AE56B3" w:rsidRDefault="00AE56B3" w:rsidP="00A65E78">
            <w:pPr>
              <w:pStyle w:val="TableBodyText"/>
              <w:jc w:val="left"/>
            </w:pPr>
            <w:r>
              <w:t>1997–98</w:t>
            </w:r>
          </w:p>
        </w:tc>
        <w:tc>
          <w:tcPr>
            <w:tcW w:w="1237" w:type="pct"/>
            <w:gridSpan w:val="2"/>
          </w:tcPr>
          <w:p w:rsidR="00AE56B3" w:rsidRDefault="00AE56B3" w:rsidP="002B7E29">
            <w:pPr>
              <w:pStyle w:val="TableBodyText"/>
            </w:pPr>
            <w:r>
              <w:t>28</w:t>
            </w:r>
          </w:p>
        </w:tc>
        <w:tc>
          <w:tcPr>
            <w:tcW w:w="1238" w:type="pct"/>
          </w:tcPr>
          <w:p w:rsidR="00AE56B3" w:rsidRDefault="00AE56B3" w:rsidP="002B7E29">
            <w:pPr>
              <w:pStyle w:val="TableBodyText"/>
              <w:ind w:right="28"/>
            </w:pPr>
            <w:r>
              <w:t>3 833</w:t>
            </w:r>
          </w:p>
        </w:tc>
        <w:tc>
          <w:tcPr>
            <w:tcW w:w="1452" w:type="pct"/>
          </w:tcPr>
          <w:p w:rsidR="00AE56B3" w:rsidRDefault="00AE56B3" w:rsidP="002B7E29">
            <w:pPr>
              <w:pStyle w:val="TableBodyText"/>
              <w:ind w:right="28"/>
            </w:pPr>
            <w:r>
              <w:t>0.73</w:t>
            </w:r>
          </w:p>
        </w:tc>
      </w:tr>
      <w:tr w:rsidR="00AE56B3" w:rsidRPr="00766E86" w:rsidTr="002B7E29">
        <w:tc>
          <w:tcPr>
            <w:tcW w:w="3548" w:type="pct"/>
            <w:gridSpan w:val="4"/>
          </w:tcPr>
          <w:p w:rsidR="00AE56B3" w:rsidRPr="00E15785" w:rsidRDefault="00AE56B3" w:rsidP="002B7E29">
            <w:pPr>
              <w:pStyle w:val="TableBodyText"/>
              <w:spacing w:before="80"/>
              <w:ind w:right="28"/>
              <w:jc w:val="left"/>
              <w:rPr>
                <w:b/>
                <w:i/>
              </w:rPr>
            </w:pPr>
            <w:r w:rsidRPr="00E15785">
              <w:rPr>
                <w:b/>
              </w:rPr>
              <w:t>Australian Workplace and Industrial Relations Surveys</w:t>
            </w:r>
          </w:p>
        </w:tc>
        <w:tc>
          <w:tcPr>
            <w:tcW w:w="1452" w:type="pct"/>
          </w:tcPr>
          <w:p w:rsidR="00AE56B3" w:rsidRPr="00766E86" w:rsidRDefault="00AE56B3" w:rsidP="002B7E29">
            <w:pPr>
              <w:pStyle w:val="TableBodyText"/>
              <w:spacing w:before="80"/>
              <w:ind w:right="28"/>
              <w:rPr>
                <w:i/>
              </w:rPr>
            </w:pPr>
          </w:p>
        </w:tc>
      </w:tr>
      <w:tr w:rsidR="00AE56B3" w:rsidRPr="00766E86" w:rsidTr="002B7E29">
        <w:tc>
          <w:tcPr>
            <w:tcW w:w="1073" w:type="pct"/>
            <w:tcBorders>
              <w:bottom w:val="single" w:sz="4" w:space="0" w:color="auto"/>
            </w:tcBorders>
          </w:tcPr>
          <w:p w:rsidR="00AE56B3" w:rsidRPr="0071255D" w:rsidRDefault="00AE56B3" w:rsidP="00A65E78">
            <w:pPr>
              <w:pStyle w:val="TableBodyText"/>
              <w:ind w:right="28"/>
              <w:jc w:val="left"/>
              <w:rPr>
                <w:b/>
              </w:rPr>
            </w:pPr>
            <w:r>
              <w:t>1989</w:t>
            </w:r>
            <w:r>
              <w:noBreakHyphen/>
              <w:t>90 to 1995</w:t>
            </w:r>
            <w:r w:rsidRPr="00C03385">
              <w:rPr>
                <w:rStyle w:val="NoteLabel"/>
              </w:rPr>
              <w:t>b</w:t>
            </w:r>
          </w:p>
        </w:tc>
        <w:tc>
          <w:tcPr>
            <w:tcW w:w="1237" w:type="pct"/>
            <w:gridSpan w:val="2"/>
            <w:tcBorders>
              <w:bottom w:val="single" w:sz="4" w:space="0" w:color="auto"/>
            </w:tcBorders>
          </w:tcPr>
          <w:p w:rsidR="00AE56B3" w:rsidRDefault="00AE56B3" w:rsidP="002B7E29">
            <w:pPr>
              <w:pStyle w:val="TableBodyText"/>
            </w:pPr>
            <w:r>
              <w:t>15</w:t>
            </w:r>
          </w:p>
        </w:tc>
        <w:tc>
          <w:tcPr>
            <w:tcW w:w="1238" w:type="pct"/>
            <w:tcBorders>
              <w:bottom w:val="single" w:sz="4" w:space="0" w:color="auto"/>
            </w:tcBorders>
          </w:tcPr>
          <w:p w:rsidR="00AE56B3" w:rsidRDefault="00AE56B3" w:rsidP="002B7E29">
            <w:pPr>
              <w:pStyle w:val="TableBodyText"/>
              <w:ind w:right="28"/>
            </w:pPr>
            <w:r>
              <w:t>683</w:t>
            </w:r>
          </w:p>
        </w:tc>
        <w:tc>
          <w:tcPr>
            <w:tcW w:w="1452" w:type="pct"/>
            <w:tcBorders>
              <w:bottom w:val="single" w:sz="4" w:space="0" w:color="auto"/>
            </w:tcBorders>
          </w:tcPr>
          <w:p w:rsidR="00AE56B3" w:rsidRDefault="00AE56B3" w:rsidP="002B7E29">
            <w:pPr>
              <w:pStyle w:val="TableBodyText"/>
              <w:ind w:right="28"/>
            </w:pPr>
            <w:r>
              <w:t>2.15</w:t>
            </w:r>
          </w:p>
        </w:tc>
      </w:tr>
    </w:tbl>
    <w:p w:rsidR="00AE56B3" w:rsidRDefault="00AE56B3" w:rsidP="00AE56B3">
      <w:pPr>
        <w:pStyle w:val="Note"/>
      </w:pPr>
      <w:r w:rsidRPr="008E77FE">
        <w:rPr>
          <w:rStyle w:val="NoteLabel"/>
        </w:rPr>
        <w:t>a</w:t>
      </w:r>
      <w:r>
        <w:t xml:space="preserve"> Unweighted estimates.  </w:t>
      </w:r>
      <w:r>
        <w:rPr>
          <w:rStyle w:val="NoteLabel"/>
        </w:rPr>
        <w:t>b</w:t>
      </w:r>
      <w:r>
        <w:t xml:space="preserve"> Total firm movements over a five</w:t>
      </w:r>
      <w:r>
        <w:noBreakHyphen/>
        <w:t>year period.</w:t>
      </w:r>
      <w:r w:rsidR="006F3F9D">
        <w:t xml:space="preserve"> </w:t>
      </w:r>
      <w:r>
        <w:t xml:space="preserve"> </w:t>
      </w:r>
      <w:r w:rsidRPr="00DA3D97">
        <w:rPr>
          <w:b/>
        </w:rPr>
        <w:t>n</w:t>
      </w:r>
      <w:r>
        <w:t xml:space="preserve"> Number of firms.</w:t>
      </w:r>
    </w:p>
    <w:p w:rsidR="00AE56B3" w:rsidRPr="00D551C3" w:rsidRDefault="00AE56B3" w:rsidP="00AE56B3">
      <w:pPr>
        <w:pStyle w:val="Source"/>
      </w:pPr>
      <w:r>
        <w:rPr>
          <w:i/>
        </w:rPr>
        <w:t>Source</w:t>
      </w:r>
      <w:r>
        <w:t xml:space="preserve">: </w:t>
      </w:r>
      <w:r w:rsidR="00006151">
        <w:t>Productivity Commission</w:t>
      </w:r>
      <w:r>
        <w:t xml:space="preserve"> estimates based on BLS data and AWIRS panel survey data.</w:t>
      </w:r>
    </w:p>
    <w:p w:rsidR="00AE56B3" w:rsidRDefault="00AE56B3" w:rsidP="00AE56B3">
      <w:pPr>
        <w:pStyle w:val="BodyText"/>
      </w:pPr>
      <w:r>
        <w:t>As is apparent from the table, a very small proportion of firms change</w:t>
      </w:r>
      <w:r w:rsidR="00C87CF8">
        <w:t>s</w:t>
      </w:r>
      <w:r>
        <w:t xml:space="preserve"> industry each year. Those firms tend to share a number of characteristics</w:t>
      </w:r>
      <w:r w:rsidR="00774640">
        <w:t xml:space="preserve"> (data not shown)</w:t>
      </w:r>
      <w:r>
        <w:t>. In both surveys, movers were much more likely to report a major change in their range of products and services (whether a decrease or an increase) than non</w:t>
      </w:r>
      <w:r>
        <w:noBreakHyphen/>
        <w:t>movers. Also, AWIRS movers reported considerably more changes in their main activity, between 1989</w:t>
      </w:r>
      <w:r>
        <w:noBreakHyphen/>
        <w:t>90 and 1995, compared to non</w:t>
      </w:r>
      <w:r>
        <w:noBreakHyphen/>
        <w:t xml:space="preserve">movers. In both surveys, manufacturing firms were most prone to moving industries, predominantly towards wholesaling and retailing. This might reflect the decision of some </w:t>
      </w:r>
      <w:r w:rsidR="00C87CF8">
        <w:t xml:space="preserve">manufacturers </w:t>
      </w:r>
      <w:r>
        <w:t>to offshore their activities, in order to focus on importing and distribution. Other common firm industry pathways were more conventional, such as from property to finance, and from retail to wholesale.</w:t>
      </w:r>
    </w:p>
    <w:p w:rsidR="00AE56B3" w:rsidRDefault="00AE56B3" w:rsidP="00C87CF8">
      <w:pPr>
        <w:pStyle w:val="Heading4"/>
      </w:pPr>
      <w:r w:rsidRPr="00C03385">
        <w:t>Implications for labour</w:t>
      </w:r>
    </w:p>
    <w:p w:rsidR="00AE56B3" w:rsidRDefault="00AE56B3" w:rsidP="00AE56B3">
      <w:pPr>
        <w:pStyle w:val="BodyText"/>
      </w:pPr>
      <w:r>
        <w:t>In both the BLS and AWIRS data</w:t>
      </w:r>
      <w:r w:rsidR="001C38E3">
        <w:t>sets</w:t>
      </w:r>
      <w:r>
        <w:t>, movers were invariably smaller, employment</w:t>
      </w:r>
      <w:r>
        <w:noBreakHyphen/>
        <w:t>wise, than non</w:t>
      </w:r>
      <w:r>
        <w:noBreakHyphen/>
        <w:t xml:space="preserve">movers, by a factor ranging from about one third to one half. This implies that movers tend to ‘carry’ fewer employees with them across industries. Although the imperfect coverage of the data precludes definitive </w:t>
      </w:r>
      <w:r w:rsidR="002F26FC">
        <w:t>figures for</w:t>
      </w:r>
      <w:r>
        <w:t xml:space="preserve"> the total number of workers concerned, a rough estimate is that between 0.31 per cent and 0.77 per cent of the whole workforce may undergo this type of transition each year, on average.</w:t>
      </w:r>
    </w:p>
    <w:p w:rsidR="00AE56B3" w:rsidRPr="00AE56B3" w:rsidRDefault="00AE56B3" w:rsidP="00AE56B3">
      <w:pPr>
        <w:pStyle w:val="BodyText"/>
      </w:pPr>
    </w:p>
    <w:p w:rsidR="00AE56B3" w:rsidRPr="00AE56B3" w:rsidRDefault="00AE56B3" w:rsidP="00AE56B3">
      <w:pPr>
        <w:pStyle w:val="BodyText"/>
      </w:pPr>
    </w:p>
    <w:p w:rsidR="00AE56B3" w:rsidRPr="00AE56B3" w:rsidRDefault="00AE56B3" w:rsidP="00AE56B3">
      <w:pPr>
        <w:pStyle w:val="BodyText"/>
      </w:pPr>
    </w:p>
    <w:sectPr w:rsidR="00AE56B3" w:rsidRPr="00AE56B3" w:rsidSect="00120419">
      <w:headerReference w:type="even" r:id="rId12"/>
      <w:headerReference w:type="default" r:id="rId13"/>
      <w:footerReference w:type="even" r:id="rId14"/>
      <w:footerReference w:type="default" r:id="rId15"/>
      <w:footnotePr>
        <w:numStart w:val="68"/>
      </w:footnotePr>
      <w:pgSz w:w="11907" w:h="16840" w:code="9"/>
      <w:pgMar w:top="1985" w:right="1304" w:bottom="1418" w:left="1814" w:header="1701" w:footer="567" w:gutter="0"/>
      <w:pgNumType w:start="16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11B" w:rsidRDefault="00EC511B">
      <w:r>
        <w:separator/>
      </w:r>
    </w:p>
  </w:endnote>
  <w:endnote w:type="continuationSeparator" w:id="0">
    <w:p w:rsidR="00EC511B" w:rsidRDefault="00EC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C511B">
      <w:trPr>
        <w:trHeight w:hRule="exact" w:val="740"/>
      </w:trPr>
      <w:tc>
        <w:tcPr>
          <w:tcW w:w="510" w:type="dxa"/>
          <w:tcBorders>
            <w:top w:val="single" w:sz="6" w:space="0" w:color="auto"/>
          </w:tcBorders>
        </w:tcPr>
        <w:p w:rsidR="00EC511B" w:rsidRDefault="00EC511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05DE2">
            <w:rPr>
              <w:rStyle w:val="PageNumber"/>
              <w:noProof/>
            </w:rPr>
            <w:t>164</w:t>
          </w:r>
          <w:r>
            <w:rPr>
              <w:rStyle w:val="PageNumber"/>
            </w:rPr>
            <w:fldChar w:fldCharType="end"/>
          </w:r>
        </w:p>
      </w:tc>
      <w:tc>
        <w:tcPr>
          <w:tcW w:w="1644" w:type="dxa"/>
          <w:tcBorders>
            <w:top w:val="single" w:sz="6" w:space="0" w:color="auto"/>
          </w:tcBorders>
        </w:tcPr>
        <w:p w:rsidR="00EC511B" w:rsidRDefault="00EC511B" w:rsidP="0019293B">
          <w:pPr>
            <w:pStyle w:val="Footer"/>
          </w:pPr>
          <w:r>
            <w:t>looking back on structural change</w:t>
          </w:r>
        </w:p>
      </w:tc>
      <w:tc>
        <w:tcPr>
          <w:tcW w:w="6634" w:type="dxa"/>
        </w:tcPr>
        <w:p w:rsidR="00EC511B" w:rsidRDefault="00EC511B" w:rsidP="0019293B">
          <w:pPr>
            <w:pStyle w:val="Footer"/>
          </w:pPr>
        </w:p>
      </w:tc>
    </w:tr>
  </w:tbl>
  <w:p w:rsidR="00EC511B" w:rsidRDefault="00EC511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C511B">
      <w:trPr>
        <w:trHeight w:hRule="exact" w:val="740"/>
      </w:trPr>
      <w:tc>
        <w:tcPr>
          <w:tcW w:w="6634" w:type="dxa"/>
        </w:tcPr>
        <w:p w:rsidR="00EC511B" w:rsidRDefault="00EC511B">
          <w:pPr>
            <w:pStyle w:val="Footer"/>
            <w:ind w:right="360" w:firstLine="360"/>
          </w:pPr>
        </w:p>
      </w:tc>
      <w:tc>
        <w:tcPr>
          <w:tcW w:w="1644" w:type="dxa"/>
          <w:tcBorders>
            <w:top w:val="single" w:sz="6" w:space="0" w:color="auto"/>
          </w:tcBorders>
        </w:tcPr>
        <w:p w:rsidR="00EC511B" w:rsidRDefault="001111EA">
          <w:pPr>
            <w:pStyle w:val="Footer"/>
          </w:pPr>
          <w:r>
            <w:fldChar w:fldCharType="begin"/>
          </w:r>
          <w:r>
            <w:instrText xml:space="preserve"> TITLE  \* MERGEFORMAT </w:instrText>
          </w:r>
          <w:r>
            <w:fldChar w:fldCharType="separate"/>
          </w:r>
          <w:r w:rsidR="00AE62AA">
            <w:t>Supporting data and analysis</w:t>
          </w:r>
          <w:r>
            <w:fldChar w:fldCharType="end"/>
          </w:r>
        </w:p>
      </w:tc>
      <w:tc>
        <w:tcPr>
          <w:tcW w:w="510" w:type="dxa"/>
          <w:tcBorders>
            <w:top w:val="single" w:sz="6" w:space="0" w:color="auto"/>
          </w:tcBorders>
        </w:tcPr>
        <w:p w:rsidR="00EC511B" w:rsidRDefault="00EC511B">
          <w:pPr>
            <w:pStyle w:val="Footer"/>
            <w:jc w:val="right"/>
          </w:pPr>
          <w:r>
            <w:rPr>
              <w:rStyle w:val="PageNumber"/>
            </w:rPr>
            <w:fldChar w:fldCharType="begin"/>
          </w:r>
          <w:r>
            <w:rPr>
              <w:rStyle w:val="PageNumber"/>
            </w:rPr>
            <w:instrText xml:space="preserve">PAGE  </w:instrText>
          </w:r>
          <w:r>
            <w:rPr>
              <w:rStyle w:val="PageNumber"/>
            </w:rPr>
            <w:fldChar w:fldCharType="separate"/>
          </w:r>
          <w:r w:rsidR="00105DE2">
            <w:rPr>
              <w:rStyle w:val="PageNumber"/>
              <w:noProof/>
            </w:rPr>
            <w:t>163</w:t>
          </w:r>
          <w:r>
            <w:rPr>
              <w:rStyle w:val="PageNumber"/>
            </w:rPr>
            <w:fldChar w:fldCharType="end"/>
          </w:r>
        </w:p>
      </w:tc>
    </w:tr>
  </w:tbl>
  <w:p w:rsidR="00EC511B" w:rsidRDefault="00EC511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11B" w:rsidRDefault="00EC511B">
      <w:r>
        <w:separator/>
      </w:r>
    </w:p>
  </w:footnote>
  <w:footnote w:type="continuationSeparator" w:id="0">
    <w:p w:rsidR="00EC511B" w:rsidRDefault="00EC511B">
      <w:r>
        <w:continuationSeparator/>
      </w:r>
    </w:p>
  </w:footnote>
  <w:footnote w:id="1">
    <w:p w:rsidR="00CC3C96" w:rsidRDefault="00CC3C96" w:rsidP="00CC3C96">
      <w:pPr>
        <w:pStyle w:val="FootnoteText"/>
      </w:pPr>
      <w:r>
        <w:rPr>
          <w:rStyle w:val="FootnoteReference"/>
        </w:rPr>
        <w:footnoteRef/>
      </w:r>
      <w:r>
        <w:t xml:space="preserve"> </w:t>
      </w:r>
      <w:r>
        <w:tab/>
        <w:t>The terms ‘natural resources sector’, ‘</w:t>
      </w:r>
      <w:r w:rsidR="000262C0">
        <w:t>M</w:t>
      </w:r>
      <w:r>
        <w:t>ining industry’, and ‘mining sector’ are used interchangeably in this supplement. Appendix A provides a definition of the natural resources sector and of the industries and commodities it comprises.</w:t>
      </w:r>
    </w:p>
  </w:footnote>
  <w:footnote w:id="2">
    <w:p w:rsidR="00603B9C" w:rsidRDefault="00603B9C">
      <w:pPr>
        <w:pStyle w:val="FootnoteText"/>
      </w:pPr>
      <w:r>
        <w:rPr>
          <w:rStyle w:val="FootnoteReference"/>
        </w:rPr>
        <w:footnoteRef/>
      </w:r>
      <w:r>
        <w:t xml:space="preserve"> </w:t>
      </w:r>
      <w:r>
        <w:tab/>
        <w:t xml:space="preserve">This form of reclassification excludes the possibility that the same firm became reclassified by the ABS from one industry to another purely as the result of the adoption of a new taxonomy of productive activities. </w:t>
      </w:r>
    </w:p>
  </w:footnote>
  <w:footnote w:id="3">
    <w:p w:rsidR="00EC511B" w:rsidRDefault="00EC511B" w:rsidP="00AE56B3">
      <w:pPr>
        <w:pStyle w:val="FootnoteText"/>
      </w:pPr>
      <w:r>
        <w:rPr>
          <w:rStyle w:val="FootnoteReference"/>
        </w:rPr>
        <w:footnoteRef/>
      </w:r>
      <w:r>
        <w:t xml:space="preserve"> </w:t>
      </w:r>
      <w:r>
        <w:tab/>
        <w:t>Although more recent, the ABS’s Business Longitudinal Database is not useable for the purpose of tracking firm inter-industry movements.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C511B">
      <w:tc>
        <w:tcPr>
          <w:tcW w:w="2155" w:type="dxa"/>
          <w:tcBorders>
            <w:top w:val="single" w:sz="24" w:space="0" w:color="auto"/>
          </w:tcBorders>
        </w:tcPr>
        <w:p w:rsidR="00EC511B" w:rsidRDefault="00EC511B" w:rsidP="0019293B">
          <w:pPr>
            <w:pStyle w:val="HeaderEven"/>
          </w:pPr>
        </w:p>
      </w:tc>
      <w:tc>
        <w:tcPr>
          <w:tcW w:w="6634" w:type="dxa"/>
          <w:tcBorders>
            <w:top w:val="single" w:sz="6" w:space="0" w:color="auto"/>
          </w:tcBorders>
        </w:tcPr>
        <w:p w:rsidR="00EC511B" w:rsidRDefault="00EC511B" w:rsidP="0019293B">
          <w:pPr>
            <w:pStyle w:val="HeaderEven"/>
          </w:pPr>
        </w:p>
      </w:tc>
    </w:tr>
  </w:tbl>
  <w:p w:rsidR="00EC511B" w:rsidRDefault="00EC511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C511B">
      <w:tc>
        <w:tcPr>
          <w:tcW w:w="6634" w:type="dxa"/>
          <w:tcBorders>
            <w:top w:val="single" w:sz="6" w:space="0" w:color="auto"/>
          </w:tcBorders>
        </w:tcPr>
        <w:p w:rsidR="00EC511B" w:rsidRDefault="00EC511B" w:rsidP="00E669E2">
          <w:pPr>
            <w:pStyle w:val="HeaderOdd"/>
          </w:pPr>
        </w:p>
      </w:tc>
      <w:tc>
        <w:tcPr>
          <w:tcW w:w="2155" w:type="dxa"/>
          <w:tcBorders>
            <w:top w:val="single" w:sz="24" w:space="0" w:color="auto"/>
          </w:tcBorders>
        </w:tcPr>
        <w:p w:rsidR="00EC511B" w:rsidRDefault="00EC511B" w:rsidP="00E669E2">
          <w:pPr>
            <w:pStyle w:val="HeaderOdd"/>
          </w:pPr>
        </w:p>
      </w:tc>
    </w:tr>
  </w:tbl>
  <w:p w:rsidR="00EC511B" w:rsidRDefault="00EC511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4209"/>
  </w:hdrShapeDefaults>
  <w:footnotePr>
    <w:numStart w:val="68"/>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Supporting data and analysis"/>
    <w:docVar w:name="ShortReportTitle" w:val="Aspects of structural change"/>
  </w:docVars>
  <w:rsids>
    <w:rsidRoot w:val="00FF6187"/>
    <w:rsid w:val="00006151"/>
    <w:rsid w:val="000227D5"/>
    <w:rsid w:val="000245AA"/>
    <w:rsid w:val="000262C0"/>
    <w:rsid w:val="0003664B"/>
    <w:rsid w:val="000376FC"/>
    <w:rsid w:val="0004111F"/>
    <w:rsid w:val="000543D7"/>
    <w:rsid w:val="00054BB7"/>
    <w:rsid w:val="000565B3"/>
    <w:rsid w:val="00070187"/>
    <w:rsid w:val="0007150B"/>
    <w:rsid w:val="000938F5"/>
    <w:rsid w:val="00096E55"/>
    <w:rsid w:val="000B601B"/>
    <w:rsid w:val="000C207E"/>
    <w:rsid w:val="000D18C4"/>
    <w:rsid w:val="000D1BAE"/>
    <w:rsid w:val="000F0035"/>
    <w:rsid w:val="000F0510"/>
    <w:rsid w:val="000F420B"/>
    <w:rsid w:val="000F60C7"/>
    <w:rsid w:val="000F7AA8"/>
    <w:rsid w:val="00105DE2"/>
    <w:rsid w:val="00110116"/>
    <w:rsid w:val="00120072"/>
    <w:rsid w:val="00120419"/>
    <w:rsid w:val="00126EB8"/>
    <w:rsid w:val="001274D4"/>
    <w:rsid w:val="00127FD8"/>
    <w:rsid w:val="001363AA"/>
    <w:rsid w:val="00163806"/>
    <w:rsid w:val="00183E82"/>
    <w:rsid w:val="001878BB"/>
    <w:rsid w:val="00191AE0"/>
    <w:rsid w:val="0019293B"/>
    <w:rsid w:val="0019426B"/>
    <w:rsid w:val="001C0865"/>
    <w:rsid w:val="001C38E3"/>
    <w:rsid w:val="001C3ABA"/>
    <w:rsid w:val="001D4DDE"/>
    <w:rsid w:val="001E7BE8"/>
    <w:rsid w:val="001F0248"/>
    <w:rsid w:val="001F3EB3"/>
    <w:rsid w:val="001F4F86"/>
    <w:rsid w:val="001F6049"/>
    <w:rsid w:val="00202C2C"/>
    <w:rsid w:val="002135AB"/>
    <w:rsid w:val="002144BE"/>
    <w:rsid w:val="00227171"/>
    <w:rsid w:val="00242279"/>
    <w:rsid w:val="00242C5C"/>
    <w:rsid w:val="00245C82"/>
    <w:rsid w:val="00246C23"/>
    <w:rsid w:val="00291B40"/>
    <w:rsid w:val="00296661"/>
    <w:rsid w:val="002B1C7A"/>
    <w:rsid w:val="002B4008"/>
    <w:rsid w:val="002B7E29"/>
    <w:rsid w:val="002C1337"/>
    <w:rsid w:val="002C41BF"/>
    <w:rsid w:val="002D0E8E"/>
    <w:rsid w:val="002D12FA"/>
    <w:rsid w:val="002D5412"/>
    <w:rsid w:val="002F26FC"/>
    <w:rsid w:val="002F60E0"/>
    <w:rsid w:val="00301189"/>
    <w:rsid w:val="00323E09"/>
    <w:rsid w:val="00333932"/>
    <w:rsid w:val="003518AA"/>
    <w:rsid w:val="00352165"/>
    <w:rsid w:val="00353182"/>
    <w:rsid w:val="003565D9"/>
    <w:rsid w:val="003602E1"/>
    <w:rsid w:val="0037026F"/>
    <w:rsid w:val="00371240"/>
    <w:rsid w:val="00374731"/>
    <w:rsid w:val="00376E59"/>
    <w:rsid w:val="00377372"/>
    <w:rsid w:val="00384C32"/>
    <w:rsid w:val="003919F9"/>
    <w:rsid w:val="0039417B"/>
    <w:rsid w:val="00397EE9"/>
    <w:rsid w:val="003C38B5"/>
    <w:rsid w:val="003C5D99"/>
    <w:rsid w:val="003E2F59"/>
    <w:rsid w:val="003F0789"/>
    <w:rsid w:val="003F5AE4"/>
    <w:rsid w:val="003F6550"/>
    <w:rsid w:val="00401882"/>
    <w:rsid w:val="004100C8"/>
    <w:rsid w:val="00411DBD"/>
    <w:rsid w:val="00412ACE"/>
    <w:rsid w:val="00413362"/>
    <w:rsid w:val="004232E1"/>
    <w:rsid w:val="00431249"/>
    <w:rsid w:val="00434C19"/>
    <w:rsid w:val="00435083"/>
    <w:rsid w:val="00450810"/>
    <w:rsid w:val="004613D4"/>
    <w:rsid w:val="00467958"/>
    <w:rsid w:val="00477144"/>
    <w:rsid w:val="0048166C"/>
    <w:rsid w:val="00484429"/>
    <w:rsid w:val="00491380"/>
    <w:rsid w:val="00493D0F"/>
    <w:rsid w:val="0049459F"/>
    <w:rsid w:val="004A38DD"/>
    <w:rsid w:val="004A666E"/>
    <w:rsid w:val="004B43AE"/>
    <w:rsid w:val="004B49A1"/>
    <w:rsid w:val="004C30ED"/>
    <w:rsid w:val="004D5675"/>
    <w:rsid w:val="004E265B"/>
    <w:rsid w:val="00505CCB"/>
    <w:rsid w:val="00521194"/>
    <w:rsid w:val="00523639"/>
    <w:rsid w:val="00531FE5"/>
    <w:rsid w:val="005402FA"/>
    <w:rsid w:val="005559FB"/>
    <w:rsid w:val="00583C39"/>
    <w:rsid w:val="00587F28"/>
    <w:rsid w:val="005909CF"/>
    <w:rsid w:val="005911CE"/>
    <w:rsid w:val="00591E71"/>
    <w:rsid w:val="005A0D41"/>
    <w:rsid w:val="005B7F13"/>
    <w:rsid w:val="005C276C"/>
    <w:rsid w:val="005F5423"/>
    <w:rsid w:val="00603B9C"/>
    <w:rsid w:val="00607BF1"/>
    <w:rsid w:val="00613352"/>
    <w:rsid w:val="00630D4D"/>
    <w:rsid w:val="00632A74"/>
    <w:rsid w:val="00646AC5"/>
    <w:rsid w:val="006775CF"/>
    <w:rsid w:val="0068002E"/>
    <w:rsid w:val="00680714"/>
    <w:rsid w:val="0068401C"/>
    <w:rsid w:val="006A18B0"/>
    <w:rsid w:val="006A4655"/>
    <w:rsid w:val="006B2B3C"/>
    <w:rsid w:val="006C1D81"/>
    <w:rsid w:val="006C7038"/>
    <w:rsid w:val="006E591C"/>
    <w:rsid w:val="006E73EF"/>
    <w:rsid w:val="006F3F9D"/>
    <w:rsid w:val="0070691F"/>
    <w:rsid w:val="00714D4D"/>
    <w:rsid w:val="00726187"/>
    <w:rsid w:val="00743F49"/>
    <w:rsid w:val="0075276F"/>
    <w:rsid w:val="007604BB"/>
    <w:rsid w:val="00774640"/>
    <w:rsid w:val="00785232"/>
    <w:rsid w:val="007A21EB"/>
    <w:rsid w:val="007B1A93"/>
    <w:rsid w:val="007C36C9"/>
    <w:rsid w:val="007D6401"/>
    <w:rsid w:val="007E01E4"/>
    <w:rsid w:val="007F7107"/>
    <w:rsid w:val="00800D4C"/>
    <w:rsid w:val="0081030F"/>
    <w:rsid w:val="00811FA2"/>
    <w:rsid w:val="0082087D"/>
    <w:rsid w:val="00824AE9"/>
    <w:rsid w:val="00835771"/>
    <w:rsid w:val="00842933"/>
    <w:rsid w:val="0086082C"/>
    <w:rsid w:val="00861464"/>
    <w:rsid w:val="00864ADC"/>
    <w:rsid w:val="00880153"/>
    <w:rsid w:val="00880F97"/>
    <w:rsid w:val="0088133A"/>
    <w:rsid w:val="00883BDF"/>
    <w:rsid w:val="0089285E"/>
    <w:rsid w:val="0089436C"/>
    <w:rsid w:val="008A2C6F"/>
    <w:rsid w:val="008A6DC8"/>
    <w:rsid w:val="008D365C"/>
    <w:rsid w:val="009030BF"/>
    <w:rsid w:val="0091032F"/>
    <w:rsid w:val="00914368"/>
    <w:rsid w:val="00931076"/>
    <w:rsid w:val="009345D9"/>
    <w:rsid w:val="00934B15"/>
    <w:rsid w:val="00940C87"/>
    <w:rsid w:val="00942B62"/>
    <w:rsid w:val="0095323B"/>
    <w:rsid w:val="00956A0C"/>
    <w:rsid w:val="00956BD9"/>
    <w:rsid w:val="00962489"/>
    <w:rsid w:val="00983260"/>
    <w:rsid w:val="00990C2C"/>
    <w:rsid w:val="009C3872"/>
    <w:rsid w:val="009E1844"/>
    <w:rsid w:val="009F0D1B"/>
    <w:rsid w:val="009F696D"/>
    <w:rsid w:val="009F6BC6"/>
    <w:rsid w:val="00A135FC"/>
    <w:rsid w:val="00A16E3A"/>
    <w:rsid w:val="00A17328"/>
    <w:rsid w:val="00A23A20"/>
    <w:rsid w:val="00A268B9"/>
    <w:rsid w:val="00A2703A"/>
    <w:rsid w:val="00A30B1F"/>
    <w:rsid w:val="00A31D30"/>
    <w:rsid w:val="00A33DFF"/>
    <w:rsid w:val="00A35115"/>
    <w:rsid w:val="00A36D9A"/>
    <w:rsid w:val="00A44240"/>
    <w:rsid w:val="00A554AB"/>
    <w:rsid w:val="00A57062"/>
    <w:rsid w:val="00A65E78"/>
    <w:rsid w:val="00A87434"/>
    <w:rsid w:val="00A92B53"/>
    <w:rsid w:val="00A94FA6"/>
    <w:rsid w:val="00AA26CC"/>
    <w:rsid w:val="00AA2A48"/>
    <w:rsid w:val="00AA49A0"/>
    <w:rsid w:val="00AA613D"/>
    <w:rsid w:val="00AA6710"/>
    <w:rsid w:val="00AB0681"/>
    <w:rsid w:val="00AD520B"/>
    <w:rsid w:val="00AE56B3"/>
    <w:rsid w:val="00AE62AA"/>
    <w:rsid w:val="00B425C3"/>
    <w:rsid w:val="00B440AD"/>
    <w:rsid w:val="00B479BB"/>
    <w:rsid w:val="00B50AEC"/>
    <w:rsid w:val="00B53E7E"/>
    <w:rsid w:val="00B6342E"/>
    <w:rsid w:val="00B7113F"/>
    <w:rsid w:val="00B84C86"/>
    <w:rsid w:val="00B95100"/>
    <w:rsid w:val="00BA73B6"/>
    <w:rsid w:val="00BA7E27"/>
    <w:rsid w:val="00BB2603"/>
    <w:rsid w:val="00BB4FCD"/>
    <w:rsid w:val="00BB7E95"/>
    <w:rsid w:val="00BC04E9"/>
    <w:rsid w:val="00BD13EA"/>
    <w:rsid w:val="00BE3808"/>
    <w:rsid w:val="00C062E9"/>
    <w:rsid w:val="00C07B64"/>
    <w:rsid w:val="00C13721"/>
    <w:rsid w:val="00C14FE4"/>
    <w:rsid w:val="00C24C13"/>
    <w:rsid w:val="00C3066D"/>
    <w:rsid w:val="00C44F5D"/>
    <w:rsid w:val="00C52416"/>
    <w:rsid w:val="00C543F4"/>
    <w:rsid w:val="00C6291C"/>
    <w:rsid w:val="00C633CB"/>
    <w:rsid w:val="00C736B7"/>
    <w:rsid w:val="00C76613"/>
    <w:rsid w:val="00C81D4A"/>
    <w:rsid w:val="00C8762C"/>
    <w:rsid w:val="00C87CF8"/>
    <w:rsid w:val="00CA00F9"/>
    <w:rsid w:val="00CA2961"/>
    <w:rsid w:val="00CA5BD7"/>
    <w:rsid w:val="00CB3FBE"/>
    <w:rsid w:val="00CB50D7"/>
    <w:rsid w:val="00CB7177"/>
    <w:rsid w:val="00CC1998"/>
    <w:rsid w:val="00CC3784"/>
    <w:rsid w:val="00CC3C96"/>
    <w:rsid w:val="00CC4946"/>
    <w:rsid w:val="00CD7B9C"/>
    <w:rsid w:val="00CE09B2"/>
    <w:rsid w:val="00D10951"/>
    <w:rsid w:val="00D16E49"/>
    <w:rsid w:val="00D235ED"/>
    <w:rsid w:val="00D270A4"/>
    <w:rsid w:val="00D30677"/>
    <w:rsid w:val="00D31FE9"/>
    <w:rsid w:val="00D34E1B"/>
    <w:rsid w:val="00D376BA"/>
    <w:rsid w:val="00D43E54"/>
    <w:rsid w:val="00D45634"/>
    <w:rsid w:val="00D5568A"/>
    <w:rsid w:val="00D63D73"/>
    <w:rsid w:val="00D64452"/>
    <w:rsid w:val="00D66E1E"/>
    <w:rsid w:val="00D75722"/>
    <w:rsid w:val="00D80CF5"/>
    <w:rsid w:val="00DA1687"/>
    <w:rsid w:val="00DA5BBA"/>
    <w:rsid w:val="00DA7FEF"/>
    <w:rsid w:val="00DB26D2"/>
    <w:rsid w:val="00DB67C9"/>
    <w:rsid w:val="00DC0C95"/>
    <w:rsid w:val="00DD6580"/>
    <w:rsid w:val="00E0447F"/>
    <w:rsid w:val="00E150E0"/>
    <w:rsid w:val="00E160A3"/>
    <w:rsid w:val="00E17C72"/>
    <w:rsid w:val="00E21FC6"/>
    <w:rsid w:val="00E431A9"/>
    <w:rsid w:val="00E54B7D"/>
    <w:rsid w:val="00E669E2"/>
    <w:rsid w:val="00E76135"/>
    <w:rsid w:val="00E82F4F"/>
    <w:rsid w:val="00E95669"/>
    <w:rsid w:val="00EC2844"/>
    <w:rsid w:val="00EC511B"/>
    <w:rsid w:val="00EC5500"/>
    <w:rsid w:val="00ED18F8"/>
    <w:rsid w:val="00EF1D83"/>
    <w:rsid w:val="00EF6C6C"/>
    <w:rsid w:val="00F056FC"/>
    <w:rsid w:val="00F10476"/>
    <w:rsid w:val="00F119FD"/>
    <w:rsid w:val="00F135D8"/>
    <w:rsid w:val="00F31299"/>
    <w:rsid w:val="00F3534A"/>
    <w:rsid w:val="00F51609"/>
    <w:rsid w:val="00F646D2"/>
    <w:rsid w:val="00F77C21"/>
    <w:rsid w:val="00F81006"/>
    <w:rsid w:val="00F85325"/>
    <w:rsid w:val="00F9476C"/>
    <w:rsid w:val="00FD22B1"/>
    <w:rsid w:val="00FE41F9"/>
    <w:rsid w:val="00FE5397"/>
    <w:rsid w:val="00FF61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D1BA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semiHidden/>
    <w:rsid w:val="005911CE"/>
    <w:rPr>
      <w:szCs w:val="24"/>
    </w:rPr>
  </w:style>
  <w:style w:type="paragraph" w:styleId="NormalWeb">
    <w:name w:val="Normal (Web)"/>
    <w:basedOn w:val="Normal"/>
    <w:uiPriority w:val="99"/>
    <w:unhideWhenUsed/>
    <w:rsid w:val="000D1BAE"/>
    <w:pPr>
      <w:spacing w:before="100" w:beforeAutospacing="1" w:after="100" w:afterAutospacing="1"/>
    </w:pPr>
    <w:rPr>
      <w:rFonts w:eastAsiaTheme="minorEastAsia"/>
      <w:sz w:val="24"/>
    </w:rPr>
  </w:style>
  <w:style w:type="character" w:customStyle="1" w:styleId="BodyTextChar">
    <w:name w:val="Body Text Char"/>
    <w:basedOn w:val="DefaultParagraphFont"/>
    <w:link w:val="BodyText"/>
    <w:rsid w:val="000D1BAE"/>
    <w:rPr>
      <w:sz w:val="26"/>
    </w:rPr>
  </w:style>
  <w:style w:type="paragraph" w:styleId="CommentSubject">
    <w:name w:val="annotation subject"/>
    <w:basedOn w:val="CommentText"/>
    <w:next w:val="CommentText"/>
    <w:link w:val="CommentSubjectChar"/>
    <w:rsid w:val="00CD7B9C"/>
    <w:pPr>
      <w:spacing w:before="0" w:line="240" w:lineRule="auto"/>
      <w:ind w:left="0" w:firstLine="0"/>
    </w:pPr>
    <w:rPr>
      <w:b/>
      <w:bCs/>
      <w:szCs w:val="20"/>
    </w:rPr>
  </w:style>
  <w:style w:type="character" w:customStyle="1" w:styleId="CommentSubjectChar">
    <w:name w:val="Comment Subject Char"/>
    <w:basedOn w:val="CommentTextChar"/>
    <w:link w:val="CommentSubject"/>
    <w:rsid w:val="00CD7B9C"/>
    <w:rPr>
      <w:b/>
      <w:bCs/>
      <w:szCs w:val="24"/>
    </w:rPr>
  </w:style>
  <w:style w:type="character" w:customStyle="1" w:styleId="Heading2Char">
    <w:name w:val="Heading 2 Char"/>
    <w:basedOn w:val="DefaultParagraphFont"/>
    <w:link w:val="Heading2"/>
    <w:rsid w:val="00AE56B3"/>
    <w:rPr>
      <w:rFonts w:ascii="Arial" w:hAnsi="Arial"/>
      <w:b/>
      <w:sz w:val="32"/>
      <w:szCs w:val="24"/>
    </w:rPr>
  </w:style>
  <w:style w:type="character" w:customStyle="1" w:styleId="Heading3Char">
    <w:name w:val="Heading 3 Char"/>
    <w:basedOn w:val="DefaultParagraphFont"/>
    <w:link w:val="Heading3"/>
    <w:rsid w:val="00AE56B3"/>
    <w:rPr>
      <w:rFonts w:ascii="Arial" w:hAnsi="Arial"/>
      <w:b/>
      <w:sz w:val="26"/>
      <w:szCs w:val="24"/>
    </w:rPr>
  </w:style>
  <w:style w:type="character" w:customStyle="1" w:styleId="FootnoteTextChar">
    <w:name w:val="Footnote Text Char"/>
    <w:basedOn w:val="DefaultParagraphFont"/>
    <w:link w:val="FootnoteText"/>
    <w:uiPriority w:val="99"/>
    <w:rsid w:val="00AE56B3"/>
    <w:rPr>
      <w:sz w:val="22"/>
    </w:rPr>
  </w:style>
  <w:style w:type="character" w:customStyle="1" w:styleId="QuoteChar">
    <w:name w:val="Quote Char"/>
    <w:basedOn w:val="DefaultParagraphFont"/>
    <w:link w:val="Quote"/>
    <w:rsid w:val="00AE56B3"/>
    <w:rPr>
      <w:sz w:val="24"/>
    </w:rPr>
  </w:style>
  <w:style w:type="paragraph" w:customStyle="1" w:styleId="Style3">
    <w:name w:val="Style3"/>
    <w:basedOn w:val="Normal"/>
    <w:uiPriority w:val="99"/>
    <w:rsid w:val="00AE56B3"/>
    <w:pPr>
      <w:keepNext/>
      <w:keepLines/>
      <w:spacing w:after="80" w:line="200" w:lineRule="exact"/>
      <w:ind w:left="1474"/>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D1BA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semiHidden/>
    <w:rsid w:val="005911CE"/>
    <w:rPr>
      <w:szCs w:val="24"/>
    </w:rPr>
  </w:style>
  <w:style w:type="paragraph" w:styleId="NormalWeb">
    <w:name w:val="Normal (Web)"/>
    <w:basedOn w:val="Normal"/>
    <w:uiPriority w:val="99"/>
    <w:unhideWhenUsed/>
    <w:rsid w:val="000D1BAE"/>
    <w:pPr>
      <w:spacing w:before="100" w:beforeAutospacing="1" w:after="100" w:afterAutospacing="1"/>
    </w:pPr>
    <w:rPr>
      <w:rFonts w:eastAsiaTheme="minorEastAsia"/>
      <w:sz w:val="24"/>
    </w:rPr>
  </w:style>
  <w:style w:type="character" w:customStyle="1" w:styleId="BodyTextChar">
    <w:name w:val="Body Text Char"/>
    <w:basedOn w:val="DefaultParagraphFont"/>
    <w:link w:val="BodyText"/>
    <w:rsid w:val="000D1BAE"/>
    <w:rPr>
      <w:sz w:val="26"/>
    </w:rPr>
  </w:style>
  <w:style w:type="paragraph" w:styleId="CommentSubject">
    <w:name w:val="annotation subject"/>
    <w:basedOn w:val="CommentText"/>
    <w:next w:val="CommentText"/>
    <w:link w:val="CommentSubjectChar"/>
    <w:rsid w:val="00CD7B9C"/>
    <w:pPr>
      <w:spacing w:before="0" w:line="240" w:lineRule="auto"/>
      <w:ind w:left="0" w:firstLine="0"/>
    </w:pPr>
    <w:rPr>
      <w:b/>
      <w:bCs/>
      <w:szCs w:val="20"/>
    </w:rPr>
  </w:style>
  <w:style w:type="character" w:customStyle="1" w:styleId="CommentSubjectChar">
    <w:name w:val="Comment Subject Char"/>
    <w:basedOn w:val="CommentTextChar"/>
    <w:link w:val="CommentSubject"/>
    <w:rsid w:val="00CD7B9C"/>
    <w:rPr>
      <w:b/>
      <w:bCs/>
      <w:szCs w:val="24"/>
    </w:rPr>
  </w:style>
  <w:style w:type="character" w:customStyle="1" w:styleId="Heading2Char">
    <w:name w:val="Heading 2 Char"/>
    <w:basedOn w:val="DefaultParagraphFont"/>
    <w:link w:val="Heading2"/>
    <w:rsid w:val="00AE56B3"/>
    <w:rPr>
      <w:rFonts w:ascii="Arial" w:hAnsi="Arial"/>
      <w:b/>
      <w:sz w:val="32"/>
      <w:szCs w:val="24"/>
    </w:rPr>
  </w:style>
  <w:style w:type="character" w:customStyle="1" w:styleId="Heading3Char">
    <w:name w:val="Heading 3 Char"/>
    <w:basedOn w:val="DefaultParagraphFont"/>
    <w:link w:val="Heading3"/>
    <w:rsid w:val="00AE56B3"/>
    <w:rPr>
      <w:rFonts w:ascii="Arial" w:hAnsi="Arial"/>
      <w:b/>
      <w:sz w:val="26"/>
      <w:szCs w:val="24"/>
    </w:rPr>
  </w:style>
  <w:style w:type="character" w:customStyle="1" w:styleId="FootnoteTextChar">
    <w:name w:val="Footnote Text Char"/>
    <w:basedOn w:val="DefaultParagraphFont"/>
    <w:link w:val="FootnoteText"/>
    <w:uiPriority w:val="99"/>
    <w:rsid w:val="00AE56B3"/>
    <w:rPr>
      <w:sz w:val="22"/>
    </w:rPr>
  </w:style>
  <w:style w:type="character" w:customStyle="1" w:styleId="QuoteChar">
    <w:name w:val="Quote Char"/>
    <w:basedOn w:val="DefaultParagraphFont"/>
    <w:link w:val="Quote"/>
    <w:rsid w:val="00AE56B3"/>
    <w:rPr>
      <w:sz w:val="24"/>
    </w:rPr>
  </w:style>
  <w:style w:type="paragraph" w:customStyle="1" w:styleId="Style3">
    <w:name w:val="Style3"/>
    <w:basedOn w:val="Normal"/>
    <w:uiPriority w:val="99"/>
    <w:rsid w:val="00AE56B3"/>
    <w:pPr>
      <w:keepNext/>
      <w:keepLines/>
      <w:spacing w:after="80" w:line="200" w:lineRule="exact"/>
      <w:ind w:left="1474"/>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99573">
      <w:bodyDiv w:val="1"/>
      <w:marLeft w:val="0"/>
      <w:marRight w:val="0"/>
      <w:marTop w:val="0"/>
      <w:marBottom w:val="0"/>
      <w:divBdr>
        <w:top w:val="none" w:sz="0" w:space="0" w:color="auto"/>
        <w:left w:val="none" w:sz="0" w:space="0" w:color="auto"/>
        <w:bottom w:val="none" w:sz="0" w:space="0" w:color="auto"/>
        <w:right w:val="none" w:sz="0" w:space="0" w:color="auto"/>
      </w:divBdr>
    </w:div>
    <w:div w:id="101006154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en-AU" sz="900"/>
              <a:t>2001 to 2002</a:t>
            </a:r>
          </a:p>
        </c:rich>
      </c:tx>
      <c:layout>
        <c:manualLayout>
          <c:xMode val="edge"/>
          <c:yMode val="edge"/>
          <c:x val="0.51828278695353536"/>
          <c:y val="0.1147652243010908"/>
        </c:manualLayout>
      </c:layout>
      <c:overlay val="1"/>
    </c:title>
    <c:autoTitleDeleted val="0"/>
    <c:plotArea>
      <c:layout>
        <c:manualLayout>
          <c:layoutTarget val="inner"/>
          <c:xMode val="edge"/>
          <c:yMode val="edge"/>
          <c:x val="0.22070444444444445"/>
          <c:y val="0.29351177559497976"/>
          <c:w val="0.74556999999999995"/>
          <c:h val="0.54276985927852028"/>
        </c:manualLayout>
      </c:layout>
      <c:barChart>
        <c:barDir val="bar"/>
        <c:grouping val="stacked"/>
        <c:varyColors val="0"/>
        <c:ser>
          <c:idx val="0"/>
          <c:order val="0"/>
          <c:tx>
            <c:strRef>
              <c:f>'5.5'!$A$9</c:f>
              <c:strCache>
                <c:ptCount val="1"/>
                <c:pt idx="0">
                  <c:v>Manufacturing</c:v>
                </c:pt>
              </c:strCache>
            </c:strRef>
          </c:tx>
          <c:spPr>
            <a:solidFill>
              <a:srgbClr val="344893"/>
            </a:solidFill>
            <a:ln>
              <a:solidFill>
                <a:srgbClr val="344893"/>
              </a:solidFill>
            </a:ln>
          </c:spPr>
          <c:invertIfNegative val="0"/>
          <c:cat>
            <c:numRef>
              <c:f>'5.5'!$B$8:$G$8</c:f>
              <c:numCache>
                <c:formatCode>General</c:formatCode>
                <c:ptCount val="6"/>
              </c:numCache>
            </c:numRef>
          </c:cat>
          <c:val>
            <c:numRef>
              <c:f>'5.5'!$B$9:$G$9</c:f>
              <c:numCache>
                <c:formatCode>0.0</c:formatCode>
                <c:ptCount val="6"/>
                <c:pt idx="0">
                  <c:v>25.785900000000002</c:v>
                </c:pt>
                <c:pt idx="1">
                  <c:v>17.498099999999997</c:v>
                </c:pt>
                <c:pt idx="2">
                  <c:v>24.831499999999998</c:v>
                </c:pt>
                <c:pt idx="3">
                  <c:v>70.688699999999997</c:v>
                </c:pt>
                <c:pt idx="4">
                  <c:v>39.399000000000001</c:v>
                </c:pt>
                <c:pt idx="5">
                  <c:v>0</c:v>
                </c:pt>
              </c:numCache>
            </c:numRef>
          </c:val>
        </c:ser>
        <c:ser>
          <c:idx val="1"/>
          <c:order val="1"/>
          <c:tx>
            <c:strRef>
              <c:f>'5.5'!$A$10</c:f>
              <c:strCache>
                <c:ptCount val="1"/>
                <c:pt idx="0">
                  <c:v>Utilities/Construction</c:v>
                </c:pt>
              </c:strCache>
            </c:strRef>
          </c:tx>
          <c:spPr>
            <a:pattFill prst="zigZag">
              <a:fgClr>
                <a:srgbClr val="7B905A"/>
              </a:fgClr>
              <a:bgClr>
                <a:sysClr val="window" lastClr="FFFFFF"/>
              </a:bgClr>
            </a:pattFill>
            <a:ln>
              <a:solidFill>
                <a:srgbClr val="7B905A"/>
              </a:solidFill>
            </a:ln>
          </c:spPr>
          <c:invertIfNegative val="0"/>
          <c:cat>
            <c:numRef>
              <c:f>'5.5'!$B$8:$G$8</c:f>
              <c:numCache>
                <c:formatCode>General</c:formatCode>
                <c:ptCount val="6"/>
              </c:numCache>
            </c:numRef>
          </c:cat>
          <c:val>
            <c:numRef>
              <c:f>'5.5'!$B$10:$G$10</c:f>
              <c:numCache>
                <c:formatCode>0.0</c:formatCode>
                <c:ptCount val="6"/>
                <c:pt idx="0">
                  <c:v>17.297599999999999</c:v>
                </c:pt>
                <c:pt idx="1">
                  <c:v>15.0421</c:v>
                </c:pt>
                <c:pt idx="2">
                  <c:v>32.552399999999999</c:v>
                </c:pt>
                <c:pt idx="3">
                  <c:v>24.0596</c:v>
                </c:pt>
                <c:pt idx="4">
                  <c:v>0</c:v>
                </c:pt>
                <c:pt idx="5">
                  <c:v>69.536100000000005</c:v>
                </c:pt>
              </c:numCache>
            </c:numRef>
          </c:val>
        </c:ser>
        <c:ser>
          <c:idx val="2"/>
          <c:order val="2"/>
          <c:tx>
            <c:strRef>
              <c:f>'5.5'!$A$11</c:f>
              <c:strCache>
                <c:ptCount val="1"/>
                <c:pt idx="0">
                  <c:v>Distribution services</c:v>
                </c:pt>
              </c:strCache>
            </c:strRef>
          </c:tx>
          <c:spPr>
            <a:solidFill>
              <a:srgbClr val="86A20B"/>
            </a:solidFill>
            <a:ln>
              <a:solidFill>
                <a:srgbClr val="86A20B"/>
              </a:solidFill>
            </a:ln>
          </c:spPr>
          <c:invertIfNegative val="0"/>
          <c:cat>
            <c:numRef>
              <c:f>'5.5'!$B$8:$G$8</c:f>
              <c:numCache>
                <c:formatCode>General</c:formatCode>
                <c:ptCount val="6"/>
              </c:numCache>
            </c:numRef>
          </c:cat>
          <c:val>
            <c:numRef>
              <c:f>'5.5'!$B$11:$G$11</c:f>
              <c:numCache>
                <c:formatCode>0.0</c:formatCode>
                <c:ptCount val="6"/>
                <c:pt idx="0">
                  <c:v>75.392800000000008</c:v>
                </c:pt>
                <c:pt idx="1">
                  <c:v>56.636300000000006</c:v>
                </c:pt>
                <c:pt idx="2">
                  <c:v>90.772600000000011</c:v>
                </c:pt>
                <c:pt idx="3">
                  <c:v>0</c:v>
                </c:pt>
                <c:pt idx="4">
                  <c:v>37.641100000000002</c:v>
                </c:pt>
                <c:pt idx="5">
                  <c:v>90.195499999999996</c:v>
                </c:pt>
              </c:numCache>
            </c:numRef>
          </c:val>
        </c:ser>
        <c:ser>
          <c:idx val="3"/>
          <c:order val="3"/>
          <c:tx>
            <c:strRef>
              <c:f>'5.5'!$A$12</c:f>
              <c:strCache>
                <c:ptCount val="1"/>
                <c:pt idx="0">
                  <c:v>Business services</c:v>
                </c:pt>
              </c:strCache>
            </c:strRef>
          </c:tx>
          <c:spPr>
            <a:pattFill prst="pct60">
              <a:fgClr>
                <a:srgbClr val="B4C98B"/>
              </a:fgClr>
              <a:bgClr>
                <a:sysClr val="window" lastClr="FFFFFF"/>
              </a:bgClr>
            </a:pattFill>
            <a:ln>
              <a:solidFill>
                <a:srgbClr val="B4C98B"/>
              </a:solidFill>
            </a:ln>
          </c:spPr>
          <c:invertIfNegative val="0"/>
          <c:cat>
            <c:numRef>
              <c:f>'5.5'!$B$8:$G$8</c:f>
              <c:numCache>
                <c:formatCode>General</c:formatCode>
                <c:ptCount val="6"/>
              </c:numCache>
            </c:numRef>
          </c:cat>
          <c:val>
            <c:numRef>
              <c:f>'5.5'!$B$12:$G$12</c:f>
              <c:numCache>
                <c:formatCode>0.0</c:formatCode>
                <c:ptCount val="6"/>
                <c:pt idx="0">
                  <c:v>41.948399999999999</c:v>
                </c:pt>
                <c:pt idx="1">
                  <c:v>100.5</c:v>
                </c:pt>
                <c:pt idx="2">
                  <c:v>0</c:v>
                </c:pt>
                <c:pt idx="3">
                  <c:v>69.033100000000005</c:v>
                </c:pt>
                <c:pt idx="4">
                  <c:v>23.022200000000002</c:v>
                </c:pt>
                <c:pt idx="5">
                  <c:v>42.341900000000003</c:v>
                </c:pt>
              </c:numCache>
            </c:numRef>
          </c:val>
        </c:ser>
        <c:ser>
          <c:idx val="4"/>
          <c:order val="4"/>
          <c:tx>
            <c:strRef>
              <c:f>'5.5'!$A$13</c:f>
              <c:strCache>
                <c:ptCount val="1"/>
                <c:pt idx="0">
                  <c:v>Social services</c:v>
                </c:pt>
              </c:strCache>
            </c:strRef>
          </c:tx>
          <c:spPr>
            <a:pattFill prst="ltDnDiag">
              <a:fgClr>
                <a:srgbClr val="39580D"/>
              </a:fgClr>
              <a:bgClr>
                <a:sysClr val="window" lastClr="FFFFFF"/>
              </a:bgClr>
            </a:pattFill>
            <a:ln>
              <a:solidFill>
                <a:srgbClr val="39580D"/>
              </a:solidFill>
            </a:ln>
          </c:spPr>
          <c:invertIfNegative val="0"/>
          <c:cat>
            <c:numRef>
              <c:f>'5.5'!$B$8:$G$8</c:f>
              <c:numCache>
                <c:formatCode>General</c:formatCode>
                <c:ptCount val="6"/>
              </c:numCache>
            </c:numRef>
          </c:cat>
          <c:val>
            <c:numRef>
              <c:f>'5.5'!$B$13:$G$13</c:f>
              <c:numCache>
                <c:formatCode>0.0</c:formatCode>
                <c:ptCount val="6"/>
                <c:pt idx="0">
                  <c:v>31.733499999999999</c:v>
                </c:pt>
                <c:pt idx="1">
                  <c:v>0</c:v>
                </c:pt>
                <c:pt idx="2">
                  <c:v>71.464300000000009</c:v>
                </c:pt>
                <c:pt idx="3">
                  <c:v>30.202500000000001</c:v>
                </c:pt>
                <c:pt idx="4">
                  <c:v>6.0957799999999995</c:v>
                </c:pt>
                <c:pt idx="5">
                  <c:v>16.318100000000001</c:v>
                </c:pt>
              </c:numCache>
            </c:numRef>
          </c:val>
        </c:ser>
        <c:ser>
          <c:idx val="5"/>
          <c:order val="5"/>
          <c:tx>
            <c:strRef>
              <c:f>'5.5'!$A$14</c:f>
              <c:strCache>
                <c:ptCount val="1"/>
                <c:pt idx="0">
                  <c:v>Personal services</c:v>
                </c:pt>
              </c:strCache>
            </c:strRef>
          </c:tx>
          <c:spPr>
            <a:pattFill prst="ltUpDiag">
              <a:fgClr>
                <a:srgbClr val="604A7B"/>
              </a:fgClr>
              <a:bgClr>
                <a:sysClr val="window" lastClr="FFFFFF"/>
              </a:bgClr>
            </a:pattFill>
            <a:ln>
              <a:solidFill>
                <a:srgbClr val="604A7B"/>
              </a:solidFill>
            </a:ln>
          </c:spPr>
          <c:invertIfNegative val="0"/>
          <c:cat>
            <c:numRef>
              <c:f>'5.5'!$B$8:$G$8</c:f>
              <c:numCache>
                <c:formatCode>General</c:formatCode>
                <c:ptCount val="6"/>
              </c:numCache>
            </c:numRef>
          </c:cat>
          <c:val>
            <c:numRef>
              <c:f>'5.5'!$B$14:$G$14</c:f>
              <c:numCache>
                <c:formatCode>0.0</c:formatCode>
                <c:ptCount val="6"/>
                <c:pt idx="0">
                  <c:v>0</c:v>
                </c:pt>
                <c:pt idx="1">
                  <c:v>49.358899999999998</c:v>
                </c:pt>
                <c:pt idx="2">
                  <c:v>56.629400000000004</c:v>
                </c:pt>
                <c:pt idx="3">
                  <c:v>63.009699999999995</c:v>
                </c:pt>
                <c:pt idx="4">
                  <c:v>20.942799999999998</c:v>
                </c:pt>
                <c:pt idx="5">
                  <c:v>13.529399999999999</c:v>
                </c:pt>
              </c:numCache>
            </c:numRef>
          </c:val>
        </c:ser>
        <c:ser>
          <c:idx val="6"/>
          <c:order val="6"/>
          <c:tx>
            <c:strRef>
              <c:f>'5.5'!$A$15</c:f>
              <c:strCache>
                <c:ptCount val="1"/>
                <c:pt idx="0">
                  <c:v>Manufacturing</c:v>
                </c:pt>
              </c:strCache>
            </c:strRef>
          </c:tx>
          <c:spPr>
            <a:solidFill>
              <a:srgbClr val="344893"/>
            </a:solidFill>
            <a:ln>
              <a:solidFill>
                <a:srgbClr val="344893"/>
              </a:solidFill>
            </a:ln>
          </c:spPr>
          <c:invertIfNegative val="0"/>
          <c:cat>
            <c:numRef>
              <c:f>'5.5'!$B$8:$G$8</c:f>
              <c:numCache>
                <c:formatCode>General</c:formatCode>
                <c:ptCount val="6"/>
              </c:numCache>
            </c:numRef>
          </c:cat>
          <c:val>
            <c:numRef>
              <c:f>'5.5'!$B$15:$G$15</c:f>
              <c:numCache>
                <c:formatCode>0.0</c:formatCode>
                <c:ptCount val="6"/>
                <c:pt idx="0">
                  <c:v>-13.529399999999999</c:v>
                </c:pt>
                <c:pt idx="1">
                  <c:v>-16.318100000000001</c:v>
                </c:pt>
                <c:pt idx="2">
                  <c:v>-42.341900000000003</c:v>
                </c:pt>
                <c:pt idx="3">
                  <c:v>-90.195499999999996</c:v>
                </c:pt>
                <c:pt idx="4">
                  <c:v>-69.536100000000005</c:v>
                </c:pt>
                <c:pt idx="5">
                  <c:v>0</c:v>
                </c:pt>
              </c:numCache>
            </c:numRef>
          </c:val>
        </c:ser>
        <c:ser>
          <c:idx val="7"/>
          <c:order val="7"/>
          <c:tx>
            <c:strRef>
              <c:f>'5.5'!$A$16</c:f>
              <c:strCache>
                <c:ptCount val="1"/>
                <c:pt idx="0">
                  <c:v>Utilities/Construction</c:v>
                </c:pt>
              </c:strCache>
            </c:strRef>
          </c:tx>
          <c:spPr>
            <a:pattFill prst="zigZag">
              <a:fgClr>
                <a:srgbClr val="7B905A"/>
              </a:fgClr>
              <a:bgClr>
                <a:sysClr val="window" lastClr="FFFFFF"/>
              </a:bgClr>
            </a:pattFill>
            <a:ln>
              <a:solidFill>
                <a:srgbClr val="7B905A"/>
              </a:solidFill>
            </a:ln>
          </c:spPr>
          <c:invertIfNegative val="0"/>
          <c:cat>
            <c:numRef>
              <c:f>'5.5'!$B$8:$G$8</c:f>
              <c:numCache>
                <c:formatCode>General</c:formatCode>
                <c:ptCount val="6"/>
              </c:numCache>
            </c:numRef>
          </c:cat>
          <c:val>
            <c:numRef>
              <c:f>'5.5'!$B$16:$G$16</c:f>
              <c:numCache>
                <c:formatCode>0.0</c:formatCode>
                <c:ptCount val="6"/>
                <c:pt idx="0">
                  <c:v>-20.942799999999998</c:v>
                </c:pt>
                <c:pt idx="1">
                  <c:v>-6.0957799999999995</c:v>
                </c:pt>
                <c:pt idx="2">
                  <c:v>-23.022200000000002</c:v>
                </c:pt>
                <c:pt idx="3">
                  <c:v>-37.641100000000002</c:v>
                </c:pt>
                <c:pt idx="4">
                  <c:v>0</c:v>
                </c:pt>
                <c:pt idx="5">
                  <c:v>-39.399000000000001</c:v>
                </c:pt>
              </c:numCache>
            </c:numRef>
          </c:val>
        </c:ser>
        <c:ser>
          <c:idx val="8"/>
          <c:order val="8"/>
          <c:tx>
            <c:strRef>
              <c:f>'5.5'!$A$17</c:f>
              <c:strCache>
                <c:ptCount val="1"/>
                <c:pt idx="0">
                  <c:v>Distribution services</c:v>
                </c:pt>
              </c:strCache>
            </c:strRef>
          </c:tx>
          <c:spPr>
            <a:solidFill>
              <a:srgbClr val="86A20B"/>
            </a:solidFill>
            <a:ln>
              <a:solidFill>
                <a:srgbClr val="86A20B"/>
              </a:solidFill>
            </a:ln>
          </c:spPr>
          <c:invertIfNegative val="0"/>
          <c:cat>
            <c:numRef>
              <c:f>'5.5'!$B$8:$G$8</c:f>
              <c:numCache>
                <c:formatCode>General</c:formatCode>
                <c:ptCount val="6"/>
              </c:numCache>
            </c:numRef>
          </c:cat>
          <c:val>
            <c:numRef>
              <c:f>'5.5'!$B$17:$G$17</c:f>
              <c:numCache>
                <c:formatCode>0.0</c:formatCode>
                <c:ptCount val="6"/>
                <c:pt idx="0">
                  <c:v>-63.009699999999995</c:v>
                </c:pt>
                <c:pt idx="1">
                  <c:v>-30.202500000000001</c:v>
                </c:pt>
                <c:pt idx="2">
                  <c:v>-69.033100000000005</c:v>
                </c:pt>
                <c:pt idx="3">
                  <c:v>0</c:v>
                </c:pt>
                <c:pt idx="4">
                  <c:v>-24.0596</c:v>
                </c:pt>
                <c:pt idx="5">
                  <c:v>-70.688699999999997</c:v>
                </c:pt>
              </c:numCache>
            </c:numRef>
          </c:val>
        </c:ser>
        <c:ser>
          <c:idx val="9"/>
          <c:order val="9"/>
          <c:tx>
            <c:strRef>
              <c:f>'5.5'!$A$18</c:f>
              <c:strCache>
                <c:ptCount val="1"/>
                <c:pt idx="0">
                  <c:v>Business services</c:v>
                </c:pt>
              </c:strCache>
            </c:strRef>
          </c:tx>
          <c:spPr>
            <a:pattFill prst="pct60">
              <a:fgClr>
                <a:srgbClr val="B4C98B"/>
              </a:fgClr>
              <a:bgClr>
                <a:sysClr val="window" lastClr="FFFFFF"/>
              </a:bgClr>
            </a:pattFill>
            <a:ln>
              <a:solidFill>
                <a:srgbClr val="B4C98B"/>
              </a:solidFill>
            </a:ln>
          </c:spPr>
          <c:invertIfNegative val="0"/>
          <c:cat>
            <c:numRef>
              <c:f>'5.5'!$B$8:$G$8</c:f>
              <c:numCache>
                <c:formatCode>General</c:formatCode>
                <c:ptCount val="6"/>
              </c:numCache>
            </c:numRef>
          </c:cat>
          <c:val>
            <c:numRef>
              <c:f>'5.5'!$B$18:$G$18</c:f>
              <c:numCache>
                <c:formatCode>0.0</c:formatCode>
                <c:ptCount val="6"/>
                <c:pt idx="0">
                  <c:v>-56.629400000000004</c:v>
                </c:pt>
                <c:pt idx="1">
                  <c:v>-71.464300000000009</c:v>
                </c:pt>
                <c:pt idx="2">
                  <c:v>0</c:v>
                </c:pt>
                <c:pt idx="3">
                  <c:v>-90.772600000000011</c:v>
                </c:pt>
                <c:pt idx="4">
                  <c:v>-32.552399999999999</c:v>
                </c:pt>
                <c:pt idx="5">
                  <c:v>-24.831499999999998</c:v>
                </c:pt>
              </c:numCache>
            </c:numRef>
          </c:val>
        </c:ser>
        <c:ser>
          <c:idx val="10"/>
          <c:order val="10"/>
          <c:tx>
            <c:strRef>
              <c:f>'5.5'!$A$19</c:f>
              <c:strCache>
                <c:ptCount val="1"/>
                <c:pt idx="0">
                  <c:v>Social services</c:v>
                </c:pt>
              </c:strCache>
            </c:strRef>
          </c:tx>
          <c:spPr>
            <a:pattFill prst="ltDnDiag">
              <a:fgClr>
                <a:srgbClr val="39580D"/>
              </a:fgClr>
              <a:bgClr>
                <a:sysClr val="window" lastClr="FFFFFF"/>
              </a:bgClr>
            </a:pattFill>
            <a:ln>
              <a:solidFill>
                <a:srgbClr val="39580D"/>
              </a:solidFill>
            </a:ln>
          </c:spPr>
          <c:invertIfNegative val="0"/>
          <c:cat>
            <c:numRef>
              <c:f>'5.5'!$B$8:$G$8</c:f>
              <c:numCache>
                <c:formatCode>General</c:formatCode>
                <c:ptCount val="6"/>
              </c:numCache>
            </c:numRef>
          </c:cat>
          <c:val>
            <c:numRef>
              <c:f>'5.5'!$B$19:$G$19</c:f>
              <c:numCache>
                <c:formatCode>0.0</c:formatCode>
                <c:ptCount val="6"/>
                <c:pt idx="0">
                  <c:v>-49.358899999999998</c:v>
                </c:pt>
                <c:pt idx="1">
                  <c:v>0</c:v>
                </c:pt>
                <c:pt idx="2">
                  <c:v>-100.5</c:v>
                </c:pt>
                <c:pt idx="3">
                  <c:v>-56.636300000000006</c:v>
                </c:pt>
                <c:pt idx="4">
                  <c:v>-15.0421</c:v>
                </c:pt>
                <c:pt idx="5">
                  <c:v>-17.498099999999997</c:v>
                </c:pt>
              </c:numCache>
            </c:numRef>
          </c:val>
        </c:ser>
        <c:ser>
          <c:idx val="11"/>
          <c:order val="11"/>
          <c:tx>
            <c:strRef>
              <c:f>'5.5'!$A$20</c:f>
              <c:strCache>
                <c:ptCount val="1"/>
                <c:pt idx="0">
                  <c:v>Personal services</c:v>
                </c:pt>
              </c:strCache>
            </c:strRef>
          </c:tx>
          <c:spPr>
            <a:pattFill prst="ltUpDiag">
              <a:fgClr>
                <a:srgbClr val="604A7B"/>
              </a:fgClr>
              <a:bgClr>
                <a:sysClr val="window" lastClr="FFFFFF"/>
              </a:bgClr>
            </a:pattFill>
            <a:ln>
              <a:solidFill>
                <a:srgbClr val="604A7B"/>
              </a:solidFill>
            </a:ln>
          </c:spPr>
          <c:invertIfNegative val="0"/>
          <c:cat>
            <c:numRef>
              <c:f>'5.5'!$B$8:$G$8</c:f>
              <c:numCache>
                <c:formatCode>General</c:formatCode>
                <c:ptCount val="6"/>
              </c:numCache>
            </c:numRef>
          </c:cat>
          <c:val>
            <c:numRef>
              <c:f>'5.5'!$B$20:$G$20</c:f>
              <c:numCache>
                <c:formatCode>0.0</c:formatCode>
                <c:ptCount val="6"/>
                <c:pt idx="0">
                  <c:v>0</c:v>
                </c:pt>
                <c:pt idx="1">
                  <c:v>-31.733499999999999</c:v>
                </c:pt>
                <c:pt idx="2">
                  <c:v>-41.948399999999999</c:v>
                </c:pt>
                <c:pt idx="3">
                  <c:v>-75.392800000000008</c:v>
                </c:pt>
                <c:pt idx="4">
                  <c:v>-17.297599999999999</c:v>
                </c:pt>
                <c:pt idx="5">
                  <c:v>-25.785900000000002</c:v>
                </c:pt>
              </c:numCache>
            </c:numRef>
          </c:val>
        </c:ser>
        <c:dLbls>
          <c:showLegendKey val="0"/>
          <c:showVal val="0"/>
          <c:showCatName val="0"/>
          <c:showSerName val="0"/>
          <c:showPercent val="0"/>
          <c:showBubbleSize val="0"/>
        </c:dLbls>
        <c:gapWidth val="40"/>
        <c:overlap val="100"/>
        <c:axId val="162341632"/>
        <c:axId val="162343168"/>
      </c:barChart>
      <c:catAx>
        <c:axId val="162341632"/>
        <c:scaling>
          <c:orientation val="minMax"/>
        </c:scaling>
        <c:delete val="0"/>
        <c:axPos val="l"/>
        <c:numFmt formatCode="General" sourceLinked="1"/>
        <c:majorTickMark val="cross"/>
        <c:minorTickMark val="none"/>
        <c:tickLblPos val="nextTo"/>
        <c:spPr>
          <a:ln w="12700">
            <a:solidFill>
              <a:schemeClr val="tx1"/>
            </a:solidFill>
          </a:ln>
        </c:spPr>
        <c:crossAx val="162343168"/>
        <c:crosses val="autoZero"/>
        <c:auto val="1"/>
        <c:lblAlgn val="ctr"/>
        <c:lblOffset val="100"/>
        <c:noMultiLvlLbl val="0"/>
      </c:catAx>
      <c:valAx>
        <c:axId val="162343168"/>
        <c:scaling>
          <c:orientation val="minMax"/>
        </c:scaling>
        <c:delete val="0"/>
        <c:axPos val="b"/>
        <c:majorGridlines>
          <c:spPr>
            <a:ln>
              <a:solidFill>
                <a:schemeClr val="tx1"/>
              </a:solidFill>
              <a:prstDash val="solid"/>
            </a:ln>
          </c:spPr>
        </c:majorGridlines>
        <c:title>
          <c:tx>
            <c:rich>
              <a:bodyPr/>
              <a:lstStyle/>
              <a:p>
                <a:pPr>
                  <a:defRPr sz="900"/>
                </a:pPr>
                <a:r>
                  <a:rPr lang="en-AU" sz="900"/>
                  <a:t>Number of workers (’000s)</a:t>
                </a:r>
              </a:p>
            </c:rich>
          </c:tx>
          <c:layout/>
          <c:overlay val="0"/>
        </c:title>
        <c:numFmt formatCode="0" sourceLinked="0"/>
        <c:majorTickMark val="out"/>
        <c:minorTickMark val="none"/>
        <c:tickLblPos val="nextTo"/>
        <c:spPr>
          <a:ln>
            <a:solidFill>
              <a:schemeClr val="tx1"/>
            </a:solidFill>
          </a:ln>
        </c:spPr>
        <c:txPr>
          <a:bodyPr/>
          <a:lstStyle/>
          <a:p>
            <a:pPr>
              <a:defRPr sz="900"/>
            </a:pPr>
            <a:endParaRPr lang="en-US"/>
          </a:p>
        </c:txPr>
        <c:crossAx val="162341632"/>
        <c:crosses val="autoZero"/>
        <c:crossBetween val="between"/>
        <c:majorUnit val="100"/>
      </c:valAx>
      <c:spPr>
        <a:ln>
          <a:solidFill>
            <a:schemeClr val="tx1"/>
          </a:solidFill>
          <a:prstDash val="solid"/>
        </a:ln>
      </c:spPr>
    </c:plotArea>
    <c:legend>
      <c:legendPos val="t"/>
      <c:legendEntry>
        <c:idx val="4"/>
        <c:txPr>
          <a:bodyPr/>
          <a:lstStyle/>
          <a:p>
            <a:pPr>
              <a:defRPr sz="950"/>
            </a:pPr>
            <a:endParaRPr lang="en-US"/>
          </a:p>
        </c:txPr>
      </c:legendEntry>
      <c:layout>
        <c:manualLayout>
          <c:xMode val="edge"/>
          <c:yMode val="edge"/>
          <c:x val="0.11480398283547889"/>
          <c:y val="1.8390804597701149E-2"/>
          <c:w val="0.84096474224105489"/>
          <c:h val="9.9568028062415839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en-AU" sz="900"/>
              <a:t>2009 to 2010</a:t>
            </a:r>
          </a:p>
        </c:rich>
      </c:tx>
      <c:layout>
        <c:manualLayout>
          <c:xMode val="edge"/>
          <c:yMode val="edge"/>
          <c:x val="0.51357814814814817"/>
          <c:y val="2.0634920634920634E-4"/>
        </c:manualLayout>
      </c:layout>
      <c:overlay val="1"/>
    </c:title>
    <c:autoTitleDeleted val="0"/>
    <c:plotArea>
      <c:layout>
        <c:manualLayout>
          <c:layoutTarget val="inner"/>
          <c:xMode val="edge"/>
          <c:yMode val="edge"/>
          <c:x val="0.21343893441144096"/>
          <c:y val="0.20439663941528841"/>
          <c:w val="0.75070821477024663"/>
          <c:h val="0.59440087703638533"/>
        </c:manualLayout>
      </c:layout>
      <c:barChart>
        <c:barDir val="bar"/>
        <c:grouping val="stacked"/>
        <c:varyColors val="0"/>
        <c:ser>
          <c:idx val="0"/>
          <c:order val="0"/>
          <c:tx>
            <c:strRef>
              <c:f>'5.5'!$A$34</c:f>
              <c:strCache>
                <c:ptCount val="1"/>
                <c:pt idx="0">
                  <c:v>Manufacturing</c:v>
                </c:pt>
              </c:strCache>
            </c:strRef>
          </c:tx>
          <c:spPr>
            <a:solidFill>
              <a:srgbClr val="344893"/>
            </a:solidFill>
            <a:ln>
              <a:solidFill>
                <a:srgbClr val="344893"/>
              </a:solidFill>
            </a:ln>
          </c:spPr>
          <c:invertIfNegative val="0"/>
          <c:cat>
            <c:numRef>
              <c:f>'5.5'!$B$33:$G$33</c:f>
              <c:numCache>
                <c:formatCode>General</c:formatCode>
                <c:ptCount val="6"/>
              </c:numCache>
            </c:numRef>
          </c:cat>
          <c:val>
            <c:numRef>
              <c:f>'5.5'!$B$34:$G$34</c:f>
              <c:numCache>
                <c:formatCode>#,##0</c:formatCode>
                <c:ptCount val="6"/>
                <c:pt idx="0">
                  <c:v>15.282299999999999</c:v>
                </c:pt>
                <c:pt idx="1">
                  <c:v>39.1387</c:v>
                </c:pt>
                <c:pt idx="2">
                  <c:v>29.62</c:v>
                </c:pt>
                <c:pt idx="3">
                  <c:v>58.7913</c:v>
                </c:pt>
                <c:pt idx="4">
                  <c:v>30.051599999999997</c:v>
                </c:pt>
                <c:pt idx="5" formatCode="General">
                  <c:v>0</c:v>
                </c:pt>
              </c:numCache>
            </c:numRef>
          </c:val>
        </c:ser>
        <c:ser>
          <c:idx val="1"/>
          <c:order val="1"/>
          <c:tx>
            <c:strRef>
              <c:f>'5.5'!$A$35</c:f>
              <c:strCache>
                <c:ptCount val="1"/>
                <c:pt idx="0">
                  <c:v>Utilities/Construction</c:v>
                </c:pt>
              </c:strCache>
            </c:strRef>
          </c:tx>
          <c:spPr>
            <a:pattFill prst="zigZag">
              <a:fgClr>
                <a:srgbClr val="7B905A"/>
              </a:fgClr>
              <a:bgClr>
                <a:sysClr val="window" lastClr="FFFFFF"/>
              </a:bgClr>
            </a:pattFill>
            <a:ln>
              <a:solidFill>
                <a:srgbClr val="7B905A"/>
              </a:solidFill>
            </a:ln>
          </c:spPr>
          <c:invertIfNegative val="0"/>
          <c:cat>
            <c:numRef>
              <c:f>'5.5'!$B$33:$G$33</c:f>
              <c:numCache>
                <c:formatCode>General</c:formatCode>
                <c:ptCount val="6"/>
              </c:numCache>
            </c:numRef>
          </c:cat>
          <c:val>
            <c:numRef>
              <c:f>'5.5'!$B$35:$G$35</c:f>
              <c:numCache>
                <c:formatCode>#,##0</c:formatCode>
                <c:ptCount val="6"/>
                <c:pt idx="0">
                  <c:v>8.6051699999999993</c:v>
                </c:pt>
                <c:pt idx="1">
                  <c:v>35.608800000000002</c:v>
                </c:pt>
                <c:pt idx="2">
                  <c:v>36.635100000000001</c:v>
                </c:pt>
                <c:pt idx="3">
                  <c:v>49.217599999999997</c:v>
                </c:pt>
                <c:pt idx="4" formatCode="General">
                  <c:v>0</c:v>
                </c:pt>
                <c:pt idx="5">
                  <c:v>39.320900000000002</c:v>
                </c:pt>
              </c:numCache>
            </c:numRef>
          </c:val>
        </c:ser>
        <c:ser>
          <c:idx val="2"/>
          <c:order val="2"/>
          <c:tx>
            <c:strRef>
              <c:f>'5.5'!$A$36</c:f>
              <c:strCache>
                <c:ptCount val="1"/>
                <c:pt idx="0">
                  <c:v>Distribution services</c:v>
                </c:pt>
              </c:strCache>
            </c:strRef>
          </c:tx>
          <c:spPr>
            <a:solidFill>
              <a:srgbClr val="86A20B"/>
            </a:solidFill>
            <a:ln>
              <a:solidFill>
                <a:srgbClr val="86A20B"/>
              </a:solidFill>
            </a:ln>
          </c:spPr>
          <c:invertIfNegative val="0"/>
          <c:cat>
            <c:numRef>
              <c:f>'5.5'!$B$33:$G$33</c:f>
              <c:numCache>
                <c:formatCode>General</c:formatCode>
                <c:ptCount val="6"/>
              </c:numCache>
            </c:numRef>
          </c:cat>
          <c:val>
            <c:numRef>
              <c:f>'5.5'!$B$36:$G$36</c:f>
              <c:numCache>
                <c:formatCode>#,##0</c:formatCode>
                <c:ptCount val="6"/>
                <c:pt idx="0">
                  <c:v>74.229900000000001</c:v>
                </c:pt>
                <c:pt idx="1">
                  <c:v>59.5428</c:v>
                </c:pt>
                <c:pt idx="2">
                  <c:v>101.584</c:v>
                </c:pt>
                <c:pt idx="3">
                  <c:v>0</c:v>
                </c:pt>
                <c:pt idx="4">
                  <c:v>41.802300000000002</c:v>
                </c:pt>
                <c:pt idx="5">
                  <c:v>62.768999999999998</c:v>
                </c:pt>
              </c:numCache>
            </c:numRef>
          </c:val>
        </c:ser>
        <c:ser>
          <c:idx val="3"/>
          <c:order val="3"/>
          <c:tx>
            <c:strRef>
              <c:f>'5.5'!$A$37</c:f>
              <c:strCache>
                <c:ptCount val="1"/>
                <c:pt idx="0">
                  <c:v>Business services</c:v>
                </c:pt>
              </c:strCache>
            </c:strRef>
          </c:tx>
          <c:spPr>
            <a:pattFill prst="pct60">
              <a:fgClr>
                <a:srgbClr val="B4C98B"/>
              </a:fgClr>
              <a:bgClr>
                <a:sysClr val="window" lastClr="FFFFFF"/>
              </a:bgClr>
            </a:pattFill>
            <a:ln>
              <a:solidFill>
                <a:srgbClr val="B4C98B"/>
              </a:solidFill>
            </a:ln>
          </c:spPr>
          <c:invertIfNegative val="0"/>
          <c:cat>
            <c:numRef>
              <c:f>'5.5'!$B$33:$G$33</c:f>
              <c:numCache>
                <c:formatCode>General</c:formatCode>
                <c:ptCount val="6"/>
              </c:numCache>
            </c:numRef>
          </c:cat>
          <c:val>
            <c:numRef>
              <c:f>'5.5'!$B$37:$G$37</c:f>
              <c:numCache>
                <c:formatCode>#,##0</c:formatCode>
                <c:ptCount val="6"/>
                <c:pt idx="0">
                  <c:v>31.866599999999998</c:v>
                </c:pt>
                <c:pt idx="1">
                  <c:v>91.580399999999997</c:v>
                </c:pt>
                <c:pt idx="2">
                  <c:v>0</c:v>
                </c:pt>
                <c:pt idx="3">
                  <c:v>67.47760000000001</c:v>
                </c:pt>
                <c:pt idx="4">
                  <c:v>33.608400000000003</c:v>
                </c:pt>
                <c:pt idx="5">
                  <c:v>40.586800000000004</c:v>
                </c:pt>
              </c:numCache>
            </c:numRef>
          </c:val>
        </c:ser>
        <c:ser>
          <c:idx val="4"/>
          <c:order val="4"/>
          <c:tx>
            <c:strRef>
              <c:f>'5.5'!$A$38</c:f>
              <c:strCache>
                <c:ptCount val="1"/>
                <c:pt idx="0">
                  <c:v>Social services</c:v>
                </c:pt>
              </c:strCache>
            </c:strRef>
          </c:tx>
          <c:spPr>
            <a:pattFill prst="ltDnDiag">
              <a:fgClr>
                <a:srgbClr val="39580D"/>
              </a:fgClr>
              <a:bgClr>
                <a:sysClr val="window" lastClr="FFFFFF"/>
              </a:bgClr>
            </a:pattFill>
            <a:ln>
              <a:solidFill>
                <a:srgbClr val="39580D"/>
              </a:solidFill>
            </a:ln>
          </c:spPr>
          <c:invertIfNegative val="0"/>
          <c:cat>
            <c:numRef>
              <c:f>'5.5'!$B$33:$G$33</c:f>
              <c:numCache>
                <c:formatCode>General</c:formatCode>
                <c:ptCount val="6"/>
              </c:numCache>
            </c:numRef>
          </c:cat>
          <c:val>
            <c:numRef>
              <c:f>'5.5'!$B$38:$G$38</c:f>
              <c:numCache>
                <c:formatCode>#,##0</c:formatCode>
                <c:ptCount val="6"/>
                <c:pt idx="0">
                  <c:v>34.729500000000002</c:v>
                </c:pt>
                <c:pt idx="1">
                  <c:v>0</c:v>
                </c:pt>
                <c:pt idx="2">
                  <c:v>89.113100000000003</c:v>
                </c:pt>
                <c:pt idx="3">
                  <c:v>30.252500000000001</c:v>
                </c:pt>
                <c:pt idx="4">
                  <c:v>22.636800000000001</c:v>
                </c:pt>
                <c:pt idx="5">
                  <c:v>15.822100000000001</c:v>
                </c:pt>
              </c:numCache>
            </c:numRef>
          </c:val>
        </c:ser>
        <c:ser>
          <c:idx val="5"/>
          <c:order val="5"/>
          <c:tx>
            <c:strRef>
              <c:f>'5.5'!$A$39</c:f>
              <c:strCache>
                <c:ptCount val="1"/>
                <c:pt idx="0">
                  <c:v>Personal services</c:v>
                </c:pt>
              </c:strCache>
            </c:strRef>
          </c:tx>
          <c:spPr>
            <a:pattFill prst="ltUpDiag">
              <a:fgClr>
                <a:srgbClr val="604A7B"/>
              </a:fgClr>
              <a:bgClr>
                <a:sysClr val="window" lastClr="FFFFFF"/>
              </a:bgClr>
            </a:pattFill>
            <a:ln>
              <a:solidFill>
                <a:srgbClr val="604A7B"/>
              </a:solidFill>
            </a:ln>
          </c:spPr>
          <c:invertIfNegative val="0"/>
          <c:cat>
            <c:numRef>
              <c:f>'5.5'!$B$33:$G$33</c:f>
              <c:numCache>
                <c:formatCode>General</c:formatCode>
                <c:ptCount val="6"/>
              </c:numCache>
            </c:numRef>
          </c:cat>
          <c:val>
            <c:numRef>
              <c:f>'5.5'!$B$39:$G$39</c:f>
              <c:numCache>
                <c:formatCode>#,##0</c:formatCode>
                <c:ptCount val="6"/>
                <c:pt idx="0">
                  <c:v>0</c:v>
                </c:pt>
                <c:pt idx="1">
                  <c:v>83.885600000000011</c:v>
                </c:pt>
                <c:pt idx="2">
                  <c:v>58.680399999999999</c:v>
                </c:pt>
                <c:pt idx="3">
                  <c:v>68.495100000000008</c:v>
                </c:pt>
                <c:pt idx="4">
                  <c:v>27.984000000000002</c:v>
                </c:pt>
                <c:pt idx="5">
                  <c:v>22.672099999999997</c:v>
                </c:pt>
              </c:numCache>
            </c:numRef>
          </c:val>
        </c:ser>
        <c:ser>
          <c:idx val="6"/>
          <c:order val="6"/>
          <c:tx>
            <c:strRef>
              <c:f>'5.5'!$A$40</c:f>
              <c:strCache>
                <c:ptCount val="1"/>
                <c:pt idx="0">
                  <c:v>Manufacturing</c:v>
                </c:pt>
              </c:strCache>
            </c:strRef>
          </c:tx>
          <c:spPr>
            <a:solidFill>
              <a:srgbClr val="344893"/>
            </a:solidFill>
            <a:ln>
              <a:solidFill>
                <a:srgbClr val="344893"/>
              </a:solidFill>
            </a:ln>
          </c:spPr>
          <c:invertIfNegative val="0"/>
          <c:cat>
            <c:numRef>
              <c:f>'5.5'!$B$33:$G$33</c:f>
              <c:numCache>
                <c:formatCode>General</c:formatCode>
                <c:ptCount val="6"/>
              </c:numCache>
            </c:numRef>
          </c:cat>
          <c:val>
            <c:numRef>
              <c:f>'5.5'!$B$40:$G$40</c:f>
              <c:numCache>
                <c:formatCode>#,##0</c:formatCode>
                <c:ptCount val="6"/>
                <c:pt idx="0">
                  <c:v>-22.672099999999997</c:v>
                </c:pt>
                <c:pt idx="1">
                  <c:v>-15.822100000000001</c:v>
                </c:pt>
                <c:pt idx="2">
                  <c:v>-40.586800000000004</c:v>
                </c:pt>
                <c:pt idx="3" formatCode="#,##0.00">
                  <c:v>-62.768999999999998</c:v>
                </c:pt>
                <c:pt idx="4">
                  <c:v>-39.320900000000002</c:v>
                </c:pt>
                <c:pt idx="5" formatCode="General">
                  <c:v>0</c:v>
                </c:pt>
              </c:numCache>
            </c:numRef>
          </c:val>
        </c:ser>
        <c:ser>
          <c:idx val="7"/>
          <c:order val="7"/>
          <c:tx>
            <c:strRef>
              <c:f>'5.5'!$A$41</c:f>
              <c:strCache>
                <c:ptCount val="1"/>
                <c:pt idx="0">
                  <c:v>Utilities/Construction</c:v>
                </c:pt>
              </c:strCache>
            </c:strRef>
          </c:tx>
          <c:spPr>
            <a:pattFill prst="zigZag">
              <a:fgClr>
                <a:srgbClr val="7B905A"/>
              </a:fgClr>
              <a:bgClr>
                <a:sysClr val="window" lastClr="FFFFFF"/>
              </a:bgClr>
            </a:pattFill>
            <a:ln>
              <a:solidFill>
                <a:srgbClr val="7B905A"/>
              </a:solidFill>
            </a:ln>
          </c:spPr>
          <c:invertIfNegative val="0"/>
          <c:cat>
            <c:numRef>
              <c:f>'5.5'!$B$33:$G$33</c:f>
              <c:numCache>
                <c:formatCode>General</c:formatCode>
                <c:ptCount val="6"/>
              </c:numCache>
            </c:numRef>
          </c:cat>
          <c:val>
            <c:numRef>
              <c:f>'5.5'!$B$41:$G$41</c:f>
              <c:numCache>
                <c:formatCode>#,##0</c:formatCode>
                <c:ptCount val="6"/>
                <c:pt idx="0">
                  <c:v>-27.984000000000002</c:v>
                </c:pt>
                <c:pt idx="1">
                  <c:v>-22.636800000000001</c:v>
                </c:pt>
                <c:pt idx="2">
                  <c:v>-33.608400000000003</c:v>
                </c:pt>
                <c:pt idx="3" formatCode="#,##0.00">
                  <c:v>-41.802300000000002</c:v>
                </c:pt>
                <c:pt idx="4" formatCode="General">
                  <c:v>0</c:v>
                </c:pt>
                <c:pt idx="5">
                  <c:v>-30.051599999999997</c:v>
                </c:pt>
              </c:numCache>
            </c:numRef>
          </c:val>
        </c:ser>
        <c:ser>
          <c:idx val="8"/>
          <c:order val="8"/>
          <c:tx>
            <c:strRef>
              <c:f>'5.5'!$A$42</c:f>
              <c:strCache>
                <c:ptCount val="1"/>
                <c:pt idx="0">
                  <c:v>Distribution services</c:v>
                </c:pt>
              </c:strCache>
            </c:strRef>
          </c:tx>
          <c:spPr>
            <a:solidFill>
              <a:srgbClr val="86A20B"/>
            </a:solidFill>
            <a:ln>
              <a:solidFill>
                <a:srgbClr val="86A20B"/>
              </a:solidFill>
            </a:ln>
          </c:spPr>
          <c:invertIfNegative val="0"/>
          <c:cat>
            <c:numRef>
              <c:f>'5.5'!$B$33:$G$33</c:f>
              <c:numCache>
                <c:formatCode>General</c:formatCode>
                <c:ptCount val="6"/>
              </c:numCache>
            </c:numRef>
          </c:cat>
          <c:val>
            <c:numRef>
              <c:f>'5.5'!$B$42:$G$42</c:f>
              <c:numCache>
                <c:formatCode>#,##0</c:formatCode>
                <c:ptCount val="6"/>
                <c:pt idx="0">
                  <c:v>-68.495100000000008</c:v>
                </c:pt>
                <c:pt idx="1">
                  <c:v>-30.252500000000001</c:v>
                </c:pt>
                <c:pt idx="2">
                  <c:v>-67.47760000000001</c:v>
                </c:pt>
                <c:pt idx="3" formatCode="General">
                  <c:v>0</c:v>
                </c:pt>
                <c:pt idx="4">
                  <c:v>-49.217599999999997</c:v>
                </c:pt>
                <c:pt idx="5">
                  <c:v>-58.7913</c:v>
                </c:pt>
              </c:numCache>
            </c:numRef>
          </c:val>
        </c:ser>
        <c:ser>
          <c:idx val="9"/>
          <c:order val="9"/>
          <c:tx>
            <c:strRef>
              <c:f>'5.5'!$A$43</c:f>
              <c:strCache>
                <c:ptCount val="1"/>
                <c:pt idx="0">
                  <c:v>Business services</c:v>
                </c:pt>
              </c:strCache>
            </c:strRef>
          </c:tx>
          <c:spPr>
            <a:pattFill prst="pct60">
              <a:fgClr>
                <a:srgbClr val="B4C98B"/>
              </a:fgClr>
              <a:bgClr>
                <a:sysClr val="window" lastClr="FFFFFF"/>
              </a:bgClr>
            </a:pattFill>
            <a:ln>
              <a:solidFill>
                <a:srgbClr val="B4C98B"/>
              </a:solidFill>
            </a:ln>
          </c:spPr>
          <c:invertIfNegative val="0"/>
          <c:cat>
            <c:numRef>
              <c:f>'5.5'!$B$33:$G$33</c:f>
              <c:numCache>
                <c:formatCode>General</c:formatCode>
                <c:ptCount val="6"/>
              </c:numCache>
            </c:numRef>
          </c:cat>
          <c:val>
            <c:numRef>
              <c:f>'5.5'!$B$43:$G$43</c:f>
              <c:numCache>
                <c:formatCode>#,##0</c:formatCode>
                <c:ptCount val="6"/>
                <c:pt idx="0">
                  <c:v>-58.680399999999999</c:v>
                </c:pt>
                <c:pt idx="1">
                  <c:v>-89.113100000000003</c:v>
                </c:pt>
                <c:pt idx="2">
                  <c:v>0</c:v>
                </c:pt>
                <c:pt idx="3" formatCode="#,##0.00">
                  <c:v>-101.584</c:v>
                </c:pt>
                <c:pt idx="4">
                  <c:v>-36.635100000000001</c:v>
                </c:pt>
                <c:pt idx="5">
                  <c:v>-29.62</c:v>
                </c:pt>
              </c:numCache>
            </c:numRef>
          </c:val>
        </c:ser>
        <c:ser>
          <c:idx val="10"/>
          <c:order val="10"/>
          <c:tx>
            <c:strRef>
              <c:f>'5.5'!$A$44</c:f>
              <c:strCache>
                <c:ptCount val="1"/>
                <c:pt idx="0">
                  <c:v>Social services</c:v>
                </c:pt>
              </c:strCache>
            </c:strRef>
          </c:tx>
          <c:spPr>
            <a:pattFill prst="ltDnDiag">
              <a:fgClr>
                <a:srgbClr val="39580D"/>
              </a:fgClr>
              <a:bgClr>
                <a:sysClr val="window" lastClr="FFFFFF"/>
              </a:bgClr>
            </a:pattFill>
            <a:ln>
              <a:solidFill>
                <a:srgbClr val="39580D"/>
              </a:solidFill>
            </a:ln>
          </c:spPr>
          <c:invertIfNegative val="0"/>
          <c:cat>
            <c:numRef>
              <c:f>'5.5'!$B$33:$G$33</c:f>
              <c:numCache>
                <c:formatCode>General</c:formatCode>
                <c:ptCount val="6"/>
              </c:numCache>
            </c:numRef>
          </c:cat>
          <c:val>
            <c:numRef>
              <c:f>'5.5'!$B$44:$G$44</c:f>
              <c:numCache>
                <c:formatCode>#,##0</c:formatCode>
                <c:ptCount val="6"/>
                <c:pt idx="0">
                  <c:v>-83.885600000000011</c:v>
                </c:pt>
                <c:pt idx="1">
                  <c:v>0</c:v>
                </c:pt>
                <c:pt idx="2">
                  <c:v>-91.580399999999997</c:v>
                </c:pt>
                <c:pt idx="3" formatCode="#,##0.00">
                  <c:v>-59.5428</c:v>
                </c:pt>
                <c:pt idx="4">
                  <c:v>-35.608800000000002</c:v>
                </c:pt>
                <c:pt idx="5">
                  <c:v>-39.1387</c:v>
                </c:pt>
              </c:numCache>
            </c:numRef>
          </c:val>
        </c:ser>
        <c:ser>
          <c:idx val="11"/>
          <c:order val="11"/>
          <c:tx>
            <c:strRef>
              <c:f>'5.5'!$A$45</c:f>
              <c:strCache>
                <c:ptCount val="1"/>
                <c:pt idx="0">
                  <c:v>Personal services</c:v>
                </c:pt>
              </c:strCache>
            </c:strRef>
          </c:tx>
          <c:spPr>
            <a:pattFill prst="ltUpDiag">
              <a:fgClr>
                <a:srgbClr val="604A7B"/>
              </a:fgClr>
              <a:bgClr>
                <a:sysClr val="window" lastClr="FFFFFF"/>
              </a:bgClr>
            </a:pattFill>
            <a:ln>
              <a:solidFill>
                <a:srgbClr val="604A7B"/>
              </a:solidFill>
            </a:ln>
          </c:spPr>
          <c:invertIfNegative val="0"/>
          <c:cat>
            <c:numRef>
              <c:f>'5.5'!$B$33:$G$33</c:f>
              <c:numCache>
                <c:formatCode>General</c:formatCode>
                <c:ptCount val="6"/>
              </c:numCache>
            </c:numRef>
          </c:cat>
          <c:val>
            <c:numRef>
              <c:f>'5.5'!$B$45:$G$45</c:f>
              <c:numCache>
                <c:formatCode>#,##0</c:formatCode>
                <c:ptCount val="6"/>
                <c:pt idx="0">
                  <c:v>0</c:v>
                </c:pt>
                <c:pt idx="1">
                  <c:v>-34.729500000000002</c:v>
                </c:pt>
                <c:pt idx="2">
                  <c:v>-31.866599999999998</c:v>
                </c:pt>
                <c:pt idx="3" formatCode="#,##0.00">
                  <c:v>-74.229900000000001</c:v>
                </c:pt>
                <c:pt idx="4">
                  <c:v>-8.6051699999999993</c:v>
                </c:pt>
                <c:pt idx="5">
                  <c:v>-15.282299999999999</c:v>
                </c:pt>
              </c:numCache>
            </c:numRef>
          </c:val>
        </c:ser>
        <c:dLbls>
          <c:showLegendKey val="0"/>
          <c:showVal val="0"/>
          <c:showCatName val="0"/>
          <c:showSerName val="0"/>
          <c:showPercent val="0"/>
          <c:showBubbleSize val="0"/>
        </c:dLbls>
        <c:gapWidth val="40"/>
        <c:overlap val="100"/>
        <c:axId val="187455360"/>
        <c:axId val="187456896"/>
      </c:barChart>
      <c:catAx>
        <c:axId val="187455360"/>
        <c:scaling>
          <c:orientation val="minMax"/>
        </c:scaling>
        <c:delete val="0"/>
        <c:axPos val="l"/>
        <c:numFmt formatCode="General" sourceLinked="1"/>
        <c:majorTickMark val="cross"/>
        <c:minorTickMark val="none"/>
        <c:tickLblPos val="nextTo"/>
        <c:spPr>
          <a:ln w="12700">
            <a:solidFill>
              <a:schemeClr val="tx1"/>
            </a:solidFill>
          </a:ln>
        </c:spPr>
        <c:crossAx val="187456896"/>
        <c:crosses val="autoZero"/>
        <c:auto val="1"/>
        <c:lblAlgn val="ctr"/>
        <c:lblOffset val="100"/>
        <c:noMultiLvlLbl val="0"/>
      </c:catAx>
      <c:valAx>
        <c:axId val="187456896"/>
        <c:scaling>
          <c:orientation val="minMax"/>
        </c:scaling>
        <c:delete val="0"/>
        <c:axPos val="b"/>
        <c:majorGridlines>
          <c:spPr>
            <a:ln>
              <a:solidFill>
                <a:schemeClr val="tx1"/>
              </a:solidFill>
              <a:prstDash val="solid"/>
            </a:ln>
          </c:spPr>
        </c:majorGridlines>
        <c:title>
          <c:tx>
            <c:rich>
              <a:bodyPr/>
              <a:lstStyle/>
              <a:p>
                <a:pPr>
                  <a:defRPr sz="900"/>
                </a:pPr>
                <a:r>
                  <a:rPr lang="en-AU" sz="900"/>
                  <a:t>Number of workers (’000s)</a:t>
                </a:r>
              </a:p>
            </c:rich>
          </c:tx>
          <c:layout/>
          <c:overlay val="0"/>
        </c:title>
        <c:numFmt formatCode="0" sourceLinked="0"/>
        <c:majorTickMark val="out"/>
        <c:minorTickMark val="none"/>
        <c:tickLblPos val="nextTo"/>
        <c:spPr>
          <a:ln>
            <a:solidFill>
              <a:schemeClr val="tx1"/>
            </a:solidFill>
          </a:ln>
        </c:spPr>
        <c:txPr>
          <a:bodyPr/>
          <a:lstStyle/>
          <a:p>
            <a:pPr>
              <a:defRPr sz="900"/>
            </a:pPr>
            <a:endParaRPr lang="en-US"/>
          </a:p>
        </c:txPr>
        <c:crossAx val="187455360"/>
        <c:crosses val="autoZero"/>
        <c:crossBetween val="between"/>
        <c:majorUnit val="100"/>
      </c:valAx>
      <c:spPr>
        <a:ln>
          <a:solidFill>
            <a:schemeClr val="tx1"/>
          </a:solidFill>
          <a:prstDash val="soli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6011108750924112E-2"/>
          <c:y val="0.12987207426014338"/>
          <c:w val="0.85297240740740743"/>
          <c:h val="0.69584232716018735"/>
        </c:manualLayout>
      </c:layout>
      <c:barChart>
        <c:barDir val="col"/>
        <c:grouping val="stacked"/>
        <c:varyColors val="0"/>
        <c:ser>
          <c:idx val="0"/>
          <c:order val="0"/>
          <c:tx>
            <c:strRef>
              <c:f>'5.7_3'!$B$3</c:f>
              <c:strCache>
                <c:ptCount val="1"/>
                <c:pt idx="0">
                  <c:v>&lt;1 year</c:v>
                </c:pt>
              </c:strCache>
            </c:strRef>
          </c:tx>
          <c:spPr>
            <a:pattFill prst="pct60">
              <a:fgClr>
                <a:srgbClr val="B4C98B"/>
              </a:fgClr>
              <a:bgClr>
                <a:sysClr val="window" lastClr="FFFFFF"/>
              </a:bgClr>
            </a:pattFill>
            <a:ln>
              <a:solidFill>
                <a:srgbClr val="B4C98B"/>
              </a:solidFill>
            </a:ln>
          </c:spPr>
          <c:invertIfNegative val="0"/>
          <c:cat>
            <c:strRef>
              <c:f>'5.7_3'!$A$4:$A$26</c:f>
              <c:strCache>
                <c:ptCount val="22"/>
                <c:pt idx="0">
                  <c:v>          Agriculture
</c:v>
                </c:pt>
                <c:pt idx="2">
                  <c:v> </c:v>
                </c:pt>
                <c:pt idx="3">
                  <c:v>      Mining</c:v>
                </c:pt>
                <c:pt idx="6">
                  <c:v>      Manufac-
      turing</c:v>
                </c:pt>
                <c:pt idx="9">
                  <c:v>         Utilities/
       Construction</c:v>
                </c:pt>
                <c:pt idx="12">
                  <c:v>         Distribution
       services</c:v>
                </c:pt>
                <c:pt idx="15">
                  <c:v>       Business
       services</c:v>
                </c:pt>
                <c:pt idx="18">
                  <c:v>      Social
      services</c:v>
                </c:pt>
                <c:pt idx="21">
                  <c:v>     Personal
     services</c:v>
                </c:pt>
              </c:strCache>
            </c:strRef>
          </c:cat>
          <c:val>
            <c:numRef>
              <c:f>'5.7_3'!$B$4:$B$26</c:f>
              <c:numCache>
                <c:formatCode>0.0</c:formatCode>
                <c:ptCount val="23"/>
                <c:pt idx="0">
                  <c:v>13.754646840148697</c:v>
                </c:pt>
                <c:pt idx="1">
                  <c:v>10.55234954657873</c:v>
                </c:pt>
                <c:pt idx="3">
                  <c:v>25.789473684210527</c:v>
                </c:pt>
                <c:pt idx="4">
                  <c:v>17.006406523005243</c:v>
                </c:pt>
                <c:pt idx="6">
                  <c:v>18.033682294037323</c:v>
                </c:pt>
                <c:pt idx="7">
                  <c:v>16.116776644671063</c:v>
                </c:pt>
                <c:pt idx="9">
                  <c:v>19.667343829354998</c:v>
                </c:pt>
                <c:pt idx="10">
                  <c:v>18.214222063803241</c:v>
                </c:pt>
                <c:pt idx="12">
                  <c:v>25.829568468608819</c:v>
                </c:pt>
                <c:pt idx="13">
                  <c:v>20.078029953433742</c:v>
                </c:pt>
                <c:pt idx="15">
                  <c:v>26.301954986035813</c:v>
                </c:pt>
                <c:pt idx="16">
                  <c:v>17.39886907351022</c:v>
                </c:pt>
                <c:pt idx="18">
                  <c:v>18.95011169024572</c:v>
                </c:pt>
                <c:pt idx="19">
                  <c:v>14.208612870582064</c:v>
                </c:pt>
                <c:pt idx="21">
                  <c:v>29.039280643634648</c:v>
                </c:pt>
                <c:pt idx="22">
                  <c:v>26.159635284752873</c:v>
                </c:pt>
              </c:numCache>
            </c:numRef>
          </c:val>
        </c:ser>
        <c:ser>
          <c:idx val="1"/>
          <c:order val="1"/>
          <c:tx>
            <c:strRef>
              <c:f>'5.7_3'!$C$3</c:f>
              <c:strCache>
                <c:ptCount val="1"/>
                <c:pt idx="0">
                  <c:v>1&lt;3yrs</c:v>
                </c:pt>
              </c:strCache>
            </c:strRef>
          </c:tx>
          <c:spPr>
            <a:solidFill>
              <a:srgbClr val="344893"/>
            </a:solidFill>
            <a:ln>
              <a:solidFill>
                <a:srgbClr val="344893"/>
              </a:solidFill>
            </a:ln>
          </c:spPr>
          <c:invertIfNegative val="0"/>
          <c:cat>
            <c:strRef>
              <c:f>'5.7_3'!$A$4:$A$26</c:f>
              <c:strCache>
                <c:ptCount val="22"/>
                <c:pt idx="0">
                  <c:v>          Agriculture
</c:v>
                </c:pt>
                <c:pt idx="2">
                  <c:v> </c:v>
                </c:pt>
                <c:pt idx="3">
                  <c:v>      Mining</c:v>
                </c:pt>
                <c:pt idx="6">
                  <c:v>      Manufac-
      turing</c:v>
                </c:pt>
                <c:pt idx="9">
                  <c:v>         Utilities/
       Construction</c:v>
                </c:pt>
                <c:pt idx="12">
                  <c:v>         Distribution
       services</c:v>
                </c:pt>
                <c:pt idx="15">
                  <c:v>       Business
       services</c:v>
                </c:pt>
                <c:pt idx="18">
                  <c:v>      Social
      services</c:v>
                </c:pt>
                <c:pt idx="21">
                  <c:v>     Personal
     services</c:v>
                </c:pt>
              </c:strCache>
            </c:strRef>
          </c:cat>
          <c:val>
            <c:numRef>
              <c:f>'5.7_3'!$C$4:$C$26</c:f>
              <c:numCache>
                <c:formatCode>0.0</c:formatCode>
                <c:ptCount val="23"/>
                <c:pt idx="0">
                  <c:v>13.542219861922463</c:v>
                </c:pt>
                <c:pt idx="1">
                  <c:v>11.596592470458919</c:v>
                </c:pt>
                <c:pt idx="3">
                  <c:v>15.921052631578945</c:v>
                </c:pt>
                <c:pt idx="4">
                  <c:v>30.460104834012814</c:v>
                </c:pt>
                <c:pt idx="6">
                  <c:v>20.282203004096495</c:v>
                </c:pt>
                <c:pt idx="7">
                  <c:v>21.745650869826033</c:v>
                </c:pt>
                <c:pt idx="9">
                  <c:v>17.826307770441847</c:v>
                </c:pt>
                <c:pt idx="10">
                  <c:v>22.794510782391733</c:v>
                </c:pt>
                <c:pt idx="12">
                  <c:v>25.070104377628915</c:v>
                </c:pt>
                <c:pt idx="13">
                  <c:v>25.997399001552211</c:v>
                </c:pt>
                <c:pt idx="15">
                  <c:v>26.145884672252343</c:v>
                </c:pt>
                <c:pt idx="16">
                  <c:v>26.005872118312308</c:v>
                </c:pt>
                <c:pt idx="18">
                  <c:v>20.104244229337304</c:v>
                </c:pt>
                <c:pt idx="19">
                  <c:v>20.21288557400397</c:v>
                </c:pt>
                <c:pt idx="21">
                  <c:v>26.000946521533365</c:v>
                </c:pt>
                <c:pt idx="22">
                  <c:v>30.00940733772342</c:v>
                </c:pt>
              </c:numCache>
            </c:numRef>
          </c:val>
        </c:ser>
        <c:ser>
          <c:idx val="2"/>
          <c:order val="2"/>
          <c:tx>
            <c:strRef>
              <c:f>'5.7_3'!$D$3</c:f>
              <c:strCache>
                <c:ptCount val="1"/>
                <c:pt idx="0">
                  <c:v>3&lt;5yrs</c:v>
                </c:pt>
              </c:strCache>
            </c:strRef>
          </c:tx>
          <c:spPr>
            <a:pattFill prst="zigZag">
              <a:fgClr>
                <a:srgbClr val="7B905A"/>
              </a:fgClr>
              <a:bgClr>
                <a:sysClr val="window" lastClr="FFFFFF"/>
              </a:bgClr>
            </a:pattFill>
            <a:ln>
              <a:solidFill>
                <a:srgbClr val="7B905A"/>
              </a:solidFill>
            </a:ln>
          </c:spPr>
          <c:invertIfNegative val="0"/>
          <c:cat>
            <c:strRef>
              <c:f>'5.7_3'!$A$4:$A$26</c:f>
              <c:strCache>
                <c:ptCount val="22"/>
                <c:pt idx="0">
                  <c:v>          Agriculture
</c:v>
                </c:pt>
                <c:pt idx="2">
                  <c:v> </c:v>
                </c:pt>
                <c:pt idx="3">
                  <c:v>      Mining</c:v>
                </c:pt>
                <c:pt idx="6">
                  <c:v>      Manufac-
      turing</c:v>
                </c:pt>
                <c:pt idx="9">
                  <c:v>         Utilities/
       Construction</c:v>
                </c:pt>
                <c:pt idx="12">
                  <c:v>         Distribution
       services</c:v>
                </c:pt>
                <c:pt idx="15">
                  <c:v>       Business
       services</c:v>
                </c:pt>
                <c:pt idx="18">
                  <c:v>      Social
      services</c:v>
                </c:pt>
                <c:pt idx="21">
                  <c:v>     Personal
     services</c:v>
                </c:pt>
              </c:strCache>
            </c:strRef>
          </c:cat>
          <c:val>
            <c:numRef>
              <c:f>'5.7_3'!$D$4:$D$26</c:f>
              <c:numCache>
                <c:formatCode>0.0</c:formatCode>
                <c:ptCount val="23"/>
                <c:pt idx="0">
                  <c:v>9.612320764737122</c:v>
                </c:pt>
                <c:pt idx="1">
                  <c:v>9.3707062379774673</c:v>
                </c:pt>
                <c:pt idx="3">
                  <c:v>8.2894736842105257</c:v>
                </c:pt>
                <c:pt idx="4">
                  <c:v>20.034944670937683</c:v>
                </c:pt>
                <c:pt idx="6">
                  <c:v>14.738279472007282</c:v>
                </c:pt>
                <c:pt idx="7">
                  <c:v>15.836832633473305</c:v>
                </c:pt>
                <c:pt idx="9">
                  <c:v>14.664804469273744</c:v>
                </c:pt>
                <c:pt idx="10">
                  <c:v>15.808233826412401</c:v>
                </c:pt>
                <c:pt idx="12">
                  <c:v>14.468764605078674</c:v>
                </c:pt>
                <c:pt idx="13">
                  <c:v>16.524730461047955</c:v>
                </c:pt>
                <c:pt idx="15">
                  <c:v>12.888122227698373</c:v>
                </c:pt>
                <c:pt idx="16">
                  <c:v>16.458242714223577</c:v>
                </c:pt>
                <c:pt idx="18">
                  <c:v>12.535900436123814</c:v>
                </c:pt>
                <c:pt idx="19">
                  <c:v>15.243056856939397</c:v>
                </c:pt>
                <c:pt idx="21">
                  <c:v>14.595362044486512</c:v>
                </c:pt>
                <c:pt idx="22">
                  <c:v>14.588609884941024</c:v>
                </c:pt>
              </c:numCache>
            </c:numRef>
          </c:val>
        </c:ser>
        <c:ser>
          <c:idx val="3"/>
          <c:order val="3"/>
          <c:tx>
            <c:strRef>
              <c:f>'5.7_3'!$E$3</c:f>
              <c:strCache>
                <c:ptCount val="1"/>
                <c:pt idx="0">
                  <c:v>5&lt;10 yrs</c:v>
                </c:pt>
              </c:strCache>
            </c:strRef>
          </c:tx>
          <c:spPr>
            <a:pattFill prst="ltDnDiag">
              <a:fgClr>
                <a:srgbClr val="39580D"/>
              </a:fgClr>
              <a:bgClr>
                <a:sysClr val="window" lastClr="FFFFFF"/>
              </a:bgClr>
            </a:pattFill>
            <a:ln>
              <a:solidFill>
                <a:srgbClr val="39580D"/>
              </a:solidFill>
            </a:ln>
          </c:spPr>
          <c:invertIfNegative val="0"/>
          <c:cat>
            <c:strRef>
              <c:f>'5.7_3'!$A$4:$A$26</c:f>
              <c:strCache>
                <c:ptCount val="22"/>
                <c:pt idx="0">
                  <c:v>          Agriculture
</c:v>
                </c:pt>
                <c:pt idx="2">
                  <c:v> </c:v>
                </c:pt>
                <c:pt idx="3">
                  <c:v>      Mining</c:v>
                </c:pt>
                <c:pt idx="6">
                  <c:v>      Manufac-
      turing</c:v>
                </c:pt>
                <c:pt idx="9">
                  <c:v>         Utilities/
       Construction</c:v>
                </c:pt>
                <c:pt idx="12">
                  <c:v>         Distribution
       services</c:v>
                </c:pt>
                <c:pt idx="15">
                  <c:v>       Business
       services</c:v>
                </c:pt>
                <c:pt idx="18">
                  <c:v>      Social
      services</c:v>
                </c:pt>
                <c:pt idx="21">
                  <c:v>     Personal
     services</c:v>
                </c:pt>
              </c:strCache>
            </c:strRef>
          </c:cat>
          <c:val>
            <c:numRef>
              <c:f>'5.7_3'!$E$4:$E$26</c:f>
              <c:numCache>
                <c:formatCode>0.0</c:formatCode>
                <c:ptCount val="23"/>
                <c:pt idx="0">
                  <c:v>14.312267657992564</c:v>
                </c:pt>
                <c:pt idx="1">
                  <c:v>12.750755702115965</c:v>
                </c:pt>
                <c:pt idx="3">
                  <c:v>18.026315789473681</c:v>
                </c:pt>
                <c:pt idx="4">
                  <c:v>17.821782178217823</c:v>
                </c:pt>
                <c:pt idx="6">
                  <c:v>19.572143832498863</c:v>
                </c:pt>
                <c:pt idx="7">
                  <c:v>18.856228754249148</c:v>
                </c:pt>
                <c:pt idx="9">
                  <c:v>16.467750126968003</c:v>
                </c:pt>
                <c:pt idx="10">
                  <c:v>16.922117269648904</c:v>
                </c:pt>
                <c:pt idx="12">
                  <c:v>15.606013397725501</c:v>
                </c:pt>
                <c:pt idx="13">
                  <c:v>16.86453832277552</c:v>
                </c:pt>
                <c:pt idx="15">
                  <c:v>16.888450796780024</c:v>
                </c:pt>
                <c:pt idx="16">
                  <c:v>19.193127446715962</c:v>
                </c:pt>
                <c:pt idx="18">
                  <c:v>19.370279757472609</c:v>
                </c:pt>
                <c:pt idx="19">
                  <c:v>20.606424047074697</c:v>
                </c:pt>
                <c:pt idx="21">
                  <c:v>14.708944628490295</c:v>
                </c:pt>
                <c:pt idx="22">
                  <c:v>14.284680512338085</c:v>
                </c:pt>
              </c:numCache>
            </c:numRef>
          </c:val>
        </c:ser>
        <c:ser>
          <c:idx val="4"/>
          <c:order val="4"/>
          <c:tx>
            <c:strRef>
              <c:f>'5.7_3'!$F$3</c:f>
              <c:strCache>
                <c:ptCount val="1"/>
                <c:pt idx="0">
                  <c:v>10yrs or more</c:v>
                </c:pt>
              </c:strCache>
            </c:strRef>
          </c:tx>
          <c:spPr>
            <a:pattFill prst="ltUpDiag">
              <a:fgClr>
                <a:srgbClr val="604A7B"/>
              </a:fgClr>
              <a:bgClr>
                <a:sysClr val="window" lastClr="FFFFFF"/>
              </a:bgClr>
            </a:pattFill>
            <a:ln>
              <a:solidFill>
                <a:srgbClr val="604A7B"/>
              </a:solidFill>
            </a:ln>
          </c:spPr>
          <c:invertIfNegative val="0"/>
          <c:cat>
            <c:strRef>
              <c:f>'5.7_3'!$A$4:$A$26</c:f>
              <c:strCache>
                <c:ptCount val="22"/>
                <c:pt idx="0">
                  <c:v>          Agriculture
</c:v>
                </c:pt>
                <c:pt idx="2">
                  <c:v> </c:v>
                </c:pt>
                <c:pt idx="3">
                  <c:v>      Mining</c:v>
                </c:pt>
                <c:pt idx="6">
                  <c:v>      Manufac-
      turing</c:v>
                </c:pt>
                <c:pt idx="9">
                  <c:v>         Utilities/
       Construction</c:v>
                </c:pt>
                <c:pt idx="12">
                  <c:v>         Distribution
       services</c:v>
                </c:pt>
                <c:pt idx="15">
                  <c:v>       Business
       services</c:v>
                </c:pt>
                <c:pt idx="18">
                  <c:v>      Social
      services</c:v>
                </c:pt>
                <c:pt idx="21">
                  <c:v>     Personal
     services</c:v>
                </c:pt>
              </c:strCache>
            </c:strRef>
          </c:cat>
          <c:val>
            <c:numRef>
              <c:f>'5.7_3'!$F$4:$F$26</c:f>
              <c:numCache>
                <c:formatCode>0.0</c:formatCode>
                <c:ptCount val="23"/>
                <c:pt idx="0">
                  <c:v>48.778544875199145</c:v>
                </c:pt>
                <c:pt idx="1">
                  <c:v>55.72959604286892</c:v>
                </c:pt>
                <c:pt idx="3">
                  <c:v>31.973684210526308</c:v>
                </c:pt>
                <c:pt idx="4">
                  <c:v>14.676761793826444</c:v>
                </c:pt>
                <c:pt idx="6">
                  <c:v>27.373691397360034</c:v>
                </c:pt>
                <c:pt idx="7">
                  <c:v>27.464507098580281</c:v>
                </c:pt>
                <c:pt idx="9">
                  <c:v>31.373793803961401</c:v>
                </c:pt>
                <c:pt idx="10">
                  <c:v>26.269827125289609</c:v>
                </c:pt>
                <c:pt idx="12">
                  <c:v>19.025549150958092</c:v>
                </c:pt>
                <c:pt idx="13">
                  <c:v>20.526911943617069</c:v>
                </c:pt>
                <c:pt idx="15">
                  <c:v>17.775587317233448</c:v>
                </c:pt>
                <c:pt idx="16">
                  <c:v>20.965637233579816</c:v>
                </c:pt>
                <c:pt idx="18">
                  <c:v>29.039463886820549</c:v>
                </c:pt>
                <c:pt idx="19">
                  <c:v>29.732768636857688</c:v>
                </c:pt>
                <c:pt idx="21">
                  <c:v>15.655466161855184</c:v>
                </c:pt>
                <c:pt idx="22">
                  <c:v>14.950430566611187</c:v>
                </c:pt>
              </c:numCache>
            </c:numRef>
          </c:val>
        </c:ser>
        <c:dLbls>
          <c:showLegendKey val="0"/>
          <c:showVal val="0"/>
          <c:showCatName val="0"/>
          <c:showSerName val="0"/>
          <c:showPercent val="0"/>
          <c:showBubbleSize val="0"/>
        </c:dLbls>
        <c:gapWidth val="22"/>
        <c:overlap val="100"/>
        <c:axId val="187503744"/>
        <c:axId val="187505280"/>
      </c:barChart>
      <c:catAx>
        <c:axId val="187503744"/>
        <c:scaling>
          <c:orientation val="minMax"/>
        </c:scaling>
        <c:delete val="0"/>
        <c:axPos val="b"/>
        <c:numFmt formatCode="General" sourceLinked="1"/>
        <c:majorTickMark val="none"/>
        <c:minorTickMark val="none"/>
        <c:tickLblPos val="nextTo"/>
        <c:spPr>
          <a:ln>
            <a:noFill/>
          </a:ln>
        </c:spPr>
        <c:txPr>
          <a:bodyPr rot="0" anchor="ctr" anchorCtr="0"/>
          <a:lstStyle/>
          <a:p>
            <a:pPr>
              <a:defRPr sz="800"/>
            </a:pPr>
            <a:endParaRPr lang="en-US"/>
          </a:p>
        </c:txPr>
        <c:crossAx val="187505280"/>
        <c:crosses val="autoZero"/>
        <c:auto val="1"/>
        <c:lblAlgn val="ctr"/>
        <c:lblOffset val="100"/>
        <c:noMultiLvlLbl val="0"/>
      </c:catAx>
      <c:valAx>
        <c:axId val="187505280"/>
        <c:scaling>
          <c:orientation val="minMax"/>
          <c:max val="100"/>
        </c:scaling>
        <c:delete val="0"/>
        <c:axPos val="l"/>
        <c:majorGridlines>
          <c:spPr>
            <a:ln>
              <a:solidFill>
                <a:schemeClr val="tx1"/>
              </a:solidFill>
              <a:prstDash val="solid"/>
            </a:ln>
          </c:spPr>
        </c:majorGridlines>
        <c:minorGridlines>
          <c:spPr>
            <a:ln>
              <a:solidFill>
                <a:schemeClr val="tx1"/>
              </a:solidFill>
            </a:ln>
          </c:spPr>
        </c:minorGridlines>
        <c:title>
          <c:tx>
            <c:rich>
              <a:bodyPr/>
              <a:lstStyle/>
              <a:p>
                <a:pPr>
                  <a:defRPr/>
                </a:pPr>
                <a:r>
                  <a:rPr lang="en-US"/>
                  <a:t>Per cent</a:t>
                </a:r>
              </a:p>
            </c:rich>
          </c:tx>
          <c:layout>
            <c:manualLayout>
              <c:xMode val="edge"/>
              <c:yMode val="edge"/>
              <c:x val="9.4316783063050694E-4"/>
              <c:y val="0.30900401179926051"/>
            </c:manualLayout>
          </c:layout>
          <c:overlay val="0"/>
        </c:title>
        <c:numFmt formatCode="0" sourceLinked="0"/>
        <c:majorTickMark val="out"/>
        <c:minorTickMark val="none"/>
        <c:tickLblPos val="nextTo"/>
        <c:txPr>
          <a:bodyPr/>
          <a:lstStyle/>
          <a:p>
            <a:pPr>
              <a:defRPr sz="900"/>
            </a:pPr>
            <a:endParaRPr lang="en-US"/>
          </a:p>
        </c:txPr>
        <c:crossAx val="187503744"/>
        <c:crosses val="autoZero"/>
        <c:crossBetween val="between"/>
        <c:majorUnit val="20"/>
        <c:minorUnit val="10"/>
      </c:valAx>
    </c:plotArea>
    <c:legend>
      <c:legendPos val="b"/>
      <c:layout>
        <c:manualLayout>
          <c:xMode val="edge"/>
          <c:yMode val="edge"/>
          <c:x val="0.11736132327029629"/>
          <c:y val="2.9936325799078439E-3"/>
          <c:w val="0.82382050788505734"/>
          <c:h val="0.10136593176867327"/>
        </c:manualLayout>
      </c:layout>
      <c:overlay val="0"/>
      <c:spPr>
        <a:ln>
          <a:noFill/>
        </a:ln>
      </c:spPr>
      <c:txPr>
        <a:bodyPr/>
        <a:lstStyle/>
        <a:p>
          <a:pPr>
            <a:defRPr sz="90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drawings/drawing1.xml><?xml version="1.0" encoding="utf-8"?>
<c:userShapes xmlns:c="http://schemas.openxmlformats.org/drawingml/2006/chart">
  <cdr:absSizeAnchor xmlns:cdr="http://schemas.openxmlformats.org/drawingml/2006/chartDrawing">
    <cdr:from>
      <cdr:x>0.00313</cdr:x>
      <cdr:y>0.28811</cdr:y>
    </cdr:from>
    <cdr:ext cx="1187142" cy="1522205"/>
    <cdr:sp macro="" textlink="">
      <cdr:nvSpPr>
        <cdr:cNvPr id="5" name="TextBox 35"/>
        <cdr:cNvSpPr txBox="1">
          <a:spLocks xmlns:a="http://schemas.openxmlformats.org/drawingml/2006/main"/>
        </cdr:cNvSpPr>
      </cdr:nvSpPr>
      <cdr:spPr>
        <a:xfrm xmlns:a="http://schemas.openxmlformats.org/drawingml/2006/main">
          <a:off x="16933" y="797661"/>
          <a:ext cx="1187142" cy="152220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vertOverflow="overflow" horzOverflow="overflow" wrap="square" lIns="0" tIns="0" rIns="72000" bIns="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r">
            <a:lnSpc>
              <a:spcPct val="100000"/>
            </a:lnSpc>
            <a:spcBef>
              <a:spcPts val="0"/>
            </a:spcBef>
            <a:spcAft>
              <a:spcPts val="0"/>
            </a:spcAft>
          </a:pPr>
          <a:endParaRPr lang="en-AU" sz="450" b="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a:latin typeface="Arial" pitchFamily="34" charset="0"/>
              <a:cs typeface="Arial" pitchFamily="34" charset="0"/>
            </a:rPr>
            <a:t>Manufacturing</a:t>
          </a:r>
        </a:p>
        <a:p xmlns:a="http://schemas.openxmlformats.org/drawingml/2006/main">
          <a:pPr algn="r">
            <a:lnSpc>
              <a:spcPts val="1030"/>
            </a:lnSpc>
          </a:pPr>
          <a:endParaRPr lang="en-AU" sz="850">
            <a:effectLst/>
            <a:latin typeface="Arial" pitchFamily="34" charset="0"/>
            <a:cs typeface="Arial" pitchFamily="34" charset="0"/>
          </a:endParaRPr>
        </a:p>
        <a:p xmlns:a="http://schemas.openxmlformats.org/drawingml/2006/main">
          <a:pPr algn="r">
            <a:lnSpc>
              <a:spcPts val="1030"/>
            </a:lnSpc>
          </a:pPr>
          <a:r>
            <a:rPr lang="en-AU" sz="850" b="0">
              <a:latin typeface="Arial" pitchFamily="34" charset="0"/>
              <a:cs typeface="Arial" pitchFamily="34" charset="0"/>
            </a:rPr>
            <a:t>Utilities/Construction</a:t>
          </a:r>
        </a:p>
        <a:p xmlns:a="http://schemas.openxmlformats.org/drawingml/2006/main">
          <a:pPr algn="r">
            <a:lnSpc>
              <a:spcPts val="1030"/>
            </a:lnSpc>
          </a:pPr>
          <a:endParaRPr lang="en-AU" sz="850" b="0">
            <a:latin typeface="Arial" pitchFamily="34" charset="0"/>
            <a:cs typeface="Arial" pitchFamily="34" charset="0"/>
          </a:endParaRPr>
        </a:p>
        <a:p xmlns:a="http://schemas.openxmlformats.org/drawingml/2006/main">
          <a:pPr algn="r">
            <a:lnSpc>
              <a:spcPts val="1030"/>
            </a:lnSpc>
          </a:pPr>
          <a:r>
            <a:rPr lang="en-AU" sz="850" b="0">
              <a:latin typeface="Arial" pitchFamily="34" charset="0"/>
              <a:cs typeface="Arial" pitchFamily="34" charset="0"/>
            </a:rPr>
            <a:t>Distribution services</a:t>
          </a:r>
          <a:r>
            <a:rPr lang="en-AU" sz="850" b="0">
              <a:solidFill>
                <a:schemeClr val="dk1"/>
              </a:solidFill>
              <a:effectLst/>
              <a:latin typeface="Arial" pitchFamily="34" charset="0"/>
              <a:ea typeface="+mn-ea"/>
              <a:cs typeface="Arial" pitchFamily="34" charset="0"/>
            </a:rPr>
            <a:t>  </a:t>
          </a:r>
          <a:endParaRPr lang="en-AU" sz="850" b="0">
            <a:latin typeface="Arial" pitchFamily="34" charset="0"/>
            <a:cs typeface="Arial" pitchFamily="34" charset="0"/>
          </a:endParaRPr>
        </a:p>
        <a:p xmlns:a="http://schemas.openxmlformats.org/drawingml/2006/main">
          <a:pPr algn="r">
            <a:lnSpc>
              <a:spcPts val="1030"/>
            </a:lnSpc>
            <a:spcBef>
              <a:spcPts val="0"/>
            </a:spcBef>
            <a:spcAft>
              <a:spcPts val="0"/>
            </a:spcAft>
          </a:pPr>
          <a:endParaRPr lang="en-AU" sz="850" b="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a:latin typeface="Arial" pitchFamily="34" charset="0"/>
              <a:cs typeface="Arial" pitchFamily="34" charset="0"/>
            </a:rPr>
            <a:t>Business</a:t>
          </a:r>
          <a:r>
            <a:rPr lang="en-AU" sz="850" b="0" baseline="0">
              <a:latin typeface="Arial" pitchFamily="34" charset="0"/>
              <a:cs typeface="Arial" pitchFamily="34" charset="0"/>
            </a:rPr>
            <a:t> services</a:t>
          </a:r>
          <a:r>
            <a:rPr lang="en-AU" sz="850" b="0">
              <a:solidFill>
                <a:schemeClr val="dk1"/>
              </a:solidFill>
              <a:effectLst/>
              <a:latin typeface="Arial" pitchFamily="34" charset="0"/>
              <a:ea typeface="+mn-ea"/>
              <a:cs typeface="Arial" pitchFamily="34" charset="0"/>
            </a:rPr>
            <a:t>  </a:t>
          </a: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baseline="0">
              <a:latin typeface="Arial" pitchFamily="34" charset="0"/>
              <a:cs typeface="Arial" pitchFamily="34" charset="0"/>
            </a:rPr>
            <a:t>Social services</a:t>
          </a:r>
          <a:r>
            <a:rPr lang="en-AU" sz="850" b="0">
              <a:solidFill>
                <a:schemeClr val="dk1"/>
              </a:solidFill>
              <a:effectLst/>
              <a:latin typeface="Arial" pitchFamily="34" charset="0"/>
              <a:ea typeface="+mn-ea"/>
              <a:cs typeface="Arial" pitchFamily="34" charset="0"/>
            </a:rPr>
            <a:t>  </a:t>
          </a: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baseline="0">
              <a:latin typeface="Arial" pitchFamily="34" charset="0"/>
              <a:cs typeface="Arial" pitchFamily="34" charset="0"/>
            </a:rPr>
            <a:t>Personal services  </a:t>
          </a:r>
          <a:endParaRPr lang="en-AU" sz="850" b="0">
            <a:latin typeface="Arial" pitchFamily="34" charset="0"/>
            <a:cs typeface="Arial" pitchFamily="34" charset="0"/>
          </a:endParaRPr>
        </a:p>
      </cdr:txBody>
    </cdr:sp>
  </cdr:absSizeAnchor>
</c:userShapes>
</file>

<file path=word/drawings/drawing2.xml><?xml version="1.0" encoding="utf-8"?>
<c:userShapes xmlns:c="http://schemas.openxmlformats.org/drawingml/2006/chart">
  <cdr:relSizeAnchor xmlns:cdr="http://schemas.openxmlformats.org/drawingml/2006/chartDrawing">
    <cdr:from>
      <cdr:x>0</cdr:x>
      <cdr:y>0.21491</cdr:y>
    </cdr:from>
    <cdr:to>
      <cdr:x>0.21413</cdr:x>
      <cdr:y>0.82352</cdr:y>
    </cdr:to>
    <cdr:sp macro="" textlink="">
      <cdr:nvSpPr>
        <cdr:cNvPr id="4" name="TextBox 35"/>
        <cdr:cNvSpPr txBox="1"/>
      </cdr:nvSpPr>
      <cdr:spPr>
        <a:xfrm xmlns:a="http://schemas.openxmlformats.org/drawingml/2006/main">
          <a:off x="0" y="554878"/>
          <a:ext cx="1151144" cy="157137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0" tIns="0" rIns="72000" bIns="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r">
            <a:lnSpc>
              <a:spcPct val="100000"/>
            </a:lnSpc>
            <a:spcBef>
              <a:spcPts val="0"/>
            </a:spcBef>
            <a:spcAft>
              <a:spcPts val="0"/>
            </a:spcAft>
          </a:pPr>
          <a:endParaRPr lang="en-AU" sz="450" b="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a:latin typeface="Arial" pitchFamily="34" charset="0"/>
              <a:cs typeface="Arial" pitchFamily="34" charset="0"/>
            </a:rPr>
            <a:t>Manufacturing</a:t>
          </a:r>
        </a:p>
        <a:p xmlns:a="http://schemas.openxmlformats.org/drawingml/2006/main">
          <a:pPr algn="r">
            <a:lnSpc>
              <a:spcPts val="1030"/>
            </a:lnSpc>
            <a:spcBef>
              <a:spcPts val="0"/>
            </a:spcBef>
            <a:spcAft>
              <a:spcPts val="0"/>
            </a:spcAft>
          </a:pPr>
          <a:endParaRPr lang="en-AU" sz="850">
            <a:effectLst/>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a:latin typeface="Arial" pitchFamily="34" charset="0"/>
              <a:cs typeface="Arial" pitchFamily="34" charset="0"/>
            </a:rPr>
            <a:t>Utilities/Construction</a:t>
          </a:r>
        </a:p>
        <a:p xmlns:a="http://schemas.openxmlformats.org/drawingml/2006/main">
          <a:pPr algn="r">
            <a:lnSpc>
              <a:spcPts val="1030"/>
            </a:lnSpc>
            <a:spcBef>
              <a:spcPts val="0"/>
            </a:spcBef>
            <a:spcAft>
              <a:spcPts val="0"/>
            </a:spcAft>
          </a:pPr>
          <a:endParaRPr lang="en-AU" sz="850" b="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a:latin typeface="Arial" pitchFamily="34" charset="0"/>
              <a:cs typeface="Arial" pitchFamily="34" charset="0"/>
            </a:rPr>
            <a:t>Distribution services</a:t>
          </a:r>
          <a:r>
            <a:rPr lang="en-AU" sz="850" b="0">
              <a:solidFill>
                <a:schemeClr val="dk1"/>
              </a:solidFill>
              <a:effectLst/>
              <a:latin typeface="Arial" pitchFamily="34" charset="0"/>
              <a:ea typeface="+mn-ea"/>
              <a:cs typeface="Arial" pitchFamily="34" charset="0"/>
            </a:rPr>
            <a:t>  </a:t>
          </a:r>
          <a:endParaRPr lang="en-AU" sz="850" b="0">
            <a:latin typeface="Arial" pitchFamily="34" charset="0"/>
            <a:cs typeface="Arial" pitchFamily="34" charset="0"/>
          </a:endParaRPr>
        </a:p>
        <a:p xmlns:a="http://schemas.openxmlformats.org/drawingml/2006/main">
          <a:pPr algn="r">
            <a:lnSpc>
              <a:spcPts val="1030"/>
            </a:lnSpc>
            <a:spcBef>
              <a:spcPts val="0"/>
            </a:spcBef>
            <a:spcAft>
              <a:spcPts val="0"/>
            </a:spcAft>
          </a:pPr>
          <a:endParaRPr lang="en-AU" sz="850" b="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a:latin typeface="Arial" pitchFamily="34" charset="0"/>
              <a:cs typeface="Arial" pitchFamily="34" charset="0"/>
            </a:rPr>
            <a:t>Business</a:t>
          </a:r>
          <a:r>
            <a:rPr lang="en-AU" sz="850" b="0" baseline="0">
              <a:latin typeface="Arial" pitchFamily="34" charset="0"/>
              <a:cs typeface="Arial" pitchFamily="34" charset="0"/>
            </a:rPr>
            <a:t> services</a:t>
          </a:r>
          <a:r>
            <a:rPr lang="en-AU" sz="850" b="0">
              <a:solidFill>
                <a:schemeClr val="dk1"/>
              </a:solidFill>
              <a:effectLst/>
              <a:latin typeface="Arial" pitchFamily="34" charset="0"/>
              <a:ea typeface="+mn-ea"/>
              <a:cs typeface="Arial" pitchFamily="34" charset="0"/>
            </a:rPr>
            <a:t>  </a:t>
          </a: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baseline="0">
              <a:latin typeface="Arial" pitchFamily="34" charset="0"/>
              <a:cs typeface="Arial" pitchFamily="34" charset="0"/>
            </a:rPr>
            <a:t>Social services</a:t>
          </a:r>
          <a:r>
            <a:rPr lang="en-AU" sz="850" b="0">
              <a:solidFill>
                <a:schemeClr val="dk1"/>
              </a:solidFill>
              <a:effectLst/>
              <a:latin typeface="Arial" pitchFamily="34" charset="0"/>
              <a:ea typeface="+mn-ea"/>
              <a:cs typeface="Arial" pitchFamily="34" charset="0"/>
            </a:rPr>
            <a:t>  </a:t>
          </a: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endParaRPr lang="en-AU" sz="850" b="0" baseline="0">
            <a:latin typeface="Arial" pitchFamily="34" charset="0"/>
            <a:cs typeface="Arial" pitchFamily="34" charset="0"/>
          </a:endParaRPr>
        </a:p>
        <a:p xmlns:a="http://schemas.openxmlformats.org/drawingml/2006/main">
          <a:pPr algn="r">
            <a:lnSpc>
              <a:spcPts val="1030"/>
            </a:lnSpc>
            <a:spcBef>
              <a:spcPts val="0"/>
            </a:spcBef>
            <a:spcAft>
              <a:spcPts val="0"/>
            </a:spcAft>
          </a:pPr>
          <a:r>
            <a:rPr lang="en-AU" sz="850" b="0" baseline="0">
              <a:latin typeface="Arial" pitchFamily="34" charset="0"/>
              <a:cs typeface="Arial" pitchFamily="34" charset="0"/>
            </a:rPr>
            <a:t>Personal services  </a:t>
          </a:r>
          <a:endParaRPr lang="en-AU" sz="850" b="0">
            <a:latin typeface="Arial" pitchFamily="34" charset="0"/>
            <a:cs typeface="Arial"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EBA41-912C-4707-A53F-73FAFE381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7</Pages>
  <Words>2061</Words>
  <Characters>11199</Characters>
  <Application>Microsoft Office Word</Application>
  <DocSecurity>0</DocSecurity>
  <Lines>302</Lines>
  <Paragraphs>181</Paragraphs>
  <ScaleCrop>false</ScaleCrop>
  <HeadingPairs>
    <vt:vector size="2" baseType="variant">
      <vt:variant>
        <vt:lpstr>Title</vt:lpstr>
      </vt:variant>
      <vt:variant>
        <vt:i4>1</vt:i4>
      </vt:variant>
    </vt:vector>
  </HeadingPairs>
  <TitlesOfParts>
    <vt:vector size="1" baseType="lpstr">
      <vt:lpstr>Supporting data and analysis</vt:lpstr>
    </vt:vector>
  </TitlesOfParts>
  <Company>Productivity Commission</Company>
  <LinksUpToDate>false</LinksUpToDate>
  <CharactersWithSpaces>13079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data and analysis</dc:title>
  <dc:subject>Aspects of structural change</dc:subject>
  <dc:creator>Productivity Commission</dc:creator>
  <dc:description>C.</dc:description>
  <cp:lastModifiedBy>Productivity Commission</cp:lastModifiedBy>
  <cp:revision>2</cp:revision>
  <cp:lastPrinted>2013-09-25T05:20:00Z</cp:lastPrinted>
  <dcterms:created xsi:type="dcterms:W3CDTF">2013-10-08T23:51:00Z</dcterms:created>
  <dcterms:modified xsi:type="dcterms:W3CDTF">2013-10-08T23:51:00Z</dcterms:modified>
</cp:coreProperties>
</file>