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487363"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137600"/>
            <wp:effectExtent l="0" t="0" r="3175" b="0"/>
            <wp:wrapNone/>
            <wp:docPr id="1" name="Picture 1" descr="Cover image for the Australian Government Productivity Commission publication titled ‘Looking Back on Structural Change in Australia: 2002-2012’. Supplement to Annual Report 20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al-change-ar-supplement-web-cov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137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146FDC" w:rsidRPr="007809B8" w:rsidRDefault="00146FDC">
      <w:pPr>
        <w:pStyle w:val="BodyText"/>
        <w:tabs>
          <w:tab w:val="left" w:pos="851"/>
        </w:tabs>
        <w:spacing w:before="200" w:after="120"/>
        <w:jc w:val="left"/>
        <w:rPr>
          <w:b/>
          <w:sz w:val="24"/>
        </w:rPr>
      </w:pPr>
      <w:bookmarkStart w:id="1" w:name="ISSN"/>
      <w:bookmarkEnd w:id="1"/>
      <w:r>
        <w:rPr>
          <w:b/>
          <w:sz w:val="24"/>
        </w:rPr>
        <w:t>ISBN</w:t>
      </w:r>
      <w:r>
        <w:rPr>
          <w:b/>
          <w:sz w:val="24"/>
        </w:rPr>
        <w:tab/>
      </w:r>
      <w:r w:rsidR="008B6B73" w:rsidRPr="008B6B73">
        <w:rPr>
          <w:b/>
          <w:sz w:val="24"/>
        </w:rPr>
        <w:t>978-1-74037-432-3</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2227FC"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 xml:space="preserve">General </w:t>
      </w:r>
      <w:r w:rsidR="002227FC">
        <w:rPr>
          <w:b/>
          <w:sz w:val="24"/>
        </w:rPr>
        <w:t>e</w:t>
      </w:r>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3380" w:rsidRPr="00551FB8" w:rsidRDefault="003E3380" w:rsidP="003E3380">
      <w:pPr>
        <w:pStyle w:val="BodyText"/>
        <w:spacing w:before="160" w:after="120" w:line="240" w:lineRule="auto"/>
        <w:rPr>
          <w:sz w:val="24"/>
          <w:szCs w:val="24"/>
        </w:rPr>
      </w:pPr>
      <w:bookmarkStart w:id="2" w:name="JEL"/>
      <w:bookmarkEnd w:id="2"/>
      <w:r>
        <w:rPr>
          <w:sz w:val="24"/>
          <w:szCs w:val="24"/>
        </w:rPr>
        <w:t>Productivity Commission 2013, ‘</w:t>
      </w:r>
      <w:r w:rsidRPr="00672654">
        <w:rPr>
          <w:sz w:val="24"/>
          <w:szCs w:val="24"/>
        </w:rPr>
        <w:t xml:space="preserve">Looking </w:t>
      </w:r>
      <w:r>
        <w:rPr>
          <w:sz w:val="24"/>
          <w:szCs w:val="24"/>
        </w:rPr>
        <w:t>B</w:t>
      </w:r>
      <w:r w:rsidRPr="00672654">
        <w:rPr>
          <w:sz w:val="24"/>
          <w:szCs w:val="24"/>
        </w:rPr>
        <w:t>ack on Structural Change in Australia: 2002</w:t>
      </w:r>
      <w:r>
        <w:rPr>
          <w:sz w:val="24"/>
          <w:szCs w:val="24"/>
        </w:rPr>
        <w:t>−</w:t>
      </w:r>
      <w:r w:rsidRPr="00672654">
        <w:rPr>
          <w:sz w:val="24"/>
          <w:szCs w:val="24"/>
        </w:rPr>
        <w:t>2012</w:t>
      </w:r>
      <w:r>
        <w:rPr>
          <w:sz w:val="24"/>
          <w:szCs w:val="24"/>
        </w:rPr>
        <w:t xml:space="preserve">’, Supplement to </w:t>
      </w:r>
      <w:r w:rsidRPr="00672654">
        <w:rPr>
          <w:i/>
          <w:sz w:val="24"/>
          <w:szCs w:val="24"/>
        </w:rPr>
        <w:t>Annual Report</w:t>
      </w:r>
      <w:r>
        <w:rPr>
          <w:i/>
          <w:sz w:val="24"/>
          <w:szCs w:val="24"/>
        </w:rPr>
        <w:t xml:space="preserve"> </w:t>
      </w:r>
      <w:r w:rsidRPr="00672654">
        <w:rPr>
          <w:i/>
          <w:sz w:val="24"/>
          <w:szCs w:val="24"/>
        </w:rPr>
        <w:t>2011-12</w:t>
      </w:r>
      <w:r>
        <w:rPr>
          <w:sz w:val="24"/>
          <w:szCs w:val="24"/>
        </w:rPr>
        <w:t>,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9057B7" w:rsidRDefault="007A5B63" w:rsidP="009057B7">
      <w:pPr>
        <w:pStyle w:val="Heading1"/>
      </w:pPr>
      <w:bookmarkStart w:id="4" w:name="Contents"/>
      <w:bookmarkStart w:id="5" w:name="_Toc368046222"/>
      <w:bookmarkEnd w:id="4"/>
      <w:r>
        <w:lastRenderedPageBreak/>
        <w:t>About this supplement</w:t>
      </w:r>
      <w:bookmarkEnd w:id="5"/>
    </w:p>
    <w:p w:rsidR="00C53A0D" w:rsidRDefault="009057B7" w:rsidP="00036774">
      <w:pPr>
        <w:pStyle w:val="BodyText"/>
      </w:pPr>
      <w:r>
        <w:t xml:space="preserve">This </w:t>
      </w:r>
      <w:r w:rsidR="00A644A0">
        <w:t>supplement</w:t>
      </w:r>
      <w:r>
        <w:t xml:space="preserve"> provides additional </w:t>
      </w:r>
      <w:r w:rsidR="008D2731">
        <w:t>data</w:t>
      </w:r>
      <w:r>
        <w:t xml:space="preserve"> and </w:t>
      </w:r>
      <w:r w:rsidR="00DD04C0">
        <w:t xml:space="preserve">supportive </w:t>
      </w:r>
      <w:r w:rsidR="00597A78">
        <w:t>analyse</w:t>
      </w:r>
      <w:r>
        <w:t xml:space="preserve">s </w:t>
      </w:r>
      <w:r w:rsidR="00DD04C0">
        <w:t>for</w:t>
      </w:r>
      <w:r>
        <w:t xml:space="preserve"> the theme chapter </w:t>
      </w:r>
      <w:r w:rsidR="00666931">
        <w:t>of</w:t>
      </w:r>
      <w:r>
        <w:t xml:space="preserve"> the Productivity Commission’s </w:t>
      </w:r>
      <w:r w:rsidR="00666931">
        <w:t xml:space="preserve">2011-12 </w:t>
      </w:r>
      <w:r>
        <w:t xml:space="preserve">Annual Report (PC 2012a). </w:t>
      </w:r>
      <w:r w:rsidR="00DD04C0">
        <w:t>That</w:t>
      </w:r>
      <w:r>
        <w:t xml:space="preserve"> chapter, entitled ‘Structural adjustment in a “multi-speed” economy’</w:t>
      </w:r>
      <w:r w:rsidR="00DD04C0">
        <w:t xml:space="preserve">, </w:t>
      </w:r>
      <w:r w:rsidR="00036774">
        <w:t>was</w:t>
      </w:r>
      <w:r w:rsidR="00DD04C0">
        <w:t xml:space="preserve"> aimed at understanding recent structural change and adjustment</w:t>
      </w:r>
      <w:r w:rsidR="00354C73">
        <w:t xml:space="preserve"> in Australia</w:t>
      </w:r>
      <w:r w:rsidR="00036774">
        <w:t>, particularly adjustment pressures from t</w:t>
      </w:r>
      <w:r w:rsidR="00DD04C0">
        <w:t>he natural resources boom</w:t>
      </w:r>
      <w:r w:rsidR="00337E24">
        <w:t>.</w:t>
      </w:r>
    </w:p>
    <w:p w:rsidR="007B7858" w:rsidRDefault="0095726E" w:rsidP="00036774">
      <w:pPr>
        <w:pStyle w:val="BodyText"/>
      </w:pPr>
      <w:r>
        <w:t>T</w:t>
      </w:r>
      <w:r w:rsidR="000031EB">
        <w:t>his publication extends the evidence</w:t>
      </w:r>
      <w:r>
        <w:t xml:space="preserve"> previously presented</w:t>
      </w:r>
      <w:r w:rsidR="00036774">
        <w:t xml:space="preserve"> </w:t>
      </w:r>
      <w:r w:rsidR="00C53A0D">
        <w:t xml:space="preserve">regarding the movement of labour and capital </w:t>
      </w:r>
      <w:r>
        <w:t>over the period from 2002 to 2012</w:t>
      </w:r>
      <w:r w:rsidR="00036774">
        <w:t>.</w:t>
      </w:r>
      <w:r w:rsidR="00337E24">
        <w:t xml:space="preserve"> </w:t>
      </w:r>
      <w:r w:rsidR="000B35FF">
        <w:t xml:space="preserve">Examining </w:t>
      </w:r>
      <w:r w:rsidR="00C53A0D">
        <w:t xml:space="preserve">how factors of production </w:t>
      </w:r>
      <w:r w:rsidR="000B35FF">
        <w:t xml:space="preserve">were </w:t>
      </w:r>
      <w:r w:rsidR="00C53A0D">
        <w:t xml:space="preserve">reallocated </w:t>
      </w:r>
      <w:r>
        <w:t xml:space="preserve">to more valued uses </w:t>
      </w:r>
      <w:r w:rsidR="00C53A0D">
        <w:t xml:space="preserve">during the boom years </w:t>
      </w:r>
      <w:r w:rsidR="000B35FF">
        <w:t>can shed light on the mechanisms facili</w:t>
      </w:r>
      <w:r w:rsidR="008201EE">
        <w:t>t</w:t>
      </w:r>
      <w:r w:rsidR="000B35FF">
        <w:t xml:space="preserve">ating (or impeding) the capacity of the Australian economy to adapt more broadly to economic ‘shocks’ from any source. </w:t>
      </w:r>
    </w:p>
    <w:p w:rsidR="00C53A0D" w:rsidRPr="00C53A0D" w:rsidRDefault="00C53A0D" w:rsidP="009057B7">
      <w:pPr>
        <w:pStyle w:val="BodyText"/>
        <w:rPr>
          <w:rStyle w:val="DraftingNote"/>
        </w:rPr>
        <w:sectPr w:rsidR="00C53A0D" w:rsidRPr="00C53A0D" w:rsidSect="00537BB4">
          <w:headerReference w:type="even" r:id="rId10"/>
          <w:headerReference w:type="default" r:id="rId11"/>
          <w:footerReference w:type="even" r:id="rId12"/>
          <w:footerReference w:type="default" r:id="rId13"/>
          <w:pgSz w:w="11906" w:h="16838" w:code="9"/>
          <w:pgMar w:top="1985" w:right="1304" w:bottom="1418" w:left="1814" w:header="1701" w:footer="567" w:gutter="0"/>
          <w:pgNumType w:fmt="lowerRoman"/>
          <w:cols w:space="708"/>
          <w:docGrid w:linePitch="360"/>
        </w:sectPr>
      </w:pPr>
    </w:p>
    <w:p w:rsidR="004E1A93" w:rsidRDefault="00735FEA" w:rsidP="0040068A">
      <w:pPr>
        <w:pStyle w:val="Heading1"/>
      </w:pPr>
      <w:r w:rsidRPr="00B153C3">
        <w:lastRenderedPageBreak/>
        <w:t>Contents</w:t>
      </w:r>
      <w:bookmarkStart w:id="6" w:name="InsertContents"/>
      <w:bookmarkEnd w:id="6"/>
    </w:p>
    <w:p w:rsidR="004E1A93" w:rsidRDefault="004E1A93">
      <w:pPr>
        <w:pStyle w:val="TOC1"/>
        <w:rPr>
          <w:rFonts w:asciiTheme="minorHAnsi" w:eastAsiaTheme="minorEastAsia" w:hAnsiTheme="minorHAnsi" w:cstheme="minorBidi"/>
          <w:b w:val="0"/>
          <w:noProof/>
          <w:sz w:val="22"/>
          <w:szCs w:val="22"/>
          <w:lang w:eastAsia="en-AU"/>
        </w:rPr>
      </w:pPr>
      <w:r>
        <w:rPr>
          <w:noProof/>
        </w:rPr>
        <w:t>About this supplement</w:t>
      </w:r>
      <w:r>
        <w:rPr>
          <w:noProof/>
        </w:rPr>
        <w:tab/>
        <w:t>iii</w:t>
      </w:r>
    </w:p>
    <w:p w:rsidR="004E1A93" w:rsidRDefault="004E1A93">
      <w:pPr>
        <w:pStyle w:val="TOC1"/>
        <w:rPr>
          <w:rFonts w:asciiTheme="minorHAnsi" w:eastAsiaTheme="minorEastAsia" w:hAnsiTheme="minorHAnsi" w:cstheme="minorBidi"/>
          <w:b w:val="0"/>
          <w:noProof/>
          <w:sz w:val="22"/>
          <w:szCs w:val="22"/>
          <w:lang w:eastAsia="en-AU"/>
        </w:rPr>
      </w:pPr>
      <w:r>
        <w:rPr>
          <w:noProof/>
        </w:rPr>
        <w:t>Acknowledgments</w:t>
      </w:r>
      <w:r>
        <w:rPr>
          <w:noProof/>
        </w:rPr>
        <w:tab/>
        <w:t>vii</w:t>
      </w:r>
    </w:p>
    <w:p w:rsidR="004E1A93" w:rsidRDefault="004E1A93">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viii</w:t>
      </w:r>
    </w:p>
    <w:p w:rsidR="004E1A93" w:rsidRDefault="004E1A93">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Setting the scene</w:t>
      </w:r>
      <w:r>
        <w:rPr>
          <w:noProof/>
        </w:rPr>
        <w:tab/>
        <w:t>1</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is meant by structural change and structural adjustment?</w:t>
      </w:r>
      <w:r>
        <w:rPr>
          <w:noProof/>
        </w:rPr>
        <w:tab/>
        <w:t>1</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Sources of structural change</w:t>
      </w:r>
      <w:r>
        <w:rPr>
          <w:noProof/>
        </w:rPr>
        <w:tab/>
        <w:t>5</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Why is structural change of policy interest?</w:t>
      </w:r>
      <w:r>
        <w:rPr>
          <w:noProof/>
        </w:rPr>
        <w:tab/>
        <w:t>13</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Aims and structure of this supplement</w:t>
      </w:r>
      <w:r>
        <w:rPr>
          <w:noProof/>
        </w:rPr>
        <w:tab/>
        <w:t>17</w:t>
      </w:r>
    </w:p>
    <w:p w:rsidR="004E1A93" w:rsidRDefault="004E1A93">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Drivers of recent structural change</w:t>
      </w:r>
      <w:r>
        <w:rPr>
          <w:noProof/>
        </w:rPr>
        <w:tab/>
        <w:t>2</w:t>
      </w:r>
      <w:r w:rsidR="00C916D6">
        <w:rPr>
          <w:noProof/>
        </w:rPr>
        <w:t>1</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Global forces have brought opportunities and challenges</w:t>
      </w:r>
      <w:r>
        <w:rPr>
          <w:noProof/>
        </w:rPr>
        <w:tab/>
        <w:t>2</w:t>
      </w:r>
      <w:r w:rsidR="00C916D6">
        <w:rPr>
          <w:noProof/>
        </w:rPr>
        <w:t>2</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 changing domestic environment</w:t>
      </w:r>
      <w:r>
        <w:rPr>
          <w:noProof/>
        </w:rPr>
        <w:tab/>
        <w:t>3</w:t>
      </w:r>
      <w:r w:rsidR="00C916D6">
        <w:rPr>
          <w:noProof/>
        </w:rPr>
        <w:t>6</w:t>
      </w:r>
    </w:p>
    <w:p w:rsidR="004E1A93" w:rsidRDefault="004E1A93">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Structural change in output and investment</w:t>
      </w:r>
      <w:r>
        <w:rPr>
          <w:noProof/>
        </w:rPr>
        <w:tab/>
        <w:t>4</w:t>
      </w:r>
      <w:r w:rsidR="00C916D6">
        <w:rPr>
          <w:noProof/>
        </w:rPr>
        <w:t>5</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Structural change in output</w:t>
      </w:r>
      <w:r>
        <w:rPr>
          <w:noProof/>
        </w:rPr>
        <w:tab/>
      </w:r>
      <w:r w:rsidR="00C916D6">
        <w:rPr>
          <w:noProof/>
        </w:rPr>
        <w:t>46</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Structural change in investment</w:t>
      </w:r>
      <w:r>
        <w:rPr>
          <w:noProof/>
        </w:rPr>
        <w:tab/>
      </w:r>
      <w:r w:rsidR="00722815">
        <w:rPr>
          <w:noProof/>
        </w:rPr>
        <w:t>57</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Structural change across states and territories</w:t>
      </w:r>
      <w:r>
        <w:rPr>
          <w:noProof/>
        </w:rPr>
        <w:tab/>
        <w:t>6</w:t>
      </w:r>
      <w:r w:rsidR="00C916D6">
        <w:rPr>
          <w:noProof/>
        </w:rPr>
        <w:t>3</w:t>
      </w:r>
    </w:p>
    <w:p w:rsidR="004E1A93" w:rsidRDefault="004E1A93">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Structural change in employment</w:t>
      </w:r>
      <w:r>
        <w:rPr>
          <w:noProof/>
        </w:rPr>
        <w:tab/>
      </w:r>
      <w:r w:rsidR="00C916D6">
        <w:rPr>
          <w:noProof/>
        </w:rPr>
        <w:t>69</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Structural change at the sectoral level</w:t>
      </w:r>
      <w:r>
        <w:rPr>
          <w:noProof/>
        </w:rPr>
        <w:tab/>
        <w:t>7</w:t>
      </w:r>
      <w:r w:rsidR="00C916D6">
        <w:rPr>
          <w:noProof/>
        </w:rPr>
        <w:t>1</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Structural change in employment at the industry level</w:t>
      </w:r>
      <w:r>
        <w:rPr>
          <w:noProof/>
        </w:rPr>
        <w:tab/>
      </w:r>
      <w:r w:rsidR="00C916D6">
        <w:rPr>
          <w:noProof/>
        </w:rPr>
        <w:t>77</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Patterns of regional structural change in employment</w:t>
      </w:r>
      <w:r>
        <w:rPr>
          <w:noProof/>
        </w:rPr>
        <w:tab/>
        <w:t>8</w:t>
      </w:r>
      <w:r w:rsidR="00C916D6">
        <w:rPr>
          <w:noProof/>
        </w:rPr>
        <w:t>0</w:t>
      </w:r>
    </w:p>
    <w:p w:rsidR="004E1A93" w:rsidRDefault="004E1A93">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Some underlying trends in labour adjustment</w:t>
      </w:r>
      <w:r>
        <w:rPr>
          <w:noProof/>
        </w:rPr>
        <w:tab/>
      </w:r>
      <w:r w:rsidR="00C916D6">
        <w:rPr>
          <w:noProof/>
        </w:rPr>
        <w:t>89</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Indicators of labour mobility</w:t>
      </w:r>
      <w:r>
        <w:rPr>
          <w:noProof/>
        </w:rPr>
        <w:tab/>
        <w:t>9</w:t>
      </w:r>
      <w:r w:rsidR="00C916D6">
        <w:rPr>
          <w:noProof/>
        </w:rPr>
        <w:t>0</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The changing nature of work</w:t>
      </w:r>
      <w:r>
        <w:rPr>
          <w:noProof/>
        </w:rPr>
        <w:tab/>
        <w:t>10</w:t>
      </w:r>
      <w:r w:rsidR="00C916D6">
        <w:rPr>
          <w:noProof/>
        </w:rPr>
        <w:t>3</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 xml:space="preserve">Signals for </w:t>
      </w:r>
      <w:r w:rsidR="00722815">
        <w:rPr>
          <w:noProof/>
        </w:rPr>
        <w:t>labour market adjustment</w:t>
      </w:r>
      <w:r w:rsidR="00722815">
        <w:rPr>
          <w:noProof/>
        </w:rPr>
        <w:tab/>
        <w:t>109</w:t>
      </w:r>
    </w:p>
    <w:p w:rsidR="004E1A93" w:rsidRDefault="004E1A93">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Resources: a case s</w:t>
      </w:r>
      <w:r w:rsidR="00722815">
        <w:rPr>
          <w:noProof/>
        </w:rPr>
        <w:t>tudy in structural adjustment</w:t>
      </w:r>
      <w:r w:rsidR="00722815">
        <w:rPr>
          <w:noProof/>
        </w:rPr>
        <w:tab/>
        <w:t>119</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Recent drivers of change facing the resources sector</w:t>
      </w:r>
      <w:r>
        <w:rPr>
          <w:noProof/>
        </w:rPr>
        <w:tab/>
        <w:t>12</w:t>
      </w:r>
      <w:r w:rsidR="00722815">
        <w:rPr>
          <w:noProof/>
        </w:rPr>
        <w:t>0</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lastRenderedPageBreak/>
        <w:t>6.2</w:t>
      </w:r>
      <w:r>
        <w:rPr>
          <w:rFonts w:asciiTheme="minorHAnsi" w:eastAsiaTheme="minorEastAsia" w:hAnsiTheme="minorHAnsi" w:cstheme="minorBidi"/>
          <w:noProof/>
          <w:sz w:val="22"/>
          <w:szCs w:val="22"/>
          <w:lang w:eastAsia="en-AU"/>
        </w:rPr>
        <w:tab/>
      </w:r>
      <w:r>
        <w:rPr>
          <w:noProof/>
        </w:rPr>
        <w:t>What were the effects on output?</w:t>
      </w:r>
      <w:r>
        <w:rPr>
          <w:noProof/>
        </w:rPr>
        <w:tab/>
        <w:t>12</w:t>
      </w:r>
      <w:r w:rsidR="00722815">
        <w:rPr>
          <w:noProof/>
        </w:rPr>
        <w:t>4</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Some implications for capital use</w:t>
      </w:r>
      <w:r>
        <w:rPr>
          <w:noProof/>
        </w:rPr>
        <w:tab/>
        <w:t>1</w:t>
      </w:r>
      <w:r w:rsidR="00722815">
        <w:rPr>
          <w:noProof/>
        </w:rPr>
        <w:t>27</w:t>
      </w:r>
    </w:p>
    <w:p w:rsidR="004E1A93" w:rsidRDefault="004E1A93">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 xml:space="preserve">What </w:t>
      </w:r>
      <w:r w:rsidR="001256B4">
        <w:rPr>
          <w:noProof/>
        </w:rPr>
        <w:t>were</w:t>
      </w:r>
      <w:r>
        <w:rPr>
          <w:noProof/>
        </w:rPr>
        <w:t xml:space="preserve"> the implications for labour?</w:t>
      </w:r>
      <w:r>
        <w:rPr>
          <w:noProof/>
        </w:rPr>
        <w:tab/>
        <w:t>13</w:t>
      </w:r>
      <w:r w:rsidR="00722815">
        <w:rPr>
          <w:noProof/>
        </w:rPr>
        <w:t>0</w:t>
      </w:r>
    </w:p>
    <w:p w:rsidR="004E1A93" w:rsidRDefault="004E1A93">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sidR="00722815">
        <w:rPr>
          <w:noProof/>
        </w:rPr>
        <w:t>Industry classifications</w:t>
      </w:r>
      <w:r w:rsidR="00722815">
        <w:rPr>
          <w:noProof/>
        </w:rPr>
        <w:tab/>
        <w:t>147</w:t>
      </w:r>
    </w:p>
    <w:p w:rsidR="004E1A93" w:rsidRDefault="004E1A93">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Structural change indexes</w:t>
      </w:r>
      <w:r>
        <w:rPr>
          <w:noProof/>
        </w:rPr>
        <w:tab/>
        <w:t>1</w:t>
      </w:r>
      <w:r w:rsidR="00722815">
        <w:rPr>
          <w:noProof/>
        </w:rPr>
        <w:t>55</w:t>
      </w:r>
    </w:p>
    <w:p w:rsidR="004E1A93" w:rsidRDefault="004E1A93">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Supporting data and analysis</w:t>
      </w:r>
      <w:r>
        <w:rPr>
          <w:noProof/>
        </w:rPr>
        <w:tab/>
        <w:t>16</w:t>
      </w:r>
      <w:r w:rsidR="00722815">
        <w:rPr>
          <w:noProof/>
        </w:rPr>
        <w:t>1</w:t>
      </w:r>
    </w:p>
    <w:p w:rsidR="004E1A93" w:rsidRDefault="00722815">
      <w:pPr>
        <w:pStyle w:val="TOC1"/>
        <w:rPr>
          <w:rFonts w:asciiTheme="minorHAnsi" w:eastAsiaTheme="minorEastAsia" w:hAnsiTheme="minorHAnsi" w:cstheme="minorBidi"/>
          <w:b w:val="0"/>
          <w:noProof/>
          <w:sz w:val="22"/>
          <w:szCs w:val="22"/>
          <w:lang w:eastAsia="en-AU"/>
        </w:rPr>
      </w:pPr>
      <w:r>
        <w:rPr>
          <w:noProof/>
        </w:rPr>
        <w:t>References</w:t>
      </w:r>
      <w:r>
        <w:rPr>
          <w:noProof/>
        </w:rPr>
        <w:tab/>
        <w:t>169</w:t>
      </w:r>
    </w:p>
    <w:p w:rsidR="00735FEA" w:rsidRDefault="00735FEA">
      <w:pPr>
        <w:pStyle w:val="BodyText"/>
        <w:sectPr w:rsidR="00735FEA"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146FDC" w:rsidRDefault="00146FDC">
      <w:pPr>
        <w:pStyle w:val="Heading1"/>
      </w:pPr>
      <w:bookmarkStart w:id="7" w:name="Abbreviations"/>
      <w:bookmarkStart w:id="8" w:name="RDnote"/>
      <w:bookmarkStart w:id="9" w:name="_Toc361653747"/>
      <w:bookmarkStart w:id="10" w:name="_Toc361653864"/>
      <w:bookmarkStart w:id="11" w:name="_Toc361658370"/>
      <w:bookmarkStart w:id="12" w:name="_Toc368046223"/>
      <w:bookmarkEnd w:id="7"/>
      <w:bookmarkEnd w:id="8"/>
      <w:r>
        <w:lastRenderedPageBreak/>
        <w:t>Acknowledgments</w:t>
      </w:r>
      <w:bookmarkEnd w:id="9"/>
      <w:bookmarkEnd w:id="10"/>
      <w:bookmarkEnd w:id="11"/>
      <w:bookmarkEnd w:id="12"/>
    </w:p>
    <w:p w:rsidR="000209BF" w:rsidRDefault="00705E32" w:rsidP="00DC3090">
      <w:pPr>
        <w:pStyle w:val="BodyText"/>
      </w:pPr>
      <w:r>
        <w:t xml:space="preserve">This supplement was researched and written by Lisa Leong, Leonora Risse and Ilias Mastoris in Melbourne, led by Assistant Commissioner Patrick Laplagne. </w:t>
      </w:r>
      <w:r w:rsidR="000209BF">
        <w:t xml:space="preserve">The </w:t>
      </w:r>
      <w:r>
        <w:t>authors</w:t>
      </w:r>
      <w:r w:rsidR="00FA4EE2">
        <w:t xml:space="preserve"> </w:t>
      </w:r>
      <w:r w:rsidR="000209BF">
        <w:t xml:space="preserve">would like to express </w:t>
      </w:r>
      <w:r>
        <w:t xml:space="preserve">their </w:t>
      </w:r>
      <w:r w:rsidR="000209BF">
        <w:t>gratitude to Jeff Borland (University of Melbourne) and Ellis Connolly and his colleagues (Reserve Bank of Australia) for the help and advice they provided</w:t>
      </w:r>
      <w:r w:rsidR="008F1D8A">
        <w:t xml:space="preserve"> during the preparation of this </w:t>
      </w:r>
      <w:r w:rsidR="00773AF7">
        <w:t>publication</w:t>
      </w:r>
      <w:r w:rsidR="000209BF">
        <w:t>.</w:t>
      </w:r>
    </w:p>
    <w:p w:rsidR="00705E32" w:rsidRDefault="00705E32" w:rsidP="00DC3090">
      <w:pPr>
        <w:pStyle w:val="BodyText"/>
      </w:pPr>
      <w:r>
        <w:t>The authors are also indebted to the following Productivity Commission colleagues, past and present: Gary Banks, Patricia Scott, Noel Gaston, Lisa Gropp, Jenny Gordon, James Booth, Matthew Forbes, Lou Will and Jacqueline Crowle.</w:t>
      </w:r>
    </w:p>
    <w:p w:rsidR="001439B5" w:rsidRDefault="001439B5" w:rsidP="00DC3090">
      <w:pPr>
        <w:pStyle w:val="BodyText"/>
      </w:pPr>
      <w:r>
        <w:t xml:space="preserve">Parts of this </w:t>
      </w:r>
      <w:r w:rsidR="008F1D8A">
        <w:t xml:space="preserve">publication </w:t>
      </w:r>
      <w:r>
        <w:t xml:space="preserve">use unpublished data kindly </w:t>
      </w:r>
      <w:r w:rsidR="001108AD">
        <w:t>suppli</w:t>
      </w:r>
      <w:r>
        <w:t>ed by the Labour Market Research and Analysis branch of the Department of Education, Employment and Workplace Relations.</w:t>
      </w:r>
    </w:p>
    <w:p w:rsidR="00DC3090" w:rsidRDefault="00DC3090" w:rsidP="00DC3090">
      <w:pPr>
        <w:pStyle w:val="BodyText"/>
      </w:pPr>
      <w:r w:rsidRPr="00DC3090">
        <w:t xml:space="preserve">The </w:t>
      </w:r>
      <w:r w:rsidR="00705E32">
        <w:t>authors</w:t>
      </w:r>
      <w:r w:rsidR="00705E32" w:rsidRPr="00DC3090">
        <w:t xml:space="preserve"> </w:t>
      </w:r>
      <w:r w:rsidRPr="00DC3090">
        <w:t>acknowledge that the Household, Income and Labour Dynamics in Australia (HILDA) Survey was initiated and is funded by the Australian Government Department of Families, Housing, Community Services and Indigenous Affairs (FaHCSIA), and is managed by the Melbourne Institute of Applied Economic and Social Research (Melbourne Institute). The findings and views based on these data should not be attributed to either FaHCSIA or the Melbourne Institute.</w:t>
      </w:r>
    </w:p>
    <w:p w:rsidR="00705E32" w:rsidRDefault="00705E32" w:rsidP="00DC3090">
      <w:pPr>
        <w:pStyle w:val="BodyText"/>
      </w:pPr>
    </w:p>
    <w:p w:rsidR="00146FDC" w:rsidRPr="008E76B1" w:rsidRDefault="00146FDC">
      <w:pPr>
        <w:pStyle w:val="BodyText"/>
      </w:pPr>
    </w:p>
    <w:p w:rsidR="008B6B73" w:rsidRPr="008E76B1" w:rsidRDefault="008B6B73">
      <w:pPr>
        <w:pStyle w:val="BodyText"/>
      </w:pPr>
    </w:p>
    <w:p w:rsidR="008B6B73" w:rsidRPr="008E76B1" w:rsidRDefault="008B6B73">
      <w:pPr>
        <w:pStyle w:val="BodyText"/>
        <w:sectPr w:rsidR="008B6B73" w:rsidRPr="008E76B1" w:rsidSect="00565F33">
          <w:headerReference w:type="even" r:id="rId18"/>
          <w:headerReference w:type="default" r:id="rId19"/>
          <w:footerReference w:type="even" r:id="rId20"/>
          <w:footerReference w:type="default" r:id="rId21"/>
          <w:pgSz w:w="11906" w:h="16838" w:code="9"/>
          <w:pgMar w:top="1985" w:right="1304" w:bottom="1418" w:left="1814" w:header="1701" w:footer="567" w:gutter="0"/>
          <w:pgNumType w:fmt="lowerRoman"/>
          <w:cols w:space="708"/>
          <w:docGrid w:linePitch="360"/>
        </w:sectPr>
      </w:pPr>
    </w:p>
    <w:p w:rsidR="00735FEA" w:rsidRDefault="00735FEA" w:rsidP="00F7477E">
      <w:pPr>
        <w:pStyle w:val="Heading1"/>
      </w:pPr>
      <w:bookmarkStart w:id="13" w:name="EndContents"/>
      <w:bookmarkStart w:id="14" w:name="_Toc361653748"/>
      <w:bookmarkStart w:id="15" w:name="_Toc361653865"/>
      <w:bookmarkStart w:id="16" w:name="_Toc361658371"/>
      <w:bookmarkStart w:id="17" w:name="_Toc368046224"/>
      <w:bookmarkEnd w:id="13"/>
      <w:r>
        <w:lastRenderedPageBreak/>
        <w:t>Abbreviations and explanations</w:t>
      </w:r>
      <w:bookmarkEnd w:id="14"/>
      <w:bookmarkEnd w:id="15"/>
      <w:bookmarkEnd w:id="16"/>
      <w:bookmarkEnd w:id="17"/>
    </w:p>
    <w:p w:rsidR="00735FEA" w:rsidRDefault="00735FEA" w:rsidP="00F7477E">
      <w:pPr>
        <w:pStyle w:val="Heading2NotTOC"/>
      </w:pPr>
      <w:r>
        <w:t>Abbrevia</w:t>
      </w:r>
      <w:r w:rsidRPr="00F85393">
        <w:t>t</w:t>
      </w:r>
      <w:r>
        <w:t>ions</w:t>
      </w:r>
    </w:p>
    <w:p w:rsidR="00080160" w:rsidRDefault="00080160">
      <w:pPr>
        <w:pStyle w:val="Abbreviation"/>
      </w:pPr>
      <w:r>
        <w:t>ABARES</w:t>
      </w:r>
      <w:r>
        <w:tab/>
      </w:r>
      <w:r w:rsidRPr="00080160">
        <w:t>Australian Bureau of Agricultural and Resource Economics and Sciences</w:t>
      </w:r>
    </w:p>
    <w:p w:rsidR="0085199A" w:rsidRDefault="0085199A">
      <w:pPr>
        <w:pStyle w:val="Abbreviation"/>
      </w:pPr>
      <w:r>
        <w:t>ABS</w:t>
      </w:r>
      <w:r>
        <w:tab/>
        <w:t>Australian Bureau of Statistics</w:t>
      </w:r>
    </w:p>
    <w:p w:rsidR="00080160" w:rsidRDefault="00080160">
      <w:pPr>
        <w:pStyle w:val="Abbreviation"/>
      </w:pPr>
      <w:r w:rsidRPr="00080160">
        <w:t>ANZSCO</w:t>
      </w:r>
      <w:r w:rsidRPr="00080160">
        <w:tab/>
        <w:t>Australian and New Zealand Standard Classification of Occupations</w:t>
      </w:r>
    </w:p>
    <w:p w:rsidR="00565F33" w:rsidRDefault="00565F33">
      <w:pPr>
        <w:pStyle w:val="Abbreviation"/>
      </w:pPr>
      <w:r>
        <w:t>ANZSIC</w:t>
      </w:r>
      <w:r>
        <w:tab/>
        <w:t>Australian and New Zealand Standard Industrial Classification</w:t>
      </w:r>
    </w:p>
    <w:p w:rsidR="00A53EA3" w:rsidRDefault="00A53EA3">
      <w:pPr>
        <w:pStyle w:val="Abbreviation"/>
      </w:pPr>
      <w:r>
        <w:t>BREE</w:t>
      </w:r>
      <w:r>
        <w:tab/>
        <w:t>Bureau of Resources and Energy Economics</w:t>
      </w:r>
    </w:p>
    <w:p w:rsidR="008D5E26" w:rsidRDefault="008D5E26">
      <w:pPr>
        <w:pStyle w:val="Abbreviation"/>
      </w:pPr>
      <w:r>
        <w:t>CGE</w:t>
      </w:r>
      <w:r>
        <w:tab/>
        <w:t>Computable general equilibrium (analysis)</w:t>
      </w:r>
    </w:p>
    <w:p w:rsidR="00BD2F51" w:rsidRDefault="00BD2F51">
      <w:pPr>
        <w:pStyle w:val="Abbreviation"/>
      </w:pPr>
      <w:r>
        <w:t>CMEWA</w:t>
      </w:r>
      <w:r>
        <w:tab/>
        <w:t>Chamber of Minerals and Energy of Western Australia</w:t>
      </w:r>
    </w:p>
    <w:p w:rsidR="00BD2F51" w:rsidRDefault="00BD2F51" w:rsidP="00BD2F51">
      <w:pPr>
        <w:pStyle w:val="Abbreviation"/>
      </w:pPr>
      <w:r>
        <w:t>COAG</w:t>
      </w:r>
      <w:r>
        <w:tab/>
        <w:t>Council of Australian Governments</w:t>
      </w:r>
    </w:p>
    <w:p w:rsidR="002C5396" w:rsidRDefault="002C5396">
      <w:pPr>
        <w:pStyle w:val="Abbreviation"/>
      </w:pPr>
      <w:r>
        <w:t>DEEWR</w:t>
      </w:r>
      <w:r>
        <w:tab/>
        <w:t>Department of Education, Employment and Workplace Relations</w:t>
      </w:r>
    </w:p>
    <w:p w:rsidR="00080160" w:rsidRDefault="00080160" w:rsidP="00080160">
      <w:pPr>
        <w:pStyle w:val="Abbreviation"/>
      </w:pPr>
      <w:r>
        <w:t>DIDO</w:t>
      </w:r>
      <w:r>
        <w:tab/>
        <w:t>Drive-in</w:t>
      </w:r>
      <w:r w:rsidR="00A53EA3">
        <w:t>,</w:t>
      </w:r>
      <w:r>
        <w:t xml:space="preserve"> Drive-out</w:t>
      </w:r>
    </w:p>
    <w:p w:rsidR="00080160" w:rsidRDefault="00080160" w:rsidP="00080160">
      <w:pPr>
        <w:pStyle w:val="Abbreviation"/>
      </w:pPr>
      <w:r>
        <w:t>FBT</w:t>
      </w:r>
      <w:r>
        <w:tab/>
        <w:t>Fringe Benefit Tax</w:t>
      </w:r>
    </w:p>
    <w:p w:rsidR="00080160" w:rsidRDefault="00080160" w:rsidP="00080160">
      <w:pPr>
        <w:pStyle w:val="Abbreviation"/>
      </w:pPr>
      <w:r>
        <w:t>FIFO</w:t>
      </w:r>
      <w:r>
        <w:tab/>
        <w:t>Fly-in</w:t>
      </w:r>
      <w:r w:rsidR="00A53EA3">
        <w:t>,</w:t>
      </w:r>
      <w:r>
        <w:t xml:space="preserve"> Fly-out</w:t>
      </w:r>
    </w:p>
    <w:p w:rsidR="00080160" w:rsidRDefault="00080160">
      <w:pPr>
        <w:pStyle w:val="Abbreviation"/>
      </w:pPr>
      <w:r>
        <w:t>FMG</w:t>
      </w:r>
      <w:r>
        <w:tab/>
        <w:t>Fortescue Metals Group</w:t>
      </w:r>
    </w:p>
    <w:p w:rsidR="00F955D5" w:rsidRDefault="00F955D5">
      <w:pPr>
        <w:pStyle w:val="Abbreviation"/>
      </w:pPr>
      <w:r>
        <w:t>GDP</w:t>
      </w:r>
      <w:r>
        <w:tab/>
        <w:t>Gross Domestic Product</w:t>
      </w:r>
    </w:p>
    <w:p w:rsidR="0085199A" w:rsidRDefault="0085199A">
      <w:pPr>
        <w:pStyle w:val="Abbreviation"/>
      </w:pPr>
      <w:r>
        <w:t>GFC</w:t>
      </w:r>
      <w:r>
        <w:tab/>
        <w:t>Global Financial Crisis</w:t>
      </w:r>
    </w:p>
    <w:p w:rsidR="00080160" w:rsidRDefault="00080160" w:rsidP="00080160">
      <w:pPr>
        <w:pStyle w:val="Abbreviation"/>
      </w:pPr>
      <w:r>
        <w:t>HILDA</w:t>
      </w:r>
      <w:r>
        <w:tab/>
        <w:t xml:space="preserve">Household, Income and Labour Dynamics in Australia </w:t>
      </w:r>
    </w:p>
    <w:p w:rsidR="00735FEA" w:rsidRDefault="00735FEA">
      <w:pPr>
        <w:pStyle w:val="Abbreviation"/>
      </w:pPr>
      <w:r>
        <w:t>IAC</w:t>
      </w:r>
      <w:r>
        <w:tab/>
        <w:t>Industries Assistance Commission</w:t>
      </w:r>
    </w:p>
    <w:p w:rsidR="00735FEA" w:rsidRDefault="00735FEA">
      <w:pPr>
        <w:pStyle w:val="Abbreviation"/>
      </w:pPr>
      <w:r>
        <w:t>IC</w:t>
      </w:r>
      <w:r>
        <w:tab/>
        <w:t>Industry Commission</w:t>
      </w:r>
    </w:p>
    <w:p w:rsidR="00C72C25" w:rsidRDefault="00C72C25">
      <w:pPr>
        <w:pStyle w:val="Abbreviation"/>
      </w:pPr>
      <w:r>
        <w:t>ICT</w:t>
      </w:r>
      <w:r>
        <w:tab/>
        <w:t>Information and communication technologies</w:t>
      </w:r>
    </w:p>
    <w:p w:rsidR="00C72C25" w:rsidRDefault="00C72C25" w:rsidP="00C72C25">
      <w:pPr>
        <w:pStyle w:val="Abbreviation"/>
      </w:pPr>
      <w:r>
        <w:t>IVI</w:t>
      </w:r>
      <w:r>
        <w:tab/>
        <w:t>Internet Vacancy Index</w:t>
      </w:r>
    </w:p>
    <w:p w:rsidR="00080160" w:rsidRDefault="00080160" w:rsidP="00080160">
      <w:pPr>
        <w:pStyle w:val="Abbreviation"/>
      </w:pPr>
      <w:r>
        <w:t>JVS</w:t>
      </w:r>
      <w:r>
        <w:tab/>
        <w:t>Job Vacancy Survey</w:t>
      </w:r>
    </w:p>
    <w:p w:rsidR="00A53EA3" w:rsidRDefault="00A53EA3" w:rsidP="00080160">
      <w:pPr>
        <w:pStyle w:val="Abbreviation"/>
      </w:pPr>
      <w:r>
        <w:lastRenderedPageBreak/>
        <w:t>LNG</w:t>
      </w:r>
      <w:r>
        <w:tab/>
        <w:t>Liquefied natural gas</w:t>
      </w:r>
    </w:p>
    <w:p w:rsidR="00A53EA3" w:rsidRDefault="00A53EA3" w:rsidP="00080160">
      <w:pPr>
        <w:pStyle w:val="Abbreviation"/>
      </w:pPr>
      <w:r>
        <w:t>LPG</w:t>
      </w:r>
      <w:r>
        <w:tab/>
        <w:t>Liquefied petroleum gas</w:t>
      </w:r>
    </w:p>
    <w:p w:rsidR="00F955D5" w:rsidRDefault="00F955D5">
      <w:pPr>
        <w:pStyle w:val="Abbreviation"/>
      </w:pPr>
      <w:r>
        <w:t>OECD</w:t>
      </w:r>
      <w:r>
        <w:tab/>
        <w:t>Organisation for Economic Co-operation and Development</w:t>
      </w:r>
    </w:p>
    <w:p w:rsidR="00A93C2C" w:rsidRDefault="00A93C2C">
      <w:pPr>
        <w:pStyle w:val="Abbreviation"/>
      </w:pPr>
      <w:r>
        <w:t>OPEC</w:t>
      </w:r>
      <w:r>
        <w:tab/>
        <w:t>Organization of the Petroleum Exporting Countries</w:t>
      </w:r>
    </w:p>
    <w:p w:rsidR="00080160" w:rsidRDefault="00080160">
      <w:pPr>
        <w:pStyle w:val="Abbreviation"/>
      </w:pPr>
      <w:r>
        <w:t>MCA</w:t>
      </w:r>
      <w:r>
        <w:tab/>
        <w:t>Minerals Council of Australia</w:t>
      </w:r>
    </w:p>
    <w:p w:rsidR="00C72C25" w:rsidRDefault="00C72C25">
      <w:pPr>
        <w:pStyle w:val="Abbreviation"/>
      </w:pPr>
      <w:r>
        <w:t>MFP</w:t>
      </w:r>
      <w:r>
        <w:tab/>
        <w:t>Multi-factor productivity</w:t>
      </w:r>
    </w:p>
    <w:p w:rsidR="00735FEA" w:rsidRDefault="00735FEA">
      <w:pPr>
        <w:pStyle w:val="Abbreviation"/>
      </w:pPr>
      <w:r>
        <w:t>PC</w:t>
      </w:r>
      <w:r>
        <w:tab/>
        <w:t>Productivity Commission</w:t>
      </w:r>
    </w:p>
    <w:p w:rsidR="001719D3" w:rsidRDefault="001719D3">
      <w:pPr>
        <w:pStyle w:val="Abbreviation"/>
      </w:pPr>
      <w:r>
        <w:t>PPP</w:t>
      </w:r>
      <w:r>
        <w:tab/>
        <w:t>Purchasing power parity</w:t>
      </w:r>
    </w:p>
    <w:p w:rsidR="008B6B73" w:rsidRDefault="008B6B73">
      <w:pPr>
        <w:pStyle w:val="Abbreviation"/>
      </w:pPr>
      <w:r>
        <w:t>SCI</w:t>
      </w:r>
      <w:r>
        <w:tab/>
        <w:t xml:space="preserve">Structural </w:t>
      </w:r>
      <w:r w:rsidR="00BA35D9">
        <w:t>c</w:t>
      </w:r>
      <w:r>
        <w:t xml:space="preserve">hange </w:t>
      </w:r>
      <w:r w:rsidR="00BA35D9">
        <w:t>i</w:t>
      </w:r>
      <w:r>
        <w:t>ndex</w:t>
      </w:r>
    </w:p>
    <w:p w:rsidR="006052A9" w:rsidRDefault="00CA5273">
      <w:pPr>
        <w:pStyle w:val="Abbreviation"/>
      </w:pPr>
      <w:r>
        <w:t>RBA</w:t>
      </w:r>
      <w:r>
        <w:tab/>
        <w:t>Reserve Bank of Australi</w:t>
      </w:r>
      <w:r w:rsidR="006052A9">
        <w:t>a</w:t>
      </w:r>
    </w:p>
    <w:p w:rsidR="006052A9" w:rsidRDefault="006052A9" w:rsidP="006052A9">
      <w:pPr>
        <w:pStyle w:val="Heading2NotTOC"/>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C72C25" w:rsidTr="00672654">
        <w:tc>
          <w:tcPr>
            <w:tcW w:w="2155" w:type="dxa"/>
          </w:tcPr>
          <w:p w:rsidR="00C72C25" w:rsidRDefault="00C72C25" w:rsidP="00672654">
            <w:pPr>
              <w:pStyle w:val="BodyText"/>
              <w:spacing w:before="120"/>
              <w:ind w:right="6"/>
            </w:pPr>
            <w:r>
              <w:t>Capitalisation</w:t>
            </w:r>
          </w:p>
        </w:tc>
        <w:tc>
          <w:tcPr>
            <w:tcW w:w="6634" w:type="dxa"/>
          </w:tcPr>
          <w:p w:rsidR="00C72C25" w:rsidRDefault="00C72C25" w:rsidP="006F47FE">
            <w:pPr>
              <w:pStyle w:val="BodyText"/>
              <w:spacing w:before="120"/>
              <w:ind w:left="227" w:right="6"/>
            </w:pPr>
            <w:r>
              <w:t xml:space="preserve">Throughout this </w:t>
            </w:r>
            <w:r w:rsidR="006E73CF">
              <w:t>supplement</w:t>
            </w:r>
            <w:r>
              <w:t xml:space="preserve">, the convention is used to capitalise the names of industries (ANZSIC industry divisions A to S), but not those of sectors, in the text. </w:t>
            </w:r>
            <w:r w:rsidR="006F47FE">
              <w:t>For the most part, s</w:t>
            </w:r>
            <w:r w:rsidR="00DC4AC6">
              <w:t>ectors are broad groupings of industries. However, i</w:t>
            </w:r>
            <w:r>
              <w:t>n the case of agriculture, mining, manufacturing, utilities and construction, the industry and the sector are equivalent (in other words, the industry and sector cover exactly the same portion of the economy).</w:t>
            </w:r>
          </w:p>
        </w:tc>
      </w:tr>
      <w:tr w:rsidR="006052A9" w:rsidTr="004E055D">
        <w:tc>
          <w:tcPr>
            <w:tcW w:w="2155" w:type="dxa"/>
          </w:tcPr>
          <w:p w:rsidR="006052A9" w:rsidRDefault="00076E16" w:rsidP="004E055D">
            <w:pPr>
              <w:pStyle w:val="BodyText"/>
              <w:spacing w:before="120"/>
              <w:ind w:right="6"/>
            </w:pPr>
            <w:r>
              <w:t>Natural </w:t>
            </w:r>
            <w:r w:rsidR="00EE21C1">
              <w:t>resources sector</w:t>
            </w:r>
          </w:p>
        </w:tc>
        <w:tc>
          <w:tcPr>
            <w:tcW w:w="6634" w:type="dxa"/>
          </w:tcPr>
          <w:p w:rsidR="006052A9" w:rsidRDefault="00EE21C1" w:rsidP="006E73CF">
            <w:pPr>
              <w:pStyle w:val="BodyText"/>
              <w:spacing w:before="120"/>
              <w:ind w:left="227" w:right="6"/>
            </w:pPr>
            <w:r>
              <w:t xml:space="preserve">For the purpose of this </w:t>
            </w:r>
            <w:r w:rsidR="006E73CF">
              <w:t>supplement</w:t>
            </w:r>
            <w:r>
              <w:t>, the natural resources sector extends to, and is limited to, the production of minerals and energy, and of specialised services such as exploration. As defined, this sector aligns with the ABS Mining industry division (ABS ANZSIC industry division B — table A.1). For this reason, the terms ‘natural resources sector’, ‘resources sector’, ‘mining sector’ and ‘Mining industry’ are used interchangeably.</w:t>
            </w:r>
          </w:p>
        </w:tc>
      </w:tr>
    </w:tbl>
    <w:p w:rsidR="006052A9" w:rsidRDefault="006052A9" w:rsidP="006052A9">
      <w:pPr>
        <w:pStyle w:val="BodyText"/>
      </w:pPr>
    </w:p>
    <w:p w:rsidR="004E1A93" w:rsidRPr="00CC1114" w:rsidRDefault="004E1A93" w:rsidP="006052A9">
      <w:pPr>
        <w:pStyle w:val="Abbreviation"/>
        <w:rPr>
          <w:rStyle w:val="CommentReference"/>
          <w:vanish w:val="0"/>
        </w:rPr>
      </w:pPr>
    </w:p>
    <w:sectPr w:rsidR="004E1A93" w:rsidRPr="00CC1114" w:rsidSect="00C55A45">
      <w:headerReference w:type="even" r:id="rId22"/>
      <w:headerReference w:type="default" r:id="rId23"/>
      <w:footerReference w:type="even" r:id="rId24"/>
      <w:footerReference w:type="default" r:id="rId2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DBD" w:rsidRDefault="004F1DBD">
      <w:r>
        <w:separator/>
      </w:r>
    </w:p>
    <w:p w:rsidR="004F1DBD" w:rsidRDefault="004F1DBD"/>
    <w:p w:rsidR="004F1DBD" w:rsidRDefault="004F1DBD"/>
  </w:endnote>
  <w:endnote w:type="continuationSeparator" w:id="0">
    <w:p w:rsidR="004F1DBD" w:rsidRDefault="004F1DBD">
      <w:r>
        <w:continuationSeparator/>
      </w:r>
    </w:p>
    <w:p w:rsidR="004F1DBD" w:rsidRDefault="004F1DBD"/>
    <w:p w:rsidR="004F1DBD" w:rsidRDefault="004F1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9057B7">
      <w:trPr>
        <w:trHeight w:hRule="exact" w:val="740"/>
      </w:trPr>
      <w:tc>
        <w:tcPr>
          <w:tcW w:w="510" w:type="dxa"/>
          <w:tcBorders>
            <w:top w:val="single" w:sz="6" w:space="0" w:color="auto"/>
          </w:tcBorders>
        </w:tcPr>
        <w:p w:rsidR="009057B7" w:rsidRPr="008A654B" w:rsidRDefault="009057B7">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Pr>
              <w:rStyle w:val="PageNumber"/>
              <w:caps w:val="0"/>
              <w:noProof/>
            </w:rPr>
            <w:t>ii</w:t>
          </w:r>
          <w:r w:rsidRPr="008A654B">
            <w:rPr>
              <w:rStyle w:val="PageNumber"/>
              <w:caps w:val="0"/>
            </w:rPr>
            <w:fldChar w:fldCharType="end"/>
          </w:r>
        </w:p>
      </w:tc>
      <w:tc>
        <w:tcPr>
          <w:tcW w:w="1830" w:type="dxa"/>
          <w:tcBorders>
            <w:top w:val="single" w:sz="6" w:space="0" w:color="auto"/>
          </w:tcBorders>
        </w:tcPr>
        <w:p w:rsidR="009057B7" w:rsidRDefault="00377003">
          <w:pPr>
            <w:pStyle w:val="Footer"/>
          </w:pPr>
          <w:r>
            <w:fldChar w:fldCharType="begin"/>
          </w:r>
          <w:r>
            <w:instrText xml:space="preserve"> STYLEREF "Heading 1" \* MERGEFORMAT </w:instrText>
          </w:r>
          <w:r>
            <w:fldChar w:fldCharType="separate"/>
          </w:r>
          <w:r w:rsidR="004E1A93">
            <w:rPr>
              <w:noProof/>
            </w:rPr>
            <w:t>About this supplement</w:t>
          </w:r>
          <w:r>
            <w:rPr>
              <w:noProof/>
            </w:rPr>
            <w:fldChar w:fldCharType="end"/>
          </w:r>
        </w:p>
      </w:tc>
      <w:tc>
        <w:tcPr>
          <w:tcW w:w="6448" w:type="dxa"/>
        </w:tcPr>
        <w:p w:rsidR="009057B7" w:rsidRDefault="009057B7">
          <w:pPr>
            <w:pStyle w:val="Footer"/>
          </w:pPr>
        </w:p>
      </w:tc>
    </w:tr>
  </w:tbl>
  <w:p w:rsidR="009057B7" w:rsidRDefault="009057B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9057B7">
      <w:trPr>
        <w:trHeight w:hRule="exact" w:val="740"/>
      </w:trPr>
      <w:tc>
        <w:tcPr>
          <w:tcW w:w="6480" w:type="dxa"/>
        </w:tcPr>
        <w:p w:rsidR="009057B7" w:rsidRDefault="009057B7">
          <w:pPr>
            <w:pStyle w:val="Footer"/>
          </w:pPr>
        </w:p>
      </w:tc>
      <w:tc>
        <w:tcPr>
          <w:tcW w:w="1798" w:type="dxa"/>
          <w:tcBorders>
            <w:top w:val="single" w:sz="6" w:space="0" w:color="auto"/>
          </w:tcBorders>
        </w:tcPr>
        <w:p w:rsidR="009057B7" w:rsidRDefault="00377003">
          <w:pPr>
            <w:pStyle w:val="Footer"/>
            <w:rPr>
              <w:rStyle w:val="PageNumber"/>
              <w:b w:val="0"/>
            </w:rPr>
          </w:pPr>
          <w:r>
            <w:fldChar w:fldCharType="begin"/>
          </w:r>
          <w:r>
            <w:instrText xml:space="preserve"> STYLEREF "Heading 1" \* MERGEFORMAT </w:instrText>
          </w:r>
          <w:r>
            <w:fldChar w:fldCharType="separate"/>
          </w:r>
          <w:r>
            <w:rPr>
              <w:noProof/>
            </w:rPr>
            <w:t>About this supplement</w:t>
          </w:r>
          <w:r>
            <w:rPr>
              <w:noProof/>
            </w:rPr>
            <w:fldChar w:fldCharType="end"/>
          </w:r>
        </w:p>
      </w:tc>
      <w:tc>
        <w:tcPr>
          <w:tcW w:w="510" w:type="dxa"/>
          <w:tcBorders>
            <w:top w:val="single" w:sz="6" w:space="0" w:color="auto"/>
          </w:tcBorders>
        </w:tcPr>
        <w:p w:rsidR="009057B7" w:rsidRPr="00B4787B" w:rsidRDefault="009057B7" w:rsidP="00537BB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377003">
            <w:rPr>
              <w:rStyle w:val="PageNumber"/>
              <w:smallCaps w:val="0"/>
              <w:noProof/>
            </w:rPr>
            <w:t>iii</w:t>
          </w:r>
          <w:r w:rsidRPr="00B4787B">
            <w:rPr>
              <w:rStyle w:val="PageNumber"/>
              <w:smallCaps w:val="0"/>
            </w:rPr>
            <w:fldChar w:fldCharType="end"/>
          </w:r>
        </w:p>
      </w:tc>
    </w:tr>
  </w:tbl>
  <w:p w:rsidR="009057B7" w:rsidRDefault="009057B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80160">
      <w:trPr>
        <w:trHeight w:hRule="exact" w:val="740"/>
      </w:trPr>
      <w:tc>
        <w:tcPr>
          <w:tcW w:w="510" w:type="dxa"/>
          <w:tcBorders>
            <w:top w:val="single" w:sz="6" w:space="0" w:color="auto"/>
          </w:tcBorders>
        </w:tcPr>
        <w:p w:rsidR="00080160" w:rsidRPr="008206EE" w:rsidRDefault="00080160">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377003">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080160" w:rsidRDefault="008A688E">
          <w:pPr>
            <w:pStyle w:val="Footer"/>
          </w:pPr>
          <w:r>
            <w:rPr>
              <w:noProof/>
            </w:rPr>
            <w:t>contents</w:t>
          </w:r>
        </w:p>
      </w:tc>
      <w:tc>
        <w:tcPr>
          <w:tcW w:w="6634" w:type="dxa"/>
        </w:tcPr>
        <w:p w:rsidR="00080160" w:rsidRDefault="00080160">
          <w:pPr>
            <w:pStyle w:val="Footer"/>
            <w:rPr>
              <w:caps w:val="0"/>
            </w:rPr>
          </w:pPr>
        </w:p>
      </w:tc>
    </w:tr>
  </w:tbl>
  <w:p w:rsidR="00080160" w:rsidRDefault="00080160">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80160" w:rsidTr="008F7DB7">
      <w:trPr>
        <w:trHeight w:hRule="exact" w:val="740"/>
      </w:trPr>
      <w:tc>
        <w:tcPr>
          <w:tcW w:w="6634" w:type="dxa"/>
        </w:tcPr>
        <w:p w:rsidR="00080160" w:rsidRDefault="00080160">
          <w:pPr>
            <w:pStyle w:val="Footer"/>
          </w:pPr>
        </w:p>
      </w:tc>
      <w:tc>
        <w:tcPr>
          <w:tcW w:w="1644" w:type="dxa"/>
          <w:tcBorders>
            <w:top w:val="single" w:sz="6" w:space="0" w:color="auto"/>
          </w:tcBorders>
        </w:tcPr>
        <w:p w:rsidR="00080160" w:rsidRPr="008F7DB7" w:rsidRDefault="008A688E">
          <w:pPr>
            <w:pStyle w:val="Footer"/>
            <w:rPr>
              <w:rStyle w:val="PageNumber"/>
              <w:noProof/>
            </w:rPr>
          </w:pPr>
          <w:r>
            <w:rPr>
              <w:noProof/>
            </w:rPr>
            <w:t>Contents</w:t>
          </w:r>
        </w:p>
      </w:tc>
      <w:tc>
        <w:tcPr>
          <w:tcW w:w="510" w:type="dxa"/>
          <w:tcBorders>
            <w:top w:val="single" w:sz="6" w:space="0" w:color="auto"/>
          </w:tcBorders>
        </w:tcPr>
        <w:p w:rsidR="00080160" w:rsidRPr="00C55A45" w:rsidRDefault="00080160">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02EF6">
            <w:rPr>
              <w:rStyle w:val="PageNumber"/>
              <w:caps w:val="0"/>
              <w:noProof/>
            </w:rPr>
            <w:t>v</w:t>
          </w:r>
          <w:r w:rsidRPr="00C55A45">
            <w:rPr>
              <w:rStyle w:val="PageNumber"/>
              <w:caps w:val="0"/>
              <w:noProof/>
            </w:rPr>
            <w:fldChar w:fldCharType="end"/>
          </w:r>
        </w:p>
      </w:tc>
    </w:tr>
  </w:tbl>
  <w:p w:rsidR="00080160" w:rsidRDefault="00080160">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080160">
      <w:trPr>
        <w:trHeight w:hRule="exact" w:val="740"/>
      </w:trPr>
      <w:tc>
        <w:tcPr>
          <w:tcW w:w="510" w:type="dxa"/>
          <w:tcBorders>
            <w:top w:val="single" w:sz="4" w:space="0" w:color="auto"/>
          </w:tcBorders>
        </w:tcPr>
        <w:p w:rsidR="00080160" w:rsidRDefault="00080160">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E76B1">
            <w:rPr>
              <w:rStyle w:val="PageNumber"/>
              <w:noProof/>
            </w:rPr>
            <w:t>xvi</w:t>
          </w:r>
          <w:r>
            <w:rPr>
              <w:rStyle w:val="PageNumber"/>
            </w:rPr>
            <w:fldChar w:fldCharType="end"/>
          </w:r>
        </w:p>
      </w:tc>
      <w:tc>
        <w:tcPr>
          <w:tcW w:w="1830" w:type="dxa"/>
          <w:tcBorders>
            <w:top w:val="single" w:sz="6" w:space="0" w:color="auto"/>
          </w:tcBorders>
        </w:tcPr>
        <w:p w:rsidR="00080160" w:rsidRDefault="00377003">
          <w:pPr>
            <w:pStyle w:val="Footer"/>
          </w:pPr>
          <w:r>
            <w:fldChar w:fldCharType="begin"/>
          </w:r>
          <w:r>
            <w:instrText xml:space="preserve"> STYLEREF "Heading 1" \* MERGEFORMAT </w:instrText>
          </w:r>
          <w:r>
            <w:fldChar w:fldCharType="separate"/>
          </w:r>
          <w:r w:rsidR="008E76B1">
            <w:rPr>
              <w:noProof/>
            </w:rPr>
            <w:t>Acknowledgments</w:t>
          </w:r>
          <w:r>
            <w:rPr>
              <w:noProof/>
            </w:rPr>
            <w:fldChar w:fldCharType="end"/>
          </w:r>
        </w:p>
      </w:tc>
      <w:tc>
        <w:tcPr>
          <w:tcW w:w="6448" w:type="dxa"/>
        </w:tcPr>
        <w:p w:rsidR="00080160" w:rsidRDefault="00080160">
          <w:pPr>
            <w:pStyle w:val="Footer"/>
          </w:pPr>
        </w:p>
      </w:tc>
    </w:tr>
  </w:tbl>
  <w:p w:rsidR="00080160" w:rsidRDefault="00080160">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080160">
      <w:trPr>
        <w:trHeight w:hRule="exact" w:val="740"/>
      </w:trPr>
      <w:tc>
        <w:tcPr>
          <w:tcW w:w="6480" w:type="dxa"/>
        </w:tcPr>
        <w:p w:rsidR="00080160" w:rsidRDefault="00080160">
          <w:pPr>
            <w:pStyle w:val="Footer"/>
          </w:pPr>
        </w:p>
      </w:tc>
      <w:tc>
        <w:tcPr>
          <w:tcW w:w="1798" w:type="dxa"/>
          <w:tcBorders>
            <w:top w:val="single" w:sz="6" w:space="0" w:color="auto"/>
          </w:tcBorders>
        </w:tcPr>
        <w:p w:rsidR="00080160" w:rsidRDefault="00377003">
          <w:pPr>
            <w:pStyle w:val="Footer"/>
            <w:rPr>
              <w:rStyle w:val="PageNumber"/>
              <w:b w:val="0"/>
            </w:rPr>
          </w:pPr>
          <w:r>
            <w:fldChar w:fldCharType="begin"/>
          </w:r>
          <w:r>
            <w:instrText xml:space="preserve"> STYLEREF "Heading 1" \* MERGEFORMAT </w:instrText>
          </w:r>
          <w:r>
            <w:fldChar w:fldCharType="separate"/>
          </w:r>
          <w:r>
            <w:rPr>
              <w:noProof/>
            </w:rPr>
            <w:t>Acknowledgments</w:t>
          </w:r>
          <w:r>
            <w:rPr>
              <w:noProof/>
            </w:rPr>
            <w:fldChar w:fldCharType="end"/>
          </w:r>
        </w:p>
      </w:tc>
      <w:tc>
        <w:tcPr>
          <w:tcW w:w="510" w:type="dxa"/>
          <w:tcBorders>
            <w:top w:val="single" w:sz="6" w:space="0" w:color="auto"/>
          </w:tcBorders>
        </w:tcPr>
        <w:p w:rsidR="00080160" w:rsidRPr="00A10FFE" w:rsidRDefault="00080160" w:rsidP="00565F33">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sidR="00377003">
            <w:rPr>
              <w:rStyle w:val="PageNumber"/>
              <w:smallCaps w:val="0"/>
              <w:noProof/>
            </w:rPr>
            <w:t>vii</w:t>
          </w:r>
          <w:r w:rsidRPr="00A10FFE">
            <w:rPr>
              <w:rStyle w:val="PageNumber"/>
              <w:smallCaps w:val="0"/>
            </w:rPr>
            <w:fldChar w:fldCharType="end"/>
          </w:r>
        </w:p>
      </w:tc>
    </w:tr>
  </w:tbl>
  <w:p w:rsidR="00080160" w:rsidRDefault="00080160">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080160" w:rsidTr="008F7DB7">
      <w:trPr>
        <w:trHeight w:hRule="exact" w:val="740"/>
      </w:trPr>
      <w:tc>
        <w:tcPr>
          <w:tcW w:w="510" w:type="dxa"/>
          <w:tcBorders>
            <w:top w:val="single" w:sz="6" w:space="0" w:color="auto"/>
          </w:tcBorders>
        </w:tcPr>
        <w:p w:rsidR="00080160" w:rsidRPr="00C55A45" w:rsidRDefault="00080160">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02EF6">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080160" w:rsidRDefault="00080160">
          <w:pPr>
            <w:pStyle w:val="Footer"/>
            <w:rPr>
              <w:noProof/>
            </w:rPr>
          </w:pPr>
          <w:r>
            <w:rPr>
              <w:noProof/>
            </w:rPr>
            <w:fldChar w:fldCharType="begin"/>
          </w:r>
          <w:r>
            <w:rPr>
              <w:noProof/>
            </w:rPr>
            <w:instrText xml:space="preserve"> STYLEREF "Heading 1" \* MERGEFORMAT </w:instrText>
          </w:r>
          <w:r>
            <w:rPr>
              <w:noProof/>
            </w:rPr>
            <w:fldChar w:fldCharType="separate"/>
          </w:r>
          <w:r w:rsidR="00A02EF6">
            <w:rPr>
              <w:noProof/>
            </w:rPr>
            <w:t>Abbreviations and explanations</w:t>
          </w:r>
          <w:r>
            <w:rPr>
              <w:noProof/>
            </w:rPr>
            <w:fldChar w:fldCharType="end"/>
          </w:r>
        </w:p>
      </w:tc>
      <w:tc>
        <w:tcPr>
          <w:tcW w:w="6634" w:type="dxa"/>
        </w:tcPr>
        <w:p w:rsidR="00080160" w:rsidRDefault="00080160">
          <w:pPr>
            <w:pStyle w:val="Footer"/>
            <w:rPr>
              <w:caps w:val="0"/>
            </w:rPr>
          </w:pPr>
        </w:p>
      </w:tc>
    </w:tr>
  </w:tbl>
  <w:p w:rsidR="00080160" w:rsidRDefault="00080160">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080160">
      <w:trPr>
        <w:trHeight w:hRule="exact" w:val="740"/>
      </w:trPr>
      <w:tc>
        <w:tcPr>
          <w:tcW w:w="6663" w:type="dxa"/>
        </w:tcPr>
        <w:p w:rsidR="00080160" w:rsidRDefault="00080160">
          <w:pPr>
            <w:pStyle w:val="Footer"/>
          </w:pPr>
        </w:p>
      </w:tc>
      <w:tc>
        <w:tcPr>
          <w:tcW w:w="1615" w:type="dxa"/>
          <w:tcBorders>
            <w:top w:val="single" w:sz="6" w:space="0" w:color="auto"/>
          </w:tcBorders>
        </w:tcPr>
        <w:p w:rsidR="00080160" w:rsidRDefault="00377003">
          <w:pPr>
            <w:pStyle w:val="Footer"/>
            <w:rPr>
              <w:rStyle w:val="PageNumber"/>
              <w:b w:val="0"/>
            </w:rPr>
          </w:pPr>
          <w:r>
            <w:fldChar w:fldCharType="begin"/>
          </w:r>
          <w:r>
            <w:instrText xml:space="preserve"> STYLEREF "Heading 1" \* MERGEFORMAT </w:instrText>
          </w:r>
          <w:r>
            <w:fldChar w:fldCharType="separate"/>
          </w:r>
          <w:r w:rsidR="00A02EF6">
            <w:rPr>
              <w:noProof/>
            </w:rPr>
            <w:t>Abbreviations and explanations</w:t>
          </w:r>
          <w:r>
            <w:rPr>
              <w:noProof/>
            </w:rPr>
            <w:fldChar w:fldCharType="end"/>
          </w:r>
        </w:p>
      </w:tc>
      <w:tc>
        <w:tcPr>
          <w:tcW w:w="510" w:type="dxa"/>
          <w:tcBorders>
            <w:top w:val="single" w:sz="6" w:space="0" w:color="auto"/>
          </w:tcBorders>
        </w:tcPr>
        <w:p w:rsidR="00080160" w:rsidRPr="00E15FDC" w:rsidRDefault="00080160">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A02EF6">
            <w:rPr>
              <w:rStyle w:val="PageNumber"/>
              <w:caps w:val="0"/>
              <w:noProof/>
            </w:rPr>
            <w:t>ix</w:t>
          </w:r>
          <w:r w:rsidRPr="00E15FDC">
            <w:rPr>
              <w:rStyle w:val="PageNumber"/>
              <w:caps w:val="0"/>
              <w:noProof/>
            </w:rPr>
            <w:fldChar w:fldCharType="end"/>
          </w:r>
        </w:p>
      </w:tc>
    </w:tr>
  </w:tbl>
  <w:p w:rsidR="00080160" w:rsidRDefault="00080160"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DBD" w:rsidRDefault="004F1DBD">
      <w:r>
        <w:separator/>
      </w:r>
    </w:p>
    <w:p w:rsidR="004F1DBD" w:rsidRDefault="004F1DBD"/>
    <w:p w:rsidR="004F1DBD" w:rsidRDefault="004F1DBD"/>
  </w:footnote>
  <w:footnote w:type="continuationSeparator" w:id="0">
    <w:p w:rsidR="004F1DBD" w:rsidRDefault="004F1DBD">
      <w:r>
        <w:continuationSeparator/>
      </w:r>
    </w:p>
    <w:p w:rsidR="004F1DBD" w:rsidRDefault="004F1DBD"/>
    <w:p w:rsidR="004F1DBD" w:rsidRDefault="004F1D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057B7">
      <w:tc>
        <w:tcPr>
          <w:tcW w:w="2155" w:type="dxa"/>
          <w:tcBorders>
            <w:top w:val="single" w:sz="24" w:space="0" w:color="auto"/>
          </w:tcBorders>
        </w:tcPr>
        <w:p w:rsidR="009057B7" w:rsidRDefault="009057B7">
          <w:pPr>
            <w:pStyle w:val="HeaderEven"/>
          </w:pPr>
        </w:p>
      </w:tc>
      <w:tc>
        <w:tcPr>
          <w:tcW w:w="6634" w:type="dxa"/>
          <w:tcBorders>
            <w:top w:val="single" w:sz="6" w:space="0" w:color="auto"/>
          </w:tcBorders>
        </w:tcPr>
        <w:p w:rsidR="009057B7" w:rsidRDefault="009057B7">
          <w:pPr>
            <w:pStyle w:val="HeaderEven"/>
          </w:pPr>
        </w:p>
      </w:tc>
    </w:tr>
  </w:tbl>
  <w:p w:rsidR="009057B7" w:rsidRDefault="009057B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057B7">
      <w:tc>
        <w:tcPr>
          <w:tcW w:w="6634" w:type="dxa"/>
          <w:tcBorders>
            <w:top w:val="single" w:sz="6" w:space="0" w:color="auto"/>
          </w:tcBorders>
        </w:tcPr>
        <w:p w:rsidR="009057B7" w:rsidRDefault="009057B7">
          <w:pPr>
            <w:pStyle w:val="HeaderOdd"/>
          </w:pPr>
        </w:p>
      </w:tc>
      <w:tc>
        <w:tcPr>
          <w:tcW w:w="2155" w:type="dxa"/>
          <w:tcBorders>
            <w:top w:val="single" w:sz="24" w:space="0" w:color="auto"/>
          </w:tcBorders>
        </w:tcPr>
        <w:p w:rsidR="009057B7" w:rsidRDefault="009057B7">
          <w:pPr>
            <w:pStyle w:val="HeaderOdd"/>
          </w:pPr>
        </w:p>
      </w:tc>
    </w:tr>
  </w:tbl>
  <w:p w:rsidR="009057B7" w:rsidRDefault="009057B7">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80160">
      <w:tc>
        <w:tcPr>
          <w:tcW w:w="2155" w:type="dxa"/>
          <w:tcBorders>
            <w:top w:val="single" w:sz="24" w:space="0" w:color="auto"/>
          </w:tcBorders>
        </w:tcPr>
        <w:p w:rsidR="00080160" w:rsidRDefault="00080160">
          <w:pPr>
            <w:pStyle w:val="Header"/>
          </w:pPr>
        </w:p>
      </w:tc>
      <w:tc>
        <w:tcPr>
          <w:tcW w:w="6634" w:type="dxa"/>
          <w:tcBorders>
            <w:top w:val="single" w:sz="6" w:space="0" w:color="auto"/>
          </w:tcBorders>
        </w:tcPr>
        <w:p w:rsidR="00080160" w:rsidRDefault="00080160">
          <w:pPr>
            <w:pStyle w:val="Header"/>
          </w:pPr>
        </w:p>
      </w:tc>
    </w:tr>
  </w:tbl>
  <w:p w:rsidR="00080160" w:rsidRDefault="00080160">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0160" w:rsidTr="005C68FE">
      <w:tc>
        <w:tcPr>
          <w:tcW w:w="6634" w:type="dxa"/>
          <w:tcBorders>
            <w:top w:val="single" w:sz="6" w:space="0" w:color="auto"/>
          </w:tcBorders>
        </w:tcPr>
        <w:p w:rsidR="00080160" w:rsidRDefault="00080160" w:rsidP="005C68FE">
          <w:pPr>
            <w:pStyle w:val="HeaderOdd"/>
          </w:pPr>
        </w:p>
      </w:tc>
      <w:tc>
        <w:tcPr>
          <w:tcW w:w="2155" w:type="dxa"/>
          <w:tcBorders>
            <w:top w:val="single" w:sz="24" w:space="0" w:color="auto"/>
          </w:tcBorders>
        </w:tcPr>
        <w:p w:rsidR="00080160" w:rsidRDefault="00080160" w:rsidP="005C68FE">
          <w:pPr>
            <w:pStyle w:val="HeaderOdd"/>
          </w:pPr>
        </w:p>
      </w:tc>
    </w:tr>
  </w:tbl>
  <w:p w:rsidR="00080160" w:rsidRPr="005C68FE" w:rsidRDefault="00080160"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0160">
      <w:tc>
        <w:tcPr>
          <w:tcW w:w="2155" w:type="dxa"/>
          <w:tcBorders>
            <w:top w:val="single" w:sz="24" w:space="0" w:color="auto"/>
          </w:tcBorders>
        </w:tcPr>
        <w:p w:rsidR="00080160" w:rsidRDefault="00080160">
          <w:pPr>
            <w:pStyle w:val="HeaderEven"/>
          </w:pPr>
        </w:p>
      </w:tc>
      <w:tc>
        <w:tcPr>
          <w:tcW w:w="6634" w:type="dxa"/>
          <w:tcBorders>
            <w:top w:val="single" w:sz="6" w:space="0" w:color="auto"/>
          </w:tcBorders>
        </w:tcPr>
        <w:p w:rsidR="00080160" w:rsidRDefault="00080160">
          <w:pPr>
            <w:pStyle w:val="HeaderEven"/>
          </w:pPr>
        </w:p>
      </w:tc>
    </w:tr>
  </w:tbl>
  <w:p w:rsidR="00080160" w:rsidRDefault="00080160">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0160">
      <w:tc>
        <w:tcPr>
          <w:tcW w:w="6634" w:type="dxa"/>
          <w:tcBorders>
            <w:top w:val="single" w:sz="6" w:space="0" w:color="auto"/>
          </w:tcBorders>
        </w:tcPr>
        <w:p w:rsidR="00080160" w:rsidRDefault="00080160">
          <w:pPr>
            <w:pStyle w:val="HeaderOdd"/>
          </w:pPr>
        </w:p>
      </w:tc>
      <w:tc>
        <w:tcPr>
          <w:tcW w:w="2155" w:type="dxa"/>
          <w:tcBorders>
            <w:top w:val="single" w:sz="24" w:space="0" w:color="auto"/>
            <w:bottom w:val="nil"/>
          </w:tcBorders>
        </w:tcPr>
        <w:p w:rsidR="00080160" w:rsidRDefault="00080160">
          <w:pPr>
            <w:pStyle w:val="HeaderOdd"/>
          </w:pPr>
        </w:p>
      </w:tc>
    </w:tr>
  </w:tbl>
  <w:p w:rsidR="00080160" w:rsidRDefault="00080160">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0160" w:rsidTr="005C68FE">
      <w:tc>
        <w:tcPr>
          <w:tcW w:w="2155" w:type="dxa"/>
          <w:tcBorders>
            <w:top w:val="single" w:sz="24" w:space="0" w:color="auto"/>
          </w:tcBorders>
        </w:tcPr>
        <w:p w:rsidR="00080160" w:rsidRDefault="00080160" w:rsidP="005C68FE">
          <w:pPr>
            <w:pStyle w:val="HeaderEven"/>
          </w:pPr>
        </w:p>
      </w:tc>
      <w:tc>
        <w:tcPr>
          <w:tcW w:w="6634" w:type="dxa"/>
          <w:tcBorders>
            <w:top w:val="single" w:sz="6" w:space="0" w:color="auto"/>
          </w:tcBorders>
        </w:tcPr>
        <w:p w:rsidR="00080160" w:rsidRDefault="00080160" w:rsidP="005C68FE">
          <w:pPr>
            <w:pStyle w:val="HeaderEven"/>
          </w:pPr>
        </w:p>
      </w:tc>
    </w:tr>
  </w:tbl>
  <w:p w:rsidR="00080160" w:rsidRDefault="00080160"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0160">
      <w:tc>
        <w:tcPr>
          <w:tcW w:w="6634" w:type="dxa"/>
          <w:tcBorders>
            <w:top w:val="single" w:sz="6" w:space="0" w:color="auto"/>
          </w:tcBorders>
        </w:tcPr>
        <w:p w:rsidR="00080160" w:rsidRDefault="00080160">
          <w:pPr>
            <w:pStyle w:val="HeaderOdd"/>
          </w:pPr>
        </w:p>
      </w:tc>
      <w:tc>
        <w:tcPr>
          <w:tcW w:w="2155" w:type="dxa"/>
          <w:tcBorders>
            <w:top w:val="single" w:sz="24" w:space="0" w:color="auto"/>
          </w:tcBorders>
        </w:tcPr>
        <w:p w:rsidR="00080160" w:rsidRDefault="00080160">
          <w:pPr>
            <w:pStyle w:val="HeaderOdd"/>
          </w:pPr>
        </w:p>
      </w:tc>
    </w:tr>
  </w:tbl>
  <w:p w:rsidR="00080160" w:rsidRDefault="00080160"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hideSpellingError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FDC"/>
    <w:rsid w:val="000031EB"/>
    <w:rsid w:val="00006AE9"/>
    <w:rsid w:val="00017AFC"/>
    <w:rsid w:val="000209BF"/>
    <w:rsid w:val="00025878"/>
    <w:rsid w:val="00026B38"/>
    <w:rsid w:val="00036774"/>
    <w:rsid w:val="000502D3"/>
    <w:rsid w:val="000623BF"/>
    <w:rsid w:val="00076E16"/>
    <w:rsid w:val="0007768C"/>
    <w:rsid w:val="00080160"/>
    <w:rsid w:val="00080C9D"/>
    <w:rsid w:val="0008382D"/>
    <w:rsid w:val="00095EEA"/>
    <w:rsid w:val="00097C15"/>
    <w:rsid w:val="000A42F5"/>
    <w:rsid w:val="000B214B"/>
    <w:rsid w:val="000B35FF"/>
    <w:rsid w:val="000B416E"/>
    <w:rsid w:val="000D2567"/>
    <w:rsid w:val="000D536D"/>
    <w:rsid w:val="000F185F"/>
    <w:rsid w:val="000F2F5F"/>
    <w:rsid w:val="00106041"/>
    <w:rsid w:val="001108AD"/>
    <w:rsid w:val="001256B4"/>
    <w:rsid w:val="00127E49"/>
    <w:rsid w:val="0013399B"/>
    <w:rsid w:val="001439B5"/>
    <w:rsid w:val="00146FDC"/>
    <w:rsid w:val="001719D3"/>
    <w:rsid w:val="00181F4B"/>
    <w:rsid w:val="00196FB3"/>
    <w:rsid w:val="001A5071"/>
    <w:rsid w:val="001B36BF"/>
    <w:rsid w:val="001B4E73"/>
    <w:rsid w:val="001B7F1E"/>
    <w:rsid w:val="001C0326"/>
    <w:rsid w:val="001D4B1F"/>
    <w:rsid w:val="001D6629"/>
    <w:rsid w:val="001F2270"/>
    <w:rsid w:val="00205A82"/>
    <w:rsid w:val="00211BEE"/>
    <w:rsid w:val="00217423"/>
    <w:rsid w:val="002179C6"/>
    <w:rsid w:val="0022051B"/>
    <w:rsid w:val="002227FC"/>
    <w:rsid w:val="00261607"/>
    <w:rsid w:val="00263DD1"/>
    <w:rsid w:val="00264D3B"/>
    <w:rsid w:val="00265685"/>
    <w:rsid w:val="00281D5F"/>
    <w:rsid w:val="002923AD"/>
    <w:rsid w:val="00296592"/>
    <w:rsid w:val="002A0A4B"/>
    <w:rsid w:val="002A31A4"/>
    <w:rsid w:val="002B636E"/>
    <w:rsid w:val="002B64D6"/>
    <w:rsid w:val="002C12F5"/>
    <w:rsid w:val="002C5396"/>
    <w:rsid w:val="002D6FCE"/>
    <w:rsid w:val="002F1BD3"/>
    <w:rsid w:val="002F3964"/>
    <w:rsid w:val="003027AE"/>
    <w:rsid w:val="00337E24"/>
    <w:rsid w:val="00340D1A"/>
    <w:rsid w:val="00354C73"/>
    <w:rsid w:val="003717DB"/>
    <w:rsid w:val="00377003"/>
    <w:rsid w:val="0039434B"/>
    <w:rsid w:val="003B41E0"/>
    <w:rsid w:val="003D546C"/>
    <w:rsid w:val="003D624D"/>
    <w:rsid w:val="003E3380"/>
    <w:rsid w:val="003E665C"/>
    <w:rsid w:val="003E7802"/>
    <w:rsid w:val="0040068A"/>
    <w:rsid w:val="00400B4B"/>
    <w:rsid w:val="00413303"/>
    <w:rsid w:val="00427B58"/>
    <w:rsid w:val="00433C81"/>
    <w:rsid w:val="00446D6B"/>
    <w:rsid w:val="00457B3F"/>
    <w:rsid w:val="00463022"/>
    <w:rsid w:val="0047151F"/>
    <w:rsid w:val="00481CF0"/>
    <w:rsid w:val="0048563D"/>
    <w:rsid w:val="00487363"/>
    <w:rsid w:val="004B492A"/>
    <w:rsid w:val="004C0B0C"/>
    <w:rsid w:val="004E1A93"/>
    <w:rsid w:val="004E52E2"/>
    <w:rsid w:val="004E6BB4"/>
    <w:rsid w:val="004F1DBD"/>
    <w:rsid w:val="005001CA"/>
    <w:rsid w:val="005019E9"/>
    <w:rsid w:val="00515D43"/>
    <w:rsid w:val="0052544D"/>
    <w:rsid w:val="00530F87"/>
    <w:rsid w:val="00551FB8"/>
    <w:rsid w:val="005537F6"/>
    <w:rsid w:val="00560F43"/>
    <w:rsid w:val="00564254"/>
    <w:rsid w:val="005654D0"/>
    <w:rsid w:val="00565F33"/>
    <w:rsid w:val="00576BB8"/>
    <w:rsid w:val="00597A78"/>
    <w:rsid w:val="005A62AC"/>
    <w:rsid w:val="005A65C4"/>
    <w:rsid w:val="005B17AB"/>
    <w:rsid w:val="005B36FB"/>
    <w:rsid w:val="005C68FE"/>
    <w:rsid w:val="005E0D3A"/>
    <w:rsid w:val="005F7D3C"/>
    <w:rsid w:val="00602523"/>
    <w:rsid w:val="00604351"/>
    <w:rsid w:val="006052A9"/>
    <w:rsid w:val="00607D8A"/>
    <w:rsid w:val="006131DF"/>
    <w:rsid w:val="0061590F"/>
    <w:rsid w:val="00633D1D"/>
    <w:rsid w:val="00636497"/>
    <w:rsid w:val="00641AE2"/>
    <w:rsid w:val="0064456A"/>
    <w:rsid w:val="00646F00"/>
    <w:rsid w:val="00650DDA"/>
    <w:rsid w:val="0065126A"/>
    <w:rsid w:val="00666931"/>
    <w:rsid w:val="006713DF"/>
    <w:rsid w:val="006802D4"/>
    <w:rsid w:val="00683849"/>
    <w:rsid w:val="006844CE"/>
    <w:rsid w:val="006872EC"/>
    <w:rsid w:val="00691AB5"/>
    <w:rsid w:val="006974F1"/>
    <w:rsid w:val="006B35AB"/>
    <w:rsid w:val="006C16AE"/>
    <w:rsid w:val="006D4D07"/>
    <w:rsid w:val="006E1E6B"/>
    <w:rsid w:val="006E73CF"/>
    <w:rsid w:val="006F0EAC"/>
    <w:rsid w:val="006F47FE"/>
    <w:rsid w:val="006F6A85"/>
    <w:rsid w:val="0070328D"/>
    <w:rsid w:val="00705E32"/>
    <w:rsid w:val="00722815"/>
    <w:rsid w:val="00731F96"/>
    <w:rsid w:val="00734127"/>
    <w:rsid w:val="00735FEA"/>
    <w:rsid w:val="00743460"/>
    <w:rsid w:val="00743A27"/>
    <w:rsid w:val="00753DC6"/>
    <w:rsid w:val="0075578C"/>
    <w:rsid w:val="00766DFB"/>
    <w:rsid w:val="007734B5"/>
    <w:rsid w:val="00773AF7"/>
    <w:rsid w:val="007809B8"/>
    <w:rsid w:val="00783366"/>
    <w:rsid w:val="007A5B63"/>
    <w:rsid w:val="007B04E5"/>
    <w:rsid w:val="007B7858"/>
    <w:rsid w:val="007C1B2D"/>
    <w:rsid w:val="007D1483"/>
    <w:rsid w:val="007F3D4A"/>
    <w:rsid w:val="00806E54"/>
    <w:rsid w:val="008201EE"/>
    <w:rsid w:val="008206EE"/>
    <w:rsid w:val="008214B1"/>
    <w:rsid w:val="00826478"/>
    <w:rsid w:val="008331B2"/>
    <w:rsid w:val="00836ED7"/>
    <w:rsid w:val="008453AC"/>
    <w:rsid w:val="0085199A"/>
    <w:rsid w:val="008531CE"/>
    <w:rsid w:val="00860D09"/>
    <w:rsid w:val="00862044"/>
    <w:rsid w:val="00894EE9"/>
    <w:rsid w:val="008A688E"/>
    <w:rsid w:val="008B6B73"/>
    <w:rsid w:val="008C305F"/>
    <w:rsid w:val="008C3AD2"/>
    <w:rsid w:val="008C7C3D"/>
    <w:rsid w:val="008D2731"/>
    <w:rsid w:val="008D5E26"/>
    <w:rsid w:val="008D6A97"/>
    <w:rsid w:val="008D6F66"/>
    <w:rsid w:val="008E1BEA"/>
    <w:rsid w:val="008E43D2"/>
    <w:rsid w:val="008E76B1"/>
    <w:rsid w:val="008F04C9"/>
    <w:rsid w:val="008F1D8A"/>
    <w:rsid w:val="008F6146"/>
    <w:rsid w:val="008F7C50"/>
    <w:rsid w:val="008F7DB7"/>
    <w:rsid w:val="009057B7"/>
    <w:rsid w:val="009064D3"/>
    <w:rsid w:val="00915300"/>
    <w:rsid w:val="00933B0C"/>
    <w:rsid w:val="00935676"/>
    <w:rsid w:val="0095726E"/>
    <w:rsid w:val="009666D8"/>
    <w:rsid w:val="0098401D"/>
    <w:rsid w:val="009A789F"/>
    <w:rsid w:val="009B12EF"/>
    <w:rsid w:val="009B523D"/>
    <w:rsid w:val="009B6185"/>
    <w:rsid w:val="009E1E78"/>
    <w:rsid w:val="009F4960"/>
    <w:rsid w:val="00A0233D"/>
    <w:rsid w:val="00A02EF6"/>
    <w:rsid w:val="00A1597D"/>
    <w:rsid w:val="00A17636"/>
    <w:rsid w:val="00A23D76"/>
    <w:rsid w:val="00A318B1"/>
    <w:rsid w:val="00A46989"/>
    <w:rsid w:val="00A53EA3"/>
    <w:rsid w:val="00A644A0"/>
    <w:rsid w:val="00A71CE9"/>
    <w:rsid w:val="00A72A19"/>
    <w:rsid w:val="00A75A30"/>
    <w:rsid w:val="00A825BD"/>
    <w:rsid w:val="00A93C2C"/>
    <w:rsid w:val="00A93C82"/>
    <w:rsid w:val="00A96BAA"/>
    <w:rsid w:val="00AB2A48"/>
    <w:rsid w:val="00AB77A4"/>
    <w:rsid w:val="00AC3236"/>
    <w:rsid w:val="00AD4874"/>
    <w:rsid w:val="00AE1F8A"/>
    <w:rsid w:val="00B036B2"/>
    <w:rsid w:val="00B04D19"/>
    <w:rsid w:val="00B078D1"/>
    <w:rsid w:val="00B153C3"/>
    <w:rsid w:val="00B22087"/>
    <w:rsid w:val="00B3743C"/>
    <w:rsid w:val="00B717F4"/>
    <w:rsid w:val="00B722F2"/>
    <w:rsid w:val="00B75839"/>
    <w:rsid w:val="00B95339"/>
    <w:rsid w:val="00BA35D9"/>
    <w:rsid w:val="00BB334E"/>
    <w:rsid w:val="00BB5DCF"/>
    <w:rsid w:val="00BD0AB5"/>
    <w:rsid w:val="00BD2F51"/>
    <w:rsid w:val="00BF59EA"/>
    <w:rsid w:val="00BF79CD"/>
    <w:rsid w:val="00C02DB9"/>
    <w:rsid w:val="00C0721B"/>
    <w:rsid w:val="00C34C8C"/>
    <w:rsid w:val="00C50792"/>
    <w:rsid w:val="00C53A0D"/>
    <w:rsid w:val="00C55A45"/>
    <w:rsid w:val="00C6785F"/>
    <w:rsid w:val="00C72C25"/>
    <w:rsid w:val="00C904D9"/>
    <w:rsid w:val="00C916D6"/>
    <w:rsid w:val="00C91F7E"/>
    <w:rsid w:val="00C94C06"/>
    <w:rsid w:val="00CA48BF"/>
    <w:rsid w:val="00CA5273"/>
    <w:rsid w:val="00CB3ACC"/>
    <w:rsid w:val="00CB4745"/>
    <w:rsid w:val="00CC1114"/>
    <w:rsid w:val="00CD2163"/>
    <w:rsid w:val="00CD4FE7"/>
    <w:rsid w:val="00CD5E6B"/>
    <w:rsid w:val="00CD629B"/>
    <w:rsid w:val="00CE5D96"/>
    <w:rsid w:val="00CE7344"/>
    <w:rsid w:val="00CF26EE"/>
    <w:rsid w:val="00D11080"/>
    <w:rsid w:val="00D310F0"/>
    <w:rsid w:val="00D37AC2"/>
    <w:rsid w:val="00D500A9"/>
    <w:rsid w:val="00D529FD"/>
    <w:rsid w:val="00D62F93"/>
    <w:rsid w:val="00D64121"/>
    <w:rsid w:val="00D73078"/>
    <w:rsid w:val="00D732FE"/>
    <w:rsid w:val="00D772E9"/>
    <w:rsid w:val="00D9686C"/>
    <w:rsid w:val="00DA31AB"/>
    <w:rsid w:val="00DA3281"/>
    <w:rsid w:val="00DA6D3E"/>
    <w:rsid w:val="00DC02E8"/>
    <w:rsid w:val="00DC3090"/>
    <w:rsid w:val="00DC4AC6"/>
    <w:rsid w:val="00DC75C7"/>
    <w:rsid w:val="00DC78D3"/>
    <w:rsid w:val="00DD04C0"/>
    <w:rsid w:val="00DF4592"/>
    <w:rsid w:val="00DF53F4"/>
    <w:rsid w:val="00E15FDC"/>
    <w:rsid w:val="00E17F7A"/>
    <w:rsid w:val="00E2651B"/>
    <w:rsid w:val="00E6632E"/>
    <w:rsid w:val="00E71A33"/>
    <w:rsid w:val="00E74944"/>
    <w:rsid w:val="00E90CF2"/>
    <w:rsid w:val="00ED0F61"/>
    <w:rsid w:val="00EE21C1"/>
    <w:rsid w:val="00EE73E1"/>
    <w:rsid w:val="00F12107"/>
    <w:rsid w:val="00F13165"/>
    <w:rsid w:val="00F4234E"/>
    <w:rsid w:val="00F6432B"/>
    <w:rsid w:val="00F730EA"/>
    <w:rsid w:val="00F7477E"/>
    <w:rsid w:val="00F85393"/>
    <w:rsid w:val="00F955D5"/>
    <w:rsid w:val="00FA4A24"/>
    <w:rsid w:val="00FA4EE2"/>
    <w:rsid w:val="00FC41B4"/>
    <w:rsid w:val="00FC5A6B"/>
    <w:rsid w:val="00FD2A00"/>
    <w:rsid w:val="00FD4728"/>
    <w:rsid w:val="00FF5C3B"/>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146FDC"/>
    <w:rPr>
      <w:caps/>
      <w:spacing w:val="-4"/>
      <w:sz w:val="16"/>
      <w:lang w:eastAsia="en-US"/>
    </w:rPr>
  </w:style>
  <w:style w:type="character" w:customStyle="1" w:styleId="Heading1Char">
    <w:name w:val="Heading 1 Char"/>
    <w:basedOn w:val="DefaultParagraphFont"/>
    <w:link w:val="Heading1"/>
    <w:rsid w:val="00146FDC"/>
    <w:rPr>
      <w:kern w:val="28"/>
      <w:sz w:val="52"/>
      <w:lang w:eastAsia="en-US"/>
    </w:rPr>
  </w:style>
  <w:style w:type="table" w:styleId="TableGrid">
    <w:name w:val="Table Grid"/>
    <w:basedOn w:val="TableNormal"/>
    <w:rsid w:val="00146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080160"/>
    <w:pPr>
      <w:spacing w:before="0" w:line="240" w:lineRule="auto"/>
      <w:ind w:left="0" w:firstLine="0"/>
    </w:pPr>
    <w:rPr>
      <w:b/>
      <w:bCs/>
    </w:rPr>
  </w:style>
  <w:style w:type="character" w:customStyle="1" w:styleId="CommentTextChar">
    <w:name w:val="Comment Text Char"/>
    <w:basedOn w:val="DefaultParagraphFont"/>
    <w:link w:val="CommentText"/>
    <w:semiHidden/>
    <w:rsid w:val="00080160"/>
    <w:rPr>
      <w:lang w:eastAsia="en-US"/>
    </w:rPr>
  </w:style>
  <w:style w:type="character" w:customStyle="1" w:styleId="CommentSubjectChar">
    <w:name w:val="Comment Subject Char"/>
    <w:basedOn w:val="CommentTextChar"/>
    <w:link w:val="CommentSubject"/>
    <w:rsid w:val="00080160"/>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146FDC"/>
    <w:rPr>
      <w:caps/>
      <w:spacing w:val="-4"/>
      <w:sz w:val="16"/>
      <w:lang w:eastAsia="en-US"/>
    </w:rPr>
  </w:style>
  <w:style w:type="character" w:customStyle="1" w:styleId="Heading1Char">
    <w:name w:val="Heading 1 Char"/>
    <w:basedOn w:val="DefaultParagraphFont"/>
    <w:link w:val="Heading1"/>
    <w:rsid w:val="00146FDC"/>
    <w:rPr>
      <w:kern w:val="28"/>
      <w:sz w:val="52"/>
      <w:lang w:eastAsia="en-US"/>
    </w:rPr>
  </w:style>
  <w:style w:type="table" w:styleId="TableGrid">
    <w:name w:val="Table Grid"/>
    <w:basedOn w:val="TableNormal"/>
    <w:rsid w:val="00146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080160"/>
    <w:pPr>
      <w:spacing w:before="0" w:line="240" w:lineRule="auto"/>
      <w:ind w:left="0" w:firstLine="0"/>
    </w:pPr>
    <w:rPr>
      <w:b/>
      <w:bCs/>
    </w:rPr>
  </w:style>
  <w:style w:type="character" w:customStyle="1" w:styleId="CommentTextChar">
    <w:name w:val="Comment Text Char"/>
    <w:basedOn w:val="DefaultParagraphFont"/>
    <w:link w:val="CommentText"/>
    <w:semiHidden/>
    <w:rsid w:val="00080160"/>
    <w:rPr>
      <w:lang w:eastAsia="en-US"/>
    </w:rPr>
  </w:style>
  <w:style w:type="character" w:customStyle="1" w:styleId="CommentSubjectChar">
    <w:name w:val="Comment Subject Char"/>
    <w:basedOn w:val="CommentTextChar"/>
    <w:link w:val="CommentSubject"/>
    <w:rsid w:val="0008016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87349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E5956-6531-4EA5-A272-E9DDCA8C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9</Pages>
  <Words>1101</Words>
  <Characters>6411</Characters>
  <Application>Microsoft Office Word</Application>
  <DocSecurity>0</DocSecurity>
  <Lines>164</Lines>
  <Paragraphs>98</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2013-09-27T01:51:00Z</cp:lastPrinted>
  <dcterms:created xsi:type="dcterms:W3CDTF">2013-10-08T22:57:00Z</dcterms:created>
  <dcterms:modified xsi:type="dcterms:W3CDTF">2013-10-08T22:57:00Z</dcterms:modified>
</cp:coreProperties>
</file>