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638" w:rsidRPr="00F20638" w:rsidRDefault="00FF1E48" w:rsidP="00764C86">
      <w:pPr>
        <w:pStyle w:val="Chapter"/>
        <w:spacing w:before="0"/>
        <w:ind w:left="907" w:hanging="907"/>
      </w:pPr>
      <w:bookmarkStart w:id="0" w:name="_AppendixNotByChapter"/>
      <w:bookmarkStart w:id="1" w:name="ChapterNumber"/>
      <w:bookmarkEnd w:id="0"/>
      <w:r>
        <w:t>A</w:t>
      </w:r>
      <w:bookmarkEnd w:id="1"/>
      <w:r>
        <w:tab/>
      </w:r>
      <w:bookmarkStart w:id="2" w:name="ChapterTitle"/>
      <w:r>
        <w:t>Industry classifications</w:t>
      </w:r>
      <w:bookmarkEnd w:id="2"/>
    </w:p>
    <w:p w:rsidR="00D71941" w:rsidRDefault="00F20638" w:rsidP="00D71941">
      <w:pPr>
        <w:pStyle w:val="BodyText"/>
      </w:pPr>
      <w:r w:rsidRPr="00F20638">
        <w:t xml:space="preserve">This appendix outlines the </w:t>
      </w:r>
      <w:r w:rsidR="006B3544">
        <w:t>various</w:t>
      </w:r>
      <w:r w:rsidRPr="00F20638">
        <w:t xml:space="preserve"> </w:t>
      </w:r>
      <w:r w:rsidR="00C8159C">
        <w:t xml:space="preserve">industry </w:t>
      </w:r>
      <w:r w:rsidRPr="00F20638">
        <w:t xml:space="preserve">classifications used in this </w:t>
      </w:r>
      <w:r w:rsidR="006B3544">
        <w:t>supplement</w:t>
      </w:r>
      <w:r w:rsidR="006B3544" w:rsidRPr="00F20638">
        <w:t xml:space="preserve">’s </w:t>
      </w:r>
      <w:r w:rsidRPr="00F20638">
        <w:t xml:space="preserve">analyses. </w:t>
      </w:r>
      <w:r w:rsidR="006B3544">
        <w:t>First, section A.1</w:t>
      </w:r>
      <w:r w:rsidR="00EB6146">
        <w:t xml:space="preserve"> </w:t>
      </w:r>
      <w:r w:rsidR="006B3544">
        <w:t xml:space="preserve">provides details of the industry breakdowns </w:t>
      </w:r>
      <w:r w:rsidR="00EB6146">
        <w:t>underlying</w:t>
      </w:r>
      <w:r w:rsidR="00A824F2">
        <w:t xml:space="preserve"> chapters 2 to 5</w:t>
      </w:r>
      <w:r w:rsidR="006B3544">
        <w:t xml:space="preserve">, </w:t>
      </w:r>
      <w:r w:rsidR="00A824F2">
        <w:t>and of</w:t>
      </w:r>
      <w:r w:rsidR="006B3544">
        <w:t xml:space="preserve"> the aggregation</w:t>
      </w:r>
      <w:r w:rsidR="00EB6146">
        <w:t>s</w:t>
      </w:r>
      <w:r w:rsidR="006B3544">
        <w:t xml:space="preserve"> of industries into sectors</w:t>
      </w:r>
      <w:r w:rsidR="00A824F2">
        <w:t xml:space="preserve"> </w:t>
      </w:r>
      <w:r w:rsidR="00D15ACA">
        <w:t xml:space="preserve">also </w:t>
      </w:r>
      <w:r w:rsidR="00EB6146">
        <w:t xml:space="preserve">used </w:t>
      </w:r>
      <w:r w:rsidR="00A824F2">
        <w:t>in th</w:t>
      </w:r>
      <w:r w:rsidR="00F51238">
        <w:t>e</w:t>
      </w:r>
      <w:r w:rsidR="00A824F2">
        <w:t>se chapters</w:t>
      </w:r>
      <w:r w:rsidR="006B3544">
        <w:t>.</w:t>
      </w:r>
      <w:r w:rsidRPr="00F20638">
        <w:t xml:space="preserve"> </w:t>
      </w:r>
      <w:r w:rsidR="00A824F2">
        <w:t>Following this,</w:t>
      </w:r>
      <w:r w:rsidR="006B3544">
        <w:t xml:space="preserve"> section A.2</w:t>
      </w:r>
      <w:r w:rsidR="00A824F2">
        <w:t xml:space="preserve"> defines the scope of the data used in </w:t>
      </w:r>
      <w:r w:rsidR="002B3EF4">
        <w:t>the</w:t>
      </w:r>
      <w:r w:rsidR="00A824F2">
        <w:t xml:space="preserve"> case study of the </w:t>
      </w:r>
      <w:r w:rsidR="00E17FD7">
        <w:t xml:space="preserve">natural </w:t>
      </w:r>
      <w:r w:rsidR="00A824F2">
        <w:t>resources sector</w:t>
      </w:r>
      <w:r w:rsidR="002B3EF4">
        <w:t xml:space="preserve"> in chapter 6</w:t>
      </w:r>
      <w:r w:rsidR="00A824F2">
        <w:t xml:space="preserve">, with particular emphasis on the </w:t>
      </w:r>
      <w:r w:rsidR="00F85C10">
        <w:t>correspondence</w:t>
      </w:r>
      <w:r w:rsidR="00A824F2">
        <w:t xml:space="preserve"> between that sector, the industries it comprises, and the commodities that the sector produces</w:t>
      </w:r>
      <w:r w:rsidRPr="00F20638">
        <w:t>.</w:t>
      </w:r>
    </w:p>
    <w:p w:rsidR="00F20638" w:rsidRDefault="00FF1E48" w:rsidP="00F20638">
      <w:pPr>
        <w:pStyle w:val="Heading2"/>
      </w:pPr>
      <w:r>
        <w:t>A.</w:t>
      </w:r>
      <w:r>
        <w:rPr>
          <w:noProof/>
        </w:rPr>
        <w:t>1</w:t>
      </w:r>
      <w:r w:rsidR="00F20638">
        <w:tab/>
      </w:r>
      <w:r w:rsidR="00F20638" w:rsidRPr="00F20638">
        <w:t>Classification of industries</w:t>
      </w:r>
    </w:p>
    <w:p w:rsidR="00F20638" w:rsidRPr="00F20638" w:rsidRDefault="00F20638" w:rsidP="00F20638">
      <w:pPr>
        <w:spacing w:before="240" w:line="320" w:lineRule="atLeast"/>
        <w:jc w:val="both"/>
        <w:rPr>
          <w:szCs w:val="20"/>
        </w:rPr>
      </w:pPr>
      <w:r w:rsidRPr="00F20638">
        <w:rPr>
          <w:szCs w:val="20"/>
        </w:rPr>
        <w:t>ABS data on output, investment and employment are commonly reported at the industry ‘division’ level, which comprises 19 divisions labelled ‘A’ to ‘S’</w:t>
      </w:r>
      <w:r w:rsidR="000E0692">
        <w:rPr>
          <w:szCs w:val="20"/>
        </w:rPr>
        <w:t xml:space="preserve"> (</w:t>
      </w:r>
      <w:r w:rsidRPr="00F20638">
        <w:rPr>
          <w:szCs w:val="20"/>
        </w:rPr>
        <w:t>table A.1</w:t>
      </w:r>
      <w:r w:rsidR="000E0692">
        <w:rPr>
          <w:szCs w:val="20"/>
        </w:rPr>
        <w:t>)</w:t>
      </w:r>
      <w:r w:rsidRPr="00F20638">
        <w:rPr>
          <w:szCs w:val="20"/>
        </w:rPr>
        <w:t>.</w:t>
      </w:r>
    </w:p>
    <w:p w:rsidR="00F20638" w:rsidRPr="00F20638" w:rsidRDefault="00F20638" w:rsidP="00F20638">
      <w:pPr>
        <w:keepNext/>
        <w:keepLines/>
        <w:spacing w:before="360" w:after="80" w:line="280" w:lineRule="exact"/>
        <w:ind w:left="1474" w:hanging="1474"/>
        <w:rPr>
          <w:rFonts w:ascii="Arial" w:hAnsi="Arial"/>
          <w:b/>
          <w:sz w:val="24"/>
        </w:rPr>
      </w:pPr>
      <w:r w:rsidRPr="00F20638">
        <w:rPr>
          <w:rFonts w:ascii="Arial" w:hAnsi="Arial"/>
          <w:sz w:val="24"/>
        </w:rPr>
        <w:t xml:space="preserve">Table </w:t>
      </w:r>
      <w:bookmarkStart w:id="3" w:name="OLE_LINK14"/>
      <w:r w:rsidR="00FF1E48">
        <w:rPr>
          <w:rFonts w:ascii="Arial" w:hAnsi="Arial"/>
          <w:sz w:val="24"/>
        </w:rPr>
        <w:t>A.</w:t>
      </w:r>
      <w:r w:rsidR="00FF1E48">
        <w:rPr>
          <w:rFonts w:ascii="Arial" w:hAnsi="Arial"/>
          <w:noProof/>
          <w:sz w:val="24"/>
        </w:rPr>
        <w:t>1</w:t>
      </w:r>
      <w:bookmarkEnd w:id="3"/>
      <w:r w:rsidRPr="00F20638">
        <w:rPr>
          <w:rFonts w:ascii="Arial" w:hAnsi="Arial"/>
          <w:b/>
          <w:sz w:val="24"/>
        </w:rPr>
        <w:tab/>
        <w:t>List of industries, ANZSIC division level</w:t>
      </w:r>
    </w:p>
    <w:tbl>
      <w:tblPr>
        <w:tblW w:w="5000" w:type="pct"/>
        <w:tblCellMar>
          <w:left w:w="0" w:type="dxa"/>
          <w:right w:w="0" w:type="dxa"/>
        </w:tblCellMar>
        <w:tblLook w:val="0000" w:firstRow="0" w:lastRow="0" w:firstColumn="0" w:lastColumn="0" w:noHBand="0" w:noVBand="0"/>
      </w:tblPr>
      <w:tblGrid>
        <w:gridCol w:w="3544"/>
        <w:gridCol w:w="5245"/>
      </w:tblGrid>
      <w:tr w:rsidR="00F20638" w:rsidRPr="00F20638" w:rsidTr="00984830">
        <w:tc>
          <w:tcPr>
            <w:tcW w:w="2016" w:type="pct"/>
            <w:tcBorders>
              <w:top w:val="single" w:sz="6" w:space="0" w:color="auto"/>
              <w:bottom w:val="single" w:sz="6" w:space="0" w:color="auto"/>
            </w:tcBorders>
            <w:shd w:val="clear" w:color="auto" w:fill="auto"/>
          </w:tcPr>
          <w:p w:rsidR="00F20638" w:rsidRPr="00F20638" w:rsidRDefault="00F20638" w:rsidP="00F20638">
            <w:pPr>
              <w:keepNext/>
              <w:keepLines/>
              <w:spacing w:before="80" w:after="80" w:line="220" w:lineRule="atLeast"/>
              <w:ind w:left="6" w:right="113"/>
              <w:rPr>
                <w:rFonts w:ascii="Arial" w:hAnsi="Arial"/>
                <w:i/>
                <w:sz w:val="20"/>
                <w:szCs w:val="20"/>
              </w:rPr>
            </w:pPr>
            <w:r w:rsidRPr="00F20638">
              <w:rPr>
                <w:rFonts w:ascii="Arial" w:hAnsi="Arial"/>
                <w:i/>
                <w:sz w:val="20"/>
                <w:szCs w:val="20"/>
              </w:rPr>
              <w:t xml:space="preserve">ANZSIC </w:t>
            </w:r>
            <w:r w:rsidR="00427451">
              <w:rPr>
                <w:rFonts w:ascii="Arial" w:hAnsi="Arial"/>
                <w:i/>
                <w:sz w:val="20"/>
                <w:szCs w:val="20"/>
              </w:rPr>
              <w:t xml:space="preserve">industry </w:t>
            </w:r>
            <w:r w:rsidRPr="00F20638">
              <w:rPr>
                <w:rFonts w:ascii="Arial" w:hAnsi="Arial"/>
                <w:i/>
                <w:sz w:val="20"/>
                <w:szCs w:val="20"/>
              </w:rPr>
              <w:t>division code</w:t>
            </w:r>
          </w:p>
        </w:tc>
        <w:tc>
          <w:tcPr>
            <w:tcW w:w="2984" w:type="pct"/>
            <w:tcBorders>
              <w:top w:val="single" w:sz="6" w:space="0" w:color="auto"/>
              <w:bottom w:val="single" w:sz="6" w:space="0" w:color="auto"/>
            </w:tcBorders>
            <w:shd w:val="clear" w:color="auto" w:fill="auto"/>
          </w:tcPr>
          <w:p w:rsidR="00F20638" w:rsidRPr="00F20638" w:rsidRDefault="00F20638" w:rsidP="00F20638">
            <w:pPr>
              <w:keepNext/>
              <w:keepLines/>
              <w:spacing w:before="80" w:after="80" w:line="220" w:lineRule="atLeast"/>
              <w:ind w:left="6" w:right="113"/>
              <w:rPr>
                <w:rFonts w:ascii="Arial" w:hAnsi="Arial"/>
                <w:i/>
                <w:sz w:val="20"/>
                <w:szCs w:val="20"/>
              </w:rPr>
            </w:pPr>
            <w:r w:rsidRPr="00F20638">
              <w:rPr>
                <w:rFonts w:ascii="Arial" w:hAnsi="Arial"/>
                <w:i/>
                <w:sz w:val="20"/>
                <w:szCs w:val="20"/>
              </w:rPr>
              <w:t xml:space="preserve">ANZSIC </w:t>
            </w:r>
            <w:r w:rsidR="00427451">
              <w:rPr>
                <w:rFonts w:ascii="Arial" w:hAnsi="Arial"/>
                <w:i/>
                <w:sz w:val="20"/>
                <w:szCs w:val="20"/>
              </w:rPr>
              <w:t xml:space="preserve">industry </w:t>
            </w:r>
            <w:r w:rsidRPr="00F20638">
              <w:rPr>
                <w:rFonts w:ascii="Arial" w:hAnsi="Arial"/>
                <w:i/>
                <w:sz w:val="20"/>
                <w:szCs w:val="20"/>
              </w:rPr>
              <w:t>division title</w:t>
            </w:r>
          </w:p>
        </w:tc>
      </w:tr>
      <w:tr w:rsidR="00F20638" w:rsidRPr="00F20638" w:rsidTr="00984830">
        <w:tc>
          <w:tcPr>
            <w:tcW w:w="2016" w:type="pct"/>
            <w:vAlign w:val="bottom"/>
          </w:tcPr>
          <w:p w:rsidR="00F20638" w:rsidRPr="00F20638" w:rsidRDefault="00F20638" w:rsidP="00984830">
            <w:pPr>
              <w:keepNext/>
              <w:keepLines/>
              <w:spacing w:before="80" w:after="40" w:line="220" w:lineRule="atLeast"/>
              <w:ind w:left="6" w:right="113"/>
              <w:rPr>
                <w:rFonts w:ascii="Arial" w:hAnsi="Arial"/>
                <w:sz w:val="20"/>
                <w:szCs w:val="20"/>
              </w:rPr>
            </w:pPr>
            <w:r w:rsidRPr="00F20638">
              <w:rPr>
                <w:rFonts w:ascii="Arial" w:hAnsi="Arial"/>
                <w:sz w:val="20"/>
                <w:szCs w:val="20"/>
              </w:rPr>
              <w:t>A</w:t>
            </w:r>
          </w:p>
        </w:tc>
        <w:tc>
          <w:tcPr>
            <w:tcW w:w="2984" w:type="pct"/>
            <w:vAlign w:val="bottom"/>
          </w:tcPr>
          <w:p w:rsidR="00F20638" w:rsidRPr="00F20638" w:rsidRDefault="00F20638" w:rsidP="00984830">
            <w:pPr>
              <w:keepNext/>
              <w:keepLines/>
              <w:spacing w:before="80" w:after="40" w:line="220" w:lineRule="atLeast"/>
              <w:ind w:left="6" w:right="113"/>
              <w:rPr>
                <w:rFonts w:ascii="Arial" w:hAnsi="Arial"/>
                <w:sz w:val="20"/>
                <w:szCs w:val="20"/>
              </w:rPr>
            </w:pPr>
            <w:r w:rsidRPr="00F20638">
              <w:rPr>
                <w:rFonts w:ascii="Arial" w:hAnsi="Arial"/>
                <w:sz w:val="20"/>
                <w:szCs w:val="20"/>
              </w:rPr>
              <w:t>Agriculture, forestry and fishing</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B</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Mining</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C</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Manufacturing</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D</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Electricity, gas, water and waste services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E</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Construction</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F</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Wholesale trade</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G</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Retail trade</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H</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Accommodation and food services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I</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Transport, postal and warehousing</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J</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Information media and telecommunications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K</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Financial and insurance services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L</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Rental, hiring and real estate service</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M</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Professional, scientific and technical services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N</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Administrative and support services</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O</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Public administration and safety</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P</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Education and training</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Q</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Health care and social assistance</w:t>
            </w:r>
          </w:p>
        </w:tc>
      </w:tr>
      <w:tr w:rsidR="00F20638" w:rsidRPr="00F20638" w:rsidTr="00984830">
        <w:tc>
          <w:tcPr>
            <w:tcW w:w="2016"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R</w:t>
            </w:r>
          </w:p>
        </w:tc>
        <w:tc>
          <w:tcPr>
            <w:tcW w:w="2984" w:type="pct"/>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Arts and recreation services</w:t>
            </w:r>
          </w:p>
        </w:tc>
      </w:tr>
      <w:tr w:rsidR="00F20638" w:rsidRPr="00F20638" w:rsidTr="00984830">
        <w:tc>
          <w:tcPr>
            <w:tcW w:w="2016" w:type="pct"/>
            <w:tcBorders>
              <w:bottom w:val="single" w:sz="4" w:space="0" w:color="auto"/>
            </w:tcBorders>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S</w:t>
            </w:r>
          </w:p>
        </w:tc>
        <w:tc>
          <w:tcPr>
            <w:tcW w:w="2984" w:type="pct"/>
            <w:tcBorders>
              <w:bottom w:val="single" w:sz="4" w:space="0" w:color="auto"/>
            </w:tcBorders>
            <w:vAlign w:val="bottom"/>
          </w:tcPr>
          <w:p w:rsidR="00F20638" w:rsidRPr="00F20638" w:rsidRDefault="00F20638" w:rsidP="00F20638">
            <w:pPr>
              <w:keepNext/>
              <w:keepLines/>
              <w:spacing w:after="40" w:line="220" w:lineRule="atLeast"/>
              <w:ind w:left="6" w:right="113"/>
              <w:rPr>
                <w:rFonts w:ascii="Arial" w:hAnsi="Arial"/>
                <w:sz w:val="20"/>
                <w:szCs w:val="20"/>
              </w:rPr>
            </w:pPr>
            <w:r w:rsidRPr="00F20638">
              <w:rPr>
                <w:rFonts w:ascii="Arial" w:hAnsi="Arial"/>
                <w:sz w:val="20"/>
                <w:szCs w:val="20"/>
              </w:rPr>
              <w:t>Other services</w:t>
            </w:r>
          </w:p>
        </w:tc>
      </w:tr>
    </w:tbl>
    <w:p w:rsidR="00F20638" w:rsidRPr="00F20638" w:rsidRDefault="00F20638" w:rsidP="00F20638">
      <w:pPr>
        <w:keepLines/>
        <w:spacing w:before="80" w:after="120" w:line="220" w:lineRule="exact"/>
        <w:jc w:val="both"/>
        <w:rPr>
          <w:rFonts w:ascii="Arial" w:hAnsi="Arial"/>
          <w:sz w:val="18"/>
          <w:szCs w:val="20"/>
        </w:rPr>
      </w:pPr>
      <w:r w:rsidRPr="00F20638">
        <w:rPr>
          <w:rFonts w:ascii="Arial" w:hAnsi="Arial"/>
          <w:i/>
          <w:sz w:val="18"/>
          <w:szCs w:val="20"/>
        </w:rPr>
        <w:t>Source</w:t>
      </w:r>
      <w:r w:rsidRPr="00F20638">
        <w:rPr>
          <w:rFonts w:ascii="Arial" w:hAnsi="Arial"/>
          <w:sz w:val="18"/>
          <w:szCs w:val="20"/>
        </w:rPr>
        <w:t>: ABS (</w:t>
      </w:r>
      <w:r w:rsidR="00005626" w:rsidRPr="00005626">
        <w:rPr>
          <w:rFonts w:ascii="Arial" w:hAnsi="Arial"/>
          <w:i/>
          <w:sz w:val="18"/>
          <w:szCs w:val="20"/>
        </w:rPr>
        <w:t>Australian and New Zealand Standard Industrial Classification (ANZSIC)</w:t>
      </w:r>
      <w:r w:rsidR="00005626" w:rsidRPr="00005626">
        <w:rPr>
          <w:rFonts w:ascii="Arial" w:hAnsi="Arial"/>
          <w:sz w:val="18"/>
          <w:szCs w:val="20"/>
        </w:rPr>
        <w:t>, Cat. no. 1292.0)</w:t>
      </w:r>
      <w:r w:rsidRPr="00F20638">
        <w:rPr>
          <w:rFonts w:ascii="Arial" w:hAnsi="Arial"/>
          <w:sz w:val="18"/>
          <w:szCs w:val="20"/>
        </w:rPr>
        <w:t>.</w:t>
      </w:r>
    </w:p>
    <w:p w:rsidR="000D0E0D" w:rsidRDefault="000D0E0D" w:rsidP="000D0E0D">
      <w:pPr>
        <w:spacing w:before="240" w:line="320" w:lineRule="atLeast"/>
        <w:jc w:val="both"/>
        <w:rPr>
          <w:szCs w:val="20"/>
        </w:rPr>
      </w:pPr>
      <w:r>
        <w:rPr>
          <w:szCs w:val="20"/>
        </w:rPr>
        <w:lastRenderedPageBreak/>
        <w:t xml:space="preserve">When analyses in </w:t>
      </w:r>
      <w:r w:rsidR="00462E16">
        <w:rPr>
          <w:szCs w:val="20"/>
        </w:rPr>
        <w:t>chapters 5 and 6</w:t>
      </w:r>
      <w:r>
        <w:rPr>
          <w:szCs w:val="20"/>
        </w:rPr>
        <w:t xml:space="preserve"> </w:t>
      </w:r>
      <w:r w:rsidR="002B3EF4">
        <w:rPr>
          <w:szCs w:val="20"/>
        </w:rPr>
        <w:t>present</w:t>
      </w:r>
      <w:r>
        <w:rPr>
          <w:szCs w:val="20"/>
        </w:rPr>
        <w:t xml:space="preserve"> data</w:t>
      </w:r>
      <w:r w:rsidR="00F85C10">
        <w:rPr>
          <w:szCs w:val="20"/>
        </w:rPr>
        <w:t xml:space="preserve"> by industry</w:t>
      </w:r>
      <w:r>
        <w:rPr>
          <w:szCs w:val="20"/>
        </w:rPr>
        <w:t xml:space="preserve"> from the Household, Income and Labour Dynamics in Australia (HILDA) survey, </w:t>
      </w:r>
      <w:r w:rsidR="00F85C10">
        <w:rPr>
          <w:szCs w:val="20"/>
        </w:rPr>
        <w:t>the</w:t>
      </w:r>
      <w:r>
        <w:rPr>
          <w:szCs w:val="20"/>
        </w:rPr>
        <w:t xml:space="preserve"> industry classification </w:t>
      </w:r>
      <w:r w:rsidR="002B3EF4">
        <w:rPr>
          <w:szCs w:val="20"/>
        </w:rPr>
        <w:t>mirrors</w:t>
      </w:r>
      <w:r>
        <w:rPr>
          <w:szCs w:val="20"/>
        </w:rPr>
        <w:t xml:space="preserve"> the ABS </w:t>
      </w:r>
      <w:r w:rsidR="00462E16">
        <w:rPr>
          <w:szCs w:val="20"/>
        </w:rPr>
        <w:t xml:space="preserve">industry </w:t>
      </w:r>
      <w:r>
        <w:rPr>
          <w:szCs w:val="20"/>
        </w:rPr>
        <w:t>division</w:t>
      </w:r>
      <w:r w:rsidR="00462E16">
        <w:rPr>
          <w:szCs w:val="20"/>
        </w:rPr>
        <w:t>s</w:t>
      </w:r>
      <w:r>
        <w:rPr>
          <w:szCs w:val="20"/>
        </w:rPr>
        <w:t xml:space="preserve"> shown in table A.1.</w:t>
      </w:r>
    </w:p>
    <w:p w:rsidR="00427451" w:rsidRDefault="00F20638" w:rsidP="00F20638">
      <w:pPr>
        <w:spacing w:before="240" w:line="320" w:lineRule="atLeast"/>
        <w:jc w:val="both"/>
        <w:rPr>
          <w:szCs w:val="20"/>
        </w:rPr>
      </w:pPr>
      <w:r w:rsidRPr="00F20638">
        <w:rPr>
          <w:szCs w:val="20"/>
        </w:rPr>
        <w:t>Some data are available at a more detailed level than divisions. For example, ABS labour force data are available at the ANZSIC industry ‘subdivision’ level (</w:t>
      </w:r>
      <w:r w:rsidR="00427451">
        <w:rPr>
          <w:szCs w:val="20"/>
        </w:rPr>
        <w:t xml:space="preserve">table </w:t>
      </w:r>
      <w:proofErr w:type="spellStart"/>
      <w:r w:rsidR="00427451">
        <w:rPr>
          <w:szCs w:val="20"/>
        </w:rPr>
        <w:t>A.3</w:t>
      </w:r>
      <w:proofErr w:type="spellEnd"/>
      <w:r w:rsidR="00131B0C">
        <w:rPr>
          <w:szCs w:val="20"/>
        </w:rPr>
        <w:t xml:space="preserve"> </w:t>
      </w:r>
      <w:r w:rsidR="00427451">
        <w:rPr>
          <w:szCs w:val="20"/>
        </w:rPr>
        <w:t>provides an example</w:t>
      </w:r>
      <w:r w:rsidRPr="00F20638">
        <w:rPr>
          <w:szCs w:val="20"/>
        </w:rPr>
        <w:t>).</w:t>
      </w:r>
    </w:p>
    <w:p w:rsidR="00F20638" w:rsidRPr="00F20638" w:rsidRDefault="00F20638" w:rsidP="00F20638">
      <w:pPr>
        <w:spacing w:before="240" w:line="320" w:lineRule="atLeast"/>
        <w:jc w:val="both"/>
        <w:rPr>
          <w:szCs w:val="20"/>
        </w:rPr>
      </w:pPr>
      <w:r w:rsidRPr="00F20638">
        <w:rPr>
          <w:szCs w:val="20"/>
        </w:rPr>
        <w:t>For some of the ABS national accounts data</w:t>
      </w:r>
      <w:r w:rsidR="00427451">
        <w:rPr>
          <w:szCs w:val="20"/>
        </w:rPr>
        <w:t xml:space="preserve"> used in this supplement</w:t>
      </w:r>
      <w:r w:rsidRPr="00F20638">
        <w:rPr>
          <w:szCs w:val="20"/>
        </w:rPr>
        <w:t>, the ABS disaggregates the division</w:t>
      </w:r>
      <w:r w:rsidR="001D6DD4">
        <w:rPr>
          <w:szCs w:val="20"/>
        </w:rPr>
        <w:noBreakHyphen/>
      </w:r>
      <w:r w:rsidRPr="00F20638">
        <w:rPr>
          <w:szCs w:val="20"/>
        </w:rPr>
        <w:t xml:space="preserve">level data into smaller categories known as </w:t>
      </w:r>
      <w:proofErr w:type="spellStart"/>
      <w:r w:rsidRPr="00F20638">
        <w:rPr>
          <w:szCs w:val="20"/>
        </w:rPr>
        <w:t>TAUs</w:t>
      </w:r>
      <w:proofErr w:type="spellEnd"/>
      <w:r w:rsidRPr="00F20638">
        <w:rPr>
          <w:szCs w:val="20"/>
        </w:rPr>
        <w:t xml:space="preserve"> (Type of Activity Units). The TAU categories </w:t>
      </w:r>
      <w:r w:rsidR="00427451">
        <w:rPr>
          <w:szCs w:val="20"/>
        </w:rPr>
        <w:t>do</w:t>
      </w:r>
      <w:r w:rsidR="00427451" w:rsidRPr="00F20638">
        <w:rPr>
          <w:szCs w:val="20"/>
        </w:rPr>
        <w:t xml:space="preserve"> </w:t>
      </w:r>
      <w:r w:rsidRPr="00F20638">
        <w:rPr>
          <w:szCs w:val="20"/>
        </w:rPr>
        <w:t xml:space="preserve">not </w:t>
      </w:r>
      <w:r w:rsidR="00427451">
        <w:rPr>
          <w:szCs w:val="20"/>
        </w:rPr>
        <w:t xml:space="preserve">overlap </w:t>
      </w:r>
      <w:r w:rsidRPr="00F20638">
        <w:rPr>
          <w:szCs w:val="20"/>
        </w:rPr>
        <w:t>exactly</w:t>
      </w:r>
      <w:r w:rsidR="00427451">
        <w:rPr>
          <w:szCs w:val="20"/>
        </w:rPr>
        <w:t xml:space="preserve"> with</w:t>
      </w:r>
      <w:r w:rsidRPr="00F20638">
        <w:rPr>
          <w:szCs w:val="20"/>
        </w:rPr>
        <w:t xml:space="preserve"> the ANZSIC subdivisions. Some </w:t>
      </w:r>
      <w:proofErr w:type="spellStart"/>
      <w:r w:rsidRPr="00F20638">
        <w:rPr>
          <w:szCs w:val="20"/>
        </w:rPr>
        <w:t>TAUs</w:t>
      </w:r>
      <w:proofErr w:type="spellEnd"/>
      <w:r w:rsidRPr="00F20638">
        <w:rPr>
          <w:szCs w:val="20"/>
        </w:rPr>
        <w:t xml:space="preserve"> represent a single subdivision, while others, due to data limitations, represent a combination of subdivisions (</w:t>
      </w:r>
      <w:r w:rsidRPr="00412472">
        <w:rPr>
          <w:szCs w:val="20"/>
        </w:rPr>
        <w:t>ABS </w:t>
      </w:r>
      <w:r w:rsidR="00005626" w:rsidRPr="00412472">
        <w:rPr>
          <w:szCs w:val="20"/>
        </w:rPr>
        <w:t>2011</w:t>
      </w:r>
      <w:r w:rsidR="00005626">
        <w:rPr>
          <w:szCs w:val="20"/>
        </w:rPr>
        <w:t>a</w:t>
      </w:r>
      <w:r w:rsidRPr="00412472">
        <w:rPr>
          <w:szCs w:val="20"/>
        </w:rPr>
        <w:t xml:space="preserve">, </w:t>
      </w:r>
      <w:r w:rsidR="00005626" w:rsidRPr="00F20638">
        <w:rPr>
          <w:szCs w:val="20"/>
        </w:rPr>
        <w:t>2012</w:t>
      </w:r>
      <w:r w:rsidR="00764C86">
        <w:rPr>
          <w:szCs w:val="20"/>
        </w:rPr>
        <w:t>b</w:t>
      </w:r>
      <w:r w:rsidRPr="00F20638">
        <w:rPr>
          <w:szCs w:val="20"/>
        </w:rPr>
        <w:t>). The TAU classification applies</w:t>
      </w:r>
      <w:r w:rsidR="00C8159C">
        <w:rPr>
          <w:szCs w:val="20"/>
        </w:rPr>
        <w:t xml:space="preserve"> only</w:t>
      </w:r>
      <w:r w:rsidRPr="00F20638">
        <w:rPr>
          <w:szCs w:val="20"/>
        </w:rPr>
        <w:t xml:space="preserve"> to some of the national accounts data reported in chapter</w:t>
      </w:r>
      <w:r w:rsidR="001D6DD4">
        <w:rPr>
          <w:szCs w:val="20"/>
        </w:rPr>
        <w:t> </w:t>
      </w:r>
      <w:r w:rsidRPr="00F20638">
        <w:rPr>
          <w:szCs w:val="20"/>
        </w:rPr>
        <w:t>3</w:t>
      </w:r>
      <w:r w:rsidR="00427451">
        <w:rPr>
          <w:szCs w:val="20"/>
        </w:rPr>
        <w:t xml:space="preserve"> (for example, table 3.2)</w:t>
      </w:r>
      <w:r w:rsidRPr="00F20638">
        <w:rPr>
          <w:szCs w:val="20"/>
        </w:rPr>
        <w:t>.</w:t>
      </w:r>
    </w:p>
    <w:p w:rsidR="00F20638" w:rsidRPr="00F20638" w:rsidRDefault="00F20638" w:rsidP="00F20638">
      <w:pPr>
        <w:keepNext/>
        <w:spacing w:before="560" w:line="320" w:lineRule="exact"/>
        <w:outlineLvl w:val="2"/>
        <w:rPr>
          <w:rFonts w:ascii="Arial" w:hAnsi="Arial"/>
          <w:b/>
        </w:rPr>
      </w:pPr>
      <w:r w:rsidRPr="00F20638">
        <w:rPr>
          <w:rFonts w:ascii="Arial" w:hAnsi="Arial"/>
          <w:b/>
        </w:rPr>
        <w:t>Aggregation of industries into sectors</w:t>
      </w:r>
    </w:p>
    <w:p w:rsidR="00F20638" w:rsidRPr="00F20638" w:rsidRDefault="00F20638" w:rsidP="00F20638">
      <w:pPr>
        <w:spacing w:before="240" w:line="320" w:lineRule="atLeast"/>
        <w:jc w:val="both"/>
        <w:rPr>
          <w:szCs w:val="20"/>
        </w:rPr>
      </w:pPr>
      <w:r w:rsidRPr="00F20638">
        <w:rPr>
          <w:szCs w:val="20"/>
        </w:rPr>
        <w:t xml:space="preserve">In some parts of this </w:t>
      </w:r>
      <w:r w:rsidR="00EB6146">
        <w:rPr>
          <w:szCs w:val="20"/>
        </w:rPr>
        <w:t>supplement</w:t>
      </w:r>
      <w:r w:rsidRPr="00F20638">
        <w:rPr>
          <w:szCs w:val="20"/>
        </w:rPr>
        <w:t>, the industry division</w:t>
      </w:r>
      <w:r w:rsidR="001D6DD4">
        <w:rPr>
          <w:szCs w:val="20"/>
        </w:rPr>
        <w:noBreakHyphen/>
      </w:r>
      <w:r w:rsidRPr="00F20638">
        <w:rPr>
          <w:szCs w:val="20"/>
        </w:rPr>
        <w:t>level data in table A.1 have been aggregated into ‘sectors’</w:t>
      </w:r>
      <w:r w:rsidR="00C8159C">
        <w:rPr>
          <w:szCs w:val="20"/>
        </w:rPr>
        <w:t xml:space="preserve"> (broad industry groupings)</w:t>
      </w:r>
      <w:r w:rsidRPr="00F20638">
        <w:rPr>
          <w:szCs w:val="20"/>
        </w:rPr>
        <w:t>. In some cases, this aggregation has been performed for presentational simplicity and to draw inferences about industries with similar functions. In other cases, it has been necessary to aggregate industry division data to produce statistically reliable estimates</w:t>
      </w:r>
      <w:r w:rsidR="00C8159C">
        <w:rPr>
          <w:szCs w:val="20"/>
        </w:rPr>
        <w:t>, given the small size of the dataset</w:t>
      </w:r>
      <w:r w:rsidRPr="00F20638">
        <w:rPr>
          <w:szCs w:val="20"/>
        </w:rPr>
        <w:t xml:space="preserve"> (</w:t>
      </w:r>
      <w:r w:rsidR="00C8159C">
        <w:rPr>
          <w:szCs w:val="20"/>
        </w:rPr>
        <w:t>for example,</w:t>
      </w:r>
      <w:r w:rsidR="00987096">
        <w:rPr>
          <w:szCs w:val="20"/>
        </w:rPr>
        <w:t xml:space="preserve"> in </w:t>
      </w:r>
      <w:r w:rsidR="000020F2">
        <w:rPr>
          <w:szCs w:val="20"/>
        </w:rPr>
        <w:t>chapter</w:t>
      </w:r>
      <w:r w:rsidR="001D6DD4">
        <w:rPr>
          <w:szCs w:val="20"/>
        </w:rPr>
        <w:t> </w:t>
      </w:r>
      <w:r w:rsidR="000020F2">
        <w:rPr>
          <w:szCs w:val="20"/>
        </w:rPr>
        <w:t xml:space="preserve">5, </w:t>
      </w:r>
      <w:r w:rsidR="00987096">
        <w:rPr>
          <w:szCs w:val="20"/>
        </w:rPr>
        <w:t xml:space="preserve">Electricity, gas, water and waste services </w:t>
      </w:r>
      <w:r w:rsidR="00C44B29">
        <w:rPr>
          <w:szCs w:val="20"/>
        </w:rPr>
        <w:t xml:space="preserve">— </w:t>
      </w:r>
      <w:r w:rsidR="00987096">
        <w:rPr>
          <w:szCs w:val="20"/>
        </w:rPr>
        <w:t>collective</w:t>
      </w:r>
      <w:r w:rsidR="00600B3A">
        <w:rPr>
          <w:szCs w:val="20"/>
        </w:rPr>
        <w:t>ly</w:t>
      </w:r>
      <w:r w:rsidR="00987096">
        <w:rPr>
          <w:szCs w:val="20"/>
        </w:rPr>
        <w:t xml:space="preserve"> termed ‘utilities’</w:t>
      </w:r>
      <w:r w:rsidR="00C44B29">
        <w:rPr>
          <w:szCs w:val="20"/>
        </w:rPr>
        <w:t xml:space="preserve"> —</w:t>
      </w:r>
      <w:r w:rsidR="00C44B29" w:rsidRPr="00F20638">
        <w:rPr>
          <w:szCs w:val="20"/>
        </w:rPr>
        <w:t xml:space="preserve"> </w:t>
      </w:r>
      <w:r w:rsidR="00C44B29">
        <w:rPr>
          <w:szCs w:val="20"/>
        </w:rPr>
        <w:t xml:space="preserve">were </w:t>
      </w:r>
      <w:r w:rsidR="000020F2">
        <w:rPr>
          <w:szCs w:val="20"/>
        </w:rPr>
        <w:t xml:space="preserve">grouped </w:t>
      </w:r>
      <w:r w:rsidR="00987096">
        <w:rPr>
          <w:szCs w:val="20"/>
        </w:rPr>
        <w:t>with C</w:t>
      </w:r>
      <w:r w:rsidRPr="00F20638">
        <w:rPr>
          <w:szCs w:val="20"/>
        </w:rPr>
        <w:t>onstruction)</w:t>
      </w:r>
      <w:r w:rsidR="00E17FD7">
        <w:rPr>
          <w:szCs w:val="20"/>
        </w:rPr>
        <w:t>.</w:t>
      </w:r>
    </w:p>
    <w:p w:rsidR="00F20638" w:rsidRPr="00F20638" w:rsidRDefault="00987096" w:rsidP="00F20638">
      <w:pPr>
        <w:spacing w:before="240" w:line="320" w:lineRule="atLeast"/>
        <w:jc w:val="both"/>
        <w:rPr>
          <w:szCs w:val="20"/>
        </w:rPr>
      </w:pPr>
      <w:r>
        <w:rPr>
          <w:szCs w:val="20"/>
        </w:rPr>
        <w:t>The d</w:t>
      </w:r>
      <w:r w:rsidR="00F20638" w:rsidRPr="00F20638">
        <w:rPr>
          <w:szCs w:val="20"/>
        </w:rPr>
        <w:t xml:space="preserve">ifferent levels of aggregation </w:t>
      </w:r>
      <w:r>
        <w:rPr>
          <w:szCs w:val="20"/>
        </w:rPr>
        <w:t xml:space="preserve">that have been used in this </w:t>
      </w:r>
      <w:r w:rsidR="00EB6146">
        <w:rPr>
          <w:szCs w:val="20"/>
        </w:rPr>
        <w:t>supplement</w:t>
      </w:r>
      <w:r>
        <w:rPr>
          <w:szCs w:val="20"/>
        </w:rPr>
        <w:t xml:space="preserve"> (</w:t>
      </w:r>
      <w:r w:rsidR="00F20638" w:rsidRPr="00F20638">
        <w:rPr>
          <w:szCs w:val="20"/>
        </w:rPr>
        <w:t>based on the 19 ANZSIC indust</w:t>
      </w:r>
      <w:r>
        <w:rPr>
          <w:szCs w:val="20"/>
        </w:rPr>
        <w:t xml:space="preserve">ry divisions) </w:t>
      </w:r>
      <w:r w:rsidR="00F20638" w:rsidRPr="00F20638">
        <w:rPr>
          <w:szCs w:val="20"/>
        </w:rPr>
        <w:t>are outlined in table A.2.</w:t>
      </w:r>
    </w:p>
    <w:p w:rsidR="00F20638" w:rsidRPr="00F20638" w:rsidRDefault="00F20638" w:rsidP="00F20638">
      <w:pPr>
        <w:spacing w:before="240" w:line="320" w:lineRule="atLeast"/>
        <w:jc w:val="both"/>
        <w:rPr>
          <w:szCs w:val="20"/>
        </w:rPr>
      </w:pPr>
      <w:r w:rsidRPr="00F20638">
        <w:rPr>
          <w:szCs w:val="20"/>
        </w:rPr>
        <w:t xml:space="preserve">At the broadest level of aggregation, </w:t>
      </w:r>
      <w:r w:rsidR="002B3EF4">
        <w:rPr>
          <w:szCs w:val="20"/>
        </w:rPr>
        <w:t>analyses in this</w:t>
      </w:r>
      <w:r w:rsidR="002B3EF4" w:rsidRPr="00F20638">
        <w:rPr>
          <w:szCs w:val="20"/>
        </w:rPr>
        <w:t xml:space="preserve"> </w:t>
      </w:r>
      <w:r w:rsidR="00EB6146">
        <w:rPr>
          <w:szCs w:val="20"/>
        </w:rPr>
        <w:t>supplement</w:t>
      </w:r>
      <w:r w:rsidRPr="00F20638">
        <w:rPr>
          <w:szCs w:val="20"/>
        </w:rPr>
        <w:t xml:space="preserve"> look at four core sectors: agriculture</w:t>
      </w:r>
      <w:r w:rsidR="00600B3A">
        <w:rPr>
          <w:szCs w:val="20"/>
        </w:rPr>
        <w:t>;</w:t>
      </w:r>
      <w:r w:rsidR="00600B3A" w:rsidRPr="00F20638">
        <w:rPr>
          <w:szCs w:val="20"/>
        </w:rPr>
        <w:t xml:space="preserve"> </w:t>
      </w:r>
      <w:r w:rsidRPr="00F20638">
        <w:rPr>
          <w:szCs w:val="20"/>
        </w:rPr>
        <w:t>mini</w:t>
      </w:r>
      <w:r w:rsidR="00987096">
        <w:rPr>
          <w:szCs w:val="20"/>
        </w:rPr>
        <w:t>ng</w:t>
      </w:r>
      <w:r w:rsidR="00600B3A">
        <w:rPr>
          <w:szCs w:val="20"/>
        </w:rPr>
        <w:t xml:space="preserve">; </w:t>
      </w:r>
      <w:r w:rsidR="00987096">
        <w:rPr>
          <w:szCs w:val="20"/>
        </w:rPr>
        <w:t>manufacturing</w:t>
      </w:r>
      <w:r w:rsidR="00600B3A">
        <w:rPr>
          <w:szCs w:val="20"/>
        </w:rPr>
        <w:t>;</w:t>
      </w:r>
      <w:r w:rsidR="00987096">
        <w:rPr>
          <w:szCs w:val="20"/>
        </w:rPr>
        <w:t xml:space="preserve"> and services (with the </w:t>
      </w:r>
      <w:r w:rsidR="001A7725">
        <w:rPr>
          <w:szCs w:val="20"/>
        </w:rPr>
        <w:t>latter</w:t>
      </w:r>
      <w:r w:rsidR="00987096">
        <w:rPr>
          <w:szCs w:val="20"/>
        </w:rPr>
        <w:t xml:space="preserve"> comprising</w:t>
      </w:r>
      <w:r w:rsidRPr="00F20638">
        <w:rPr>
          <w:szCs w:val="20"/>
        </w:rPr>
        <w:t xml:space="preserve"> the 16 ANZSIC </w:t>
      </w:r>
      <w:r w:rsidR="00131B0C">
        <w:rPr>
          <w:szCs w:val="20"/>
        </w:rPr>
        <w:t xml:space="preserve">industry </w:t>
      </w:r>
      <w:r w:rsidR="00987096">
        <w:rPr>
          <w:szCs w:val="20"/>
        </w:rPr>
        <w:t>divisions ‘D’ to ‘S’) (</w:t>
      </w:r>
      <w:r w:rsidR="00131B0C">
        <w:rPr>
          <w:szCs w:val="20"/>
        </w:rPr>
        <w:t xml:space="preserve">4-sector classification, </w:t>
      </w:r>
      <w:r w:rsidR="00987096">
        <w:rPr>
          <w:szCs w:val="20"/>
        </w:rPr>
        <w:t>table A.2, column 2). This</w:t>
      </w:r>
      <w:r w:rsidRPr="00F20638">
        <w:rPr>
          <w:szCs w:val="20"/>
        </w:rPr>
        <w:t xml:space="preserve"> </w:t>
      </w:r>
      <w:r w:rsidR="00131B0C">
        <w:rPr>
          <w:szCs w:val="20"/>
        </w:rPr>
        <w:t>aggregation</w:t>
      </w:r>
      <w:r w:rsidRPr="00F20638">
        <w:rPr>
          <w:szCs w:val="20"/>
        </w:rPr>
        <w:t xml:space="preserve"> was </w:t>
      </w:r>
      <w:r w:rsidR="00987096">
        <w:rPr>
          <w:szCs w:val="20"/>
        </w:rPr>
        <w:t>used</w:t>
      </w:r>
      <w:r w:rsidRPr="00F20638">
        <w:rPr>
          <w:szCs w:val="20"/>
        </w:rPr>
        <w:t xml:space="preserve"> in parts of chapters</w:t>
      </w:r>
      <w:r w:rsidR="001D6DD4">
        <w:rPr>
          <w:szCs w:val="20"/>
        </w:rPr>
        <w:t> </w:t>
      </w:r>
      <w:r w:rsidRPr="00F20638">
        <w:rPr>
          <w:szCs w:val="20"/>
        </w:rPr>
        <w:t>3 and 4.</w:t>
      </w:r>
    </w:p>
    <w:p w:rsidR="00F20638" w:rsidRPr="00F20638" w:rsidRDefault="0055261A" w:rsidP="00F20638">
      <w:pPr>
        <w:spacing w:before="240" w:line="320" w:lineRule="atLeast"/>
        <w:jc w:val="both"/>
        <w:rPr>
          <w:szCs w:val="20"/>
        </w:rPr>
      </w:pPr>
      <w:r>
        <w:rPr>
          <w:szCs w:val="20"/>
        </w:rPr>
        <w:t>Two</w:t>
      </w:r>
      <w:r w:rsidR="00CC0E47">
        <w:rPr>
          <w:szCs w:val="20"/>
        </w:rPr>
        <w:t xml:space="preserve"> observations are important. First, the ‘Mining industry’ (division) and the ‘mining sector’ are equivalent (under all levels of aggregation), so that the</w:t>
      </w:r>
      <w:r w:rsidR="002B3EF4">
        <w:rPr>
          <w:szCs w:val="20"/>
        </w:rPr>
        <w:t>se</w:t>
      </w:r>
      <w:r w:rsidR="00CC0E47">
        <w:rPr>
          <w:szCs w:val="20"/>
        </w:rPr>
        <w:t xml:space="preserve"> terms </w:t>
      </w:r>
      <w:r w:rsidR="00D77C7F">
        <w:rPr>
          <w:szCs w:val="20"/>
        </w:rPr>
        <w:t>may</w:t>
      </w:r>
      <w:r w:rsidR="00CC0E47">
        <w:rPr>
          <w:szCs w:val="20"/>
        </w:rPr>
        <w:t xml:space="preserve"> be used interchangeably</w:t>
      </w:r>
      <w:r w:rsidR="002B3EF4">
        <w:rPr>
          <w:szCs w:val="20"/>
        </w:rPr>
        <w:t>, and are both equivalent to the ‘resources sector’</w:t>
      </w:r>
      <w:r w:rsidR="00CC0E47">
        <w:rPr>
          <w:szCs w:val="20"/>
        </w:rPr>
        <w:t xml:space="preserve">. Second, </w:t>
      </w:r>
      <w:r w:rsidR="00F20638" w:rsidRPr="00F20638">
        <w:rPr>
          <w:szCs w:val="20"/>
        </w:rPr>
        <w:t xml:space="preserve">some researchers combine </w:t>
      </w:r>
      <w:r w:rsidR="00CC0E47">
        <w:rPr>
          <w:szCs w:val="20"/>
        </w:rPr>
        <w:t>the A</w:t>
      </w:r>
      <w:r w:rsidR="00CC0E47" w:rsidRPr="00F20638">
        <w:rPr>
          <w:szCs w:val="20"/>
        </w:rPr>
        <w:t xml:space="preserve">griculture </w:t>
      </w:r>
      <w:r w:rsidR="00F20638" w:rsidRPr="00F20638">
        <w:rPr>
          <w:szCs w:val="20"/>
        </w:rPr>
        <w:t xml:space="preserve">and </w:t>
      </w:r>
      <w:r w:rsidR="00CC0E47">
        <w:rPr>
          <w:szCs w:val="20"/>
        </w:rPr>
        <w:t>M</w:t>
      </w:r>
      <w:r w:rsidR="00CC0E47" w:rsidRPr="00F20638">
        <w:rPr>
          <w:szCs w:val="20"/>
        </w:rPr>
        <w:t>ining</w:t>
      </w:r>
      <w:r w:rsidR="00CC0E47">
        <w:rPr>
          <w:szCs w:val="20"/>
        </w:rPr>
        <w:t xml:space="preserve"> industry divisions</w:t>
      </w:r>
      <w:r w:rsidR="00CC0E47" w:rsidRPr="00F20638">
        <w:rPr>
          <w:szCs w:val="20"/>
        </w:rPr>
        <w:t xml:space="preserve"> </w:t>
      </w:r>
      <w:r w:rsidR="00F20638" w:rsidRPr="00F20638">
        <w:rPr>
          <w:szCs w:val="20"/>
        </w:rPr>
        <w:t xml:space="preserve">into a single sector, often </w:t>
      </w:r>
      <w:r w:rsidR="00DE6204">
        <w:rPr>
          <w:szCs w:val="20"/>
        </w:rPr>
        <w:t>termed</w:t>
      </w:r>
      <w:r w:rsidR="00F20638" w:rsidRPr="00F20638">
        <w:rPr>
          <w:szCs w:val="20"/>
        </w:rPr>
        <w:t xml:space="preserve"> ‘primary’. </w:t>
      </w:r>
      <w:r w:rsidR="00CC0E47">
        <w:rPr>
          <w:szCs w:val="20"/>
        </w:rPr>
        <w:t>T</w:t>
      </w:r>
      <w:r w:rsidR="00F20638" w:rsidRPr="00F20638">
        <w:rPr>
          <w:szCs w:val="20"/>
        </w:rPr>
        <w:t xml:space="preserve">his </w:t>
      </w:r>
      <w:r w:rsidR="0087577E">
        <w:rPr>
          <w:szCs w:val="20"/>
        </w:rPr>
        <w:t>approach</w:t>
      </w:r>
      <w:r w:rsidR="00F20638" w:rsidRPr="00F20638">
        <w:rPr>
          <w:szCs w:val="20"/>
        </w:rPr>
        <w:t xml:space="preserve"> </w:t>
      </w:r>
      <w:r w:rsidR="00987096">
        <w:rPr>
          <w:szCs w:val="20"/>
        </w:rPr>
        <w:t>was not</w:t>
      </w:r>
      <w:r w:rsidR="00F20638" w:rsidRPr="00F20638">
        <w:rPr>
          <w:szCs w:val="20"/>
        </w:rPr>
        <w:t xml:space="preserve"> </w:t>
      </w:r>
      <w:r w:rsidR="00987096">
        <w:rPr>
          <w:szCs w:val="20"/>
        </w:rPr>
        <w:t>adopted</w:t>
      </w:r>
      <w:r w:rsidR="00F20638" w:rsidRPr="00F20638">
        <w:rPr>
          <w:szCs w:val="20"/>
        </w:rPr>
        <w:t xml:space="preserve"> in this </w:t>
      </w:r>
      <w:r w:rsidR="00EB6146">
        <w:rPr>
          <w:szCs w:val="20"/>
        </w:rPr>
        <w:t>supplement</w:t>
      </w:r>
      <w:r w:rsidR="00F20638" w:rsidRPr="00F20638">
        <w:rPr>
          <w:szCs w:val="20"/>
        </w:rPr>
        <w:t xml:space="preserve">, </w:t>
      </w:r>
      <w:r w:rsidR="00987096">
        <w:rPr>
          <w:szCs w:val="20"/>
        </w:rPr>
        <w:t>because</w:t>
      </w:r>
      <w:r w:rsidR="00F20638" w:rsidRPr="00F20638">
        <w:rPr>
          <w:szCs w:val="20"/>
        </w:rPr>
        <w:t xml:space="preserve"> the two industries have been subject to different forces of market demand and supply, and undergone demonstrably different patterns of growth, in recent decades. The rapid expansion of </w:t>
      </w:r>
      <w:r w:rsidR="00B40416">
        <w:rPr>
          <w:szCs w:val="20"/>
        </w:rPr>
        <w:t>the</w:t>
      </w:r>
      <w:r w:rsidR="00B40416" w:rsidRPr="00F20638">
        <w:rPr>
          <w:szCs w:val="20"/>
        </w:rPr>
        <w:t xml:space="preserve"> </w:t>
      </w:r>
      <w:r w:rsidR="00CC0E47">
        <w:rPr>
          <w:szCs w:val="20"/>
        </w:rPr>
        <w:t>M</w:t>
      </w:r>
      <w:r w:rsidR="00CC0E47" w:rsidRPr="00F20638">
        <w:rPr>
          <w:szCs w:val="20"/>
        </w:rPr>
        <w:t xml:space="preserve">ining </w:t>
      </w:r>
      <w:r w:rsidR="00F20638" w:rsidRPr="00F20638">
        <w:rPr>
          <w:szCs w:val="20"/>
        </w:rPr>
        <w:t>industry</w:t>
      </w:r>
      <w:r w:rsidR="00600B3A">
        <w:rPr>
          <w:szCs w:val="20"/>
        </w:rPr>
        <w:t xml:space="preserve"> in the </w:t>
      </w:r>
      <w:r w:rsidR="002B3EF4">
        <w:rPr>
          <w:szCs w:val="20"/>
        </w:rPr>
        <w:t xml:space="preserve">decade </w:t>
      </w:r>
      <w:r w:rsidR="002B3EF4">
        <w:rPr>
          <w:szCs w:val="20"/>
        </w:rPr>
        <w:lastRenderedPageBreak/>
        <w:t>to 2012</w:t>
      </w:r>
      <w:r w:rsidR="00F20638" w:rsidRPr="00F20638">
        <w:rPr>
          <w:szCs w:val="20"/>
        </w:rPr>
        <w:t xml:space="preserve"> (</w:t>
      </w:r>
      <w:r w:rsidR="00600B3A">
        <w:rPr>
          <w:szCs w:val="20"/>
        </w:rPr>
        <w:t xml:space="preserve">especially </w:t>
      </w:r>
      <w:r w:rsidR="00F20638" w:rsidRPr="00F20638">
        <w:rPr>
          <w:szCs w:val="20"/>
        </w:rPr>
        <w:t xml:space="preserve">in terms of its share of total investment and employment) stands in stark contrast to the declining </w:t>
      </w:r>
      <w:r w:rsidR="002B3EF4">
        <w:rPr>
          <w:szCs w:val="20"/>
        </w:rPr>
        <w:t xml:space="preserve">economic </w:t>
      </w:r>
      <w:r w:rsidR="00F20638" w:rsidRPr="00F20638">
        <w:rPr>
          <w:szCs w:val="20"/>
        </w:rPr>
        <w:t xml:space="preserve">share of the </w:t>
      </w:r>
      <w:r w:rsidR="00CC0E47">
        <w:rPr>
          <w:szCs w:val="20"/>
        </w:rPr>
        <w:t>A</w:t>
      </w:r>
      <w:r w:rsidR="00CC0E47" w:rsidRPr="00F20638">
        <w:rPr>
          <w:szCs w:val="20"/>
        </w:rPr>
        <w:t>gricultur</w:t>
      </w:r>
      <w:r w:rsidR="00CC0E47">
        <w:rPr>
          <w:szCs w:val="20"/>
        </w:rPr>
        <w:t>e</w:t>
      </w:r>
      <w:r w:rsidR="00CC0E47" w:rsidRPr="00F20638">
        <w:rPr>
          <w:szCs w:val="20"/>
        </w:rPr>
        <w:t xml:space="preserve"> </w:t>
      </w:r>
      <w:r w:rsidR="00F20638" w:rsidRPr="00F20638">
        <w:rPr>
          <w:szCs w:val="20"/>
        </w:rPr>
        <w:t>industry</w:t>
      </w:r>
      <w:r w:rsidR="00BB1183">
        <w:rPr>
          <w:szCs w:val="20"/>
        </w:rPr>
        <w:t>, for instance</w:t>
      </w:r>
      <w:r w:rsidR="00F20638" w:rsidRPr="00F20638">
        <w:rPr>
          <w:szCs w:val="20"/>
        </w:rPr>
        <w:t>.</w:t>
      </w:r>
    </w:p>
    <w:p w:rsidR="00F20638" w:rsidRPr="00F20638" w:rsidRDefault="0055261A" w:rsidP="00F20638">
      <w:pPr>
        <w:spacing w:before="240" w:line="320" w:lineRule="atLeast"/>
        <w:jc w:val="both"/>
        <w:rPr>
          <w:szCs w:val="20"/>
        </w:rPr>
      </w:pPr>
      <w:r>
        <w:rPr>
          <w:szCs w:val="20"/>
        </w:rPr>
        <w:t>The eight-sector aggregation allows</w:t>
      </w:r>
      <w:r w:rsidR="00F20638" w:rsidRPr="00F20638">
        <w:rPr>
          <w:szCs w:val="20"/>
        </w:rPr>
        <w:t xml:space="preserve"> a deeper level of analysis</w:t>
      </w:r>
      <w:r>
        <w:rPr>
          <w:szCs w:val="20"/>
        </w:rPr>
        <w:t xml:space="preserve"> (8-sector classification (i), table A.2, column 3). Under this approach</w:t>
      </w:r>
      <w:r w:rsidR="00F20638" w:rsidRPr="00F20638">
        <w:rPr>
          <w:szCs w:val="20"/>
        </w:rPr>
        <w:t xml:space="preserve">, the 16 services divisions </w:t>
      </w:r>
      <w:r w:rsidR="00987096">
        <w:rPr>
          <w:szCs w:val="20"/>
        </w:rPr>
        <w:t>were</w:t>
      </w:r>
      <w:r w:rsidR="00F20638" w:rsidRPr="00F20638">
        <w:rPr>
          <w:szCs w:val="20"/>
        </w:rPr>
        <w:t xml:space="preserve"> </w:t>
      </w:r>
      <w:r>
        <w:rPr>
          <w:szCs w:val="20"/>
        </w:rPr>
        <w:t xml:space="preserve">collated </w:t>
      </w:r>
      <w:r w:rsidR="00F20638" w:rsidRPr="00F20638">
        <w:rPr>
          <w:szCs w:val="20"/>
        </w:rPr>
        <w:t xml:space="preserve">into </w:t>
      </w:r>
      <w:r>
        <w:rPr>
          <w:szCs w:val="20"/>
        </w:rPr>
        <w:t>five sectors</w:t>
      </w:r>
      <w:r w:rsidR="00F20638" w:rsidRPr="00F20638">
        <w:rPr>
          <w:szCs w:val="20"/>
        </w:rPr>
        <w:t xml:space="preserve">, based on the similarity of their function within the economy: distribution services; business services; social </w:t>
      </w:r>
      <w:r w:rsidR="00987096">
        <w:rPr>
          <w:szCs w:val="20"/>
        </w:rPr>
        <w:t>services; personal services;</w:t>
      </w:r>
      <w:r w:rsidR="00F20638" w:rsidRPr="00F20638">
        <w:rPr>
          <w:szCs w:val="20"/>
        </w:rPr>
        <w:t xml:space="preserve"> </w:t>
      </w:r>
      <w:r w:rsidR="00D77C7F">
        <w:rPr>
          <w:szCs w:val="20"/>
        </w:rPr>
        <w:t>and</w:t>
      </w:r>
      <w:r w:rsidR="00D77C7F" w:rsidRPr="00F20638">
        <w:rPr>
          <w:szCs w:val="20"/>
        </w:rPr>
        <w:t xml:space="preserve"> </w:t>
      </w:r>
      <w:r w:rsidR="00F20638" w:rsidRPr="00F20638">
        <w:rPr>
          <w:szCs w:val="20"/>
        </w:rPr>
        <w:t xml:space="preserve">another group </w:t>
      </w:r>
      <w:r w:rsidR="00987096">
        <w:rPr>
          <w:szCs w:val="20"/>
        </w:rPr>
        <w:t>combining</w:t>
      </w:r>
      <w:r w:rsidR="00F20638" w:rsidRPr="00F20638">
        <w:rPr>
          <w:szCs w:val="20"/>
        </w:rPr>
        <w:t xml:space="preserve"> utilities and co</w:t>
      </w:r>
      <w:r w:rsidR="00987096">
        <w:rPr>
          <w:szCs w:val="20"/>
        </w:rPr>
        <w:t xml:space="preserve">nstruction. </w:t>
      </w:r>
      <w:r>
        <w:rPr>
          <w:szCs w:val="20"/>
        </w:rPr>
        <w:t>These groupings were</w:t>
      </w:r>
      <w:r w:rsidR="00B40416">
        <w:rPr>
          <w:szCs w:val="20"/>
        </w:rPr>
        <w:t xml:space="preserve"> used in chapter 5</w:t>
      </w:r>
      <w:r w:rsidR="00F20638" w:rsidRPr="00F20638">
        <w:rPr>
          <w:szCs w:val="20"/>
        </w:rPr>
        <w:t xml:space="preserve">. The allocation of the services </w:t>
      </w:r>
      <w:r w:rsidR="00987096">
        <w:rPr>
          <w:szCs w:val="20"/>
        </w:rPr>
        <w:t>divisions</w:t>
      </w:r>
      <w:r w:rsidR="00F20638" w:rsidRPr="00F20638">
        <w:rPr>
          <w:szCs w:val="20"/>
        </w:rPr>
        <w:t xml:space="preserve"> into these</w:t>
      </w:r>
      <w:r w:rsidR="00987096">
        <w:rPr>
          <w:szCs w:val="20"/>
        </w:rPr>
        <w:t xml:space="preserve"> broader </w:t>
      </w:r>
      <w:r w:rsidR="00F20638" w:rsidRPr="00F20638">
        <w:rPr>
          <w:szCs w:val="20"/>
        </w:rPr>
        <w:t xml:space="preserve">groups was informed by </w:t>
      </w:r>
      <w:r w:rsidR="00987096">
        <w:rPr>
          <w:szCs w:val="20"/>
        </w:rPr>
        <w:t xml:space="preserve">the work of </w:t>
      </w:r>
      <w:r w:rsidR="00F20638" w:rsidRPr="00F20638">
        <w:rPr>
          <w:szCs w:val="20"/>
        </w:rPr>
        <w:t xml:space="preserve">McLachlan, Clark and Monday </w:t>
      </w:r>
      <w:r w:rsidR="00987096">
        <w:rPr>
          <w:szCs w:val="20"/>
        </w:rPr>
        <w:t>(2002)</w:t>
      </w:r>
      <w:r w:rsidR="00B40416">
        <w:rPr>
          <w:szCs w:val="20"/>
        </w:rPr>
        <w:t>,</w:t>
      </w:r>
      <w:r w:rsidR="00F20638" w:rsidRPr="00F20638">
        <w:rPr>
          <w:szCs w:val="20"/>
        </w:rPr>
        <w:t xml:space="preserve"> in their study of Australia’s services sector (which itself was </w:t>
      </w:r>
      <w:r w:rsidR="00AD3906">
        <w:rPr>
          <w:szCs w:val="20"/>
        </w:rPr>
        <w:t>based on</w:t>
      </w:r>
      <w:r w:rsidR="00F20638" w:rsidRPr="00F20638">
        <w:rPr>
          <w:szCs w:val="20"/>
        </w:rPr>
        <w:t xml:space="preserve"> seminal work in this field by Browning and </w:t>
      </w:r>
      <w:proofErr w:type="spellStart"/>
      <w:r w:rsidR="00F20638" w:rsidRPr="00F20638">
        <w:rPr>
          <w:szCs w:val="20"/>
        </w:rPr>
        <w:t>Singelmann</w:t>
      </w:r>
      <w:proofErr w:type="spellEnd"/>
      <w:r w:rsidR="00F20638" w:rsidRPr="00F20638">
        <w:rPr>
          <w:szCs w:val="20"/>
        </w:rPr>
        <w:t xml:space="preserve"> (1978) and </w:t>
      </w:r>
      <w:proofErr w:type="spellStart"/>
      <w:r w:rsidR="00F20638" w:rsidRPr="00F20638">
        <w:rPr>
          <w:szCs w:val="20"/>
        </w:rPr>
        <w:t>Elfring</w:t>
      </w:r>
      <w:proofErr w:type="spellEnd"/>
      <w:r w:rsidR="00F20638" w:rsidRPr="00F20638">
        <w:rPr>
          <w:szCs w:val="20"/>
        </w:rPr>
        <w:t xml:space="preserve"> (1988)</w:t>
      </w:r>
      <w:r w:rsidR="00987096">
        <w:rPr>
          <w:szCs w:val="20"/>
        </w:rPr>
        <w:t xml:space="preserve">). </w:t>
      </w:r>
      <w:r w:rsidR="00C06134">
        <w:t>Industry aggregation</w:t>
      </w:r>
      <w:r w:rsidR="00B40416">
        <w:t xml:space="preserve"> </w:t>
      </w:r>
      <w:r w:rsidR="007478B2">
        <w:t xml:space="preserve">was </w:t>
      </w:r>
      <w:r w:rsidR="00B40416">
        <w:t xml:space="preserve">also </w:t>
      </w:r>
      <w:r w:rsidR="007478B2">
        <w:t>crafted</w:t>
      </w:r>
      <w:r w:rsidR="00B40416">
        <w:t xml:space="preserve">, in some cases, </w:t>
      </w:r>
      <w:r w:rsidR="007478B2">
        <w:t xml:space="preserve">to respond </w:t>
      </w:r>
      <w:r w:rsidR="00B40416">
        <w:t xml:space="preserve">to the need </w:t>
      </w:r>
      <w:r w:rsidR="007478B2">
        <w:t>for</w:t>
      </w:r>
      <w:r w:rsidR="00B40416">
        <w:t xml:space="preserve"> a sufficiently large sample </w:t>
      </w:r>
      <w:r w:rsidR="00502C48">
        <w:t>with which</w:t>
      </w:r>
      <w:r w:rsidR="00455EC5">
        <w:t xml:space="preserve"> to</w:t>
      </w:r>
      <w:r w:rsidR="00B40416">
        <w:t xml:space="preserve"> produce statistical</w:t>
      </w:r>
      <w:r w:rsidR="00EB26FC">
        <w:t>ly reliable</w:t>
      </w:r>
      <w:r w:rsidR="00B40416">
        <w:t xml:space="preserve"> estimates.</w:t>
      </w:r>
    </w:p>
    <w:p w:rsidR="00987096" w:rsidRDefault="00F20638" w:rsidP="00F20638">
      <w:pPr>
        <w:spacing w:before="240" w:line="320" w:lineRule="atLeast"/>
        <w:jc w:val="both"/>
        <w:rPr>
          <w:szCs w:val="20"/>
        </w:rPr>
      </w:pPr>
      <w:r w:rsidRPr="00F20638">
        <w:rPr>
          <w:szCs w:val="20"/>
        </w:rPr>
        <w:t>In some parts o</w:t>
      </w:r>
      <w:r w:rsidR="00987096">
        <w:rPr>
          <w:szCs w:val="20"/>
        </w:rPr>
        <w:t xml:space="preserve">f this </w:t>
      </w:r>
      <w:r w:rsidR="00EB6146">
        <w:rPr>
          <w:szCs w:val="20"/>
        </w:rPr>
        <w:t>supplement</w:t>
      </w:r>
      <w:r w:rsidR="00987096">
        <w:rPr>
          <w:szCs w:val="20"/>
        </w:rPr>
        <w:t xml:space="preserve">’s analysis, this </w:t>
      </w:r>
      <w:r w:rsidR="00960734">
        <w:rPr>
          <w:szCs w:val="20"/>
        </w:rPr>
        <w:t xml:space="preserve">first </w:t>
      </w:r>
      <w:r w:rsidR="00987096">
        <w:rPr>
          <w:szCs w:val="20"/>
        </w:rPr>
        <w:t>eight</w:t>
      </w:r>
      <w:r w:rsidR="001D6DD4">
        <w:rPr>
          <w:szCs w:val="20"/>
        </w:rPr>
        <w:noBreakHyphen/>
      </w:r>
      <w:r w:rsidRPr="00F20638">
        <w:rPr>
          <w:szCs w:val="20"/>
        </w:rPr>
        <w:t xml:space="preserve">sector classification </w:t>
      </w:r>
      <w:r w:rsidR="00987096">
        <w:rPr>
          <w:szCs w:val="20"/>
        </w:rPr>
        <w:t>was modified,</w:t>
      </w:r>
      <w:r w:rsidRPr="00F20638">
        <w:rPr>
          <w:szCs w:val="20"/>
        </w:rPr>
        <w:t xml:space="preserve"> with utilities gro</w:t>
      </w:r>
      <w:r w:rsidR="00960734">
        <w:rPr>
          <w:szCs w:val="20"/>
        </w:rPr>
        <w:t>uped with distribution services</w:t>
      </w:r>
      <w:r w:rsidRPr="00F20638">
        <w:rPr>
          <w:szCs w:val="20"/>
        </w:rPr>
        <w:t xml:space="preserve"> instead of with construction (</w:t>
      </w:r>
      <w:r w:rsidR="00BE16C4">
        <w:rPr>
          <w:szCs w:val="20"/>
        </w:rPr>
        <w:t>8</w:t>
      </w:r>
      <w:r w:rsidR="00BE16C4">
        <w:rPr>
          <w:szCs w:val="20"/>
        </w:rPr>
        <w:noBreakHyphen/>
      </w:r>
      <w:r w:rsidR="007478B2">
        <w:rPr>
          <w:szCs w:val="20"/>
        </w:rPr>
        <w:t xml:space="preserve">sector classification (ii), </w:t>
      </w:r>
      <w:r w:rsidRPr="00F20638">
        <w:rPr>
          <w:szCs w:val="20"/>
        </w:rPr>
        <w:t>table A.1, column 4). This was due to the way in which the data required to undertake the analysis were made available, and follows the approach used by Connolly and Lewis (2010) and Connolly and</w:t>
      </w:r>
      <w:r w:rsidR="00987096">
        <w:rPr>
          <w:szCs w:val="20"/>
        </w:rPr>
        <w:t xml:space="preserve"> Orsmond (2011). This modified eight</w:t>
      </w:r>
      <w:r w:rsidR="001D6DD4">
        <w:rPr>
          <w:szCs w:val="20"/>
        </w:rPr>
        <w:noBreakHyphen/>
      </w:r>
      <w:r w:rsidRPr="00F20638">
        <w:rPr>
          <w:szCs w:val="20"/>
        </w:rPr>
        <w:t>sector classification applies to the structural change indexes presented in chapters</w:t>
      </w:r>
      <w:r w:rsidR="001D6DD4">
        <w:rPr>
          <w:szCs w:val="20"/>
        </w:rPr>
        <w:t> </w:t>
      </w:r>
      <w:r w:rsidRPr="00F20638">
        <w:rPr>
          <w:szCs w:val="20"/>
        </w:rPr>
        <w:t>3 and 4.</w:t>
      </w:r>
      <w:r w:rsidRPr="00F20638">
        <w:rPr>
          <w:position w:val="6"/>
          <w:sz w:val="22"/>
          <w:szCs w:val="20"/>
        </w:rPr>
        <w:footnoteReference w:id="1"/>
      </w:r>
      <w:r w:rsidRPr="00F20638">
        <w:rPr>
          <w:szCs w:val="20"/>
        </w:rPr>
        <w:t xml:space="preserve"> </w:t>
      </w:r>
    </w:p>
    <w:p w:rsidR="00F20638" w:rsidRDefault="00F20638" w:rsidP="00F20638">
      <w:pPr>
        <w:pStyle w:val="BodyText"/>
        <w:rPr>
          <w:szCs w:val="24"/>
        </w:rPr>
      </w:pPr>
      <w:r w:rsidRPr="00F20638">
        <w:rPr>
          <w:szCs w:val="24"/>
        </w:rPr>
        <w:t xml:space="preserve">Where the data permitted, utilities and construction were </w:t>
      </w:r>
      <w:r w:rsidR="00B40416">
        <w:rPr>
          <w:szCs w:val="24"/>
        </w:rPr>
        <w:t>kept as</w:t>
      </w:r>
      <w:r w:rsidRPr="00F20638">
        <w:rPr>
          <w:szCs w:val="24"/>
        </w:rPr>
        <w:t xml:space="preserve"> separate sectors, correspond</w:t>
      </w:r>
      <w:r w:rsidR="00960734">
        <w:rPr>
          <w:szCs w:val="24"/>
        </w:rPr>
        <w:t>ing</w:t>
      </w:r>
      <w:r w:rsidRPr="00F20638">
        <w:rPr>
          <w:szCs w:val="24"/>
        </w:rPr>
        <w:t xml:space="preserve"> to ABS divisions D and E</w:t>
      </w:r>
      <w:r w:rsidR="008B4FEE">
        <w:rPr>
          <w:szCs w:val="24"/>
        </w:rPr>
        <w:t>, respectively</w:t>
      </w:r>
      <w:r w:rsidRPr="00F20638">
        <w:rPr>
          <w:szCs w:val="24"/>
        </w:rPr>
        <w:t xml:space="preserve"> (</w:t>
      </w:r>
      <w:r w:rsidR="007478B2">
        <w:rPr>
          <w:szCs w:val="24"/>
        </w:rPr>
        <w:t xml:space="preserve">9-sector classification, </w:t>
      </w:r>
      <w:r w:rsidRPr="00F20638">
        <w:rPr>
          <w:szCs w:val="24"/>
        </w:rPr>
        <w:t>table A.1</w:t>
      </w:r>
      <w:r w:rsidR="00987096">
        <w:rPr>
          <w:szCs w:val="24"/>
        </w:rPr>
        <w:t>, column</w:t>
      </w:r>
      <w:r w:rsidR="00960734">
        <w:rPr>
          <w:szCs w:val="24"/>
        </w:rPr>
        <w:t> </w:t>
      </w:r>
      <w:r w:rsidR="00987096">
        <w:rPr>
          <w:szCs w:val="24"/>
        </w:rPr>
        <w:t>5</w:t>
      </w:r>
      <w:r w:rsidRPr="00F20638">
        <w:rPr>
          <w:szCs w:val="24"/>
        </w:rPr>
        <w:t xml:space="preserve">). This was motivated by the fact that these two industries exhibited </w:t>
      </w:r>
      <w:r w:rsidR="00B40416">
        <w:rPr>
          <w:szCs w:val="24"/>
        </w:rPr>
        <w:t>somewhat</w:t>
      </w:r>
      <w:r w:rsidR="00B40416" w:rsidRPr="00F20638">
        <w:rPr>
          <w:szCs w:val="24"/>
        </w:rPr>
        <w:t xml:space="preserve"> </w:t>
      </w:r>
      <w:r w:rsidRPr="00F20638">
        <w:rPr>
          <w:szCs w:val="24"/>
        </w:rPr>
        <w:t>divergent patterns of growth over recen</w:t>
      </w:r>
      <w:r w:rsidR="00987096">
        <w:rPr>
          <w:szCs w:val="24"/>
        </w:rPr>
        <w:t>t years. This nine</w:t>
      </w:r>
      <w:r w:rsidR="001D6DD4">
        <w:rPr>
          <w:szCs w:val="24"/>
        </w:rPr>
        <w:noBreakHyphen/>
      </w:r>
      <w:r w:rsidR="00987096">
        <w:rPr>
          <w:szCs w:val="24"/>
        </w:rPr>
        <w:t xml:space="preserve">sector </w:t>
      </w:r>
      <w:r w:rsidR="00960734">
        <w:rPr>
          <w:szCs w:val="24"/>
        </w:rPr>
        <w:t>classification</w:t>
      </w:r>
      <w:r w:rsidR="008959E4">
        <w:rPr>
          <w:szCs w:val="24"/>
        </w:rPr>
        <w:t xml:space="preserve"> was used</w:t>
      </w:r>
      <w:r w:rsidRPr="00F20638">
        <w:rPr>
          <w:szCs w:val="24"/>
        </w:rPr>
        <w:t xml:space="preserve"> in parts of chapters</w:t>
      </w:r>
      <w:r w:rsidR="001D6DD4">
        <w:rPr>
          <w:szCs w:val="24"/>
        </w:rPr>
        <w:t> </w:t>
      </w:r>
      <w:r w:rsidRPr="00F20638">
        <w:rPr>
          <w:szCs w:val="24"/>
        </w:rPr>
        <w:t>3 and 4.</w:t>
      </w:r>
      <w:r w:rsidR="00987096">
        <w:rPr>
          <w:szCs w:val="24"/>
        </w:rPr>
        <w:t xml:space="preserve"> </w:t>
      </w:r>
    </w:p>
    <w:p w:rsidR="00412472" w:rsidRDefault="00412472">
      <w:pPr>
        <w:pStyle w:val="BodyText"/>
        <w:sectPr w:rsidR="00412472" w:rsidSect="002E72AE">
          <w:headerReference w:type="even" r:id="rId9"/>
          <w:headerReference w:type="default" r:id="rId10"/>
          <w:footerReference w:type="even" r:id="rId11"/>
          <w:footerReference w:type="default" r:id="rId12"/>
          <w:headerReference w:type="first" r:id="rId13"/>
          <w:footerReference w:type="first" r:id="rId14"/>
          <w:footnotePr>
            <w:numStart w:val="66"/>
          </w:footnotePr>
          <w:pgSz w:w="11907" w:h="16840" w:code="9"/>
          <w:pgMar w:top="1985" w:right="1304" w:bottom="1418" w:left="1814" w:header="1701" w:footer="567" w:gutter="0"/>
          <w:pgNumType w:start="147" w:chapStyle="1" w:chapSep="period"/>
          <w:cols w:space="720"/>
        </w:sectPr>
      </w:pPr>
      <w:r>
        <w:rPr>
          <w:szCs w:val="24"/>
        </w:rPr>
        <w:br w:type="page"/>
      </w:r>
    </w:p>
    <w:p w:rsidR="00412472" w:rsidRDefault="00412472" w:rsidP="00412472">
      <w:pPr>
        <w:pStyle w:val="TableTitle"/>
      </w:pPr>
      <w:r>
        <w:rPr>
          <w:b w:val="0"/>
        </w:rPr>
        <w:lastRenderedPageBreak/>
        <w:t xml:space="preserve">Table </w:t>
      </w:r>
      <w:r w:rsidR="00FF1E48">
        <w:rPr>
          <w:b w:val="0"/>
        </w:rPr>
        <w:t>A.</w:t>
      </w:r>
      <w:r w:rsidR="00FF1E48">
        <w:rPr>
          <w:b w:val="0"/>
          <w:noProof/>
        </w:rPr>
        <w:t>2</w:t>
      </w:r>
      <w:r>
        <w:tab/>
        <w:t>Different aggregations of industries into sectors</w:t>
      </w:r>
    </w:p>
    <w:tbl>
      <w:tblPr>
        <w:tblW w:w="4718" w:type="pct"/>
        <w:tblLayout w:type="fixed"/>
        <w:tblCellMar>
          <w:left w:w="0" w:type="dxa"/>
          <w:right w:w="0" w:type="dxa"/>
        </w:tblCellMar>
        <w:tblLook w:val="0000" w:firstRow="0" w:lastRow="0" w:firstColumn="0" w:lastColumn="0" w:noHBand="0" w:noVBand="0"/>
      </w:tblPr>
      <w:tblGrid>
        <w:gridCol w:w="3686"/>
        <w:gridCol w:w="1983"/>
        <w:gridCol w:w="2128"/>
        <w:gridCol w:w="2729"/>
        <w:gridCol w:w="2153"/>
      </w:tblGrid>
      <w:tr w:rsidR="00412472" w:rsidRPr="00E45787" w:rsidTr="005A1C45">
        <w:tc>
          <w:tcPr>
            <w:tcW w:w="1454" w:type="pct"/>
            <w:tcBorders>
              <w:top w:val="single" w:sz="6" w:space="0" w:color="auto"/>
              <w:bottom w:val="single" w:sz="6" w:space="0" w:color="auto"/>
              <w:right w:val="single" w:sz="4" w:space="0" w:color="auto"/>
            </w:tcBorders>
          </w:tcPr>
          <w:p w:rsidR="00412472" w:rsidRPr="00E45787" w:rsidRDefault="00412472" w:rsidP="005A1C45">
            <w:pPr>
              <w:pStyle w:val="TableColumnHeading"/>
              <w:ind w:right="28"/>
              <w:jc w:val="left"/>
              <w:rPr>
                <w:sz w:val="18"/>
                <w:szCs w:val="18"/>
              </w:rPr>
            </w:pPr>
            <w:r w:rsidRPr="00E45787">
              <w:rPr>
                <w:sz w:val="18"/>
                <w:szCs w:val="18"/>
              </w:rPr>
              <w:t>ANZSIC industry divisions</w:t>
            </w:r>
          </w:p>
        </w:tc>
        <w:tc>
          <w:tcPr>
            <w:tcW w:w="782" w:type="pct"/>
            <w:tcBorders>
              <w:top w:val="single" w:sz="6" w:space="0" w:color="auto"/>
              <w:bottom w:val="single" w:sz="6" w:space="0" w:color="auto"/>
            </w:tcBorders>
          </w:tcPr>
          <w:p w:rsidR="00412472" w:rsidRPr="00E45787" w:rsidRDefault="00412472" w:rsidP="005A1C45">
            <w:pPr>
              <w:pStyle w:val="TableColumnHeading"/>
              <w:ind w:left="57"/>
              <w:jc w:val="left"/>
              <w:rPr>
                <w:sz w:val="18"/>
                <w:szCs w:val="18"/>
              </w:rPr>
            </w:pPr>
            <w:r w:rsidRPr="00E45787">
              <w:rPr>
                <w:sz w:val="18"/>
                <w:szCs w:val="18"/>
              </w:rPr>
              <w:t>4</w:t>
            </w:r>
            <w:r w:rsidR="001D6DD4">
              <w:rPr>
                <w:sz w:val="18"/>
                <w:szCs w:val="18"/>
              </w:rPr>
              <w:noBreakHyphen/>
            </w:r>
            <w:r w:rsidRPr="00E45787">
              <w:rPr>
                <w:sz w:val="18"/>
                <w:szCs w:val="18"/>
              </w:rPr>
              <w:t>sector classification</w:t>
            </w:r>
          </w:p>
        </w:tc>
        <w:tc>
          <w:tcPr>
            <w:tcW w:w="839" w:type="pct"/>
            <w:tcBorders>
              <w:top w:val="single" w:sz="6" w:space="0" w:color="auto"/>
              <w:bottom w:val="single" w:sz="6" w:space="0" w:color="auto"/>
            </w:tcBorders>
          </w:tcPr>
          <w:p w:rsidR="00412472" w:rsidRPr="00E45787" w:rsidRDefault="00412472" w:rsidP="005A1C45">
            <w:pPr>
              <w:pStyle w:val="TableColumnHeading"/>
              <w:ind w:left="0"/>
              <w:jc w:val="left"/>
              <w:rPr>
                <w:sz w:val="18"/>
                <w:szCs w:val="18"/>
              </w:rPr>
            </w:pPr>
            <w:r w:rsidRPr="00E45787">
              <w:rPr>
                <w:sz w:val="18"/>
                <w:szCs w:val="18"/>
              </w:rPr>
              <w:t>8</w:t>
            </w:r>
            <w:r w:rsidR="001D6DD4">
              <w:rPr>
                <w:sz w:val="18"/>
                <w:szCs w:val="18"/>
              </w:rPr>
              <w:noBreakHyphen/>
            </w:r>
            <w:r w:rsidRPr="00E45787">
              <w:rPr>
                <w:sz w:val="18"/>
                <w:szCs w:val="18"/>
              </w:rPr>
              <w:t>sector classification</w:t>
            </w:r>
            <w:r>
              <w:rPr>
                <w:sz w:val="18"/>
                <w:szCs w:val="18"/>
              </w:rPr>
              <w:t xml:space="preserve"> (i</w:t>
            </w:r>
            <w:r w:rsidRPr="00E45787">
              <w:rPr>
                <w:sz w:val="18"/>
                <w:szCs w:val="18"/>
              </w:rPr>
              <w:t>)</w:t>
            </w:r>
          </w:p>
        </w:tc>
        <w:tc>
          <w:tcPr>
            <w:tcW w:w="1076" w:type="pct"/>
            <w:tcBorders>
              <w:top w:val="single" w:sz="6" w:space="0" w:color="auto"/>
              <w:bottom w:val="single" w:sz="6" w:space="0" w:color="auto"/>
            </w:tcBorders>
          </w:tcPr>
          <w:p w:rsidR="00412472" w:rsidRPr="00E45787" w:rsidRDefault="00412472" w:rsidP="005A1C45">
            <w:pPr>
              <w:pStyle w:val="TableColumnHeading"/>
              <w:ind w:left="57"/>
              <w:jc w:val="left"/>
              <w:rPr>
                <w:sz w:val="18"/>
                <w:szCs w:val="18"/>
              </w:rPr>
            </w:pPr>
            <w:r w:rsidRPr="00E45787">
              <w:rPr>
                <w:sz w:val="18"/>
                <w:szCs w:val="18"/>
              </w:rPr>
              <w:t>8</w:t>
            </w:r>
            <w:r w:rsidR="001D6DD4">
              <w:rPr>
                <w:sz w:val="18"/>
                <w:szCs w:val="18"/>
              </w:rPr>
              <w:noBreakHyphen/>
            </w:r>
            <w:r w:rsidRPr="00E45787">
              <w:rPr>
                <w:sz w:val="18"/>
                <w:szCs w:val="18"/>
              </w:rPr>
              <w:t>sector classification (i</w:t>
            </w:r>
            <w:r>
              <w:rPr>
                <w:sz w:val="18"/>
                <w:szCs w:val="18"/>
              </w:rPr>
              <w:t>i</w:t>
            </w:r>
            <w:r w:rsidRPr="00E45787">
              <w:rPr>
                <w:sz w:val="18"/>
                <w:szCs w:val="18"/>
              </w:rPr>
              <w:t>)</w:t>
            </w:r>
          </w:p>
        </w:tc>
        <w:tc>
          <w:tcPr>
            <w:tcW w:w="849" w:type="pct"/>
            <w:tcBorders>
              <w:top w:val="single" w:sz="6" w:space="0" w:color="auto"/>
              <w:bottom w:val="single" w:sz="6" w:space="0" w:color="auto"/>
            </w:tcBorders>
          </w:tcPr>
          <w:p w:rsidR="00412472" w:rsidRPr="00E45787" w:rsidRDefault="00412472" w:rsidP="005A1C45">
            <w:pPr>
              <w:pStyle w:val="TableColumnHeading"/>
              <w:ind w:left="57"/>
              <w:jc w:val="left"/>
              <w:rPr>
                <w:sz w:val="18"/>
                <w:szCs w:val="18"/>
              </w:rPr>
            </w:pPr>
            <w:r w:rsidRPr="00E45787">
              <w:rPr>
                <w:sz w:val="18"/>
                <w:szCs w:val="18"/>
              </w:rPr>
              <w:t>9</w:t>
            </w:r>
            <w:r w:rsidR="001D6DD4">
              <w:rPr>
                <w:sz w:val="18"/>
                <w:szCs w:val="18"/>
              </w:rPr>
              <w:noBreakHyphen/>
            </w:r>
            <w:r w:rsidRPr="00E45787">
              <w:rPr>
                <w:sz w:val="18"/>
                <w:szCs w:val="18"/>
              </w:rPr>
              <w:t>sector classification</w:t>
            </w:r>
          </w:p>
        </w:tc>
      </w:tr>
      <w:tr w:rsidR="00412472" w:rsidRPr="00E45787" w:rsidTr="005A1C45">
        <w:tc>
          <w:tcPr>
            <w:tcW w:w="1454" w:type="pct"/>
            <w:tcBorders>
              <w:top w:val="single" w:sz="6" w:space="0" w:color="auto"/>
              <w:right w:val="single" w:sz="4" w:space="0" w:color="auto"/>
            </w:tcBorders>
          </w:tcPr>
          <w:p w:rsidR="00412472" w:rsidRPr="00E45787" w:rsidRDefault="00412472" w:rsidP="005A1C45">
            <w:pPr>
              <w:pStyle w:val="TableBodyText"/>
              <w:spacing w:before="40"/>
              <w:jc w:val="left"/>
              <w:rPr>
                <w:sz w:val="18"/>
                <w:szCs w:val="18"/>
              </w:rPr>
            </w:pPr>
            <w:r w:rsidRPr="00E45787">
              <w:rPr>
                <w:sz w:val="18"/>
                <w:szCs w:val="18"/>
              </w:rPr>
              <w:t>Agriculture, forestry &amp; fishing</w:t>
            </w:r>
          </w:p>
        </w:tc>
        <w:tc>
          <w:tcPr>
            <w:tcW w:w="782" w:type="pct"/>
            <w:tcBorders>
              <w:top w:val="single" w:sz="6" w:space="0" w:color="auto"/>
            </w:tcBorders>
            <w:vAlign w:val="bottom"/>
          </w:tcPr>
          <w:p w:rsidR="00412472" w:rsidRPr="00E45787" w:rsidRDefault="00412472" w:rsidP="005A1C45">
            <w:pPr>
              <w:pStyle w:val="TableBodyText"/>
              <w:spacing w:before="40"/>
              <w:ind w:left="57"/>
              <w:jc w:val="left"/>
              <w:rPr>
                <w:sz w:val="18"/>
                <w:szCs w:val="18"/>
              </w:rPr>
            </w:pPr>
            <w:r w:rsidRPr="00E45787">
              <w:rPr>
                <w:sz w:val="18"/>
                <w:szCs w:val="18"/>
              </w:rPr>
              <w:t>Agriculture</w:t>
            </w:r>
          </w:p>
        </w:tc>
        <w:tc>
          <w:tcPr>
            <w:tcW w:w="839" w:type="pct"/>
            <w:tcBorders>
              <w:top w:val="single" w:sz="6"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Agriculture</w:t>
            </w:r>
          </w:p>
        </w:tc>
        <w:tc>
          <w:tcPr>
            <w:tcW w:w="1076" w:type="pct"/>
            <w:tcBorders>
              <w:top w:val="single" w:sz="6"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Agriculture</w:t>
            </w:r>
          </w:p>
        </w:tc>
        <w:tc>
          <w:tcPr>
            <w:tcW w:w="849" w:type="pct"/>
            <w:tcBorders>
              <w:top w:val="single" w:sz="6"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Agriculture</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Mining</w:t>
            </w:r>
          </w:p>
        </w:tc>
        <w:tc>
          <w:tcPr>
            <w:tcW w:w="782" w:type="pct"/>
            <w:vAlign w:val="bottom"/>
          </w:tcPr>
          <w:p w:rsidR="00412472" w:rsidRPr="00E45787" w:rsidRDefault="00412472" w:rsidP="005A1C45">
            <w:pPr>
              <w:pStyle w:val="TableBodyText"/>
              <w:ind w:left="57"/>
              <w:jc w:val="left"/>
              <w:rPr>
                <w:sz w:val="18"/>
                <w:szCs w:val="18"/>
              </w:rPr>
            </w:pPr>
            <w:r w:rsidRPr="00E45787">
              <w:rPr>
                <w:sz w:val="18"/>
                <w:szCs w:val="18"/>
              </w:rPr>
              <w:t>Mining</w:t>
            </w:r>
          </w:p>
        </w:tc>
        <w:tc>
          <w:tcPr>
            <w:tcW w:w="839" w:type="pct"/>
          </w:tcPr>
          <w:p w:rsidR="00412472" w:rsidRPr="00E45787" w:rsidRDefault="00412472" w:rsidP="005A1C45">
            <w:pPr>
              <w:pStyle w:val="TableBodyText"/>
              <w:ind w:left="57"/>
              <w:jc w:val="left"/>
              <w:rPr>
                <w:sz w:val="18"/>
                <w:szCs w:val="18"/>
              </w:rPr>
            </w:pPr>
            <w:r w:rsidRPr="00E45787">
              <w:rPr>
                <w:sz w:val="18"/>
                <w:szCs w:val="18"/>
              </w:rPr>
              <w:t>Mining</w:t>
            </w:r>
          </w:p>
        </w:tc>
        <w:tc>
          <w:tcPr>
            <w:tcW w:w="1076" w:type="pct"/>
          </w:tcPr>
          <w:p w:rsidR="00412472" w:rsidRPr="00E45787" w:rsidRDefault="00412472" w:rsidP="005A1C45">
            <w:pPr>
              <w:pStyle w:val="TableBodyText"/>
              <w:ind w:left="57"/>
              <w:jc w:val="left"/>
              <w:rPr>
                <w:sz w:val="18"/>
                <w:szCs w:val="18"/>
              </w:rPr>
            </w:pPr>
            <w:r w:rsidRPr="00E45787">
              <w:rPr>
                <w:sz w:val="18"/>
                <w:szCs w:val="18"/>
              </w:rPr>
              <w:t>Mining</w:t>
            </w:r>
          </w:p>
        </w:tc>
        <w:tc>
          <w:tcPr>
            <w:tcW w:w="849" w:type="pct"/>
          </w:tcPr>
          <w:p w:rsidR="00412472" w:rsidRPr="00E45787" w:rsidRDefault="00412472" w:rsidP="005A1C45">
            <w:pPr>
              <w:pStyle w:val="TableBodyText"/>
              <w:ind w:left="57"/>
              <w:jc w:val="left"/>
              <w:rPr>
                <w:sz w:val="18"/>
                <w:szCs w:val="18"/>
              </w:rPr>
            </w:pPr>
            <w:r w:rsidRPr="00E45787">
              <w:rPr>
                <w:sz w:val="18"/>
                <w:szCs w:val="18"/>
              </w:rPr>
              <w:t>Mining</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Manufacturing</w:t>
            </w:r>
          </w:p>
        </w:tc>
        <w:tc>
          <w:tcPr>
            <w:tcW w:w="782" w:type="pct"/>
            <w:vAlign w:val="bottom"/>
          </w:tcPr>
          <w:p w:rsidR="00412472" w:rsidRPr="00E45787" w:rsidRDefault="00412472" w:rsidP="005A1C45">
            <w:pPr>
              <w:pStyle w:val="TableBodyText"/>
              <w:ind w:left="57"/>
              <w:jc w:val="left"/>
              <w:rPr>
                <w:sz w:val="18"/>
                <w:szCs w:val="18"/>
              </w:rPr>
            </w:pPr>
            <w:r w:rsidRPr="00E45787">
              <w:rPr>
                <w:sz w:val="18"/>
                <w:szCs w:val="18"/>
              </w:rPr>
              <w:t>Manufacturing</w:t>
            </w:r>
          </w:p>
        </w:tc>
        <w:tc>
          <w:tcPr>
            <w:tcW w:w="839" w:type="pct"/>
          </w:tcPr>
          <w:p w:rsidR="00412472" w:rsidRPr="00E45787" w:rsidRDefault="00412472" w:rsidP="005A1C45">
            <w:pPr>
              <w:pStyle w:val="TableBodyText"/>
              <w:ind w:left="57"/>
              <w:jc w:val="left"/>
              <w:rPr>
                <w:sz w:val="18"/>
                <w:szCs w:val="18"/>
              </w:rPr>
            </w:pPr>
            <w:r w:rsidRPr="00E45787">
              <w:rPr>
                <w:sz w:val="18"/>
                <w:szCs w:val="18"/>
              </w:rPr>
              <w:t>Manufacturing</w:t>
            </w:r>
          </w:p>
        </w:tc>
        <w:tc>
          <w:tcPr>
            <w:tcW w:w="1076" w:type="pct"/>
          </w:tcPr>
          <w:p w:rsidR="00412472" w:rsidRPr="00E45787" w:rsidRDefault="00412472" w:rsidP="005A1C45">
            <w:pPr>
              <w:pStyle w:val="TableBodyText"/>
              <w:ind w:left="57"/>
              <w:jc w:val="left"/>
              <w:rPr>
                <w:sz w:val="18"/>
                <w:szCs w:val="18"/>
              </w:rPr>
            </w:pPr>
            <w:r w:rsidRPr="00E45787">
              <w:rPr>
                <w:sz w:val="18"/>
                <w:szCs w:val="18"/>
              </w:rPr>
              <w:t>Manufacturing</w:t>
            </w:r>
          </w:p>
        </w:tc>
        <w:tc>
          <w:tcPr>
            <w:tcW w:w="849" w:type="pct"/>
          </w:tcPr>
          <w:p w:rsidR="00412472" w:rsidRPr="00E45787" w:rsidRDefault="00412472" w:rsidP="005A1C45">
            <w:pPr>
              <w:pStyle w:val="TableBodyText"/>
              <w:ind w:left="57"/>
              <w:jc w:val="left"/>
              <w:rPr>
                <w:sz w:val="18"/>
                <w:szCs w:val="18"/>
              </w:rPr>
            </w:pPr>
            <w:r w:rsidRPr="00E45787">
              <w:rPr>
                <w:sz w:val="18"/>
                <w:szCs w:val="18"/>
              </w:rPr>
              <w:t>Manufacturing</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Electricity, gas, water &amp; waste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Construction &amp; Utilities</w:t>
            </w:r>
          </w:p>
        </w:tc>
        <w:tc>
          <w:tcPr>
            <w:tcW w:w="1076" w:type="pct"/>
          </w:tcPr>
          <w:p w:rsidR="00412472" w:rsidRPr="00E45787" w:rsidRDefault="00412472" w:rsidP="005A1C45">
            <w:pPr>
              <w:pStyle w:val="TableBodyText"/>
              <w:ind w:left="57"/>
              <w:jc w:val="left"/>
              <w:rPr>
                <w:sz w:val="18"/>
                <w:szCs w:val="18"/>
              </w:rPr>
            </w:pPr>
            <w:r w:rsidRPr="00E45787">
              <w:rPr>
                <w:sz w:val="18"/>
                <w:szCs w:val="18"/>
              </w:rPr>
              <w:t>Distribution services &amp; Utilities</w:t>
            </w:r>
          </w:p>
        </w:tc>
        <w:tc>
          <w:tcPr>
            <w:tcW w:w="849" w:type="pct"/>
          </w:tcPr>
          <w:p w:rsidR="00412472" w:rsidRPr="00E45787" w:rsidRDefault="00412472" w:rsidP="005A1C45">
            <w:pPr>
              <w:pStyle w:val="TableBodyText"/>
              <w:ind w:left="57"/>
              <w:jc w:val="left"/>
              <w:rPr>
                <w:sz w:val="18"/>
                <w:szCs w:val="18"/>
              </w:rPr>
            </w:pPr>
            <w:r w:rsidRPr="00E45787">
              <w:rPr>
                <w:sz w:val="18"/>
                <w:szCs w:val="18"/>
              </w:rPr>
              <w:t>Utilities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Construction</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Construction &amp; Utilities</w:t>
            </w:r>
          </w:p>
        </w:tc>
        <w:tc>
          <w:tcPr>
            <w:tcW w:w="1076" w:type="pct"/>
          </w:tcPr>
          <w:p w:rsidR="00412472" w:rsidRPr="00E45787" w:rsidRDefault="00412472" w:rsidP="005A1C45">
            <w:pPr>
              <w:pStyle w:val="TableBodyText"/>
              <w:ind w:left="57"/>
              <w:jc w:val="left"/>
              <w:rPr>
                <w:sz w:val="18"/>
                <w:szCs w:val="18"/>
              </w:rPr>
            </w:pPr>
            <w:r w:rsidRPr="00E45787">
              <w:rPr>
                <w:sz w:val="18"/>
                <w:szCs w:val="18"/>
              </w:rPr>
              <w:t>Construction</w:t>
            </w:r>
          </w:p>
        </w:tc>
        <w:tc>
          <w:tcPr>
            <w:tcW w:w="849" w:type="pct"/>
          </w:tcPr>
          <w:p w:rsidR="00412472" w:rsidRPr="00E45787" w:rsidRDefault="00412472" w:rsidP="005A1C45">
            <w:pPr>
              <w:pStyle w:val="TableBodyText"/>
              <w:ind w:left="57"/>
              <w:jc w:val="left"/>
              <w:rPr>
                <w:sz w:val="18"/>
                <w:szCs w:val="18"/>
              </w:rPr>
            </w:pPr>
            <w:r w:rsidRPr="00E45787">
              <w:rPr>
                <w:sz w:val="18"/>
                <w:szCs w:val="18"/>
              </w:rPr>
              <w:t>Construction</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Wholesale trade</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Distribution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Distribution services &amp; Utilities</w:t>
            </w:r>
          </w:p>
        </w:tc>
        <w:tc>
          <w:tcPr>
            <w:tcW w:w="849" w:type="pct"/>
          </w:tcPr>
          <w:p w:rsidR="00412472" w:rsidRPr="00E45787" w:rsidRDefault="00412472" w:rsidP="005A1C45">
            <w:pPr>
              <w:pStyle w:val="TableBodyText"/>
              <w:ind w:left="57"/>
              <w:jc w:val="left"/>
              <w:rPr>
                <w:sz w:val="18"/>
                <w:szCs w:val="18"/>
              </w:rPr>
            </w:pPr>
            <w:r w:rsidRPr="00E45787">
              <w:rPr>
                <w:sz w:val="18"/>
                <w:szCs w:val="18"/>
              </w:rPr>
              <w:t>Distribution services</w:t>
            </w:r>
          </w:p>
        </w:tc>
      </w:tr>
      <w:tr w:rsidR="00412472" w:rsidRPr="00E45787" w:rsidTr="005A1C45">
        <w:trPr>
          <w:trHeight w:val="80"/>
        </w:trPr>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Retail trade</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Distribution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Distribution services &amp; Utilities</w:t>
            </w:r>
          </w:p>
        </w:tc>
        <w:tc>
          <w:tcPr>
            <w:tcW w:w="849" w:type="pct"/>
          </w:tcPr>
          <w:p w:rsidR="00412472" w:rsidRPr="00E45787" w:rsidRDefault="00412472" w:rsidP="005A1C45">
            <w:pPr>
              <w:pStyle w:val="TableBodyText"/>
              <w:ind w:left="57"/>
              <w:jc w:val="left"/>
              <w:rPr>
                <w:sz w:val="18"/>
                <w:szCs w:val="18"/>
              </w:rPr>
            </w:pPr>
            <w:r w:rsidRPr="00E45787">
              <w:rPr>
                <w:sz w:val="18"/>
                <w:szCs w:val="18"/>
              </w:rPr>
              <w:t>Distribution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Accommodation &amp; food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Personal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Personal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Personal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Transport, postal &amp; warehousing</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 xml:space="preserve">Distribution services </w:t>
            </w:r>
          </w:p>
        </w:tc>
        <w:tc>
          <w:tcPr>
            <w:tcW w:w="1076" w:type="pct"/>
          </w:tcPr>
          <w:p w:rsidR="00412472" w:rsidRPr="00E45787" w:rsidRDefault="00412472" w:rsidP="005A1C45">
            <w:pPr>
              <w:pStyle w:val="TableBodyText"/>
              <w:ind w:left="57"/>
              <w:jc w:val="left"/>
              <w:rPr>
                <w:sz w:val="18"/>
                <w:szCs w:val="18"/>
              </w:rPr>
            </w:pPr>
            <w:r w:rsidRPr="00E45787">
              <w:rPr>
                <w:sz w:val="18"/>
                <w:szCs w:val="18"/>
              </w:rPr>
              <w:t>Distribution services &amp; Utilities</w:t>
            </w:r>
          </w:p>
        </w:tc>
        <w:tc>
          <w:tcPr>
            <w:tcW w:w="849" w:type="pct"/>
          </w:tcPr>
          <w:p w:rsidR="00412472" w:rsidRPr="00E45787" w:rsidRDefault="00412472" w:rsidP="005A1C45">
            <w:pPr>
              <w:pStyle w:val="TableBodyText"/>
              <w:ind w:left="57"/>
              <w:jc w:val="left"/>
              <w:rPr>
                <w:sz w:val="18"/>
                <w:szCs w:val="18"/>
              </w:rPr>
            </w:pPr>
            <w:r w:rsidRPr="00E45787">
              <w:rPr>
                <w:sz w:val="18"/>
                <w:szCs w:val="18"/>
              </w:rPr>
              <w:t>Distribution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ind w:right="57"/>
              <w:jc w:val="left"/>
              <w:rPr>
                <w:sz w:val="18"/>
                <w:szCs w:val="18"/>
              </w:rPr>
            </w:pPr>
            <w:r w:rsidRPr="00E45787">
              <w:rPr>
                <w:sz w:val="18"/>
                <w:szCs w:val="18"/>
              </w:rPr>
              <w:t>Information media &amp; telecommunications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 xml:space="preserve">Distribution services </w:t>
            </w:r>
          </w:p>
        </w:tc>
        <w:tc>
          <w:tcPr>
            <w:tcW w:w="1076" w:type="pct"/>
          </w:tcPr>
          <w:p w:rsidR="00412472" w:rsidRPr="00E45787" w:rsidRDefault="00412472" w:rsidP="005A1C45">
            <w:pPr>
              <w:pStyle w:val="TableBodyText"/>
              <w:ind w:left="57"/>
              <w:jc w:val="left"/>
              <w:rPr>
                <w:sz w:val="18"/>
                <w:szCs w:val="18"/>
              </w:rPr>
            </w:pPr>
            <w:r w:rsidRPr="00E45787">
              <w:rPr>
                <w:sz w:val="18"/>
                <w:szCs w:val="18"/>
              </w:rPr>
              <w:t>Distribution services &amp; Utilities</w:t>
            </w:r>
          </w:p>
        </w:tc>
        <w:tc>
          <w:tcPr>
            <w:tcW w:w="849" w:type="pct"/>
          </w:tcPr>
          <w:p w:rsidR="00412472" w:rsidRPr="00E45787" w:rsidRDefault="00412472" w:rsidP="005A1C45">
            <w:pPr>
              <w:pStyle w:val="TableBodyText"/>
              <w:ind w:left="57"/>
              <w:jc w:val="left"/>
              <w:rPr>
                <w:sz w:val="18"/>
                <w:szCs w:val="18"/>
              </w:rPr>
            </w:pPr>
            <w:r w:rsidRPr="00E45787">
              <w:rPr>
                <w:sz w:val="18"/>
                <w:szCs w:val="18"/>
              </w:rPr>
              <w:t>Distribution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Financial &amp; insurance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Business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Rental, hiring &amp; real estate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Business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Professional, scientific &amp; technical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Business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Administrative &amp; support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Business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Business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Public administration &amp; safety</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Social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Education &amp; training</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Social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Health care &amp; social assistance</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Social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Social services</w:t>
            </w:r>
          </w:p>
        </w:tc>
      </w:tr>
      <w:tr w:rsidR="00412472" w:rsidRPr="00E45787" w:rsidTr="005A1C45">
        <w:tc>
          <w:tcPr>
            <w:tcW w:w="1454" w:type="pct"/>
            <w:tcBorders>
              <w:right w:val="single" w:sz="4" w:space="0" w:color="auto"/>
            </w:tcBorders>
          </w:tcPr>
          <w:p w:rsidR="00412472" w:rsidRPr="00E45787" w:rsidRDefault="00412472" w:rsidP="005A1C45">
            <w:pPr>
              <w:pStyle w:val="TableBodyText"/>
              <w:jc w:val="left"/>
              <w:rPr>
                <w:sz w:val="18"/>
                <w:szCs w:val="18"/>
              </w:rPr>
            </w:pPr>
            <w:r w:rsidRPr="00E45787">
              <w:rPr>
                <w:sz w:val="18"/>
                <w:szCs w:val="18"/>
              </w:rPr>
              <w:t>Arts &amp; recreation services</w:t>
            </w:r>
          </w:p>
        </w:tc>
        <w:tc>
          <w:tcPr>
            <w:tcW w:w="782" w:type="pct"/>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Pr>
          <w:p w:rsidR="00412472" w:rsidRPr="00E45787" w:rsidRDefault="00412472" w:rsidP="005A1C45">
            <w:pPr>
              <w:pStyle w:val="TableBodyText"/>
              <w:ind w:left="57"/>
              <w:jc w:val="left"/>
              <w:rPr>
                <w:sz w:val="18"/>
                <w:szCs w:val="18"/>
              </w:rPr>
            </w:pPr>
            <w:r w:rsidRPr="00E45787">
              <w:rPr>
                <w:sz w:val="18"/>
                <w:szCs w:val="18"/>
              </w:rPr>
              <w:t>Personal services</w:t>
            </w:r>
          </w:p>
        </w:tc>
        <w:tc>
          <w:tcPr>
            <w:tcW w:w="1076" w:type="pct"/>
          </w:tcPr>
          <w:p w:rsidR="00412472" w:rsidRPr="00E45787" w:rsidRDefault="00412472" w:rsidP="005A1C45">
            <w:pPr>
              <w:pStyle w:val="TableBodyText"/>
              <w:ind w:left="57"/>
              <w:jc w:val="left"/>
              <w:rPr>
                <w:sz w:val="18"/>
                <w:szCs w:val="18"/>
              </w:rPr>
            </w:pPr>
            <w:r w:rsidRPr="00E45787">
              <w:rPr>
                <w:sz w:val="18"/>
                <w:szCs w:val="18"/>
              </w:rPr>
              <w:t>Personal services</w:t>
            </w:r>
          </w:p>
        </w:tc>
        <w:tc>
          <w:tcPr>
            <w:tcW w:w="849" w:type="pct"/>
          </w:tcPr>
          <w:p w:rsidR="00412472" w:rsidRPr="00E45787" w:rsidRDefault="00412472" w:rsidP="005A1C45">
            <w:pPr>
              <w:pStyle w:val="TableBodyText"/>
              <w:ind w:left="57"/>
              <w:jc w:val="left"/>
              <w:rPr>
                <w:sz w:val="18"/>
                <w:szCs w:val="18"/>
              </w:rPr>
            </w:pPr>
            <w:r w:rsidRPr="00E45787">
              <w:rPr>
                <w:sz w:val="18"/>
                <w:szCs w:val="18"/>
              </w:rPr>
              <w:t>Personal services</w:t>
            </w:r>
          </w:p>
        </w:tc>
      </w:tr>
      <w:tr w:rsidR="00412472" w:rsidRPr="00E45787" w:rsidTr="005A1C45">
        <w:tc>
          <w:tcPr>
            <w:tcW w:w="1454" w:type="pct"/>
            <w:tcBorders>
              <w:bottom w:val="single" w:sz="4" w:space="0" w:color="auto"/>
              <w:right w:val="single" w:sz="4" w:space="0" w:color="auto"/>
            </w:tcBorders>
          </w:tcPr>
          <w:p w:rsidR="00412472" w:rsidRPr="00E45787" w:rsidRDefault="00412472" w:rsidP="005A1C45">
            <w:pPr>
              <w:pStyle w:val="TableBodyText"/>
              <w:jc w:val="left"/>
              <w:rPr>
                <w:sz w:val="18"/>
                <w:szCs w:val="18"/>
              </w:rPr>
            </w:pPr>
            <w:r w:rsidRPr="00E45787">
              <w:rPr>
                <w:sz w:val="18"/>
                <w:szCs w:val="18"/>
              </w:rPr>
              <w:t>Other services</w:t>
            </w:r>
          </w:p>
        </w:tc>
        <w:tc>
          <w:tcPr>
            <w:tcW w:w="782" w:type="pct"/>
            <w:tcBorders>
              <w:bottom w:val="single" w:sz="4" w:space="0" w:color="auto"/>
            </w:tcBorders>
          </w:tcPr>
          <w:p w:rsidR="00412472" w:rsidRPr="00E45787" w:rsidRDefault="00412472" w:rsidP="005A1C45">
            <w:pPr>
              <w:pStyle w:val="TableBodyText"/>
              <w:ind w:left="57"/>
              <w:jc w:val="left"/>
              <w:rPr>
                <w:sz w:val="18"/>
                <w:szCs w:val="18"/>
              </w:rPr>
            </w:pPr>
            <w:r w:rsidRPr="00E45787">
              <w:rPr>
                <w:sz w:val="18"/>
                <w:szCs w:val="18"/>
              </w:rPr>
              <w:t>Services</w:t>
            </w:r>
          </w:p>
        </w:tc>
        <w:tc>
          <w:tcPr>
            <w:tcW w:w="839" w:type="pct"/>
            <w:tcBorders>
              <w:bottom w:val="single" w:sz="4" w:space="0" w:color="auto"/>
            </w:tcBorders>
          </w:tcPr>
          <w:p w:rsidR="00412472" w:rsidRPr="00E45787" w:rsidRDefault="00412472" w:rsidP="005A1C45">
            <w:pPr>
              <w:pStyle w:val="TableBodyText"/>
              <w:ind w:left="57"/>
              <w:jc w:val="left"/>
              <w:rPr>
                <w:sz w:val="18"/>
                <w:szCs w:val="18"/>
              </w:rPr>
            </w:pPr>
            <w:r w:rsidRPr="00E45787">
              <w:rPr>
                <w:sz w:val="18"/>
                <w:szCs w:val="18"/>
              </w:rPr>
              <w:t>Personal services</w:t>
            </w:r>
          </w:p>
        </w:tc>
        <w:tc>
          <w:tcPr>
            <w:tcW w:w="1076" w:type="pct"/>
            <w:tcBorders>
              <w:bottom w:val="single" w:sz="4" w:space="0" w:color="auto"/>
            </w:tcBorders>
          </w:tcPr>
          <w:p w:rsidR="00412472" w:rsidRPr="00E45787" w:rsidRDefault="00412472" w:rsidP="005A1C45">
            <w:pPr>
              <w:pStyle w:val="TableBodyText"/>
              <w:ind w:left="57"/>
              <w:jc w:val="left"/>
              <w:rPr>
                <w:sz w:val="18"/>
                <w:szCs w:val="18"/>
              </w:rPr>
            </w:pPr>
            <w:r w:rsidRPr="00E45787">
              <w:rPr>
                <w:sz w:val="18"/>
                <w:szCs w:val="18"/>
              </w:rPr>
              <w:t>Personal services</w:t>
            </w:r>
          </w:p>
        </w:tc>
        <w:tc>
          <w:tcPr>
            <w:tcW w:w="849" w:type="pct"/>
            <w:tcBorders>
              <w:bottom w:val="single" w:sz="4" w:space="0" w:color="auto"/>
            </w:tcBorders>
          </w:tcPr>
          <w:p w:rsidR="00412472" w:rsidRPr="00E45787" w:rsidRDefault="00412472" w:rsidP="005A1C45">
            <w:pPr>
              <w:pStyle w:val="TableBodyText"/>
              <w:ind w:left="57"/>
              <w:jc w:val="left"/>
              <w:rPr>
                <w:sz w:val="18"/>
                <w:szCs w:val="18"/>
              </w:rPr>
            </w:pPr>
            <w:r w:rsidRPr="00E45787">
              <w:rPr>
                <w:sz w:val="18"/>
                <w:szCs w:val="18"/>
              </w:rPr>
              <w:t>Personal services</w:t>
            </w:r>
          </w:p>
        </w:tc>
      </w:tr>
      <w:tr w:rsidR="00412472" w:rsidRPr="00E45787" w:rsidTr="005A1C45">
        <w:tc>
          <w:tcPr>
            <w:tcW w:w="1454" w:type="pct"/>
            <w:tcBorders>
              <w:bottom w:val="single" w:sz="4" w:space="0" w:color="auto"/>
              <w:right w:val="single" w:sz="4" w:space="0" w:color="auto"/>
            </w:tcBorders>
          </w:tcPr>
          <w:p w:rsidR="00412472" w:rsidRPr="00E45787" w:rsidRDefault="00412472" w:rsidP="005A1C45">
            <w:pPr>
              <w:pStyle w:val="TableBodyText"/>
              <w:spacing w:before="40"/>
              <w:jc w:val="left"/>
              <w:rPr>
                <w:i/>
                <w:sz w:val="18"/>
                <w:szCs w:val="18"/>
              </w:rPr>
            </w:pPr>
            <w:r w:rsidRPr="00E45787">
              <w:rPr>
                <w:i/>
                <w:sz w:val="18"/>
                <w:szCs w:val="18"/>
              </w:rPr>
              <w:t xml:space="preserve">Usage in this </w:t>
            </w:r>
            <w:r w:rsidR="00EB6146">
              <w:rPr>
                <w:i/>
                <w:sz w:val="18"/>
                <w:szCs w:val="18"/>
              </w:rPr>
              <w:t>supplement</w:t>
            </w:r>
          </w:p>
        </w:tc>
        <w:tc>
          <w:tcPr>
            <w:tcW w:w="782" w:type="pct"/>
            <w:tcBorders>
              <w:bottom w:val="single" w:sz="4"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Chapter</w:t>
            </w:r>
            <w:r>
              <w:rPr>
                <w:sz w:val="18"/>
                <w:szCs w:val="18"/>
              </w:rPr>
              <w:t>s</w:t>
            </w:r>
            <w:r w:rsidR="001D6DD4">
              <w:rPr>
                <w:sz w:val="18"/>
                <w:szCs w:val="18"/>
              </w:rPr>
              <w:t> </w:t>
            </w:r>
            <w:r w:rsidRPr="00E45787">
              <w:rPr>
                <w:sz w:val="18"/>
                <w:szCs w:val="18"/>
              </w:rPr>
              <w:t>3</w:t>
            </w:r>
            <w:r>
              <w:rPr>
                <w:sz w:val="18"/>
                <w:szCs w:val="18"/>
              </w:rPr>
              <w:t xml:space="preserve"> &amp; 4</w:t>
            </w:r>
          </w:p>
        </w:tc>
        <w:tc>
          <w:tcPr>
            <w:tcW w:w="839" w:type="pct"/>
            <w:tcBorders>
              <w:bottom w:val="single" w:sz="4"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Chapter</w:t>
            </w:r>
            <w:r w:rsidR="001D6DD4">
              <w:rPr>
                <w:sz w:val="18"/>
                <w:szCs w:val="18"/>
              </w:rPr>
              <w:t> </w:t>
            </w:r>
            <w:r w:rsidRPr="00E45787">
              <w:rPr>
                <w:sz w:val="18"/>
                <w:szCs w:val="18"/>
              </w:rPr>
              <w:t>5</w:t>
            </w:r>
          </w:p>
        </w:tc>
        <w:tc>
          <w:tcPr>
            <w:tcW w:w="1076" w:type="pct"/>
            <w:tcBorders>
              <w:bottom w:val="single" w:sz="4"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Chapter</w:t>
            </w:r>
            <w:r>
              <w:rPr>
                <w:sz w:val="18"/>
                <w:szCs w:val="18"/>
              </w:rPr>
              <w:t>s</w:t>
            </w:r>
            <w:r w:rsidR="001D6DD4">
              <w:rPr>
                <w:sz w:val="18"/>
                <w:szCs w:val="18"/>
              </w:rPr>
              <w:t> </w:t>
            </w:r>
            <w:r>
              <w:rPr>
                <w:sz w:val="18"/>
                <w:szCs w:val="18"/>
              </w:rPr>
              <w:t>3 &amp;</w:t>
            </w:r>
            <w:r w:rsidRPr="00E45787">
              <w:rPr>
                <w:sz w:val="18"/>
                <w:szCs w:val="18"/>
              </w:rPr>
              <w:t xml:space="preserve"> 4 </w:t>
            </w:r>
          </w:p>
        </w:tc>
        <w:tc>
          <w:tcPr>
            <w:tcW w:w="849" w:type="pct"/>
            <w:tcBorders>
              <w:bottom w:val="single" w:sz="4" w:space="0" w:color="auto"/>
            </w:tcBorders>
          </w:tcPr>
          <w:p w:rsidR="00412472" w:rsidRPr="00E45787" w:rsidRDefault="00412472" w:rsidP="005A1C45">
            <w:pPr>
              <w:pStyle w:val="TableBodyText"/>
              <w:spacing w:before="40"/>
              <w:ind w:left="57"/>
              <w:jc w:val="left"/>
              <w:rPr>
                <w:sz w:val="18"/>
                <w:szCs w:val="18"/>
              </w:rPr>
            </w:pPr>
            <w:r w:rsidRPr="00E45787">
              <w:rPr>
                <w:sz w:val="18"/>
                <w:szCs w:val="18"/>
              </w:rPr>
              <w:t>Chapter</w:t>
            </w:r>
            <w:r>
              <w:rPr>
                <w:sz w:val="18"/>
                <w:szCs w:val="18"/>
              </w:rPr>
              <w:t>s</w:t>
            </w:r>
            <w:r w:rsidR="001D6DD4">
              <w:rPr>
                <w:sz w:val="18"/>
                <w:szCs w:val="18"/>
              </w:rPr>
              <w:t> </w:t>
            </w:r>
            <w:r w:rsidRPr="00E45787">
              <w:rPr>
                <w:sz w:val="18"/>
                <w:szCs w:val="18"/>
              </w:rPr>
              <w:t>3</w:t>
            </w:r>
            <w:r>
              <w:rPr>
                <w:sz w:val="18"/>
                <w:szCs w:val="18"/>
              </w:rPr>
              <w:t xml:space="preserve"> &amp; 4</w:t>
            </w:r>
          </w:p>
        </w:tc>
      </w:tr>
    </w:tbl>
    <w:p w:rsidR="00412472" w:rsidRDefault="00412472">
      <w:pPr>
        <w:pStyle w:val="BodyText"/>
      </w:pPr>
    </w:p>
    <w:p w:rsidR="00412472" w:rsidRDefault="00412472">
      <w:pPr>
        <w:pStyle w:val="BodyText"/>
        <w:sectPr w:rsidR="00412472">
          <w:headerReference w:type="even" r:id="rId15"/>
          <w:headerReference w:type="default" r:id="rId16"/>
          <w:footerReference w:type="even" r:id="rId17"/>
          <w:footerReference w:type="default" r:id="rId18"/>
          <w:footnotePr>
            <w:numStart w:val="66"/>
          </w:footnotePr>
          <w:pgSz w:w="16840" w:h="11907" w:orient="landscape" w:code="9"/>
          <w:pgMar w:top="1814" w:right="1985" w:bottom="1304" w:left="1418" w:header="1701" w:footer="567" w:gutter="0"/>
          <w:pgNumType w:chapSep="period"/>
          <w:cols w:space="720"/>
        </w:sectPr>
      </w:pPr>
    </w:p>
    <w:p w:rsidR="00412472" w:rsidRDefault="00FF1E48" w:rsidP="00412472">
      <w:pPr>
        <w:pStyle w:val="Heading2"/>
        <w:spacing w:before="120"/>
      </w:pPr>
      <w:r>
        <w:lastRenderedPageBreak/>
        <w:t>A.</w:t>
      </w:r>
      <w:r>
        <w:rPr>
          <w:noProof/>
        </w:rPr>
        <w:t>2</w:t>
      </w:r>
      <w:r w:rsidR="00412472" w:rsidRPr="00412472">
        <w:tab/>
      </w:r>
      <w:r w:rsidR="00667C43">
        <w:t>M</w:t>
      </w:r>
      <w:r w:rsidR="00412472" w:rsidRPr="00F20638">
        <w:t xml:space="preserve">ining industry </w:t>
      </w:r>
      <w:r w:rsidR="00667C43">
        <w:t xml:space="preserve">(natural </w:t>
      </w:r>
      <w:r w:rsidR="00412472" w:rsidRPr="00F20638">
        <w:t>resources sector</w:t>
      </w:r>
      <w:r w:rsidR="00667C43">
        <w:t>)</w:t>
      </w:r>
    </w:p>
    <w:p w:rsidR="00321E47" w:rsidRDefault="00321E47" w:rsidP="00321E47">
      <w:pPr>
        <w:pStyle w:val="BodyText"/>
      </w:pPr>
      <w:r>
        <w:t xml:space="preserve">A major focus of this supplement is on structural change and adjustment experienced by the ‘natural resources sector’ (the ‘resources sector’). For this purpose, the natural resources sector extends to, and is limited to, those businesses producing minerals and energy, or providing specialised services such as exploration services. </w:t>
      </w:r>
    </w:p>
    <w:p w:rsidR="00321E47" w:rsidRDefault="00321E47" w:rsidP="00321E47">
      <w:pPr>
        <w:pStyle w:val="BodyText"/>
      </w:pPr>
      <w:r>
        <w:t>The natural resource</w:t>
      </w:r>
      <w:r w:rsidR="006D1ABC">
        <w:t>s</w:t>
      </w:r>
      <w:r>
        <w:t xml:space="preserve"> sector, as defined, aligns with the ABS Mining industry division (ABS ANZSIC industry division B, table A.1). For this reason, throughout the report (in particular in chapters 5 and 6), the terms ‘Mining industry’, ‘mining sector’</w:t>
      </w:r>
      <w:r w:rsidR="00735813">
        <w:t>,</w:t>
      </w:r>
      <w:r>
        <w:t xml:space="preserve"> ‘natural resources sector’</w:t>
      </w:r>
      <w:r w:rsidR="00735813">
        <w:t xml:space="preserve"> and ‘resources sector’</w:t>
      </w:r>
      <w:r>
        <w:t xml:space="preserve"> are used interchangeably. </w:t>
      </w:r>
    </w:p>
    <w:p w:rsidR="00412472" w:rsidRDefault="00321E47" w:rsidP="00412472">
      <w:pPr>
        <w:pStyle w:val="BodyText"/>
      </w:pPr>
      <w:r>
        <w:t>The m</w:t>
      </w:r>
      <w:r w:rsidRPr="00B61BA9">
        <w:t xml:space="preserve">ining industry data </w:t>
      </w:r>
      <w:r>
        <w:t xml:space="preserve">in this supplement </w:t>
      </w:r>
      <w:r w:rsidRPr="00B61BA9">
        <w:t xml:space="preserve">are disaggregated </w:t>
      </w:r>
      <w:r>
        <w:t xml:space="preserve">into subdivisions using one of two approaches. The first </w:t>
      </w:r>
      <w:r w:rsidR="00F63360">
        <w:t>uses</w:t>
      </w:r>
      <w:r w:rsidRPr="00B61BA9">
        <w:t xml:space="preserve"> the ABS’s standard subdivision classification</w:t>
      </w:r>
      <w:r>
        <w:t>,</w:t>
      </w:r>
      <w:r w:rsidRPr="00B61BA9">
        <w:t xml:space="preserve"> which distinguishes five industries</w:t>
      </w:r>
      <w:r>
        <w:t>,</w:t>
      </w:r>
      <w:r w:rsidRPr="00B61BA9">
        <w:t xml:space="preserve"> </w:t>
      </w:r>
      <w:r>
        <w:t xml:space="preserve">and the second </w:t>
      </w:r>
      <w:r w:rsidR="00F63360">
        <w:t>uses</w:t>
      </w:r>
      <w:r w:rsidRPr="00B61BA9">
        <w:t xml:space="preserve"> the subdivision classification</w:t>
      </w:r>
      <w:r w:rsidR="00F63360">
        <w:t>, but with</w:t>
      </w:r>
      <w:r w:rsidRPr="00B61BA9">
        <w:t xml:space="preserve"> iron ore identified </w:t>
      </w:r>
      <w:r w:rsidR="00750651" w:rsidRPr="00B61BA9">
        <w:t xml:space="preserve">separately </w:t>
      </w:r>
      <w:r w:rsidRPr="00B61BA9">
        <w:t>from other metal ores (table </w:t>
      </w:r>
      <w:proofErr w:type="spellStart"/>
      <w:r w:rsidRPr="00B61BA9">
        <w:t>A.3</w:t>
      </w:r>
      <w:proofErr w:type="spellEnd"/>
      <w:r w:rsidRPr="00B61BA9">
        <w:t>).</w:t>
      </w:r>
      <w:r w:rsidR="00374870">
        <w:t xml:space="preserve"> </w:t>
      </w:r>
      <w:r>
        <w:t xml:space="preserve">Further details of the commodities and activities </w:t>
      </w:r>
      <w:r w:rsidR="002337E1">
        <w:t>covered by</w:t>
      </w:r>
      <w:r>
        <w:t xml:space="preserve"> each subdivision are provided in table </w:t>
      </w:r>
      <w:proofErr w:type="spellStart"/>
      <w:r>
        <w:t>A.4</w:t>
      </w:r>
      <w:proofErr w:type="spellEnd"/>
      <w:r>
        <w:t>.</w:t>
      </w:r>
    </w:p>
    <w:p w:rsidR="00412472" w:rsidRPr="002C44C4" w:rsidRDefault="00412472" w:rsidP="00412472">
      <w:pPr>
        <w:pStyle w:val="TableTitle"/>
      </w:pPr>
      <w:r>
        <w:rPr>
          <w:b w:val="0"/>
        </w:rPr>
        <w:t xml:space="preserve">Table </w:t>
      </w:r>
      <w:proofErr w:type="spellStart"/>
      <w:r w:rsidR="00FF1E48">
        <w:rPr>
          <w:b w:val="0"/>
        </w:rPr>
        <w:t>A.</w:t>
      </w:r>
      <w:r w:rsidR="00FF1E48">
        <w:rPr>
          <w:b w:val="0"/>
          <w:noProof/>
        </w:rPr>
        <w:t>3</w:t>
      </w:r>
      <w:proofErr w:type="spellEnd"/>
      <w:r>
        <w:tab/>
        <w:t xml:space="preserve">Mining industry </w:t>
      </w:r>
      <w:r w:rsidR="00321E47">
        <w:t>at different levels of aggregation</w:t>
      </w:r>
      <w:r w:rsidR="00D4424E" w:rsidRPr="00D4424E">
        <w:rPr>
          <w:rStyle w:val="NoteLabel"/>
          <w:b/>
        </w:rPr>
        <w:t>a</w:t>
      </w:r>
    </w:p>
    <w:tbl>
      <w:tblPr>
        <w:tblW w:w="5000" w:type="pct"/>
        <w:tblCellMar>
          <w:left w:w="0" w:type="dxa"/>
          <w:right w:w="0" w:type="dxa"/>
        </w:tblCellMar>
        <w:tblLook w:val="0000" w:firstRow="0" w:lastRow="0" w:firstColumn="0" w:lastColumn="0" w:noHBand="0" w:noVBand="0"/>
      </w:tblPr>
      <w:tblGrid>
        <w:gridCol w:w="1277"/>
        <w:gridCol w:w="3401"/>
        <w:gridCol w:w="4111"/>
      </w:tblGrid>
      <w:tr w:rsidR="00412472" w:rsidTr="00BF0601">
        <w:tc>
          <w:tcPr>
            <w:tcW w:w="726" w:type="pct"/>
            <w:tcBorders>
              <w:top w:val="single" w:sz="6" w:space="0" w:color="auto"/>
              <w:bottom w:val="single" w:sz="6" w:space="0" w:color="auto"/>
            </w:tcBorders>
            <w:shd w:val="clear" w:color="auto" w:fill="auto"/>
          </w:tcPr>
          <w:p w:rsidR="00412472" w:rsidRDefault="00412472" w:rsidP="005A1C45">
            <w:pPr>
              <w:pStyle w:val="TableColumnHeading"/>
              <w:jc w:val="left"/>
            </w:pPr>
            <w:r>
              <w:t>Industry division</w:t>
            </w:r>
          </w:p>
        </w:tc>
        <w:tc>
          <w:tcPr>
            <w:tcW w:w="1935" w:type="pct"/>
            <w:tcBorders>
              <w:top w:val="single" w:sz="6" w:space="0" w:color="auto"/>
              <w:bottom w:val="single" w:sz="6" w:space="0" w:color="auto"/>
            </w:tcBorders>
            <w:shd w:val="clear" w:color="auto" w:fill="auto"/>
          </w:tcPr>
          <w:p w:rsidR="00412472" w:rsidRDefault="00321E47" w:rsidP="005A1C45">
            <w:pPr>
              <w:pStyle w:val="TableColumnHeading"/>
              <w:ind w:left="113"/>
              <w:jc w:val="left"/>
            </w:pPr>
            <w:r>
              <w:t>Industry subdivision</w:t>
            </w:r>
          </w:p>
        </w:tc>
        <w:tc>
          <w:tcPr>
            <w:tcW w:w="2339" w:type="pct"/>
            <w:tcBorders>
              <w:top w:val="single" w:sz="6" w:space="0" w:color="auto"/>
              <w:bottom w:val="single" w:sz="6" w:space="0" w:color="auto"/>
            </w:tcBorders>
            <w:shd w:val="clear" w:color="auto" w:fill="auto"/>
          </w:tcPr>
          <w:p w:rsidR="00412472" w:rsidRDefault="00321E47" w:rsidP="00D4424E">
            <w:pPr>
              <w:pStyle w:val="TableColumnHeading"/>
              <w:ind w:left="113"/>
              <w:jc w:val="left"/>
            </w:pPr>
            <w:r>
              <w:t xml:space="preserve">Industry subdivision </w:t>
            </w:r>
            <w:r w:rsidR="00D4424E">
              <w:t xml:space="preserve">with </w:t>
            </w:r>
            <w:r w:rsidR="00412472">
              <w:t>iron ore separately identified</w:t>
            </w:r>
          </w:p>
        </w:tc>
      </w:tr>
      <w:tr w:rsidR="0006629F" w:rsidTr="00BF0601">
        <w:tc>
          <w:tcPr>
            <w:tcW w:w="726" w:type="pct"/>
            <w:vMerge w:val="restart"/>
            <w:tcBorders>
              <w:top w:val="single" w:sz="6" w:space="0" w:color="auto"/>
              <w:bottom w:val="single" w:sz="4" w:space="0" w:color="auto"/>
            </w:tcBorders>
            <w:vAlign w:val="center"/>
          </w:tcPr>
          <w:p w:rsidR="0006629F" w:rsidRDefault="0006629F" w:rsidP="00321E47">
            <w:pPr>
              <w:pStyle w:val="TableBodyText"/>
              <w:ind w:right="0"/>
              <w:jc w:val="left"/>
            </w:pPr>
            <w:r>
              <w:t>Mining</w:t>
            </w:r>
          </w:p>
        </w:tc>
        <w:tc>
          <w:tcPr>
            <w:tcW w:w="1935" w:type="pct"/>
            <w:tcBorders>
              <w:top w:val="single" w:sz="6" w:space="0" w:color="auto"/>
              <w:bottom w:val="dotted" w:sz="4" w:space="0" w:color="auto"/>
            </w:tcBorders>
          </w:tcPr>
          <w:p w:rsidR="0006629F" w:rsidRDefault="0006629F" w:rsidP="00984830">
            <w:pPr>
              <w:pStyle w:val="TableBodyText"/>
              <w:spacing w:before="80"/>
              <w:ind w:left="113"/>
              <w:jc w:val="left"/>
            </w:pPr>
            <w:r>
              <w:t>Coal mining</w:t>
            </w:r>
          </w:p>
        </w:tc>
        <w:tc>
          <w:tcPr>
            <w:tcW w:w="2339" w:type="pct"/>
            <w:tcBorders>
              <w:top w:val="single" w:sz="6" w:space="0" w:color="auto"/>
              <w:bottom w:val="dotted" w:sz="4" w:space="0" w:color="auto"/>
            </w:tcBorders>
          </w:tcPr>
          <w:p w:rsidR="0006629F" w:rsidRDefault="0006629F" w:rsidP="00984830">
            <w:pPr>
              <w:pStyle w:val="TableBodyText"/>
              <w:spacing w:before="80"/>
              <w:ind w:left="113"/>
              <w:jc w:val="left"/>
            </w:pPr>
            <w:r>
              <w:t>Coal mining</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Oil and gas extraction</w:t>
            </w:r>
          </w:p>
        </w:tc>
        <w:tc>
          <w:tcPr>
            <w:tcW w:w="2339"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Oil and gas extraction</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vMerge w:val="restart"/>
            <w:tcBorders>
              <w:top w:val="dotted" w:sz="4" w:space="0" w:color="auto"/>
              <w:bottom w:val="dotted" w:sz="4" w:space="0" w:color="auto"/>
            </w:tcBorders>
            <w:shd w:val="clear" w:color="auto" w:fill="auto"/>
          </w:tcPr>
          <w:p w:rsidR="0006629F" w:rsidRDefault="0006629F" w:rsidP="005A1C45">
            <w:pPr>
              <w:pStyle w:val="TableBodyText"/>
              <w:ind w:left="113"/>
              <w:jc w:val="left"/>
            </w:pPr>
            <w:r>
              <w:t>Metal ore mining</w:t>
            </w:r>
          </w:p>
        </w:tc>
        <w:tc>
          <w:tcPr>
            <w:tcW w:w="2339"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Iron ore mining</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vMerge/>
            <w:tcBorders>
              <w:bottom w:val="dotted" w:sz="4" w:space="0" w:color="auto"/>
            </w:tcBorders>
            <w:shd w:val="clear" w:color="auto" w:fill="auto"/>
          </w:tcPr>
          <w:p w:rsidR="0006629F" w:rsidRDefault="0006629F" w:rsidP="005A1C45">
            <w:pPr>
              <w:pStyle w:val="TableBodyText"/>
              <w:ind w:left="113"/>
              <w:jc w:val="left"/>
            </w:pPr>
          </w:p>
        </w:tc>
        <w:tc>
          <w:tcPr>
            <w:tcW w:w="2339"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Non</w:t>
            </w:r>
            <w:r>
              <w:noBreakHyphen/>
              <w:t>ferrous metal mining</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tcBorders>
              <w:top w:val="dotted" w:sz="4" w:space="0" w:color="auto"/>
              <w:bottom w:val="dotted" w:sz="4" w:space="0" w:color="auto"/>
            </w:tcBorders>
            <w:shd w:val="clear" w:color="auto" w:fill="auto"/>
          </w:tcPr>
          <w:p w:rsidR="0006629F" w:rsidRDefault="00BE16C4" w:rsidP="005A1C45">
            <w:pPr>
              <w:pStyle w:val="TableBodyText"/>
              <w:ind w:left="113"/>
              <w:jc w:val="left"/>
            </w:pPr>
            <w:r>
              <w:t>Non</w:t>
            </w:r>
            <w:r>
              <w:noBreakHyphen/>
            </w:r>
            <w:r w:rsidR="0006629F">
              <w:t>metallic minerals mining</w:t>
            </w:r>
          </w:p>
        </w:tc>
        <w:tc>
          <w:tcPr>
            <w:tcW w:w="2339"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Non</w:t>
            </w:r>
            <w:r>
              <w:noBreakHyphen/>
              <w:t>metallic minerals mining and quarrying</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Exploration and services to mining</w:t>
            </w:r>
          </w:p>
        </w:tc>
        <w:tc>
          <w:tcPr>
            <w:tcW w:w="2339" w:type="pct"/>
            <w:tcBorders>
              <w:top w:val="dotted" w:sz="4" w:space="0" w:color="auto"/>
              <w:bottom w:val="dotted" w:sz="4" w:space="0" w:color="auto"/>
            </w:tcBorders>
            <w:shd w:val="clear" w:color="auto" w:fill="auto"/>
          </w:tcPr>
          <w:p w:rsidR="0006629F" w:rsidRDefault="0006629F" w:rsidP="005A1C45">
            <w:pPr>
              <w:pStyle w:val="TableBodyText"/>
              <w:ind w:left="113"/>
              <w:jc w:val="left"/>
            </w:pPr>
            <w:r>
              <w:t>Exploration and services to mining</w:t>
            </w:r>
          </w:p>
        </w:tc>
      </w:tr>
      <w:tr w:rsidR="0006629F" w:rsidTr="00BF0601">
        <w:tc>
          <w:tcPr>
            <w:tcW w:w="726" w:type="pct"/>
            <w:vMerge/>
            <w:tcBorders>
              <w:bottom w:val="single" w:sz="4" w:space="0" w:color="auto"/>
            </w:tcBorders>
            <w:shd w:val="clear" w:color="auto" w:fill="auto"/>
          </w:tcPr>
          <w:p w:rsidR="0006629F" w:rsidRDefault="0006629F" w:rsidP="005A1C45">
            <w:pPr>
              <w:pStyle w:val="TableBodyText"/>
              <w:jc w:val="left"/>
            </w:pPr>
          </w:p>
        </w:tc>
        <w:tc>
          <w:tcPr>
            <w:tcW w:w="1935" w:type="pct"/>
            <w:tcBorders>
              <w:top w:val="dotted" w:sz="4" w:space="0" w:color="auto"/>
              <w:bottom w:val="single" w:sz="4" w:space="0" w:color="auto"/>
            </w:tcBorders>
            <w:shd w:val="clear" w:color="auto" w:fill="auto"/>
          </w:tcPr>
          <w:p w:rsidR="0006629F" w:rsidRDefault="0006629F" w:rsidP="005A1C45">
            <w:pPr>
              <w:pStyle w:val="TableBodyText"/>
              <w:ind w:left="113"/>
              <w:jc w:val="left"/>
            </w:pPr>
            <w:r>
              <w:t>Mining (not further defined)</w:t>
            </w:r>
          </w:p>
        </w:tc>
        <w:tc>
          <w:tcPr>
            <w:tcW w:w="2339" w:type="pct"/>
            <w:tcBorders>
              <w:top w:val="dotted" w:sz="4" w:space="0" w:color="auto"/>
              <w:bottom w:val="single" w:sz="4" w:space="0" w:color="auto"/>
            </w:tcBorders>
            <w:shd w:val="clear" w:color="auto" w:fill="auto"/>
          </w:tcPr>
          <w:p w:rsidR="0006629F" w:rsidRDefault="0006629F" w:rsidP="005A1C45">
            <w:pPr>
              <w:pStyle w:val="TableBodyText"/>
              <w:ind w:left="113"/>
              <w:jc w:val="left"/>
            </w:pPr>
            <w:r>
              <w:t>Mining (not further defined)</w:t>
            </w:r>
          </w:p>
        </w:tc>
      </w:tr>
    </w:tbl>
    <w:p w:rsidR="00901DFE" w:rsidRPr="00D4424E" w:rsidRDefault="00901DFE" w:rsidP="00901DFE">
      <w:pPr>
        <w:pStyle w:val="Source"/>
        <w:spacing w:after="0"/>
      </w:pPr>
      <w:r w:rsidRPr="00D4424E">
        <w:rPr>
          <w:rStyle w:val="NoteLabel"/>
        </w:rPr>
        <w:t>a</w:t>
      </w:r>
      <w:r w:rsidRPr="00D4424E">
        <w:t xml:space="preserve"> </w:t>
      </w:r>
      <w:r w:rsidRPr="00321E47">
        <w:t xml:space="preserve">‘Mining (not further defined)’ </w:t>
      </w:r>
      <w:r>
        <w:t>refers</w:t>
      </w:r>
      <w:r w:rsidRPr="00321E47">
        <w:t xml:space="preserve"> to industry activity that cannot be classified due to insufficient detail being provided. This category came into use from 2000 onwards. Prior to 2000, unclassifiable observations were </w:t>
      </w:r>
      <w:r w:rsidR="006D1ABC">
        <w:t>included</w:t>
      </w:r>
      <w:r w:rsidRPr="00321E47">
        <w:t xml:space="preserve"> as a fixed share of other subdivisions. The ABS advises that the ‘Mining (not further defined)’ category can include ‘new’ types of industry activity that are yet to be formerly classified.</w:t>
      </w:r>
    </w:p>
    <w:p w:rsidR="00412472" w:rsidRDefault="00412472" w:rsidP="00412472">
      <w:pPr>
        <w:pStyle w:val="Source"/>
      </w:pPr>
      <w:r w:rsidRPr="00005626">
        <w:rPr>
          <w:i/>
        </w:rPr>
        <w:t>Source</w:t>
      </w:r>
      <w:r>
        <w:t xml:space="preserve">: </w:t>
      </w:r>
      <w:r w:rsidR="00C431D3" w:rsidRPr="00F20638">
        <w:t>ABS (</w:t>
      </w:r>
      <w:r w:rsidR="00005626" w:rsidRPr="00005626">
        <w:rPr>
          <w:i/>
        </w:rPr>
        <w:t>Australian and New Zealand Standard Industrial Classification (ANZSIC)</w:t>
      </w:r>
      <w:r w:rsidR="00005626">
        <w:t>, Cat. no. 1292.0</w:t>
      </w:r>
      <w:r w:rsidR="00C431D3" w:rsidRPr="00F20638">
        <w:t>)</w:t>
      </w:r>
      <w:r>
        <w:t>.</w:t>
      </w:r>
    </w:p>
    <w:p w:rsidR="00412472" w:rsidRDefault="00412472" w:rsidP="00412472">
      <w:pPr>
        <w:pStyle w:val="BodyText"/>
      </w:pPr>
      <w:r>
        <w:t>Non</w:t>
      </w:r>
      <w:r w:rsidR="001D6DD4">
        <w:noBreakHyphen/>
      </w:r>
      <w:r>
        <w:t>ABS data are also presented in chapter</w:t>
      </w:r>
      <w:r w:rsidR="001D6DD4">
        <w:t> </w:t>
      </w:r>
      <w:r>
        <w:t>6</w:t>
      </w:r>
      <w:r w:rsidR="00B3567B">
        <w:t xml:space="preserve"> of this supplement</w:t>
      </w:r>
      <w:r>
        <w:t xml:space="preserve">, for individual minerals such as manganese, uranium oxide and thermal coal. These detailed data are intended to illustrate production and price trends occurring within the disaggregated industries. For example, data for liquefied natural gas, liquefied petroleum gas and crude oil condensate are reported to distinguish trends occurring within the Oil and gas extraction industry. The data were obtained from the Bureau of Resources and Energy Economics (and its predecessor, the Australian Bureau of </w:t>
      </w:r>
      <w:r>
        <w:lastRenderedPageBreak/>
        <w:t>Agriculture and Resource Economics and Sciences), the Organization of the Petroleum Exporting Countries and the Reserve Bank of Australia.</w:t>
      </w:r>
      <w:r w:rsidR="00B3567B">
        <w:t xml:space="preserve"> Detailed sources are indicated in notes underlying the relevant tables and figures</w:t>
      </w:r>
      <w:r w:rsidR="006D1ABC">
        <w:t xml:space="preserve"> in chapter 6</w:t>
      </w:r>
      <w:r w:rsidR="00B3567B">
        <w:t xml:space="preserve">. </w:t>
      </w:r>
    </w:p>
    <w:p w:rsidR="00412472" w:rsidRPr="00412472" w:rsidRDefault="00412472" w:rsidP="00412472">
      <w:pPr>
        <w:pStyle w:val="BodyText"/>
      </w:pPr>
    </w:p>
    <w:p w:rsidR="00412472" w:rsidRDefault="00412472">
      <w:pPr>
        <w:pStyle w:val="BodyText"/>
        <w:sectPr w:rsidR="00412472">
          <w:headerReference w:type="even" r:id="rId19"/>
          <w:headerReference w:type="default" r:id="rId20"/>
          <w:footerReference w:type="even" r:id="rId21"/>
          <w:footerReference w:type="default" r:id="rId22"/>
          <w:footnotePr>
            <w:numStart w:val="66"/>
          </w:footnotePr>
          <w:pgSz w:w="11907" w:h="16840" w:code="9"/>
          <w:pgMar w:top="1985" w:right="1304" w:bottom="1418" w:left="1814" w:header="1701" w:footer="567" w:gutter="0"/>
          <w:pgNumType w:chapSep="period"/>
          <w:cols w:space="720"/>
        </w:sectPr>
      </w:pPr>
    </w:p>
    <w:p w:rsidR="00412472" w:rsidRPr="002C44C4" w:rsidRDefault="00412472" w:rsidP="00412472">
      <w:pPr>
        <w:pStyle w:val="TableTitle"/>
      </w:pPr>
      <w:r w:rsidRPr="006002A6">
        <w:rPr>
          <w:b w:val="0"/>
        </w:rPr>
        <w:lastRenderedPageBreak/>
        <w:t xml:space="preserve">Table </w:t>
      </w:r>
      <w:proofErr w:type="spellStart"/>
      <w:r w:rsidR="00FF1E48">
        <w:rPr>
          <w:b w:val="0"/>
        </w:rPr>
        <w:t>A.</w:t>
      </w:r>
      <w:r w:rsidR="00FF1E48">
        <w:rPr>
          <w:b w:val="0"/>
          <w:noProof/>
        </w:rPr>
        <w:t>4</w:t>
      </w:r>
      <w:proofErr w:type="spellEnd"/>
      <w:r>
        <w:tab/>
        <w:t>M</w:t>
      </w:r>
      <w:r w:rsidR="00D56675">
        <w:t>ain commodities and activities represented in the Mining industry, by subdivision</w:t>
      </w:r>
    </w:p>
    <w:tbl>
      <w:tblPr>
        <w:tblW w:w="5000" w:type="pct"/>
        <w:tblCellMar>
          <w:left w:w="0" w:type="dxa"/>
          <w:right w:w="0" w:type="dxa"/>
        </w:tblCellMar>
        <w:tblLook w:val="0000" w:firstRow="0" w:lastRow="0" w:firstColumn="0" w:lastColumn="0" w:noHBand="0" w:noVBand="0"/>
      </w:tblPr>
      <w:tblGrid>
        <w:gridCol w:w="1390"/>
        <w:gridCol w:w="1577"/>
        <w:gridCol w:w="2039"/>
        <w:gridCol w:w="3783"/>
      </w:tblGrid>
      <w:tr w:rsidR="00412472" w:rsidTr="00BF0601">
        <w:tc>
          <w:tcPr>
            <w:tcW w:w="791" w:type="pct"/>
            <w:tcBorders>
              <w:top w:val="single" w:sz="6" w:space="0" w:color="auto"/>
              <w:bottom w:val="single" w:sz="6" w:space="0" w:color="auto"/>
            </w:tcBorders>
            <w:shd w:val="clear" w:color="auto" w:fill="auto"/>
          </w:tcPr>
          <w:p w:rsidR="00412472" w:rsidRPr="004834E5" w:rsidRDefault="00D56675" w:rsidP="005A1C45">
            <w:pPr>
              <w:pStyle w:val="TableColumnHeading"/>
              <w:jc w:val="left"/>
            </w:pPr>
            <w:r>
              <w:t>Industry s</w:t>
            </w:r>
            <w:r w:rsidR="00412472" w:rsidRPr="004834E5">
              <w:t>ubdivision</w:t>
            </w:r>
          </w:p>
        </w:tc>
        <w:tc>
          <w:tcPr>
            <w:tcW w:w="897" w:type="pct"/>
            <w:tcBorders>
              <w:top w:val="single" w:sz="6" w:space="0" w:color="auto"/>
              <w:bottom w:val="single" w:sz="6" w:space="0" w:color="auto"/>
            </w:tcBorders>
            <w:shd w:val="clear" w:color="auto" w:fill="auto"/>
          </w:tcPr>
          <w:p w:rsidR="00412472" w:rsidRPr="004834E5" w:rsidRDefault="00412472" w:rsidP="005A1C45">
            <w:pPr>
              <w:pStyle w:val="TableColumnHeading"/>
              <w:ind w:left="113"/>
              <w:jc w:val="left"/>
            </w:pPr>
            <w:r w:rsidRPr="004834E5">
              <w:t>ABS Group Code</w:t>
            </w:r>
          </w:p>
        </w:tc>
        <w:tc>
          <w:tcPr>
            <w:tcW w:w="1160" w:type="pct"/>
            <w:tcBorders>
              <w:top w:val="single" w:sz="6" w:space="0" w:color="auto"/>
              <w:bottom w:val="single" w:sz="6" w:space="0" w:color="auto"/>
            </w:tcBorders>
          </w:tcPr>
          <w:p w:rsidR="00412472" w:rsidRPr="004834E5" w:rsidRDefault="00412472" w:rsidP="005A1C45">
            <w:pPr>
              <w:pStyle w:val="TableColumnHeading"/>
              <w:ind w:left="113"/>
              <w:jc w:val="left"/>
            </w:pPr>
            <w:r w:rsidRPr="004834E5">
              <w:t xml:space="preserve">ABS Class </w:t>
            </w:r>
            <w:r w:rsidR="00681158">
              <w:t>C</w:t>
            </w:r>
            <w:r w:rsidRPr="004834E5">
              <w:t>odes</w:t>
            </w:r>
          </w:p>
        </w:tc>
        <w:tc>
          <w:tcPr>
            <w:tcW w:w="2152" w:type="pct"/>
            <w:tcBorders>
              <w:top w:val="single" w:sz="6" w:space="0" w:color="auto"/>
              <w:bottom w:val="single" w:sz="6" w:space="0" w:color="auto"/>
            </w:tcBorders>
          </w:tcPr>
          <w:p w:rsidR="00412472" w:rsidRPr="004834E5" w:rsidRDefault="00412472" w:rsidP="005A1C45">
            <w:pPr>
              <w:pStyle w:val="TableColumnHeading"/>
              <w:ind w:left="113"/>
              <w:jc w:val="left"/>
            </w:pPr>
            <w:r w:rsidRPr="004834E5">
              <w:t>Main commodities and activities</w:t>
            </w:r>
          </w:p>
        </w:tc>
      </w:tr>
      <w:tr w:rsidR="00412472" w:rsidTr="00BF0601">
        <w:tc>
          <w:tcPr>
            <w:tcW w:w="791" w:type="pct"/>
            <w:tcBorders>
              <w:top w:val="single" w:sz="6" w:space="0" w:color="auto"/>
              <w:bottom w:val="dotted" w:sz="4" w:space="0" w:color="auto"/>
            </w:tcBorders>
          </w:tcPr>
          <w:p w:rsidR="00412472" w:rsidRPr="004834E5" w:rsidRDefault="00412472" w:rsidP="00984830">
            <w:pPr>
              <w:pStyle w:val="TableBodyText"/>
              <w:spacing w:before="80"/>
              <w:jc w:val="left"/>
            </w:pPr>
            <w:r w:rsidRPr="004834E5">
              <w:t>Coal mining</w:t>
            </w:r>
          </w:p>
        </w:tc>
        <w:tc>
          <w:tcPr>
            <w:tcW w:w="897" w:type="pct"/>
            <w:tcBorders>
              <w:top w:val="single" w:sz="6" w:space="0" w:color="auto"/>
              <w:bottom w:val="dotted" w:sz="4" w:space="0" w:color="auto"/>
            </w:tcBorders>
          </w:tcPr>
          <w:p w:rsidR="00412472" w:rsidRPr="004834E5" w:rsidRDefault="00412472" w:rsidP="00984830">
            <w:pPr>
              <w:pStyle w:val="TableBodyText"/>
              <w:spacing w:before="80"/>
              <w:ind w:left="113"/>
              <w:jc w:val="left"/>
            </w:pPr>
            <w:r w:rsidRPr="004834E5">
              <w:t>Coal mining</w:t>
            </w:r>
          </w:p>
        </w:tc>
        <w:tc>
          <w:tcPr>
            <w:tcW w:w="1160" w:type="pct"/>
            <w:tcBorders>
              <w:top w:val="single" w:sz="6" w:space="0" w:color="auto"/>
              <w:bottom w:val="dotted" w:sz="4" w:space="0" w:color="auto"/>
            </w:tcBorders>
          </w:tcPr>
          <w:p w:rsidR="00412472" w:rsidRPr="004834E5" w:rsidRDefault="00412472" w:rsidP="00984830">
            <w:pPr>
              <w:pStyle w:val="TableBodyText"/>
              <w:spacing w:before="80"/>
              <w:ind w:left="113"/>
              <w:jc w:val="left"/>
            </w:pPr>
            <w:r w:rsidRPr="004834E5">
              <w:t>Coal mining</w:t>
            </w:r>
          </w:p>
        </w:tc>
        <w:tc>
          <w:tcPr>
            <w:tcW w:w="2152" w:type="pct"/>
            <w:tcBorders>
              <w:top w:val="single" w:sz="6" w:space="0" w:color="auto"/>
              <w:bottom w:val="dotted" w:sz="4" w:space="0" w:color="auto"/>
            </w:tcBorders>
          </w:tcPr>
          <w:p w:rsidR="00412472" w:rsidRPr="004834E5" w:rsidRDefault="00412472" w:rsidP="00984830">
            <w:pPr>
              <w:pStyle w:val="TableBodyText"/>
              <w:spacing w:before="80"/>
              <w:ind w:left="113"/>
              <w:jc w:val="left"/>
            </w:pPr>
            <w:r w:rsidRPr="004834E5">
              <w:t>Black (thermal and metallurgical</w:t>
            </w:r>
            <w:r>
              <w:t>)</w:t>
            </w:r>
            <w:r w:rsidRPr="004834E5">
              <w:t xml:space="preserve"> coal, brown coal, lignite</w:t>
            </w:r>
            <w:r>
              <w:t xml:space="preserve"> and</w:t>
            </w:r>
            <w:r w:rsidRPr="004834E5">
              <w:t xml:space="preserve"> peat</w:t>
            </w:r>
          </w:p>
        </w:tc>
      </w:tr>
      <w:tr w:rsidR="00412472" w:rsidTr="00BF0601">
        <w:tc>
          <w:tcPr>
            <w:tcW w:w="791" w:type="pct"/>
            <w:tcBorders>
              <w:top w:val="dotted" w:sz="4" w:space="0" w:color="auto"/>
              <w:bottom w:val="dotted" w:sz="4" w:space="0" w:color="auto"/>
            </w:tcBorders>
            <w:shd w:val="clear" w:color="auto" w:fill="auto"/>
          </w:tcPr>
          <w:p w:rsidR="00412472" w:rsidRPr="004834E5" w:rsidRDefault="00412472" w:rsidP="005A1C45">
            <w:pPr>
              <w:pStyle w:val="TableBodyText"/>
              <w:jc w:val="left"/>
            </w:pPr>
            <w:r w:rsidRPr="004834E5">
              <w:t>Oil and gas extraction</w:t>
            </w:r>
          </w:p>
        </w:tc>
        <w:tc>
          <w:tcPr>
            <w:tcW w:w="897" w:type="pc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Oil and gas extraction</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Oil and gas extraction</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Crude oil, natural gas, petroleum gas, and shale oil</w:t>
            </w:r>
          </w:p>
        </w:tc>
      </w:tr>
      <w:tr w:rsidR="00412472" w:rsidTr="00BF0601">
        <w:tc>
          <w:tcPr>
            <w:tcW w:w="791" w:type="pct"/>
            <w:vMerge w:val="restart"/>
            <w:tcBorders>
              <w:top w:val="dotted" w:sz="4" w:space="0" w:color="auto"/>
              <w:bottom w:val="dotted" w:sz="4" w:space="0" w:color="auto"/>
            </w:tcBorders>
            <w:shd w:val="clear" w:color="auto" w:fill="auto"/>
          </w:tcPr>
          <w:p w:rsidR="00412472" w:rsidRPr="004834E5" w:rsidRDefault="00412472" w:rsidP="005A1C45">
            <w:pPr>
              <w:pStyle w:val="TableBodyText"/>
              <w:jc w:val="left"/>
            </w:pPr>
            <w:r>
              <w:t>Metal ore mining</w:t>
            </w:r>
          </w:p>
        </w:tc>
        <w:tc>
          <w:tcPr>
            <w:tcW w:w="897" w:type="pc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Iron ore mining</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Iron ore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Iron ore and iron sand</w:t>
            </w:r>
          </w:p>
        </w:tc>
      </w:tr>
      <w:tr w:rsidR="00412472" w:rsidTr="00BF0601">
        <w:tc>
          <w:tcPr>
            <w:tcW w:w="791" w:type="pct"/>
            <w:vMerge/>
            <w:tcBorders>
              <w:top w:val="dotted" w:sz="4" w:space="0" w:color="auto"/>
              <w:bottom w:val="dotted" w:sz="4" w:space="0" w:color="auto"/>
            </w:tcBorders>
            <w:shd w:val="clear" w:color="auto" w:fill="auto"/>
          </w:tcPr>
          <w:p w:rsidR="00412472" w:rsidRPr="004834E5" w:rsidRDefault="00412472" w:rsidP="005A1C45">
            <w:pPr>
              <w:pStyle w:val="TableBodyText"/>
              <w:jc w:val="left"/>
            </w:pPr>
          </w:p>
        </w:tc>
        <w:tc>
          <w:tcPr>
            <w:tcW w:w="897" w:type="pct"/>
            <w:vMerge w:val="restar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Non</w:t>
            </w:r>
            <w:r w:rsidR="001D6DD4">
              <w:noBreakHyphen/>
            </w:r>
            <w:r w:rsidRPr="004834E5">
              <w:t>ferrous metal mining</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Bauxite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Aluminium ore and bauxite</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tcBorders>
              <w:top w:val="dotted" w:sz="4" w:space="0" w:color="auto"/>
            </w:tcBorders>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Copper ore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Copper ore</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Gold ore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Gold</w:t>
            </w:r>
            <w:r>
              <w:t xml:space="preserve"> ore</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Mineral sand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proofErr w:type="spellStart"/>
            <w:r w:rsidRPr="004834E5">
              <w:t>Ilmenite</w:t>
            </w:r>
            <w:proofErr w:type="spellEnd"/>
            <w:r w:rsidRPr="004834E5">
              <w:t>, leucoxene, mineral sands, monazite sand, rutile sand, synthetic rutile and zircon sand</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Nickel ore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Nickel ore</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Silver</w:t>
            </w:r>
            <w:r w:rsidR="001D6DD4">
              <w:noBreakHyphen/>
            </w:r>
            <w:r w:rsidRPr="004834E5">
              <w:t>Lead</w:t>
            </w:r>
            <w:r w:rsidR="001D6DD4">
              <w:noBreakHyphen/>
            </w:r>
            <w:r w:rsidRPr="004834E5">
              <w:t>Zinc ore mining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t>Lead, silver and zinc</w:t>
            </w:r>
            <w:r w:rsidRPr="004834E5">
              <w:t xml:space="preserve"> ore</w:t>
            </w:r>
          </w:p>
        </w:tc>
      </w:tr>
      <w:tr w:rsidR="00412472" w:rsidTr="00BF0601">
        <w:tc>
          <w:tcPr>
            <w:tcW w:w="791" w:type="pct"/>
            <w:vMerge/>
            <w:shd w:val="clear" w:color="auto" w:fill="auto"/>
          </w:tcPr>
          <w:p w:rsidR="00412472" w:rsidRPr="004834E5" w:rsidRDefault="00412472" w:rsidP="005A1C45">
            <w:pPr>
              <w:pStyle w:val="TableBodyText"/>
              <w:jc w:val="left"/>
            </w:pPr>
          </w:p>
        </w:tc>
        <w:tc>
          <w:tcPr>
            <w:tcW w:w="897" w:type="pct"/>
            <w:vMerge/>
            <w:tcBorders>
              <w:bottom w:val="dotted" w:sz="4" w:space="0" w:color="auto"/>
            </w:tcBorders>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Other metal ore mining</w:t>
            </w:r>
          </w:p>
        </w:tc>
        <w:tc>
          <w:tcPr>
            <w:tcW w:w="2152" w:type="pct"/>
            <w:tcBorders>
              <w:top w:val="dotted" w:sz="4" w:space="0" w:color="auto"/>
              <w:bottom w:val="dotted" w:sz="4" w:space="0" w:color="auto"/>
            </w:tcBorders>
          </w:tcPr>
          <w:p w:rsidR="00412472" w:rsidRPr="004834E5" w:rsidRDefault="00412472" w:rsidP="00681158">
            <w:pPr>
              <w:pStyle w:val="TableBodyText"/>
              <w:ind w:left="113"/>
              <w:jc w:val="left"/>
            </w:pPr>
            <w:r w:rsidRPr="004834E5">
              <w:t xml:space="preserve">Antimony, beryllium, bismuth, </w:t>
            </w:r>
            <w:r w:rsidR="00681158">
              <w:t>i</w:t>
            </w:r>
            <w:r w:rsidR="00681158" w:rsidRPr="004834E5">
              <w:t xml:space="preserve">ron </w:t>
            </w:r>
            <w:r w:rsidRPr="004834E5">
              <w:t xml:space="preserve">pyrite, manganese, </w:t>
            </w:r>
            <w:proofErr w:type="spellStart"/>
            <w:r w:rsidRPr="004834E5">
              <w:t>molybdenite</w:t>
            </w:r>
            <w:proofErr w:type="spellEnd"/>
            <w:r w:rsidRPr="004834E5">
              <w:t>, platinum, tantalite, tin, tungsten and uranium</w:t>
            </w:r>
          </w:p>
        </w:tc>
      </w:tr>
      <w:tr w:rsidR="00412472" w:rsidTr="00BF0601">
        <w:tc>
          <w:tcPr>
            <w:tcW w:w="791" w:type="pct"/>
            <w:vMerge w:val="restart"/>
            <w:tcBorders>
              <w:bottom w:val="dotted" w:sz="4" w:space="0" w:color="auto"/>
            </w:tcBorders>
            <w:shd w:val="clear" w:color="auto" w:fill="auto"/>
          </w:tcPr>
          <w:p w:rsidR="00412472" w:rsidRPr="004834E5" w:rsidRDefault="00412472" w:rsidP="005A1C45">
            <w:pPr>
              <w:pStyle w:val="TableBodyText"/>
              <w:jc w:val="left"/>
            </w:pPr>
            <w:r w:rsidRPr="004834E5">
              <w:t>Non</w:t>
            </w:r>
            <w:r w:rsidR="001D6DD4">
              <w:noBreakHyphen/>
            </w:r>
            <w:r w:rsidRPr="004834E5">
              <w:t>metallic minerals mining and quarrying</w:t>
            </w:r>
          </w:p>
        </w:tc>
        <w:tc>
          <w:tcPr>
            <w:tcW w:w="897" w:type="pct"/>
            <w:vMerge w:val="restar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Construction material mining</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Gravel and sand quarrying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Pebble, river gravel, ornamental rock</w:t>
            </w:r>
            <w:r>
              <w:t xml:space="preserve"> and</w:t>
            </w:r>
            <w:r w:rsidRPr="004834E5">
              <w:t xml:space="preserve"> sand</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vMerge/>
            <w:tcBorders>
              <w:bottom w:val="dotted" w:sz="4" w:space="0" w:color="auto"/>
            </w:tcBorders>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Other construction material quarrying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 xml:space="preserve">Aggregate, </w:t>
            </w:r>
            <w:proofErr w:type="spellStart"/>
            <w:r w:rsidRPr="004834E5">
              <w:t>bentonite</w:t>
            </w:r>
            <w:proofErr w:type="spellEnd"/>
            <w:r w:rsidRPr="004834E5">
              <w:t>, blue stone, brick shale, building stone, cement clay, chalk, clay, earth or soil filling, granite, limestone, marble, sandstone, slate, stone and tile clay</w:t>
            </w:r>
          </w:p>
        </w:tc>
      </w:tr>
      <w:tr w:rsidR="00412472" w:rsidTr="00BF0601">
        <w:tc>
          <w:tcPr>
            <w:tcW w:w="791" w:type="pct"/>
            <w:vMerge/>
            <w:tcBorders>
              <w:bottom w:val="dotted" w:sz="4" w:space="0" w:color="auto"/>
            </w:tcBorders>
            <w:shd w:val="clear" w:color="auto" w:fill="auto"/>
          </w:tcPr>
          <w:p w:rsidR="00412472" w:rsidRPr="004834E5" w:rsidRDefault="00412472" w:rsidP="005A1C45">
            <w:pPr>
              <w:pStyle w:val="TableBodyText"/>
              <w:jc w:val="left"/>
            </w:pPr>
          </w:p>
        </w:tc>
        <w:tc>
          <w:tcPr>
            <w:tcW w:w="897" w:type="pc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 xml:space="preserve">Other </w:t>
            </w:r>
            <w:proofErr w:type="spellStart"/>
            <w:r w:rsidRPr="004834E5">
              <w:t>non</w:t>
            </w:r>
            <w:r w:rsidR="001D6DD4">
              <w:noBreakHyphen/>
            </w:r>
            <w:r w:rsidRPr="004834E5">
              <w:t>metallic</w:t>
            </w:r>
            <w:proofErr w:type="spellEnd"/>
            <w:r w:rsidRPr="004834E5">
              <w:t xml:space="preserve"> mineral mining and quarrying</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 xml:space="preserve">Other </w:t>
            </w:r>
            <w:proofErr w:type="spellStart"/>
            <w:r w:rsidRPr="004834E5">
              <w:t>non</w:t>
            </w:r>
            <w:r w:rsidR="001D6DD4">
              <w:noBreakHyphen/>
            </w:r>
            <w:r w:rsidRPr="004834E5">
              <w:t>metallic</w:t>
            </w:r>
            <w:proofErr w:type="spellEnd"/>
            <w:r w:rsidRPr="004834E5">
              <w:t xml:space="preserve"> mineral mining and quarrying</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 xml:space="preserve">Alabaster, </w:t>
            </w:r>
            <w:proofErr w:type="spellStart"/>
            <w:r w:rsidRPr="004834E5">
              <w:t>alunite</w:t>
            </w:r>
            <w:proofErr w:type="spellEnd"/>
            <w:r w:rsidRPr="004834E5">
              <w:t xml:space="preserve">, barite, </w:t>
            </w:r>
            <w:proofErr w:type="spellStart"/>
            <w:r w:rsidRPr="004834E5">
              <w:t>chrysoprase</w:t>
            </w:r>
            <w:proofErr w:type="spellEnd"/>
            <w:r w:rsidRPr="004834E5">
              <w:t xml:space="preserve">, diatomite, </w:t>
            </w:r>
            <w:proofErr w:type="spellStart"/>
            <w:r w:rsidRPr="004834E5">
              <w:t>felspar</w:t>
            </w:r>
            <w:proofErr w:type="spellEnd"/>
            <w:r w:rsidRPr="004834E5">
              <w:t xml:space="preserve">, flint, fluorspar, gemstone, </w:t>
            </w:r>
            <w:proofErr w:type="spellStart"/>
            <w:r w:rsidRPr="004834E5">
              <w:t>glauconite</w:t>
            </w:r>
            <w:proofErr w:type="spellEnd"/>
            <w:r w:rsidRPr="004834E5">
              <w:t xml:space="preserve">, graphite, gypsum, jade, </w:t>
            </w:r>
            <w:proofErr w:type="spellStart"/>
            <w:r w:rsidRPr="004834E5">
              <w:t>kyanite</w:t>
            </w:r>
            <w:proofErr w:type="spellEnd"/>
            <w:r w:rsidRPr="004834E5">
              <w:t xml:space="preserve">, lithium, </w:t>
            </w:r>
            <w:proofErr w:type="spellStart"/>
            <w:r w:rsidRPr="004834E5">
              <w:t>magnesite</w:t>
            </w:r>
            <w:proofErr w:type="spellEnd"/>
            <w:r w:rsidRPr="004834E5">
              <w:t xml:space="preserve">, mica, opal, </w:t>
            </w:r>
            <w:r w:rsidR="004D1C90" w:rsidRPr="004834E5">
              <w:t>phosphate,</w:t>
            </w:r>
            <w:r w:rsidR="004D1C90">
              <w:t xml:space="preserve"> </w:t>
            </w:r>
            <w:r w:rsidR="004D1C90" w:rsidRPr="004834E5">
              <w:t>quartz</w:t>
            </w:r>
            <w:r w:rsidRPr="004834E5">
              <w:t>, salt, silica, talc, vermiculite</w:t>
            </w:r>
            <w:r>
              <w:t xml:space="preserve"> and</w:t>
            </w:r>
            <w:r w:rsidRPr="004834E5">
              <w:t xml:space="preserve"> zeolite</w:t>
            </w:r>
          </w:p>
        </w:tc>
      </w:tr>
      <w:tr w:rsidR="00412472" w:rsidTr="00BF0601">
        <w:tc>
          <w:tcPr>
            <w:tcW w:w="791" w:type="pct"/>
            <w:vMerge w:val="restart"/>
            <w:tcBorders>
              <w:top w:val="dotted" w:sz="4" w:space="0" w:color="auto"/>
              <w:bottom w:val="single" w:sz="6" w:space="0" w:color="auto"/>
            </w:tcBorders>
            <w:shd w:val="clear" w:color="auto" w:fill="auto"/>
          </w:tcPr>
          <w:p w:rsidR="00412472" w:rsidRPr="004834E5" w:rsidRDefault="00412472" w:rsidP="005A1C45">
            <w:pPr>
              <w:pStyle w:val="TableBodyText"/>
              <w:jc w:val="left"/>
            </w:pPr>
            <w:r w:rsidRPr="004834E5">
              <w:t>Exploration and services to mining</w:t>
            </w:r>
          </w:p>
        </w:tc>
        <w:tc>
          <w:tcPr>
            <w:tcW w:w="897" w:type="pct"/>
            <w:vMerge w:val="restart"/>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r w:rsidRPr="004834E5">
              <w:t>Exploration</w:t>
            </w: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Petroleum exploration</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Petroleum</w:t>
            </w:r>
            <w:r>
              <w:t>, and</w:t>
            </w:r>
            <w:r w:rsidRPr="004834E5">
              <w:t xml:space="preserve"> natural gas</w:t>
            </w:r>
          </w:p>
        </w:tc>
      </w:tr>
      <w:tr w:rsidR="00412472" w:rsidTr="007B11DE">
        <w:tc>
          <w:tcPr>
            <w:tcW w:w="791" w:type="pct"/>
            <w:vMerge/>
            <w:tcBorders>
              <w:bottom w:val="single" w:sz="6" w:space="0" w:color="auto"/>
            </w:tcBorders>
            <w:shd w:val="clear" w:color="auto" w:fill="auto"/>
          </w:tcPr>
          <w:p w:rsidR="00412472" w:rsidRPr="004834E5" w:rsidRDefault="00412472" w:rsidP="005A1C45">
            <w:pPr>
              <w:pStyle w:val="TableBodyText"/>
              <w:jc w:val="left"/>
            </w:pPr>
          </w:p>
        </w:tc>
        <w:tc>
          <w:tcPr>
            <w:tcW w:w="897" w:type="pct"/>
            <w:vMerge/>
            <w:tcBorders>
              <w:top w:val="dotted" w:sz="4" w:space="0" w:color="auto"/>
              <w:bottom w:val="dotted" w:sz="4" w:space="0" w:color="auto"/>
            </w:tcBorders>
            <w:shd w:val="clear" w:color="auto" w:fill="auto"/>
          </w:tcPr>
          <w:p w:rsidR="00412472" w:rsidRPr="004834E5" w:rsidRDefault="00412472" w:rsidP="005A1C45">
            <w:pPr>
              <w:pStyle w:val="TableBodyText"/>
              <w:ind w:left="113"/>
              <w:jc w:val="left"/>
            </w:pPr>
          </w:p>
        </w:tc>
        <w:tc>
          <w:tcPr>
            <w:tcW w:w="1160" w:type="pct"/>
            <w:tcBorders>
              <w:top w:val="dotted" w:sz="4" w:space="0" w:color="auto"/>
              <w:bottom w:val="dotted" w:sz="4" w:space="0" w:color="auto"/>
            </w:tcBorders>
          </w:tcPr>
          <w:p w:rsidR="00412472" w:rsidRPr="004834E5" w:rsidRDefault="00412472" w:rsidP="005A1C45">
            <w:pPr>
              <w:pStyle w:val="TableBodyText"/>
              <w:ind w:left="113"/>
              <w:jc w:val="left"/>
            </w:pPr>
            <w:r w:rsidRPr="004834E5">
              <w:t>Mineral exploration</w:t>
            </w:r>
          </w:p>
        </w:tc>
        <w:tc>
          <w:tcPr>
            <w:tcW w:w="2152" w:type="pct"/>
            <w:tcBorders>
              <w:top w:val="dotted" w:sz="4" w:space="0" w:color="auto"/>
              <w:bottom w:val="dotted" w:sz="4" w:space="0" w:color="auto"/>
            </w:tcBorders>
          </w:tcPr>
          <w:p w:rsidR="00412472" w:rsidRPr="004834E5" w:rsidRDefault="00412472" w:rsidP="005A1C45">
            <w:pPr>
              <w:pStyle w:val="TableBodyText"/>
              <w:ind w:left="113"/>
              <w:jc w:val="left"/>
            </w:pPr>
            <w:r w:rsidRPr="004834E5">
              <w:t>Mineral exploration</w:t>
            </w:r>
          </w:p>
        </w:tc>
      </w:tr>
      <w:tr w:rsidR="00412472" w:rsidTr="007B11DE">
        <w:tc>
          <w:tcPr>
            <w:tcW w:w="791" w:type="pct"/>
            <w:vMerge/>
            <w:tcBorders>
              <w:bottom w:val="single" w:sz="6" w:space="0" w:color="auto"/>
            </w:tcBorders>
            <w:shd w:val="clear" w:color="auto" w:fill="auto"/>
          </w:tcPr>
          <w:p w:rsidR="00412472" w:rsidRPr="004834E5" w:rsidRDefault="00412472" w:rsidP="005A1C45">
            <w:pPr>
              <w:pStyle w:val="TableBodyText"/>
              <w:jc w:val="left"/>
            </w:pPr>
          </w:p>
        </w:tc>
        <w:tc>
          <w:tcPr>
            <w:tcW w:w="897" w:type="pct"/>
            <w:tcBorders>
              <w:top w:val="dotted" w:sz="4" w:space="0" w:color="auto"/>
              <w:bottom w:val="single" w:sz="6" w:space="0" w:color="auto"/>
            </w:tcBorders>
            <w:shd w:val="clear" w:color="auto" w:fill="auto"/>
          </w:tcPr>
          <w:p w:rsidR="00412472" w:rsidRPr="004834E5" w:rsidRDefault="00412472" w:rsidP="005A1C45">
            <w:pPr>
              <w:pStyle w:val="TableBodyText"/>
              <w:ind w:left="113"/>
              <w:jc w:val="left"/>
            </w:pPr>
            <w:r w:rsidRPr="004834E5">
              <w:t>Other mining support services</w:t>
            </w:r>
          </w:p>
        </w:tc>
        <w:tc>
          <w:tcPr>
            <w:tcW w:w="1160" w:type="pct"/>
            <w:tcBorders>
              <w:top w:val="dotted" w:sz="4" w:space="0" w:color="auto"/>
              <w:bottom w:val="single" w:sz="6" w:space="0" w:color="auto"/>
            </w:tcBorders>
          </w:tcPr>
          <w:p w:rsidR="00412472" w:rsidRPr="004834E5" w:rsidRDefault="00412472" w:rsidP="005A1C45">
            <w:pPr>
              <w:pStyle w:val="TableBodyText"/>
              <w:ind w:left="113"/>
              <w:jc w:val="left"/>
            </w:pPr>
            <w:r w:rsidRPr="004834E5">
              <w:t>Other mining support services</w:t>
            </w:r>
          </w:p>
        </w:tc>
        <w:tc>
          <w:tcPr>
            <w:tcW w:w="2152" w:type="pct"/>
            <w:tcBorders>
              <w:top w:val="dotted" w:sz="4" w:space="0" w:color="auto"/>
              <w:bottom w:val="single" w:sz="6" w:space="0" w:color="auto"/>
            </w:tcBorders>
          </w:tcPr>
          <w:p w:rsidR="00412472" w:rsidRPr="004834E5" w:rsidRDefault="00412472" w:rsidP="005A1C45">
            <w:pPr>
              <w:pStyle w:val="TableBodyText"/>
              <w:ind w:left="113"/>
              <w:jc w:val="left"/>
            </w:pPr>
            <w:r w:rsidRPr="004834E5">
              <w:t xml:space="preserve">Cementing oil and gas well castings, directional drilling and redrilling, mining draining and pumping </w:t>
            </w:r>
            <w:proofErr w:type="spellStart"/>
            <w:r w:rsidRPr="004834E5">
              <w:t>nec</w:t>
            </w:r>
            <w:proofErr w:type="spellEnd"/>
            <w:r w:rsidRPr="004834E5">
              <w:t xml:space="preserve">, </w:t>
            </w:r>
            <w:r>
              <w:t xml:space="preserve">and </w:t>
            </w:r>
            <w:r w:rsidRPr="004834E5">
              <w:t xml:space="preserve">oil and gas field support </w:t>
            </w:r>
            <w:proofErr w:type="spellStart"/>
            <w:r w:rsidRPr="004834E5">
              <w:t>nec</w:t>
            </w:r>
            <w:proofErr w:type="spellEnd"/>
          </w:p>
        </w:tc>
      </w:tr>
    </w:tbl>
    <w:p w:rsidR="00412472" w:rsidRDefault="00412472" w:rsidP="00412472">
      <w:pPr>
        <w:pStyle w:val="Note"/>
      </w:pPr>
      <w:proofErr w:type="spellStart"/>
      <w:r w:rsidRPr="004834E5">
        <w:rPr>
          <w:b/>
        </w:rPr>
        <w:t>nec</w:t>
      </w:r>
      <w:proofErr w:type="spellEnd"/>
      <w:r>
        <w:t xml:space="preserve"> Not elsewhere classified</w:t>
      </w:r>
    </w:p>
    <w:p w:rsidR="00F20638" w:rsidRPr="00F20638" w:rsidRDefault="00412472" w:rsidP="00D53932">
      <w:pPr>
        <w:pStyle w:val="Source"/>
      </w:pPr>
      <w:r w:rsidRPr="00436342">
        <w:rPr>
          <w:i/>
        </w:rPr>
        <w:t>Source</w:t>
      </w:r>
      <w:r>
        <w:t xml:space="preserve">: </w:t>
      </w:r>
      <w:r w:rsidR="00C431D3" w:rsidRPr="00F20638">
        <w:t>ABS (</w:t>
      </w:r>
      <w:r w:rsidR="00005626" w:rsidRPr="00005626">
        <w:rPr>
          <w:i/>
        </w:rPr>
        <w:t>Australian and New Zealand Standard Industrial Classification (ANZSIC)</w:t>
      </w:r>
      <w:r w:rsidR="00005626">
        <w:t>, Cat. no. 1292.0</w:t>
      </w:r>
      <w:r w:rsidR="00005626" w:rsidRPr="00F20638">
        <w:t>)</w:t>
      </w:r>
      <w:r>
        <w:t>.</w:t>
      </w:r>
      <w:bookmarkStart w:id="4" w:name="_GoBack"/>
      <w:bookmarkEnd w:id="4"/>
    </w:p>
    <w:sectPr w:rsidR="00F20638" w:rsidRPr="00F20638" w:rsidSect="00F20638">
      <w:headerReference w:type="even" r:id="rId23"/>
      <w:headerReference w:type="default" r:id="rId24"/>
      <w:footerReference w:type="even" r:id="rId25"/>
      <w:footerReference w:type="default" r:id="rId26"/>
      <w:headerReference w:type="first" r:id="rId27"/>
      <w:footerReference w:type="first" r:id="rId28"/>
      <w:footnotePr>
        <w:numStart w:val="66"/>
      </w:footnotePr>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C43" w:rsidRDefault="00667C43">
      <w:r>
        <w:separator/>
      </w:r>
    </w:p>
  </w:endnote>
  <w:endnote w:type="continuationSeparator" w:id="0">
    <w:p w:rsidR="00667C43" w:rsidRDefault="00667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67C43">
      <w:trPr>
        <w:trHeight w:hRule="exact" w:val="740"/>
      </w:trPr>
      <w:tc>
        <w:tcPr>
          <w:tcW w:w="510" w:type="dxa"/>
          <w:tcBorders>
            <w:top w:val="single" w:sz="6" w:space="0" w:color="auto"/>
          </w:tcBorders>
        </w:tcPr>
        <w:p w:rsidR="00667C43" w:rsidRDefault="00667C4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148</w:t>
          </w:r>
          <w:r>
            <w:rPr>
              <w:rStyle w:val="PageNumber"/>
            </w:rPr>
            <w:fldChar w:fldCharType="end"/>
          </w:r>
        </w:p>
      </w:tc>
      <w:tc>
        <w:tcPr>
          <w:tcW w:w="1644" w:type="dxa"/>
          <w:tcBorders>
            <w:top w:val="single" w:sz="6" w:space="0" w:color="auto"/>
          </w:tcBorders>
        </w:tcPr>
        <w:p w:rsidR="00667C43" w:rsidRDefault="00667C43">
          <w:pPr>
            <w:pStyle w:val="Footer"/>
          </w:pPr>
          <w:r>
            <w:t>looking back on structural change</w:t>
          </w:r>
        </w:p>
      </w:tc>
      <w:tc>
        <w:tcPr>
          <w:tcW w:w="6634" w:type="dxa"/>
        </w:tcPr>
        <w:p w:rsidR="00667C43" w:rsidRDefault="00667C43">
          <w:pPr>
            <w:pStyle w:val="Footer"/>
          </w:pPr>
        </w:p>
      </w:tc>
    </w:tr>
  </w:tbl>
  <w:p w:rsidR="00667C43" w:rsidRDefault="00667C43">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67C43">
      <w:trPr>
        <w:trHeight w:hRule="exact" w:val="740"/>
      </w:trPr>
      <w:tc>
        <w:tcPr>
          <w:tcW w:w="6634" w:type="dxa"/>
        </w:tcPr>
        <w:p w:rsidR="00667C43" w:rsidRDefault="00667C43">
          <w:pPr>
            <w:pStyle w:val="Footer"/>
            <w:ind w:right="360" w:firstLine="360"/>
          </w:pPr>
        </w:p>
      </w:tc>
      <w:tc>
        <w:tcPr>
          <w:tcW w:w="1644" w:type="dxa"/>
          <w:tcBorders>
            <w:top w:val="single" w:sz="6" w:space="0" w:color="auto"/>
          </w:tcBorders>
        </w:tcPr>
        <w:p w:rsidR="00667C43" w:rsidRDefault="00667C43">
          <w:pPr>
            <w:pStyle w:val="Footer"/>
          </w:pPr>
          <w:r>
            <w:t>INDUSTRY CLASSIFICATIONS</w:t>
          </w:r>
        </w:p>
      </w:tc>
      <w:tc>
        <w:tcPr>
          <w:tcW w:w="510" w:type="dxa"/>
          <w:tcBorders>
            <w:top w:val="single" w:sz="6" w:space="0" w:color="auto"/>
          </w:tcBorders>
        </w:tcPr>
        <w:p w:rsidR="00667C43" w:rsidRDefault="00667C43">
          <w:pPr>
            <w:pStyle w:val="Footer"/>
            <w:jc w:val="right"/>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147</w:t>
          </w:r>
          <w:r>
            <w:rPr>
              <w:rStyle w:val="PageNumber"/>
            </w:rPr>
            <w:fldChar w:fldCharType="end"/>
          </w:r>
        </w:p>
      </w:tc>
    </w:tr>
  </w:tbl>
  <w:p w:rsidR="00667C43" w:rsidRDefault="00667C4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150</w:t>
    </w:r>
    <w:r>
      <w:rPr>
        <w:rStyle w:val="PageNumber"/>
      </w:rPr>
      <w:fldChar w:fldCharType="end"/>
    </w:r>
  </w:p>
  <w:p w:rsidR="00667C43" w:rsidRDefault="00667C43">
    <w:pPr>
      <w:pStyle w:val="FooterEnd"/>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436A">
      <w:rPr>
        <w:rStyle w:val="PageNumber"/>
        <w:noProof/>
      </w:rPr>
      <w:t>149</w:t>
    </w:r>
    <w:r>
      <w:rPr>
        <w:rStyle w:val="PageNumber"/>
      </w:rPr>
      <w:fldChar w:fldCharType="end"/>
    </w:r>
  </w:p>
  <w:p w:rsidR="00667C43" w:rsidRDefault="00667C43">
    <w:pPr>
      <w:pStyle w:val="Footer"/>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67C43">
      <w:trPr>
        <w:trHeight w:hRule="exact" w:val="740"/>
      </w:trPr>
      <w:tc>
        <w:tcPr>
          <w:tcW w:w="510" w:type="dxa"/>
          <w:tcBorders>
            <w:top w:val="single" w:sz="6" w:space="0" w:color="auto"/>
          </w:tcBorders>
        </w:tcPr>
        <w:p w:rsidR="00667C43" w:rsidRDefault="00667C4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152</w:t>
          </w:r>
          <w:r>
            <w:rPr>
              <w:rStyle w:val="PageNumber"/>
            </w:rPr>
            <w:fldChar w:fldCharType="end"/>
          </w:r>
        </w:p>
      </w:tc>
      <w:tc>
        <w:tcPr>
          <w:tcW w:w="1644" w:type="dxa"/>
          <w:tcBorders>
            <w:top w:val="single" w:sz="6" w:space="0" w:color="auto"/>
          </w:tcBorders>
        </w:tcPr>
        <w:p w:rsidR="00667C43" w:rsidRDefault="008130ED">
          <w:pPr>
            <w:pStyle w:val="Footer"/>
          </w:pPr>
          <w:r>
            <w:fldChar w:fldCharType="begin"/>
          </w:r>
          <w:r>
            <w:instrText xml:space="preserve"> SUBJECT  \* MERGEFORMAT </w:instrText>
          </w:r>
          <w:r>
            <w:fldChar w:fldCharType="separate"/>
          </w:r>
          <w:r w:rsidR="00667C43">
            <w:t>Looking back on structural change</w:t>
          </w:r>
          <w:r>
            <w:fldChar w:fldCharType="end"/>
          </w:r>
        </w:p>
      </w:tc>
      <w:tc>
        <w:tcPr>
          <w:tcW w:w="6634" w:type="dxa"/>
        </w:tcPr>
        <w:p w:rsidR="00667C43" w:rsidRDefault="00667C43">
          <w:pPr>
            <w:pStyle w:val="Footer"/>
          </w:pPr>
        </w:p>
      </w:tc>
    </w:tr>
  </w:tbl>
  <w:p w:rsidR="00667C43" w:rsidRDefault="00667C4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67C43">
      <w:trPr>
        <w:trHeight w:hRule="exact" w:val="740"/>
      </w:trPr>
      <w:tc>
        <w:tcPr>
          <w:tcW w:w="6634" w:type="dxa"/>
        </w:tcPr>
        <w:p w:rsidR="00667C43" w:rsidRDefault="00667C43">
          <w:pPr>
            <w:pStyle w:val="Footer"/>
            <w:ind w:right="360" w:firstLine="360"/>
          </w:pPr>
        </w:p>
      </w:tc>
      <w:tc>
        <w:tcPr>
          <w:tcW w:w="1644" w:type="dxa"/>
          <w:tcBorders>
            <w:top w:val="single" w:sz="6" w:space="0" w:color="auto"/>
          </w:tcBorders>
        </w:tcPr>
        <w:p w:rsidR="00667C43" w:rsidRDefault="00667C43">
          <w:pPr>
            <w:pStyle w:val="Footer"/>
          </w:pPr>
          <w:r>
            <w:t>INDUSTRY CLASSIFICATIONS</w:t>
          </w:r>
        </w:p>
      </w:tc>
      <w:tc>
        <w:tcPr>
          <w:tcW w:w="510" w:type="dxa"/>
          <w:tcBorders>
            <w:top w:val="single" w:sz="6" w:space="0" w:color="auto"/>
          </w:tcBorders>
        </w:tcPr>
        <w:p w:rsidR="00667C43" w:rsidRDefault="00667C43">
          <w:pPr>
            <w:pStyle w:val="Footer"/>
            <w:jc w:val="right"/>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151</w:t>
          </w:r>
          <w:r>
            <w:rPr>
              <w:rStyle w:val="PageNumber"/>
            </w:rPr>
            <w:fldChar w:fldCharType="end"/>
          </w:r>
        </w:p>
      </w:tc>
    </w:tr>
  </w:tbl>
  <w:p w:rsidR="00667C43" w:rsidRDefault="00667C43">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67C43">
      <w:trPr>
        <w:trHeight w:hRule="exact" w:val="740"/>
      </w:trPr>
      <w:tc>
        <w:tcPr>
          <w:tcW w:w="510" w:type="dxa"/>
          <w:tcBorders>
            <w:top w:val="single" w:sz="6" w:space="0" w:color="auto"/>
          </w:tcBorders>
        </w:tcPr>
        <w:p w:rsidR="00667C43" w:rsidRDefault="00667C43" w:rsidP="008F67FF">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53932">
            <w:rPr>
              <w:rStyle w:val="PageNumber"/>
              <w:noProof/>
            </w:rPr>
            <w:t>154</w:t>
          </w:r>
          <w:r>
            <w:rPr>
              <w:rStyle w:val="PageNumber"/>
            </w:rPr>
            <w:fldChar w:fldCharType="end"/>
          </w:r>
        </w:p>
      </w:tc>
      <w:tc>
        <w:tcPr>
          <w:tcW w:w="1644" w:type="dxa"/>
          <w:tcBorders>
            <w:top w:val="single" w:sz="6" w:space="0" w:color="auto"/>
          </w:tcBorders>
        </w:tcPr>
        <w:p w:rsidR="00667C43" w:rsidRDefault="008130ED">
          <w:pPr>
            <w:pStyle w:val="Footer"/>
          </w:pPr>
          <w:r>
            <w:fldChar w:fldCharType="begin"/>
          </w:r>
          <w:r>
            <w:instrText xml:space="preserve"> SUBJECT  \* MERGEFORMAT </w:instrText>
          </w:r>
          <w:r>
            <w:fldChar w:fldCharType="separate"/>
          </w:r>
          <w:r w:rsidR="00667C43">
            <w:t>Aspects of structural change</w:t>
          </w:r>
          <w:r>
            <w:fldChar w:fldCharType="end"/>
          </w:r>
        </w:p>
      </w:tc>
      <w:tc>
        <w:tcPr>
          <w:tcW w:w="6634" w:type="dxa"/>
        </w:tcPr>
        <w:p w:rsidR="00667C43" w:rsidRDefault="00667C43">
          <w:pPr>
            <w:pStyle w:val="Footer"/>
          </w:pPr>
        </w:p>
      </w:tc>
    </w:tr>
  </w:tbl>
  <w:p w:rsidR="00667C43" w:rsidRDefault="00667C43">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67C43">
      <w:trPr>
        <w:trHeight w:hRule="exact" w:val="740"/>
      </w:trPr>
      <w:tc>
        <w:tcPr>
          <w:tcW w:w="6634" w:type="dxa"/>
        </w:tcPr>
        <w:p w:rsidR="00667C43" w:rsidRDefault="00667C43">
          <w:pPr>
            <w:pStyle w:val="Footer"/>
            <w:ind w:right="360" w:firstLine="360"/>
          </w:pPr>
        </w:p>
      </w:tc>
      <w:tc>
        <w:tcPr>
          <w:tcW w:w="1644" w:type="dxa"/>
          <w:tcBorders>
            <w:top w:val="single" w:sz="6" w:space="0" w:color="auto"/>
          </w:tcBorders>
        </w:tcPr>
        <w:p w:rsidR="00667C43" w:rsidRDefault="00667C43">
          <w:pPr>
            <w:pStyle w:val="Footer"/>
          </w:pPr>
          <w:r>
            <w:t>INDUSTRY CLASSIFICATIONS</w:t>
          </w:r>
        </w:p>
      </w:tc>
      <w:tc>
        <w:tcPr>
          <w:tcW w:w="510" w:type="dxa"/>
          <w:tcBorders>
            <w:top w:val="single" w:sz="6" w:space="0" w:color="auto"/>
          </w:tcBorders>
        </w:tcPr>
        <w:p w:rsidR="00667C43" w:rsidRDefault="00667C43">
          <w:pPr>
            <w:pStyle w:val="Footer"/>
            <w:jc w:val="right"/>
          </w:pPr>
          <w:r>
            <w:rPr>
              <w:rStyle w:val="PageNumber"/>
            </w:rPr>
            <w:fldChar w:fldCharType="begin"/>
          </w:r>
          <w:r>
            <w:rPr>
              <w:rStyle w:val="PageNumber"/>
            </w:rPr>
            <w:instrText xml:space="preserve">PAGE  </w:instrText>
          </w:r>
          <w:r>
            <w:rPr>
              <w:rStyle w:val="PageNumber"/>
            </w:rPr>
            <w:fldChar w:fldCharType="separate"/>
          </w:r>
          <w:r w:rsidR="008130ED">
            <w:rPr>
              <w:rStyle w:val="PageNumber"/>
              <w:noProof/>
            </w:rPr>
            <w:t>153</w:t>
          </w:r>
          <w:r>
            <w:rPr>
              <w:rStyle w:val="PageNumber"/>
            </w:rPr>
            <w:fldChar w:fldCharType="end"/>
          </w:r>
        </w:p>
      </w:tc>
    </w:tr>
  </w:tbl>
  <w:p w:rsidR="00667C43" w:rsidRDefault="00667C4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C43" w:rsidRDefault="00667C43">
      <w:r>
        <w:separator/>
      </w:r>
    </w:p>
  </w:footnote>
  <w:footnote w:type="continuationSeparator" w:id="0">
    <w:p w:rsidR="00667C43" w:rsidRDefault="00667C43">
      <w:r>
        <w:continuationSeparator/>
      </w:r>
    </w:p>
  </w:footnote>
  <w:footnote w:id="1">
    <w:p w:rsidR="00667C43" w:rsidRDefault="00667C43" w:rsidP="00F20638">
      <w:pPr>
        <w:pStyle w:val="FootnoteText"/>
      </w:pPr>
      <w:r>
        <w:rPr>
          <w:rStyle w:val="FootnoteReference"/>
        </w:rPr>
        <w:footnoteRef/>
      </w:r>
      <w:r>
        <w:t xml:space="preserve"> </w:t>
      </w:r>
      <w:r>
        <w:tab/>
        <w:t xml:space="preserve">This supplement’s calculation of structural change indexes uses </w:t>
      </w:r>
      <w:r w:rsidRPr="00672BEB">
        <w:t>extended time series data supplied on request by Connolly (Connolly, E., RBA, Sydney, pers. com</w:t>
      </w:r>
      <w:r>
        <w:t>m</w:t>
      </w:r>
      <w:r w:rsidRPr="00672BEB">
        <w:t>.</w:t>
      </w:r>
      <w:r>
        <w:t>,</w:t>
      </w:r>
      <w:r w:rsidRPr="00672BEB">
        <w:t xml:space="preserve"> 13 August 2012, unpublished data</w:t>
      </w:r>
      <w:r>
        <w:t>)</w:t>
      </w:r>
      <w:r w:rsidRPr="00672BE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67C43">
      <w:tc>
        <w:tcPr>
          <w:tcW w:w="2155" w:type="dxa"/>
          <w:tcBorders>
            <w:top w:val="single" w:sz="24" w:space="0" w:color="auto"/>
          </w:tcBorders>
        </w:tcPr>
        <w:p w:rsidR="00667C43" w:rsidRDefault="00667C43">
          <w:pPr>
            <w:pStyle w:val="HeaderEven"/>
          </w:pPr>
        </w:p>
      </w:tc>
      <w:tc>
        <w:tcPr>
          <w:tcW w:w="6634" w:type="dxa"/>
          <w:tcBorders>
            <w:top w:val="single" w:sz="6" w:space="0" w:color="auto"/>
          </w:tcBorders>
        </w:tcPr>
        <w:p w:rsidR="00667C43" w:rsidRDefault="00667C43">
          <w:pPr>
            <w:pStyle w:val="HeaderEven"/>
          </w:pPr>
        </w:p>
      </w:tc>
    </w:tr>
  </w:tbl>
  <w:p w:rsidR="00667C43" w:rsidRDefault="00667C43">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7C43">
      <w:tc>
        <w:tcPr>
          <w:tcW w:w="6634" w:type="dxa"/>
          <w:tcBorders>
            <w:top w:val="single" w:sz="6" w:space="0" w:color="auto"/>
          </w:tcBorders>
        </w:tcPr>
        <w:p w:rsidR="00667C43" w:rsidRDefault="00667C43">
          <w:pPr>
            <w:pStyle w:val="HeaderOdd"/>
          </w:pPr>
        </w:p>
      </w:tc>
      <w:tc>
        <w:tcPr>
          <w:tcW w:w="2155" w:type="dxa"/>
          <w:tcBorders>
            <w:top w:val="single" w:sz="24" w:space="0" w:color="auto"/>
          </w:tcBorders>
        </w:tcPr>
        <w:p w:rsidR="00667C43" w:rsidRDefault="00667C43">
          <w:pPr>
            <w:pStyle w:val="HeaderOdd"/>
          </w:pPr>
        </w:p>
      </w:tc>
    </w:tr>
  </w:tbl>
  <w:p w:rsidR="00667C43" w:rsidRDefault="00667C4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C43" w:rsidRDefault="00667C4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67C43">
      <w:tc>
        <w:tcPr>
          <w:tcW w:w="2155" w:type="dxa"/>
          <w:tcBorders>
            <w:top w:val="single" w:sz="24" w:space="0" w:color="auto"/>
          </w:tcBorders>
        </w:tcPr>
        <w:p w:rsidR="00667C43" w:rsidRDefault="00667C43">
          <w:pPr>
            <w:pStyle w:val="HeaderEven"/>
          </w:pPr>
        </w:p>
      </w:tc>
      <w:tc>
        <w:tcPr>
          <w:tcW w:w="6634" w:type="dxa"/>
          <w:tcBorders>
            <w:top w:val="single" w:sz="6" w:space="0" w:color="auto"/>
          </w:tcBorders>
        </w:tcPr>
        <w:p w:rsidR="00667C43" w:rsidRDefault="00667C43">
          <w:pPr>
            <w:pStyle w:val="HeaderEven"/>
          </w:pPr>
        </w:p>
      </w:tc>
    </w:tr>
  </w:tbl>
  <w:p w:rsidR="00667C43" w:rsidRDefault="00667C43">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7C43">
      <w:tc>
        <w:tcPr>
          <w:tcW w:w="6634" w:type="dxa"/>
          <w:tcBorders>
            <w:top w:val="single" w:sz="6" w:space="0" w:color="auto"/>
          </w:tcBorders>
        </w:tcPr>
        <w:p w:rsidR="00667C43" w:rsidRDefault="00667C43">
          <w:pPr>
            <w:pStyle w:val="HeaderOdd"/>
          </w:pPr>
        </w:p>
      </w:tc>
      <w:tc>
        <w:tcPr>
          <w:tcW w:w="2155" w:type="dxa"/>
          <w:tcBorders>
            <w:top w:val="single" w:sz="24" w:space="0" w:color="auto"/>
          </w:tcBorders>
        </w:tcPr>
        <w:p w:rsidR="00667C43" w:rsidRDefault="00667C43">
          <w:pPr>
            <w:pStyle w:val="HeaderOdd"/>
          </w:pPr>
        </w:p>
      </w:tc>
    </w:tr>
  </w:tbl>
  <w:p w:rsidR="00667C43" w:rsidRDefault="00667C43">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67C43">
      <w:tc>
        <w:tcPr>
          <w:tcW w:w="2155" w:type="dxa"/>
          <w:tcBorders>
            <w:top w:val="single" w:sz="24" w:space="0" w:color="auto"/>
          </w:tcBorders>
        </w:tcPr>
        <w:p w:rsidR="00667C43" w:rsidRDefault="00667C43">
          <w:pPr>
            <w:pStyle w:val="HeaderEven"/>
          </w:pPr>
        </w:p>
      </w:tc>
      <w:tc>
        <w:tcPr>
          <w:tcW w:w="6634" w:type="dxa"/>
          <w:tcBorders>
            <w:top w:val="single" w:sz="6" w:space="0" w:color="auto"/>
          </w:tcBorders>
        </w:tcPr>
        <w:p w:rsidR="00667C43" w:rsidRDefault="00667C43">
          <w:pPr>
            <w:pStyle w:val="HeaderEven"/>
          </w:pPr>
        </w:p>
      </w:tc>
    </w:tr>
  </w:tbl>
  <w:p w:rsidR="00667C43" w:rsidRDefault="00667C43">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7C43">
      <w:tc>
        <w:tcPr>
          <w:tcW w:w="6634" w:type="dxa"/>
          <w:tcBorders>
            <w:top w:val="single" w:sz="6" w:space="0" w:color="auto"/>
          </w:tcBorders>
        </w:tcPr>
        <w:p w:rsidR="00667C43" w:rsidRDefault="00667C43">
          <w:pPr>
            <w:pStyle w:val="HeaderOdd"/>
          </w:pPr>
        </w:p>
      </w:tc>
      <w:tc>
        <w:tcPr>
          <w:tcW w:w="2155" w:type="dxa"/>
          <w:tcBorders>
            <w:top w:val="single" w:sz="24" w:space="0" w:color="auto"/>
          </w:tcBorders>
        </w:tcPr>
        <w:p w:rsidR="00667C43" w:rsidRDefault="00667C43">
          <w:pPr>
            <w:pStyle w:val="HeaderOdd"/>
          </w:pPr>
        </w:p>
      </w:tc>
    </w:tr>
  </w:tbl>
  <w:p w:rsidR="00667C43" w:rsidRDefault="00667C43">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mirrorMargins/>
  <w:hideSpelling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numStart w:val="66"/>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Structural change indexes"/>
    <w:docVar w:name="ShortReportTitle" w:val="Looking back on structural change"/>
  </w:docVars>
  <w:rsids>
    <w:rsidRoot w:val="00201464"/>
    <w:rsid w:val="0000014B"/>
    <w:rsid w:val="000020F2"/>
    <w:rsid w:val="00005626"/>
    <w:rsid w:val="00011B53"/>
    <w:rsid w:val="000227D5"/>
    <w:rsid w:val="000245AA"/>
    <w:rsid w:val="0003664B"/>
    <w:rsid w:val="0004111F"/>
    <w:rsid w:val="000565B3"/>
    <w:rsid w:val="0006629F"/>
    <w:rsid w:val="0007150B"/>
    <w:rsid w:val="000938F5"/>
    <w:rsid w:val="00096E55"/>
    <w:rsid w:val="000B601B"/>
    <w:rsid w:val="000C207E"/>
    <w:rsid w:val="000C5E84"/>
    <w:rsid w:val="000D0E0D"/>
    <w:rsid w:val="000E0692"/>
    <w:rsid w:val="000F0035"/>
    <w:rsid w:val="000F420B"/>
    <w:rsid w:val="00110116"/>
    <w:rsid w:val="0011198B"/>
    <w:rsid w:val="00120072"/>
    <w:rsid w:val="00126EB8"/>
    <w:rsid w:val="001274D4"/>
    <w:rsid w:val="00131B0C"/>
    <w:rsid w:val="001363AA"/>
    <w:rsid w:val="00183E82"/>
    <w:rsid w:val="001878BB"/>
    <w:rsid w:val="00191AE0"/>
    <w:rsid w:val="0019293B"/>
    <w:rsid w:val="001A0918"/>
    <w:rsid w:val="001A7725"/>
    <w:rsid w:val="001C0865"/>
    <w:rsid w:val="001C3ABA"/>
    <w:rsid w:val="001C3F75"/>
    <w:rsid w:val="001D6DD4"/>
    <w:rsid w:val="001E7BE8"/>
    <w:rsid w:val="001F0248"/>
    <w:rsid w:val="001F3EB3"/>
    <w:rsid w:val="001F4F86"/>
    <w:rsid w:val="002001A0"/>
    <w:rsid w:val="00201464"/>
    <w:rsid w:val="00202C2C"/>
    <w:rsid w:val="002135AB"/>
    <w:rsid w:val="002144BE"/>
    <w:rsid w:val="002337E1"/>
    <w:rsid w:val="00242279"/>
    <w:rsid w:val="00245C82"/>
    <w:rsid w:val="00253B39"/>
    <w:rsid w:val="00257914"/>
    <w:rsid w:val="00291B40"/>
    <w:rsid w:val="00295D58"/>
    <w:rsid w:val="002B3EF4"/>
    <w:rsid w:val="002B4008"/>
    <w:rsid w:val="002D0E8E"/>
    <w:rsid w:val="002E72AE"/>
    <w:rsid w:val="00301189"/>
    <w:rsid w:val="00321E47"/>
    <w:rsid w:val="00323E09"/>
    <w:rsid w:val="0033134A"/>
    <w:rsid w:val="00333932"/>
    <w:rsid w:val="003518AA"/>
    <w:rsid w:val="00352165"/>
    <w:rsid w:val="00353182"/>
    <w:rsid w:val="003565D9"/>
    <w:rsid w:val="003602E1"/>
    <w:rsid w:val="0037026F"/>
    <w:rsid w:val="00371240"/>
    <w:rsid w:val="00374731"/>
    <w:rsid w:val="00374870"/>
    <w:rsid w:val="00376E59"/>
    <w:rsid w:val="00390D0E"/>
    <w:rsid w:val="003919F9"/>
    <w:rsid w:val="003A7C70"/>
    <w:rsid w:val="003C38B5"/>
    <w:rsid w:val="003C5D99"/>
    <w:rsid w:val="003E2F59"/>
    <w:rsid w:val="003F0789"/>
    <w:rsid w:val="00401882"/>
    <w:rsid w:val="004100C8"/>
    <w:rsid w:val="00411DBD"/>
    <w:rsid w:val="00412472"/>
    <w:rsid w:val="00412ACE"/>
    <w:rsid w:val="00427451"/>
    <w:rsid w:val="00431249"/>
    <w:rsid w:val="00434C19"/>
    <w:rsid w:val="00436342"/>
    <w:rsid w:val="00450810"/>
    <w:rsid w:val="00455EC5"/>
    <w:rsid w:val="00462E16"/>
    <w:rsid w:val="00473771"/>
    <w:rsid w:val="00477144"/>
    <w:rsid w:val="00491380"/>
    <w:rsid w:val="0049459F"/>
    <w:rsid w:val="004A38DD"/>
    <w:rsid w:val="004B43AE"/>
    <w:rsid w:val="004C30ED"/>
    <w:rsid w:val="004D1C90"/>
    <w:rsid w:val="004D5675"/>
    <w:rsid w:val="004E436A"/>
    <w:rsid w:val="00502C48"/>
    <w:rsid w:val="00523639"/>
    <w:rsid w:val="005257A7"/>
    <w:rsid w:val="00531FE5"/>
    <w:rsid w:val="005402FA"/>
    <w:rsid w:val="0055261A"/>
    <w:rsid w:val="005566EA"/>
    <w:rsid w:val="0056107A"/>
    <w:rsid w:val="00583C39"/>
    <w:rsid w:val="00587F28"/>
    <w:rsid w:val="005909CF"/>
    <w:rsid w:val="00591E71"/>
    <w:rsid w:val="005A0D41"/>
    <w:rsid w:val="005A1C45"/>
    <w:rsid w:val="005E2A3D"/>
    <w:rsid w:val="005E2B11"/>
    <w:rsid w:val="00600B3A"/>
    <w:rsid w:val="00607BF1"/>
    <w:rsid w:val="00630D4D"/>
    <w:rsid w:val="00632A74"/>
    <w:rsid w:val="00664A49"/>
    <w:rsid w:val="00667C43"/>
    <w:rsid w:val="00681158"/>
    <w:rsid w:val="00685156"/>
    <w:rsid w:val="006A4655"/>
    <w:rsid w:val="006B2B3C"/>
    <w:rsid w:val="006B3544"/>
    <w:rsid w:val="006C1D81"/>
    <w:rsid w:val="006C7038"/>
    <w:rsid w:val="006D1ABC"/>
    <w:rsid w:val="006E0C29"/>
    <w:rsid w:val="006E73EF"/>
    <w:rsid w:val="00707A2B"/>
    <w:rsid w:val="00713F73"/>
    <w:rsid w:val="00714D4D"/>
    <w:rsid w:val="00726FB4"/>
    <w:rsid w:val="00735813"/>
    <w:rsid w:val="007478B2"/>
    <w:rsid w:val="00750651"/>
    <w:rsid w:val="007604BB"/>
    <w:rsid w:val="00764C86"/>
    <w:rsid w:val="00765328"/>
    <w:rsid w:val="00785232"/>
    <w:rsid w:val="007944A1"/>
    <w:rsid w:val="007A21EB"/>
    <w:rsid w:val="007B11DE"/>
    <w:rsid w:val="007B1A93"/>
    <w:rsid w:val="007C2792"/>
    <w:rsid w:val="007C36C9"/>
    <w:rsid w:val="007D6401"/>
    <w:rsid w:val="007E01E4"/>
    <w:rsid w:val="007F7107"/>
    <w:rsid w:val="00800D4C"/>
    <w:rsid w:val="0081030F"/>
    <w:rsid w:val="008130ED"/>
    <w:rsid w:val="00815A74"/>
    <w:rsid w:val="00816FFD"/>
    <w:rsid w:val="0082087D"/>
    <w:rsid w:val="00830336"/>
    <w:rsid w:val="00835771"/>
    <w:rsid w:val="00842933"/>
    <w:rsid w:val="0086082C"/>
    <w:rsid w:val="00864ADC"/>
    <w:rsid w:val="0087577E"/>
    <w:rsid w:val="00880153"/>
    <w:rsid w:val="00880F97"/>
    <w:rsid w:val="0088133A"/>
    <w:rsid w:val="0089285E"/>
    <w:rsid w:val="0089436C"/>
    <w:rsid w:val="008959E4"/>
    <w:rsid w:val="008B4FEE"/>
    <w:rsid w:val="008D365C"/>
    <w:rsid w:val="008F67FF"/>
    <w:rsid w:val="00901DFE"/>
    <w:rsid w:val="009030BF"/>
    <w:rsid w:val="009063BF"/>
    <w:rsid w:val="0091032F"/>
    <w:rsid w:val="00914368"/>
    <w:rsid w:val="00931076"/>
    <w:rsid w:val="009345D9"/>
    <w:rsid w:val="00934B15"/>
    <w:rsid w:val="00940C87"/>
    <w:rsid w:val="00942B62"/>
    <w:rsid w:val="0095323B"/>
    <w:rsid w:val="00956A0C"/>
    <w:rsid w:val="00956BD9"/>
    <w:rsid w:val="00960734"/>
    <w:rsid w:val="009614F2"/>
    <w:rsid w:val="00962489"/>
    <w:rsid w:val="00984830"/>
    <w:rsid w:val="00987096"/>
    <w:rsid w:val="00990C2C"/>
    <w:rsid w:val="009C672F"/>
    <w:rsid w:val="009E1844"/>
    <w:rsid w:val="009F0D1B"/>
    <w:rsid w:val="009F696D"/>
    <w:rsid w:val="009F6BC6"/>
    <w:rsid w:val="00A17328"/>
    <w:rsid w:val="00A23A20"/>
    <w:rsid w:val="00A268B9"/>
    <w:rsid w:val="00A2703A"/>
    <w:rsid w:val="00A304B2"/>
    <w:rsid w:val="00A33DFF"/>
    <w:rsid w:val="00A35115"/>
    <w:rsid w:val="00A36D9A"/>
    <w:rsid w:val="00A554AB"/>
    <w:rsid w:val="00A57062"/>
    <w:rsid w:val="00A824F2"/>
    <w:rsid w:val="00A92B53"/>
    <w:rsid w:val="00A94FA6"/>
    <w:rsid w:val="00AA49A0"/>
    <w:rsid w:val="00AA6710"/>
    <w:rsid w:val="00AB0681"/>
    <w:rsid w:val="00AD3906"/>
    <w:rsid w:val="00AD520B"/>
    <w:rsid w:val="00AF22B9"/>
    <w:rsid w:val="00B3567B"/>
    <w:rsid w:val="00B40416"/>
    <w:rsid w:val="00B425C3"/>
    <w:rsid w:val="00B440AD"/>
    <w:rsid w:val="00B479BB"/>
    <w:rsid w:val="00B53E7E"/>
    <w:rsid w:val="00B6342E"/>
    <w:rsid w:val="00B7113F"/>
    <w:rsid w:val="00BA60EC"/>
    <w:rsid w:val="00BA73B6"/>
    <w:rsid w:val="00BA7E27"/>
    <w:rsid w:val="00BB1183"/>
    <w:rsid w:val="00BB2603"/>
    <w:rsid w:val="00BB4FCD"/>
    <w:rsid w:val="00BC04E9"/>
    <w:rsid w:val="00BD13EA"/>
    <w:rsid w:val="00BE16C4"/>
    <w:rsid w:val="00BE3808"/>
    <w:rsid w:val="00BF0601"/>
    <w:rsid w:val="00C06134"/>
    <w:rsid w:val="00C062E9"/>
    <w:rsid w:val="00C07B64"/>
    <w:rsid w:val="00C13721"/>
    <w:rsid w:val="00C14FE4"/>
    <w:rsid w:val="00C3066D"/>
    <w:rsid w:val="00C431D3"/>
    <w:rsid w:val="00C44B29"/>
    <w:rsid w:val="00C52416"/>
    <w:rsid w:val="00C543F4"/>
    <w:rsid w:val="00C6291C"/>
    <w:rsid w:val="00C633CB"/>
    <w:rsid w:val="00C736B7"/>
    <w:rsid w:val="00C8159C"/>
    <w:rsid w:val="00C81D4A"/>
    <w:rsid w:val="00C8762C"/>
    <w:rsid w:val="00CA00F9"/>
    <w:rsid w:val="00CA2961"/>
    <w:rsid w:val="00CB50D7"/>
    <w:rsid w:val="00CB7177"/>
    <w:rsid w:val="00CC0E47"/>
    <w:rsid w:val="00CC1998"/>
    <w:rsid w:val="00CC4946"/>
    <w:rsid w:val="00D062E0"/>
    <w:rsid w:val="00D15ACA"/>
    <w:rsid w:val="00D270A4"/>
    <w:rsid w:val="00D30F3A"/>
    <w:rsid w:val="00D31FE9"/>
    <w:rsid w:val="00D34E1B"/>
    <w:rsid w:val="00D376BA"/>
    <w:rsid w:val="00D4424E"/>
    <w:rsid w:val="00D45634"/>
    <w:rsid w:val="00D53932"/>
    <w:rsid w:val="00D5568A"/>
    <w:rsid w:val="00D56675"/>
    <w:rsid w:val="00D63D73"/>
    <w:rsid w:val="00D64452"/>
    <w:rsid w:val="00D66E1E"/>
    <w:rsid w:val="00D7027B"/>
    <w:rsid w:val="00D71941"/>
    <w:rsid w:val="00D75722"/>
    <w:rsid w:val="00D77C7F"/>
    <w:rsid w:val="00D80CF5"/>
    <w:rsid w:val="00DA5BBA"/>
    <w:rsid w:val="00DB26D2"/>
    <w:rsid w:val="00DB67C9"/>
    <w:rsid w:val="00DC0C95"/>
    <w:rsid w:val="00DD6580"/>
    <w:rsid w:val="00DE6204"/>
    <w:rsid w:val="00E13F7D"/>
    <w:rsid w:val="00E17C72"/>
    <w:rsid w:val="00E17CF2"/>
    <w:rsid w:val="00E17FD7"/>
    <w:rsid w:val="00E21FC6"/>
    <w:rsid w:val="00E431A9"/>
    <w:rsid w:val="00E669E2"/>
    <w:rsid w:val="00E76135"/>
    <w:rsid w:val="00E82F4F"/>
    <w:rsid w:val="00EB26FC"/>
    <w:rsid w:val="00EB6146"/>
    <w:rsid w:val="00EC2844"/>
    <w:rsid w:val="00EC5500"/>
    <w:rsid w:val="00ED18F8"/>
    <w:rsid w:val="00EF6C6C"/>
    <w:rsid w:val="00F00864"/>
    <w:rsid w:val="00F056FC"/>
    <w:rsid w:val="00F10476"/>
    <w:rsid w:val="00F135D8"/>
    <w:rsid w:val="00F20638"/>
    <w:rsid w:val="00F31299"/>
    <w:rsid w:val="00F3534A"/>
    <w:rsid w:val="00F425F4"/>
    <w:rsid w:val="00F51238"/>
    <w:rsid w:val="00F51609"/>
    <w:rsid w:val="00F63360"/>
    <w:rsid w:val="00F81006"/>
    <w:rsid w:val="00F85325"/>
    <w:rsid w:val="00F85C10"/>
    <w:rsid w:val="00FD22B1"/>
    <w:rsid w:val="00FE453A"/>
    <w:rsid w:val="00FE5397"/>
    <w:rsid w:val="00FF1E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Emphasis"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link w:val="Heading1Char"/>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71941"/>
    <w:rPr>
      <w:sz w:val="52"/>
      <w:szCs w:val="24"/>
    </w:rPr>
  </w:style>
  <w:style w:type="character" w:customStyle="1" w:styleId="BodyTextChar">
    <w:name w:val="Body Text Char"/>
    <w:basedOn w:val="DefaultParagraphFont"/>
    <w:link w:val="BodyText"/>
    <w:locked/>
    <w:rsid w:val="00D71941"/>
    <w:rPr>
      <w:sz w:val="26"/>
    </w:rPr>
  </w:style>
  <w:style w:type="character" w:customStyle="1" w:styleId="Heading3Char">
    <w:name w:val="Heading 3 Char"/>
    <w:basedOn w:val="DefaultParagraphFont"/>
    <w:link w:val="Heading3"/>
    <w:rsid w:val="00F20638"/>
    <w:rPr>
      <w:rFonts w:ascii="Arial" w:hAnsi="Arial"/>
      <w:b/>
      <w:sz w:val="26"/>
    </w:rPr>
  </w:style>
  <w:style w:type="character" w:customStyle="1" w:styleId="FootnoteTextChar">
    <w:name w:val="Footnote Text Char"/>
    <w:basedOn w:val="DefaultParagraphFont"/>
    <w:link w:val="FootnoteText"/>
    <w:rsid w:val="00F20638"/>
    <w:rPr>
      <w:sz w:val="22"/>
    </w:rPr>
  </w:style>
  <w:style w:type="character" w:customStyle="1" w:styleId="FooterChar">
    <w:name w:val="Footer Char"/>
    <w:basedOn w:val="DefaultParagraphFont"/>
    <w:link w:val="Footer"/>
    <w:rsid w:val="00F20638"/>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Emphasis"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link w:val="Heading1Char"/>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D71941"/>
    <w:rPr>
      <w:sz w:val="52"/>
      <w:szCs w:val="24"/>
    </w:rPr>
  </w:style>
  <w:style w:type="character" w:customStyle="1" w:styleId="BodyTextChar">
    <w:name w:val="Body Text Char"/>
    <w:basedOn w:val="DefaultParagraphFont"/>
    <w:link w:val="BodyText"/>
    <w:locked/>
    <w:rsid w:val="00D71941"/>
    <w:rPr>
      <w:sz w:val="26"/>
    </w:rPr>
  </w:style>
  <w:style w:type="character" w:customStyle="1" w:styleId="Heading3Char">
    <w:name w:val="Heading 3 Char"/>
    <w:basedOn w:val="DefaultParagraphFont"/>
    <w:link w:val="Heading3"/>
    <w:rsid w:val="00F20638"/>
    <w:rPr>
      <w:rFonts w:ascii="Arial" w:hAnsi="Arial"/>
      <w:b/>
      <w:sz w:val="26"/>
    </w:rPr>
  </w:style>
  <w:style w:type="character" w:customStyle="1" w:styleId="FootnoteTextChar">
    <w:name w:val="Footnote Text Char"/>
    <w:basedOn w:val="DefaultParagraphFont"/>
    <w:link w:val="FootnoteText"/>
    <w:rsid w:val="00F20638"/>
    <w:rPr>
      <w:sz w:val="22"/>
    </w:rPr>
  </w:style>
  <w:style w:type="character" w:customStyle="1" w:styleId="FooterChar">
    <w:name w:val="Footer Char"/>
    <w:basedOn w:val="DefaultParagraphFont"/>
    <w:link w:val="Footer"/>
    <w:rsid w:val="00F20638"/>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C8B99-4097-49F6-9EEC-4C979AF8D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7</Pages>
  <Words>1880</Words>
  <Characters>11483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Structural change indexes</vt:lpstr>
    </vt:vector>
  </TitlesOfParts>
  <Company>Productivity Commission</Company>
  <LinksUpToDate>false</LinksUpToDate>
  <CharactersWithSpaces>13337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change indexes</dc:title>
  <dc:subject>Looking back on structural change</dc:subject>
  <dc:creator>Productivity Commission</dc:creator>
  <dc:description>A.</dc:description>
  <cp:lastModifiedBy>Productivity Commission</cp:lastModifiedBy>
  <cp:revision>2</cp:revision>
  <cp:lastPrinted>2013-07-15T01:59:00Z</cp:lastPrinted>
  <dcterms:created xsi:type="dcterms:W3CDTF">2013-10-10T03:24:00Z</dcterms:created>
  <dcterms:modified xsi:type="dcterms:W3CDTF">2013-10-10T03:24:00Z</dcterms:modified>
</cp:coreProperties>
</file>