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FE7BB8" w:rsidP="00FE7BB8">
      <w:pPr>
        <w:pStyle w:val="Chapter"/>
        <w:ind w:left="907" w:hanging="907"/>
      </w:pPr>
      <w:bookmarkStart w:id="0" w:name="ChapterNumber"/>
      <w:bookmarkStart w:id="1" w:name="_GoBack"/>
      <w:bookmarkEnd w:id="1"/>
      <w:r>
        <w:t>1</w:t>
      </w:r>
      <w:bookmarkEnd w:id="0"/>
      <w:r>
        <w:tab/>
      </w:r>
      <w:bookmarkStart w:id="2" w:name="ChapterTitle"/>
      <w:r>
        <w:t>Using administrative data to achieve better policy outcomes</w:t>
      </w:r>
      <w:bookmarkEnd w:id="2"/>
    </w:p>
    <w:p w:rsidR="00951A8F" w:rsidRPr="00514997" w:rsidRDefault="00D83D7B" w:rsidP="00514997">
      <w:pPr>
        <w:pStyle w:val="ChapterSummary"/>
      </w:pPr>
      <w:bookmarkStart w:id="3" w:name="begin"/>
      <w:bookmarkEnd w:id="3"/>
      <w:r w:rsidRPr="00514997">
        <w:t>A</w:t>
      </w:r>
      <w:r w:rsidR="000A5A94" w:rsidRPr="00514997">
        <w:t xml:space="preserve">ll levels of government </w:t>
      </w:r>
      <w:r w:rsidRPr="00514997">
        <w:t>hold data for administrative purposes</w:t>
      </w:r>
      <w:r w:rsidR="008273DF" w:rsidRPr="00514997">
        <w:t xml:space="preserve">. These data </w:t>
      </w:r>
      <w:r w:rsidR="008B2094" w:rsidRPr="00514997">
        <w:t xml:space="preserve">sets </w:t>
      </w:r>
      <w:r w:rsidRPr="00514997">
        <w:t xml:space="preserve">cover </w:t>
      </w:r>
      <w:r w:rsidR="000A5A94" w:rsidRPr="00514997">
        <w:t>large parts of the population</w:t>
      </w:r>
      <w:r w:rsidR="00877BFE" w:rsidRPr="00514997">
        <w:t>,</w:t>
      </w:r>
      <w:r w:rsidR="000A5A94" w:rsidRPr="00514997">
        <w:t xml:space="preserve"> offering a largely untapped opportunity </w:t>
      </w:r>
      <w:r w:rsidR="00130A59" w:rsidRPr="00514997">
        <w:t xml:space="preserve">to </w:t>
      </w:r>
      <w:r w:rsidR="000A5A94" w:rsidRPr="00514997">
        <w:t>evaluat</w:t>
      </w:r>
      <w:r w:rsidR="00130A59" w:rsidRPr="00514997">
        <w:t>e</w:t>
      </w:r>
      <w:r w:rsidR="000A5A94" w:rsidRPr="00514997">
        <w:t xml:space="preserve"> </w:t>
      </w:r>
      <w:r w:rsidR="00130A59" w:rsidRPr="00514997">
        <w:t xml:space="preserve">policies and programs </w:t>
      </w:r>
      <w:r w:rsidR="000A5A94" w:rsidRPr="00514997">
        <w:t>and develop more effective and efficient</w:t>
      </w:r>
      <w:r w:rsidR="00130A59" w:rsidRPr="00514997">
        <w:t xml:space="preserve"> ones</w:t>
      </w:r>
      <w:r w:rsidR="000A5A94" w:rsidRPr="00514997">
        <w:t xml:space="preserve">. </w:t>
      </w:r>
      <w:r w:rsidR="00235DBD" w:rsidRPr="00514997">
        <w:t xml:space="preserve">Unlike many other countries, </w:t>
      </w:r>
      <w:r w:rsidR="000D673C" w:rsidRPr="00514997">
        <w:t xml:space="preserve">Australia makes </w:t>
      </w:r>
      <w:r w:rsidR="003B0335" w:rsidRPr="00514997">
        <w:t xml:space="preserve">relatively </w:t>
      </w:r>
      <w:r w:rsidR="000A5A94" w:rsidRPr="00514997">
        <w:t xml:space="preserve">little use of </w:t>
      </w:r>
      <w:r w:rsidR="003B0335" w:rsidRPr="00514997">
        <w:t xml:space="preserve">its </w:t>
      </w:r>
      <w:r w:rsidR="008B2094" w:rsidRPr="00514997">
        <w:t xml:space="preserve">public </w:t>
      </w:r>
      <w:r w:rsidR="003B0335" w:rsidRPr="00514997">
        <w:t xml:space="preserve">data </w:t>
      </w:r>
      <w:r w:rsidR="008B2094" w:rsidRPr="00514997">
        <w:t>resource</w:t>
      </w:r>
      <w:r w:rsidR="003B0335" w:rsidRPr="00514997">
        <w:t>s</w:t>
      </w:r>
      <w:r w:rsidR="008B2094" w:rsidRPr="00514997">
        <w:t xml:space="preserve"> </w:t>
      </w:r>
      <w:r w:rsidR="002C7E79" w:rsidRPr="00514997">
        <w:t>even though t</w:t>
      </w:r>
      <w:r w:rsidR="000A5A94" w:rsidRPr="00514997">
        <w:t xml:space="preserve">he </w:t>
      </w:r>
      <w:r w:rsidR="009B7125" w:rsidRPr="00514997">
        <w:t xml:space="preserve">initial </w:t>
      </w:r>
      <w:r w:rsidR="000A5A94" w:rsidRPr="00514997">
        <w:t xml:space="preserve">costs </w:t>
      </w:r>
      <w:r w:rsidR="00215820" w:rsidRPr="00514997">
        <w:t xml:space="preserve">of </w:t>
      </w:r>
      <w:r w:rsidR="000A5A94" w:rsidRPr="00514997">
        <w:t xml:space="preserve">making </w:t>
      </w:r>
      <w:r w:rsidR="008B2094" w:rsidRPr="00514997">
        <w:t xml:space="preserve">data </w:t>
      </w:r>
      <w:r w:rsidR="000A5A94" w:rsidRPr="00514997">
        <w:t xml:space="preserve">available would </w:t>
      </w:r>
      <w:r w:rsidR="00D2268E" w:rsidRPr="00514997">
        <w:t>be low</w:t>
      </w:r>
      <w:r w:rsidR="00215820" w:rsidRPr="00514997">
        <w:t xml:space="preserve"> </w:t>
      </w:r>
      <w:r w:rsidR="000A5A94" w:rsidRPr="00514997">
        <w:t xml:space="preserve">relative to the </w:t>
      </w:r>
      <w:r w:rsidR="00407291" w:rsidRPr="00514997">
        <w:t xml:space="preserve">future flow of </w:t>
      </w:r>
      <w:r w:rsidR="00215820" w:rsidRPr="00514997">
        <w:t>benefits</w:t>
      </w:r>
      <w:r w:rsidR="000A5A94" w:rsidRPr="00514997">
        <w:t xml:space="preserve">. </w:t>
      </w:r>
      <w:r w:rsidR="00A607BD" w:rsidRPr="00514997">
        <w:t xml:space="preserve">International experience shows </w:t>
      </w:r>
      <w:r w:rsidR="00155236" w:rsidRPr="00514997">
        <w:t xml:space="preserve">that </w:t>
      </w:r>
      <w:r w:rsidR="002C6CD2" w:rsidRPr="00514997">
        <w:t xml:space="preserve">confidentiality </w:t>
      </w:r>
      <w:r w:rsidR="00951A8F" w:rsidRPr="00514997">
        <w:t>can be protected</w:t>
      </w:r>
      <w:r w:rsidR="002C6CD2" w:rsidRPr="00514997">
        <w:t>, and d</w:t>
      </w:r>
      <w:r w:rsidR="009C276B" w:rsidRPr="00514997">
        <w:t>omestically</w:t>
      </w:r>
      <w:r w:rsidR="00730D3C" w:rsidRPr="00514997">
        <w:t xml:space="preserve">, </w:t>
      </w:r>
      <w:r w:rsidR="00235DBD" w:rsidRPr="00514997">
        <w:t xml:space="preserve">researchers have </w:t>
      </w:r>
      <w:r w:rsidR="009C276B" w:rsidRPr="00514997">
        <w:t>us</w:t>
      </w:r>
      <w:r w:rsidR="002E6B20" w:rsidRPr="00514997">
        <w:t>ed</w:t>
      </w:r>
      <w:r w:rsidR="000D673C" w:rsidRPr="00514997">
        <w:t xml:space="preserve"> de-identified </w:t>
      </w:r>
      <w:r w:rsidR="00235DBD" w:rsidRPr="00514997">
        <w:t xml:space="preserve">Western Australian </w:t>
      </w:r>
      <w:r w:rsidR="000D673C" w:rsidRPr="00514997">
        <w:t xml:space="preserve">data </w:t>
      </w:r>
      <w:r w:rsidR="00235DBD" w:rsidRPr="00514997">
        <w:t xml:space="preserve">for over 30 years </w:t>
      </w:r>
      <w:r w:rsidR="000A5A94" w:rsidRPr="00514997">
        <w:t xml:space="preserve">without </w:t>
      </w:r>
      <w:r w:rsidR="002C7E79" w:rsidRPr="00514997">
        <w:t xml:space="preserve">any </w:t>
      </w:r>
      <w:r w:rsidR="00877BFE" w:rsidRPr="00514997">
        <w:t>brea</w:t>
      </w:r>
      <w:r w:rsidR="00235DBD" w:rsidRPr="00514997">
        <w:t>ch</w:t>
      </w:r>
      <w:r w:rsidR="002C7E79" w:rsidRPr="00514997">
        <w:t xml:space="preserve">es of </w:t>
      </w:r>
      <w:r w:rsidR="00235DBD" w:rsidRPr="00514997">
        <w:t>privacy</w:t>
      </w:r>
      <w:r w:rsidR="000A5A94" w:rsidRPr="00514997">
        <w:t xml:space="preserve">. </w:t>
      </w:r>
    </w:p>
    <w:p w:rsidR="000A5A94" w:rsidRPr="00407291" w:rsidRDefault="00235DBD" w:rsidP="009B7125">
      <w:pPr>
        <w:pStyle w:val="ChapterSummary"/>
      </w:pPr>
      <w:r w:rsidRPr="00407291">
        <w:t>Academics, r</w:t>
      </w:r>
      <w:r w:rsidR="00215820" w:rsidRPr="00407291">
        <w:t>esearchers</w:t>
      </w:r>
      <w:r w:rsidRPr="00407291">
        <w:t xml:space="preserve">, </w:t>
      </w:r>
      <w:r w:rsidR="000A5A94" w:rsidRPr="00407291">
        <w:t>data custodian</w:t>
      </w:r>
      <w:r w:rsidR="008273DF" w:rsidRPr="00407291">
        <w:t xml:space="preserve"> agencies</w:t>
      </w:r>
      <w:r w:rsidR="006C169B" w:rsidRPr="00407291">
        <w:t xml:space="preserve">, consumers </w:t>
      </w:r>
      <w:r w:rsidR="000A5A94" w:rsidRPr="00407291">
        <w:t xml:space="preserve">and </w:t>
      </w:r>
      <w:r w:rsidR="002C7E79" w:rsidRPr="00407291">
        <w:t xml:space="preserve">some </w:t>
      </w:r>
      <w:r w:rsidR="000A5A94" w:rsidRPr="00407291">
        <w:t xml:space="preserve">Ministers </w:t>
      </w:r>
      <w:r w:rsidR="003F61A0" w:rsidRPr="00407291">
        <w:t xml:space="preserve">are eager </w:t>
      </w:r>
      <w:r w:rsidR="000A5A94" w:rsidRPr="00407291">
        <w:t xml:space="preserve">to harness </w:t>
      </w:r>
      <w:r w:rsidRPr="00407291">
        <w:t xml:space="preserve">the </w:t>
      </w:r>
      <w:r w:rsidR="008273DF" w:rsidRPr="00407291">
        <w:t xml:space="preserve">evidentiary </w:t>
      </w:r>
      <w:r w:rsidRPr="00407291">
        <w:t xml:space="preserve">power of </w:t>
      </w:r>
      <w:r w:rsidR="000A5A94" w:rsidRPr="00407291">
        <w:t>administrative data</w:t>
      </w:r>
      <w:r w:rsidR="003B0335" w:rsidRPr="00407291">
        <w:t>,</w:t>
      </w:r>
      <w:r w:rsidR="002E6B20" w:rsidRPr="00407291">
        <w:t xml:space="preserve"> b</w:t>
      </w:r>
      <w:r w:rsidR="002C7E79" w:rsidRPr="00407291">
        <w:t>ut t</w:t>
      </w:r>
      <w:r w:rsidRPr="00407291">
        <w:t xml:space="preserve">his </w:t>
      </w:r>
      <w:r w:rsidR="00215820" w:rsidRPr="00407291">
        <w:t xml:space="preserve">enthusiasm generally is not matched by </w:t>
      </w:r>
      <w:r w:rsidR="000A5A94" w:rsidRPr="00407291">
        <w:t>policy departments</w:t>
      </w:r>
      <w:r w:rsidR="002C7E79" w:rsidRPr="00407291">
        <w:t xml:space="preserve">. </w:t>
      </w:r>
      <w:r w:rsidR="003F61A0" w:rsidRPr="00407291">
        <w:t xml:space="preserve">Despite </w:t>
      </w:r>
      <w:r w:rsidR="00215820" w:rsidRPr="00407291">
        <w:t xml:space="preserve">tentative steps, </w:t>
      </w:r>
      <w:r w:rsidRPr="00407291">
        <w:t xml:space="preserve">overall </w:t>
      </w:r>
      <w:r w:rsidR="000A5A94" w:rsidRPr="00407291">
        <w:t>progress has been inadequate</w:t>
      </w:r>
      <w:r w:rsidR="003B0335" w:rsidRPr="00407291">
        <w:t xml:space="preserve">. </w:t>
      </w:r>
      <w:r w:rsidR="009B7125">
        <w:t>L</w:t>
      </w:r>
      <w:r w:rsidR="002C7E79" w:rsidRPr="009B7125">
        <w:t xml:space="preserve">eadership </w:t>
      </w:r>
      <w:r w:rsidR="002C7E79" w:rsidRPr="00407291">
        <w:t xml:space="preserve">and </w:t>
      </w:r>
      <w:r w:rsidR="00215820" w:rsidRPr="00407291">
        <w:t xml:space="preserve">commitment </w:t>
      </w:r>
      <w:r w:rsidR="000A5A94" w:rsidRPr="00407291">
        <w:t>is required</w:t>
      </w:r>
      <w:r w:rsidR="00922698" w:rsidRPr="00407291">
        <w:t xml:space="preserve"> </w:t>
      </w:r>
      <w:r w:rsidR="00951A8F" w:rsidRPr="00407291">
        <w:t xml:space="preserve">to </w:t>
      </w:r>
      <w:r w:rsidR="002C6CD2" w:rsidRPr="00407291">
        <w:t xml:space="preserve">promote </w:t>
      </w:r>
      <w:r w:rsidR="00994DE4" w:rsidRPr="00407291">
        <w:t xml:space="preserve">the </w:t>
      </w:r>
      <w:r w:rsidR="002C6CD2" w:rsidRPr="00407291">
        <w:t>evidence</w:t>
      </w:r>
      <w:r w:rsidR="00994DE4" w:rsidRPr="00407291">
        <w:t>-</w:t>
      </w:r>
      <w:r w:rsidR="002C6CD2" w:rsidRPr="00407291">
        <w:t xml:space="preserve">based </w:t>
      </w:r>
      <w:r w:rsidR="00994DE4" w:rsidRPr="00407291">
        <w:t>p</w:t>
      </w:r>
      <w:r w:rsidR="00922698" w:rsidRPr="00407291">
        <w:t xml:space="preserve">olicies </w:t>
      </w:r>
      <w:r w:rsidR="00951A8F" w:rsidRPr="00407291">
        <w:t xml:space="preserve">needed to </w:t>
      </w:r>
      <w:r w:rsidR="00994DE4" w:rsidRPr="00407291">
        <w:t xml:space="preserve">meet </w:t>
      </w:r>
      <w:r w:rsidR="000E0AE4" w:rsidRPr="00407291">
        <w:t xml:space="preserve">Australia’s </w:t>
      </w:r>
      <w:r w:rsidR="00994DE4" w:rsidRPr="00407291">
        <w:t xml:space="preserve">economic and social objectives within </w:t>
      </w:r>
      <w:r w:rsidR="00922698" w:rsidRPr="00407291">
        <w:t xml:space="preserve">budget </w:t>
      </w:r>
      <w:r w:rsidR="00994DE4" w:rsidRPr="00407291">
        <w:t>constraints t</w:t>
      </w:r>
      <w:r w:rsidR="00951A8F" w:rsidRPr="00407291">
        <w:t xml:space="preserve">hat will </w:t>
      </w:r>
      <w:r w:rsidR="002E6F74" w:rsidRPr="00407291">
        <w:t>become more acute</w:t>
      </w:r>
      <w:r w:rsidR="00187003" w:rsidRPr="00407291">
        <w:t xml:space="preserve"> given </w:t>
      </w:r>
      <w:r w:rsidR="000E0AE4" w:rsidRPr="00407291">
        <w:t xml:space="preserve">the </w:t>
      </w:r>
      <w:r w:rsidR="00951A8F" w:rsidRPr="00407291">
        <w:t>demographic outlook.</w:t>
      </w:r>
      <w:r w:rsidR="000E0AE4" w:rsidRPr="00407291">
        <w:t xml:space="preserve"> </w:t>
      </w:r>
    </w:p>
    <w:p w:rsidR="00877BFE" w:rsidRPr="00407291" w:rsidRDefault="00877BFE" w:rsidP="00FE7BB8">
      <w:pPr>
        <w:pStyle w:val="Heading2"/>
      </w:pPr>
      <w:r w:rsidRPr="00407291">
        <w:t>Effective policy making rests on evidence</w:t>
      </w:r>
    </w:p>
    <w:p w:rsidR="000A5A94" w:rsidRDefault="00877BFE" w:rsidP="00FE7BB8">
      <w:pPr>
        <w:pStyle w:val="BodyText"/>
        <w:spacing w:before="200"/>
      </w:pPr>
      <w:r>
        <w:t>Systematic evidence-based analysis</w:t>
      </w:r>
      <w:r w:rsidR="00721B0C">
        <w:t xml:space="preserve"> is an</w:t>
      </w:r>
      <w:r>
        <w:t xml:space="preserve"> essential </w:t>
      </w:r>
      <w:r w:rsidR="00721B0C">
        <w:t xml:space="preserve">element of all </w:t>
      </w:r>
      <w:r>
        <w:t>good policy</w:t>
      </w:r>
      <w:r w:rsidR="00721B0C">
        <w:t xml:space="preserve">. It is particularly important </w:t>
      </w:r>
      <w:r w:rsidR="002E6B20">
        <w:t>for</w:t>
      </w:r>
      <w:r w:rsidR="003F61A0">
        <w:t xml:space="preserve"> </w:t>
      </w:r>
      <w:r>
        <w:t>social services w</w:t>
      </w:r>
      <w:r w:rsidR="00721B0C">
        <w:t>ith such a major s</w:t>
      </w:r>
      <w:r>
        <w:t>hare of budget outlays. For 2013-14, Australian Government spending is expected to be $398 billion with social security and welfare</w:t>
      </w:r>
      <w:r w:rsidR="00631D1C">
        <w:t>,</w:t>
      </w:r>
      <w:r>
        <w:t xml:space="preserve"> $138 billion (35 per cent); health, $65</w:t>
      </w:r>
      <w:r w:rsidR="003F61A0">
        <w:t> </w:t>
      </w:r>
      <w:r>
        <w:t>billion (16 per cent) and education, $30 billion (7 per cent) (Australian Government 2013). Australia-wide, expenditure on health alone was around $130 billion in 2010</w:t>
      </w:r>
      <w:r w:rsidR="00721B0C">
        <w:t>-</w:t>
      </w:r>
      <w:r>
        <w:t>11 of which the Australian and state and territory governments funded 69 per cent (AIHW 2012). Significantly, the costs of health and aged care are expected to rise sharply with Australia’s ageing population and advances in medical treatments.</w:t>
      </w:r>
    </w:p>
    <w:p w:rsidR="00171706" w:rsidRDefault="00497644" w:rsidP="00FE7BB8">
      <w:pPr>
        <w:pStyle w:val="BodyText"/>
        <w:spacing w:before="200"/>
      </w:pPr>
      <w:r>
        <w:t>T</w:t>
      </w:r>
      <w:r w:rsidR="00F27E0F">
        <w:t xml:space="preserve">he Commission </w:t>
      </w:r>
      <w:r>
        <w:t xml:space="preserve">has previously </w:t>
      </w:r>
      <w:r w:rsidR="0008050F">
        <w:t xml:space="preserve">addressed </w:t>
      </w:r>
      <w:r w:rsidR="0004589D">
        <w:t xml:space="preserve">the need to </w:t>
      </w:r>
      <w:r w:rsidR="0008050F">
        <w:t>strengthen evidence-based policy development (PC 2010</w:t>
      </w:r>
      <w:r w:rsidR="00F16E87">
        <w:t>b</w:t>
      </w:r>
      <w:r w:rsidR="0008050F">
        <w:t xml:space="preserve">). It </w:t>
      </w:r>
      <w:r w:rsidR="004C4C6A">
        <w:t xml:space="preserve">postulated </w:t>
      </w:r>
      <w:r w:rsidR="00F27E0F">
        <w:t xml:space="preserve">that </w:t>
      </w:r>
      <w:r w:rsidR="002366E0">
        <w:t xml:space="preserve">community expectations </w:t>
      </w:r>
      <w:r w:rsidR="00631D1C">
        <w:t xml:space="preserve">of </w:t>
      </w:r>
      <w:r w:rsidR="002366E0">
        <w:t>what governments c</w:t>
      </w:r>
      <w:r w:rsidR="00A95A0D">
        <w:t>an</w:t>
      </w:r>
      <w:r w:rsidR="004C4C6A">
        <w:t xml:space="preserve"> </w:t>
      </w:r>
      <w:r w:rsidR="002366E0">
        <w:t xml:space="preserve">do about </w:t>
      </w:r>
      <w:r w:rsidR="00AD5D38">
        <w:t xml:space="preserve">policy problems </w:t>
      </w:r>
      <w:r w:rsidR="004C4C6A">
        <w:t xml:space="preserve">often </w:t>
      </w:r>
      <w:r w:rsidR="002366E0">
        <w:t xml:space="preserve">run ahead of reality or </w:t>
      </w:r>
      <w:r w:rsidR="004C4C6A">
        <w:t>are</w:t>
      </w:r>
      <w:r w:rsidR="002366E0">
        <w:t xml:space="preserve"> </w:t>
      </w:r>
      <w:r w:rsidR="009C621E">
        <w:lastRenderedPageBreak/>
        <w:t xml:space="preserve">influenced </w:t>
      </w:r>
      <w:r w:rsidR="00707685">
        <w:t xml:space="preserve">unduly </w:t>
      </w:r>
      <w:r w:rsidR="002366E0">
        <w:t xml:space="preserve">by sectional interests. </w:t>
      </w:r>
      <w:r w:rsidR="00D2268E">
        <w:t>In Australia, t</w:t>
      </w:r>
      <w:r w:rsidR="0004589D">
        <w:t xml:space="preserve">his can be compounded by </w:t>
      </w:r>
      <w:r w:rsidR="00416E34">
        <w:t>f</w:t>
      </w:r>
      <w:r w:rsidR="00851C16">
        <w:t xml:space="preserve">ailure to </w:t>
      </w:r>
      <w:r w:rsidR="00707685">
        <w:t xml:space="preserve">draw on </w:t>
      </w:r>
      <w:r w:rsidR="002366E0">
        <w:t xml:space="preserve">information that </w:t>
      </w:r>
      <w:r w:rsidR="00CF1692">
        <w:t>w</w:t>
      </w:r>
      <w:r w:rsidR="00FA587F">
        <w:t xml:space="preserve">ould </w:t>
      </w:r>
      <w:r w:rsidR="008B73E2">
        <w:t xml:space="preserve">elucidate </w:t>
      </w:r>
      <w:r w:rsidR="00707685">
        <w:t>understand</w:t>
      </w:r>
      <w:r w:rsidR="00FA587F">
        <w:t xml:space="preserve">ing of </w:t>
      </w:r>
      <w:r w:rsidR="00707685">
        <w:t xml:space="preserve">problems and </w:t>
      </w:r>
      <w:r>
        <w:t>proposed</w:t>
      </w:r>
      <w:r w:rsidR="00707685">
        <w:t xml:space="preserve"> solutions</w:t>
      </w:r>
      <w:r w:rsidR="00FA587F">
        <w:t>.</w:t>
      </w:r>
      <w:r w:rsidR="008B73E2">
        <w:t xml:space="preserve"> </w:t>
      </w:r>
      <w:r w:rsidR="008643EA">
        <w:t xml:space="preserve">The Commission identified </w:t>
      </w:r>
      <w:r w:rsidR="006D46B6">
        <w:t xml:space="preserve">several contributing </w:t>
      </w:r>
      <w:r w:rsidR="00207C3E">
        <w:t>factors</w:t>
      </w:r>
      <w:r w:rsidR="00171706">
        <w:t>:</w:t>
      </w:r>
    </w:p>
    <w:p w:rsidR="00171706" w:rsidRDefault="00171706" w:rsidP="00171706">
      <w:pPr>
        <w:pStyle w:val="ListBullet"/>
      </w:pPr>
      <w:r>
        <w:t>a</w:t>
      </w:r>
      <w:r w:rsidR="009C621E">
        <w:t xml:space="preserve"> </w:t>
      </w:r>
      <w:r w:rsidR="00C6249E">
        <w:t>diminution</w:t>
      </w:r>
      <w:r>
        <w:t xml:space="preserve">, over many years, </w:t>
      </w:r>
      <w:r w:rsidR="00C6249E">
        <w:t>of specialist public sector research bureaux</w:t>
      </w:r>
    </w:p>
    <w:p w:rsidR="00171706" w:rsidRDefault="008B73E2" w:rsidP="00514997">
      <w:pPr>
        <w:pStyle w:val="ListBullet"/>
        <w:spacing w:before="100"/>
      </w:pPr>
      <w:r>
        <w:t>in-house evaluations</w:t>
      </w:r>
      <w:r w:rsidR="00171706">
        <w:t>, to the extent they are done, b</w:t>
      </w:r>
      <w:r>
        <w:t xml:space="preserve">eing conducted by policy departments </w:t>
      </w:r>
      <w:r w:rsidR="004A53D2">
        <w:t xml:space="preserve">that </w:t>
      </w:r>
      <w:r>
        <w:t>are c</w:t>
      </w:r>
      <w:r w:rsidR="009C621E" w:rsidRPr="009C621E">
        <w:t>onstrained in the frankness of their (public) evaluations</w:t>
      </w:r>
    </w:p>
    <w:p w:rsidR="00851C16" w:rsidRDefault="00171706" w:rsidP="00514997">
      <w:pPr>
        <w:pStyle w:val="ListBullet"/>
        <w:spacing w:before="100"/>
      </w:pPr>
      <w:r>
        <w:t xml:space="preserve">relatively little experience </w:t>
      </w:r>
      <w:r w:rsidR="008B73E2">
        <w:t xml:space="preserve">of public agencies sharing data with academics and other </w:t>
      </w:r>
      <w:r w:rsidR="00E23949">
        <w:t xml:space="preserve">external </w:t>
      </w:r>
      <w:r w:rsidR="008B73E2">
        <w:t>specialist</w:t>
      </w:r>
      <w:r w:rsidR="00E23949">
        <w:t>s</w:t>
      </w:r>
      <w:r>
        <w:t xml:space="preserve"> (PC 2010</w:t>
      </w:r>
      <w:r w:rsidR="00E50BDD">
        <w:t>b</w:t>
      </w:r>
      <w:r>
        <w:t>)</w:t>
      </w:r>
      <w:r w:rsidR="00E23949">
        <w:t>.</w:t>
      </w:r>
      <w:r w:rsidR="008B73E2">
        <w:t xml:space="preserve"> </w:t>
      </w:r>
    </w:p>
    <w:p w:rsidR="00575C86" w:rsidRDefault="00575C86" w:rsidP="00FE7BB8">
      <w:pPr>
        <w:pStyle w:val="BodyText"/>
        <w:spacing w:before="200"/>
      </w:pPr>
      <w:r>
        <w:t xml:space="preserve">A rich vein of information is held </w:t>
      </w:r>
      <w:r w:rsidR="0043299E">
        <w:t xml:space="preserve">by governments in the form of </w:t>
      </w:r>
      <w:r>
        <w:t>‘a</w:t>
      </w:r>
      <w:r w:rsidRPr="00575C86">
        <w:t>dministrative data</w:t>
      </w:r>
      <w:r>
        <w:t xml:space="preserve">’ </w:t>
      </w:r>
      <w:r w:rsidRPr="00575C86">
        <w:t xml:space="preserve">collected for regulatory requirements </w:t>
      </w:r>
      <w:r w:rsidR="003449EB">
        <w:t xml:space="preserve">(e.g. </w:t>
      </w:r>
      <w:r w:rsidRPr="00575C86">
        <w:t>vehicle registrations and taxation declarations</w:t>
      </w:r>
      <w:r w:rsidR="003449EB">
        <w:t>),</w:t>
      </w:r>
      <w:r>
        <w:t xml:space="preserve"> </w:t>
      </w:r>
      <w:r w:rsidRPr="00575C86">
        <w:t>program administration</w:t>
      </w:r>
      <w:r w:rsidR="003449EB">
        <w:t xml:space="preserve"> (e.g. Centrelink and Medicare payments</w:t>
      </w:r>
      <w:r w:rsidRPr="00575C86">
        <w:t>, school</w:t>
      </w:r>
      <w:r w:rsidR="003449EB">
        <w:t xml:space="preserve">, university and vocational </w:t>
      </w:r>
      <w:r w:rsidRPr="00575C86">
        <w:t xml:space="preserve">enrolments </w:t>
      </w:r>
      <w:r w:rsidR="003449EB">
        <w:t xml:space="preserve">and completions, and </w:t>
      </w:r>
      <w:r w:rsidRPr="00575C86">
        <w:t>hospital admissions</w:t>
      </w:r>
      <w:r w:rsidR="003449EB">
        <w:t>) or as a byproduct of transactions (e.g. fines and fees)</w:t>
      </w:r>
      <w:r>
        <w:t xml:space="preserve"> </w:t>
      </w:r>
      <w:r w:rsidRPr="00575C86">
        <w:t>(ABS 2011, p. vi).</w:t>
      </w:r>
    </w:p>
    <w:p w:rsidR="00171706" w:rsidRPr="00171706" w:rsidRDefault="00707685" w:rsidP="00FE7BB8">
      <w:pPr>
        <w:pStyle w:val="BodyText"/>
        <w:spacing w:before="200"/>
      </w:pPr>
      <w:r>
        <w:t xml:space="preserve">The Commission </w:t>
      </w:r>
      <w:r w:rsidR="002366E0">
        <w:t>concluded</w:t>
      </w:r>
      <w:r w:rsidR="004A7001">
        <w:t xml:space="preserve"> that </w:t>
      </w:r>
      <w:r w:rsidR="002366E0">
        <w:t xml:space="preserve">access to </w:t>
      </w:r>
      <w:r w:rsidR="00641C6F">
        <w:t>de-</w:t>
      </w:r>
      <w:r w:rsidR="00497644">
        <w:t>identified</w:t>
      </w:r>
      <w:r w:rsidR="00641C6F">
        <w:t xml:space="preserve"> </w:t>
      </w:r>
      <w:r w:rsidR="002366E0">
        <w:t>data for government users, academics and other researchers</w:t>
      </w:r>
      <w:r w:rsidR="008643EA" w:rsidRPr="008643EA">
        <w:t xml:space="preserve"> </w:t>
      </w:r>
      <w:r w:rsidR="008643EA">
        <w:t>should be pursued as a priority</w:t>
      </w:r>
      <w:r w:rsidR="00575C86">
        <w:t xml:space="preserve"> </w:t>
      </w:r>
      <w:r w:rsidR="00575C86" w:rsidRPr="00575C86">
        <w:t>(PC 2010b)</w:t>
      </w:r>
      <w:r w:rsidR="004A7001">
        <w:t>.</w:t>
      </w:r>
      <w:r w:rsidR="00E73DDF">
        <w:t xml:space="preserve"> </w:t>
      </w:r>
      <w:r w:rsidR="008643EA">
        <w:t>But</w:t>
      </w:r>
      <w:r w:rsidR="00FA587F">
        <w:t xml:space="preserve"> </w:t>
      </w:r>
      <w:r w:rsidR="00403EC2">
        <w:t xml:space="preserve">its </w:t>
      </w:r>
      <w:r w:rsidR="008643EA">
        <w:t xml:space="preserve">recent work is testimony that </w:t>
      </w:r>
      <w:r w:rsidR="00FA587F">
        <w:t xml:space="preserve">gaining access to administrative data remains </w:t>
      </w:r>
      <w:r w:rsidR="00CD0FF6">
        <w:t>difficult</w:t>
      </w:r>
      <w:r w:rsidR="00A95A0D">
        <w:t>.</w:t>
      </w:r>
      <w:r w:rsidR="009F0BC5">
        <w:t xml:space="preserve"> </w:t>
      </w:r>
      <w:r w:rsidR="00332C65">
        <w:t xml:space="preserve">In </w:t>
      </w:r>
      <w:r w:rsidR="00171706" w:rsidRPr="00EF6A64">
        <w:rPr>
          <w:i/>
        </w:rPr>
        <w:t>Caring for Older Australians</w:t>
      </w:r>
      <w:r w:rsidR="00332C65">
        <w:t>, the Commission noted that</w:t>
      </w:r>
      <w:r w:rsidR="00171706" w:rsidRPr="00171706">
        <w:t xml:space="preserve">: </w:t>
      </w:r>
    </w:p>
    <w:p w:rsidR="00171706" w:rsidRPr="00A03A9E" w:rsidRDefault="00171706" w:rsidP="00171706">
      <w:pPr>
        <w:pStyle w:val="Quote"/>
      </w:pPr>
      <w:r w:rsidRPr="00A03A9E">
        <w:t xml:space="preserve">… given that the Government already collects </w:t>
      </w:r>
      <w:r>
        <w:t xml:space="preserve">and </w:t>
      </w:r>
      <w:r w:rsidRPr="00A03A9E">
        <w:t>maintains detailed data sets relating to aged care, the provision of better public access to this data is likely to generate sizable net benefits</w:t>
      </w:r>
      <w:r w:rsidR="009F0BC5">
        <w:t xml:space="preserve">… </w:t>
      </w:r>
      <w:r w:rsidRPr="00A03A9E">
        <w:t>the default presumption should be that data be transparent and automatically released in a timely manner</w:t>
      </w:r>
      <w:r w:rsidR="001F3F30">
        <w:t>.</w:t>
      </w:r>
      <w:r w:rsidRPr="00A03A9E">
        <w:t xml:space="preserve"> (</w:t>
      </w:r>
      <w:r w:rsidR="009F0BC5">
        <w:t>PC 2011</w:t>
      </w:r>
      <w:r w:rsidR="00E50BDD">
        <w:t>a</w:t>
      </w:r>
      <w:r w:rsidR="009F0BC5">
        <w:t xml:space="preserve">, </w:t>
      </w:r>
      <w:r w:rsidR="009F0BC5" w:rsidRPr="00A03A9E">
        <w:t>p</w:t>
      </w:r>
      <w:r w:rsidR="009F0BC5">
        <w:t>p</w:t>
      </w:r>
      <w:r w:rsidR="009F0BC5" w:rsidRPr="00A03A9E">
        <w:t>. 462</w:t>
      </w:r>
      <w:r w:rsidR="009F0BC5">
        <w:t>-3</w:t>
      </w:r>
      <w:r w:rsidRPr="00A03A9E">
        <w:t>)</w:t>
      </w:r>
    </w:p>
    <w:p w:rsidR="00171706" w:rsidRPr="00171706" w:rsidRDefault="00332C65" w:rsidP="00171706">
      <w:pPr>
        <w:pStyle w:val="BodyText"/>
      </w:pPr>
      <w:r>
        <w:t>Similarly,</w:t>
      </w:r>
      <w:r w:rsidR="00084395">
        <w:t xml:space="preserve"> in </w:t>
      </w:r>
      <w:r w:rsidR="00171706" w:rsidRPr="00EF6A64">
        <w:rPr>
          <w:i/>
        </w:rPr>
        <w:t>Disability Care and Support</w:t>
      </w:r>
      <w:r w:rsidR="009F0BC5">
        <w:t xml:space="preserve"> </w:t>
      </w:r>
      <w:r w:rsidR="00084395">
        <w:t xml:space="preserve">it </w:t>
      </w:r>
      <w:r w:rsidR="001F3F30">
        <w:t>considered</w:t>
      </w:r>
      <w:r w:rsidR="00171706" w:rsidRPr="00171706">
        <w:t xml:space="preserve">: </w:t>
      </w:r>
    </w:p>
    <w:p w:rsidR="00171706" w:rsidRPr="00A03A9E" w:rsidRDefault="00171706" w:rsidP="00171706">
      <w:pPr>
        <w:pStyle w:val="Quote"/>
      </w:pPr>
      <w:r w:rsidRPr="00A03A9E">
        <w:t>Data are a key aspect of the evidence base of a good insurance scheme (and badly lacking in the current disability system)</w:t>
      </w:r>
      <w:r w:rsidR="001F3F30">
        <w:t xml:space="preserve"> </w:t>
      </w:r>
      <w:r w:rsidRPr="00A03A9E">
        <w:t>…</w:t>
      </w:r>
      <w:r w:rsidR="001F3F30">
        <w:t xml:space="preserve"> </w:t>
      </w:r>
      <w:r w:rsidRPr="00A03A9E">
        <w:t>(</w:t>
      </w:r>
      <w:r w:rsidR="009F0BC5">
        <w:t>PC 2011</w:t>
      </w:r>
      <w:r w:rsidR="00E50BDD">
        <w:t>b</w:t>
      </w:r>
      <w:r w:rsidR="009F0BC5">
        <w:t xml:space="preserve">, </w:t>
      </w:r>
      <w:r w:rsidRPr="00A03A9E">
        <w:t>p. 564)</w:t>
      </w:r>
    </w:p>
    <w:p w:rsidR="00171706" w:rsidRPr="00171706" w:rsidRDefault="00EC620C" w:rsidP="00FE7BB8">
      <w:pPr>
        <w:pStyle w:val="BodyText"/>
        <w:spacing w:before="200"/>
      </w:pPr>
      <w:r>
        <w:t>A</w:t>
      </w:r>
      <w:r w:rsidR="00332C65">
        <w:t xml:space="preserve"> </w:t>
      </w:r>
      <w:r>
        <w:t xml:space="preserve">Commission </w:t>
      </w:r>
      <w:r w:rsidR="00171706" w:rsidRPr="00171706">
        <w:t xml:space="preserve">staff paper on </w:t>
      </w:r>
      <w:r w:rsidRPr="00767B0E">
        <w:rPr>
          <w:i/>
        </w:rPr>
        <w:t>D</w:t>
      </w:r>
      <w:r w:rsidR="001F3F30" w:rsidRPr="00767B0E">
        <w:rPr>
          <w:i/>
        </w:rPr>
        <w:t xml:space="preserve">eep and </w:t>
      </w:r>
      <w:r w:rsidRPr="00767B0E">
        <w:rPr>
          <w:i/>
        </w:rPr>
        <w:t>P</w:t>
      </w:r>
      <w:r w:rsidR="00A95A0D" w:rsidRPr="00767B0E">
        <w:rPr>
          <w:i/>
        </w:rPr>
        <w:t xml:space="preserve">ersistent </w:t>
      </w:r>
      <w:r w:rsidRPr="00767B0E">
        <w:rPr>
          <w:i/>
        </w:rPr>
        <w:t>D</w:t>
      </w:r>
      <w:r w:rsidR="00171706" w:rsidRPr="00767B0E">
        <w:rPr>
          <w:i/>
        </w:rPr>
        <w:t>isadvantage</w:t>
      </w:r>
      <w:r>
        <w:t xml:space="preserve"> </w:t>
      </w:r>
      <w:r w:rsidR="00332C65">
        <w:t>found</w:t>
      </w:r>
      <w:r w:rsidR="00171706" w:rsidRPr="00171706">
        <w:t>:</w:t>
      </w:r>
    </w:p>
    <w:p w:rsidR="009F0BC5" w:rsidRDefault="009F0BC5" w:rsidP="009F0BC5">
      <w:pPr>
        <w:pStyle w:val="Quote"/>
      </w:pPr>
      <w:r w:rsidRPr="002E7E92">
        <w:t xml:space="preserve">Administrative data has the potential to provide new knowledge to inform researchers and policy makers about </w:t>
      </w:r>
      <w:r w:rsidR="002345E8">
        <w:t xml:space="preserve">… </w:t>
      </w:r>
      <w:r w:rsidRPr="002E7E92">
        <w:t>disadvantage.</w:t>
      </w:r>
      <w:r>
        <w:t xml:space="preserve"> (</w:t>
      </w:r>
      <w:r w:rsidR="00A70B42" w:rsidRPr="00A70B42">
        <w:rPr>
          <w:sz w:val="26"/>
        </w:rPr>
        <w:t>McLachlan</w:t>
      </w:r>
      <w:r w:rsidR="00A70B42">
        <w:t xml:space="preserve"> et al., </w:t>
      </w:r>
      <w:r>
        <w:t>2013</w:t>
      </w:r>
      <w:r w:rsidR="008B54C3">
        <w:t>, p.</w:t>
      </w:r>
      <w:r w:rsidR="00666B68">
        <w:t> </w:t>
      </w:r>
      <w:r w:rsidR="008B54C3">
        <w:t>2</w:t>
      </w:r>
      <w:r>
        <w:t>)</w:t>
      </w:r>
      <w:r w:rsidR="00A70B42">
        <w:t>.</w:t>
      </w:r>
    </w:p>
    <w:p w:rsidR="003F61A0" w:rsidRDefault="00721B0C" w:rsidP="00FE7BB8">
      <w:pPr>
        <w:pStyle w:val="BodyText"/>
        <w:spacing w:before="200"/>
      </w:pPr>
      <w:r>
        <w:t>A</w:t>
      </w:r>
      <w:r w:rsidR="00A95A0D">
        <w:t xml:space="preserve">dministrative data </w:t>
      </w:r>
      <w:r w:rsidR="000E185B">
        <w:t>(</w:t>
      </w:r>
      <w:r w:rsidR="00A95A0D">
        <w:t xml:space="preserve">and </w:t>
      </w:r>
      <w:r w:rsidR="00E73DDF" w:rsidRPr="00E73DDF">
        <w:t xml:space="preserve">data </w:t>
      </w:r>
      <w:r w:rsidR="000E185B">
        <w:t>matching)</w:t>
      </w:r>
      <w:r w:rsidR="00A95A0D">
        <w:t xml:space="preserve"> </w:t>
      </w:r>
      <w:r w:rsidR="00E73DDF" w:rsidRPr="00E73DDF">
        <w:t xml:space="preserve">is commonly used to detect undeclared income by welfare recipients </w:t>
      </w:r>
      <w:r w:rsidR="008A10F3">
        <w:t xml:space="preserve">(McLucas 2013) </w:t>
      </w:r>
      <w:r w:rsidR="00E73DDF" w:rsidRPr="00E73DDF">
        <w:t>or over-</w:t>
      </w:r>
      <w:r w:rsidR="00A95A0D">
        <w:t>claiming b</w:t>
      </w:r>
      <w:r w:rsidR="00E73DDF" w:rsidRPr="00E73DDF">
        <w:t xml:space="preserve">y service providers. </w:t>
      </w:r>
      <w:r w:rsidR="00A95A0D">
        <w:t>While t</w:t>
      </w:r>
      <w:r w:rsidR="009F0BC5">
        <w:t xml:space="preserve">hese </w:t>
      </w:r>
      <w:r w:rsidR="00E73DDF" w:rsidRPr="00E73DDF">
        <w:t xml:space="preserve">initiatives </w:t>
      </w:r>
      <w:r w:rsidR="00332C65">
        <w:t xml:space="preserve">reduce waste of </w:t>
      </w:r>
      <w:r w:rsidR="00E73DDF" w:rsidRPr="00E73DDF">
        <w:t xml:space="preserve">scarce resources and reinforce public confidence, the </w:t>
      </w:r>
      <w:r w:rsidR="00084395">
        <w:t xml:space="preserve">savings from </w:t>
      </w:r>
      <w:r w:rsidR="00E73DDF" w:rsidRPr="00E73DDF">
        <w:t xml:space="preserve">improved program integrity are likely to pale </w:t>
      </w:r>
      <w:r w:rsidR="001F3F30">
        <w:t>in comparison</w:t>
      </w:r>
      <w:r w:rsidR="001F3F30" w:rsidRPr="00E73DDF">
        <w:t xml:space="preserve"> </w:t>
      </w:r>
      <w:r w:rsidR="00E73DDF" w:rsidRPr="00E73DDF">
        <w:t xml:space="preserve">to the costs </w:t>
      </w:r>
      <w:r w:rsidR="009F0BC5">
        <w:t xml:space="preserve">that </w:t>
      </w:r>
      <w:r w:rsidR="000A7AED">
        <w:t xml:space="preserve">can </w:t>
      </w:r>
      <w:r w:rsidR="009F0BC5">
        <w:t xml:space="preserve">arise </w:t>
      </w:r>
      <w:r w:rsidR="00E73DDF" w:rsidRPr="00E73DDF">
        <w:t xml:space="preserve">if the </w:t>
      </w:r>
      <w:r w:rsidR="0026068D">
        <w:t xml:space="preserve">underlying </w:t>
      </w:r>
      <w:r w:rsidR="00E73DDF" w:rsidRPr="00E73DDF">
        <w:t xml:space="preserve">programs themselves are poorly </w:t>
      </w:r>
      <w:r w:rsidR="00912F12">
        <w:t>designed and therefore less effective</w:t>
      </w:r>
      <w:r w:rsidR="00E73DDF" w:rsidRPr="00E73DDF">
        <w:t>.</w:t>
      </w:r>
      <w:r w:rsidR="00912F12">
        <w:t xml:space="preserve"> </w:t>
      </w:r>
      <w:r w:rsidR="0043299E">
        <w:t>Used for</w:t>
      </w:r>
      <w:r w:rsidR="007A0FF0">
        <w:t xml:space="preserve"> </w:t>
      </w:r>
      <w:r w:rsidR="0043299E" w:rsidRPr="003F61A0">
        <w:t>comprehensive</w:t>
      </w:r>
      <w:r w:rsidR="0043299E">
        <w:t xml:space="preserve"> </w:t>
      </w:r>
      <w:r w:rsidR="007A0FF0">
        <w:t xml:space="preserve">policy analysis, data matching </w:t>
      </w:r>
      <w:r w:rsidR="00D76A04">
        <w:t>c</w:t>
      </w:r>
      <w:r w:rsidR="003F61A0" w:rsidRPr="003F61A0">
        <w:t xml:space="preserve">ould </w:t>
      </w:r>
      <w:r w:rsidR="0043299E">
        <w:t>identify</w:t>
      </w:r>
      <w:r w:rsidR="003F61A0" w:rsidRPr="00912F12">
        <w:t xml:space="preserve"> programs </w:t>
      </w:r>
      <w:r w:rsidR="00D76A04">
        <w:t xml:space="preserve">that </w:t>
      </w:r>
      <w:r w:rsidR="003F61A0">
        <w:t xml:space="preserve">do not </w:t>
      </w:r>
      <w:r w:rsidR="007A0FF0">
        <w:t xml:space="preserve">work </w:t>
      </w:r>
      <w:r w:rsidR="003F61A0">
        <w:t xml:space="preserve">and </w:t>
      </w:r>
      <w:r w:rsidR="0001347E">
        <w:t xml:space="preserve">for whom and </w:t>
      </w:r>
      <w:r w:rsidR="003F61A0">
        <w:t xml:space="preserve">where </w:t>
      </w:r>
      <w:r w:rsidR="003F61A0" w:rsidRPr="00912F12">
        <w:t xml:space="preserve">enhancements </w:t>
      </w:r>
      <w:r w:rsidR="003F61A0">
        <w:t xml:space="preserve">could be made </w:t>
      </w:r>
      <w:r w:rsidR="003F61A0" w:rsidRPr="00912F12">
        <w:t xml:space="preserve">to </w:t>
      </w:r>
      <w:r w:rsidR="007274C4">
        <w:t>programs</w:t>
      </w:r>
      <w:r w:rsidR="00631D1C">
        <w:t xml:space="preserve"> that do</w:t>
      </w:r>
      <w:r w:rsidR="003F61A0" w:rsidRPr="003F61A0">
        <w:t xml:space="preserve">. </w:t>
      </w:r>
      <w:r w:rsidR="003F61A0">
        <w:t>M</w:t>
      </w:r>
      <w:r w:rsidR="003F61A0" w:rsidRPr="003F61A0">
        <w:t xml:space="preserve">aking </w:t>
      </w:r>
      <w:r w:rsidR="00D76A04">
        <w:t>these</w:t>
      </w:r>
      <w:r w:rsidR="003F61A0" w:rsidRPr="003F61A0">
        <w:t xml:space="preserve"> data available would enable independent verification of official evaluations, as well as providing insights of relevance to governments at low cost.</w:t>
      </w:r>
    </w:p>
    <w:p w:rsidR="00C7574F" w:rsidRDefault="00E27E5A" w:rsidP="00B30BE7">
      <w:pPr>
        <w:pStyle w:val="Heading2"/>
        <w:spacing w:before="480"/>
      </w:pPr>
      <w:r>
        <w:lastRenderedPageBreak/>
        <w:t>A</w:t>
      </w:r>
      <w:r w:rsidR="000B50FF">
        <w:t xml:space="preserve">dministrative data </w:t>
      </w:r>
      <w:r w:rsidR="006D46B6">
        <w:t xml:space="preserve">are </w:t>
      </w:r>
      <w:r w:rsidR="004A53D2">
        <w:t>source</w:t>
      </w:r>
      <w:r w:rsidR="00452AA1">
        <w:t>s</w:t>
      </w:r>
      <w:r w:rsidR="004A53D2">
        <w:t xml:space="preserve"> of </w:t>
      </w:r>
      <w:r w:rsidR="005F3D7C">
        <w:t>evidence</w:t>
      </w:r>
    </w:p>
    <w:p w:rsidR="001258C8" w:rsidRDefault="00E539B2" w:rsidP="001258C8">
      <w:pPr>
        <w:pStyle w:val="BodyText"/>
      </w:pPr>
      <w:r>
        <w:t xml:space="preserve">Australia </w:t>
      </w:r>
      <w:r w:rsidR="00207C3E">
        <w:t>i</w:t>
      </w:r>
      <w:r w:rsidR="00C57E23">
        <w:t xml:space="preserve">s </w:t>
      </w:r>
      <w:r w:rsidR="001F066B">
        <w:t xml:space="preserve">well </w:t>
      </w:r>
      <w:r w:rsidR="003409D6">
        <w:t xml:space="preserve">positioned to </w:t>
      </w:r>
      <w:r w:rsidR="00A5334B">
        <w:t xml:space="preserve">take advantage of </w:t>
      </w:r>
      <w:r w:rsidR="00D76A04">
        <w:t>its administrative data</w:t>
      </w:r>
      <w:r w:rsidR="000B62CD">
        <w:t xml:space="preserve"> resources</w:t>
      </w:r>
      <w:r w:rsidR="00207C3E">
        <w:t>:</w:t>
      </w:r>
      <w:r>
        <w:t xml:space="preserve"> </w:t>
      </w:r>
    </w:p>
    <w:p w:rsidR="00F72CED" w:rsidRDefault="007B197F" w:rsidP="00F95589">
      <w:pPr>
        <w:pStyle w:val="ListBullet"/>
      </w:pPr>
      <w:r>
        <w:t>a</w:t>
      </w:r>
      <w:r w:rsidR="001258C8">
        <w:t>ll A</w:t>
      </w:r>
      <w:r w:rsidR="001F066B">
        <w:t xml:space="preserve">ustralian </w:t>
      </w:r>
      <w:r w:rsidR="0073499A">
        <w:t xml:space="preserve">governments </w:t>
      </w:r>
      <w:r w:rsidR="0045488A">
        <w:t xml:space="preserve">hold </w:t>
      </w:r>
      <w:r w:rsidR="00E616F2">
        <w:t xml:space="preserve">extensive </w:t>
      </w:r>
      <w:r w:rsidR="004C091B">
        <w:t xml:space="preserve">longitudinal </w:t>
      </w:r>
      <w:r w:rsidR="005D52B5">
        <w:t xml:space="preserve">administrative </w:t>
      </w:r>
      <w:r w:rsidR="0045488A" w:rsidRPr="00E45734">
        <w:t>databases</w:t>
      </w:r>
      <w:r w:rsidR="001F066B">
        <w:t xml:space="preserve"> </w:t>
      </w:r>
      <w:r w:rsidR="00B06411">
        <w:t>containing high quality information about large populations</w:t>
      </w:r>
      <w:r w:rsidR="00AD5D38">
        <w:t xml:space="preserve"> </w:t>
      </w:r>
    </w:p>
    <w:p w:rsidR="005217F6" w:rsidRDefault="007B197F" w:rsidP="00F95589">
      <w:pPr>
        <w:pStyle w:val="ListBullet"/>
      </w:pPr>
      <w:r>
        <w:t>i</w:t>
      </w:r>
      <w:r w:rsidR="0045488A">
        <w:t xml:space="preserve">ncreases </w:t>
      </w:r>
      <w:r w:rsidR="00CE3533">
        <w:t>in computing power</w:t>
      </w:r>
      <w:r w:rsidR="0045488A">
        <w:t xml:space="preserve">, </w:t>
      </w:r>
      <w:r w:rsidR="00154509">
        <w:t xml:space="preserve">data storage and </w:t>
      </w:r>
      <w:r w:rsidR="00E45734">
        <w:t>d</w:t>
      </w:r>
      <w:r w:rsidR="00E45734" w:rsidRPr="0025375F">
        <w:t>ata capture</w:t>
      </w:r>
      <w:r w:rsidR="00E45734">
        <w:t xml:space="preserve"> </w:t>
      </w:r>
      <w:r w:rsidR="00154509">
        <w:t xml:space="preserve">and matching </w:t>
      </w:r>
      <w:r w:rsidR="00C578F8">
        <w:t>technologies</w:t>
      </w:r>
      <w:r w:rsidR="0045488A">
        <w:t xml:space="preserve"> </w:t>
      </w:r>
      <w:r w:rsidR="0073499A">
        <w:t xml:space="preserve">mean that </w:t>
      </w:r>
      <w:r w:rsidR="00E45734" w:rsidRPr="00E45734">
        <w:t xml:space="preserve">analysis of </w:t>
      </w:r>
      <w:r w:rsidR="00C578F8">
        <w:t xml:space="preserve">very </w:t>
      </w:r>
      <w:r w:rsidR="0045488A">
        <w:t xml:space="preserve">large databases </w:t>
      </w:r>
      <w:r w:rsidR="0073499A">
        <w:t xml:space="preserve">is </w:t>
      </w:r>
      <w:r w:rsidR="003035FE">
        <w:t xml:space="preserve">increasingly </w:t>
      </w:r>
      <w:r w:rsidR="0073499A">
        <w:t>feasible</w:t>
      </w:r>
    </w:p>
    <w:p w:rsidR="0073499A" w:rsidRDefault="007B197F" w:rsidP="00F95589">
      <w:pPr>
        <w:pStyle w:val="ListBullet"/>
      </w:pPr>
      <w:r>
        <w:t>a</w:t>
      </w:r>
      <w:r w:rsidR="00DC61CD">
        <w:t xml:space="preserve">dvances in </w:t>
      </w:r>
      <w:r w:rsidR="001F066B">
        <w:t>a</w:t>
      </w:r>
      <w:r w:rsidR="0073499A" w:rsidRPr="00E45734">
        <w:t xml:space="preserve">nalytical </w:t>
      </w:r>
      <w:r w:rsidR="0045488A">
        <w:t xml:space="preserve">techniques </w:t>
      </w:r>
      <w:r w:rsidR="00A5334B">
        <w:t>allow</w:t>
      </w:r>
      <w:r w:rsidR="001258C8">
        <w:t xml:space="preserve"> </w:t>
      </w:r>
      <w:r w:rsidR="0045488A">
        <w:t>investigation</w:t>
      </w:r>
      <w:r w:rsidR="000A7AED">
        <w:t xml:space="preserve"> </w:t>
      </w:r>
      <w:r w:rsidR="0045488A">
        <w:t xml:space="preserve">in ways that </w:t>
      </w:r>
      <w:r w:rsidR="000B0D03">
        <w:t xml:space="preserve">can </w:t>
      </w:r>
      <w:r w:rsidR="0045488A">
        <w:t xml:space="preserve">isolate policy impacts from </w:t>
      </w:r>
      <w:r w:rsidR="00CD5FAF">
        <w:t xml:space="preserve">other </w:t>
      </w:r>
      <w:r w:rsidR="0073499A" w:rsidRPr="00E45734">
        <w:t xml:space="preserve">influences </w:t>
      </w:r>
      <w:r w:rsidR="0073499A">
        <w:t>(</w:t>
      </w:r>
      <w:r w:rsidR="000B0D03" w:rsidRPr="00E45734">
        <w:t>Leigh</w:t>
      </w:r>
      <w:r w:rsidR="000B0D03">
        <w:t> </w:t>
      </w:r>
      <w:r w:rsidR="000B0D03" w:rsidRPr="00E45734">
        <w:t>2010</w:t>
      </w:r>
      <w:r w:rsidR="000B0D03">
        <w:t xml:space="preserve">, </w:t>
      </w:r>
      <w:r w:rsidR="0073499A" w:rsidRPr="00E45734">
        <w:t>Smith and Sweetman 2010</w:t>
      </w:r>
      <w:r w:rsidR="00C57E23">
        <w:t>)</w:t>
      </w:r>
      <w:r w:rsidR="00697DE7">
        <w:t xml:space="preserve"> </w:t>
      </w:r>
    </w:p>
    <w:p w:rsidR="002B400B" w:rsidRDefault="007B197F" w:rsidP="00F95589">
      <w:pPr>
        <w:pStyle w:val="ListBullet"/>
      </w:pPr>
      <w:r>
        <w:t>t</w:t>
      </w:r>
      <w:r w:rsidR="00142590">
        <w:t>he Objects of the</w:t>
      </w:r>
      <w:r w:rsidR="002B400B">
        <w:t xml:space="preserve"> </w:t>
      </w:r>
      <w:r w:rsidR="002B400B" w:rsidRPr="008D53B8">
        <w:rPr>
          <w:i/>
        </w:rPr>
        <w:t xml:space="preserve">Freedom of Information Act </w:t>
      </w:r>
      <w:r w:rsidR="005B77C8" w:rsidRPr="008D53B8">
        <w:rPr>
          <w:i/>
        </w:rPr>
        <w:t>1982</w:t>
      </w:r>
      <w:r w:rsidR="005B77C8">
        <w:t xml:space="preserve"> </w:t>
      </w:r>
      <w:r w:rsidR="006A6288">
        <w:t xml:space="preserve">declare that </w:t>
      </w:r>
      <w:r w:rsidR="002B400B" w:rsidRPr="002B400B">
        <w:t xml:space="preserve">information held by the government </w:t>
      </w:r>
      <w:r w:rsidR="00142590" w:rsidRPr="002B400B">
        <w:t xml:space="preserve">is a national resource </w:t>
      </w:r>
      <w:r w:rsidR="002B400B" w:rsidRPr="002B400B">
        <w:t>to be managed for public purposes</w:t>
      </w:r>
      <w:r w:rsidR="00142590">
        <w:t>.</w:t>
      </w:r>
      <w:r w:rsidR="005B77C8">
        <w:rPr>
          <w:rStyle w:val="FootnoteReference"/>
        </w:rPr>
        <w:footnoteReference w:id="1"/>
      </w:r>
      <w:r w:rsidR="00AC6130">
        <w:t xml:space="preserve"> </w:t>
      </w:r>
    </w:p>
    <w:p w:rsidR="00E27E5A" w:rsidRDefault="00E616F2" w:rsidP="00E27E5A">
      <w:pPr>
        <w:pStyle w:val="BodyText"/>
      </w:pPr>
      <w:r>
        <w:t xml:space="preserve">Yet, </w:t>
      </w:r>
      <w:r w:rsidR="003409D6">
        <w:t xml:space="preserve">Australia’s </w:t>
      </w:r>
      <w:r w:rsidR="00912F12">
        <w:t>experience</w:t>
      </w:r>
      <w:r w:rsidR="003409D6">
        <w:t xml:space="preserve"> </w:t>
      </w:r>
      <w:r w:rsidR="00912F12">
        <w:t xml:space="preserve">remains </w:t>
      </w:r>
      <w:r w:rsidR="003409D6">
        <w:t xml:space="preserve">one of </w:t>
      </w:r>
      <w:r w:rsidR="00DA7CB6">
        <w:t>untapped potential</w:t>
      </w:r>
      <w:r w:rsidR="004F414D">
        <w:t xml:space="preserve">. </w:t>
      </w:r>
      <w:r w:rsidR="009B71C3">
        <w:t>I</w:t>
      </w:r>
      <w:r w:rsidR="00E27E5A">
        <w:t xml:space="preserve">n 2008, Australian </w:t>
      </w:r>
      <w:r w:rsidR="00F11278">
        <w:t xml:space="preserve">Government </w:t>
      </w:r>
      <w:r w:rsidR="00E27E5A">
        <w:t xml:space="preserve">Treasury officials reported: </w:t>
      </w:r>
    </w:p>
    <w:p w:rsidR="00E27E5A" w:rsidRDefault="00E27E5A" w:rsidP="00436F96">
      <w:pPr>
        <w:pStyle w:val="Quote"/>
      </w:pPr>
      <w:r>
        <w:t>Having clearly defined administrative data is all very well, but it’s next to useless if these data are not shared with those best able to build the evidence base. Our universities and research institutes are teeming with people wanting to draw lessons from agencies’ statistics… Researchers are often forced to fumble around like the drunk that searches for his keys under a street light — not because his keys are likely to be there, but because it’s the only spot where he can see. (Gruen and Goldbloom 2008)</w:t>
      </w:r>
    </w:p>
    <w:p w:rsidR="00E27E5A" w:rsidRDefault="00E27E5A" w:rsidP="00E27E5A">
      <w:pPr>
        <w:pStyle w:val="BodyText"/>
      </w:pPr>
      <w:r>
        <w:t>Five years on, Professor Gregory</w:t>
      </w:r>
      <w:r w:rsidR="002345E8">
        <w:t xml:space="preserve"> lamented </w:t>
      </w:r>
      <w:r w:rsidR="006C2E5E">
        <w:t>the</w:t>
      </w:r>
      <w:r>
        <w:t xml:space="preserve">: </w:t>
      </w:r>
    </w:p>
    <w:p w:rsidR="00E27E5A" w:rsidRDefault="00E27E5A" w:rsidP="00436F96">
      <w:pPr>
        <w:pStyle w:val="Quote"/>
      </w:pPr>
      <w:r>
        <w:t xml:space="preserve">… long standing government institutional failures to make the necessary data available to allow Australians to understand how their </w:t>
      </w:r>
      <w:r w:rsidR="00B3547C">
        <w:t xml:space="preserve">IS </w:t>
      </w:r>
      <w:r w:rsidR="002345E8">
        <w:t xml:space="preserve">[income support] </w:t>
      </w:r>
      <w:r>
        <w:t>system interacts with the labour market …. Independent researchers have not been given sufficient access to administrative longitudinal IS data from Centrelink, any access to administrative data on job finding services and implementation of job seeker activation from DEEWR and any access to unit record ABS time series data … (Gregory 2013, p. 6)</w:t>
      </w:r>
    </w:p>
    <w:p w:rsidR="00B06411" w:rsidRPr="00B06411" w:rsidRDefault="00B06411" w:rsidP="00FE7BB8">
      <w:pPr>
        <w:pStyle w:val="BodyText"/>
        <w:spacing w:before="200"/>
      </w:pPr>
      <w:r>
        <w:t xml:space="preserve">Australian researchers have often had to look elsewhere to obtain the data necessary to </w:t>
      </w:r>
      <w:r w:rsidR="00BD04B3">
        <w:t>investigate</w:t>
      </w:r>
      <w:r>
        <w:t xml:space="preserve"> public policy matters</w:t>
      </w:r>
      <w:r w:rsidR="00631D1C">
        <w:t xml:space="preserve">. </w:t>
      </w:r>
      <w:r w:rsidR="003B7F30">
        <w:t xml:space="preserve">The Australian </w:t>
      </w:r>
      <w:r w:rsidR="00631D1C">
        <w:t>Government has funded research organisations and</w:t>
      </w:r>
      <w:r w:rsidRPr="00564481">
        <w:t xml:space="preserve"> the Australian Bureau of Statistics </w:t>
      </w:r>
      <w:r>
        <w:t xml:space="preserve">(ABS) </w:t>
      </w:r>
      <w:r w:rsidR="00631D1C">
        <w:t xml:space="preserve">to </w:t>
      </w:r>
      <w:r w:rsidRPr="00564481">
        <w:t xml:space="preserve">develop longitudinal databases </w:t>
      </w:r>
      <w:r w:rsidR="00631D1C">
        <w:t xml:space="preserve">— </w:t>
      </w:r>
      <w:r w:rsidRPr="00564481">
        <w:t>in areas as diverse as children, migrants, youth, ageing, and families</w:t>
      </w:r>
      <w:r w:rsidR="00631D1C">
        <w:t xml:space="preserve"> — and make confidentialised unit record data available to registered users</w:t>
      </w:r>
      <w:r w:rsidR="00EB2A47">
        <w:t xml:space="preserve">. </w:t>
      </w:r>
      <w:r w:rsidRPr="00564481">
        <w:t xml:space="preserve">The most significant broad longitudinal survey in recent years is the Household, Income and Labour Dynamics (HILDA) survey </w:t>
      </w:r>
      <w:r>
        <w:t>at the Melbourne Institute</w:t>
      </w:r>
      <w:r w:rsidR="00EB2A47">
        <w:t>.</w:t>
      </w:r>
      <w:r w:rsidR="005B77C8">
        <w:t xml:space="preserve"> </w:t>
      </w:r>
      <w:r w:rsidR="00EB2A47">
        <w:t>Gregory</w:t>
      </w:r>
      <w:r>
        <w:t xml:space="preserve"> </w:t>
      </w:r>
      <w:r w:rsidR="00EB2A47">
        <w:t xml:space="preserve">(2013, p. 6) considered HILDA to be the </w:t>
      </w:r>
      <w:r>
        <w:t>‘the most important data innovation of the last decade’</w:t>
      </w:r>
      <w:r w:rsidR="00EB2A47">
        <w:t xml:space="preserve">. </w:t>
      </w:r>
      <w:r w:rsidR="00824B21">
        <w:t>Similarly, t</w:t>
      </w:r>
      <w:r>
        <w:t xml:space="preserve">he Commission has noted </w:t>
      </w:r>
      <w:r w:rsidR="00824B21">
        <w:t>t</w:t>
      </w:r>
      <w:r>
        <w:t xml:space="preserve">hat, by giving </w:t>
      </w:r>
      <w:r>
        <w:lastRenderedPageBreak/>
        <w:t xml:space="preserve">researchers access to </w:t>
      </w:r>
      <w:r w:rsidRPr="005E4F26">
        <w:t>longitudinal data</w:t>
      </w:r>
      <w:r>
        <w:t xml:space="preserve">, </w:t>
      </w:r>
      <w:r w:rsidRPr="005E4F26">
        <w:t>HILDA</w:t>
      </w:r>
      <w:r>
        <w:t xml:space="preserve"> has stimulated substantial important </w:t>
      </w:r>
      <w:r w:rsidRPr="00E92B34">
        <w:t>policy relevant research</w:t>
      </w:r>
      <w:r>
        <w:t xml:space="preserve"> (PC 2010b). The same can be said for the l</w:t>
      </w:r>
      <w:r w:rsidRPr="00C578F8">
        <w:t xml:space="preserve">ongitudinal </w:t>
      </w:r>
      <w:r>
        <w:t>s</w:t>
      </w:r>
      <w:r w:rsidRPr="00C578F8">
        <w:t>urvey</w:t>
      </w:r>
      <w:r>
        <w:t>s</w:t>
      </w:r>
      <w:r w:rsidRPr="00C578F8">
        <w:t xml:space="preserve"> of Australian Children and </w:t>
      </w:r>
      <w:r>
        <w:t xml:space="preserve">of </w:t>
      </w:r>
      <w:r w:rsidRPr="00C578F8">
        <w:t>Australian Youth</w:t>
      </w:r>
      <w:r w:rsidR="00C1302B">
        <w:t>.</w:t>
      </w:r>
    </w:p>
    <w:p w:rsidR="00560B10" w:rsidRDefault="004C091B" w:rsidP="008643EA">
      <w:pPr>
        <w:pStyle w:val="Heading3"/>
      </w:pPr>
      <w:r>
        <w:t>A</w:t>
      </w:r>
      <w:r w:rsidR="00065A67">
        <w:t xml:space="preserve">re </w:t>
      </w:r>
      <w:r>
        <w:t xml:space="preserve">longitudinal surveys </w:t>
      </w:r>
      <w:r w:rsidR="00065A67">
        <w:t xml:space="preserve">a substitute for administrative </w:t>
      </w:r>
      <w:r>
        <w:t>data</w:t>
      </w:r>
      <w:r w:rsidR="00065A67">
        <w:t>?</w:t>
      </w:r>
    </w:p>
    <w:p w:rsidR="00824B21" w:rsidRDefault="00ED1A92" w:rsidP="003F5AD2">
      <w:pPr>
        <w:pStyle w:val="BodyText"/>
      </w:pPr>
      <w:r>
        <w:t>While necessity ha</w:t>
      </w:r>
      <w:r w:rsidR="00F16E87">
        <w:t>s</w:t>
      </w:r>
      <w:r>
        <w:t xml:space="preserve"> driven </w:t>
      </w:r>
      <w:r w:rsidR="0042335F">
        <w:t xml:space="preserve">Australian researchers to develop </w:t>
      </w:r>
      <w:r w:rsidR="00912F12">
        <w:t xml:space="preserve">different </w:t>
      </w:r>
      <w:r w:rsidR="0042335F">
        <w:t xml:space="preserve">sources of evidence, surveys </w:t>
      </w:r>
      <w:r>
        <w:t>and administrative data are not necessarily substitutes — each has strengths and weaknesses</w:t>
      </w:r>
      <w:r w:rsidR="0042335F">
        <w:t xml:space="preserve">. </w:t>
      </w:r>
      <w:r w:rsidR="00065A67">
        <w:t xml:space="preserve">An advantage of surveys is the control researchers have over content at the specification stage. This is conducive to survey questions being built around soundly constructed theories and methods. </w:t>
      </w:r>
    </w:p>
    <w:p w:rsidR="002E7E92" w:rsidRPr="00332C65" w:rsidRDefault="0042335F" w:rsidP="003F5AD2">
      <w:pPr>
        <w:pStyle w:val="BodyText"/>
        <w:rPr>
          <w:strike/>
        </w:rPr>
      </w:pPr>
      <w:r>
        <w:t xml:space="preserve">On the other hand, </w:t>
      </w:r>
      <w:r w:rsidR="00065A67">
        <w:t>s</w:t>
      </w:r>
      <w:r w:rsidR="00A854D6" w:rsidRPr="006B1B60">
        <w:t xml:space="preserve">urveys are less likely to include </w:t>
      </w:r>
      <w:r w:rsidR="00BD3532">
        <w:t xml:space="preserve">sufficient numbers of particular groups, such as </w:t>
      </w:r>
      <w:r w:rsidR="00A854D6" w:rsidRPr="006B1B60">
        <w:t xml:space="preserve">the most disadvantaged </w:t>
      </w:r>
      <w:r w:rsidR="00F16E87" w:rsidRPr="004A53D2">
        <w:t>(</w:t>
      </w:r>
      <w:r w:rsidR="00F16E87">
        <w:t xml:space="preserve">e.g. </w:t>
      </w:r>
      <w:r w:rsidR="00F16E87" w:rsidRPr="004A53D2">
        <w:t>homeless people or those with substance abuse problems)</w:t>
      </w:r>
      <w:r w:rsidR="00EE0393">
        <w:t xml:space="preserve"> </w:t>
      </w:r>
      <w:r w:rsidR="00E92B34">
        <w:t xml:space="preserve">who are by nature </w:t>
      </w:r>
      <w:r w:rsidR="00A854D6" w:rsidRPr="006B1B60">
        <w:t xml:space="preserve">difficult to contact </w:t>
      </w:r>
      <w:r w:rsidR="004A53D2" w:rsidRPr="004A53D2">
        <w:t>and who may not give consent to participate. For example, when the Commission survey</w:t>
      </w:r>
      <w:r w:rsidR="00F16E87">
        <w:t>ed</w:t>
      </w:r>
      <w:r w:rsidR="004A53D2" w:rsidRPr="004A53D2">
        <w:t xml:space="preserve"> people receiving counselling for gambling problems, the majority indicated that prior to seeking counselling they would not have answered a population survey about gambling</w:t>
      </w:r>
      <w:r w:rsidR="007B76BC">
        <w:t xml:space="preserve"> (PC 1999)</w:t>
      </w:r>
      <w:r w:rsidR="004A53D2" w:rsidRPr="004A53D2">
        <w:t>.</w:t>
      </w:r>
      <w:r w:rsidR="004A53D2">
        <w:t xml:space="preserve"> </w:t>
      </w:r>
      <w:r w:rsidR="00C578F8">
        <w:t>And, e</w:t>
      </w:r>
      <w:r w:rsidR="00A854D6">
        <w:t xml:space="preserve">ven if surveys </w:t>
      </w:r>
      <w:r w:rsidR="00560B10">
        <w:t xml:space="preserve">could </w:t>
      </w:r>
      <w:r w:rsidR="00CD29DB">
        <w:t xml:space="preserve">initially </w:t>
      </w:r>
      <w:r w:rsidR="00560B10">
        <w:t xml:space="preserve">capture a </w:t>
      </w:r>
      <w:r w:rsidR="00CA4AA7">
        <w:t xml:space="preserve">reasonable </w:t>
      </w:r>
      <w:r w:rsidR="00560B10">
        <w:t xml:space="preserve">cohort of </w:t>
      </w:r>
      <w:r w:rsidR="004A53D2">
        <w:t xml:space="preserve">such </w:t>
      </w:r>
      <w:r w:rsidR="00A854D6">
        <w:t>households</w:t>
      </w:r>
      <w:r w:rsidR="00560B10">
        <w:t>, th</w:t>
      </w:r>
      <w:r w:rsidR="00E92B34">
        <w:t xml:space="preserve">is group is </w:t>
      </w:r>
      <w:r w:rsidR="00A854D6">
        <w:t>more likely to drop out</w:t>
      </w:r>
      <w:r w:rsidR="00E92B34">
        <w:t>,</w:t>
      </w:r>
      <w:r w:rsidR="00A854D6">
        <w:t xml:space="preserve"> </w:t>
      </w:r>
      <w:r w:rsidR="00560B10">
        <w:t xml:space="preserve">so </w:t>
      </w:r>
      <w:r w:rsidR="00A854D6">
        <w:t xml:space="preserve">apparent trends </w:t>
      </w:r>
      <w:r w:rsidR="00BD3532">
        <w:t xml:space="preserve">can </w:t>
      </w:r>
      <w:r w:rsidR="00560B10">
        <w:t xml:space="preserve">be </w:t>
      </w:r>
      <w:r w:rsidR="00A854D6">
        <w:t>confounded by attrition.</w:t>
      </w:r>
      <w:r w:rsidR="00AC7F04">
        <w:t xml:space="preserve"> </w:t>
      </w:r>
      <w:r w:rsidR="00A921C4">
        <w:t xml:space="preserve">Apart from </w:t>
      </w:r>
      <w:r w:rsidR="00AC7F04">
        <w:t>selection bias</w:t>
      </w:r>
      <w:r w:rsidR="00A921C4">
        <w:t xml:space="preserve">, survey </w:t>
      </w:r>
      <w:r w:rsidR="00AC7F04">
        <w:t xml:space="preserve">responses may </w:t>
      </w:r>
      <w:r w:rsidR="00A921C4">
        <w:t xml:space="preserve">be influenced by </w:t>
      </w:r>
      <w:r w:rsidR="00617D35">
        <w:t xml:space="preserve">behavioural changes that arise from </w:t>
      </w:r>
      <w:r w:rsidR="00A921C4">
        <w:t xml:space="preserve">the act of </w:t>
      </w:r>
      <w:r w:rsidR="00AC7F04">
        <w:t>participation</w:t>
      </w:r>
      <w:r w:rsidR="00181239">
        <w:t xml:space="preserve"> itself</w:t>
      </w:r>
      <w:r w:rsidR="00AC7F04">
        <w:t xml:space="preserve">. </w:t>
      </w:r>
      <w:r w:rsidR="007274C4">
        <w:t xml:space="preserve">Conducting surveys and seeking participants’ consent can be very expensive compared to analysing existing data.   </w:t>
      </w:r>
    </w:p>
    <w:p w:rsidR="00877BFE" w:rsidRDefault="00CF1692" w:rsidP="002F25FE">
      <w:pPr>
        <w:pStyle w:val="BodyText"/>
      </w:pPr>
      <w:r>
        <w:t>A</w:t>
      </w:r>
      <w:r w:rsidR="00065A67" w:rsidRPr="00BD04B3">
        <w:t>dministrative data encompass longitudinal structures that enable analysis of outcomes over time</w:t>
      </w:r>
      <w:r w:rsidR="002F25FE">
        <w:t>; large samples, sometimes full populations, that allow rarer events or small</w:t>
      </w:r>
      <w:r w:rsidR="00824B21">
        <w:t>er</w:t>
      </w:r>
      <w:r w:rsidR="002F25FE">
        <w:t xml:space="preserve"> groups to be studied; and high quality information that does not suffer </w:t>
      </w:r>
      <w:r w:rsidR="004A3B5D">
        <w:t xml:space="preserve">from </w:t>
      </w:r>
      <w:r w:rsidR="002F25FE">
        <w:t>rising non-response rates, attrition and under reporting.</w:t>
      </w:r>
      <w:r w:rsidR="002F25FE" w:rsidRPr="00BD04B3">
        <w:t xml:space="preserve"> </w:t>
      </w:r>
      <w:r w:rsidR="00081C30">
        <w:t xml:space="preserve">All of this adds to greater statistical power for robust policy analysis. </w:t>
      </w:r>
      <w:r w:rsidR="0042335F">
        <w:t xml:space="preserve">Of course, </w:t>
      </w:r>
      <w:r w:rsidR="00C50577">
        <w:t>‘</w:t>
      </w:r>
      <w:r w:rsidR="00327681">
        <w:t>raw</w:t>
      </w:r>
      <w:r w:rsidR="00C50577">
        <w:t>’</w:t>
      </w:r>
      <w:r w:rsidR="00327681">
        <w:t xml:space="preserve"> administrative data ha</w:t>
      </w:r>
      <w:r w:rsidR="00ED1A92">
        <w:t>ve</w:t>
      </w:r>
      <w:r w:rsidR="00327681">
        <w:t xml:space="preserve"> </w:t>
      </w:r>
      <w:r w:rsidR="00A95504">
        <w:t xml:space="preserve">characteristics </w:t>
      </w:r>
      <w:r w:rsidR="00DF286D">
        <w:t xml:space="preserve">that </w:t>
      </w:r>
      <w:r w:rsidR="00C8533C">
        <w:t xml:space="preserve">may </w:t>
      </w:r>
      <w:r w:rsidR="00DF286D">
        <w:t xml:space="preserve">need to be </w:t>
      </w:r>
      <w:r w:rsidR="0042335F">
        <w:t xml:space="preserve">addressed </w:t>
      </w:r>
      <w:r w:rsidR="00DF286D">
        <w:t>if the information is to be used for policy analysis</w:t>
      </w:r>
      <w:r w:rsidR="00F16E87">
        <w:t xml:space="preserve"> (table 1.1)</w:t>
      </w:r>
      <w:r w:rsidR="00327681">
        <w:t xml:space="preserve">. </w:t>
      </w:r>
    </w:p>
    <w:p w:rsidR="005B77C8" w:rsidRDefault="00877BFE" w:rsidP="002F25FE">
      <w:pPr>
        <w:pStyle w:val="BodyText"/>
      </w:pPr>
      <w:r>
        <w:t>D</w:t>
      </w:r>
      <w:r w:rsidRPr="00327681">
        <w:t>ata linkage can consolidate administrative data with information held elsewhere, such as surveys.</w:t>
      </w:r>
      <w:r>
        <w:t xml:space="preserve"> </w:t>
      </w:r>
      <w:r w:rsidRPr="00BD04B3">
        <w:t xml:space="preserve">Administrative data can indicate </w:t>
      </w:r>
      <w:r w:rsidRPr="00963636">
        <w:rPr>
          <w:i/>
        </w:rPr>
        <w:t>what</w:t>
      </w:r>
      <w:r w:rsidRPr="00BD04B3">
        <w:t xml:space="preserve"> happened to whom in terms of pathways and outcomes benchmarked against policy variations. Surveys can elicit more targeted information on </w:t>
      </w:r>
      <w:r w:rsidRPr="00963636">
        <w:rPr>
          <w:i/>
        </w:rPr>
        <w:t>why</w:t>
      </w:r>
      <w:r w:rsidRPr="00BD04B3">
        <w:t xml:space="preserve"> people behaved as they did.</w:t>
      </w:r>
      <w:r w:rsidRPr="0010664F">
        <w:t xml:space="preserve"> </w:t>
      </w:r>
      <w:r w:rsidR="00592EC1">
        <w:t xml:space="preserve">A further benefit of </w:t>
      </w:r>
      <w:r w:rsidRPr="0010664F">
        <w:t xml:space="preserve">data matching </w:t>
      </w:r>
      <w:r w:rsidR="00592EC1">
        <w:t>w</w:t>
      </w:r>
      <w:r w:rsidRPr="0010664F">
        <w:t xml:space="preserve">ould </w:t>
      </w:r>
      <w:r w:rsidR="00592EC1">
        <w:t xml:space="preserve">be to enable </w:t>
      </w:r>
      <w:r w:rsidRPr="0010664F">
        <w:t>surveys to omit sensitive questions</w:t>
      </w:r>
      <w:r>
        <w:t xml:space="preserve">, such as income levels, </w:t>
      </w:r>
      <w:r w:rsidR="007274C4">
        <w:t xml:space="preserve">substance abuse or other factors </w:t>
      </w:r>
      <w:r>
        <w:t xml:space="preserve">that typically </w:t>
      </w:r>
      <w:r w:rsidRPr="0010664F">
        <w:t>get a low response</w:t>
      </w:r>
      <w:r w:rsidR="00592EC1">
        <w:t xml:space="preserve">. This would </w:t>
      </w:r>
      <w:r>
        <w:t>redu</w:t>
      </w:r>
      <w:r w:rsidR="00592EC1">
        <w:t>c</w:t>
      </w:r>
      <w:r w:rsidR="00B502D1">
        <w:t>e</w:t>
      </w:r>
      <w:r>
        <w:t xml:space="preserve"> costs and respondent </w:t>
      </w:r>
      <w:r w:rsidRPr="00973FDB">
        <w:t>burden</w:t>
      </w:r>
      <w:r>
        <w:t xml:space="preserve">. </w:t>
      </w:r>
    </w:p>
    <w:p w:rsidR="002F25FE" w:rsidRDefault="002F25FE" w:rsidP="00D76A04">
      <w:pPr>
        <w:pStyle w:val="TableTitle"/>
        <w:keepLines w:val="0"/>
      </w:pPr>
      <w:r>
        <w:rPr>
          <w:b w:val="0"/>
        </w:rPr>
        <w:lastRenderedPageBreak/>
        <w:t xml:space="preserve">Table </w:t>
      </w:r>
      <w:r w:rsidR="00FE7BB8">
        <w:rPr>
          <w:b w:val="0"/>
        </w:rPr>
        <w:t>1.</w:t>
      </w:r>
      <w:r w:rsidR="00FE7BB8">
        <w:rPr>
          <w:b w:val="0"/>
          <w:noProof/>
        </w:rPr>
        <w:t>1</w:t>
      </w:r>
      <w:r>
        <w:tab/>
        <w:t>Advantages and disadvantages of using administrative data</w:t>
      </w:r>
    </w:p>
    <w:tbl>
      <w:tblPr>
        <w:tblW w:w="5000" w:type="pct"/>
        <w:tblCellMar>
          <w:left w:w="0" w:type="dxa"/>
          <w:right w:w="0" w:type="dxa"/>
        </w:tblCellMar>
        <w:tblLook w:val="0000" w:firstRow="0" w:lastRow="0" w:firstColumn="0" w:lastColumn="0" w:noHBand="0" w:noVBand="0"/>
      </w:tblPr>
      <w:tblGrid>
        <w:gridCol w:w="4394"/>
        <w:gridCol w:w="4395"/>
      </w:tblGrid>
      <w:tr w:rsidR="002F25FE" w:rsidTr="002F25FE">
        <w:tc>
          <w:tcPr>
            <w:tcW w:w="2500" w:type="pct"/>
            <w:tcBorders>
              <w:top w:val="single" w:sz="6" w:space="0" w:color="auto"/>
              <w:bottom w:val="single" w:sz="6" w:space="0" w:color="auto"/>
            </w:tcBorders>
            <w:shd w:val="clear" w:color="auto" w:fill="auto"/>
          </w:tcPr>
          <w:p w:rsidR="002F25FE" w:rsidRDefault="002F25FE" w:rsidP="00D76A04">
            <w:pPr>
              <w:pStyle w:val="TableColumnHeading"/>
              <w:keepLines w:val="0"/>
              <w:jc w:val="left"/>
            </w:pPr>
            <w:r>
              <w:t>Advantages</w:t>
            </w:r>
          </w:p>
        </w:tc>
        <w:tc>
          <w:tcPr>
            <w:tcW w:w="2500" w:type="pct"/>
            <w:tcBorders>
              <w:top w:val="single" w:sz="6" w:space="0" w:color="auto"/>
              <w:bottom w:val="single" w:sz="6" w:space="0" w:color="auto"/>
            </w:tcBorders>
            <w:shd w:val="clear" w:color="auto" w:fill="auto"/>
          </w:tcPr>
          <w:p w:rsidR="002F25FE" w:rsidRDefault="002F25FE" w:rsidP="00D76A04">
            <w:pPr>
              <w:pStyle w:val="TableColumnHeading"/>
              <w:keepLines w:val="0"/>
              <w:ind w:right="28"/>
              <w:jc w:val="left"/>
            </w:pPr>
            <w:r>
              <w:t>Disadvantages</w:t>
            </w:r>
          </w:p>
        </w:tc>
      </w:tr>
      <w:tr w:rsidR="002F25FE" w:rsidTr="00FE7BB8">
        <w:tc>
          <w:tcPr>
            <w:tcW w:w="2500" w:type="pct"/>
            <w:tcBorders>
              <w:top w:val="single" w:sz="6" w:space="0" w:color="auto"/>
            </w:tcBorders>
            <w:shd w:val="clear" w:color="auto" w:fill="D9D9D9" w:themeFill="background1" w:themeFillShade="D9"/>
          </w:tcPr>
          <w:p w:rsidR="002F25FE" w:rsidRDefault="002F25FE" w:rsidP="00FE7BB8">
            <w:pPr>
              <w:pStyle w:val="TableBullet"/>
              <w:keepLines w:val="0"/>
              <w:spacing w:before="40"/>
            </w:pPr>
            <w:r>
              <w:t>Collected for operational purposes</w:t>
            </w:r>
            <w:r w:rsidR="00592EC1">
              <w:t>, so n</w:t>
            </w:r>
            <w:r>
              <w:t>o additional collection costs, but will incur extraction and cleaning costs</w:t>
            </w:r>
          </w:p>
        </w:tc>
        <w:tc>
          <w:tcPr>
            <w:tcW w:w="2500" w:type="pct"/>
            <w:tcBorders>
              <w:top w:val="single" w:sz="6" w:space="0" w:color="auto"/>
            </w:tcBorders>
            <w:shd w:val="clear" w:color="auto" w:fill="D9D9D9" w:themeFill="background1" w:themeFillShade="D9"/>
          </w:tcPr>
          <w:p w:rsidR="002F25FE" w:rsidRDefault="002F25FE" w:rsidP="00FE7BB8">
            <w:pPr>
              <w:pStyle w:val="TableBullet"/>
              <w:keepLines w:val="0"/>
              <w:spacing w:before="40"/>
            </w:pPr>
            <w:r>
              <w:t>Information collected is restricted to data for administrative purposes and limited to users of services and administrative decisions</w:t>
            </w:r>
          </w:p>
        </w:tc>
      </w:tr>
      <w:tr w:rsidR="002F25FE" w:rsidTr="002F25FE">
        <w:tc>
          <w:tcPr>
            <w:tcW w:w="2500" w:type="pct"/>
          </w:tcPr>
          <w:p w:rsidR="002F25FE" w:rsidRDefault="002F25FE" w:rsidP="005F30AF">
            <w:pPr>
              <w:pStyle w:val="TableBullet"/>
              <w:spacing w:before="20"/>
            </w:pPr>
            <w:r>
              <w:t xml:space="preserve">Collection not </w:t>
            </w:r>
            <w:r w:rsidR="00D2268E">
              <w:t xml:space="preserve">additionally </w:t>
            </w:r>
            <w:r>
              <w:t>intrusive to target population</w:t>
            </w:r>
          </w:p>
        </w:tc>
        <w:tc>
          <w:tcPr>
            <w:tcW w:w="2500" w:type="pct"/>
          </w:tcPr>
          <w:p w:rsidR="002F25FE" w:rsidRDefault="002F25FE" w:rsidP="005F30AF">
            <w:pPr>
              <w:pStyle w:val="TableBullet"/>
              <w:spacing w:before="20"/>
              <w:rPr>
                <w:i/>
              </w:rPr>
            </w:pPr>
            <w:r>
              <w:t>Lack of researcher control over content</w:t>
            </w:r>
          </w:p>
        </w:tc>
      </w:tr>
      <w:tr w:rsidR="002F25FE" w:rsidTr="005F30AF">
        <w:tc>
          <w:tcPr>
            <w:tcW w:w="2500" w:type="pct"/>
            <w:shd w:val="clear" w:color="auto" w:fill="D9D9D9" w:themeFill="background1" w:themeFillShade="D9"/>
          </w:tcPr>
          <w:p w:rsidR="002F25FE" w:rsidRDefault="002F25FE" w:rsidP="005F30AF">
            <w:pPr>
              <w:pStyle w:val="TableBullet"/>
              <w:spacing w:before="20"/>
            </w:pPr>
            <w:r>
              <w:t>Regularly, sometimes continuously, updated</w:t>
            </w:r>
          </w:p>
        </w:tc>
        <w:tc>
          <w:tcPr>
            <w:tcW w:w="2500" w:type="pct"/>
            <w:shd w:val="clear" w:color="auto" w:fill="D9D9D9" w:themeFill="background1" w:themeFillShade="D9"/>
          </w:tcPr>
          <w:p w:rsidR="002F25FE" w:rsidRDefault="002F25FE" w:rsidP="005F30AF">
            <w:pPr>
              <w:pStyle w:val="TableBullet"/>
              <w:spacing w:before="20"/>
              <w:rPr>
                <w:i/>
              </w:rPr>
            </w:pPr>
            <w:r>
              <w:t>Proxy indicators sometimes have to be used</w:t>
            </w:r>
          </w:p>
        </w:tc>
      </w:tr>
      <w:tr w:rsidR="002F25FE" w:rsidTr="002F25FE">
        <w:tc>
          <w:tcPr>
            <w:tcW w:w="2500" w:type="pct"/>
            <w:shd w:val="clear" w:color="auto" w:fill="auto"/>
          </w:tcPr>
          <w:p w:rsidR="002F25FE" w:rsidRDefault="002F25FE" w:rsidP="005F30AF">
            <w:pPr>
              <w:pStyle w:val="TableBullet"/>
              <w:spacing w:before="20"/>
            </w:pPr>
            <w:r>
              <w:t>Can provide historical information and allow consistent time-series to be built up</w:t>
            </w:r>
          </w:p>
        </w:tc>
        <w:tc>
          <w:tcPr>
            <w:tcW w:w="2500" w:type="pct"/>
            <w:shd w:val="clear" w:color="auto" w:fill="auto"/>
          </w:tcPr>
          <w:p w:rsidR="002F25FE" w:rsidRDefault="002F25FE" w:rsidP="005F30AF">
            <w:pPr>
              <w:pStyle w:val="TableBullet"/>
              <w:spacing w:before="20"/>
              <w:rPr>
                <w:i/>
              </w:rPr>
            </w:pPr>
            <w:r>
              <w:t>May lack contextual/background information</w:t>
            </w:r>
          </w:p>
        </w:tc>
      </w:tr>
      <w:tr w:rsidR="002F25FE" w:rsidTr="005F30AF">
        <w:tc>
          <w:tcPr>
            <w:tcW w:w="2500" w:type="pct"/>
            <w:shd w:val="clear" w:color="auto" w:fill="D9D9D9" w:themeFill="background1" w:themeFillShade="D9"/>
          </w:tcPr>
          <w:p w:rsidR="002F25FE" w:rsidRDefault="002F25FE" w:rsidP="005F30AF">
            <w:pPr>
              <w:pStyle w:val="TableBullet"/>
              <w:spacing w:before="20"/>
            </w:pPr>
            <w:r>
              <w:t>Collected in a consistent manner, if part of a national system</w:t>
            </w:r>
          </w:p>
        </w:tc>
        <w:tc>
          <w:tcPr>
            <w:tcW w:w="2500" w:type="pct"/>
            <w:shd w:val="clear" w:color="auto" w:fill="D9D9D9" w:themeFill="background1" w:themeFillShade="D9"/>
          </w:tcPr>
          <w:p w:rsidR="002F25FE" w:rsidRDefault="002F25FE" w:rsidP="005F30AF">
            <w:pPr>
              <w:pStyle w:val="TableBullet"/>
              <w:spacing w:before="20"/>
              <w:rPr>
                <w:i/>
              </w:rPr>
            </w:pPr>
            <w:r>
              <w:t>Changes to administrative procedures can change definitions and make comparisons over time problematic</w:t>
            </w:r>
          </w:p>
        </w:tc>
      </w:tr>
      <w:tr w:rsidR="002F25FE" w:rsidTr="002F25FE">
        <w:tc>
          <w:tcPr>
            <w:tcW w:w="2500" w:type="pct"/>
            <w:shd w:val="clear" w:color="auto" w:fill="auto"/>
          </w:tcPr>
          <w:p w:rsidR="002F25FE" w:rsidRDefault="002F25FE" w:rsidP="005F30AF">
            <w:pPr>
              <w:pStyle w:val="TableBullet"/>
              <w:spacing w:before="20"/>
            </w:pPr>
            <w:r>
              <w:t>Subject to rigorous quality checks</w:t>
            </w:r>
          </w:p>
        </w:tc>
        <w:tc>
          <w:tcPr>
            <w:tcW w:w="2500" w:type="pct"/>
            <w:shd w:val="clear" w:color="auto" w:fill="auto"/>
          </w:tcPr>
          <w:p w:rsidR="002F25FE" w:rsidRDefault="002F25FE" w:rsidP="005F30AF">
            <w:pPr>
              <w:pStyle w:val="TableBullet"/>
              <w:spacing w:before="20"/>
              <w:rPr>
                <w:i/>
              </w:rPr>
            </w:pPr>
            <w:r>
              <w:t>Missing or erroneous data</w:t>
            </w:r>
            <w:r w:rsidR="00C50577">
              <w:t>. P</w:t>
            </w:r>
            <w:r w:rsidR="00592EC1">
              <w:t>o</w:t>
            </w:r>
            <w:r w:rsidR="00C50577">
              <w:t>ssible</w:t>
            </w:r>
            <w:r w:rsidR="00592EC1">
              <w:t xml:space="preserve"> incentive to </w:t>
            </w:r>
            <w:r w:rsidR="00C50577">
              <w:t xml:space="preserve">fabricate responses </w:t>
            </w:r>
            <w:r w:rsidR="00592EC1">
              <w:t>to access benefit</w:t>
            </w:r>
            <w:r w:rsidR="00C50577">
              <w:t>s</w:t>
            </w:r>
            <w:r w:rsidR="00592EC1">
              <w:t>.</w:t>
            </w:r>
          </w:p>
        </w:tc>
      </w:tr>
      <w:tr w:rsidR="002F25FE" w:rsidTr="005F30AF">
        <w:tc>
          <w:tcPr>
            <w:tcW w:w="2500" w:type="pct"/>
            <w:shd w:val="clear" w:color="auto" w:fill="D9D9D9" w:themeFill="background1" w:themeFillShade="D9"/>
          </w:tcPr>
          <w:p w:rsidR="002F25FE" w:rsidRDefault="002F25FE" w:rsidP="005F30AF">
            <w:pPr>
              <w:pStyle w:val="TableBullet"/>
              <w:spacing w:before="20"/>
            </w:pPr>
            <w:r>
              <w:t>Near full coverage of population of interest</w:t>
            </w:r>
          </w:p>
        </w:tc>
        <w:tc>
          <w:tcPr>
            <w:tcW w:w="2500" w:type="pct"/>
            <w:shd w:val="clear" w:color="auto" w:fill="D9D9D9" w:themeFill="background1" w:themeFillShade="D9"/>
          </w:tcPr>
          <w:p w:rsidR="002F25FE" w:rsidRDefault="002F25FE" w:rsidP="005F30AF">
            <w:pPr>
              <w:pStyle w:val="TableBullet"/>
              <w:spacing w:before="20"/>
              <w:rPr>
                <w:i/>
              </w:rPr>
            </w:pPr>
            <w:r>
              <w:t>Quality issues with variables may be less important (e.g. address details not updated)</w:t>
            </w:r>
          </w:p>
        </w:tc>
      </w:tr>
      <w:tr w:rsidR="002F25FE" w:rsidTr="002F25FE">
        <w:tc>
          <w:tcPr>
            <w:tcW w:w="2500" w:type="pct"/>
            <w:shd w:val="clear" w:color="auto" w:fill="auto"/>
          </w:tcPr>
          <w:p w:rsidR="002F25FE" w:rsidRDefault="002F25FE" w:rsidP="005F30AF">
            <w:pPr>
              <w:pStyle w:val="TableBullet"/>
              <w:spacing w:before="20"/>
            </w:pPr>
            <w:r>
              <w:t>Reliable at the small area level</w:t>
            </w:r>
          </w:p>
        </w:tc>
        <w:tc>
          <w:tcPr>
            <w:tcW w:w="2500" w:type="pct"/>
            <w:shd w:val="clear" w:color="auto" w:fill="auto"/>
          </w:tcPr>
          <w:p w:rsidR="002F25FE" w:rsidRDefault="002F25FE" w:rsidP="005F30AF">
            <w:pPr>
              <w:pStyle w:val="TableBullet"/>
              <w:spacing w:before="20"/>
              <w:rPr>
                <w:i/>
              </w:rPr>
            </w:pPr>
            <w:r>
              <w:t>Metadata — lacking or of poor quality</w:t>
            </w:r>
          </w:p>
        </w:tc>
      </w:tr>
      <w:tr w:rsidR="002F25FE" w:rsidTr="005F30AF">
        <w:tc>
          <w:tcPr>
            <w:tcW w:w="2500" w:type="pct"/>
            <w:shd w:val="clear" w:color="auto" w:fill="D9D9D9" w:themeFill="background1" w:themeFillShade="D9"/>
          </w:tcPr>
          <w:p w:rsidR="002F25FE" w:rsidRDefault="002F25FE" w:rsidP="005F30AF">
            <w:pPr>
              <w:pStyle w:val="TableBullet"/>
              <w:spacing w:before="20"/>
            </w:pPr>
            <w:r>
              <w:t>Counterfactuals / controls can be selected post hoc</w:t>
            </w:r>
          </w:p>
        </w:tc>
        <w:tc>
          <w:tcPr>
            <w:tcW w:w="2500" w:type="pct"/>
            <w:shd w:val="clear" w:color="auto" w:fill="D9D9D9" w:themeFill="background1" w:themeFillShade="D9"/>
          </w:tcPr>
          <w:p w:rsidR="002F25FE" w:rsidRDefault="002F25FE" w:rsidP="005F30AF">
            <w:pPr>
              <w:pStyle w:val="TableBullet"/>
              <w:spacing w:before="20"/>
              <w:rPr>
                <w:i/>
              </w:rPr>
            </w:pPr>
            <w:r>
              <w:t>Data protection issues</w:t>
            </w:r>
          </w:p>
        </w:tc>
      </w:tr>
      <w:tr w:rsidR="002F25FE" w:rsidTr="002F25FE">
        <w:tc>
          <w:tcPr>
            <w:tcW w:w="2500" w:type="pct"/>
            <w:shd w:val="clear" w:color="auto" w:fill="auto"/>
          </w:tcPr>
          <w:p w:rsidR="002F25FE" w:rsidRDefault="002F25FE" w:rsidP="005F30AF">
            <w:pPr>
              <w:pStyle w:val="TableBullet"/>
              <w:spacing w:before="20"/>
            </w:pPr>
            <w:r>
              <w:t>Captures those who may not respond to surveys</w:t>
            </w:r>
          </w:p>
        </w:tc>
        <w:tc>
          <w:tcPr>
            <w:tcW w:w="2500" w:type="pct"/>
            <w:shd w:val="clear" w:color="auto" w:fill="auto"/>
          </w:tcPr>
          <w:p w:rsidR="002F25FE" w:rsidRDefault="002F25FE" w:rsidP="005F30AF">
            <w:pPr>
              <w:pStyle w:val="TableBullet"/>
              <w:spacing w:before="20"/>
              <w:rPr>
                <w:i/>
              </w:rPr>
            </w:pPr>
            <w:r>
              <w:t>Access by researchers dependent on support of data providers.</w:t>
            </w:r>
          </w:p>
        </w:tc>
      </w:tr>
      <w:tr w:rsidR="002F25FE" w:rsidTr="005F30AF">
        <w:tc>
          <w:tcPr>
            <w:tcW w:w="2500" w:type="pct"/>
            <w:tcBorders>
              <w:bottom w:val="single" w:sz="4" w:space="0" w:color="auto"/>
            </w:tcBorders>
            <w:shd w:val="clear" w:color="auto" w:fill="D9D9D9" w:themeFill="background1" w:themeFillShade="D9"/>
          </w:tcPr>
          <w:p w:rsidR="002F25FE" w:rsidRDefault="002F25FE" w:rsidP="005F30AF">
            <w:pPr>
              <w:pStyle w:val="TableBullet"/>
              <w:spacing w:before="20"/>
            </w:pPr>
            <w:r>
              <w:t>Potential for data sets to be linked to produce powerful research resources</w:t>
            </w:r>
          </w:p>
        </w:tc>
        <w:tc>
          <w:tcPr>
            <w:tcW w:w="2500" w:type="pct"/>
            <w:tcBorders>
              <w:bottom w:val="single" w:sz="4" w:space="0" w:color="auto"/>
            </w:tcBorders>
            <w:shd w:val="clear" w:color="auto" w:fill="D9D9D9" w:themeFill="background1" w:themeFillShade="D9"/>
          </w:tcPr>
          <w:p w:rsidR="002F25FE" w:rsidRDefault="002F25FE" w:rsidP="005F30AF">
            <w:pPr>
              <w:pStyle w:val="TableBullet"/>
              <w:spacing w:before="20"/>
            </w:pPr>
            <w:r>
              <w:t>Underdeveloped theory and methods</w:t>
            </w:r>
          </w:p>
        </w:tc>
      </w:tr>
    </w:tbl>
    <w:p w:rsidR="002F25FE" w:rsidRPr="00F65888" w:rsidRDefault="002F25FE" w:rsidP="00D76A04">
      <w:pPr>
        <w:pStyle w:val="Source"/>
        <w:keepNext/>
      </w:pPr>
      <w:r>
        <w:rPr>
          <w:i/>
        </w:rPr>
        <w:t>Source</w:t>
      </w:r>
      <w:r w:rsidR="00FA2C7C">
        <w:t>:</w:t>
      </w:r>
      <w:r>
        <w:t xml:space="preserve"> Smith et al. 2004.</w:t>
      </w:r>
    </w:p>
    <w:p w:rsidR="004E4D03" w:rsidRPr="005F30AF" w:rsidRDefault="0067625B" w:rsidP="005F30AF">
      <w:pPr>
        <w:pStyle w:val="Heading2"/>
        <w:spacing w:before="480"/>
      </w:pPr>
      <w:r w:rsidRPr="005F30AF">
        <w:t>W</w:t>
      </w:r>
      <w:r w:rsidR="00C43E21" w:rsidRPr="005F30AF">
        <w:t>hat could be done</w:t>
      </w:r>
      <w:r w:rsidRPr="005F30AF">
        <w:t xml:space="preserve"> with greater access</w:t>
      </w:r>
      <w:r w:rsidR="00621FC9" w:rsidRPr="005F30AF">
        <w:t xml:space="preserve"> to data</w:t>
      </w:r>
      <w:r w:rsidRPr="005F30AF">
        <w:t>?</w:t>
      </w:r>
    </w:p>
    <w:p w:rsidR="009D3E5E" w:rsidRDefault="00C8533C" w:rsidP="005F30AF">
      <w:pPr>
        <w:pStyle w:val="BodyText"/>
        <w:spacing w:before="200"/>
      </w:pPr>
      <w:r>
        <w:t>A</w:t>
      </w:r>
      <w:r w:rsidR="00403EC2">
        <w:t xml:space="preserve">dministrative datasets </w:t>
      </w:r>
      <w:r w:rsidR="00CD29DB">
        <w:t xml:space="preserve">could be </w:t>
      </w:r>
      <w:r w:rsidR="00403EC2">
        <w:t xml:space="preserve">instrumental </w:t>
      </w:r>
      <w:r w:rsidR="00DA5F85">
        <w:t xml:space="preserve">in </w:t>
      </w:r>
      <w:r w:rsidR="00CD29DB">
        <w:t xml:space="preserve">gaining </w:t>
      </w:r>
      <w:r w:rsidR="008643EA">
        <w:t xml:space="preserve">insights into </w:t>
      </w:r>
      <w:r w:rsidR="00463EE7">
        <w:t xml:space="preserve">whether government programs: </w:t>
      </w:r>
    </w:p>
    <w:p w:rsidR="009D3E5E" w:rsidRDefault="002658CF" w:rsidP="005F30AF">
      <w:pPr>
        <w:pStyle w:val="ListBullet"/>
        <w:spacing w:before="100"/>
      </w:pPr>
      <w:r>
        <w:t xml:space="preserve">meet </w:t>
      </w:r>
      <w:r w:rsidR="000A7AED">
        <w:t xml:space="preserve">their </w:t>
      </w:r>
      <w:r>
        <w:t xml:space="preserve">stated objectives </w:t>
      </w:r>
      <w:r w:rsidR="004F7C02">
        <w:t xml:space="preserve">— do they work </w:t>
      </w:r>
      <w:r w:rsidR="008643EA">
        <w:t>or are other influences at play</w:t>
      </w:r>
      <w:r w:rsidR="00403EC2">
        <w:t>?</w:t>
      </w:r>
    </w:p>
    <w:p w:rsidR="007D3D41" w:rsidRDefault="00463EE7" w:rsidP="005F30AF">
      <w:pPr>
        <w:pStyle w:val="ListBullet"/>
        <w:spacing w:before="100"/>
      </w:pPr>
      <w:r>
        <w:t>operat</w:t>
      </w:r>
      <w:r w:rsidR="00621FC9">
        <w:t xml:space="preserve">e </w:t>
      </w:r>
      <w:r w:rsidR="004F7C02">
        <w:t xml:space="preserve">as intended — do </w:t>
      </w:r>
      <w:r w:rsidR="00621FC9">
        <w:t>r</w:t>
      </w:r>
      <w:r w:rsidR="007D3D41">
        <w:t xml:space="preserve">ecipients </w:t>
      </w:r>
      <w:r w:rsidR="004F7C02">
        <w:t xml:space="preserve">respond to </w:t>
      </w:r>
      <w:r w:rsidR="00153A00">
        <w:t>(dis)</w:t>
      </w:r>
      <w:r w:rsidR="004F7C02">
        <w:t>incentives</w:t>
      </w:r>
      <w:r w:rsidR="004A53D2">
        <w:t xml:space="preserve"> </w:t>
      </w:r>
      <w:r w:rsidR="004A53D2" w:rsidRPr="004A53D2">
        <w:t>and are there unanticipated (good or bad) effects on recipients or the community</w:t>
      </w:r>
      <w:r w:rsidR="008643EA">
        <w:t>?</w:t>
      </w:r>
      <w:r w:rsidR="007D3D41">
        <w:t xml:space="preserve"> </w:t>
      </w:r>
    </w:p>
    <w:p w:rsidR="000A7AED" w:rsidRDefault="004F7C02" w:rsidP="005F30AF">
      <w:pPr>
        <w:pStyle w:val="ListBullet"/>
        <w:spacing w:before="100"/>
      </w:pPr>
      <w:r>
        <w:t xml:space="preserve">are </w:t>
      </w:r>
      <w:r w:rsidR="00DE7AFB">
        <w:t>deliver</w:t>
      </w:r>
      <w:r w:rsidR="008643EA">
        <w:t>ed</w:t>
      </w:r>
      <w:r w:rsidR="00DE7AFB">
        <w:t xml:space="preserve"> </w:t>
      </w:r>
      <w:r>
        <w:t xml:space="preserve">effectively — </w:t>
      </w:r>
      <w:r w:rsidR="00403EC2">
        <w:t>are there queuing or discouragement effects?</w:t>
      </w:r>
    </w:p>
    <w:p w:rsidR="007D3D41" w:rsidRDefault="00463EE7" w:rsidP="005F30AF">
      <w:pPr>
        <w:pStyle w:val="ListBullet"/>
        <w:spacing w:before="100"/>
      </w:pPr>
      <w:r>
        <w:t xml:space="preserve">deliver </w:t>
      </w:r>
      <w:r w:rsidR="007D3D41">
        <w:t xml:space="preserve">services in </w:t>
      </w:r>
      <w:r w:rsidR="004F7C02">
        <w:t xml:space="preserve">the right places — are </w:t>
      </w:r>
      <w:r w:rsidR="00452AA1">
        <w:t xml:space="preserve">services located near </w:t>
      </w:r>
      <w:r w:rsidR="004F7C02">
        <w:t>people in need?</w:t>
      </w:r>
    </w:p>
    <w:p w:rsidR="002658CF" w:rsidRDefault="00621FC9" w:rsidP="005F30AF">
      <w:pPr>
        <w:pStyle w:val="BodyText"/>
        <w:spacing w:before="200"/>
      </w:pPr>
      <w:r>
        <w:t xml:space="preserve">Such </w:t>
      </w:r>
      <w:r w:rsidR="00A725D2">
        <w:t xml:space="preserve">information is fundamental to </w:t>
      </w:r>
      <w:r w:rsidR="0061204D">
        <w:t xml:space="preserve">deeper questions about </w:t>
      </w:r>
      <w:r w:rsidR="00A725D2">
        <w:t xml:space="preserve">whether the </w:t>
      </w:r>
      <w:r w:rsidR="007D3D41">
        <w:t xml:space="preserve">policy mix </w:t>
      </w:r>
      <w:r w:rsidR="00A725D2">
        <w:t xml:space="preserve">is </w:t>
      </w:r>
      <w:r w:rsidR="002658CF">
        <w:t xml:space="preserve">coherent or </w:t>
      </w:r>
      <w:r w:rsidR="00A725D2">
        <w:t xml:space="preserve">whether </w:t>
      </w:r>
      <w:r w:rsidR="008643EA">
        <w:t xml:space="preserve">other policy </w:t>
      </w:r>
      <w:r w:rsidR="002658CF">
        <w:t>initiatives work</w:t>
      </w:r>
      <w:r w:rsidR="008643EA">
        <w:t xml:space="preserve"> to </w:t>
      </w:r>
      <w:r w:rsidR="004631DE">
        <w:t xml:space="preserve">hinder </w:t>
      </w:r>
      <w:r w:rsidR="008643EA">
        <w:t>desired outcomes</w:t>
      </w:r>
      <w:r w:rsidR="00A725D2">
        <w:t xml:space="preserve">. </w:t>
      </w:r>
      <w:r w:rsidR="00E10098">
        <w:t>T</w:t>
      </w:r>
      <w:r w:rsidR="0061204D">
        <w:t xml:space="preserve">here may be interactions between disparate factors </w:t>
      </w:r>
      <w:r w:rsidR="00CD29DB">
        <w:t xml:space="preserve">that </w:t>
      </w:r>
      <w:r w:rsidR="0061204D">
        <w:t>imping</w:t>
      </w:r>
      <w:r w:rsidR="00CD29DB">
        <w:t>e</w:t>
      </w:r>
      <w:r w:rsidR="0061204D">
        <w:t xml:space="preserve"> on outcomes which can only be </w:t>
      </w:r>
      <w:r w:rsidR="00CD29DB">
        <w:t xml:space="preserve">detected using </w:t>
      </w:r>
      <w:r w:rsidR="008643EA">
        <w:t xml:space="preserve">large </w:t>
      </w:r>
      <w:r w:rsidR="0061204D">
        <w:t>data sets.</w:t>
      </w:r>
      <w:r w:rsidR="00CD29DB">
        <w:t xml:space="preserve"> </w:t>
      </w:r>
      <w:r w:rsidR="00E10098">
        <w:t>A</w:t>
      </w:r>
      <w:r w:rsidR="008643EA">
        <w:t>dministrative data c</w:t>
      </w:r>
      <w:r w:rsidR="00403EC2">
        <w:t>ould</w:t>
      </w:r>
      <w:r w:rsidR="008643EA">
        <w:t xml:space="preserve"> </w:t>
      </w:r>
      <w:r w:rsidR="00CD29DB">
        <w:t xml:space="preserve">also </w:t>
      </w:r>
      <w:r w:rsidR="008643EA">
        <w:t xml:space="preserve">be used proactively to instigate debate on matters of public importance that would otherwise </w:t>
      </w:r>
      <w:r w:rsidR="00C472C7">
        <w:t xml:space="preserve">fail to </w:t>
      </w:r>
      <w:r w:rsidR="008643EA">
        <w:t xml:space="preserve">gain traction </w:t>
      </w:r>
      <w:r w:rsidR="00E10098">
        <w:t xml:space="preserve">without </w:t>
      </w:r>
      <w:r w:rsidR="008643EA">
        <w:t xml:space="preserve">corroborating evidence. </w:t>
      </w:r>
      <w:r w:rsidR="00403EC2">
        <w:t xml:space="preserve">These </w:t>
      </w:r>
      <w:r w:rsidR="00A725D2">
        <w:t xml:space="preserve">benefits are increasingly recognised. </w:t>
      </w:r>
      <w:r w:rsidR="004F7C02">
        <w:t xml:space="preserve">The Australian Government’s </w:t>
      </w:r>
      <w:r w:rsidR="00633DF0">
        <w:t xml:space="preserve">‘big data’ </w:t>
      </w:r>
      <w:r w:rsidR="00403EC2">
        <w:t>I</w:t>
      </w:r>
      <w:r w:rsidR="008643EA">
        <w:t xml:space="preserve">ssues </w:t>
      </w:r>
      <w:r w:rsidR="00403EC2">
        <w:t>P</w:t>
      </w:r>
      <w:r w:rsidR="00633DF0">
        <w:t>aper identified that p</w:t>
      </w:r>
      <w:r w:rsidR="002658CF">
        <w:t>rocessing and integrating administrative data has the:</w:t>
      </w:r>
    </w:p>
    <w:p w:rsidR="002658CF" w:rsidRPr="007A2CBC" w:rsidRDefault="002658CF" w:rsidP="005F30AF">
      <w:pPr>
        <w:pStyle w:val="Quote"/>
        <w:spacing w:before="100"/>
      </w:pPr>
      <w:r>
        <w:lastRenderedPageBreak/>
        <w:t xml:space="preserve">… potential to transform service design and delivery so that personalised and streamlined services, that accurately and specifically meet individual’s needs, can be delivered to them in a timely manner. </w:t>
      </w:r>
      <w:r w:rsidR="00633DF0">
        <w:t>(</w:t>
      </w:r>
      <w:r w:rsidR="00633DF0" w:rsidRPr="00633DF0">
        <w:t>Commonwealth of Australia 2013</w:t>
      </w:r>
      <w:r w:rsidR="00633DF0">
        <w:t xml:space="preserve">, </w:t>
      </w:r>
      <w:r>
        <w:t>p. 4)</w:t>
      </w:r>
    </w:p>
    <w:p w:rsidR="00153A00" w:rsidRDefault="00153A00" w:rsidP="005F30AF">
      <w:pPr>
        <w:pStyle w:val="BodyText"/>
        <w:spacing w:before="200"/>
      </w:pPr>
      <w:r>
        <w:t xml:space="preserve">In a similar vein, this year the (former) Minister for Human Services championed the cause of better use </w:t>
      </w:r>
      <w:r w:rsidR="00DA5F85">
        <w:t xml:space="preserve">of </w:t>
      </w:r>
      <w:r>
        <w:t xml:space="preserve">administrative data resources: </w:t>
      </w:r>
    </w:p>
    <w:p w:rsidR="00153A00" w:rsidRDefault="00153A00" w:rsidP="005F30AF">
      <w:pPr>
        <w:pStyle w:val="Quote"/>
        <w:spacing w:before="100"/>
      </w:pPr>
      <w:r>
        <w:t>… if you start from the premise that you are serious about evidence-based policies you realise you can actually develop them by using the data you’ve already got. We know where people live, we know when they’ve worked and how they’ve responded to major shocks. We know what illnesses they have suffered, and how they were treated. We can follow a family’s journey right down the generations. I want to open up that information to researchers … For example I would like to know what type of medical admissions take place ahead of applications for child support. If we knew that, we would know where to best direct resources before they were needed. (Carr 2013)</w:t>
      </w:r>
    </w:p>
    <w:p w:rsidR="00A725D2" w:rsidRDefault="00EC620C" w:rsidP="005F30AF">
      <w:pPr>
        <w:pStyle w:val="BodyText"/>
        <w:spacing w:before="200"/>
      </w:pPr>
      <w:r>
        <w:t>De-identified</w:t>
      </w:r>
      <w:r w:rsidR="008643EA">
        <w:t xml:space="preserve"> a</w:t>
      </w:r>
      <w:r w:rsidR="00C1602E">
        <w:t>dministrative data collect</w:t>
      </w:r>
      <w:r w:rsidR="00A725D2">
        <w:t>ions</w:t>
      </w:r>
      <w:r w:rsidR="00917EBB">
        <w:t xml:space="preserve"> </w:t>
      </w:r>
      <w:r w:rsidR="00C1602E">
        <w:t xml:space="preserve">could be </w:t>
      </w:r>
      <w:r w:rsidR="000F00DE">
        <w:t>made available to research</w:t>
      </w:r>
      <w:r w:rsidR="006D46B6">
        <w:t>ers</w:t>
      </w:r>
      <w:r w:rsidR="00CD29DB">
        <w:t>,</w:t>
      </w:r>
      <w:r w:rsidR="00403EC2">
        <w:t xml:space="preserve"> </w:t>
      </w:r>
      <w:r w:rsidR="00C472C7">
        <w:t>t</w:t>
      </w:r>
      <w:r w:rsidR="00E9105E">
        <w:t>o</w:t>
      </w:r>
      <w:r w:rsidR="00C472C7">
        <w:t xml:space="preserve"> </w:t>
      </w:r>
      <w:r w:rsidR="00633DF0">
        <w:t>encourag</w:t>
      </w:r>
      <w:r w:rsidR="00E9105E">
        <w:t>e</w:t>
      </w:r>
      <w:r w:rsidR="00633DF0">
        <w:t xml:space="preserve"> </w:t>
      </w:r>
      <w:r w:rsidR="0061204D">
        <w:t>examin</w:t>
      </w:r>
      <w:r w:rsidR="00633DF0">
        <w:t>ation of</w:t>
      </w:r>
      <w:r w:rsidR="0061204D">
        <w:t xml:space="preserve"> policies</w:t>
      </w:r>
      <w:r w:rsidR="00E710E7">
        <w:t xml:space="preserve">. </w:t>
      </w:r>
      <w:r w:rsidR="006D46B6">
        <w:t>R</w:t>
      </w:r>
      <w:r w:rsidR="00153A00">
        <w:t xml:space="preserve">obust </w:t>
      </w:r>
      <w:r w:rsidR="0061204D" w:rsidRPr="0061204D">
        <w:t>evidence o</w:t>
      </w:r>
      <w:r w:rsidR="0061204D">
        <w:t>f</w:t>
      </w:r>
      <w:r w:rsidR="0061204D" w:rsidRPr="0061204D">
        <w:t xml:space="preserve"> polic</w:t>
      </w:r>
      <w:r w:rsidR="00E710E7">
        <w:t xml:space="preserve">y efficacy </w:t>
      </w:r>
      <w:r w:rsidR="0061204D">
        <w:t xml:space="preserve">need not be the </w:t>
      </w:r>
      <w:r w:rsidR="00D72BE9">
        <w:t xml:space="preserve">sole </w:t>
      </w:r>
      <w:r w:rsidR="0061204D">
        <w:t xml:space="preserve">province of </w:t>
      </w:r>
      <w:r w:rsidR="008F4326">
        <w:t xml:space="preserve">sophisticated techniques like </w:t>
      </w:r>
      <w:r w:rsidR="0061204D" w:rsidRPr="0061204D">
        <w:t xml:space="preserve">randomised control trials </w:t>
      </w:r>
      <w:r w:rsidR="006D46B6">
        <w:t xml:space="preserve">(RCTs) </w:t>
      </w:r>
      <w:r w:rsidR="0061204D">
        <w:t xml:space="preserve">— </w:t>
      </w:r>
      <w:r w:rsidR="0061204D" w:rsidRPr="0061204D">
        <w:t>the so-called ‘gold standard’</w:t>
      </w:r>
      <w:r w:rsidR="0061204D">
        <w:t xml:space="preserve"> of evidence, </w:t>
      </w:r>
      <w:r w:rsidR="00633DF0">
        <w:t>used extensively in the United States</w:t>
      </w:r>
      <w:r w:rsidR="006D46B6">
        <w:t xml:space="preserve"> for policy evaluation. </w:t>
      </w:r>
      <w:r w:rsidR="00E9105E">
        <w:t xml:space="preserve">Because </w:t>
      </w:r>
      <w:r w:rsidR="006D46B6">
        <w:t xml:space="preserve">RCTs can </w:t>
      </w:r>
      <w:r w:rsidR="004A53D2">
        <w:t>be costly, difficult to design well, and can raise ethical issues about risks for the ‘treatment’ or</w:t>
      </w:r>
      <w:r w:rsidR="006D46B6">
        <w:t xml:space="preserve"> </w:t>
      </w:r>
      <w:r w:rsidR="00B3547C">
        <w:t>‘</w:t>
      </w:r>
      <w:r w:rsidR="004A53D2">
        <w:t>control</w:t>
      </w:r>
      <w:r w:rsidR="00B3547C">
        <w:t>’</w:t>
      </w:r>
      <w:r w:rsidR="004A53D2">
        <w:t xml:space="preserve"> groups</w:t>
      </w:r>
      <w:r w:rsidR="00E9105E">
        <w:t xml:space="preserve">, they </w:t>
      </w:r>
      <w:r w:rsidR="004A53D2">
        <w:t>have rarely been used in Australia</w:t>
      </w:r>
      <w:r w:rsidR="00F57EAA">
        <w:t>.</w:t>
      </w:r>
      <w:r w:rsidR="0061204D" w:rsidRPr="0061204D">
        <w:t xml:space="preserve"> </w:t>
      </w:r>
      <w:r w:rsidR="00CD29DB">
        <w:t xml:space="preserve">If administrative data </w:t>
      </w:r>
      <w:r w:rsidR="006D46B6">
        <w:t xml:space="preserve">were </w:t>
      </w:r>
      <w:r w:rsidR="00CD29DB">
        <w:t>disclosed, an</w:t>
      </w:r>
      <w:r w:rsidR="0061204D" w:rsidRPr="0061204D">
        <w:t xml:space="preserve">alysis using </w:t>
      </w:r>
      <w:r w:rsidR="00631D1C">
        <w:t>alternative</w:t>
      </w:r>
      <w:r w:rsidR="00631D1C" w:rsidRPr="0061204D">
        <w:t xml:space="preserve"> </w:t>
      </w:r>
      <w:r w:rsidR="0061204D" w:rsidRPr="0061204D">
        <w:t>methodologies c</w:t>
      </w:r>
      <w:r w:rsidR="006D46B6">
        <w:t xml:space="preserve">ould </w:t>
      </w:r>
      <w:r w:rsidR="0061204D" w:rsidRPr="0061204D">
        <w:t>shed light on policy performance.</w:t>
      </w:r>
    </w:p>
    <w:p w:rsidR="00934A87" w:rsidRDefault="00621FC9" w:rsidP="008643EA">
      <w:pPr>
        <w:pStyle w:val="Heading3"/>
      </w:pPr>
      <w:r>
        <w:t>We could better u</w:t>
      </w:r>
      <w:r w:rsidR="00934A87">
        <w:t>nderstand</w:t>
      </w:r>
      <w:r>
        <w:t xml:space="preserve"> </w:t>
      </w:r>
      <w:r w:rsidR="00934A87">
        <w:t>disadvantage</w:t>
      </w:r>
    </w:p>
    <w:p w:rsidR="008B028D" w:rsidRDefault="00EF0857" w:rsidP="005F30AF">
      <w:pPr>
        <w:pStyle w:val="BodyText"/>
        <w:spacing w:before="200"/>
      </w:pPr>
      <w:r>
        <w:t>Access to a</w:t>
      </w:r>
      <w:r w:rsidR="00B54B27">
        <w:t xml:space="preserve">dministrative data </w:t>
      </w:r>
      <w:r>
        <w:t xml:space="preserve">would </w:t>
      </w:r>
      <w:r w:rsidR="004970A8">
        <w:t>provide much need</w:t>
      </w:r>
      <w:r w:rsidR="008516D1">
        <w:t>ed</w:t>
      </w:r>
      <w:r w:rsidR="004970A8">
        <w:t xml:space="preserve"> insights </w:t>
      </w:r>
      <w:r w:rsidR="000D7E62">
        <w:t xml:space="preserve">of </w:t>
      </w:r>
      <w:r w:rsidR="00B54B27">
        <w:t>the paths into, through</w:t>
      </w:r>
      <w:r w:rsidR="00D72BE9">
        <w:t>,</w:t>
      </w:r>
      <w:r w:rsidR="00B54B27">
        <w:t xml:space="preserve"> and out of</w:t>
      </w:r>
      <w:r w:rsidR="00D72BE9">
        <w:t>,</w:t>
      </w:r>
      <w:r w:rsidR="00B54B27">
        <w:t xml:space="preserve"> disadvantage</w:t>
      </w:r>
      <w:r w:rsidR="00261C54">
        <w:t xml:space="preserve">. </w:t>
      </w:r>
      <w:r w:rsidR="00666B68" w:rsidRPr="00666B68">
        <w:t>McLachlan et al</w:t>
      </w:r>
      <w:r w:rsidR="00EC620C">
        <w:t>.</w:t>
      </w:r>
      <w:r w:rsidR="00666B68" w:rsidRPr="00666B68" w:rsidDel="00666B68">
        <w:t xml:space="preserve"> </w:t>
      </w:r>
      <w:r w:rsidR="004970A8">
        <w:t>observed that</w:t>
      </w:r>
      <w:r w:rsidR="008B028D">
        <w:t>:</w:t>
      </w:r>
    </w:p>
    <w:p w:rsidR="008B028D" w:rsidRDefault="008B028D" w:rsidP="005F30AF">
      <w:pPr>
        <w:pStyle w:val="Quote"/>
        <w:spacing w:before="100"/>
      </w:pPr>
      <w:r>
        <w:t xml:space="preserve">Government agencies, at all three levels of government, hold very large administrative data sets which may assist in unlocking a deeper understanding </w:t>
      </w:r>
      <w:r w:rsidR="008516D1">
        <w:t xml:space="preserve">of </w:t>
      </w:r>
      <w:r>
        <w:t>the factors influencing disadvantage, the government programs that are accessed by those experiencing disadvantage, and how those programs assist (or hinder) those who are the most vulnerable. (</w:t>
      </w:r>
      <w:r w:rsidR="00A70B42" w:rsidRPr="00A70B42">
        <w:t xml:space="preserve">McLachlan </w:t>
      </w:r>
      <w:r w:rsidR="00A70B42">
        <w:t xml:space="preserve">et al. </w:t>
      </w:r>
      <w:r>
        <w:t xml:space="preserve">2013, p. </w:t>
      </w:r>
      <w:r w:rsidR="00567F8E">
        <w:t>196)</w:t>
      </w:r>
    </w:p>
    <w:p w:rsidR="00F403FD" w:rsidRPr="00AC11CD" w:rsidRDefault="006520F5" w:rsidP="005F30AF">
      <w:pPr>
        <w:pStyle w:val="BodyText"/>
        <w:spacing w:before="200"/>
      </w:pPr>
      <w:r>
        <w:t>U</w:t>
      </w:r>
      <w:r w:rsidR="00633DF0">
        <w:t>sing administrative data</w:t>
      </w:r>
      <w:r w:rsidR="004970A8">
        <w:t>,</w:t>
      </w:r>
      <w:r w:rsidR="00633DF0">
        <w:t xml:space="preserve"> </w:t>
      </w:r>
      <w:r w:rsidR="00B54B27">
        <w:t xml:space="preserve">researchers could </w:t>
      </w:r>
      <w:r w:rsidR="002B41F2">
        <w:t xml:space="preserve">derive evidence on people’s lifecycle use of </w:t>
      </w:r>
      <w:r w:rsidR="00934A87" w:rsidRPr="00AC11CD">
        <w:t xml:space="preserve">income support </w:t>
      </w:r>
      <w:r w:rsidR="00B54B27">
        <w:t>(</w:t>
      </w:r>
      <w:r w:rsidR="00934A87" w:rsidRPr="00AC11CD">
        <w:t xml:space="preserve">Newstart, </w:t>
      </w:r>
      <w:r>
        <w:t>d</w:t>
      </w:r>
      <w:r w:rsidR="00934A87" w:rsidRPr="00AC11CD">
        <w:t xml:space="preserve">isability or other benefit), the duration(s) </w:t>
      </w:r>
      <w:r w:rsidR="002B41F2">
        <w:t xml:space="preserve">of use </w:t>
      </w:r>
      <w:r w:rsidR="00934A87" w:rsidRPr="00AC11CD">
        <w:t xml:space="preserve">and their parents’ </w:t>
      </w:r>
      <w:r w:rsidR="00AB3655">
        <w:t>benefit history</w:t>
      </w:r>
      <w:r w:rsidR="00934A87" w:rsidRPr="00AC11CD">
        <w:t xml:space="preserve">. </w:t>
      </w:r>
      <w:r w:rsidR="004970A8" w:rsidRPr="004970A8">
        <w:t xml:space="preserve">By linking data </w:t>
      </w:r>
      <w:r w:rsidR="00EC620C">
        <w:t xml:space="preserve">on other </w:t>
      </w:r>
      <w:r w:rsidR="00F57EAA">
        <w:t>factors</w:t>
      </w:r>
      <w:r w:rsidR="004970A8">
        <w:t xml:space="preserve"> </w:t>
      </w:r>
      <w:r w:rsidR="00CD29DB">
        <w:t xml:space="preserve">— such as </w:t>
      </w:r>
      <w:r w:rsidR="00EC620C">
        <w:t xml:space="preserve">location, </w:t>
      </w:r>
      <w:r w:rsidR="004970A8" w:rsidRPr="00AC11CD">
        <w:t xml:space="preserve">educational attainment, mental health, hospitalisations </w:t>
      </w:r>
      <w:r w:rsidR="004970A8">
        <w:t xml:space="preserve">and </w:t>
      </w:r>
      <w:r w:rsidR="004970A8" w:rsidRPr="00AC11CD">
        <w:t>incarceration</w:t>
      </w:r>
      <w:r w:rsidR="004970A8">
        <w:t xml:space="preserve"> — </w:t>
      </w:r>
      <w:r w:rsidR="004970A8" w:rsidRPr="004970A8">
        <w:t xml:space="preserve">it would be possible to analyse </w:t>
      </w:r>
      <w:r w:rsidR="00DD761A">
        <w:t xml:space="preserve">the </w:t>
      </w:r>
      <w:r w:rsidR="004970A8" w:rsidRPr="004970A8">
        <w:t>pathways for individuals</w:t>
      </w:r>
      <w:r w:rsidR="00E710E7">
        <w:t xml:space="preserve"> and </w:t>
      </w:r>
      <w:r w:rsidR="004970A8" w:rsidRPr="004970A8">
        <w:t>families</w:t>
      </w:r>
      <w:r w:rsidR="004970A8">
        <w:t xml:space="preserve"> </w:t>
      </w:r>
      <w:r>
        <w:t xml:space="preserve">with characteristics that make them vulnerable to persistent </w:t>
      </w:r>
      <w:r w:rsidR="009B59AE">
        <w:t>or</w:t>
      </w:r>
      <w:r w:rsidR="005600D0">
        <w:t xml:space="preserve"> </w:t>
      </w:r>
      <w:r w:rsidR="00F57EAA">
        <w:t>intergenerational</w:t>
      </w:r>
      <w:r w:rsidR="00F57EAA" w:rsidDel="006520F5">
        <w:t xml:space="preserve"> </w:t>
      </w:r>
      <w:r>
        <w:t xml:space="preserve">disadvantage. </w:t>
      </w:r>
      <w:r w:rsidR="00564481" w:rsidRPr="00564481">
        <w:t xml:space="preserve">Administrative data </w:t>
      </w:r>
      <w:r w:rsidR="00F403FD">
        <w:t xml:space="preserve">could identify </w:t>
      </w:r>
      <w:r w:rsidR="00564481" w:rsidRPr="00564481">
        <w:t>events</w:t>
      </w:r>
      <w:r w:rsidR="00EE0393">
        <w:t xml:space="preserve"> such as job </w:t>
      </w:r>
      <w:r w:rsidR="00EE0393" w:rsidRPr="00564481">
        <w:t xml:space="preserve">loss, incapacity </w:t>
      </w:r>
      <w:r w:rsidR="00EE0393">
        <w:t xml:space="preserve">and </w:t>
      </w:r>
      <w:r w:rsidR="00EE0393" w:rsidRPr="00564481">
        <w:t>family breakdown</w:t>
      </w:r>
      <w:r w:rsidR="00EE0393">
        <w:t xml:space="preserve"> </w:t>
      </w:r>
      <w:r w:rsidR="00F403FD">
        <w:t>that</w:t>
      </w:r>
      <w:r w:rsidR="00564481" w:rsidRPr="00564481">
        <w:t xml:space="preserve"> contribute to </w:t>
      </w:r>
      <w:r w:rsidR="00DD761A" w:rsidRPr="00564481">
        <w:t>individuals</w:t>
      </w:r>
      <w:r w:rsidR="00DD761A">
        <w:t>’</w:t>
      </w:r>
      <w:r w:rsidR="00DD761A" w:rsidRPr="00564481">
        <w:t xml:space="preserve"> </w:t>
      </w:r>
      <w:r w:rsidR="00564481" w:rsidRPr="00564481">
        <w:t xml:space="preserve">transition </w:t>
      </w:r>
      <w:r w:rsidR="00A81962">
        <w:t xml:space="preserve">to </w:t>
      </w:r>
      <w:r w:rsidR="00564481" w:rsidRPr="00564481">
        <w:t>social exclusion</w:t>
      </w:r>
      <w:r w:rsidR="00EE0393">
        <w:t xml:space="preserve">. </w:t>
      </w:r>
      <w:r w:rsidR="00DD761A">
        <w:t xml:space="preserve">Absent </w:t>
      </w:r>
      <w:r w:rsidR="00F403FD">
        <w:t>this information, policy must rely on partial analyses and intuition.</w:t>
      </w:r>
    </w:p>
    <w:p w:rsidR="001D5265" w:rsidRDefault="00621FC9" w:rsidP="008643EA">
      <w:pPr>
        <w:pStyle w:val="Heading3"/>
      </w:pPr>
      <w:r>
        <w:lastRenderedPageBreak/>
        <w:t>We could c</w:t>
      </w:r>
      <w:r w:rsidR="001D5265">
        <w:t xml:space="preserve">onnect </w:t>
      </w:r>
      <w:r w:rsidR="006D46B6">
        <w:t xml:space="preserve">more </w:t>
      </w:r>
      <w:r w:rsidR="001D5265">
        <w:t>dots in health</w:t>
      </w:r>
    </w:p>
    <w:p w:rsidR="002658CF" w:rsidRDefault="002E083F" w:rsidP="005F30AF">
      <w:pPr>
        <w:pStyle w:val="BodyText"/>
        <w:spacing w:before="200"/>
      </w:pPr>
      <w:r w:rsidRPr="00EF6A64">
        <w:t>Australia has population-based data on Medicare services</w:t>
      </w:r>
      <w:r w:rsidR="00C265EB">
        <w:t xml:space="preserve">, </w:t>
      </w:r>
      <w:r w:rsidRPr="00EF6A64">
        <w:t>dispensing of subsidised pharmaceuticals</w:t>
      </w:r>
      <w:r w:rsidR="00C265EB">
        <w:t xml:space="preserve">, </w:t>
      </w:r>
      <w:r w:rsidRPr="00EF6A64">
        <w:t xml:space="preserve">emergency department presentations, hospital admissions, aged care and deaths. </w:t>
      </w:r>
      <w:r w:rsidR="002658CF">
        <w:t>L</w:t>
      </w:r>
      <w:r w:rsidR="002658CF" w:rsidRPr="00EF6A64">
        <w:t>inked</w:t>
      </w:r>
      <w:r w:rsidR="002658CF">
        <w:t>, th</w:t>
      </w:r>
      <w:r w:rsidRPr="00EF6A64">
        <w:t xml:space="preserve">ese data </w:t>
      </w:r>
      <w:r w:rsidR="00E710E7">
        <w:t xml:space="preserve">have </w:t>
      </w:r>
      <w:r w:rsidRPr="00EF6A64">
        <w:t xml:space="preserve">huge potential for policy-relevant research. </w:t>
      </w:r>
      <w:r w:rsidR="00D77FA8">
        <w:t xml:space="preserve">Professor Stanley has claimed that access to real-time prescription and birth data could have </w:t>
      </w:r>
      <w:r w:rsidR="004970A8">
        <w:t xml:space="preserve">detected </w:t>
      </w:r>
      <w:r w:rsidR="00D77FA8">
        <w:t>the connection between t</w:t>
      </w:r>
      <w:r w:rsidR="00151C4B">
        <w:t xml:space="preserve">he </w:t>
      </w:r>
      <w:r w:rsidR="002658CF">
        <w:t xml:space="preserve">morning sickness drug thalidomide </w:t>
      </w:r>
      <w:r w:rsidR="00D77FA8">
        <w:t xml:space="preserve">and </w:t>
      </w:r>
      <w:r w:rsidR="00151C4B">
        <w:t xml:space="preserve">thousands </w:t>
      </w:r>
      <w:r w:rsidR="00D95093">
        <w:t xml:space="preserve">of </w:t>
      </w:r>
      <w:r w:rsidR="00783023">
        <w:t>birth defects</w:t>
      </w:r>
      <w:r w:rsidR="00D77FA8">
        <w:t xml:space="preserve"> much earlier. </w:t>
      </w:r>
    </w:p>
    <w:p w:rsidR="002658CF" w:rsidRDefault="002658CF" w:rsidP="005F30AF">
      <w:pPr>
        <w:pStyle w:val="Quote"/>
        <w:spacing w:before="100"/>
      </w:pPr>
      <w:r>
        <w:t>The whole reason we set up birth defects registries across Australia was to pick up the next thalidomide</w:t>
      </w:r>
      <w:r w:rsidR="00151C4B">
        <w:t xml:space="preserve">.. </w:t>
      </w:r>
      <w:r>
        <w:t>But until now we haven</w:t>
      </w:r>
      <w:r w:rsidR="00E87985">
        <w:t>’</w:t>
      </w:r>
      <w:r>
        <w:t>t been able to link those registries to the Pharmaceutical Benefits Scheme. It</w:t>
      </w:r>
      <w:r w:rsidR="00151C4B">
        <w:t>’</w:t>
      </w:r>
      <w:r>
        <w:t>s insane.</w:t>
      </w:r>
      <w:r w:rsidR="00D77FA8">
        <w:t xml:space="preserve"> (</w:t>
      </w:r>
      <w:r w:rsidR="00A70B42">
        <w:t>Stanley 201</w:t>
      </w:r>
      <w:r w:rsidR="00751085">
        <w:t>2</w:t>
      </w:r>
      <w:r w:rsidR="00D77FA8">
        <w:t>)</w:t>
      </w:r>
    </w:p>
    <w:p w:rsidR="00265577" w:rsidRDefault="00265577" w:rsidP="00FE7BB8">
      <w:pPr>
        <w:pStyle w:val="BodyText"/>
        <w:spacing w:before="200"/>
      </w:pPr>
      <w:r w:rsidRPr="00265577">
        <w:t>Stanley</w:t>
      </w:r>
      <w:r>
        <w:t>’</w:t>
      </w:r>
      <w:r w:rsidRPr="00265577">
        <w:t xml:space="preserve">s </w:t>
      </w:r>
      <w:r w:rsidR="00F16E87">
        <w:t xml:space="preserve">research </w:t>
      </w:r>
      <w:r w:rsidR="00C265EB">
        <w:t xml:space="preserve">also </w:t>
      </w:r>
      <w:r w:rsidR="00F16E87">
        <w:t xml:space="preserve">established </w:t>
      </w:r>
      <w:r w:rsidRPr="00265577">
        <w:t>that a maternal diet rich in folic acid can prevent spina bifida in babies</w:t>
      </w:r>
      <w:r>
        <w:t xml:space="preserve">. </w:t>
      </w:r>
      <w:r w:rsidR="001011BD">
        <w:t>I</w:t>
      </w:r>
      <w:r w:rsidRPr="00265577">
        <w:t>ntegrat</w:t>
      </w:r>
      <w:r w:rsidR="001011BD">
        <w:t xml:space="preserve">ing </w:t>
      </w:r>
      <w:r>
        <w:t xml:space="preserve">administrative data was </w:t>
      </w:r>
      <w:r w:rsidR="00A81962">
        <w:t xml:space="preserve">pivotal </w:t>
      </w:r>
      <w:r w:rsidR="00F16E87">
        <w:t xml:space="preserve">for </w:t>
      </w:r>
      <w:r w:rsidR="00A81962">
        <w:t xml:space="preserve">this </w:t>
      </w:r>
      <w:r w:rsidR="00F16E87">
        <w:t>work</w:t>
      </w:r>
      <w:r w:rsidR="00D83D7B">
        <w:t xml:space="preserve">. </w:t>
      </w:r>
      <w:r w:rsidRPr="00265577">
        <w:t xml:space="preserve"> </w:t>
      </w:r>
    </w:p>
    <w:p w:rsidR="001E083F" w:rsidRDefault="001E083F" w:rsidP="00FE7BB8">
      <w:pPr>
        <w:pStyle w:val="BodyText"/>
        <w:spacing w:before="200"/>
      </w:pPr>
      <w:r w:rsidRPr="0095190A">
        <w:t xml:space="preserve">One study </w:t>
      </w:r>
      <w:r>
        <w:t xml:space="preserve">that </w:t>
      </w:r>
      <w:r w:rsidRPr="0095190A">
        <w:t>linked MBS</w:t>
      </w:r>
      <w:r>
        <w:t xml:space="preserve">, </w:t>
      </w:r>
      <w:r w:rsidRPr="0095190A">
        <w:t xml:space="preserve">PBS </w:t>
      </w:r>
      <w:r>
        <w:t xml:space="preserve">and </w:t>
      </w:r>
      <w:r w:rsidRPr="0095190A">
        <w:t xml:space="preserve">Western Australian </w:t>
      </w:r>
      <w:r>
        <w:t>h</w:t>
      </w:r>
      <w:r w:rsidRPr="0095190A">
        <w:t xml:space="preserve">ospital </w:t>
      </w:r>
      <w:r>
        <w:t>m</w:t>
      </w:r>
      <w:r w:rsidRPr="0095190A">
        <w:t xml:space="preserve">orbidity </w:t>
      </w:r>
      <w:r>
        <w:t>d</w:t>
      </w:r>
      <w:r w:rsidRPr="0095190A">
        <w:t xml:space="preserve">ata </w:t>
      </w:r>
      <w:r w:rsidR="0075483E">
        <w:t>examine</w:t>
      </w:r>
      <w:r w:rsidR="002E6FD3">
        <w:t>d</w:t>
      </w:r>
      <w:r w:rsidR="0075483E" w:rsidRPr="0095190A">
        <w:t xml:space="preserve"> </w:t>
      </w:r>
      <w:r>
        <w:t xml:space="preserve">the scope to </w:t>
      </w:r>
      <w:r w:rsidR="00813326">
        <w:t>achi</w:t>
      </w:r>
      <w:r w:rsidR="00C50577">
        <w:t>e</w:t>
      </w:r>
      <w:r w:rsidR="00813326">
        <w:t xml:space="preserve">ve </w:t>
      </w:r>
      <w:r w:rsidRPr="0095190A">
        <w:t>better integrat</w:t>
      </w:r>
      <w:r>
        <w:t>ed services (DHAC 2000)</w:t>
      </w:r>
      <w:r w:rsidRPr="0095190A">
        <w:t xml:space="preserve">. </w:t>
      </w:r>
      <w:r>
        <w:t xml:space="preserve">The </w:t>
      </w:r>
      <w:r w:rsidR="00301A9B">
        <w:t xml:space="preserve">study recommended </w:t>
      </w:r>
      <w:r w:rsidR="00813326">
        <w:t xml:space="preserve">using </w:t>
      </w:r>
      <w:r>
        <w:t xml:space="preserve">unique </w:t>
      </w:r>
      <w:r w:rsidRPr="0095190A">
        <w:t xml:space="preserve">patient records </w:t>
      </w:r>
      <w:r>
        <w:t xml:space="preserve">to </w:t>
      </w:r>
      <w:r w:rsidRPr="0095190A">
        <w:t xml:space="preserve">automate data collection for health care monitoring. There appear to </w:t>
      </w:r>
      <w:r>
        <w:t xml:space="preserve">have been </w:t>
      </w:r>
      <w:r w:rsidRPr="0095190A">
        <w:t xml:space="preserve">few subsequent studies </w:t>
      </w:r>
      <w:r>
        <w:t xml:space="preserve">that </w:t>
      </w:r>
      <w:r w:rsidRPr="0095190A">
        <w:t>have been able to access</w:t>
      </w:r>
      <w:r w:rsidR="001011BD">
        <w:t xml:space="preserve"> and link </w:t>
      </w:r>
      <w:r w:rsidRPr="0095190A">
        <w:t xml:space="preserve">MBS and PBS data </w:t>
      </w:r>
      <w:r>
        <w:t xml:space="preserve">for </w:t>
      </w:r>
      <w:r w:rsidRPr="0095190A">
        <w:t>research.</w:t>
      </w:r>
    </w:p>
    <w:p w:rsidR="005D2B69" w:rsidRDefault="001011BD" w:rsidP="00FE7BB8">
      <w:pPr>
        <w:pStyle w:val="BodyText"/>
        <w:spacing w:before="200"/>
      </w:pPr>
      <w:r>
        <w:t>G</w:t>
      </w:r>
      <w:r w:rsidR="00C472C7">
        <w:t xml:space="preserve">reater linking of health </w:t>
      </w:r>
      <w:r>
        <w:t xml:space="preserve">and </w:t>
      </w:r>
      <w:r w:rsidR="00C472C7">
        <w:t xml:space="preserve">non-health data sets could save lives and deliver more efficient and better targeted services. </w:t>
      </w:r>
      <w:r w:rsidR="00CD29DB">
        <w:t>In 2009</w:t>
      </w:r>
      <w:r w:rsidR="000D7E62">
        <w:t>,</w:t>
      </w:r>
      <w:r w:rsidR="00CD29DB">
        <w:t xml:space="preserve"> t</w:t>
      </w:r>
      <w:r w:rsidR="00D72BE9">
        <w:t>he</w:t>
      </w:r>
      <w:r w:rsidR="005D2B69">
        <w:t xml:space="preserve"> National Health and Hospitals Reform Commission recommended that:</w:t>
      </w:r>
    </w:p>
    <w:p w:rsidR="005D2B69" w:rsidRDefault="005D2B69" w:rsidP="005F30AF">
      <w:pPr>
        <w:pStyle w:val="Quote"/>
        <w:spacing w:before="100"/>
      </w:pPr>
      <w:r>
        <w:t>To better understand people’s use of health services and health outcomes across different caresettings, we recommend that public and private hospital episode data should be collected nationally and linked to MBS and PBS data using a patient’s Medicare card number. (</w:t>
      </w:r>
      <w:r w:rsidR="0044103F">
        <w:t xml:space="preserve">NHHRC </w:t>
      </w:r>
      <w:r>
        <w:t>2009, p. 21)</w:t>
      </w:r>
    </w:p>
    <w:p w:rsidR="00452AA1" w:rsidRDefault="005D2B69" w:rsidP="00FE7BB8">
      <w:pPr>
        <w:pStyle w:val="BodyText"/>
        <w:spacing w:before="200"/>
      </w:pPr>
      <w:r>
        <w:t xml:space="preserve">However, </w:t>
      </w:r>
      <w:r w:rsidR="00347132">
        <w:t xml:space="preserve">current </w:t>
      </w:r>
      <w:r w:rsidR="00813326">
        <w:t>pr</w:t>
      </w:r>
      <w:r w:rsidR="00F403FD" w:rsidRPr="00F403FD">
        <w:t xml:space="preserve">ivacy </w:t>
      </w:r>
      <w:r w:rsidR="00C50577">
        <w:t>g</w:t>
      </w:r>
      <w:r w:rsidR="00F403FD" w:rsidRPr="00F403FD">
        <w:t xml:space="preserve">uidelines </w:t>
      </w:r>
      <w:r w:rsidR="00F403FD">
        <w:t xml:space="preserve">mean that </w:t>
      </w:r>
      <w:r w:rsidR="00F403FD" w:rsidRPr="00F403FD">
        <w:t>MBS and PBS information may be disclosed for medical research, but not statistical research</w:t>
      </w:r>
      <w:r w:rsidR="00A81962">
        <w:t>.</w:t>
      </w:r>
      <w:r w:rsidR="008D78B3">
        <w:rPr>
          <w:rStyle w:val="FootnoteReference"/>
        </w:rPr>
        <w:footnoteReference w:id="2"/>
      </w:r>
      <w:r>
        <w:t xml:space="preserve"> </w:t>
      </w:r>
      <w:r w:rsidR="00813326">
        <w:t>M</w:t>
      </w:r>
      <w:r w:rsidR="00C265EB" w:rsidRPr="00452AA1">
        <w:t xml:space="preserve">edical research </w:t>
      </w:r>
      <w:r w:rsidR="00C50577">
        <w:t xml:space="preserve">can </w:t>
      </w:r>
      <w:r w:rsidR="00C265EB" w:rsidRPr="00452AA1">
        <w:t xml:space="preserve">result in </w:t>
      </w:r>
      <w:r w:rsidR="00C265EB">
        <w:t>more effective treatments</w:t>
      </w:r>
      <w:r w:rsidR="00813326">
        <w:t>, whereas</w:t>
      </w:r>
      <w:r w:rsidR="00C265EB">
        <w:t xml:space="preserve"> ‘</w:t>
      </w:r>
      <w:r w:rsidR="00813326">
        <w:t>s</w:t>
      </w:r>
      <w:r w:rsidR="00C265EB" w:rsidRPr="00452AA1">
        <w:t>tatistical</w:t>
      </w:r>
      <w:r w:rsidR="00C265EB">
        <w:t>’</w:t>
      </w:r>
      <w:r w:rsidR="00C265EB" w:rsidRPr="00452AA1">
        <w:t xml:space="preserve"> research may result in programs that reduce the likelihood of condition</w:t>
      </w:r>
      <w:r w:rsidR="00C265EB">
        <w:t>s</w:t>
      </w:r>
      <w:r w:rsidR="00C265EB" w:rsidRPr="00452AA1">
        <w:t xml:space="preserve"> developing</w:t>
      </w:r>
      <w:r w:rsidR="00C265EB">
        <w:t>, and more efficient targeting of resources where treatments are necessary</w:t>
      </w:r>
      <w:r w:rsidR="00C265EB" w:rsidRPr="00452AA1">
        <w:t>.</w:t>
      </w:r>
      <w:r w:rsidR="00C265EB">
        <w:t xml:space="preserve"> </w:t>
      </w:r>
      <w:r w:rsidR="00D2268E">
        <w:t>P</w:t>
      </w:r>
      <w:r w:rsidR="00F403FD">
        <w:t>rotect</w:t>
      </w:r>
      <w:r w:rsidR="00CB30CA">
        <w:t>ing</w:t>
      </w:r>
      <w:r w:rsidR="00F403FD">
        <w:t xml:space="preserve"> confidentiality </w:t>
      </w:r>
      <w:r w:rsidR="00CB30CA">
        <w:t>is</w:t>
      </w:r>
      <w:r w:rsidR="00CD29DB">
        <w:t xml:space="preserve"> warranted </w:t>
      </w:r>
      <w:r w:rsidR="00381449">
        <w:t xml:space="preserve">but </w:t>
      </w:r>
      <w:r w:rsidR="00D2268E">
        <w:t xml:space="preserve">the current approach is </w:t>
      </w:r>
      <w:r w:rsidR="00C265EB">
        <w:t>too</w:t>
      </w:r>
      <w:r w:rsidR="00D2268E">
        <w:t xml:space="preserve"> cautious</w:t>
      </w:r>
      <w:r w:rsidR="001011BD">
        <w:t xml:space="preserve"> </w:t>
      </w:r>
      <w:r w:rsidR="00207C3E">
        <w:t xml:space="preserve">and complex </w:t>
      </w:r>
      <w:r w:rsidR="001011BD">
        <w:t>with t</w:t>
      </w:r>
      <w:r w:rsidR="00C8021F">
        <w:t>he</w:t>
      </w:r>
      <w:r w:rsidR="00452AA1">
        <w:t xml:space="preserve"> restrictions </w:t>
      </w:r>
      <w:r w:rsidR="00261C54">
        <w:t>creat</w:t>
      </w:r>
      <w:r w:rsidR="001011BD">
        <w:t>ing</w:t>
      </w:r>
      <w:r w:rsidR="00261C54">
        <w:t xml:space="preserve"> un</w:t>
      </w:r>
      <w:r w:rsidR="00452AA1">
        <w:t xml:space="preserve">necessary </w:t>
      </w:r>
      <w:r w:rsidR="00261C54">
        <w:t xml:space="preserve">downsides </w:t>
      </w:r>
      <w:r w:rsidR="00207C3E">
        <w:t xml:space="preserve">and delays </w:t>
      </w:r>
      <w:r w:rsidR="00CB30CA">
        <w:t xml:space="preserve">for </w:t>
      </w:r>
      <w:r w:rsidR="00C50577">
        <w:t xml:space="preserve">evidence-based </w:t>
      </w:r>
      <w:r w:rsidR="00261C54">
        <w:t>policy formulation</w:t>
      </w:r>
      <w:r w:rsidR="00CD29DB">
        <w:t xml:space="preserve">. </w:t>
      </w:r>
    </w:p>
    <w:p w:rsidR="005D2B69" w:rsidRPr="00621FC9" w:rsidRDefault="005D2B69" w:rsidP="008643EA">
      <w:pPr>
        <w:pStyle w:val="Heading3"/>
      </w:pPr>
      <w:r w:rsidRPr="00621FC9">
        <w:lastRenderedPageBreak/>
        <w:t>W</w:t>
      </w:r>
      <w:r w:rsidR="00621FC9">
        <w:t xml:space="preserve">e could </w:t>
      </w:r>
      <w:r w:rsidR="006D46B6">
        <w:t xml:space="preserve">analyse </w:t>
      </w:r>
      <w:r w:rsidR="00633DF0">
        <w:t>the interactions between welfare and work</w:t>
      </w:r>
    </w:p>
    <w:p w:rsidR="00041F99" w:rsidRDefault="00F403FD" w:rsidP="005F30AF">
      <w:pPr>
        <w:pStyle w:val="BodyText"/>
        <w:spacing w:before="200"/>
      </w:pPr>
      <w:r>
        <w:t xml:space="preserve">The </w:t>
      </w:r>
      <w:r w:rsidR="00377684">
        <w:t xml:space="preserve">pathways </w:t>
      </w:r>
      <w:r>
        <w:t xml:space="preserve">between welfare and work are complex. </w:t>
      </w:r>
      <w:r w:rsidR="00C50577">
        <w:t xml:space="preserve">There are </w:t>
      </w:r>
      <w:r>
        <w:t>poverty traps arising from the effective marginal tax rates confronting those deciding to transition from welfare to work</w:t>
      </w:r>
      <w:r w:rsidR="00377684">
        <w:t xml:space="preserve">. There are also interactions with </w:t>
      </w:r>
      <w:r w:rsidR="00041F99">
        <w:t xml:space="preserve">minimum wages, </w:t>
      </w:r>
      <w:r>
        <w:t xml:space="preserve">educational attainment, skills, location and labour mobility. </w:t>
      </w:r>
      <w:r w:rsidR="00E710E7">
        <w:t>T</w:t>
      </w:r>
      <w:r w:rsidR="00D72BE9">
        <w:t xml:space="preserve">here </w:t>
      </w:r>
      <w:r w:rsidR="00E710E7">
        <w:t>i</w:t>
      </w:r>
      <w:r w:rsidR="00D72BE9">
        <w:t xml:space="preserve">s </w:t>
      </w:r>
      <w:r w:rsidR="00041F99">
        <w:t xml:space="preserve">also </w:t>
      </w:r>
      <w:r w:rsidR="00D72BE9">
        <w:t xml:space="preserve">debate about </w:t>
      </w:r>
      <w:r w:rsidR="00041F99">
        <w:t xml:space="preserve">how </w:t>
      </w:r>
      <w:r w:rsidR="009B59AE">
        <w:t xml:space="preserve">the </w:t>
      </w:r>
      <w:r w:rsidR="00D72BE9">
        <w:t xml:space="preserve">level of income support </w:t>
      </w:r>
      <w:r w:rsidR="002B41F2">
        <w:t>a</w:t>
      </w:r>
      <w:r w:rsidR="004970A8">
        <w:t>ffect</w:t>
      </w:r>
      <w:r w:rsidR="002B41F2">
        <w:t>s</w:t>
      </w:r>
      <w:r w:rsidR="004970A8">
        <w:t xml:space="preserve"> </w:t>
      </w:r>
      <w:r w:rsidR="00AB3655">
        <w:t>incentives to seek work</w:t>
      </w:r>
      <w:r w:rsidR="00D72BE9">
        <w:t xml:space="preserve">. </w:t>
      </w:r>
    </w:p>
    <w:p w:rsidR="00106DD5" w:rsidRDefault="00041F99" w:rsidP="005F30AF">
      <w:pPr>
        <w:pStyle w:val="BodyText"/>
        <w:spacing w:before="200"/>
      </w:pPr>
      <w:r>
        <w:t xml:space="preserve">On the latter </w:t>
      </w:r>
      <w:r w:rsidR="00CB30CA">
        <w:t>question</w:t>
      </w:r>
      <w:r>
        <w:t xml:space="preserve">, </w:t>
      </w:r>
      <w:r w:rsidR="00D77FA8">
        <w:t xml:space="preserve">Professor Gregory </w:t>
      </w:r>
      <w:r w:rsidR="00D72BE9">
        <w:t xml:space="preserve">sought </w:t>
      </w:r>
      <w:r w:rsidR="00D77FA8">
        <w:t xml:space="preserve">to evaluate </w:t>
      </w:r>
      <w:r w:rsidR="00CB30CA">
        <w:t>Au</w:t>
      </w:r>
      <w:r w:rsidR="00ED1A92">
        <w:t>s</w:t>
      </w:r>
      <w:r w:rsidR="00CB30CA">
        <w:t>t</w:t>
      </w:r>
      <w:r w:rsidR="00ED1A92">
        <w:t>ral</w:t>
      </w:r>
      <w:r w:rsidR="00CB30CA">
        <w:t xml:space="preserve">ia’s </w:t>
      </w:r>
      <w:r w:rsidR="00D77FA8">
        <w:t xml:space="preserve">‘make work pay’ approach </w:t>
      </w:r>
      <w:r>
        <w:t xml:space="preserve">by </w:t>
      </w:r>
      <w:r w:rsidR="00D72BE9">
        <w:t>a</w:t>
      </w:r>
      <w:r>
        <w:t xml:space="preserve">sking whether </w:t>
      </w:r>
      <w:r w:rsidR="0052347C">
        <w:t xml:space="preserve">increasing the relative poverty of </w:t>
      </w:r>
      <w:r w:rsidR="0052347C" w:rsidRPr="00261C54">
        <w:t>income support</w:t>
      </w:r>
      <w:r w:rsidR="0052347C">
        <w:t xml:space="preserve"> recipients</w:t>
      </w:r>
      <w:r>
        <w:t xml:space="preserve"> </w:t>
      </w:r>
      <w:r w:rsidR="000E185B">
        <w:t>lead</w:t>
      </w:r>
      <w:r w:rsidR="00CB30CA">
        <w:t>s</w:t>
      </w:r>
      <w:r w:rsidR="000E185B">
        <w:t xml:space="preserve"> </w:t>
      </w:r>
      <w:r w:rsidR="00C8021F">
        <w:t xml:space="preserve">them </w:t>
      </w:r>
      <w:r w:rsidR="000E185B">
        <w:t xml:space="preserve">to increase their employment sufficiently to </w:t>
      </w:r>
      <w:r>
        <w:t>o</w:t>
      </w:r>
      <w:r w:rsidR="000E185B">
        <w:t>ffset the poverty</w:t>
      </w:r>
      <w:r w:rsidR="00CB30CA">
        <w:t>-</w:t>
      </w:r>
      <w:r w:rsidR="000E185B">
        <w:t>creating element of the policy</w:t>
      </w:r>
      <w:r w:rsidR="00B3547C">
        <w:t>.</w:t>
      </w:r>
      <w:r w:rsidR="000870A2" w:rsidRPr="000870A2">
        <w:t xml:space="preserve"> </w:t>
      </w:r>
      <w:r>
        <w:t>Gregory concluded that i</w:t>
      </w:r>
      <w:r w:rsidR="00D77FA8">
        <w:t xml:space="preserve">ndependent research has not </w:t>
      </w:r>
      <w:r w:rsidR="00AB3655">
        <w:t xml:space="preserve">been able to </w:t>
      </w:r>
      <w:r w:rsidR="00D77FA8">
        <w:t xml:space="preserve">address </w:t>
      </w:r>
      <w:r>
        <w:t xml:space="preserve">such </w:t>
      </w:r>
      <w:r w:rsidR="00D77FA8">
        <w:t>questions</w:t>
      </w:r>
      <w:r>
        <w:t xml:space="preserve">, </w:t>
      </w:r>
      <w:r w:rsidR="00106DD5">
        <w:t>cit</w:t>
      </w:r>
      <w:r>
        <w:t>ing</w:t>
      </w:r>
      <w:r w:rsidR="00106DD5">
        <w:t xml:space="preserve"> the inability to access </w:t>
      </w:r>
      <w:r w:rsidR="000E185B">
        <w:t xml:space="preserve">administrative data </w:t>
      </w:r>
      <w:r w:rsidR="00631D1C">
        <w:t>and</w:t>
      </w:r>
      <w:r w:rsidR="00C265EB">
        <w:t xml:space="preserve"> </w:t>
      </w:r>
      <w:r w:rsidR="00CB30CA">
        <w:t>observ</w:t>
      </w:r>
      <w:r w:rsidR="00631D1C">
        <w:t>ing</w:t>
      </w:r>
      <w:r w:rsidR="00CB30CA">
        <w:t xml:space="preserve"> </w:t>
      </w:r>
      <w:r>
        <w:t>that</w:t>
      </w:r>
      <w:r w:rsidR="00106DD5">
        <w:t>:</w:t>
      </w:r>
    </w:p>
    <w:p w:rsidR="000E185B" w:rsidRDefault="00106DD5" w:rsidP="005F30AF">
      <w:pPr>
        <w:pStyle w:val="Quote"/>
        <w:spacing w:before="100"/>
      </w:pPr>
      <w:r>
        <w:t xml:space="preserve">… </w:t>
      </w:r>
      <w:r w:rsidR="000E185B">
        <w:t>good researchers have directed their attention elsewhere, perhaps to other countries</w:t>
      </w:r>
      <w:r w:rsidR="00DA5F85">
        <w:t>’</w:t>
      </w:r>
      <w:r w:rsidR="000E185B">
        <w:t xml:space="preserve"> data and other countries</w:t>
      </w:r>
      <w:r w:rsidR="00DA5F85">
        <w:t>’</w:t>
      </w:r>
      <w:r w:rsidR="000E185B">
        <w:t xml:space="preserve"> problems. As a result, not a great deal is known about </w:t>
      </w:r>
      <w:r>
        <w:t xml:space="preserve">the </w:t>
      </w:r>
      <w:r w:rsidR="000E185B">
        <w:t xml:space="preserve">effectiveness of our </w:t>
      </w:r>
      <w:r w:rsidR="00AB3655">
        <w:t>‘</w:t>
      </w:r>
      <w:r w:rsidR="000E185B">
        <w:t>make work pay</w:t>
      </w:r>
      <w:r w:rsidR="00AB3655">
        <w:t>’</w:t>
      </w:r>
      <w:r w:rsidR="000E185B">
        <w:t xml:space="preserve"> policy.</w:t>
      </w:r>
      <w:r>
        <w:t xml:space="preserve"> (</w:t>
      </w:r>
      <w:r w:rsidR="00AB3655">
        <w:t xml:space="preserve">Gregory </w:t>
      </w:r>
      <w:r>
        <w:t>2013, p. 3)</w:t>
      </w:r>
    </w:p>
    <w:p w:rsidR="005D2B69" w:rsidRDefault="00B5588B" w:rsidP="005F30AF">
      <w:pPr>
        <w:pStyle w:val="BodyText"/>
        <w:spacing w:before="200"/>
      </w:pPr>
      <w:r w:rsidRPr="00B5588B">
        <w:t xml:space="preserve">The </w:t>
      </w:r>
      <w:r w:rsidR="009A3F10" w:rsidRPr="009A3F10">
        <w:t xml:space="preserve">OECD </w:t>
      </w:r>
      <w:r>
        <w:t xml:space="preserve">has similarly drawn attention to </w:t>
      </w:r>
      <w:r w:rsidR="009A3F10">
        <w:t xml:space="preserve">a </w:t>
      </w:r>
      <w:r w:rsidRPr="00B5588B">
        <w:t xml:space="preserve">failure to provide data </w:t>
      </w:r>
      <w:r w:rsidR="009A3F10">
        <w:t xml:space="preserve">or </w:t>
      </w:r>
      <w:r w:rsidRPr="00B5588B">
        <w:t>co</w:t>
      </w:r>
      <w:r w:rsidR="002345E8">
        <w:t>nduct</w:t>
      </w:r>
      <w:r w:rsidRPr="00B5588B">
        <w:t xml:space="preserve"> external evaluations </w:t>
      </w:r>
      <w:r w:rsidR="002B41F2" w:rsidRPr="002B41F2">
        <w:t xml:space="preserve">of Job Services Australia (formerly the </w:t>
      </w:r>
      <w:r w:rsidRPr="00B5588B">
        <w:t>Job Network</w:t>
      </w:r>
      <w:r w:rsidR="009B59AE">
        <w:t>)</w:t>
      </w:r>
      <w:r w:rsidR="009A3F10">
        <w:t xml:space="preserve">, casting </w:t>
      </w:r>
      <w:r w:rsidRPr="00B5588B">
        <w:t xml:space="preserve">Australia </w:t>
      </w:r>
      <w:r w:rsidR="009A3F10">
        <w:t>‘a</w:t>
      </w:r>
      <w:r w:rsidRPr="00B5588B">
        <w:t>s</w:t>
      </w:r>
      <w:r w:rsidR="009A3F10">
        <w:t xml:space="preserve"> </w:t>
      </w:r>
      <w:r w:rsidRPr="00B5588B">
        <w:t>secretive, relative to other countries</w:t>
      </w:r>
      <w:r w:rsidR="009A3F10">
        <w:t xml:space="preserve">’ (OECD </w:t>
      </w:r>
      <w:r w:rsidR="009A3F10" w:rsidRPr="00B5588B">
        <w:t>2012</w:t>
      </w:r>
      <w:r w:rsidR="009A3F10">
        <w:t xml:space="preserve">, p. 225). </w:t>
      </w:r>
    </w:p>
    <w:p w:rsidR="004A3B5D" w:rsidRDefault="000859FF" w:rsidP="005F30AF">
      <w:pPr>
        <w:pStyle w:val="BodyText"/>
        <w:spacing w:before="200"/>
      </w:pPr>
      <w:r w:rsidRPr="008F4F8B">
        <w:t>Some</w:t>
      </w:r>
      <w:r>
        <w:t>times</w:t>
      </w:r>
      <w:r w:rsidRPr="008F4F8B">
        <w:t xml:space="preserve"> </w:t>
      </w:r>
      <w:r>
        <w:t>g</w:t>
      </w:r>
      <w:r w:rsidRPr="008F4F8B">
        <w:t xml:space="preserve">overnment departments </w:t>
      </w:r>
      <w:r>
        <w:t>draw on</w:t>
      </w:r>
      <w:r w:rsidRPr="008F4F8B">
        <w:t xml:space="preserve"> administrative data </w:t>
      </w:r>
      <w:r>
        <w:t xml:space="preserve">but keep the </w:t>
      </w:r>
      <w:r w:rsidRPr="008F4F8B">
        <w:t xml:space="preserve"> evaluations in-house (McLachlan et al., 2013).</w:t>
      </w:r>
      <w:r>
        <w:t xml:space="preserve"> Sometimes they will use outside researchers. T</w:t>
      </w:r>
      <w:r w:rsidR="004A3B5D">
        <w:t>h</w:t>
      </w:r>
      <w:r>
        <w:t xml:space="preserve">e </w:t>
      </w:r>
      <w:r w:rsidR="004A3B5D">
        <w:t xml:space="preserve">Department of Education, Employment and Workplace Relations has made unit record data available to the Melbourne Institute of Applied Economic and Social Research under a research agreement. This enabled analysis of the behavioural responses of income support recipients to a tightening in eligibility requirements in 2007 (Fok and McVicar 2011) and of their participation in training and education (Cai, Kuehnle and Tseng 2010). </w:t>
      </w:r>
      <w:r w:rsidR="00152DDD">
        <w:t>Arrangements</w:t>
      </w:r>
      <w:r w:rsidR="004A3B5D">
        <w:t xml:space="preserve"> such as this</w:t>
      </w:r>
      <w:r w:rsidR="00030E26">
        <w:t xml:space="preserve">, while positive, are not broad enough and </w:t>
      </w:r>
      <w:r w:rsidR="004A3B5D">
        <w:t>tend to be driven by the needs of government agencies, rather than releasing data per se</w:t>
      </w:r>
      <w:r w:rsidR="00912F12">
        <w:t xml:space="preserve"> </w:t>
      </w:r>
      <w:r w:rsidR="00912F12" w:rsidRPr="00912F12">
        <w:t>for wider evaluation and analysis</w:t>
      </w:r>
      <w:r w:rsidR="004A3B5D">
        <w:t>.</w:t>
      </w:r>
      <w:r w:rsidR="00C265EB">
        <w:t xml:space="preserve"> </w:t>
      </w:r>
      <w:r w:rsidR="004A3B5D">
        <w:t xml:space="preserve"> </w:t>
      </w:r>
    </w:p>
    <w:p w:rsidR="002D5D2E" w:rsidRDefault="00D67D5C" w:rsidP="009B10BF">
      <w:pPr>
        <w:pStyle w:val="Heading3"/>
      </w:pPr>
      <w:r>
        <w:t xml:space="preserve">And we could do much more </w:t>
      </w:r>
    </w:p>
    <w:p w:rsidR="0019735E" w:rsidRDefault="006D3580" w:rsidP="002D5D2E">
      <w:pPr>
        <w:pStyle w:val="BodyText"/>
      </w:pPr>
      <w:r>
        <w:t xml:space="preserve">At the state level, Western Australia </w:t>
      </w:r>
      <w:r w:rsidR="00B3547C">
        <w:t xml:space="preserve">(WA) </w:t>
      </w:r>
      <w:r>
        <w:t xml:space="preserve">has been an early adopter </w:t>
      </w:r>
      <w:r w:rsidR="00BE30E1">
        <w:t>of making its sta</w:t>
      </w:r>
      <w:r w:rsidR="00F16E87">
        <w:t>t</w:t>
      </w:r>
      <w:r w:rsidR="00BE30E1">
        <w:t xml:space="preserve">e-based administrative data available. WA </w:t>
      </w:r>
      <w:r>
        <w:t xml:space="preserve">now has significant capability with data linkage </w:t>
      </w:r>
      <w:r w:rsidR="00BE30E1">
        <w:t xml:space="preserve">and </w:t>
      </w:r>
      <w:r>
        <w:t xml:space="preserve">periodically </w:t>
      </w:r>
      <w:r w:rsidR="00BE30E1">
        <w:t xml:space="preserve">has been </w:t>
      </w:r>
      <w:r>
        <w:t xml:space="preserve">able to access </w:t>
      </w:r>
      <w:r w:rsidR="00B3547C">
        <w:t xml:space="preserve">and link to </w:t>
      </w:r>
      <w:r>
        <w:t>Commonwealth data</w:t>
      </w:r>
      <w:r w:rsidR="00736551">
        <w:t xml:space="preserve"> —</w:t>
      </w:r>
      <w:r w:rsidR="00B3547C">
        <w:t xml:space="preserve"> typically for medical research</w:t>
      </w:r>
      <w:r w:rsidR="00736551">
        <w:t xml:space="preserve"> — </w:t>
      </w:r>
      <w:r w:rsidR="00B3547C">
        <w:t>on a one-off basis after a protracted process</w:t>
      </w:r>
      <w:r>
        <w:t xml:space="preserve">. </w:t>
      </w:r>
      <w:r w:rsidR="00736551">
        <w:t>T</w:t>
      </w:r>
      <w:r w:rsidR="00D67D5C">
        <w:t xml:space="preserve">he statistical power </w:t>
      </w:r>
      <w:r w:rsidR="00736551">
        <w:t xml:space="preserve">of </w:t>
      </w:r>
      <w:r w:rsidR="00D67D5C">
        <w:t>data linkage exercises and the consequent information made available for policy purposes are substantial</w:t>
      </w:r>
      <w:r w:rsidR="00736551">
        <w:t xml:space="preserve"> (box 1.1)</w:t>
      </w:r>
      <w:r w:rsidR="00D67D5C">
        <w:t xml:space="preserve">. </w:t>
      </w:r>
    </w:p>
    <w:p w:rsidR="0019735E" w:rsidRPr="004F7CCD" w:rsidRDefault="0019735E" w:rsidP="0019735E">
      <w:pPr>
        <w:keepNext/>
        <w:spacing w:before="360" w:line="80" w:lineRule="exact"/>
        <w:rPr>
          <w:sz w:val="26"/>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9735E" w:rsidRPr="004F7CCD" w:rsidTr="002D5D2E">
        <w:tc>
          <w:tcPr>
            <w:tcW w:w="8771" w:type="dxa"/>
            <w:tcBorders>
              <w:top w:val="single" w:sz="6" w:space="0" w:color="auto"/>
              <w:bottom w:val="nil"/>
            </w:tcBorders>
          </w:tcPr>
          <w:p w:rsidR="0019735E" w:rsidRPr="001738E6" w:rsidRDefault="0019735E" w:rsidP="00BE30E1">
            <w:pPr>
              <w:pStyle w:val="BoxHeading1"/>
              <w:rPr>
                <w:sz w:val="24"/>
                <w:szCs w:val="24"/>
              </w:rPr>
            </w:pPr>
            <w:r w:rsidRPr="001738E6">
              <w:rPr>
                <w:b w:val="0"/>
                <w:sz w:val="24"/>
                <w:szCs w:val="24"/>
              </w:rPr>
              <w:t xml:space="preserve">Box </w:t>
            </w:r>
            <w:r w:rsidR="00FE7BB8">
              <w:rPr>
                <w:b w:val="0"/>
                <w:sz w:val="24"/>
                <w:szCs w:val="24"/>
              </w:rPr>
              <w:t>1.</w:t>
            </w:r>
            <w:r w:rsidR="00FE7BB8">
              <w:rPr>
                <w:b w:val="0"/>
                <w:noProof/>
                <w:sz w:val="24"/>
                <w:szCs w:val="24"/>
              </w:rPr>
              <w:t>1</w:t>
            </w:r>
            <w:r w:rsidRPr="001738E6">
              <w:rPr>
                <w:sz w:val="24"/>
                <w:szCs w:val="24"/>
              </w:rPr>
              <w:tab/>
              <w:t>The power of data linkage</w:t>
            </w:r>
          </w:p>
        </w:tc>
      </w:tr>
      <w:tr w:rsidR="0019735E" w:rsidRPr="004F7CCD" w:rsidTr="002D5D2E">
        <w:trPr>
          <w:cantSplit/>
        </w:trPr>
        <w:tc>
          <w:tcPr>
            <w:tcW w:w="8771" w:type="dxa"/>
            <w:tcBorders>
              <w:top w:val="nil"/>
              <w:left w:val="single" w:sz="6" w:space="0" w:color="auto"/>
              <w:bottom w:val="nil"/>
              <w:right w:val="single" w:sz="6" w:space="0" w:color="auto"/>
            </w:tcBorders>
          </w:tcPr>
          <w:p w:rsidR="0019735E" w:rsidRPr="004F7CCD" w:rsidRDefault="0019735E" w:rsidP="00145755">
            <w:pPr>
              <w:pStyle w:val="BoxHeading2"/>
              <w:keepNext w:val="0"/>
            </w:pPr>
            <w:r w:rsidRPr="004F7CCD">
              <w:rPr>
                <w:lang w:val="en"/>
              </w:rPr>
              <w:t>Medicines and birth defects</w:t>
            </w:r>
          </w:p>
          <w:p w:rsidR="0019735E" w:rsidRPr="004F7CCD" w:rsidRDefault="00C65442" w:rsidP="00145755">
            <w:pPr>
              <w:pStyle w:val="Box"/>
              <w:keepNext w:val="0"/>
            </w:pPr>
            <w:r>
              <w:t xml:space="preserve">WA researchers linked </w:t>
            </w:r>
            <w:r w:rsidR="0019735E" w:rsidRPr="004F7CCD">
              <w:t>PBS</w:t>
            </w:r>
            <w:r w:rsidR="00B3547C">
              <w:t xml:space="preserve"> </w:t>
            </w:r>
            <w:r w:rsidR="0019735E" w:rsidRPr="004F7CCD">
              <w:t>data w</w:t>
            </w:r>
            <w:r>
              <w:t xml:space="preserve">ith </w:t>
            </w:r>
            <w:r w:rsidR="0019735E" w:rsidRPr="004F7CCD">
              <w:t>population-based data for over 100</w:t>
            </w:r>
            <w:r w:rsidR="00377684">
              <w:t xml:space="preserve"> </w:t>
            </w:r>
            <w:r w:rsidR="0019735E" w:rsidRPr="004F7CCD">
              <w:t>000 pregnant women in WA from 2002 to 2005. Records of births to women who were dispensed medicines were linked to the Birth Defects Registry of WA. There were 47 medicines dispensed at least once during pregnancy with 23 associated with a registered birth defect to a woman dispensed the medicine. The study concluded that linked administrative data could be an important means of pharmacovigilance in pregnancy in Australia (Colvin et al., 2010).</w:t>
            </w:r>
          </w:p>
          <w:p w:rsidR="0019735E" w:rsidRPr="004F7CCD" w:rsidRDefault="0019735E" w:rsidP="00145755">
            <w:pPr>
              <w:pStyle w:val="BoxHeading2"/>
              <w:keepNext w:val="0"/>
            </w:pPr>
            <w:r w:rsidRPr="004F7CCD">
              <w:t xml:space="preserve">Cancer risk from exposure to computed tomography (CT) scans </w:t>
            </w:r>
          </w:p>
          <w:p w:rsidR="0019735E" w:rsidRPr="004F7CCD" w:rsidRDefault="0019735E" w:rsidP="00145755">
            <w:pPr>
              <w:pStyle w:val="Box"/>
              <w:keepNext w:val="0"/>
            </w:pPr>
            <w:r w:rsidRPr="004F7CCD">
              <w:t xml:space="preserve">This </w:t>
            </w:r>
            <w:r w:rsidR="00BE30E1">
              <w:t xml:space="preserve">study, </w:t>
            </w:r>
            <w:r w:rsidRPr="004F7CCD">
              <w:t xml:space="preserve">funded by the Australian </w:t>
            </w:r>
            <w:r w:rsidR="00BE30E1">
              <w:t>G</w:t>
            </w:r>
            <w:r w:rsidRPr="004F7CCD">
              <w:t>overnment via the National Health and Medical Research Council</w:t>
            </w:r>
            <w:r w:rsidR="00BE30E1">
              <w:t>, s</w:t>
            </w:r>
            <w:r w:rsidRPr="004F7CCD">
              <w:t xml:space="preserve">ought to assess the cancer risk in children and adolescents </w:t>
            </w:r>
            <w:r w:rsidR="00BE30E1">
              <w:t>after</w:t>
            </w:r>
            <w:r w:rsidR="00BE30E1" w:rsidRPr="004F7CCD">
              <w:t xml:space="preserve"> </w:t>
            </w:r>
            <w:r w:rsidRPr="004F7CCD">
              <w:t>exposure to CT scans. It covered 10.9 million people from Medicare records, aged 0</w:t>
            </w:r>
            <w:r w:rsidR="00DA5F85">
              <w:noBreakHyphen/>
            </w:r>
            <w:r w:rsidRPr="004F7CCD">
              <w:t>19 years in January 1985</w:t>
            </w:r>
            <w:r w:rsidR="00BE30E1">
              <w:t xml:space="preserve"> and a</w:t>
            </w:r>
            <w:r w:rsidRPr="004F7CCD">
              <w:t xml:space="preserve">ll Medicare-funded CT scans during 1985-2005 were identified. </w:t>
            </w:r>
            <w:r w:rsidR="00BE30E1">
              <w:t>Diagnosed c</w:t>
            </w:r>
            <w:r w:rsidRPr="004F7CCD">
              <w:t>ancers were obtained from national cancer records</w:t>
            </w:r>
            <w:r w:rsidR="00BE30E1">
              <w:t xml:space="preserve">. </w:t>
            </w:r>
            <w:r w:rsidRPr="004F7CCD">
              <w:t xml:space="preserve">60 674 cancers were recorded, including 3150 in 680 211 people exposed to a CT scan at least one year before any cancer diagnosis. Overall cancer incidence was 24 per cent greater than for unexposed people. The study concluded that future CT scans should be limited to situations where there is a definite clinical indication, with scans optimised to provide an image at the lowest possible radiation dose. (Mathews et al., 2013)  </w:t>
            </w:r>
          </w:p>
          <w:p w:rsidR="008D691F" w:rsidRDefault="008D691F" w:rsidP="00114C4E">
            <w:pPr>
              <w:pStyle w:val="BoxHeading2"/>
            </w:pPr>
            <w:r>
              <w:t>High care costs for mature aged Australians</w:t>
            </w:r>
          </w:p>
          <w:p w:rsidR="008D691F" w:rsidRDefault="008D691F" w:rsidP="008D691F">
            <w:pPr>
              <w:pStyle w:val="Box"/>
            </w:pPr>
            <w:r>
              <w:t xml:space="preserve">A study undertaken by the University of Technology in Sydney examined health care costs for mature aged Australians by isolating expenditures due to health ‘shocks’ from those that are intrinsic to individuals. 267 000 survey responses obtained from the ‘45 and Up’ study by the Sax Institute were linked to records from NSW Admitted Patient Data, NSW Emergency Department Data, the MBS and PBS. </w:t>
            </w:r>
            <w:r w:rsidR="004A3B5D" w:rsidRPr="004A3B5D">
              <w:t xml:space="preserve">The </w:t>
            </w:r>
            <w:r w:rsidR="00F12676">
              <w:t xml:space="preserve">NSW </w:t>
            </w:r>
            <w:r w:rsidR="004A3B5D" w:rsidRPr="004A3B5D">
              <w:t>data linking was performed by the Centre for Health Record Linkage (CHeReL)</w:t>
            </w:r>
            <w:r w:rsidR="00DF30BE">
              <w:t>.</w:t>
            </w:r>
            <w:r w:rsidR="004A3B5D" w:rsidRPr="004A3B5D">
              <w:t xml:space="preserve"> </w:t>
            </w:r>
            <w:r>
              <w:t>The study found:</w:t>
            </w:r>
          </w:p>
          <w:p w:rsidR="008D691F" w:rsidRDefault="008D691F" w:rsidP="00114C4E">
            <w:pPr>
              <w:pStyle w:val="BoxListBullet"/>
            </w:pPr>
            <w:r>
              <w:t xml:space="preserve">high health expenditures that are intrinsic to individuals (or high fixed effects) tend to be associated with people who are old, sick and engage in unhealthy lifestyles. </w:t>
            </w:r>
          </w:p>
          <w:p w:rsidR="008D691F" w:rsidRDefault="008D691F" w:rsidP="00114C4E">
            <w:pPr>
              <w:pStyle w:val="BoxListBullet"/>
            </w:pPr>
            <w:r>
              <w:t>little evidence of high fixed effects being related to a relationship driven by a general practitioner nor by fee setting behaviour (Ellis et al</w:t>
            </w:r>
            <w:r w:rsidR="00F901D6">
              <w:t>.,</w:t>
            </w:r>
            <w:r>
              <w:t xml:space="preserve"> 2012).</w:t>
            </w:r>
          </w:p>
          <w:p w:rsidR="00736551" w:rsidRPr="004F7CCD" w:rsidRDefault="00736551" w:rsidP="00736551">
            <w:pPr>
              <w:pStyle w:val="BoxHeading2"/>
              <w:keepNext w:val="0"/>
            </w:pPr>
            <w:r w:rsidRPr="004F7CCD">
              <w:t xml:space="preserve">Characteristics of children and families with child maltreatment </w:t>
            </w:r>
          </w:p>
          <w:p w:rsidR="00736551" w:rsidRPr="004F7CCD" w:rsidRDefault="00736551" w:rsidP="00DA5F85">
            <w:pPr>
              <w:pStyle w:val="Box"/>
              <w:keepNext w:val="0"/>
            </w:pPr>
            <w:r>
              <w:t xml:space="preserve">WA researchers </w:t>
            </w:r>
            <w:r w:rsidRPr="004F7CCD">
              <w:t>investigate</w:t>
            </w:r>
            <w:r>
              <w:t>d</w:t>
            </w:r>
            <w:r w:rsidRPr="004F7CCD">
              <w:t xml:space="preserve"> specific child and parental factors associated with increased vulnerability to substantiated child maltreatment</w:t>
            </w:r>
            <w:r>
              <w:t xml:space="preserve">. </w:t>
            </w:r>
            <w:r w:rsidR="00152DDD">
              <w:t>The</w:t>
            </w:r>
            <w:r w:rsidRPr="004F7CCD">
              <w:t xml:space="preserve"> study of all children born in WA during 1990</w:t>
            </w:r>
            <w:r w:rsidR="00DA5F85">
              <w:t>–</w:t>
            </w:r>
            <w:r w:rsidRPr="004F7CCD">
              <w:t xml:space="preserve">2005 used de-identified record linked data for child protection, disability services and health. The strongest factors found to increase the risk of child maltreatment included: children with an intellectual disability; parental </w:t>
            </w:r>
            <w:r w:rsidR="00152DDD" w:rsidRPr="004F7CCD">
              <w:t>socioeconomic</w:t>
            </w:r>
            <w:r w:rsidRPr="004F7CCD">
              <w:t xml:space="preserve"> status; parental age; and parental hospital admissions related to mental health, substance abuse and assault (O’Donnell et al., 2010). </w:t>
            </w:r>
          </w:p>
        </w:tc>
      </w:tr>
      <w:tr w:rsidR="0019735E" w:rsidRPr="004F7CCD" w:rsidTr="002D5D2E">
        <w:trPr>
          <w:cantSplit/>
        </w:trPr>
        <w:tc>
          <w:tcPr>
            <w:tcW w:w="8771" w:type="dxa"/>
            <w:tcBorders>
              <w:top w:val="nil"/>
              <w:left w:val="single" w:sz="6" w:space="0" w:color="auto"/>
              <w:bottom w:val="single" w:sz="6" w:space="0" w:color="auto"/>
              <w:right w:val="single" w:sz="6" w:space="0" w:color="auto"/>
            </w:tcBorders>
          </w:tcPr>
          <w:p w:rsidR="0019735E" w:rsidRPr="004F7CCD" w:rsidRDefault="0019735E" w:rsidP="00145755">
            <w:pPr>
              <w:spacing w:line="120" w:lineRule="exact"/>
              <w:jc w:val="both"/>
              <w:rPr>
                <w:rFonts w:ascii="Arial" w:hAnsi="Arial"/>
                <w:sz w:val="22"/>
              </w:rPr>
            </w:pPr>
          </w:p>
        </w:tc>
      </w:tr>
      <w:tr w:rsidR="0019735E" w:rsidRPr="004F7CCD" w:rsidTr="002D5D2E">
        <w:tc>
          <w:tcPr>
            <w:tcW w:w="8771" w:type="dxa"/>
            <w:tcBorders>
              <w:top w:val="nil"/>
              <w:left w:val="nil"/>
              <w:bottom w:val="nil"/>
              <w:right w:val="nil"/>
            </w:tcBorders>
          </w:tcPr>
          <w:p w:rsidR="0019735E" w:rsidRPr="004F7CCD" w:rsidRDefault="0019735E" w:rsidP="00145755">
            <w:pPr>
              <w:spacing w:before="60" w:after="60" w:line="80" w:lineRule="exact"/>
              <w:jc w:val="both"/>
              <w:rPr>
                <w:rFonts w:ascii="Arial" w:hAnsi="Arial"/>
                <w:sz w:val="14"/>
              </w:rPr>
            </w:pPr>
          </w:p>
        </w:tc>
      </w:tr>
    </w:tbl>
    <w:p w:rsidR="000859FF" w:rsidRPr="00DF30BE" w:rsidRDefault="000859FF" w:rsidP="00B502D1">
      <w:pPr>
        <w:pStyle w:val="Heading2"/>
        <w:spacing w:before="480"/>
      </w:pPr>
      <w:r w:rsidRPr="00DF30BE">
        <w:lastRenderedPageBreak/>
        <w:t>Why isn’t more happening?</w:t>
      </w:r>
    </w:p>
    <w:p w:rsidR="000859FF" w:rsidRDefault="000859FF" w:rsidP="000859FF">
      <w:pPr>
        <w:pStyle w:val="BodyText"/>
        <w:rPr>
          <w:b/>
        </w:rPr>
      </w:pPr>
      <w:r>
        <w:rPr>
          <w:rStyle w:val="BodyTextChar"/>
        </w:rPr>
        <w:t xml:space="preserve">Australia lacks </w:t>
      </w:r>
      <w:r w:rsidRPr="001A669D">
        <w:rPr>
          <w:rStyle w:val="BodyTextChar"/>
        </w:rPr>
        <w:t>a culture of information sharing and proactive data release</w:t>
      </w:r>
      <w:r>
        <w:rPr>
          <w:rStyle w:val="BodyTextChar"/>
        </w:rPr>
        <w:t xml:space="preserve">. </w:t>
      </w:r>
      <w:r w:rsidRPr="008238FA">
        <w:rPr>
          <w:rStyle w:val="BodyTextChar"/>
        </w:rPr>
        <w:t xml:space="preserve">It appears that the main barriers to </w:t>
      </w:r>
      <w:r w:rsidR="00EF73B8">
        <w:rPr>
          <w:rStyle w:val="BodyTextChar"/>
        </w:rPr>
        <w:t xml:space="preserve">changing </w:t>
      </w:r>
      <w:r>
        <w:rPr>
          <w:rStyle w:val="BodyTextChar"/>
        </w:rPr>
        <w:t>this culture</w:t>
      </w:r>
      <w:r w:rsidRPr="008238FA">
        <w:rPr>
          <w:rStyle w:val="BodyTextChar"/>
        </w:rPr>
        <w:t xml:space="preserve"> are: </w:t>
      </w:r>
      <w:r w:rsidRPr="001A669D">
        <w:rPr>
          <w:rStyle w:val="BodyTextChar"/>
        </w:rPr>
        <w:t>protection of privacy</w:t>
      </w:r>
      <w:r w:rsidRPr="008238FA">
        <w:rPr>
          <w:rStyle w:val="BodyTextChar"/>
        </w:rPr>
        <w:t xml:space="preserve">; the resources needed to ensure that data are of sufficient quality for policy evaluation; and </w:t>
      </w:r>
      <w:r>
        <w:rPr>
          <w:rStyle w:val="BodyTextChar"/>
        </w:rPr>
        <w:t xml:space="preserve">concerns by governments about </w:t>
      </w:r>
      <w:r w:rsidRPr="005B77C8">
        <w:t xml:space="preserve">unfavourable findings </w:t>
      </w:r>
      <w:r>
        <w:t xml:space="preserve">on </w:t>
      </w:r>
      <w:r w:rsidRPr="005B77C8">
        <w:t>policy effectiveness</w:t>
      </w:r>
      <w:r>
        <w:t>.</w:t>
      </w:r>
    </w:p>
    <w:p w:rsidR="000859FF" w:rsidRDefault="000859FF" w:rsidP="000859FF">
      <w:pPr>
        <w:pStyle w:val="Heading3"/>
        <w:spacing w:before="360"/>
      </w:pPr>
      <w:r>
        <w:t>Privacy and confidentiality</w:t>
      </w:r>
    </w:p>
    <w:p w:rsidR="000859FF" w:rsidRDefault="000859FF" w:rsidP="005F30AF">
      <w:pPr>
        <w:pStyle w:val="BodyText"/>
      </w:pPr>
      <w:r>
        <w:t>Government agencies must ensure that personal information is not released publicly, is only available to authorised people on a need to know basis, cannot be derived from disseminated data</w:t>
      </w:r>
      <w:r w:rsidR="00EF73B8">
        <w:t>,</w:t>
      </w:r>
      <w:r>
        <w:t xml:space="preserve"> and is maintained securely. Linking administrative data or allowing access to third parties opens up further layers of risk, including attacks on data systems, either from within organisations, data laboratories</w:t>
      </w:r>
      <w:r w:rsidR="00EF73B8">
        <w:t>,</w:t>
      </w:r>
      <w:r>
        <w:t xml:space="preserve"> or through the internet (if accessible in this way).</w:t>
      </w:r>
    </w:p>
    <w:p w:rsidR="001E083F" w:rsidRDefault="001E083F" w:rsidP="005F30AF">
      <w:pPr>
        <w:pStyle w:val="BodyText"/>
      </w:pPr>
      <w:r>
        <w:t>P</w:t>
      </w:r>
      <w:r w:rsidRPr="000A59DC">
        <w:t xml:space="preserve">rotocols for managing risks </w:t>
      </w:r>
      <w:r w:rsidR="00D2268E">
        <w:t xml:space="preserve">ex ante </w:t>
      </w:r>
      <w:r>
        <w:t xml:space="preserve">coupled with sanctions </w:t>
      </w:r>
      <w:r w:rsidRPr="000A59DC">
        <w:t xml:space="preserve">for researchers and data processors who breach privacy legislation are </w:t>
      </w:r>
      <w:r>
        <w:t xml:space="preserve">critical to assuage </w:t>
      </w:r>
      <w:r w:rsidRPr="000A59DC">
        <w:t xml:space="preserve">privacy concerns. </w:t>
      </w:r>
      <w:r>
        <w:t>P</w:t>
      </w:r>
      <w:r w:rsidRPr="000A59DC">
        <w:t xml:space="preserve">rocesses and systems </w:t>
      </w:r>
      <w:r>
        <w:t>can be i</w:t>
      </w:r>
      <w:r w:rsidRPr="000A59DC">
        <w:t>mplement</w:t>
      </w:r>
      <w:r>
        <w:t>ed</w:t>
      </w:r>
      <w:r w:rsidRPr="000A59DC">
        <w:t xml:space="preserve"> </w:t>
      </w:r>
      <w:r>
        <w:t xml:space="preserve">throughout </w:t>
      </w:r>
      <w:r w:rsidRPr="00412393">
        <w:t>data acquisition, storage and transformation</w:t>
      </w:r>
      <w:r w:rsidRPr="000A59DC">
        <w:t xml:space="preserve"> t</w:t>
      </w:r>
      <w:r>
        <w:t>o</w:t>
      </w:r>
      <w:r w:rsidRPr="000A59DC">
        <w:t xml:space="preserve"> ensure data are secure, anonymous and accessed only by authorised individuals. </w:t>
      </w:r>
      <w:r w:rsidR="007E7C58">
        <w:t>A</w:t>
      </w:r>
      <w:r>
        <w:t xml:space="preserve">part from standard de-identification protocols </w:t>
      </w:r>
      <w:r w:rsidR="007E7C58">
        <w:t xml:space="preserve">— </w:t>
      </w:r>
      <w:r>
        <w:t>regularly used by the ABS for example</w:t>
      </w:r>
      <w:r w:rsidR="007E7C58">
        <w:t xml:space="preserve"> — </w:t>
      </w:r>
      <w:r>
        <w:t xml:space="preserve">more stringent safeguards can be implemented (box 1.2). Although </w:t>
      </w:r>
      <w:r w:rsidR="00AC6867">
        <w:t xml:space="preserve">some of </w:t>
      </w:r>
      <w:r>
        <w:t>these measures can reduce data quality somewhat, this is preferable to not releasing data at all</w:t>
      </w:r>
      <w:r w:rsidRPr="00412393">
        <w:t>.</w:t>
      </w:r>
      <w:r w:rsidRPr="00666B68">
        <w:t xml:space="preserve"> </w:t>
      </w:r>
    </w:p>
    <w:p w:rsidR="007932A8" w:rsidRPr="000A59DC" w:rsidRDefault="007932A8" w:rsidP="007932A8">
      <w:pPr>
        <w:pStyle w:val="BodyText"/>
      </w:pPr>
      <w:r>
        <w:t>D</w:t>
      </w:r>
      <w:r w:rsidRPr="00EC620C">
        <w:t>e-identification</w:t>
      </w:r>
      <w:r>
        <w:t xml:space="preserve"> of data, including </w:t>
      </w:r>
      <w:r w:rsidRPr="00EC620C">
        <w:t>setting up unique identifiers for matching</w:t>
      </w:r>
      <w:r>
        <w:t>,</w:t>
      </w:r>
      <w:r w:rsidRPr="00EC620C">
        <w:t xml:space="preserve"> and storing these separately and securely</w:t>
      </w:r>
      <w:r>
        <w:t>, is feasible and commonplace. I</w:t>
      </w:r>
      <w:r w:rsidRPr="000A59DC">
        <w:t>n relation to the WA data linkage system, Professor Stanley report</w:t>
      </w:r>
      <w:r>
        <w:t>ed</w:t>
      </w:r>
      <w:r w:rsidRPr="000A59DC">
        <w:t>:</w:t>
      </w:r>
    </w:p>
    <w:p w:rsidR="007932A8" w:rsidRDefault="007932A8" w:rsidP="007932A8">
      <w:pPr>
        <w:pStyle w:val="Quote"/>
      </w:pPr>
      <w:r w:rsidRPr="00704E86">
        <w:t>We</w:t>
      </w:r>
      <w:r>
        <w:t>’</w:t>
      </w:r>
      <w:r w:rsidRPr="00704E86">
        <w:t>ve got registers of birth defects, of cancer</w:t>
      </w:r>
      <w:r>
        <w:t xml:space="preserve"> … </w:t>
      </w:r>
      <w:r w:rsidRPr="00704E86">
        <w:t>of autism and mental health problems. We</w:t>
      </w:r>
      <w:r>
        <w:t>’</w:t>
      </w:r>
      <w:r w:rsidRPr="00704E86">
        <w:t>ve got all the hospitalisations and all the deaths, and we collect these and link them together ano</w:t>
      </w:r>
      <w:r>
        <w:t>ny</w:t>
      </w:r>
      <w:r w:rsidRPr="00704E86">
        <w:t>mously so that we actually only ever see the linked data. We</w:t>
      </w:r>
      <w:r>
        <w:t>’</w:t>
      </w:r>
      <w:r w:rsidRPr="00704E86">
        <w:t>re not interested in individual people; we</w:t>
      </w:r>
      <w:r>
        <w:t>’</w:t>
      </w:r>
      <w:r w:rsidRPr="00704E86">
        <w:t>re interested in large numbers</w:t>
      </w:r>
      <w:r>
        <w:t xml:space="preserve"> … (Stanley 2013)</w:t>
      </w:r>
      <w:r w:rsidRPr="00704E86">
        <w:t xml:space="preserve"> </w:t>
      </w:r>
    </w:p>
    <w:p w:rsidR="007932A8" w:rsidRPr="00704E86" w:rsidRDefault="007932A8" w:rsidP="007932A8">
      <w:pPr>
        <w:pStyle w:val="BodyText"/>
      </w:pPr>
      <w:r w:rsidRPr="000A59DC">
        <w:t>In over 30 years of data linkage</w:t>
      </w:r>
      <w:r>
        <w:t>, the WA arrangements h</w:t>
      </w:r>
      <w:r w:rsidRPr="000A59DC">
        <w:t>ave not had one breach of any identifiable information (</w:t>
      </w:r>
      <w:r>
        <w:t xml:space="preserve">Stanley </w:t>
      </w:r>
      <w:r w:rsidRPr="000A59DC">
        <w:t>2010, p. 75)</w:t>
      </w:r>
      <w:r>
        <w:t>.</w:t>
      </w:r>
    </w:p>
    <w:p w:rsidR="007932A8" w:rsidRDefault="007932A8" w:rsidP="007932A8">
      <w:pPr>
        <w:pStyle w:val="BodyText"/>
      </w:pPr>
      <w:r>
        <w:t xml:space="preserve">It is also notable that clients of </w:t>
      </w:r>
      <w:r w:rsidRPr="00204CF9">
        <w:t>service</w:t>
      </w:r>
      <w:r>
        <w:t>s</w:t>
      </w:r>
      <w:r w:rsidRPr="00204CF9">
        <w:t xml:space="preserve"> </w:t>
      </w:r>
      <w:r>
        <w:t xml:space="preserve">become </w:t>
      </w:r>
      <w:r w:rsidRPr="00204CF9">
        <w:t xml:space="preserve">frustrated </w:t>
      </w:r>
      <w:r>
        <w:t xml:space="preserve">when </w:t>
      </w:r>
      <w:r w:rsidRPr="00204CF9">
        <w:t>they have to submit the same information to different agencies</w:t>
      </w:r>
      <w:r w:rsidRPr="00AC6867">
        <w:t xml:space="preserve"> </w:t>
      </w:r>
      <w:r w:rsidRPr="00204CF9">
        <w:t>because of privacy restrictions</w:t>
      </w:r>
      <w:r>
        <w:t xml:space="preserve">. Indeed, it appears that consumers in WA have lobbied for data linkage so as to improve services provision. A balance needs to be struck </w:t>
      </w:r>
      <w:r w:rsidRPr="004A28F7">
        <w:t>between information sharing and privacy</w:t>
      </w:r>
      <w:r>
        <w:t xml:space="preserve"> by making clear that the purpose of using a</w:t>
      </w:r>
      <w:r w:rsidRPr="00204CF9">
        <w:t xml:space="preserve">dministrative data for research purposes is </w:t>
      </w:r>
      <w:r>
        <w:t xml:space="preserve">to </w:t>
      </w:r>
      <w:r w:rsidRPr="00204CF9">
        <w:t>benefit</w:t>
      </w:r>
      <w:r w:rsidRPr="00204CF9" w:rsidDel="00B17887">
        <w:t xml:space="preserve"> </w:t>
      </w:r>
      <w:r w:rsidRPr="00204CF9">
        <w:t>people</w:t>
      </w:r>
      <w:r>
        <w:t>, not</w:t>
      </w:r>
      <w:r w:rsidRPr="00204CF9">
        <w:t xml:space="preserve"> to penalise</w:t>
      </w:r>
      <w:r>
        <w:t xml:space="preserve"> </w:t>
      </w:r>
      <w:r w:rsidRPr="00204CF9">
        <w:t>them</w:t>
      </w:r>
      <w:r w:rsidRPr="00204CF9" w:rsidDel="00B17887">
        <w:t xml:space="preserve"> </w:t>
      </w:r>
      <w:r>
        <w:t>— fraud detection aside</w:t>
      </w:r>
      <w:r w:rsidRPr="00204CF9">
        <w:t>.</w:t>
      </w:r>
    </w:p>
    <w:p w:rsidR="007F54A9" w:rsidRPr="00A03A9E" w:rsidRDefault="007F54A9" w:rsidP="007C7492">
      <w:pPr>
        <w:spacing w:before="360" w:line="80" w:lineRule="exact"/>
        <w:rPr>
          <w:sz w:val="26"/>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F54A9" w:rsidRPr="00A03A9E" w:rsidTr="00FD0AD2">
        <w:tc>
          <w:tcPr>
            <w:tcW w:w="8771" w:type="dxa"/>
            <w:tcBorders>
              <w:top w:val="single" w:sz="6" w:space="0" w:color="auto"/>
              <w:bottom w:val="nil"/>
            </w:tcBorders>
          </w:tcPr>
          <w:p w:rsidR="007F54A9" w:rsidRPr="005645C8" w:rsidRDefault="007F54A9" w:rsidP="007C7492">
            <w:pPr>
              <w:pStyle w:val="BoxTitle"/>
              <w:keepNext w:val="0"/>
              <w:keepLines w:val="0"/>
            </w:pPr>
            <w:r w:rsidRPr="005645C8">
              <w:rPr>
                <w:b w:val="0"/>
              </w:rPr>
              <w:t xml:space="preserve">Box </w:t>
            </w:r>
            <w:r w:rsidR="00FE7BB8">
              <w:rPr>
                <w:b w:val="0"/>
              </w:rPr>
              <w:t>1.</w:t>
            </w:r>
            <w:r w:rsidR="00FE7BB8">
              <w:rPr>
                <w:b w:val="0"/>
                <w:noProof/>
              </w:rPr>
              <w:t>2</w:t>
            </w:r>
            <w:r w:rsidRPr="005645C8">
              <w:tab/>
              <w:t>Techniques to protect confidentiality</w:t>
            </w:r>
          </w:p>
        </w:tc>
      </w:tr>
      <w:tr w:rsidR="007F54A9" w:rsidRPr="00A03A9E" w:rsidTr="00FD0AD2">
        <w:trPr>
          <w:cantSplit/>
        </w:trPr>
        <w:tc>
          <w:tcPr>
            <w:tcW w:w="8771" w:type="dxa"/>
            <w:tcBorders>
              <w:top w:val="nil"/>
              <w:left w:val="single" w:sz="6" w:space="0" w:color="auto"/>
              <w:bottom w:val="nil"/>
              <w:right w:val="single" w:sz="6" w:space="0" w:color="auto"/>
            </w:tcBorders>
          </w:tcPr>
          <w:p w:rsidR="007F54A9" w:rsidRPr="00A03A9E" w:rsidRDefault="007F54A9" w:rsidP="007C7492">
            <w:pPr>
              <w:pStyle w:val="BoxListNumber"/>
              <w:keepNext w:val="0"/>
            </w:pPr>
            <w:r w:rsidRPr="00A03A9E">
              <w:t>Suppress</w:t>
            </w:r>
            <w:r>
              <w:t>ion</w:t>
            </w:r>
            <w:r w:rsidRPr="00A03A9E">
              <w:t xml:space="preserve"> — </w:t>
            </w:r>
            <w:r w:rsidRPr="00565961">
              <w:t xml:space="preserve">not release parts of data </w:t>
            </w:r>
            <w:r>
              <w:t xml:space="preserve">that </w:t>
            </w:r>
            <w:r w:rsidRPr="00565961">
              <w:t>consist of too few observations.</w:t>
            </w:r>
          </w:p>
          <w:p w:rsidR="007F54A9" w:rsidRPr="00A03A9E" w:rsidRDefault="007F54A9" w:rsidP="007C7492">
            <w:pPr>
              <w:pStyle w:val="BoxListNumber"/>
              <w:keepNext w:val="0"/>
            </w:pPr>
            <w:r w:rsidRPr="00A03A9E">
              <w:t>Aggregat</w:t>
            </w:r>
            <w:r>
              <w:t>ion</w:t>
            </w:r>
            <w:r w:rsidRPr="00A03A9E">
              <w:t xml:space="preserve"> — </w:t>
            </w:r>
            <w:r w:rsidRPr="00565961">
              <w:t>make the data less precise by changing the level of detail</w:t>
            </w:r>
            <w:r w:rsidRPr="00A03A9E">
              <w:t>.</w:t>
            </w:r>
          </w:p>
          <w:p w:rsidR="007F54A9" w:rsidRPr="00A03A9E" w:rsidRDefault="007F54A9" w:rsidP="007C7492">
            <w:pPr>
              <w:pStyle w:val="BoxListNumber"/>
              <w:keepNext w:val="0"/>
            </w:pPr>
            <w:r w:rsidRPr="00A03A9E">
              <w:t>Top/bottom-cod</w:t>
            </w:r>
            <w:r>
              <w:t>ing</w:t>
            </w:r>
            <w:r w:rsidRPr="00A03A9E">
              <w:t xml:space="preserve"> — </w:t>
            </w:r>
            <w:r w:rsidRPr="00565961">
              <w:t>limit the largest or smallest values possible of given variables</w:t>
            </w:r>
            <w:r w:rsidRPr="00A03A9E">
              <w:t>.</w:t>
            </w:r>
          </w:p>
          <w:p w:rsidR="007F54A9" w:rsidRPr="00A03A9E" w:rsidRDefault="007F54A9" w:rsidP="007C7492">
            <w:pPr>
              <w:pStyle w:val="BoxListNumber"/>
              <w:keepNext w:val="0"/>
            </w:pPr>
            <w:r w:rsidRPr="00A03A9E">
              <w:t>Swap</w:t>
            </w:r>
            <w:r>
              <w:t>ping</w:t>
            </w:r>
            <w:r w:rsidRPr="00A03A9E">
              <w:t xml:space="preserve"> — </w:t>
            </w:r>
            <w:r w:rsidRPr="00565961">
              <w:t>switch data values between records t</w:t>
            </w:r>
            <w:r>
              <w:t>o m</w:t>
            </w:r>
            <w:r w:rsidRPr="00565961">
              <w:t>ak</w:t>
            </w:r>
            <w:r>
              <w:t xml:space="preserve">e </w:t>
            </w:r>
            <w:r w:rsidRPr="00565961">
              <w:t>matching more difficult</w:t>
            </w:r>
            <w:r w:rsidRPr="00A03A9E">
              <w:t xml:space="preserve">.  </w:t>
            </w:r>
          </w:p>
          <w:p w:rsidR="007F54A9" w:rsidRPr="00A03A9E" w:rsidRDefault="007F54A9" w:rsidP="007C7492">
            <w:pPr>
              <w:pStyle w:val="BoxListNumber"/>
              <w:keepNext w:val="0"/>
            </w:pPr>
            <w:r>
              <w:t>R</w:t>
            </w:r>
            <w:r w:rsidRPr="00A03A9E">
              <w:t>andom noise — add random amounts to numerical data, t</w:t>
            </w:r>
            <w:r>
              <w:t>o</w:t>
            </w:r>
            <w:r w:rsidRPr="00A03A9E">
              <w:t xml:space="preserve"> mask the true amount. </w:t>
            </w:r>
          </w:p>
          <w:p w:rsidR="007F54A9" w:rsidRPr="00A03A9E" w:rsidRDefault="007F54A9" w:rsidP="007C7492">
            <w:pPr>
              <w:pStyle w:val="BoxListNumber"/>
              <w:keepNext w:val="0"/>
            </w:pPr>
            <w:r w:rsidRPr="00A03A9E">
              <w:t>Synthesis</w:t>
            </w:r>
            <w:r>
              <w:t>ing</w:t>
            </w:r>
            <w:r w:rsidRPr="00A03A9E">
              <w:t xml:space="preserve"> — replace data with values generated from probability distributions. Synthetic data can replace </w:t>
            </w:r>
            <w:r>
              <w:t>some</w:t>
            </w:r>
            <w:r w:rsidRPr="00A03A9E">
              <w:t xml:space="preserve"> variables or the whole data set (fully synthetic).</w:t>
            </w:r>
          </w:p>
        </w:tc>
      </w:tr>
      <w:tr w:rsidR="007F54A9" w:rsidRPr="00A03A9E" w:rsidTr="00FD0AD2">
        <w:trPr>
          <w:cantSplit/>
        </w:trPr>
        <w:tc>
          <w:tcPr>
            <w:tcW w:w="8771" w:type="dxa"/>
            <w:tcBorders>
              <w:top w:val="nil"/>
              <w:left w:val="single" w:sz="6" w:space="0" w:color="auto"/>
              <w:bottom w:val="nil"/>
              <w:right w:val="single" w:sz="6" w:space="0" w:color="auto"/>
            </w:tcBorders>
          </w:tcPr>
          <w:p w:rsidR="007F54A9" w:rsidRPr="00A03A9E" w:rsidRDefault="007F54A9" w:rsidP="007C7492">
            <w:pPr>
              <w:spacing w:before="180" w:line="220" w:lineRule="exact"/>
              <w:jc w:val="both"/>
              <w:rPr>
                <w:rFonts w:ascii="Arial" w:hAnsi="Arial"/>
                <w:i/>
                <w:sz w:val="18"/>
              </w:rPr>
            </w:pPr>
            <w:r w:rsidRPr="00A03A9E">
              <w:rPr>
                <w:rFonts w:ascii="Arial" w:hAnsi="Arial"/>
                <w:i/>
                <w:sz w:val="18"/>
              </w:rPr>
              <w:t>Sources</w:t>
            </w:r>
            <w:r w:rsidRPr="00A03A9E">
              <w:rPr>
                <w:rFonts w:ascii="Arial" w:hAnsi="Arial"/>
                <w:sz w:val="18"/>
              </w:rPr>
              <w:t>: McCallister et al. (2010), Matthews and Harel (2011)</w:t>
            </w:r>
            <w:r>
              <w:rPr>
                <w:rFonts w:ascii="Arial" w:hAnsi="Arial"/>
                <w:sz w:val="18"/>
              </w:rPr>
              <w:t>.</w:t>
            </w:r>
          </w:p>
        </w:tc>
      </w:tr>
      <w:tr w:rsidR="007F54A9" w:rsidRPr="00A03A9E" w:rsidTr="00FD0AD2">
        <w:trPr>
          <w:cantSplit/>
        </w:trPr>
        <w:tc>
          <w:tcPr>
            <w:tcW w:w="8771" w:type="dxa"/>
            <w:tcBorders>
              <w:top w:val="nil"/>
              <w:left w:val="single" w:sz="6" w:space="0" w:color="auto"/>
              <w:bottom w:val="single" w:sz="6" w:space="0" w:color="auto"/>
              <w:right w:val="single" w:sz="6" w:space="0" w:color="auto"/>
            </w:tcBorders>
          </w:tcPr>
          <w:p w:rsidR="007F54A9" w:rsidRPr="00A03A9E" w:rsidRDefault="007F54A9" w:rsidP="007C7492">
            <w:pPr>
              <w:spacing w:line="120" w:lineRule="exact"/>
              <w:jc w:val="both"/>
              <w:rPr>
                <w:rFonts w:ascii="Arial" w:hAnsi="Arial"/>
                <w:sz w:val="22"/>
              </w:rPr>
            </w:pPr>
          </w:p>
        </w:tc>
      </w:tr>
      <w:tr w:rsidR="007F54A9" w:rsidRPr="00A03A9E" w:rsidTr="00FD0AD2">
        <w:tc>
          <w:tcPr>
            <w:tcW w:w="8771" w:type="dxa"/>
            <w:tcBorders>
              <w:top w:val="nil"/>
              <w:left w:val="nil"/>
              <w:bottom w:val="nil"/>
              <w:right w:val="nil"/>
            </w:tcBorders>
          </w:tcPr>
          <w:p w:rsidR="007F54A9" w:rsidRPr="00A03A9E" w:rsidRDefault="007F54A9" w:rsidP="007F54A9">
            <w:pPr>
              <w:spacing w:before="60" w:after="60" w:line="80" w:lineRule="exact"/>
              <w:jc w:val="both"/>
              <w:rPr>
                <w:rFonts w:ascii="Arial" w:hAnsi="Arial"/>
                <w:sz w:val="14"/>
              </w:rPr>
            </w:pPr>
          </w:p>
        </w:tc>
      </w:tr>
    </w:tbl>
    <w:p w:rsidR="000A59DC" w:rsidRPr="000A59DC" w:rsidRDefault="005645C8" w:rsidP="008238FA">
      <w:pPr>
        <w:pStyle w:val="Heading3"/>
        <w:spacing w:before="360"/>
      </w:pPr>
      <w:r>
        <w:t>Resource implications</w:t>
      </w:r>
      <w:r w:rsidR="00406C5A">
        <w:t xml:space="preserve"> and data quality</w:t>
      </w:r>
    </w:p>
    <w:p w:rsidR="00E57BA8" w:rsidRPr="000A59DC" w:rsidRDefault="005B08D9" w:rsidP="005F30AF">
      <w:pPr>
        <w:pStyle w:val="BodyText"/>
      </w:pPr>
      <w:r>
        <w:t>Fo</w:t>
      </w:r>
      <w:r w:rsidR="00E57BA8">
        <w:t xml:space="preserve">r </w:t>
      </w:r>
      <w:r w:rsidR="00635201" w:rsidRPr="000A59DC">
        <w:t xml:space="preserve">administrative data </w:t>
      </w:r>
      <w:r w:rsidR="00E57BA8">
        <w:t xml:space="preserve">to be useful for research it </w:t>
      </w:r>
      <w:r w:rsidR="00DA5F85">
        <w:t xml:space="preserve">generally </w:t>
      </w:r>
      <w:r w:rsidR="00A73A9B">
        <w:t xml:space="preserve">must </w:t>
      </w:r>
      <w:r w:rsidR="00DA5F85">
        <w:t xml:space="preserve">first </w:t>
      </w:r>
      <w:r w:rsidR="00E57BA8">
        <w:t xml:space="preserve">be </w:t>
      </w:r>
      <w:r w:rsidR="007E7C58">
        <w:t xml:space="preserve">manipulated </w:t>
      </w:r>
      <w:r w:rsidR="00576BC2">
        <w:t>(</w:t>
      </w:r>
      <w:r>
        <w:t>table 1.1</w:t>
      </w:r>
      <w:r w:rsidR="00576BC2">
        <w:t>)</w:t>
      </w:r>
      <w:r w:rsidR="002929B0">
        <w:t xml:space="preserve">. </w:t>
      </w:r>
      <w:r w:rsidR="00AC6867">
        <w:t xml:space="preserve">Data linking and matching </w:t>
      </w:r>
      <w:r w:rsidR="00661BEC" w:rsidRPr="000A59DC">
        <w:t>can be complex</w:t>
      </w:r>
      <w:r w:rsidR="00661BEC">
        <w:t xml:space="preserve"> </w:t>
      </w:r>
      <w:r w:rsidR="007905B2">
        <w:t xml:space="preserve">especially </w:t>
      </w:r>
      <w:r w:rsidR="00661BEC" w:rsidRPr="000A59DC">
        <w:t>where there are no unique identifiers.</w:t>
      </w:r>
      <w:r w:rsidR="00D70912">
        <w:t xml:space="preserve"> </w:t>
      </w:r>
      <w:r w:rsidR="00661BEC">
        <w:t>A</w:t>
      </w:r>
      <w:r w:rsidR="00661BEC" w:rsidRPr="000A59DC">
        <w:t xml:space="preserve">utomated matching and processing techniques </w:t>
      </w:r>
      <w:r w:rsidR="00661BEC">
        <w:t xml:space="preserve">can </w:t>
      </w:r>
      <w:r w:rsidR="00661BEC" w:rsidRPr="000A59DC">
        <w:t>make linking data easier</w:t>
      </w:r>
      <w:r w:rsidR="00661BEC">
        <w:t xml:space="preserve"> but </w:t>
      </w:r>
      <w:r w:rsidR="00661BEC" w:rsidRPr="000A59DC">
        <w:t>these process</w:t>
      </w:r>
      <w:r w:rsidR="00EF73B8">
        <w:t>es</w:t>
      </w:r>
      <w:r w:rsidR="00661BEC" w:rsidRPr="000A59DC">
        <w:t xml:space="preserve"> still require </w:t>
      </w:r>
      <w:r w:rsidR="00661BEC">
        <w:t>verification.</w:t>
      </w:r>
      <w:r w:rsidR="00661BEC" w:rsidRPr="000A59DC">
        <w:t xml:space="preserve">  </w:t>
      </w:r>
    </w:p>
    <w:p w:rsidR="00794BE3" w:rsidRDefault="00EE0393" w:rsidP="005F30AF">
      <w:pPr>
        <w:pStyle w:val="BodyText"/>
      </w:pPr>
      <w:r>
        <w:t xml:space="preserve">Researchers will want administrative </w:t>
      </w:r>
      <w:r w:rsidRPr="005B08D9">
        <w:t xml:space="preserve">data </w:t>
      </w:r>
      <w:r>
        <w:t xml:space="preserve">that is </w:t>
      </w:r>
      <w:r w:rsidRPr="005B08D9">
        <w:t>well specified</w:t>
      </w:r>
      <w:r>
        <w:t xml:space="preserve">, </w:t>
      </w:r>
      <w:r w:rsidRPr="005B08D9">
        <w:t>us</w:t>
      </w:r>
      <w:r>
        <w:t>es</w:t>
      </w:r>
      <w:r w:rsidRPr="005B08D9">
        <w:t xml:space="preserve"> consistent definitions</w:t>
      </w:r>
      <w:r w:rsidR="00EF73B8">
        <w:t>,</w:t>
      </w:r>
      <w:r w:rsidRPr="005B08D9">
        <w:t xml:space="preserve"> and </w:t>
      </w:r>
      <w:r w:rsidR="00171ADE">
        <w:t xml:space="preserve">has ‘health warnings’ about </w:t>
      </w:r>
      <w:r w:rsidR="00576BC2">
        <w:t xml:space="preserve">pitfalls that might be known </w:t>
      </w:r>
      <w:r w:rsidR="00171ADE">
        <w:t xml:space="preserve">only </w:t>
      </w:r>
      <w:r w:rsidR="00576BC2">
        <w:t xml:space="preserve">to data </w:t>
      </w:r>
      <w:r w:rsidR="00794BE3">
        <w:t>owners</w:t>
      </w:r>
      <w:r w:rsidR="00576BC2" w:rsidRPr="00973FDB">
        <w:t xml:space="preserve">. </w:t>
      </w:r>
      <w:r w:rsidR="00171ADE">
        <w:t>E</w:t>
      </w:r>
      <w:r w:rsidR="00E57BA8">
        <w:t>ven within series, discernible trend</w:t>
      </w:r>
      <w:r w:rsidR="007905B2">
        <w:t xml:space="preserve">s or deviations </w:t>
      </w:r>
      <w:r w:rsidR="00E57BA8">
        <w:t xml:space="preserve">may </w:t>
      </w:r>
      <w:r>
        <w:t xml:space="preserve">simply </w:t>
      </w:r>
      <w:r w:rsidR="00E57BA8">
        <w:t>reflect change</w:t>
      </w:r>
      <w:r w:rsidR="00622645">
        <w:t>s</w:t>
      </w:r>
      <w:r w:rsidR="00E57BA8">
        <w:t xml:space="preserve"> in definition. </w:t>
      </w:r>
      <w:r w:rsidR="00171ADE">
        <w:t>D</w:t>
      </w:r>
      <w:r w:rsidR="00E57BA8">
        <w:t>atabases</w:t>
      </w:r>
      <w:r w:rsidR="00661BEC">
        <w:t xml:space="preserve"> </w:t>
      </w:r>
      <w:r w:rsidR="00171ADE">
        <w:t xml:space="preserve">need </w:t>
      </w:r>
      <w:r w:rsidR="007B2A04">
        <w:t xml:space="preserve">to be maintained </w:t>
      </w:r>
      <w:r w:rsidR="00661BEC">
        <w:t xml:space="preserve">and </w:t>
      </w:r>
      <w:r w:rsidR="00E57BA8">
        <w:t>policy changes</w:t>
      </w:r>
      <w:r w:rsidR="00171ADE">
        <w:t xml:space="preserve"> mapped</w:t>
      </w:r>
      <w:r w:rsidR="005B08D9" w:rsidRPr="005B08D9">
        <w:t>.</w:t>
      </w:r>
      <w:r w:rsidR="00C331FE" w:rsidRPr="00C331FE">
        <w:t xml:space="preserve"> </w:t>
      </w:r>
      <w:r w:rsidR="00F16E87">
        <w:t xml:space="preserve">Clearly, </w:t>
      </w:r>
      <w:r w:rsidR="00576BC2">
        <w:t>t</w:t>
      </w:r>
      <w:r w:rsidR="00576BC2" w:rsidRPr="000A59DC">
        <w:t xml:space="preserve">here </w:t>
      </w:r>
      <w:r w:rsidR="00576BC2">
        <w:t xml:space="preserve">are </w:t>
      </w:r>
      <w:r w:rsidR="00F16E87">
        <w:t xml:space="preserve">non-trivial </w:t>
      </w:r>
      <w:r w:rsidR="00576BC2" w:rsidRPr="000A59DC">
        <w:t>cost</w:t>
      </w:r>
      <w:r w:rsidR="00576BC2">
        <w:t>s</w:t>
      </w:r>
      <w:r w:rsidR="00576BC2" w:rsidRPr="000A59DC">
        <w:t xml:space="preserve"> associated </w:t>
      </w:r>
      <w:r w:rsidR="00576BC2">
        <w:t xml:space="preserve">with </w:t>
      </w:r>
      <w:r>
        <w:t>maintaining</w:t>
      </w:r>
      <w:r w:rsidR="00576BC2">
        <w:t>, (dis)</w:t>
      </w:r>
      <w:r w:rsidR="00576BC2" w:rsidRPr="000A59DC">
        <w:t>aggregat</w:t>
      </w:r>
      <w:r w:rsidR="00576BC2">
        <w:t>ing</w:t>
      </w:r>
      <w:r w:rsidR="00576BC2" w:rsidRPr="000A59DC">
        <w:t>, link</w:t>
      </w:r>
      <w:r w:rsidR="00576BC2">
        <w:t>ing</w:t>
      </w:r>
      <w:r w:rsidR="00B3547C">
        <w:t>, storing</w:t>
      </w:r>
      <w:r w:rsidR="00576BC2">
        <w:t xml:space="preserve"> and </w:t>
      </w:r>
      <w:r w:rsidR="00576BC2" w:rsidRPr="000A59DC">
        <w:t>supply</w:t>
      </w:r>
      <w:r w:rsidR="00576BC2">
        <w:t>ing</w:t>
      </w:r>
      <w:r w:rsidR="00576BC2" w:rsidRPr="000A59DC">
        <w:t xml:space="preserve"> </w:t>
      </w:r>
      <w:r w:rsidR="00576BC2">
        <w:t>data.</w:t>
      </w:r>
      <w:r w:rsidR="00576BC2" w:rsidRPr="000A59DC">
        <w:t xml:space="preserve"> </w:t>
      </w:r>
      <w:r w:rsidR="00C331FE" w:rsidRPr="001E11E9">
        <w:t xml:space="preserve">All of this requires </w:t>
      </w:r>
      <w:r w:rsidR="00C331FE">
        <w:t xml:space="preserve">specialist expertise, </w:t>
      </w:r>
      <w:r w:rsidR="00C331FE" w:rsidRPr="00D63CB3">
        <w:t>infrastructure and management time.</w:t>
      </w:r>
      <w:r w:rsidR="00794BE3">
        <w:t xml:space="preserve"> Efficient user c</w:t>
      </w:r>
      <w:r w:rsidR="007E7C58">
        <w:t xml:space="preserve">harges may be appropriate. </w:t>
      </w:r>
    </w:p>
    <w:p w:rsidR="00F65888" w:rsidRDefault="00912F12" w:rsidP="005F30AF">
      <w:pPr>
        <w:pStyle w:val="BodyText"/>
      </w:pPr>
      <w:r>
        <w:t xml:space="preserve">It would </w:t>
      </w:r>
      <w:r w:rsidR="007E7C58">
        <w:t xml:space="preserve">also </w:t>
      </w:r>
      <w:r>
        <w:t xml:space="preserve">be possible to reduce </w:t>
      </w:r>
      <w:r w:rsidR="00F65888" w:rsidRPr="00F65888">
        <w:t xml:space="preserve">costs </w:t>
      </w:r>
      <w:r>
        <w:t xml:space="preserve">by anticipating </w:t>
      </w:r>
      <w:r w:rsidR="00F65888" w:rsidRPr="00F65888">
        <w:t xml:space="preserve">data sharing. </w:t>
      </w:r>
      <w:r w:rsidR="00DA5F85">
        <w:t xml:space="preserve">Greater prior consideration of the potential usefulness of data for research and evaluation </w:t>
      </w:r>
      <w:r w:rsidR="00F65888" w:rsidRPr="00F65888">
        <w:t xml:space="preserve">could </w:t>
      </w:r>
      <w:r w:rsidR="003D5C57">
        <w:t xml:space="preserve">encourage </w:t>
      </w:r>
      <w:r w:rsidR="00F65888" w:rsidRPr="00F65888">
        <w:t xml:space="preserve">more focused </w:t>
      </w:r>
      <w:r w:rsidR="002C2DAA">
        <w:t xml:space="preserve">data </w:t>
      </w:r>
      <w:r w:rsidR="00F65888" w:rsidRPr="00F65888">
        <w:t xml:space="preserve">collection, improving the quality of information for </w:t>
      </w:r>
      <w:r w:rsidR="006E68BD">
        <w:t xml:space="preserve">governments </w:t>
      </w:r>
      <w:r w:rsidR="002C2DAA">
        <w:t>and</w:t>
      </w:r>
      <w:r w:rsidR="006E68BD">
        <w:t xml:space="preserve"> </w:t>
      </w:r>
      <w:r w:rsidR="00F65888" w:rsidRPr="00F65888">
        <w:t xml:space="preserve">reducing the reporting burden on providers. In its review into the </w:t>
      </w:r>
      <w:r w:rsidR="00F65888" w:rsidRPr="00457F02">
        <w:rPr>
          <w:i/>
        </w:rPr>
        <w:t>Contribution of the Not-for-Profit Sector</w:t>
      </w:r>
      <w:r w:rsidR="00F65888" w:rsidRPr="00F65888">
        <w:t>, the Commission found that agencies collected huge amounts of data from service providers</w:t>
      </w:r>
      <w:r w:rsidR="002C2DAA">
        <w:t>,</w:t>
      </w:r>
      <w:r w:rsidR="00F65888" w:rsidRPr="00F65888">
        <w:t xml:space="preserve"> much of which </w:t>
      </w:r>
      <w:r w:rsidR="006E68BD">
        <w:t>was not used</w:t>
      </w:r>
      <w:r w:rsidR="00794BE3">
        <w:t xml:space="preserve"> </w:t>
      </w:r>
      <w:r w:rsidR="00794BE3" w:rsidRPr="00F65888">
        <w:t>(PC 2010c)</w:t>
      </w:r>
      <w:r w:rsidR="00F65888" w:rsidRPr="00F65888">
        <w:t xml:space="preserve">. </w:t>
      </w:r>
      <w:r w:rsidR="006E68BD">
        <w:t xml:space="preserve">More </w:t>
      </w:r>
      <w:r w:rsidR="00F65888" w:rsidRPr="00F65888">
        <w:t xml:space="preserve">useful </w:t>
      </w:r>
      <w:r w:rsidR="006E68BD">
        <w:t xml:space="preserve">data </w:t>
      </w:r>
      <w:r w:rsidR="00F65888" w:rsidRPr="00F65888">
        <w:t xml:space="preserve">for providers </w:t>
      </w:r>
      <w:r w:rsidR="006E68BD">
        <w:t>would help them assess their own</w:t>
      </w:r>
      <w:r w:rsidR="00F65888" w:rsidRPr="00F65888">
        <w:t xml:space="preserve"> programs</w:t>
      </w:r>
      <w:r w:rsidR="002C2DAA">
        <w:t>’</w:t>
      </w:r>
      <w:r w:rsidR="006E68BD">
        <w:t xml:space="preserve"> effectiveness</w:t>
      </w:r>
      <w:r w:rsidR="00F65888" w:rsidRPr="00F65888">
        <w:t xml:space="preserve">, including </w:t>
      </w:r>
      <w:r w:rsidR="006E68BD">
        <w:t xml:space="preserve">through </w:t>
      </w:r>
      <w:r w:rsidR="00F65888" w:rsidRPr="00F65888">
        <w:t>benchmarking against other providers.</w:t>
      </w:r>
      <w:r w:rsidR="00B3547C">
        <w:t xml:space="preserve"> </w:t>
      </w:r>
      <w:r w:rsidR="00E65BD6">
        <w:t xml:space="preserve">As observed by the Director of the Australian Institute of Health and Welfare </w:t>
      </w:r>
      <w:r w:rsidR="00794BE3">
        <w:t xml:space="preserve">(AIHW) </w:t>
      </w:r>
      <w:r w:rsidR="00E65BD6">
        <w:t xml:space="preserve">in relation to ensuring the </w:t>
      </w:r>
      <w:r w:rsidR="00DA5F85">
        <w:t>value</w:t>
      </w:r>
      <w:r w:rsidR="00E65BD6">
        <w:t xml:space="preserve"> of data sourced administratively:</w:t>
      </w:r>
    </w:p>
    <w:p w:rsidR="00E65BD6" w:rsidRDefault="00E65BD6" w:rsidP="000043D4">
      <w:pPr>
        <w:pStyle w:val="Quote"/>
      </w:pPr>
      <w:r>
        <w:t xml:space="preserve">One approach </w:t>
      </w:r>
      <w:r w:rsidRPr="00E65BD6">
        <w:t xml:space="preserve">is to deliver some benefits to the provider of the information, so they not only incur the cost and inconvenience of the data supply, but also get some meaningful information back that helps them or their organisation to better carry out their required activities. </w:t>
      </w:r>
      <w:r>
        <w:t>(Kalisch, 2011, p. 7)</w:t>
      </w:r>
    </w:p>
    <w:p w:rsidR="00406C5A" w:rsidRDefault="00DA5F85" w:rsidP="0012778C">
      <w:pPr>
        <w:pStyle w:val="BodyText"/>
      </w:pPr>
      <w:r>
        <w:lastRenderedPageBreak/>
        <w:t>Greater use of d</w:t>
      </w:r>
      <w:r w:rsidR="0012778C">
        <w:t xml:space="preserve">ata matching </w:t>
      </w:r>
      <w:r w:rsidR="00973FDB">
        <w:t xml:space="preserve">should </w:t>
      </w:r>
      <w:r w:rsidR="0012778C">
        <w:t>encourage agencies to collect information in standard formats (e.g. the ranges used to collect income) which w</w:t>
      </w:r>
      <w:r w:rsidR="00576BC2">
        <w:t>ould</w:t>
      </w:r>
      <w:r w:rsidR="0012778C">
        <w:t xml:space="preserve"> increase the value of all existing data sets.</w:t>
      </w:r>
      <w:r w:rsidR="00973FDB">
        <w:t xml:space="preserve"> </w:t>
      </w:r>
      <w:r w:rsidR="00F12676" w:rsidRPr="00F12676">
        <w:t>Data matching</w:t>
      </w:r>
      <w:r w:rsidR="00F16E87">
        <w:t xml:space="preserve"> </w:t>
      </w:r>
      <w:r w:rsidR="00576BC2">
        <w:t xml:space="preserve">could also reduce respondent burden by </w:t>
      </w:r>
      <w:r w:rsidR="00F16E87">
        <w:t xml:space="preserve">avoiding </w:t>
      </w:r>
      <w:r w:rsidR="00576BC2">
        <w:t xml:space="preserve">the need </w:t>
      </w:r>
      <w:r w:rsidR="00A378C6">
        <w:t xml:space="preserve">for </w:t>
      </w:r>
      <w:r w:rsidR="00576BC2">
        <w:t>repeated provi</w:t>
      </w:r>
      <w:r w:rsidR="00A378C6">
        <w:t xml:space="preserve">sion of </w:t>
      </w:r>
      <w:r w:rsidR="00576BC2">
        <w:t>the same information.</w:t>
      </w:r>
      <w:r w:rsidR="003D5C57">
        <w:t xml:space="preserve"> </w:t>
      </w:r>
      <w:r w:rsidR="00794BE3">
        <w:t>The n</w:t>
      </w:r>
      <w:r w:rsidR="00794BE3" w:rsidRPr="00406C5A">
        <w:t xml:space="preserve">ational information agreements signed up to by all governments and </w:t>
      </w:r>
      <w:r w:rsidR="00794BE3">
        <w:t xml:space="preserve">certain </w:t>
      </w:r>
      <w:r w:rsidR="00794BE3" w:rsidRPr="00406C5A">
        <w:t>data providers</w:t>
      </w:r>
      <w:r w:rsidR="00794BE3">
        <w:t>,</w:t>
      </w:r>
      <w:r w:rsidR="00794BE3" w:rsidRPr="00406C5A">
        <w:t xml:space="preserve"> including </w:t>
      </w:r>
      <w:r w:rsidR="00794BE3">
        <w:t xml:space="preserve">the </w:t>
      </w:r>
      <w:r w:rsidR="00794BE3" w:rsidRPr="00406C5A">
        <w:t>AIHW and ABS</w:t>
      </w:r>
      <w:r w:rsidR="00794BE3">
        <w:t xml:space="preserve">, </w:t>
      </w:r>
      <w:r w:rsidR="00406C5A">
        <w:t xml:space="preserve">should </w:t>
      </w:r>
      <w:r w:rsidR="00794BE3">
        <w:t xml:space="preserve">assist to </w:t>
      </w:r>
      <w:r w:rsidR="00406C5A" w:rsidRPr="00406C5A">
        <w:t>improv</w:t>
      </w:r>
      <w:r w:rsidR="00794BE3">
        <w:t>e</w:t>
      </w:r>
      <w:r w:rsidR="00406C5A" w:rsidRPr="00406C5A">
        <w:t xml:space="preserve"> the quality of admin</w:t>
      </w:r>
      <w:r w:rsidR="00406C5A">
        <w:t>istrative</w:t>
      </w:r>
      <w:r w:rsidR="00406C5A" w:rsidRPr="00406C5A">
        <w:t xml:space="preserve"> data </w:t>
      </w:r>
      <w:r w:rsidR="00794BE3">
        <w:t xml:space="preserve">for </w:t>
      </w:r>
      <w:r w:rsidR="00406C5A" w:rsidRPr="00406C5A">
        <w:t>health, community services and housing</w:t>
      </w:r>
      <w:r w:rsidR="00794BE3">
        <w:t>. W</w:t>
      </w:r>
      <w:r w:rsidR="00406C5A">
        <w:t xml:space="preserve">hile these </w:t>
      </w:r>
      <w:r w:rsidR="00406C5A" w:rsidRPr="00406C5A">
        <w:t xml:space="preserve">principle-based agreements are not binding, </w:t>
      </w:r>
      <w:r w:rsidR="00406C5A">
        <w:t xml:space="preserve">they </w:t>
      </w:r>
      <w:r w:rsidR="00406C5A" w:rsidRPr="00406C5A">
        <w:t xml:space="preserve">can encourage better practice. </w:t>
      </w:r>
    </w:p>
    <w:p w:rsidR="005B08D9" w:rsidRDefault="005B08D9" w:rsidP="002D5D2E">
      <w:pPr>
        <w:pStyle w:val="Heading3"/>
      </w:pPr>
      <w:r>
        <w:t xml:space="preserve">Political resolve </w:t>
      </w:r>
    </w:p>
    <w:p w:rsidR="001A669D" w:rsidRDefault="005B08D9">
      <w:pPr>
        <w:pStyle w:val="BodyText"/>
      </w:pPr>
      <w:r>
        <w:t xml:space="preserve">There is genuine appreciation by some </w:t>
      </w:r>
      <w:r w:rsidR="007E7C58">
        <w:t xml:space="preserve">data custodian </w:t>
      </w:r>
      <w:r>
        <w:t xml:space="preserve">officials </w:t>
      </w:r>
      <w:r w:rsidR="00DA5F85">
        <w:t xml:space="preserve">of </w:t>
      </w:r>
      <w:r>
        <w:t>the power of administrative data. However, experience to date suggests that this appreciation has not been matched by improved access to that data for independent analysis</w:t>
      </w:r>
      <w:r w:rsidR="00B37ECB">
        <w:t xml:space="preserve">. </w:t>
      </w:r>
      <w:r w:rsidR="0054727B">
        <w:t xml:space="preserve">It appears that </w:t>
      </w:r>
      <w:r w:rsidR="00B37ECB">
        <w:t>the blockages occur with</w:t>
      </w:r>
      <w:r w:rsidR="00544C64">
        <w:t>in</w:t>
      </w:r>
      <w:r w:rsidR="00B37ECB">
        <w:t xml:space="preserve"> policy </w:t>
      </w:r>
      <w:r w:rsidR="00544C64">
        <w:t>departments,</w:t>
      </w:r>
      <w:r w:rsidR="00912F12">
        <w:t xml:space="preserve"> </w:t>
      </w:r>
      <w:r w:rsidR="00CB42B9">
        <w:t xml:space="preserve">reflecting </w:t>
      </w:r>
      <w:r>
        <w:t>sensitivities that providing data for independent research could yield unfavourable public findings about policy effectiveness.</w:t>
      </w:r>
      <w:r w:rsidR="001A669D">
        <w:t xml:space="preserve"> </w:t>
      </w:r>
      <w:r w:rsidR="00A22F34">
        <w:t>R</w:t>
      </w:r>
      <w:r w:rsidR="004A28F7">
        <w:t xml:space="preserve">elated to this </w:t>
      </w:r>
      <w:r w:rsidR="00544C64">
        <w:t xml:space="preserve">is trepidation </w:t>
      </w:r>
      <w:r w:rsidR="004A28F7">
        <w:t xml:space="preserve">about </w:t>
      </w:r>
      <w:r w:rsidR="001A669D" w:rsidRPr="001A669D">
        <w:t>releas</w:t>
      </w:r>
      <w:r w:rsidR="004A28F7">
        <w:t xml:space="preserve">ing </w:t>
      </w:r>
      <w:r w:rsidR="001A669D" w:rsidRPr="001A669D">
        <w:t xml:space="preserve">unrefined </w:t>
      </w:r>
      <w:r w:rsidR="004A28F7">
        <w:t>d</w:t>
      </w:r>
      <w:r w:rsidR="001A669D" w:rsidRPr="001A669D">
        <w:t>ata</w:t>
      </w:r>
      <w:r w:rsidR="004A28F7">
        <w:t xml:space="preserve"> and </w:t>
      </w:r>
      <w:r w:rsidR="00A22F34">
        <w:t xml:space="preserve">the </w:t>
      </w:r>
      <w:r w:rsidR="001A669D" w:rsidRPr="001A669D">
        <w:t>misinterpretation or misuse of th</w:t>
      </w:r>
      <w:r w:rsidR="00EF73B8">
        <w:t>ese</w:t>
      </w:r>
      <w:r w:rsidR="001A669D" w:rsidRPr="001A669D">
        <w:t xml:space="preserve"> data</w:t>
      </w:r>
      <w:r w:rsidR="00A22F34">
        <w:t xml:space="preserve"> that could arise</w:t>
      </w:r>
      <w:r w:rsidR="004A28F7">
        <w:t>.</w:t>
      </w:r>
    </w:p>
    <w:p w:rsidR="005B08D9" w:rsidRDefault="00F16E87" w:rsidP="005B08D9">
      <w:pPr>
        <w:pStyle w:val="BodyText"/>
      </w:pPr>
      <w:r>
        <w:t xml:space="preserve">However, </w:t>
      </w:r>
      <w:r w:rsidR="00A378C6">
        <w:t xml:space="preserve">this </w:t>
      </w:r>
      <w:r>
        <w:t xml:space="preserve">short-term wariness comes at the cost of long-term gains for the Australian community. </w:t>
      </w:r>
      <w:r w:rsidR="005B08D9">
        <w:t xml:space="preserve">As noted, some Ministers have been more willing to allow researchers access to data, including the former </w:t>
      </w:r>
      <w:r w:rsidR="00D2268E">
        <w:t xml:space="preserve">Federal </w:t>
      </w:r>
      <w:r w:rsidR="005B08D9">
        <w:t>Minister for Human Services, who ‘swiftly approved data requests from RMIT University, the Australian National University and the University of Queensland’ (Martin 2012)</w:t>
      </w:r>
      <w:r w:rsidR="00CB42B9">
        <w:t>.</w:t>
      </w:r>
    </w:p>
    <w:p w:rsidR="00C8533C" w:rsidRDefault="00C8533C" w:rsidP="008D53B8">
      <w:pPr>
        <w:pStyle w:val="Heading4"/>
      </w:pPr>
      <w:r>
        <w:t>Other countries have shown resolve</w:t>
      </w:r>
    </w:p>
    <w:p w:rsidR="009D7AD5" w:rsidRDefault="00A32C4F" w:rsidP="00544C64">
      <w:pPr>
        <w:pStyle w:val="BodyText"/>
      </w:pPr>
      <w:r>
        <w:t xml:space="preserve">Australia can look overseas to judge the </w:t>
      </w:r>
      <w:r w:rsidR="00DA5F85">
        <w:t xml:space="preserve">feasibility </w:t>
      </w:r>
      <w:r w:rsidR="00576BC2">
        <w:t xml:space="preserve">and </w:t>
      </w:r>
      <w:r>
        <w:t xml:space="preserve">value of </w:t>
      </w:r>
      <w:r w:rsidR="00B640D4">
        <w:t>granting</w:t>
      </w:r>
      <w:r>
        <w:t xml:space="preserve"> access to administrative data. In Denmark, Sweden</w:t>
      </w:r>
      <w:r w:rsidR="00C950D9">
        <w:t xml:space="preserve">, </w:t>
      </w:r>
      <w:r>
        <w:t>Finland and the Netherlands, link</w:t>
      </w:r>
      <w:r w:rsidR="00B640D4">
        <w:t>ed</w:t>
      </w:r>
      <w:r>
        <w:t xml:space="preserve"> administrative data </w:t>
      </w:r>
      <w:r w:rsidR="00794BE3">
        <w:t xml:space="preserve">are </w:t>
      </w:r>
      <w:r>
        <w:t xml:space="preserve">accessible for research purposes (Administrative Data Taskforce 2012). </w:t>
      </w:r>
      <w:r w:rsidR="00CB42B9" w:rsidRPr="0006291E">
        <w:t xml:space="preserve">Statistics Finland </w:t>
      </w:r>
      <w:r w:rsidR="00C950D9">
        <w:t>considers that</w:t>
      </w:r>
      <w:r w:rsidR="00C950D9" w:rsidRPr="00533944">
        <w:t xml:space="preserve"> statistics sh</w:t>
      </w:r>
      <w:r w:rsidR="00C950D9">
        <w:t>ould</w:t>
      </w:r>
      <w:r w:rsidR="00C950D9" w:rsidRPr="00533944">
        <w:t xml:space="preserve"> be compiled </w:t>
      </w:r>
      <w:r w:rsidR="00C950D9">
        <w:t xml:space="preserve">from </w:t>
      </w:r>
      <w:r w:rsidR="00C950D9" w:rsidRPr="00533944">
        <w:t>administrative records</w:t>
      </w:r>
      <w:r w:rsidR="00C950D9" w:rsidRPr="0016162B">
        <w:t xml:space="preserve"> </w:t>
      </w:r>
      <w:r w:rsidR="00C950D9">
        <w:t xml:space="preserve">whenever possible — </w:t>
      </w:r>
      <w:r w:rsidR="00CB42B9" w:rsidRPr="0006291E">
        <w:t xml:space="preserve">around 96 per cent of </w:t>
      </w:r>
      <w:r w:rsidR="00CB42B9">
        <w:t>its dat</w:t>
      </w:r>
      <w:r w:rsidR="00CB42B9" w:rsidRPr="0006291E">
        <w:t xml:space="preserve">a </w:t>
      </w:r>
      <w:r w:rsidR="00C950D9">
        <w:t>come from these</w:t>
      </w:r>
      <w:r w:rsidR="00CB42B9" w:rsidRPr="0006291E">
        <w:t xml:space="preserve"> sources</w:t>
      </w:r>
      <w:r w:rsidR="00CB42B9" w:rsidRPr="00533944">
        <w:t xml:space="preserve"> </w:t>
      </w:r>
      <w:r w:rsidR="00CB42B9" w:rsidRPr="0016162B">
        <w:t>(Statistics Finland 2004)</w:t>
      </w:r>
      <w:r w:rsidR="00CB42B9" w:rsidRPr="0006291E">
        <w:t>.</w:t>
      </w:r>
      <w:r w:rsidR="00CB42B9">
        <w:rPr>
          <w:rStyle w:val="FootnoteReference"/>
        </w:rPr>
        <w:footnoteReference w:id="3"/>
      </w:r>
      <w:r w:rsidR="00CB42B9">
        <w:t xml:space="preserve"> </w:t>
      </w:r>
      <w:r w:rsidR="00A378C6">
        <w:t>T</w:t>
      </w:r>
      <w:r>
        <w:t xml:space="preserve">his </w:t>
      </w:r>
      <w:r w:rsidR="00794BE3">
        <w:t xml:space="preserve">openness </w:t>
      </w:r>
      <w:r w:rsidR="002B400B">
        <w:t xml:space="preserve">promotes </w:t>
      </w:r>
      <w:r>
        <w:t xml:space="preserve">research </w:t>
      </w:r>
      <w:r w:rsidR="004F4726">
        <w:t xml:space="preserve">— </w:t>
      </w:r>
      <w:r>
        <w:t>‘</w:t>
      </w:r>
      <w:r w:rsidR="00576BC2">
        <w:t>m</w:t>
      </w:r>
      <w:r>
        <w:t>icrosimulation specialists pour into Nordic countries because of their liberal approach towards sharing statistics’ (Gruen and Goldbloom 2008).</w:t>
      </w:r>
      <w:r w:rsidR="00D57881">
        <w:t xml:space="preserve"> </w:t>
      </w:r>
    </w:p>
    <w:p w:rsidR="00622645" w:rsidRDefault="008E48B0" w:rsidP="00544C64">
      <w:pPr>
        <w:pStyle w:val="BodyText"/>
      </w:pPr>
      <w:r>
        <w:t xml:space="preserve">In </w:t>
      </w:r>
      <w:r w:rsidR="00A32C4F">
        <w:t>New Zealand</w:t>
      </w:r>
      <w:r w:rsidR="00622645">
        <w:t xml:space="preserve"> </w:t>
      </w:r>
      <w:r w:rsidR="00A32C4F">
        <w:t xml:space="preserve">education, migration, participation, </w:t>
      </w:r>
      <w:r w:rsidR="00203373">
        <w:t xml:space="preserve">social </w:t>
      </w:r>
      <w:r w:rsidR="00A32C4F">
        <w:t xml:space="preserve">benefits and longitudinal business </w:t>
      </w:r>
      <w:r>
        <w:t xml:space="preserve">databases have been linked </w:t>
      </w:r>
      <w:r w:rsidR="001D0079">
        <w:t>enabling</w:t>
      </w:r>
      <w:r>
        <w:t xml:space="preserve"> </w:t>
      </w:r>
      <w:r w:rsidR="00A32C4F">
        <w:t>research</w:t>
      </w:r>
      <w:r>
        <w:t xml:space="preserve"> into areas such as</w:t>
      </w:r>
      <w:r w:rsidR="00A32C4F">
        <w:t>:</w:t>
      </w:r>
      <w:r w:rsidR="00CE1F8C">
        <w:t xml:space="preserve"> </w:t>
      </w:r>
      <w:r w:rsidR="00A32C4F">
        <w:t xml:space="preserve">immigrant </w:t>
      </w:r>
      <w:r w:rsidR="00A32C4F">
        <w:lastRenderedPageBreak/>
        <w:t>outcomes</w:t>
      </w:r>
      <w:r w:rsidR="00CE1F8C">
        <w:t xml:space="preserve">; </w:t>
      </w:r>
      <w:r w:rsidR="006F0BFD">
        <w:t xml:space="preserve">employment assistance </w:t>
      </w:r>
      <w:r w:rsidR="00A32C4F">
        <w:t>effectiveness</w:t>
      </w:r>
      <w:r w:rsidR="00CE1F8C">
        <w:t xml:space="preserve">; </w:t>
      </w:r>
      <w:r w:rsidR="00A32C4F">
        <w:t>effect</w:t>
      </w:r>
      <w:r w:rsidR="006F0BFD">
        <w:t>s</w:t>
      </w:r>
      <w:r w:rsidR="00A32C4F">
        <w:t xml:space="preserve"> of wage subsidies on individual</w:t>
      </w:r>
      <w:r w:rsidR="00B640D4">
        <w:t>s</w:t>
      </w:r>
      <w:r w:rsidR="00A32C4F">
        <w:t xml:space="preserve"> and firm</w:t>
      </w:r>
      <w:r w:rsidR="00B640D4">
        <w:t>s</w:t>
      </w:r>
      <w:r w:rsidR="00CE1F8C">
        <w:t xml:space="preserve">; and </w:t>
      </w:r>
      <w:r w:rsidR="00A32C4F">
        <w:t xml:space="preserve">intellectual property and productivity (Statistics New Zealand 2012, 2013). </w:t>
      </w:r>
      <w:r w:rsidR="00661BEC">
        <w:t>The</w:t>
      </w:r>
      <w:r w:rsidR="00381449" w:rsidRPr="00381449">
        <w:t xml:space="preserve"> New Zealand</w:t>
      </w:r>
      <w:r w:rsidR="00661BEC">
        <w:t xml:space="preserve"> </w:t>
      </w:r>
      <w:r w:rsidR="00B640D4">
        <w:t>G</w:t>
      </w:r>
      <w:r w:rsidR="001D0079">
        <w:t xml:space="preserve">overnment </w:t>
      </w:r>
      <w:r w:rsidR="00661BEC">
        <w:t xml:space="preserve">recently </w:t>
      </w:r>
      <w:r w:rsidR="00622645">
        <w:t xml:space="preserve">launched a system to </w:t>
      </w:r>
      <w:r w:rsidR="006F0BFD">
        <w:t>give</w:t>
      </w:r>
      <w:r w:rsidR="00622645">
        <w:t xml:space="preserve"> </w:t>
      </w:r>
      <w:r w:rsidR="001D0079">
        <w:t xml:space="preserve">approved </w:t>
      </w:r>
      <w:r w:rsidR="00622645">
        <w:t xml:space="preserve">researchers remote access </w:t>
      </w:r>
      <w:r w:rsidR="001D0079">
        <w:t xml:space="preserve">to </w:t>
      </w:r>
      <w:r w:rsidR="00622645">
        <w:t>de</w:t>
      </w:r>
      <w:r w:rsidR="001D0079">
        <w:t>-</w:t>
      </w:r>
      <w:r w:rsidR="00622645">
        <w:t xml:space="preserve">identified microdata about people, households </w:t>
      </w:r>
      <w:r w:rsidR="001D0079">
        <w:t xml:space="preserve">and </w:t>
      </w:r>
      <w:r w:rsidR="00622645">
        <w:t>businesses</w:t>
      </w:r>
      <w:r w:rsidR="00203373" w:rsidRPr="00203373">
        <w:t xml:space="preserve"> from their own desktop</w:t>
      </w:r>
      <w:r w:rsidR="00203373">
        <w:t>s</w:t>
      </w:r>
      <w:r w:rsidR="00622645">
        <w:t>. Th</w:t>
      </w:r>
      <w:r w:rsidR="00661BEC">
        <w:t>e</w:t>
      </w:r>
      <w:r w:rsidR="00622645">
        <w:t xml:space="preserve"> Min</w:t>
      </w:r>
      <w:r w:rsidR="00963014">
        <w:t>i</w:t>
      </w:r>
      <w:r w:rsidR="00622645">
        <w:t xml:space="preserve">ster </w:t>
      </w:r>
      <w:r w:rsidR="001D0079">
        <w:t xml:space="preserve">for Statistics stated </w:t>
      </w:r>
      <w:r w:rsidR="00622645">
        <w:t>that</w:t>
      </w:r>
      <w:r w:rsidR="001D0079">
        <w:t xml:space="preserve"> the initiative was part of a ‘</w:t>
      </w:r>
      <w:r w:rsidR="00622645">
        <w:t>Government objective to have all public sector agencies releasing high value public data for re-use</w:t>
      </w:r>
      <w:r w:rsidR="00661BEC">
        <w:t>’</w:t>
      </w:r>
      <w:r w:rsidR="00622645">
        <w:t xml:space="preserve"> (Williamson 2013).</w:t>
      </w:r>
      <w:r w:rsidR="0004589D">
        <w:t xml:space="preserve"> </w:t>
      </w:r>
    </w:p>
    <w:p w:rsidR="00A32C4F" w:rsidRDefault="00A32C4F" w:rsidP="00544C64">
      <w:pPr>
        <w:pStyle w:val="BodyText"/>
      </w:pPr>
      <w:r>
        <w:t>In Canada, administrative data on hospital discharges, prescription</w:t>
      </w:r>
      <w:r>
        <w:rPr>
          <w:i/>
        </w:rPr>
        <w:t xml:space="preserve"> </w:t>
      </w:r>
      <w:r w:rsidRPr="005523B9">
        <w:t>drug usage</w:t>
      </w:r>
      <w:r>
        <w:t xml:space="preserve"> and ambulatory care </w:t>
      </w:r>
      <w:r w:rsidR="008E48B0">
        <w:t>is linked to p</w:t>
      </w:r>
      <w:r>
        <w:t xml:space="preserve">opulation health survey data, birth and death databases and cancer registries </w:t>
      </w:r>
      <w:r w:rsidR="004F4726">
        <w:t xml:space="preserve">(Statistics Canada 2010). </w:t>
      </w:r>
    </w:p>
    <w:p w:rsidR="00C8533C" w:rsidRPr="000A59DC" w:rsidRDefault="002B400B" w:rsidP="008F4F8B">
      <w:pPr>
        <w:pStyle w:val="Heading2"/>
        <w:spacing w:before="480"/>
      </w:pPr>
      <w:r>
        <w:t xml:space="preserve">Australia — </w:t>
      </w:r>
      <w:r w:rsidR="004B71FC">
        <w:t xml:space="preserve">limited progress from </w:t>
      </w:r>
      <w:r w:rsidR="004A474F">
        <w:t xml:space="preserve">sporadic </w:t>
      </w:r>
      <w:r w:rsidR="00C8533C">
        <w:t>st</w:t>
      </w:r>
      <w:r w:rsidR="004B71FC">
        <w:t>arts</w:t>
      </w:r>
    </w:p>
    <w:p w:rsidR="00A32C4F" w:rsidRDefault="00A32C4F" w:rsidP="00A32C4F">
      <w:pPr>
        <w:pStyle w:val="BodyText"/>
      </w:pPr>
      <w:r w:rsidRPr="000A59DC">
        <w:t>Western Australia</w:t>
      </w:r>
      <w:r>
        <w:t xml:space="preserve">’s Data Linkage System </w:t>
      </w:r>
      <w:r w:rsidRPr="000A59DC">
        <w:t xml:space="preserve">is </w:t>
      </w:r>
      <w:r w:rsidR="00145755">
        <w:t xml:space="preserve">seen </w:t>
      </w:r>
      <w:r>
        <w:t xml:space="preserve">by international peers </w:t>
      </w:r>
      <w:r w:rsidR="00171ADE">
        <w:t>as</w:t>
      </w:r>
      <w:r>
        <w:t xml:space="preserve"> a leader in </w:t>
      </w:r>
      <w:r w:rsidR="00C950D9">
        <w:t>the field</w:t>
      </w:r>
      <w:r>
        <w:t xml:space="preserve">. </w:t>
      </w:r>
      <w:r w:rsidR="00145755">
        <w:t>Over</w:t>
      </w:r>
      <w:r w:rsidRPr="000A59DC">
        <w:t xml:space="preserve"> 700 studies have </w:t>
      </w:r>
      <w:r>
        <w:t xml:space="preserve">drawn on </w:t>
      </w:r>
      <w:r w:rsidR="00171ADE">
        <w:t>the</w:t>
      </w:r>
      <w:r w:rsidR="008516D1">
        <w:t xml:space="preserve"> </w:t>
      </w:r>
      <w:r w:rsidRPr="000A59DC">
        <w:t>linked data in areas including health and aged care (</w:t>
      </w:r>
      <w:r w:rsidR="00F12676">
        <w:t xml:space="preserve">formerly </w:t>
      </w:r>
      <w:r w:rsidRPr="000A59DC">
        <w:t>with the Commonwealth Department of Health and Ageing), development pathways for children, family connections, Indigenous identification, and road safety</w:t>
      </w:r>
      <w:r w:rsidR="000D7E62">
        <w:t xml:space="preserve"> (DLWA 2013)</w:t>
      </w:r>
      <w:r w:rsidRPr="000A59DC">
        <w:t xml:space="preserve">. </w:t>
      </w:r>
    </w:p>
    <w:p w:rsidR="002D400E" w:rsidRDefault="00A32C4F" w:rsidP="008E48B0">
      <w:pPr>
        <w:pStyle w:val="BodyText"/>
      </w:pPr>
      <w:r w:rsidRPr="008643EA">
        <w:t xml:space="preserve">Progress in other Australian jurisdictions </w:t>
      </w:r>
      <w:r w:rsidR="00661BEC">
        <w:t>has been</w:t>
      </w:r>
      <w:r w:rsidR="004A474F">
        <w:t xml:space="preserve"> patchy</w:t>
      </w:r>
      <w:r w:rsidRPr="008643EA">
        <w:t>. The Centre for Health Record Linkage</w:t>
      </w:r>
      <w:r w:rsidR="007B2A04">
        <w:t xml:space="preserve">, </w:t>
      </w:r>
      <w:r w:rsidRPr="008643EA">
        <w:t>established in 2006</w:t>
      </w:r>
      <w:r w:rsidR="007B2A04">
        <w:t xml:space="preserve">, </w:t>
      </w:r>
      <w:r w:rsidR="00336992">
        <w:t>enables</w:t>
      </w:r>
      <w:r w:rsidRPr="008643EA">
        <w:t xml:space="preserve"> access </w:t>
      </w:r>
      <w:r w:rsidR="00336992">
        <w:t xml:space="preserve">to </w:t>
      </w:r>
      <w:r w:rsidRPr="008643EA">
        <w:t>health data in New South Wales and the ACT</w:t>
      </w:r>
      <w:r w:rsidR="00F12676">
        <w:t xml:space="preserve"> (</w:t>
      </w:r>
      <w:r w:rsidR="00336992">
        <w:t>see</w:t>
      </w:r>
      <w:r w:rsidR="00C8533C">
        <w:t xml:space="preserve"> </w:t>
      </w:r>
      <w:r w:rsidR="00F12676">
        <w:t>box</w:t>
      </w:r>
      <w:r w:rsidR="00C8533C">
        <w:t> </w:t>
      </w:r>
      <w:r w:rsidR="00F12676">
        <w:t>1.1)</w:t>
      </w:r>
      <w:r w:rsidRPr="008643EA">
        <w:t>. It is one of the largest linked</w:t>
      </w:r>
      <w:r w:rsidR="00C950D9">
        <w:t>,</w:t>
      </w:r>
      <w:r w:rsidRPr="008643EA">
        <w:t xml:space="preserve"> health-related databases in Australia (CHeReL 2013).</w:t>
      </w:r>
      <w:r w:rsidR="00D57881">
        <w:t xml:space="preserve"> </w:t>
      </w:r>
      <w:r w:rsidR="00F84337">
        <w:t xml:space="preserve">Queensland </w:t>
      </w:r>
      <w:r w:rsidR="002D400E">
        <w:t xml:space="preserve">has recently made </w:t>
      </w:r>
      <w:r w:rsidR="00C950D9">
        <w:t xml:space="preserve">some </w:t>
      </w:r>
      <w:r w:rsidR="005D7AAC">
        <w:t xml:space="preserve">databases </w:t>
      </w:r>
      <w:r w:rsidR="00C950D9">
        <w:t xml:space="preserve">available </w:t>
      </w:r>
      <w:r w:rsidR="00266BF0">
        <w:t>online</w:t>
      </w:r>
      <w:r w:rsidR="00207C3E">
        <w:t xml:space="preserve"> and </w:t>
      </w:r>
      <w:r w:rsidR="008238CD">
        <w:t xml:space="preserve">some </w:t>
      </w:r>
      <w:r w:rsidR="00207C3E">
        <w:t xml:space="preserve">other jurisdictions are making progress. </w:t>
      </w:r>
      <w:r w:rsidR="00544C64">
        <w:t>T</w:t>
      </w:r>
      <w:r w:rsidR="002D400E">
        <w:t>he Queensland Premier stated that:</w:t>
      </w:r>
    </w:p>
    <w:p w:rsidR="002D400E" w:rsidRDefault="002D400E" w:rsidP="00145755">
      <w:pPr>
        <w:pStyle w:val="Quote"/>
      </w:pPr>
      <w:r>
        <w:t>As a government, we collect, generate and use a lot of data. This data can deliver real benefits to the Queensland community and economy—if it is used in clever ways … we will be releasing as much of it as possible</w:t>
      </w:r>
      <w:r w:rsidR="00266BF0">
        <w:t xml:space="preserve"> … </w:t>
      </w:r>
      <w:r>
        <w:t>(Queensland Government 2013)</w:t>
      </w:r>
    </w:p>
    <w:p w:rsidR="00F12676" w:rsidRDefault="00F12676" w:rsidP="00F12676">
      <w:pPr>
        <w:pStyle w:val="BodyText"/>
      </w:pPr>
      <w:r>
        <w:t>Nationally, in 2</w:t>
      </w:r>
      <w:r w:rsidRPr="00CB42B9">
        <w:t xml:space="preserve">008, Australian governments </w:t>
      </w:r>
      <w:r w:rsidR="004A474F">
        <w:t>(</w:t>
      </w:r>
      <w:r w:rsidRPr="00CB42B9">
        <w:t xml:space="preserve">through </w:t>
      </w:r>
      <w:r w:rsidR="004A474F">
        <w:t>CoAG)</w:t>
      </w:r>
      <w:r>
        <w:t xml:space="preserve"> agreed to make </w:t>
      </w:r>
      <w:r w:rsidRPr="00CB42B9">
        <w:t xml:space="preserve">more </w:t>
      </w:r>
      <w:r>
        <w:t xml:space="preserve">administrative </w:t>
      </w:r>
      <w:r w:rsidRPr="00CB42B9">
        <w:t xml:space="preserve">data </w:t>
      </w:r>
      <w:r>
        <w:t xml:space="preserve">available for </w:t>
      </w:r>
      <w:r w:rsidRPr="00CB42B9">
        <w:t xml:space="preserve">performance reporting on health </w:t>
      </w:r>
      <w:r>
        <w:t xml:space="preserve">and </w:t>
      </w:r>
      <w:r w:rsidRPr="00CB42B9">
        <w:t>education system</w:t>
      </w:r>
      <w:r>
        <w:t>s;</w:t>
      </w:r>
      <w:r w:rsidRPr="00CB42B9">
        <w:t xml:space="preserve"> disability, community and housing services</w:t>
      </w:r>
      <w:r>
        <w:t xml:space="preserve">; </w:t>
      </w:r>
      <w:r w:rsidR="00266BF0">
        <w:t xml:space="preserve">and </w:t>
      </w:r>
      <w:r w:rsidR="004A474F">
        <w:t>the</w:t>
      </w:r>
      <w:r>
        <w:t xml:space="preserve"> ‘</w:t>
      </w:r>
      <w:r w:rsidRPr="00CB42B9">
        <w:t>Closing the Gap</w:t>
      </w:r>
      <w:r>
        <w:t>’</w:t>
      </w:r>
      <w:r w:rsidRPr="00CB42B9">
        <w:t xml:space="preserve"> targets for Aboriginal and Torres Strait Islander Australians</w:t>
      </w:r>
      <w:r>
        <w:t>.</w:t>
      </w:r>
    </w:p>
    <w:p w:rsidR="00C8533C" w:rsidRDefault="00C8533C" w:rsidP="00F12676">
      <w:pPr>
        <w:pStyle w:val="BodyText"/>
      </w:pPr>
      <w:r>
        <w:t>T</w:t>
      </w:r>
      <w:r w:rsidRPr="00C8533C">
        <w:t>he Australian Government is in the early stages of developing a big data strategy to ‘enhance cross-agency data analytic capability for improved policy and service delivery’ (</w:t>
      </w:r>
      <w:r w:rsidR="00AC725D">
        <w:t>Commonwealth of Australia</w:t>
      </w:r>
      <w:r w:rsidRPr="00C8533C">
        <w:t xml:space="preserve"> 2013, p. 4). </w:t>
      </w:r>
      <w:r w:rsidR="00BE14A3">
        <w:t xml:space="preserve">Its </w:t>
      </w:r>
      <w:r>
        <w:t>i</w:t>
      </w:r>
      <w:r w:rsidRPr="00C8533C">
        <w:t xml:space="preserve">ssues </w:t>
      </w:r>
      <w:r>
        <w:t>p</w:t>
      </w:r>
      <w:r w:rsidRPr="00C8533C">
        <w:t>aper highlight</w:t>
      </w:r>
      <w:r>
        <w:t>ed</w:t>
      </w:r>
      <w:r w:rsidRPr="00C8533C">
        <w:t xml:space="preserve"> the opportunities </w:t>
      </w:r>
      <w:r w:rsidR="00BE14A3">
        <w:t xml:space="preserve">and </w:t>
      </w:r>
      <w:r w:rsidR="00BE14A3" w:rsidRPr="00C8533C">
        <w:t xml:space="preserve">challenges </w:t>
      </w:r>
      <w:r w:rsidR="00BE14A3">
        <w:t xml:space="preserve">(e.g. </w:t>
      </w:r>
      <w:r w:rsidR="00BE14A3" w:rsidRPr="00C8533C">
        <w:t>privacy</w:t>
      </w:r>
      <w:r w:rsidR="00BE14A3">
        <w:t xml:space="preserve">, </w:t>
      </w:r>
      <w:r w:rsidR="00BE14A3" w:rsidRPr="00C8533C">
        <w:t>data management</w:t>
      </w:r>
      <w:r w:rsidR="00BE14A3">
        <w:t xml:space="preserve"> and </w:t>
      </w:r>
      <w:r w:rsidR="00BE14A3" w:rsidRPr="00C8533C">
        <w:t>skills</w:t>
      </w:r>
      <w:r w:rsidR="00BE14A3">
        <w:t>).</w:t>
      </w:r>
    </w:p>
    <w:p w:rsidR="000A59DC" w:rsidRDefault="00CB42B9" w:rsidP="005F30AF">
      <w:pPr>
        <w:pStyle w:val="BodyText"/>
      </w:pPr>
      <w:r w:rsidRPr="000A59DC">
        <w:t xml:space="preserve">Drawing on the </w:t>
      </w:r>
      <w:r w:rsidR="00A378C6">
        <w:t xml:space="preserve">data linkage </w:t>
      </w:r>
      <w:r w:rsidRPr="000A59DC">
        <w:t xml:space="preserve">experience of WA, the Population Health Research Network (PHRN) is an Australian Government initiative to build a nationwide data </w:t>
      </w:r>
      <w:r w:rsidRPr="000A59DC">
        <w:lastRenderedPageBreak/>
        <w:t xml:space="preserve">linkage infrastructure and enhance the way health and health related data </w:t>
      </w:r>
      <w:r>
        <w:t>are</w:t>
      </w:r>
      <w:r w:rsidRPr="000A59DC">
        <w:t xml:space="preserve"> made available to approved researchers. </w:t>
      </w:r>
      <w:r w:rsidR="00336992">
        <w:t>It i</w:t>
      </w:r>
      <w:r w:rsidRPr="000A59DC">
        <w:t xml:space="preserve">s a collaboration between the </w:t>
      </w:r>
      <w:r w:rsidR="00406C5A">
        <w:t xml:space="preserve">WA </w:t>
      </w:r>
      <w:r w:rsidRPr="000A59DC">
        <w:t>Centre for Data Linkage</w:t>
      </w:r>
      <w:r w:rsidR="00A378C6">
        <w:t>,</w:t>
      </w:r>
      <w:r w:rsidRPr="000A59DC">
        <w:t xml:space="preserve"> </w:t>
      </w:r>
      <w:r w:rsidR="007274C4">
        <w:t xml:space="preserve">Telethon Institute for Child Health Research WA, </w:t>
      </w:r>
      <w:r w:rsidR="00406C5A" w:rsidRPr="00406C5A">
        <w:t xml:space="preserve">AIHW, the Sax Institute and </w:t>
      </w:r>
      <w:r w:rsidRPr="000A59DC">
        <w:t>state</w:t>
      </w:r>
      <w:r w:rsidR="00A378C6">
        <w:t xml:space="preserve"> and </w:t>
      </w:r>
      <w:r w:rsidRPr="000A59DC">
        <w:t>territory data collat</w:t>
      </w:r>
      <w:r>
        <w:t>ion</w:t>
      </w:r>
      <w:r w:rsidRPr="000A59DC">
        <w:t xml:space="preserve"> units. The PHRN </w:t>
      </w:r>
      <w:r w:rsidRPr="00EF6A64">
        <w:rPr>
          <w:i/>
        </w:rPr>
        <w:t>Proof of Concept Collaboration #1</w:t>
      </w:r>
      <w:r w:rsidRPr="000A59DC">
        <w:t xml:space="preserve"> project aims to link hospital admission data with hospital</w:t>
      </w:r>
      <w:r>
        <w:t>-</w:t>
      </w:r>
      <w:r w:rsidRPr="000A59DC">
        <w:t xml:space="preserve">related deaths across different states. </w:t>
      </w:r>
      <w:r>
        <w:t>T</w:t>
      </w:r>
      <w:r w:rsidRPr="000A59DC">
        <w:t>h</w:t>
      </w:r>
      <w:r>
        <w:t>e</w:t>
      </w:r>
      <w:r w:rsidRPr="000A59DC">
        <w:t xml:space="preserve"> </w:t>
      </w:r>
      <w:r w:rsidR="007274C4">
        <w:t>project</w:t>
      </w:r>
      <w:r w:rsidRPr="000A59DC">
        <w:t xml:space="preserve"> will test data transfer and linkage processes.</w:t>
      </w:r>
      <w:r>
        <w:t xml:space="preserve"> </w:t>
      </w:r>
      <w:r w:rsidR="00207C3E">
        <w:t xml:space="preserve">While </w:t>
      </w:r>
      <w:r w:rsidR="008238CD">
        <w:t xml:space="preserve">most </w:t>
      </w:r>
      <w:r w:rsidR="00207C3E">
        <w:t xml:space="preserve">states have </w:t>
      </w:r>
      <w:r w:rsidR="008238CD">
        <w:t xml:space="preserve">made progress developing </w:t>
      </w:r>
      <w:r w:rsidR="00207C3E">
        <w:t>linkage capabilit</w:t>
      </w:r>
      <w:r w:rsidR="008238CD">
        <w:t>ies,</w:t>
      </w:r>
      <w:r w:rsidR="00207C3E">
        <w:t xml:space="preserve"> </w:t>
      </w:r>
      <w:r w:rsidR="008238CD">
        <w:t>lengthy delays occur with access to data owing to protracted approvals processes.</w:t>
      </w:r>
      <w:r w:rsidR="00207C3E">
        <w:t xml:space="preserve"> </w:t>
      </w:r>
    </w:p>
    <w:p w:rsidR="00A22F34" w:rsidRDefault="008E48B0" w:rsidP="005F30AF">
      <w:pPr>
        <w:pStyle w:val="BodyText"/>
      </w:pPr>
      <w:r>
        <w:t>A</w:t>
      </w:r>
      <w:r w:rsidR="000A59DC" w:rsidRPr="000A59DC">
        <w:t xml:space="preserve"> Statistical Data Integration Involving Commonwealth Data (SDIICD) initiative was established in 2009 to ‘create an Australian Government approach to facilitate linkage of social, economic and environmental data for statistical and research purposes’ (CPSIC 2010, p. 2). </w:t>
      </w:r>
      <w:r w:rsidR="00336992">
        <w:t>A</w:t>
      </w:r>
      <w:r w:rsidR="00A22F34">
        <w:t xml:space="preserve"> cross portfolio board oversees the data integration environment. All data integration projects under the SDIICD require an ‘Integrating Authority’ to be accountable for the project</w:t>
      </w:r>
      <w:r w:rsidR="00336992">
        <w:t xml:space="preserve"> and p</w:t>
      </w:r>
      <w:r w:rsidR="00A22F34">
        <w:t xml:space="preserve">rojects considered high risk must use an </w:t>
      </w:r>
      <w:r w:rsidR="00D12BAA">
        <w:t>‘A</w:t>
      </w:r>
      <w:r w:rsidR="00A22F34">
        <w:t>ccredited Integrating Authority</w:t>
      </w:r>
      <w:r w:rsidR="00D12BAA">
        <w:t>’</w:t>
      </w:r>
      <w:r w:rsidR="00A22F34">
        <w:t>. The ABS and the AIHW are currently the only two accredited authorities (NSS 2011).</w:t>
      </w:r>
      <w:r w:rsidR="000C1B47">
        <w:rPr>
          <w:rStyle w:val="FootnoteReference"/>
        </w:rPr>
        <w:footnoteReference w:id="4"/>
      </w:r>
      <w:r w:rsidR="00A22F34">
        <w:t xml:space="preserve"> </w:t>
      </w:r>
    </w:p>
    <w:p w:rsidR="00381449" w:rsidRPr="00EC7ABC" w:rsidRDefault="00EF73B8" w:rsidP="005F30AF">
      <w:pPr>
        <w:pStyle w:val="BodyText"/>
        <w:rPr>
          <w:szCs w:val="26"/>
        </w:rPr>
      </w:pPr>
      <w:r>
        <w:rPr>
          <w:szCs w:val="26"/>
        </w:rPr>
        <w:t xml:space="preserve">While these institutional arrangements now in place could facilitate data linkage and access for research, it is important that they do not become </w:t>
      </w:r>
      <w:r w:rsidR="00952FE5">
        <w:rPr>
          <w:szCs w:val="26"/>
        </w:rPr>
        <w:t>too onerous and ‘chill’, rather than encourage, collaboration</w:t>
      </w:r>
      <w:r>
        <w:rPr>
          <w:szCs w:val="26"/>
        </w:rPr>
        <w:t>. For example, t</w:t>
      </w:r>
      <w:r w:rsidR="00EC7ABC" w:rsidRPr="00EC7ABC">
        <w:rPr>
          <w:szCs w:val="26"/>
        </w:rPr>
        <w:t xml:space="preserve">hrough </w:t>
      </w:r>
      <w:r w:rsidR="00EC7ABC">
        <w:rPr>
          <w:szCs w:val="26"/>
        </w:rPr>
        <w:t xml:space="preserve">its National Performance Reporting role, </w:t>
      </w:r>
      <w:r w:rsidR="00381449" w:rsidRPr="00EC7ABC">
        <w:rPr>
          <w:szCs w:val="26"/>
        </w:rPr>
        <w:t>the Commission</w:t>
      </w:r>
      <w:r w:rsidR="00EC7ABC">
        <w:rPr>
          <w:szCs w:val="26"/>
        </w:rPr>
        <w:t xml:space="preserve"> has found </w:t>
      </w:r>
      <w:r w:rsidR="00381449" w:rsidRPr="00EC7ABC">
        <w:rPr>
          <w:szCs w:val="26"/>
        </w:rPr>
        <w:t xml:space="preserve">the </w:t>
      </w:r>
      <w:r w:rsidR="00EC7ABC" w:rsidRPr="00EC7ABC">
        <w:rPr>
          <w:szCs w:val="26"/>
        </w:rPr>
        <w:t xml:space="preserve">SDIICD initiative </w:t>
      </w:r>
      <w:r w:rsidR="00051179" w:rsidRPr="00EC7ABC">
        <w:rPr>
          <w:szCs w:val="26"/>
        </w:rPr>
        <w:t xml:space="preserve">requirements </w:t>
      </w:r>
      <w:r w:rsidR="00051179">
        <w:rPr>
          <w:szCs w:val="26"/>
        </w:rPr>
        <w:t xml:space="preserve">— such as </w:t>
      </w:r>
      <w:r w:rsidR="00051179" w:rsidRPr="00EC7ABC">
        <w:rPr>
          <w:szCs w:val="26"/>
        </w:rPr>
        <w:t>the need to use a registered integrating authority rather than allowing work to be done in-house</w:t>
      </w:r>
      <w:r w:rsidR="00051179">
        <w:rPr>
          <w:szCs w:val="26"/>
        </w:rPr>
        <w:t xml:space="preserve"> —</w:t>
      </w:r>
      <w:r w:rsidR="00051179" w:rsidRPr="00EC7ABC">
        <w:rPr>
          <w:szCs w:val="26"/>
        </w:rPr>
        <w:t xml:space="preserve"> </w:t>
      </w:r>
      <w:r w:rsidR="00EC7ABC">
        <w:rPr>
          <w:szCs w:val="26"/>
        </w:rPr>
        <w:t xml:space="preserve">to be </w:t>
      </w:r>
      <w:r w:rsidR="00D12BAA">
        <w:rPr>
          <w:szCs w:val="26"/>
        </w:rPr>
        <w:t xml:space="preserve">unduly </w:t>
      </w:r>
      <w:r w:rsidR="00A2532C" w:rsidRPr="00EC7ABC">
        <w:rPr>
          <w:szCs w:val="26"/>
        </w:rPr>
        <w:t xml:space="preserve">burdensome. </w:t>
      </w:r>
      <w:r w:rsidR="00EC7ABC">
        <w:rPr>
          <w:szCs w:val="26"/>
        </w:rPr>
        <w:t xml:space="preserve">In addition, while </w:t>
      </w:r>
      <w:r w:rsidR="008D1422">
        <w:rPr>
          <w:szCs w:val="26"/>
        </w:rPr>
        <w:t>M</w:t>
      </w:r>
      <w:r w:rsidR="00A2532C" w:rsidRPr="00EC7ABC">
        <w:rPr>
          <w:szCs w:val="26"/>
        </w:rPr>
        <w:t xml:space="preserve">inisters agree </w:t>
      </w:r>
      <w:r w:rsidR="00EC7ABC">
        <w:rPr>
          <w:szCs w:val="26"/>
        </w:rPr>
        <w:t xml:space="preserve">to </w:t>
      </w:r>
      <w:r w:rsidR="00A2532C" w:rsidRPr="00EC7ABC">
        <w:rPr>
          <w:szCs w:val="26"/>
        </w:rPr>
        <w:t xml:space="preserve">the contents of National Minimum Data Set collections, which are managed by the AIHW, </w:t>
      </w:r>
      <w:r w:rsidR="00EC7ABC">
        <w:rPr>
          <w:szCs w:val="26"/>
        </w:rPr>
        <w:t xml:space="preserve">they </w:t>
      </w:r>
      <w:r w:rsidR="00A2532C" w:rsidRPr="00EC7ABC">
        <w:rPr>
          <w:szCs w:val="26"/>
        </w:rPr>
        <w:t xml:space="preserve">insist on signing off any release of </w:t>
      </w:r>
      <w:r w:rsidR="00EC7ABC">
        <w:rPr>
          <w:szCs w:val="26"/>
        </w:rPr>
        <w:t xml:space="preserve">that </w:t>
      </w:r>
      <w:r w:rsidR="00A2532C" w:rsidRPr="00EC7ABC">
        <w:rPr>
          <w:szCs w:val="26"/>
        </w:rPr>
        <w:t xml:space="preserve">data. </w:t>
      </w:r>
      <w:r w:rsidR="00EC7ABC">
        <w:rPr>
          <w:szCs w:val="26"/>
        </w:rPr>
        <w:t>T</w:t>
      </w:r>
      <w:r w:rsidR="00EC7ABC" w:rsidRPr="00EC7ABC">
        <w:rPr>
          <w:szCs w:val="26"/>
        </w:rPr>
        <w:t xml:space="preserve">he Commission has </w:t>
      </w:r>
      <w:r w:rsidR="00EC7ABC">
        <w:rPr>
          <w:szCs w:val="26"/>
        </w:rPr>
        <w:t xml:space="preserve">also </w:t>
      </w:r>
      <w:r w:rsidR="004F4726">
        <w:rPr>
          <w:szCs w:val="26"/>
        </w:rPr>
        <w:t xml:space="preserve">asked </w:t>
      </w:r>
      <w:r w:rsidR="00EC7ABC">
        <w:rPr>
          <w:szCs w:val="26"/>
        </w:rPr>
        <w:t>t</w:t>
      </w:r>
      <w:r w:rsidR="00A2532C" w:rsidRPr="00EC7ABC">
        <w:rPr>
          <w:szCs w:val="26"/>
        </w:rPr>
        <w:t xml:space="preserve">he ABS </w:t>
      </w:r>
      <w:r w:rsidR="004F4726">
        <w:rPr>
          <w:szCs w:val="26"/>
        </w:rPr>
        <w:t xml:space="preserve">to </w:t>
      </w:r>
      <w:r w:rsidR="00A2532C" w:rsidRPr="00EC7ABC">
        <w:rPr>
          <w:szCs w:val="26"/>
        </w:rPr>
        <w:t xml:space="preserve">release non-contentious data under embargo for National </w:t>
      </w:r>
      <w:r w:rsidR="00EC7ABC" w:rsidRPr="00EC7ABC">
        <w:rPr>
          <w:szCs w:val="26"/>
        </w:rPr>
        <w:t>P</w:t>
      </w:r>
      <w:r w:rsidR="00A2532C" w:rsidRPr="00EC7ABC">
        <w:rPr>
          <w:szCs w:val="26"/>
        </w:rPr>
        <w:t>erformance Reporting</w:t>
      </w:r>
      <w:r w:rsidR="008D1422">
        <w:rPr>
          <w:szCs w:val="26"/>
        </w:rPr>
        <w:t xml:space="preserve"> </w:t>
      </w:r>
      <w:r w:rsidR="004F4726">
        <w:rPr>
          <w:szCs w:val="26"/>
        </w:rPr>
        <w:t xml:space="preserve">— </w:t>
      </w:r>
      <w:r w:rsidR="00EC7ABC">
        <w:rPr>
          <w:szCs w:val="26"/>
        </w:rPr>
        <w:t>as o</w:t>
      </w:r>
      <w:r w:rsidR="00A2532C" w:rsidRPr="00EC7ABC">
        <w:rPr>
          <w:szCs w:val="26"/>
        </w:rPr>
        <w:t>ther data providers do routinely</w:t>
      </w:r>
      <w:r w:rsidR="004F4726">
        <w:rPr>
          <w:szCs w:val="26"/>
        </w:rPr>
        <w:t xml:space="preserve"> — </w:t>
      </w:r>
      <w:r w:rsidR="00A2532C" w:rsidRPr="00EC7ABC">
        <w:rPr>
          <w:szCs w:val="26"/>
        </w:rPr>
        <w:t xml:space="preserve">but </w:t>
      </w:r>
      <w:r w:rsidR="00EC7ABC">
        <w:rPr>
          <w:szCs w:val="26"/>
        </w:rPr>
        <w:t>no a</w:t>
      </w:r>
      <w:r w:rsidR="004631DE">
        <w:rPr>
          <w:szCs w:val="26"/>
        </w:rPr>
        <w:t>ction has occurred to date</w:t>
      </w:r>
      <w:r w:rsidR="00EC7ABC">
        <w:rPr>
          <w:szCs w:val="26"/>
        </w:rPr>
        <w:t xml:space="preserve">. </w:t>
      </w:r>
      <w:r w:rsidR="00A2532C" w:rsidRPr="00EC7ABC">
        <w:rPr>
          <w:szCs w:val="26"/>
        </w:rPr>
        <w:t xml:space="preserve"> </w:t>
      </w:r>
    </w:p>
    <w:p w:rsidR="009E1844" w:rsidRDefault="007A2D67" w:rsidP="00DA5F85">
      <w:pPr>
        <w:pStyle w:val="Heading2"/>
        <w:spacing w:before="480"/>
      </w:pPr>
      <w:r>
        <w:t>A sustai</w:t>
      </w:r>
      <w:r w:rsidR="006F5B6A">
        <w:t>ned and concerted effort is nee</w:t>
      </w:r>
      <w:r>
        <w:t>ded</w:t>
      </w:r>
    </w:p>
    <w:p w:rsidR="007904BF" w:rsidRDefault="007904BF" w:rsidP="005F30AF">
      <w:pPr>
        <w:pStyle w:val="BodyText"/>
      </w:pPr>
      <w:r w:rsidRPr="007904BF">
        <w:t xml:space="preserve">Policy-making based on good evidence is central to improving community living standards. </w:t>
      </w:r>
      <w:r>
        <w:t xml:space="preserve">Tackling </w:t>
      </w:r>
      <w:r w:rsidRPr="007904BF">
        <w:t>community concerns about policy problems with expenditure announcements is not</w:t>
      </w:r>
      <w:r>
        <w:t>, of itself,</w:t>
      </w:r>
      <w:r w:rsidRPr="007904BF">
        <w:t xml:space="preserve"> sufficient. For expenditures to be effective and efficient they need to </w:t>
      </w:r>
      <w:r w:rsidR="003E198B">
        <w:t xml:space="preserve">be based on </w:t>
      </w:r>
      <w:r w:rsidRPr="007904BF">
        <w:t xml:space="preserve">analysis </w:t>
      </w:r>
      <w:r w:rsidR="003E198B">
        <w:t xml:space="preserve">using </w:t>
      </w:r>
      <w:r w:rsidRPr="007904BF">
        <w:t>the best information available</w:t>
      </w:r>
      <w:r>
        <w:t>. A rich vein of evidence resides within a</w:t>
      </w:r>
      <w:r w:rsidRPr="007904BF">
        <w:t xml:space="preserve">dministrative databases. </w:t>
      </w:r>
      <w:r w:rsidR="00B37A17">
        <w:t>A</w:t>
      </w:r>
      <w:r w:rsidR="00B37A17" w:rsidRPr="007904BF">
        <w:t xml:space="preserve"> </w:t>
      </w:r>
      <w:r>
        <w:t>f</w:t>
      </w:r>
      <w:r w:rsidRPr="007904BF">
        <w:t xml:space="preserve">ailure to </w:t>
      </w:r>
      <w:r>
        <w:t>exploit</w:t>
      </w:r>
      <w:r w:rsidRPr="007904BF">
        <w:t xml:space="preserve"> </w:t>
      </w:r>
      <w:r w:rsidRPr="007904BF">
        <w:lastRenderedPageBreak/>
        <w:t xml:space="preserve">this evidence </w:t>
      </w:r>
      <w:r w:rsidR="00B37A17">
        <w:t xml:space="preserve">would be a missed opportunity </w:t>
      </w:r>
      <w:r w:rsidRPr="007904BF">
        <w:t>given Australia’s demographic and structural budget challenges.</w:t>
      </w:r>
    </w:p>
    <w:p w:rsidR="008E501C" w:rsidRDefault="00D16A98" w:rsidP="005F30AF">
      <w:pPr>
        <w:pStyle w:val="BodyText"/>
      </w:pPr>
      <w:r>
        <w:t>T</w:t>
      </w:r>
      <w:r w:rsidR="00D12BAA">
        <w:t xml:space="preserve">he </w:t>
      </w:r>
      <w:r w:rsidR="00F11278">
        <w:t xml:space="preserve">Australian Government </w:t>
      </w:r>
      <w:r>
        <w:t xml:space="preserve">has made </w:t>
      </w:r>
      <w:r w:rsidR="00D12BAA">
        <w:t xml:space="preserve">statements </w:t>
      </w:r>
      <w:r w:rsidR="00356C36">
        <w:t xml:space="preserve">recognising </w:t>
      </w:r>
      <w:r w:rsidR="00D12BAA">
        <w:t xml:space="preserve">the benefits </w:t>
      </w:r>
      <w:r w:rsidR="00F11278">
        <w:t xml:space="preserve">from better use of </w:t>
      </w:r>
      <w:r w:rsidR="00D12BAA">
        <w:t>administrative data</w:t>
      </w:r>
      <w:r w:rsidR="00F11278">
        <w:t xml:space="preserve"> and </w:t>
      </w:r>
      <w:r>
        <w:t xml:space="preserve">introduced </w:t>
      </w:r>
      <w:r w:rsidR="0052347C">
        <w:t>strategies</w:t>
      </w:r>
      <w:r w:rsidR="00D12BAA">
        <w:t xml:space="preserve"> </w:t>
      </w:r>
      <w:r w:rsidR="00356C36">
        <w:t xml:space="preserve">and </w:t>
      </w:r>
      <w:r w:rsidR="0052347C">
        <w:t xml:space="preserve">integration </w:t>
      </w:r>
      <w:r w:rsidR="004631DE">
        <w:t>initiatives</w:t>
      </w:r>
      <w:r w:rsidR="00D12BAA">
        <w:t xml:space="preserve"> with </w:t>
      </w:r>
      <w:r w:rsidR="00356C36">
        <w:t xml:space="preserve">new </w:t>
      </w:r>
      <w:r w:rsidR="00D12BAA">
        <w:t xml:space="preserve">administrative architecture. All of this seems </w:t>
      </w:r>
      <w:r w:rsidR="004631DE">
        <w:t xml:space="preserve">positive, </w:t>
      </w:r>
      <w:r w:rsidR="00D12BAA">
        <w:t>but i</w:t>
      </w:r>
      <w:r w:rsidR="000C1B47">
        <w:t>t</w:t>
      </w:r>
      <w:r w:rsidR="00D12BAA">
        <w:t xml:space="preserve"> has </w:t>
      </w:r>
      <w:r w:rsidR="00843BFD">
        <w:t xml:space="preserve">not </w:t>
      </w:r>
      <w:r w:rsidR="00F16E87">
        <w:t xml:space="preserve">yet </w:t>
      </w:r>
      <w:r w:rsidR="00843BFD">
        <w:t xml:space="preserve">been matched by </w:t>
      </w:r>
      <w:r w:rsidR="00CA1B9A">
        <w:t xml:space="preserve">open </w:t>
      </w:r>
      <w:r w:rsidR="00843BFD">
        <w:t xml:space="preserve">access </w:t>
      </w:r>
      <w:r w:rsidR="006D0205">
        <w:t>to</w:t>
      </w:r>
      <w:r w:rsidR="00843BFD">
        <w:t xml:space="preserve"> data for </w:t>
      </w:r>
      <w:r w:rsidR="00661BEC">
        <w:t xml:space="preserve">independent </w:t>
      </w:r>
      <w:r w:rsidR="00843BFD">
        <w:t>policy research. T</w:t>
      </w:r>
      <w:r w:rsidR="00CB7EC8">
        <w:t xml:space="preserve">he </w:t>
      </w:r>
      <w:r w:rsidR="00571BAF">
        <w:t xml:space="preserve">frustrations </w:t>
      </w:r>
      <w:r w:rsidR="006D0205">
        <w:t xml:space="preserve">here are </w:t>
      </w:r>
      <w:r w:rsidR="008E501C">
        <w:t xml:space="preserve">eerily </w:t>
      </w:r>
      <w:r w:rsidR="00730D3C">
        <w:t>similar</w:t>
      </w:r>
      <w:r w:rsidR="008E501C">
        <w:t xml:space="preserve"> to th</w:t>
      </w:r>
      <w:r w:rsidR="00CB7EC8">
        <w:t>ose</w:t>
      </w:r>
      <w:r w:rsidR="008E501C">
        <w:t xml:space="preserve"> </w:t>
      </w:r>
      <w:r w:rsidR="006D0205">
        <w:t>in th</w:t>
      </w:r>
      <w:r w:rsidR="008E501C">
        <w:t>e U</w:t>
      </w:r>
      <w:r w:rsidR="00CB7EC8">
        <w:t>nited Kingdom</w:t>
      </w:r>
      <w:r w:rsidR="008E501C">
        <w:t>.</w:t>
      </w:r>
    </w:p>
    <w:p w:rsidR="00571BAF" w:rsidRDefault="008E501C" w:rsidP="00EF6A64">
      <w:pPr>
        <w:pStyle w:val="Quote"/>
      </w:pPr>
      <w:r>
        <w:t xml:space="preserve">… there are examples in the UK of administrative data being linked between government departments and used for research purposes. However, the number of examples is too few, the time taken to get agreement to use such data is too long, inconsistent decisions are being taken within </w:t>
      </w:r>
      <w:r w:rsidR="00C80BEE">
        <w:t>government departments concerning rules of access and, most frustratingly, the legislative framework provided to allow for linkages to be made across departments is cumbersome and inefficient</w:t>
      </w:r>
      <w:r w:rsidR="000D7E62">
        <w:t>.</w:t>
      </w:r>
      <w:r w:rsidR="00C80BEE">
        <w:t xml:space="preserve"> (Boyle 2012,</w:t>
      </w:r>
      <w:r w:rsidR="00CB7EC8">
        <w:t> </w:t>
      </w:r>
      <w:r w:rsidR="00C80BEE">
        <w:t>p. ii)</w:t>
      </w:r>
      <w:r w:rsidR="00571BAF">
        <w:t xml:space="preserve"> </w:t>
      </w:r>
    </w:p>
    <w:p w:rsidR="00F03FB3" w:rsidRDefault="006F0BFD" w:rsidP="005F30AF">
      <w:pPr>
        <w:pStyle w:val="BodyText"/>
      </w:pPr>
      <w:r>
        <w:t>T</w:t>
      </w:r>
      <w:r w:rsidR="00FE2331">
        <w:t xml:space="preserve">here </w:t>
      </w:r>
      <w:r w:rsidR="00CB7EC8">
        <w:t xml:space="preserve">appears to be </w:t>
      </w:r>
      <w:r w:rsidR="00FE2331" w:rsidRPr="000A7AED">
        <w:t>a</w:t>
      </w:r>
      <w:r w:rsidR="00FE2331" w:rsidRPr="005D2B69">
        <w:t xml:space="preserve"> </w:t>
      </w:r>
      <w:r w:rsidR="005D7AAC">
        <w:t xml:space="preserve">similar </w:t>
      </w:r>
      <w:r w:rsidR="00FE2331">
        <w:t xml:space="preserve">lack of </w:t>
      </w:r>
      <w:r w:rsidR="00866C42">
        <w:t xml:space="preserve">durable commitment </w:t>
      </w:r>
      <w:r w:rsidR="00AC6130">
        <w:t xml:space="preserve">by the Australian Government and most state and territory governments </w:t>
      </w:r>
      <w:r w:rsidR="00866C42">
        <w:t>to make better use of data</w:t>
      </w:r>
      <w:r w:rsidR="000C1B47">
        <w:t xml:space="preserve">. </w:t>
      </w:r>
      <w:r w:rsidR="00866C42">
        <w:t xml:space="preserve">On occasion, </w:t>
      </w:r>
      <w:r w:rsidR="00CA1B9A">
        <w:t>‘</w:t>
      </w:r>
      <w:r w:rsidR="009B1D73">
        <w:t xml:space="preserve">reform </w:t>
      </w:r>
      <w:r w:rsidR="00CA1B9A">
        <w:t xml:space="preserve">champions’ </w:t>
      </w:r>
      <w:r w:rsidR="008804C2">
        <w:t xml:space="preserve">within government </w:t>
      </w:r>
      <w:r w:rsidR="00866C42">
        <w:t xml:space="preserve">have sought </w:t>
      </w:r>
      <w:r w:rsidR="00F03FB3">
        <w:t xml:space="preserve">to </w:t>
      </w:r>
      <w:r w:rsidR="00E05687">
        <w:t xml:space="preserve">release </w:t>
      </w:r>
      <w:r w:rsidR="009B1D73">
        <w:t xml:space="preserve">data </w:t>
      </w:r>
      <w:r w:rsidR="00866C42">
        <w:t xml:space="preserve">in order </w:t>
      </w:r>
      <w:r w:rsidR="009B1D73">
        <w:t xml:space="preserve">to </w:t>
      </w:r>
      <w:r w:rsidR="00F03FB3">
        <w:t>improve outcomes</w:t>
      </w:r>
      <w:r w:rsidR="00697DE7">
        <w:t xml:space="preserve"> for the community</w:t>
      </w:r>
      <w:r w:rsidR="00661BEC">
        <w:t>,</w:t>
      </w:r>
      <w:r w:rsidR="00F03FB3">
        <w:t xml:space="preserve"> </w:t>
      </w:r>
      <w:r w:rsidR="00866C42">
        <w:t xml:space="preserve">but </w:t>
      </w:r>
      <w:r w:rsidR="00F03FB3">
        <w:t xml:space="preserve">sustaining momentum with changing </w:t>
      </w:r>
      <w:r w:rsidR="00CA1B9A">
        <w:t xml:space="preserve">personnel </w:t>
      </w:r>
      <w:r w:rsidR="00F03FB3">
        <w:t xml:space="preserve">and shifting priorities is challenging. </w:t>
      </w:r>
    </w:p>
    <w:p w:rsidR="00FE2331" w:rsidRDefault="00204CF9" w:rsidP="005F30AF">
      <w:pPr>
        <w:pStyle w:val="BodyText"/>
      </w:pPr>
      <w:r>
        <w:t>O</w:t>
      </w:r>
      <w:r w:rsidR="00F03FB3">
        <w:t xml:space="preserve">ther nations </w:t>
      </w:r>
      <w:r w:rsidR="007905B2">
        <w:t>and Western Austral</w:t>
      </w:r>
      <w:r w:rsidR="005C7069">
        <w:t>i</w:t>
      </w:r>
      <w:r w:rsidR="007905B2">
        <w:t xml:space="preserve">a </w:t>
      </w:r>
      <w:r w:rsidR="00BE14A3">
        <w:t xml:space="preserve">— especially where it has been </w:t>
      </w:r>
      <w:r w:rsidR="00D16A98">
        <w:t xml:space="preserve">able to </w:t>
      </w:r>
      <w:r w:rsidR="00F83BB0">
        <w:t xml:space="preserve">link to </w:t>
      </w:r>
      <w:r w:rsidR="00BE14A3">
        <w:t xml:space="preserve">Commonwealth health data — </w:t>
      </w:r>
      <w:r w:rsidR="006F0BFD">
        <w:t>have shown t</w:t>
      </w:r>
      <w:r w:rsidR="00F03FB3">
        <w:t>h</w:t>
      </w:r>
      <w:r w:rsidR="00661BEC">
        <w:t xml:space="preserve">at </w:t>
      </w:r>
      <w:r w:rsidR="00356C36">
        <w:t xml:space="preserve">harnessing administrative </w:t>
      </w:r>
      <w:r w:rsidR="00352664">
        <w:t xml:space="preserve">data can </w:t>
      </w:r>
      <w:r w:rsidR="008D455B">
        <w:t>deliver substantial benefits with low risks</w:t>
      </w:r>
      <w:r w:rsidR="00D16A98">
        <w:t xml:space="preserve">, </w:t>
      </w:r>
      <w:r w:rsidR="008D455B">
        <w:t>manageable costs</w:t>
      </w:r>
      <w:r w:rsidR="00D16A98">
        <w:t xml:space="preserve"> and in ways that protect people’s </w:t>
      </w:r>
      <w:r w:rsidR="00D16A98" w:rsidRPr="00635201">
        <w:t>privacy</w:t>
      </w:r>
      <w:r w:rsidR="007905B2">
        <w:t>.</w:t>
      </w:r>
      <w:r w:rsidR="004631DE">
        <w:t xml:space="preserve"> Given the magnitude of current (and projected) expenditures in social programs, the </w:t>
      </w:r>
      <w:r w:rsidR="0052347C">
        <w:t xml:space="preserve">relatively small </w:t>
      </w:r>
      <w:r w:rsidR="004631DE">
        <w:t xml:space="preserve">costs of establishing </w:t>
      </w:r>
      <w:r w:rsidR="0052347C">
        <w:t xml:space="preserve">systems </w:t>
      </w:r>
      <w:r w:rsidR="004631DE">
        <w:t xml:space="preserve">for </w:t>
      </w:r>
      <w:r w:rsidR="00587353">
        <w:t xml:space="preserve">greater </w:t>
      </w:r>
      <w:r w:rsidR="004631DE">
        <w:t xml:space="preserve">access to </w:t>
      </w:r>
      <w:r w:rsidR="000C1B47">
        <w:t xml:space="preserve">public </w:t>
      </w:r>
      <w:r w:rsidR="004631DE">
        <w:t xml:space="preserve">data </w:t>
      </w:r>
      <w:r w:rsidR="00D16A98">
        <w:t xml:space="preserve">would be worthwhile. </w:t>
      </w:r>
    </w:p>
    <w:p w:rsidR="00352664" w:rsidRDefault="00A951DB" w:rsidP="005F30AF">
      <w:pPr>
        <w:pStyle w:val="BodyText"/>
      </w:pPr>
      <w:r>
        <w:t xml:space="preserve">Australia has an opportunity to support more open government, improve policy evaluation and strengthen public research. </w:t>
      </w:r>
      <w:r w:rsidR="00661BEC">
        <w:t>R</w:t>
      </w:r>
      <w:r>
        <w:t>ealising th</w:t>
      </w:r>
      <w:r w:rsidR="000C1B47">
        <w:t>ese</w:t>
      </w:r>
      <w:r>
        <w:t xml:space="preserve"> goal</w:t>
      </w:r>
      <w:r w:rsidR="000C1B47">
        <w:t>s</w:t>
      </w:r>
      <w:r>
        <w:t xml:space="preserve"> requires political </w:t>
      </w:r>
      <w:r w:rsidR="00E72213">
        <w:t>will</w:t>
      </w:r>
      <w:r w:rsidR="00587353">
        <w:t>,</w:t>
      </w:r>
      <w:r w:rsidR="00E72213">
        <w:t xml:space="preserve"> articulated </w:t>
      </w:r>
      <w:r w:rsidR="00697DE7">
        <w:t>at</w:t>
      </w:r>
      <w:r w:rsidR="00E72213">
        <w:t xml:space="preserve"> the highest levels</w:t>
      </w:r>
      <w:r w:rsidR="00587353">
        <w:t xml:space="preserve">, </w:t>
      </w:r>
      <w:r w:rsidR="00D43A6F">
        <w:t xml:space="preserve">to </w:t>
      </w:r>
      <w:r w:rsidR="00CA1B9A">
        <w:t xml:space="preserve">persevere with </w:t>
      </w:r>
      <w:r w:rsidR="00D43A6F">
        <w:t xml:space="preserve">a concerted strategy </w:t>
      </w:r>
      <w:r w:rsidR="00661BEC">
        <w:t>with</w:t>
      </w:r>
      <w:r w:rsidR="00D43A6F">
        <w:t xml:space="preserve"> </w:t>
      </w:r>
      <w:r w:rsidR="00CA1B9A">
        <w:t>c</w:t>
      </w:r>
      <w:r w:rsidR="00D43A6F">
        <w:t>lear</w:t>
      </w:r>
      <w:r w:rsidR="00B015AB">
        <w:t xml:space="preserve"> </w:t>
      </w:r>
      <w:r w:rsidR="00D43A6F">
        <w:t>timeframe</w:t>
      </w:r>
      <w:r w:rsidR="00CA1B9A">
        <w:t>s</w:t>
      </w:r>
      <w:r w:rsidR="00DA5F85">
        <w:t xml:space="preserve"> based on the principle that open access to de-identified information should be a default position</w:t>
      </w:r>
      <w:r w:rsidR="007905B2">
        <w:t>. R</w:t>
      </w:r>
      <w:r w:rsidR="00D43A6F">
        <w:t>ealistically</w:t>
      </w:r>
      <w:r w:rsidR="00B015AB">
        <w:t>,</w:t>
      </w:r>
      <w:r w:rsidR="00D43A6F">
        <w:t xml:space="preserve"> </w:t>
      </w:r>
      <w:r w:rsidR="00CA1B9A">
        <w:t xml:space="preserve">it </w:t>
      </w:r>
      <w:r w:rsidR="007905B2">
        <w:t xml:space="preserve">could take 5-10 years </w:t>
      </w:r>
      <w:r w:rsidR="00CA1B9A">
        <w:t xml:space="preserve">to </w:t>
      </w:r>
      <w:r w:rsidR="006F0BFD">
        <w:t xml:space="preserve">rollout and embed </w:t>
      </w:r>
      <w:r w:rsidR="00CA1B9A">
        <w:t xml:space="preserve">systems </w:t>
      </w:r>
      <w:r w:rsidR="007905B2">
        <w:t xml:space="preserve">before the ‘holy grail’ of </w:t>
      </w:r>
      <w:r w:rsidR="009B1D73">
        <w:t xml:space="preserve">relatively unimpeded </w:t>
      </w:r>
      <w:r w:rsidR="007905B2">
        <w:t xml:space="preserve">remote access to </w:t>
      </w:r>
      <w:r w:rsidR="00587353">
        <w:t xml:space="preserve">high quality, </w:t>
      </w:r>
      <w:r w:rsidR="007905B2">
        <w:t>de-identified and linked administrative data is achievable</w:t>
      </w:r>
      <w:r w:rsidR="00B015AB">
        <w:t>.</w:t>
      </w:r>
      <w:r w:rsidR="009459AA">
        <w:t xml:space="preserve"> </w:t>
      </w:r>
    </w:p>
    <w:p w:rsidR="00411F17" w:rsidRDefault="00912F12" w:rsidP="005F30AF">
      <w:pPr>
        <w:pStyle w:val="BodyText"/>
        <w:spacing w:before="200"/>
        <w:sectPr w:rsidR="00411F17" w:rsidSect="003E46C3">
          <w:headerReference w:type="even" r:id="rId9"/>
          <w:headerReference w:type="default" r:id="rId10"/>
          <w:footerReference w:type="even" r:id="rId11"/>
          <w:footerReference w:type="default" r:id="rId12"/>
          <w:pgSz w:w="11907" w:h="16840" w:code="9"/>
          <w:pgMar w:top="1985" w:right="1304" w:bottom="1418" w:left="1814" w:header="1701" w:footer="567" w:gutter="0"/>
          <w:pgNumType w:start="1" w:chapSep="period"/>
          <w:cols w:space="720"/>
        </w:sectPr>
      </w:pPr>
      <w:r w:rsidRPr="00912F12">
        <w:t>While there have been announcements and initiatives in the past and more recently, the lack of sustained tangible progress means that it is important that the 5</w:t>
      </w:r>
      <w:r w:rsidR="004B71FC">
        <w:t>-</w:t>
      </w:r>
      <w:r w:rsidRPr="00912F12">
        <w:t xml:space="preserve">10 year timeframe does not become a </w:t>
      </w:r>
      <w:r w:rsidR="006D00FA">
        <w:t>motivation</w:t>
      </w:r>
      <w:r w:rsidR="006D00FA" w:rsidDel="006D00FA">
        <w:t xml:space="preserve"> </w:t>
      </w:r>
      <w:r w:rsidR="001907C0">
        <w:t>f</w:t>
      </w:r>
      <w:r w:rsidRPr="00912F12">
        <w:t xml:space="preserve">or </w:t>
      </w:r>
      <w:r w:rsidR="00BE14A3">
        <w:t xml:space="preserve">more </w:t>
      </w:r>
      <w:r w:rsidR="001907C0">
        <w:t xml:space="preserve">‘false starts’, deferrals </w:t>
      </w:r>
      <w:r w:rsidRPr="00912F12">
        <w:t>or eventual reprioritisation and non-delivery.</w:t>
      </w:r>
      <w:r w:rsidR="005D7AAC">
        <w:t xml:space="preserve"> </w:t>
      </w:r>
      <w:r w:rsidR="00D2268E">
        <w:t xml:space="preserve">International </w:t>
      </w:r>
      <w:r w:rsidR="00030E26">
        <w:t>practices</w:t>
      </w:r>
      <w:r w:rsidR="00D2268E">
        <w:t xml:space="preserve"> and o</w:t>
      </w:r>
      <w:r w:rsidR="00A378C6">
        <w:t>ver thirty years of e</w:t>
      </w:r>
      <w:r w:rsidR="00E05687">
        <w:t xml:space="preserve">xperience in Western Australia suggest </w:t>
      </w:r>
      <w:r w:rsidR="0007784A">
        <w:t xml:space="preserve">that the capabilities necessary to achieve a more open data culture </w:t>
      </w:r>
      <w:r w:rsidR="00E05687">
        <w:t xml:space="preserve">could be developed </w:t>
      </w:r>
      <w:r w:rsidR="000C1B47">
        <w:t xml:space="preserve">by all </w:t>
      </w:r>
      <w:r w:rsidR="00E05687">
        <w:t xml:space="preserve">Australian </w:t>
      </w:r>
      <w:r w:rsidR="000C1B47">
        <w:t>g</w:t>
      </w:r>
      <w:r w:rsidR="00E05687">
        <w:t>overnment</w:t>
      </w:r>
      <w:r w:rsidR="000C1B47">
        <w:t>s</w:t>
      </w:r>
      <w:r w:rsidR="005D7AAC">
        <w:t>.</w:t>
      </w:r>
      <w:r w:rsidR="00E05687">
        <w:t xml:space="preserve"> </w:t>
      </w:r>
    </w:p>
    <w:p w:rsidR="005F30AF" w:rsidRDefault="005F30AF" w:rsidP="005F30AF">
      <w:pPr>
        <w:pStyle w:val="BodyText"/>
        <w:spacing w:before="200"/>
      </w:pPr>
    </w:p>
    <w:sectPr w:rsidR="005F30AF" w:rsidSect="00411F17">
      <w:headerReference w:type="even" r:id="rId13"/>
      <w:footerReference w:type="even" r:id="rId14"/>
      <w:type w:val="evenPage"/>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AAC" w:rsidRDefault="005D7AAC">
      <w:r>
        <w:separator/>
      </w:r>
    </w:p>
  </w:endnote>
  <w:endnote w:type="continuationSeparator" w:id="0">
    <w:p w:rsidR="005D7AAC" w:rsidRDefault="005D7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5D7AAC">
      <w:trPr>
        <w:trHeight w:hRule="exact" w:val="740"/>
      </w:trPr>
      <w:tc>
        <w:tcPr>
          <w:tcW w:w="510" w:type="dxa"/>
          <w:tcBorders>
            <w:top w:val="single" w:sz="6" w:space="0" w:color="auto"/>
          </w:tcBorders>
        </w:tcPr>
        <w:p w:rsidR="005D7AAC" w:rsidRDefault="005D7AAC"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FB460B">
            <w:rPr>
              <w:rStyle w:val="PageNumber"/>
              <w:noProof/>
            </w:rPr>
            <w:t>14</w:t>
          </w:r>
          <w:r>
            <w:rPr>
              <w:rStyle w:val="PageNumber"/>
            </w:rPr>
            <w:fldChar w:fldCharType="end"/>
          </w:r>
        </w:p>
      </w:tc>
      <w:tc>
        <w:tcPr>
          <w:tcW w:w="1644" w:type="dxa"/>
          <w:tcBorders>
            <w:top w:val="single" w:sz="6" w:space="0" w:color="auto"/>
          </w:tcBorders>
        </w:tcPr>
        <w:p w:rsidR="005D7AAC" w:rsidRDefault="00F2538E" w:rsidP="0019293B">
          <w:pPr>
            <w:pStyle w:val="Footer"/>
          </w:pPr>
          <w:r>
            <w:fldChar w:fldCharType="begin"/>
          </w:r>
          <w:r>
            <w:instrText xml:space="preserve"> SUBJECT  \* MERGEFORMAT </w:instrText>
          </w:r>
          <w:r>
            <w:fldChar w:fldCharType="separate"/>
          </w:r>
          <w:r w:rsidR="004F4492">
            <w:t>Annual Report 2012-13</w:t>
          </w:r>
          <w:r>
            <w:fldChar w:fldCharType="end"/>
          </w:r>
        </w:p>
      </w:tc>
      <w:tc>
        <w:tcPr>
          <w:tcW w:w="6634" w:type="dxa"/>
        </w:tcPr>
        <w:p w:rsidR="005D7AAC" w:rsidRDefault="005D7AAC" w:rsidP="0019293B">
          <w:pPr>
            <w:pStyle w:val="Footer"/>
          </w:pPr>
        </w:p>
      </w:tc>
    </w:tr>
  </w:tbl>
  <w:p w:rsidR="005D7AAC" w:rsidRDefault="005D7AAC"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5D7AAC">
      <w:trPr>
        <w:trHeight w:hRule="exact" w:val="740"/>
      </w:trPr>
      <w:tc>
        <w:tcPr>
          <w:tcW w:w="6634" w:type="dxa"/>
        </w:tcPr>
        <w:p w:rsidR="005D7AAC" w:rsidRDefault="005D7AAC">
          <w:pPr>
            <w:pStyle w:val="Footer"/>
            <w:ind w:right="360" w:firstLine="360"/>
          </w:pPr>
        </w:p>
      </w:tc>
      <w:tc>
        <w:tcPr>
          <w:tcW w:w="1644" w:type="dxa"/>
          <w:tcBorders>
            <w:top w:val="single" w:sz="6" w:space="0" w:color="auto"/>
          </w:tcBorders>
        </w:tcPr>
        <w:p w:rsidR="005D7AAC" w:rsidRDefault="00F2538E">
          <w:pPr>
            <w:pStyle w:val="Footer"/>
          </w:pPr>
          <w:r>
            <w:fldChar w:fldCharType="begin"/>
          </w:r>
          <w:r>
            <w:instrText xml:space="preserve"> TITLE  \* MERGEFORMAT </w:instrText>
          </w:r>
          <w:r>
            <w:fldChar w:fldCharType="separate"/>
          </w:r>
          <w:r w:rsidR="004F4492">
            <w:t>Using administrative data</w:t>
          </w:r>
          <w:r>
            <w:fldChar w:fldCharType="end"/>
          </w:r>
        </w:p>
      </w:tc>
      <w:tc>
        <w:tcPr>
          <w:tcW w:w="510" w:type="dxa"/>
          <w:tcBorders>
            <w:top w:val="single" w:sz="6" w:space="0" w:color="auto"/>
          </w:tcBorders>
        </w:tcPr>
        <w:p w:rsidR="005D7AAC" w:rsidRDefault="005D7AAC">
          <w:pPr>
            <w:pStyle w:val="Footer"/>
            <w:jc w:val="right"/>
          </w:pPr>
          <w:r>
            <w:rPr>
              <w:rStyle w:val="PageNumber"/>
            </w:rPr>
            <w:fldChar w:fldCharType="begin"/>
          </w:r>
          <w:r>
            <w:rPr>
              <w:rStyle w:val="PageNumber"/>
            </w:rPr>
            <w:instrText xml:space="preserve">PAGE  </w:instrText>
          </w:r>
          <w:r>
            <w:rPr>
              <w:rStyle w:val="PageNumber"/>
            </w:rPr>
            <w:fldChar w:fldCharType="separate"/>
          </w:r>
          <w:r w:rsidR="00F2538E">
            <w:rPr>
              <w:rStyle w:val="PageNumber"/>
              <w:noProof/>
            </w:rPr>
            <w:t>1</w:t>
          </w:r>
          <w:r>
            <w:rPr>
              <w:rStyle w:val="PageNumber"/>
            </w:rPr>
            <w:fldChar w:fldCharType="end"/>
          </w:r>
        </w:p>
      </w:tc>
    </w:tr>
  </w:tbl>
  <w:p w:rsidR="005D7AAC" w:rsidRDefault="005D7AAC">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F17" w:rsidRDefault="00411F17" w:rsidP="0019293B">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AAC" w:rsidRDefault="005D7AAC">
      <w:r>
        <w:separator/>
      </w:r>
    </w:p>
  </w:footnote>
  <w:footnote w:type="continuationSeparator" w:id="0">
    <w:p w:rsidR="005D7AAC" w:rsidRDefault="005D7AAC">
      <w:r>
        <w:continuationSeparator/>
      </w:r>
    </w:p>
  </w:footnote>
  <w:footnote w:id="1">
    <w:p w:rsidR="005D7AAC" w:rsidRPr="00721B0C" w:rsidRDefault="005D7AAC">
      <w:pPr>
        <w:pStyle w:val="FootnoteText"/>
      </w:pPr>
      <w:r>
        <w:rPr>
          <w:rStyle w:val="FootnoteReference"/>
        </w:rPr>
        <w:footnoteRef/>
      </w:r>
      <w:r w:rsidR="00FE7BB8">
        <w:tab/>
      </w:r>
      <w:r w:rsidRPr="00721B0C">
        <w:t>The Office of the Australian Information Commissioner’s Principles on Open Public Sector Information states that open access to information should be the default position (OAIC 2012).</w:t>
      </w:r>
    </w:p>
  </w:footnote>
  <w:footnote w:id="2">
    <w:p w:rsidR="005D7AAC" w:rsidRPr="00EE5976" w:rsidRDefault="005D7AAC" w:rsidP="009A3F10">
      <w:pPr>
        <w:pStyle w:val="FootnoteText"/>
      </w:pPr>
      <w:r w:rsidRPr="00767B0E">
        <w:footnoteRef/>
      </w:r>
      <w:r w:rsidR="00FE7BB8">
        <w:tab/>
      </w:r>
      <w:r w:rsidRPr="002345E8">
        <w:t xml:space="preserve">Legislation outlining how and when Medicare Benefits scheme (MBS) and Pharmaceutical Benefits scheme (PBS) data can be linked is contained in the </w:t>
      </w:r>
      <w:r w:rsidRPr="002345E8">
        <w:rPr>
          <w:i/>
        </w:rPr>
        <w:t>National Health Act 1953</w:t>
      </w:r>
      <w:r w:rsidRPr="002345E8">
        <w:t xml:space="preserve"> (s. 135AA and 135AB). It prohibits the storage of MBS and PBS data in the same data base and</w:t>
      </w:r>
      <w:r w:rsidRPr="00EE5976">
        <w:t xml:space="preserve"> </w:t>
      </w:r>
      <w:r>
        <w:t xml:space="preserve">any </w:t>
      </w:r>
      <w:r w:rsidRPr="00EE5976">
        <w:t>linkage unless the linkage is specified in privacy guidelines. The Privacy Guidelines for the MBS and PBS were last issued in 2008. MBS and PBS information may be disclosed for medical research</w:t>
      </w:r>
      <w:r>
        <w:t xml:space="preserve">, </w:t>
      </w:r>
      <w:r w:rsidRPr="00EE5976">
        <w:t>but not statistical research</w:t>
      </w:r>
      <w:r>
        <w:t xml:space="preserve">, </w:t>
      </w:r>
      <w:r w:rsidRPr="00EE5976">
        <w:t xml:space="preserve">either with consent from the individuals involved or in accordance with guidelines issued by the National Health and Medical Research Council. </w:t>
      </w:r>
    </w:p>
  </w:footnote>
  <w:footnote w:id="3">
    <w:p w:rsidR="005D7AAC" w:rsidRPr="00DA5F85" w:rsidRDefault="005D7AAC" w:rsidP="00CB42B9">
      <w:pPr>
        <w:pStyle w:val="FootnoteText"/>
      </w:pPr>
      <w:r>
        <w:rPr>
          <w:rStyle w:val="FootnoteReference"/>
        </w:rPr>
        <w:footnoteRef/>
      </w:r>
      <w:r w:rsidR="005F30AF">
        <w:tab/>
      </w:r>
      <w:r w:rsidRPr="00DA5F85">
        <w:t>Records include population, tax, trade, employment, labour market training, income support, conscription, student enrolments</w:t>
      </w:r>
      <w:r w:rsidR="00EF73B8" w:rsidRPr="00DA5F85">
        <w:t xml:space="preserve"> and </w:t>
      </w:r>
      <w:r w:rsidRPr="00DA5F85">
        <w:t>business registrations.</w:t>
      </w:r>
    </w:p>
  </w:footnote>
  <w:footnote w:id="4">
    <w:p w:rsidR="005D7AAC" w:rsidRDefault="005D7AAC" w:rsidP="000C1B47">
      <w:pPr>
        <w:pStyle w:val="FootnoteText"/>
      </w:pPr>
      <w:r>
        <w:rPr>
          <w:rStyle w:val="FootnoteReference"/>
        </w:rPr>
        <w:footnoteRef/>
      </w:r>
      <w:r w:rsidR="005F30AF">
        <w:tab/>
      </w:r>
      <w:r>
        <w:t xml:space="preserve">There are four projects on the Public Register of Data Integration Projects: ABS Census Data Enhancement Indigenous Mortality Project; ABS Migrant Personal Income Tax Data Integration Project </w:t>
      </w:r>
      <w:r w:rsidR="00DA5F85">
        <w:t xml:space="preserve">– </w:t>
      </w:r>
      <w:r>
        <w:t xml:space="preserve">Feasibility phase; ABS Migrants Census Data Enhancement Project; Low dose radiation </w:t>
      </w:r>
      <w:r w:rsidR="00DA5F85">
        <w:t xml:space="preserve">– </w:t>
      </w:r>
      <w:r>
        <w:t>effects of CT scans in childhood (AIHW).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D7AAC">
      <w:tc>
        <w:tcPr>
          <w:tcW w:w="2155" w:type="dxa"/>
          <w:tcBorders>
            <w:top w:val="single" w:sz="24" w:space="0" w:color="auto"/>
          </w:tcBorders>
        </w:tcPr>
        <w:p w:rsidR="005D7AAC" w:rsidRDefault="005D7AAC" w:rsidP="0019293B">
          <w:pPr>
            <w:pStyle w:val="HeaderEven"/>
          </w:pPr>
        </w:p>
      </w:tc>
      <w:tc>
        <w:tcPr>
          <w:tcW w:w="6634" w:type="dxa"/>
          <w:tcBorders>
            <w:top w:val="single" w:sz="6" w:space="0" w:color="auto"/>
          </w:tcBorders>
        </w:tcPr>
        <w:p w:rsidR="005D7AAC" w:rsidRDefault="005D7AAC" w:rsidP="0019293B">
          <w:pPr>
            <w:pStyle w:val="HeaderEven"/>
          </w:pPr>
        </w:p>
      </w:tc>
    </w:tr>
  </w:tbl>
  <w:p w:rsidR="005D7AAC" w:rsidRDefault="005D7AAC"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D7AAC">
      <w:tc>
        <w:tcPr>
          <w:tcW w:w="6634" w:type="dxa"/>
          <w:tcBorders>
            <w:top w:val="single" w:sz="6" w:space="0" w:color="auto"/>
          </w:tcBorders>
        </w:tcPr>
        <w:p w:rsidR="005D7AAC" w:rsidRDefault="005D7AAC" w:rsidP="00E669E2">
          <w:pPr>
            <w:pStyle w:val="HeaderOdd"/>
          </w:pPr>
        </w:p>
      </w:tc>
      <w:tc>
        <w:tcPr>
          <w:tcW w:w="2155" w:type="dxa"/>
          <w:tcBorders>
            <w:top w:val="single" w:sz="24" w:space="0" w:color="auto"/>
          </w:tcBorders>
        </w:tcPr>
        <w:p w:rsidR="005D7AAC" w:rsidRDefault="005D7AAC" w:rsidP="00E669E2">
          <w:pPr>
            <w:pStyle w:val="HeaderOdd"/>
          </w:pPr>
        </w:p>
      </w:tc>
    </w:tr>
  </w:tbl>
  <w:p w:rsidR="005D7AAC" w:rsidRDefault="005D7AAC"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F17" w:rsidRDefault="00411F17" w:rsidP="0019293B">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3143DD2"/>
    <w:multiLevelType w:val="multilevel"/>
    <w:tmpl w:val="6410290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C802978E"/>
    <w:lvl w:ilvl="0">
      <w:start w:val="1"/>
      <w:numFmt w:val="decimal"/>
      <w:lvlText w:val="%1."/>
      <w:lvlJc w:val="left"/>
      <w:pPr>
        <w:tabs>
          <w:tab w:val="num" w:pos="284"/>
        </w:tabs>
        <w:ind w:left="284" w:hanging="284"/>
      </w:pPr>
      <w:rPr>
        <w:rFonts w:hint="default"/>
      </w:rPr>
    </w:lvl>
    <w:lvl w:ilvl="1">
      <w:start w:val="1"/>
      <w:numFmt w:val="lowerLetter"/>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1">
    <w:nsid w:val="36687968"/>
    <w:multiLevelType w:val="hybridMultilevel"/>
    <w:tmpl w:val="DCECF966"/>
    <w:lvl w:ilvl="0" w:tplc="A928F220">
      <w:start w:val="1"/>
      <w:numFmt w:val="decimal"/>
      <w:lvlText w:val="1.5.%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38C060FD"/>
    <w:multiLevelType w:val="hybridMultilevel"/>
    <w:tmpl w:val="2CB6AFE2"/>
    <w:lvl w:ilvl="0" w:tplc="83A6DADC">
      <w:start w:val="1"/>
      <w:numFmt w:val="decimal"/>
      <w:lvlText w:val="1.3.%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nsid w:val="46195D2A"/>
    <w:multiLevelType w:val="hybridMultilevel"/>
    <w:tmpl w:val="0784ADD6"/>
    <w:lvl w:ilvl="0" w:tplc="70642156">
      <w:start w:val="1"/>
      <w:numFmt w:val="decimal"/>
      <w:lvlText w:val="1.4.%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4382D6E"/>
    <w:multiLevelType w:val="singleLevel"/>
    <w:tmpl w:val="B128E820"/>
    <w:lvl w:ilvl="0">
      <w:numFmt w:val="bullet"/>
      <w:pStyle w:val="ListBullet"/>
      <w:lvlText w:val=""/>
      <w:lvlJc w:val="left"/>
      <w:pPr>
        <w:tabs>
          <w:tab w:val="num" w:pos="340"/>
        </w:tabs>
        <w:ind w:left="340" w:hanging="340"/>
      </w:pPr>
      <w:rPr>
        <w:rFonts w:ascii="Symbol" w:hAnsi="Symbol" w:hint="default"/>
        <w:sz w:val="18"/>
      </w:rPr>
    </w:lvl>
  </w:abstractNum>
  <w:abstractNum w:abstractNumId="1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8">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0">
    <w:nsid w:val="747F049E"/>
    <w:multiLevelType w:val="hybridMultilevel"/>
    <w:tmpl w:val="CD98BDB0"/>
    <w:lvl w:ilvl="0" w:tplc="54D26256">
      <w:start w:val="1"/>
      <w:numFmt w:val="decimal"/>
      <w:lvlText w:val="1.2.%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0"/>
  </w:num>
  <w:num w:numId="2">
    <w:abstractNumId w:val="21"/>
  </w:num>
  <w:num w:numId="3">
    <w:abstractNumId w:val="1"/>
  </w:num>
  <w:num w:numId="4">
    <w:abstractNumId w:val="15"/>
  </w:num>
  <w:num w:numId="5">
    <w:abstractNumId w:val="3"/>
  </w:num>
  <w:num w:numId="6">
    <w:abstractNumId w:val="19"/>
  </w:num>
  <w:num w:numId="7">
    <w:abstractNumId w:val="17"/>
  </w:num>
  <w:num w:numId="8">
    <w:abstractNumId w:val="22"/>
  </w:num>
  <w:num w:numId="9">
    <w:abstractNumId w:val="7"/>
  </w:num>
  <w:num w:numId="10">
    <w:abstractNumId w:val="16"/>
  </w:num>
  <w:num w:numId="11">
    <w:abstractNumId w:val="6"/>
  </w:num>
  <w:num w:numId="12">
    <w:abstractNumId w:val="5"/>
  </w:num>
  <w:num w:numId="13">
    <w:abstractNumId w:val="8"/>
  </w:num>
  <w:num w:numId="14">
    <w:abstractNumId w:val="9"/>
  </w:num>
  <w:num w:numId="15">
    <w:abstractNumId w:val="14"/>
  </w:num>
  <w:num w:numId="16">
    <w:abstractNumId w:val="4"/>
  </w:num>
  <w:num w:numId="17">
    <w:abstractNumId w:val="18"/>
  </w:num>
  <w:num w:numId="18">
    <w:abstractNumId w:val="2"/>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1">
    <w:abstractNumId w:val="20"/>
  </w:num>
  <w:num w:numId="22">
    <w:abstractNumId w:val="13"/>
  </w:num>
  <w:num w:numId="23">
    <w:abstractNumId w:val="11"/>
  </w:num>
  <w:num w:numId="24">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802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Using administrative data"/>
    <w:docVar w:name="ShortReportTitle" w:val="Annual Report 2012-13"/>
  </w:docVars>
  <w:rsids>
    <w:rsidRoot w:val="00DF49C1"/>
    <w:rsid w:val="000017D7"/>
    <w:rsid w:val="00003087"/>
    <w:rsid w:val="000043D4"/>
    <w:rsid w:val="00006320"/>
    <w:rsid w:val="00010586"/>
    <w:rsid w:val="0001347E"/>
    <w:rsid w:val="000227D5"/>
    <w:rsid w:val="000245AA"/>
    <w:rsid w:val="00025291"/>
    <w:rsid w:val="00026639"/>
    <w:rsid w:val="00027ABC"/>
    <w:rsid w:val="00030E26"/>
    <w:rsid w:val="0003284F"/>
    <w:rsid w:val="000331EC"/>
    <w:rsid w:val="00033DB3"/>
    <w:rsid w:val="0003664B"/>
    <w:rsid w:val="0004111F"/>
    <w:rsid w:val="00041F99"/>
    <w:rsid w:val="0004371F"/>
    <w:rsid w:val="0004589D"/>
    <w:rsid w:val="00051179"/>
    <w:rsid w:val="000519BB"/>
    <w:rsid w:val="000565B3"/>
    <w:rsid w:val="000565D0"/>
    <w:rsid w:val="0006291E"/>
    <w:rsid w:val="00064E85"/>
    <w:rsid w:val="00065070"/>
    <w:rsid w:val="00065A67"/>
    <w:rsid w:val="000665C0"/>
    <w:rsid w:val="0007150B"/>
    <w:rsid w:val="0007385F"/>
    <w:rsid w:val="0007784A"/>
    <w:rsid w:val="0008050F"/>
    <w:rsid w:val="00081C30"/>
    <w:rsid w:val="00084395"/>
    <w:rsid w:val="000859FF"/>
    <w:rsid w:val="000870A2"/>
    <w:rsid w:val="000903EC"/>
    <w:rsid w:val="000938F5"/>
    <w:rsid w:val="00096391"/>
    <w:rsid w:val="00096E55"/>
    <w:rsid w:val="000A17A3"/>
    <w:rsid w:val="000A4448"/>
    <w:rsid w:val="000A59DC"/>
    <w:rsid w:val="000A5A94"/>
    <w:rsid w:val="000A5FC0"/>
    <w:rsid w:val="000A767E"/>
    <w:rsid w:val="000A7AED"/>
    <w:rsid w:val="000B0D03"/>
    <w:rsid w:val="000B50FF"/>
    <w:rsid w:val="000B601B"/>
    <w:rsid w:val="000B62CD"/>
    <w:rsid w:val="000C1B47"/>
    <w:rsid w:val="000C207E"/>
    <w:rsid w:val="000D116A"/>
    <w:rsid w:val="000D673C"/>
    <w:rsid w:val="000D7E62"/>
    <w:rsid w:val="000E0AE4"/>
    <w:rsid w:val="000E185B"/>
    <w:rsid w:val="000E3360"/>
    <w:rsid w:val="000E3785"/>
    <w:rsid w:val="000E3A72"/>
    <w:rsid w:val="000E45B3"/>
    <w:rsid w:val="000E53C9"/>
    <w:rsid w:val="000E6AB1"/>
    <w:rsid w:val="000F0035"/>
    <w:rsid w:val="000F00DE"/>
    <w:rsid w:val="000F34E0"/>
    <w:rsid w:val="000F420B"/>
    <w:rsid w:val="001011BD"/>
    <w:rsid w:val="00103B9D"/>
    <w:rsid w:val="0010664F"/>
    <w:rsid w:val="00106DD5"/>
    <w:rsid w:val="00110116"/>
    <w:rsid w:val="00110DCA"/>
    <w:rsid w:val="00111DC7"/>
    <w:rsid w:val="00113B17"/>
    <w:rsid w:val="00114C4E"/>
    <w:rsid w:val="001151DE"/>
    <w:rsid w:val="001163FA"/>
    <w:rsid w:val="00120072"/>
    <w:rsid w:val="00124632"/>
    <w:rsid w:val="001258C8"/>
    <w:rsid w:val="001266AA"/>
    <w:rsid w:val="00126EB8"/>
    <w:rsid w:val="001274D4"/>
    <w:rsid w:val="0012778C"/>
    <w:rsid w:val="00130A59"/>
    <w:rsid w:val="00134917"/>
    <w:rsid w:val="001363AA"/>
    <w:rsid w:val="00142590"/>
    <w:rsid w:val="00143073"/>
    <w:rsid w:val="00143C58"/>
    <w:rsid w:val="00145755"/>
    <w:rsid w:val="00145F8A"/>
    <w:rsid w:val="00151C4B"/>
    <w:rsid w:val="00152383"/>
    <w:rsid w:val="00152DDD"/>
    <w:rsid w:val="00153A00"/>
    <w:rsid w:val="00154509"/>
    <w:rsid w:val="00155236"/>
    <w:rsid w:val="00160D34"/>
    <w:rsid w:val="001611A4"/>
    <w:rsid w:val="00166C51"/>
    <w:rsid w:val="00171706"/>
    <w:rsid w:val="00171ADE"/>
    <w:rsid w:val="001723EB"/>
    <w:rsid w:val="001738E6"/>
    <w:rsid w:val="00181239"/>
    <w:rsid w:val="00183E82"/>
    <w:rsid w:val="00185360"/>
    <w:rsid w:val="00185BAF"/>
    <w:rsid w:val="00187003"/>
    <w:rsid w:val="001878BB"/>
    <w:rsid w:val="001907C0"/>
    <w:rsid w:val="00190AE1"/>
    <w:rsid w:val="00191AE0"/>
    <w:rsid w:val="0019293B"/>
    <w:rsid w:val="0019426B"/>
    <w:rsid w:val="00196D87"/>
    <w:rsid w:val="00196E4B"/>
    <w:rsid w:val="00196F2C"/>
    <w:rsid w:val="0019735E"/>
    <w:rsid w:val="00197A34"/>
    <w:rsid w:val="001A669D"/>
    <w:rsid w:val="001C0865"/>
    <w:rsid w:val="001C3ABA"/>
    <w:rsid w:val="001C604A"/>
    <w:rsid w:val="001C648E"/>
    <w:rsid w:val="001D0079"/>
    <w:rsid w:val="001D4018"/>
    <w:rsid w:val="001D4A5E"/>
    <w:rsid w:val="001D5265"/>
    <w:rsid w:val="001D7D3B"/>
    <w:rsid w:val="001E083F"/>
    <w:rsid w:val="001E11E9"/>
    <w:rsid w:val="001E16B2"/>
    <w:rsid w:val="001E5E39"/>
    <w:rsid w:val="001E7BE8"/>
    <w:rsid w:val="001F0248"/>
    <w:rsid w:val="001F066B"/>
    <w:rsid w:val="001F07A7"/>
    <w:rsid w:val="001F242A"/>
    <w:rsid w:val="001F2C1B"/>
    <w:rsid w:val="001F3EB3"/>
    <w:rsid w:val="001F3F30"/>
    <w:rsid w:val="001F4F86"/>
    <w:rsid w:val="00200B4B"/>
    <w:rsid w:val="00202C2C"/>
    <w:rsid w:val="00203373"/>
    <w:rsid w:val="00204CF9"/>
    <w:rsid w:val="002068D5"/>
    <w:rsid w:val="00206C80"/>
    <w:rsid w:val="00207C3E"/>
    <w:rsid w:val="00211E8E"/>
    <w:rsid w:val="002135AB"/>
    <w:rsid w:val="002144BE"/>
    <w:rsid w:val="00215820"/>
    <w:rsid w:val="00216F6D"/>
    <w:rsid w:val="0022476E"/>
    <w:rsid w:val="002270F5"/>
    <w:rsid w:val="00227E7E"/>
    <w:rsid w:val="00232A0F"/>
    <w:rsid w:val="002345E8"/>
    <w:rsid w:val="00234839"/>
    <w:rsid w:val="00235DBD"/>
    <w:rsid w:val="002366E0"/>
    <w:rsid w:val="00242279"/>
    <w:rsid w:val="00243E99"/>
    <w:rsid w:val="00245C82"/>
    <w:rsid w:val="00245CDB"/>
    <w:rsid w:val="00251F75"/>
    <w:rsid w:val="00256B0D"/>
    <w:rsid w:val="0026068D"/>
    <w:rsid w:val="00261B2E"/>
    <w:rsid w:val="00261C54"/>
    <w:rsid w:val="0026543A"/>
    <w:rsid w:val="00265577"/>
    <w:rsid w:val="002658CF"/>
    <w:rsid w:val="00266BF0"/>
    <w:rsid w:val="002673E5"/>
    <w:rsid w:val="00270D85"/>
    <w:rsid w:val="0027580C"/>
    <w:rsid w:val="0028266E"/>
    <w:rsid w:val="0028301C"/>
    <w:rsid w:val="002906FF"/>
    <w:rsid w:val="00291B40"/>
    <w:rsid w:val="00291F5C"/>
    <w:rsid w:val="002929B0"/>
    <w:rsid w:val="002A7C2F"/>
    <w:rsid w:val="002B4008"/>
    <w:rsid w:val="002B400B"/>
    <w:rsid w:val="002B41F2"/>
    <w:rsid w:val="002B64E9"/>
    <w:rsid w:val="002B6C8E"/>
    <w:rsid w:val="002C297E"/>
    <w:rsid w:val="002C2DAA"/>
    <w:rsid w:val="002C4E3C"/>
    <w:rsid w:val="002C6CD2"/>
    <w:rsid w:val="002C7E79"/>
    <w:rsid w:val="002D0E8E"/>
    <w:rsid w:val="002D400E"/>
    <w:rsid w:val="002D528F"/>
    <w:rsid w:val="002D5D2E"/>
    <w:rsid w:val="002D6E66"/>
    <w:rsid w:val="002E083F"/>
    <w:rsid w:val="002E1A80"/>
    <w:rsid w:val="002E6B20"/>
    <w:rsid w:val="002E6EEA"/>
    <w:rsid w:val="002E6F74"/>
    <w:rsid w:val="002E6FD3"/>
    <w:rsid w:val="002E7E92"/>
    <w:rsid w:val="002F25FE"/>
    <w:rsid w:val="00301189"/>
    <w:rsid w:val="00301A9B"/>
    <w:rsid w:val="003035FE"/>
    <w:rsid w:val="00316C59"/>
    <w:rsid w:val="00323A81"/>
    <w:rsid w:val="00323E09"/>
    <w:rsid w:val="003246AD"/>
    <w:rsid w:val="00327681"/>
    <w:rsid w:val="00331568"/>
    <w:rsid w:val="00332C65"/>
    <w:rsid w:val="00333932"/>
    <w:rsid w:val="00333EC0"/>
    <w:rsid w:val="00336992"/>
    <w:rsid w:val="00337011"/>
    <w:rsid w:val="003409D6"/>
    <w:rsid w:val="003449EB"/>
    <w:rsid w:val="00347132"/>
    <w:rsid w:val="003518AA"/>
    <w:rsid w:val="00352165"/>
    <w:rsid w:val="00352664"/>
    <w:rsid w:val="00353182"/>
    <w:rsid w:val="0035632A"/>
    <w:rsid w:val="003565D9"/>
    <w:rsid w:val="00356C36"/>
    <w:rsid w:val="003602E1"/>
    <w:rsid w:val="003618FC"/>
    <w:rsid w:val="0036242B"/>
    <w:rsid w:val="003669A3"/>
    <w:rsid w:val="0037026F"/>
    <w:rsid w:val="00370715"/>
    <w:rsid w:val="00371240"/>
    <w:rsid w:val="00374731"/>
    <w:rsid w:val="00376E59"/>
    <w:rsid w:val="00377684"/>
    <w:rsid w:val="00381449"/>
    <w:rsid w:val="00382A87"/>
    <w:rsid w:val="003864E1"/>
    <w:rsid w:val="003919F9"/>
    <w:rsid w:val="003A2538"/>
    <w:rsid w:val="003A687F"/>
    <w:rsid w:val="003B0335"/>
    <w:rsid w:val="003B3C87"/>
    <w:rsid w:val="003B4DE1"/>
    <w:rsid w:val="003B7F30"/>
    <w:rsid w:val="003C384A"/>
    <w:rsid w:val="003C38B5"/>
    <w:rsid w:val="003C5D99"/>
    <w:rsid w:val="003D5C57"/>
    <w:rsid w:val="003D6BC2"/>
    <w:rsid w:val="003D6DDB"/>
    <w:rsid w:val="003E101F"/>
    <w:rsid w:val="003E198B"/>
    <w:rsid w:val="003E2BCE"/>
    <w:rsid w:val="003E2F59"/>
    <w:rsid w:val="003E46C3"/>
    <w:rsid w:val="003F0789"/>
    <w:rsid w:val="003F5AD2"/>
    <w:rsid w:val="003F61A0"/>
    <w:rsid w:val="003F6637"/>
    <w:rsid w:val="00401882"/>
    <w:rsid w:val="00403EC2"/>
    <w:rsid w:val="0040695E"/>
    <w:rsid w:val="00406C5A"/>
    <w:rsid w:val="00407050"/>
    <w:rsid w:val="00407291"/>
    <w:rsid w:val="004100C8"/>
    <w:rsid w:val="00411DBD"/>
    <w:rsid w:val="00411F17"/>
    <w:rsid w:val="00412393"/>
    <w:rsid w:val="00412ACE"/>
    <w:rsid w:val="00416E34"/>
    <w:rsid w:val="00417913"/>
    <w:rsid w:val="004200DD"/>
    <w:rsid w:val="00423117"/>
    <w:rsid w:val="0042335F"/>
    <w:rsid w:val="00431249"/>
    <w:rsid w:val="0043299E"/>
    <w:rsid w:val="00434C19"/>
    <w:rsid w:val="00436F96"/>
    <w:rsid w:val="0044103F"/>
    <w:rsid w:val="0044250E"/>
    <w:rsid w:val="00450810"/>
    <w:rsid w:val="00452AA1"/>
    <w:rsid w:val="0045488A"/>
    <w:rsid w:val="00457F02"/>
    <w:rsid w:val="00461CF9"/>
    <w:rsid w:val="004631DE"/>
    <w:rsid w:val="0046330E"/>
    <w:rsid w:val="00463EE7"/>
    <w:rsid w:val="00463F89"/>
    <w:rsid w:val="00465BC8"/>
    <w:rsid w:val="00477144"/>
    <w:rsid w:val="00483FFD"/>
    <w:rsid w:val="00491380"/>
    <w:rsid w:val="00493A45"/>
    <w:rsid w:val="0049459F"/>
    <w:rsid w:val="004970A8"/>
    <w:rsid w:val="00497644"/>
    <w:rsid w:val="004A28F7"/>
    <w:rsid w:val="004A38DD"/>
    <w:rsid w:val="004A3B5D"/>
    <w:rsid w:val="004A3ED5"/>
    <w:rsid w:val="004A474F"/>
    <w:rsid w:val="004A4837"/>
    <w:rsid w:val="004A53D2"/>
    <w:rsid w:val="004A7001"/>
    <w:rsid w:val="004B2B94"/>
    <w:rsid w:val="004B43AE"/>
    <w:rsid w:val="004B71FC"/>
    <w:rsid w:val="004C091B"/>
    <w:rsid w:val="004C30ED"/>
    <w:rsid w:val="004C4A53"/>
    <w:rsid w:val="004C4C6A"/>
    <w:rsid w:val="004C50C7"/>
    <w:rsid w:val="004D2B49"/>
    <w:rsid w:val="004D5675"/>
    <w:rsid w:val="004D5C0D"/>
    <w:rsid w:val="004E3B8A"/>
    <w:rsid w:val="004E4D03"/>
    <w:rsid w:val="004F1604"/>
    <w:rsid w:val="004F3F4A"/>
    <w:rsid w:val="004F414D"/>
    <w:rsid w:val="004F4492"/>
    <w:rsid w:val="004F4726"/>
    <w:rsid w:val="004F7328"/>
    <w:rsid w:val="004F7C02"/>
    <w:rsid w:val="004F7CCD"/>
    <w:rsid w:val="00502841"/>
    <w:rsid w:val="00505A0A"/>
    <w:rsid w:val="00507059"/>
    <w:rsid w:val="00514997"/>
    <w:rsid w:val="00515180"/>
    <w:rsid w:val="00515C28"/>
    <w:rsid w:val="005217F6"/>
    <w:rsid w:val="00522D26"/>
    <w:rsid w:val="0052347C"/>
    <w:rsid w:val="00523639"/>
    <w:rsid w:val="005259D5"/>
    <w:rsid w:val="00531FE5"/>
    <w:rsid w:val="00536273"/>
    <w:rsid w:val="005402FA"/>
    <w:rsid w:val="00540FD9"/>
    <w:rsid w:val="00544C64"/>
    <w:rsid w:val="0054687A"/>
    <w:rsid w:val="0054727B"/>
    <w:rsid w:val="0055423C"/>
    <w:rsid w:val="00556146"/>
    <w:rsid w:val="005600D0"/>
    <w:rsid w:val="00560B10"/>
    <w:rsid w:val="00564481"/>
    <w:rsid w:val="005645C8"/>
    <w:rsid w:val="0056499A"/>
    <w:rsid w:val="00565961"/>
    <w:rsid w:val="00567F8E"/>
    <w:rsid w:val="00571BAF"/>
    <w:rsid w:val="00575C86"/>
    <w:rsid w:val="00576355"/>
    <w:rsid w:val="00576BC2"/>
    <w:rsid w:val="00583C39"/>
    <w:rsid w:val="00587353"/>
    <w:rsid w:val="005877A0"/>
    <w:rsid w:val="00587F28"/>
    <w:rsid w:val="005909CF"/>
    <w:rsid w:val="00590BE1"/>
    <w:rsid w:val="00591E71"/>
    <w:rsid w:val="00592EC1"/>
    <w:rsid w:val="005A074E"/>
    <w:rsid w:val="005A0D41"/>
    <w:rsid w:val="005A24A5"/>
    <w:rsid w:val="005A3C42"/>
    <w:rsid w:val="005A53B3"/>
    <w:rsid w:val="005B049A"/>
    <w:rsid w:val="005B08D9"/>
    <w:rsid w:val="005B0EA8"/>
    <w:rsid w:val="005B45FB"/>
    <w:rsid w:val="005B77C8"/>
    <w:rsid w:val="005C006D"/>
    <w:rsid w:val="005C153A"/>
    <w:rsid w:val="005C1B1B"/>
    <w:rsid w:val="005C29B8"/>
    <w:rsid w:val="005C7069"/>
    <w:rsid w:val="005D04A5"/>
    <w:rsid w:val="005D2B69"/>
    <w:rsid w:val="005D52B5"/>
    <w:rsid w:val="005D6A86"/>
    <w:rsid w:val="005D7AAC"/>
    <w:rsid w:val="005E07C0"/>
    <w:rsid w:val="005E1BDF"/>
    <w:rsid w:val="005E3F7A"/>
    <w:rsid w:val="005E4F26"/>
    <w:rsid w:val="005F012C"/>
    <w:rsid w:val="005F30AF"/>
    <w:rsid w:val="005F31D4"/>
    <w:rsid w:val="005F3D7C"/>
    <w:rsid w:val="0060058E"/>
    <w:rsid w:val="00606EA3"/>
    <w:rsid w:val="00607BF1"/>
    <w:rsid w:val="006107C7"/>
    <w:rsid w:val="0061204D"/>
    <w:rsid w:val="00617D35"/>
    <w:rsid w:val="00621DC8"/>
    <w:rsid w:val="00621FC9"/>
    <w:rsid w:val="00622645"/>
    <w:rsid w:val="00630D4D"/>
    <w:rsid w:val="00631D1C"/>
    <w:rsid w:val="00632A74"/>
    <w:rsid w:val="00633DF0"/>
    <w:rsid w:val="00635201"/>
    <w:rsid w:val="00641C6F"/>
    <w:rsid w:val="00646F57"/>
    <w:rsid w:val="006520F5"/>
    <w:rsid w:val="00653996"/>
    <w:rsid w:val="00661BEC"/>
    <w:rsid w:val="00666B68"/>
    <w:rsid w:val="0067625B"/>
    <w:rsid w:val="006873F9"/>
    <w:rsid w:val="00697DE7"/>
    <w:rsid w:val="006A4655"/>
    <w:rsid w:val="006A565F"/>
    <w:rsid w:val="006A6288"/>
    <w:rsid w:val="006B2B3C"/>
    <w:rsid w:val="006C0647"/>
    <w:rsid w:val="006C169B"/>
    <w:rsid w:val="006C1D81"/>
    <w:rsid w:val="006C2E5E"/>
    <w:rsid w:val="006C663F"/>
    <w:rsid w:val="006C7038"/>
    <w:rsid w:val="006D00FA"/>
    <w:rsid w:val="006D0205"/>
    <w:rsid w:val="006D3026"/>
    <w:rsid w:val="006D3580"/>
    <w:rsid w:val="006D46B6"/>
    <w:rsid w:val="006D6932"/>
    <w:rsid w:val="006E68BD"/>
    <w:rsid w:val="006E73EF"/>
    <w:rsid w:val="006F0BFD"/>
    <w:rsid w:val="006F467C"/>
    <w:rsid w:val="006F5B6A"/>
    <w:rsid w:val="006F7038"/>
    <w:rsid w:val="00704E86"/>
    <w:rsid w:val="007059F2"/>
    <w:rsid w:val="00707685"/>
    <w:rsid w:val="00711F29"/>
    <w:rsid w:val="00714D4D"/>
    <w:rsid w:val="00721B0C"/>
    <w:rsid w:val="007274C4"/>
    <w:rsid w:val="00727CA5"/>
    <w:rsid w:val="00730D3C"/>
    <w:rsid w:val="00731118"/>
    <w:rsid w:val="0073499A"/>
    <w:rsid w:val="00736551"/>
    <w:rsid w:val="00736BD7"/>
    <w:rsid w:val="00744568"/>
    <w:rsid w:val="00751085"/>
    <w:rsid w:val="00751D59"/>
    <w:rsid w:val="00752E86"/>
    <w:rsid w:val="0075483E"/>
    <w:rsid w:val="007604BB"/>
    <w:rsid w:val="00767B0E"/>
    <w:rsid w:val="00773041"/>
    <w:rsid w:val="00777356"/>
    <w:rsid w:val="00783023"/>
    <w:rsid w:val="00785232"/>
    <w:rsid w:val="00787A67"/>
    <w:rsid w:val="00787B07"/>
    <w:rsid w:val="007904BF"/>
    <w:rsid w:val="007905B2"/>
    <w:rsid w:val="00792B29"/>
    <w:rsid w:val="007932A8"/>
    <w:rsid w:val="00794BE3"/>
    <w:rsid w:val="0079602A"/>
    <w:rsid w:val="007961F6"/>
    <w:rsid w:val="007A0FF0"/>
    <w:rsid w:val="007A21EB"/>
    <w:rsid w:val="007A2CBC"/>
    <w:rsid w:val="007A2D67"/>
    <w:rsid w:val="007A3D4C"/>
    <w:rsid w:val="007A42BA"/>
    <w:rsid w:val="007B197F"/>
    <w:rsid w:val="007B1A93"/>
    <w:rsid w:val="007B2A04"/>
    <w:rsid w:val="007B62A5"/>
    <w:rsid w:val="007B76BC"/>
    <w:rsid w:val="007C36C9"/>
    <w:rsid w:val="007C7492"/>
    <w:rsid w:val="007C7EBD"/>
    <w:rsid w:val="007D0DF1"/>
    <w:rsid w:val="007D3D41"/>
    <w:rsid w:val="007D6401"/>
    <w:rsid w:val="007E01E4"/>
    <w:rsid w:val="007E581F"/>
    <w:rsid w:val="007E7C58"/>
    <w:rsid w:val="007F46E4"/>
    <w:rsid w:val="007F54A9"/>
    <w:rsid w:val="007F7107"/>
    <w:rsid w:val="00800D4C"/>
    <w:rsid w:val="00803781"/>
    <w:rsid w:val="0080404C"/>
    <w:rsid w:val="00805587"/>
    <w:rsid w:val="00806E85"/>
    <w:rsid w:val="0081030F"/>
    <w:rsid w:val="00811FE0"/>
    <w:rsid w:val="008131D0"/>
    <w:rsid w:val="00813326"/>
    <w:rsid w:val="00817426"/>
    <w:rsid w:val="0082087D"/>
    <w:rsid w:val="008238CD"/>
    <w:rsid w:val="008238FA"/>
    <w:rsid w:val="00824B21"/>
    <w:rsid w:val="00824D50"/>
    <w:rsid w:val="008273DF"/>
    <w:rsid w:val="00830DC1"/>
    <w:rsid w:val="00835771"/>
    <w:rsid w:val="0084171B"/>
    <w:rsid w:val="00842933"/>
    <w:rsid w:val="00843BFD"/>
    <w:rsid w:val="0084553D"/>
    <w:rsid w:val="008516D1"/>
    <w:rsid w:val="00851C16"/>
    <w:rsid w:val="00855C4F"/>
    <w:rsid w:val="0086082C"/>
    <w:rsid w:val="0086228E"/>
    <w:rsid w:val="008643EA"/>
    <w:rsid w:val="00864ADC"/>
    <w:rsid w:val="008650E5"/>
    <w:rsid w:val="00866C42"/>
    <w:rsid w:val="008720BF"/>
    <w:rsid w:val="00877BFE"/>
    <w:rsid w:val="00880153"/>
    <w:rsid w:val="008804C2"/>
    <w:rsid w:val="00880F97"/>
    <w:rsid w:val="0088133A"/>
    <w:rsid w:val="0089285E"/>
    <w:rsid w:val="00893CDC"/>
    <w:rsid w:val="0089436C"/>
    <w:rsid w:val="008A10F3"/>
    <w:rsid w:val="008A3A72"/>
    <w:rsid w:val="008B028D"/>
    <w:rsid w:val="008B2094"/>
    <w:rsid w:val="008B223D"/>
    <w:rsid w:val="008B4BF7"/>
    <w:rsid w:val="008B54C3"/>
    <w:rsid w:val="008B635E"/>
    <w:rsid w:val="008B7028"/>
    <w:rsid w:val="008B73E2"/>
    <w:rsid w:val="008C22ED"/>
    <w:rsid w:val="008C5225"/>
    <w:rsid w:val="008C52D6"/>
    <w:rsid w:val="008C6D45"/>
    <w:rsid w:val="008C7CF9"/>
    <w:rsid w:val="008C7DF4"/>
    <w:rsid w:val="008D1422"/>
    <w:rsid w:val="008D365C"/>
    <w:rsid w:val="008D455B"/>
    <w:rsid w:val="008D53B8"/>
    <w:rsid w:val="008D691F"/>
    <w:rsid w:val="008D78B3"/>
    <w:rsid w:val="008E30D8"/>
    <w:rsid w:val="008E4775"/>
    <w:rsid w:val="008E48B0"/>
    <w:rsid w:val="008E501C"/>
    <w:rsid w:val="008F090E"/>
    <w:rsid w:val="008F4326"/>
    <w:rsid w:val="008F4819"/>
    <w:rsid w:val="008F4F8B"/>
    <w:rsid w:val="008F6CDD"/>
    <w:rsid w:val="009030BF"/>
    <w:rsid w:val="00904835"/>
    <w:rsid w:val="00904F6D"/>
    <w:rsid w:val="0091032F"/>
    <w:rsid w:val="009118A5"/>
    <w:rsid w:val="00911CD7"/>
    <w:rsid w:val="00912F12"/>
    <w:rsid w:val="009130F9"/>
    <w:rsid w:val="009132FD"/>
    <w:rsid w:val="00914368"/>
    <w:rsid w:val="00917EBB"/>
    <w:rsid w:val="0092101F"/>
    <w:rsid w:val="00922698"/>
    <w:rsid w:val="00923DD8"/>
    <w:rsid w:val="00923EB6"/>
    <w:rsid w:val="00931076"/>
    <w:rsid w:val="0093125D"/>
    <w:rsid w:val="0093181A"/>
    <w:rsid w:val="009345D9"/>
    <w:rsid w:val="00934A87"/>
    <w:rsid w:val="00934B15"/>
    <w:rsid w:val="00940C87"/>
    <w:rsid w:val="00942B62"/>
    <w:rsid w:val="009459AA"/>
    <w:rsid w:val="00946BCE"/>
    <w:rsid w:val="0095190A"/>
    <w:rsid w:val="00951A8F"/>
    <w:rsid w:val="00952FE5"/>
    <w:rsid w:val="0095323B"/>
    <w:rsid w:val="00953E12"/>
    <w:rsid w:val="00956A0C"/>
    <w:rsid w:val="00956BD9"/>
    <w:rsid w:val="009602A2"/>
    <w:rsid w:val="00962081"/>
    <w:rsid w:val="00962489"/>
    <w:rsid w:val="00963014"/>
    <w:rsid w:val="0097220B"/>
    <w:rsid w:val="00973FDB"/>
    <w:rsid w:val="009840B2"/>
    <w:rsid w:val="00990C2C"/>
    <w:rsid w:val="00994DE4"/>
    <w:rsid w:val="00996EDB"/>
    <w:rsid w:val="009A3F10"/>
    <w:rsid w:val="009B10BF"/>
    <w:rsid w:val="009B1D73"/>
    <w:rsid w:val="009B2171"/>
    <w:rsid w:val="009B29AD"/>
    <w:rsid w:val="009B518F"/>
    <w:rsid w:val="009B59AE"/>
    <w:rsid w:val="009B7125"/>
    <w:rsid w:val="009B71C3"/>
    <w:rsid w:val="009C276B"/>
    <w:rsid w:val="009C621E"/>
    <w:rsid w:val="009C6258"/>
    <w:rsid w:val="009C7B2E"/>
    <w:rsid w:val="009D3E5E"/>
    <w:rsid w:val="009D4E82"/>
    <w:rsid w:val="009D7A3E"/>
    <w:rsid w:val="009D7AD5"/>
    <w:rsid w:val="009E1844"/>
    <w:rsid w:val="009E2560"/>
    <w:rsid w:val="009E6412"/>
    <w:rsid w:val="009F0BC5"/>
    <w:rsid w:val="009F0D1B"/>
    <w:rsid w:val="009F696D"/>
    <w:rsid w:val="009F6BC6"/>
    <w:rsid w:val="00A011B3"/>
    <w:rsid w:val="00A03A9E"/>
    <w:rsid w:val="00A04A6A"/>
    <w:rsid w:val="00A1642A"/>
    <w:rsid w:val="00A17328"/>
    <w:rsid w:val="00A22F34"/>
    <w:rsid w:val="00A23A20"/>
    <w:rsid w:val="00A2532C"/>
    <w:rsid w:val="00A268B9"/>
    <w:rsid w:val="00A2703A"/>
    <w:rsid w:val="00A27FB3"/>
    <w:rsid w:val="00A32C4F"/>
    <w:rsid w:val="00A33DFF"/>
    <w:rsid w:val="00A35115"/>
    <w:rsid w:val="00A36D9A"/>
    <w:rsid w:val="00A378C6"/>
    <w:rsid w:val="00A525EF"/>
    <w:rsid w:val="00A5334B"/>
    <w:rsid w:val="00A554AB"/>
    <w:rsid w:val="00A57062"/>
    <w:rsid w:val="00A603ED"/>
    <w:rsid w:val="00A607BD"/>
    <w:rsid w:val="00A60DDD"/>
    <w:rsid w:val="00A70B42"/>
    <w:rsid w:val="00A725D2"/>
    <w:rsid w:val="00A73A9B"/>
    <w:rsid w:val="00A76122"/>
    <w:rsid w:val="00A7771B"/>
    <w:rsid w:val="00A81962"/>
    <w:rsid w:val="00A83AB1"/>
    <w:rsid w:val="00A854D6"/>
    <w:rsid w:val="00A921C4"/>
    <w:rsid w:val="00A92B53"/>
    <w:rsid w:val="00A94FA6"/>
    <w:rsid w:val="00A951DB"/>
    <w:rsid w:val="00A95504"/>
    <w:rsid w:val="00A95859"/>
    <w:rsid w:val="00A95A0D"/>
    <w:rsid w:val="00AA1CFE"/>
    <w:rsid w:val="00AA46CD"/>
    <w:rsid w:val="00AA49A0"/>
    <w:rsid w:val="00AA6710"/>
    <w:rsid w:val="00AA6E80"/>
    <w:rsid w:val="00AB0681"/>
    <w:rsid w:val="00AB3655"/>
    <w:rsid w:val="00AB4903"/>
    <w:rsid w:val="00AB4EEA"/>
    <w:rsid w:val="00AC0C30"/>
    <w:rsid w:val="00AC0C39"/>
    <w:rsid w:val="00AC10B5"/>
    <w:rsid w:val="00AC11CD"/>
    <w:rsid w:val="00AC3350"/>
    <w:rsid w:val="00AC6130"/>
    <w:rsid w:val="00AC6867"/>
    <w:rsid w:val="00AC725D"/>
    <w:rsid w:val="00AC7F04"/>
    <w:rsid w:val="00AD1AA2"/>
    <w:rsid w:val="00AD520B"/>
    <w:rsid w:val="00AD5D38"/>
    <w:rsid w:val="00AE1D30"/>
    <w:rsid w:val="00AE2980"/>
    <w:rsid w:val="00AF264B"/>
    <w:rsid w:val="00AF365B"/>
    <w:rsid w:val="00AF7721"/>
    <w:rsid w:val="00B015AB"/>
    <w:rsid w:val="00B02C91"/>
    <w:rsid w:val="00B055F1"/>
    <w:rsid w:val="00B05810"/>
    <w:rsid w:val="00B06411"/>
    <w:rsid w:val="00B1191A"/>
    <w:rsid w:val="00B17887"/>
    <w:rsid w:val="00B26D69"/>
    <w:rsid w:val="00B30BE7"/>
    <w:rsid w:val="00B328E4"/>
    <w:rsid w:val="00B3480A"/>
    <w:rsid w:val="00B3547C"/>
    <w:rsid w:val="00B364B6"/>
    <w:rsid w:val="00B36844"/>
    <w:rsid w:val="00B37760"/>
    <w:rsid w:val="00B37A17"/>
    <w:rsid w:val="00B37ECB"/>
    <w:rsid w:val="00B406C3"/>
    <w:rsid w:val="00B425C3"/>
    <w:rsid w:val="00B440AD"/>
    <w:rsid w:val="00B44AC2"/>
    <w:rsid w:val="00B44D30"/>
    <w:rsid w:val="00B45D35"/>
    <w:rsid w:val="00B479BB"/>
    <w:rsid w:val="00B502D1"/>
    <w:rsid w:val="00B53E7E"/>
    <w:rsid w:val="00B54B27"/>
    <w:rsid w:val="00B5588B"/>
    <w:rsid w:val="00B57726"/>
    <w:rsid w:val="00B57DFC"/>
    <w:rsid w:val="00B6342E"/>
    <w:rsid w:val="00B640D4"/>
    <w:rsid w:val="00B7113F"/>
    <w:rsid w:val="00B71F95"/>
    <w:rsid w:val="00B7206B"/>
    <w:rsid w:val="00B8489E"/>
    <w:rsid w:val="00BA3110"/>
    <w:rsid w:val="00BA73B6"/>
    <w:rsid w:val="00BA7E27"/>
    <w:rsid w:val="00BB147F"/>
    <w:rsid w:val="00BB1A43"/>
    <w:rsid w:val="00BB2603"/>
    <w:rsid w:val="00BB4FCD"/>
    <w:rsid w:val="00BC04E9"/>
    <w:rsid w:val="00BC056C"/>
    <w:rsid w:val="00BC4B82"/>
    <w:rsid w:val="00BD04B3"/>
    <w:rsid w:val="00BD13EA"/>
    <w:rsid w:val="00BD3532"/>
    <w:rsid w:val="00BE0BCC"/>
    <w:rsid w:val="00BE14A3"/>
    <w:rsid w:val="00BE24C6"/>
    <w:rsid w:val="00BE30E1"/>
    <w:rsid w:val="00BE3808"/>
    <w:rsid w:val="00BF01B0"/>
    <w:rsid w:val="00BF5BCB"/>
    <w:rsid w:val="00C046D0"/>
    <w:rsid w:val="00C062E9"/>
    <w:rsid w:val="00C07B64"/>
    <w:rsid w:val="00C1302B"/>
    <w:rsid w:val="00C13721"/>
    <w:rsid w:val="00C14FE4"/>
    <w:rsid w:val="00C1602E"/>
    <w:rsid w:val="00C2039E"/>
    <w:rsid w:val="00C265EB"/>
    <w:rsid w:val="00C3066D"/>
    <w:rsid w:val="00C331FE"/>
    <w:rsid w:val="00C37E92"/>
    <w:rsid w:val="00C400BA"/>
    <w:rsid w:val="00C43E21"/>
    <w:rsid w:val="00C44E2B"/>
    <w:rsid w:val="00C45782"/>
    <w:rsid w:val="00C472C7"/>
    <w:rsid w:val="00C50577"/>
    <w:rsid w:val="00C52416"/>
    <w:rsid w:val="00C53014"/>
    <w:rsid w:val="00C53E8D"/>
    <w:rsid w:val="00C543F4"/>
    <w:rsid w:val="00C548A0"/>
    <w:rsid w:val="00C553F7"/>
    <w:rsid w:val="00C56571"/>
    <w:rsid w:val="00C56BC6"/>
    <w:rsid w:val="00C578F8"/>
    <w:rsid w:val="00C57E23"/>
    <w:rsid w:val="00C61A9F"/>
    <w:rsid w:val="00C6249E"/>
    <w:rsid w:val="00C6291C"/>
    <w:rsid w:val="00C633CB"/>
    <w:rsid w:val="00C65442"/>
    <w:rsid w:val="00C736B7"/>
    <w:rsid w:val="00C7547F"/>
    <w:rsid w:val="00C7574F"/>
    <w:rsid w:val="00C8021F"/>
    <w:rsid w:val="00C80BEE"/>
    <w:rsid w:val="00C81D4A"/>
    <w:rsid w:val="00C8533C"/>
    <w:rsid w:val="00C8762C"/>
    <w:rsid w:val="00C877C7"/>
    <w:rsid w:val="00C92CA1"/>
    <w:rsid w:val="00C950D9"/>
    <w:rsid w:val="00C979A1"/>
    <w:rsid w:val="00CA00F9"/>
    <w:rsid w:val="00CA1B9A"/>
    <w:rsid w:val="00CA2961"/>
    <w:rsid w:val="00CA4AA7"/>
    <w:rsid w:val="00CA7D20"/>
    <w:rsid w:val="00CB30CA"/>
    <w:rsid w:val="00CB42B9"/>
    <w:rsid w:val="00CB50D7"/>
    <w:rsid w:val="00CB7177"/>
    <w:rsid w:val="00CB7EC8"/>
    <w:rsid w:val="00CC00C5"/>
    <w:rsid w:val="00CC1998"/>
    <w:rsid w:val="00CC4946"/>
    <w:rsid w:val="00CC6DBA"/>
    <w:rsid w:val="00CD0FF6"/>
    <w:rsid w:val="00CD29DB"/>
    <w:rsid w:val="00CD5FAF"/>
    <w:rsid w:val="00CE1F8C"/>
    <w:rsid w:val="00CE3533"/>
    <w:rsid w:val="00CE35A3"/>
    <w:rsid w:val="00CF0252"/>
    <w:rsid w:val="00CF1692"/>
    <w:rsid w:val="00D11866"/>
    <w:rsid w:val="00D11CAF"/>
    <w:rsid w:val="00D12BAA"/>
    <w:rsid w:val="00D16A98"/>
    <w:rsid w:val="00D2268E"/>
    <w:rsid w:val="00D23B85"/>
    <w:rsid w:val="00D270A4"/>
    <w:rsid w:val="00D312E9"/>
    <w:rsid w:val="00D31FE9"/>
    <w:rsid w:val="00D34E1B"/>
    <w:rsid w:val="00D367E1"/>
    <w:rsid w:val="00D376BA"/>
    <w:rsid w:val="00D43141"/>
    <w:rsid w:val="00D43A6F"/>
    <w:rsid w:val="00D44FD0"/>
    <w:rsid w:val="00D45634"/>
    <w:rsid w:val="00D53124"/>
    <w:rsid w:val="00D5568A"/>
    <w:rsid w:val="00D571FC"/>
    <w:rsid w:val="00D57881"/>
    <w:rsid w:val="00D60C26"/>
    <w:rsid w:val="00D63CB3"/>
    <w:rsid w:val="00D63D73"/>
    <w:rsid w:val="00D6430C"/>
    <w:rsid w:val="00D64452"/>
    <w:rsid w:val="00D66E1E"/>
    <w:rsid w:val="00D67D5C"/>
    <w:rsid w:val="00D70912"/>
    <w:rsid w:val="00D72BE9"/>
    <w:rsid w:val="00D753C2"/>
    <w:rsid w:val="00D75722"/>
    <w:rsid w:val="00D76A04"/>
    <w:rsid w:val="00D77FA8"/>
    <w:rsid w:val="00D80CF5"/>
    <w:rsid w:val="00D83D7B"/>
    <w:rsid w:val="00D90576"/>
    <w:rsid w:val="00D90C84"/>
    <w:rsid w:val="00D937C3"/>
    <w:rsid w:val="00D95093"/>
    <w:rsid w:val="00DA3372"/>
    <w:rsid w:val="00DA5BBA"/>
    <w:rsid w:val="00DA5F85"/>
    <w:rsid w:val="00DA66A9"/>
    <w:rsid w:val="00DA7CB6"/>
    <w:rsid w:val="00DB0CA3"/>
    <w:rsid w:val="00DB26D2"/>
    <w:rsid w:val="00DB3E81"/>
    <w:rsid w:val="00DB67C9"/>
    <w:rsid w:val="00DC0C95"/>
    <w:rsid w:val="00DC61CD"/>
    <w:rsid w:val="00DD3254"/>
    <w:rsid w:val="00DD6580"/>
    <w:rsid w:val="00DD761A"/>
    <w:rsid w:val="00DE5AB2"/>
    <w:rsid w:val="00DE7AFB"/>
    <w:rsid w:val="00DF286D"/>
    <w:rsid w:val="00DF30BE"/>
    <w:rsid w:val="00DF49C1"/>
    <w:rsid w:val="00E05687"/>
    <w:rsid w:val="00E10098"/>
    <w:rsid w:val="00E17C72"/>
    <w:rsid w:val="00E2075C"/>
    <w:rsid w:val="00E21FC6"/>
    <w:rsid w:val="00E23949"/>
    <w:rsid w:val="00E27E5A"/>
    <w:rsid w:val="00E316F0"/>
    <w:rsid w:val="00E40191"/>
    <w:rsid w:val="00E431A9"/>
    <w:rsid w:val="00E45734"/>
    <w:rsid w:val="00E474EF"/>
    <w:rsid w:val="00E50BDD"/>
    <w:rsid w:val="00E53916"/>
    <w:rsid w:val="00E539B2"/>
    <w:rsid w:val="00E579D7"/>
    <w:rsid w:val="00E57BA8"/>
    <w:rsid w:val="00E616F2"/>
    <w:rsid w:val="00E6369C"/>
    <w:rsid w:val="00E65BD6"/>
    <w:rsid w:val="00E669E2"/>
    <w:rsid w:val="00E7026B"/>
    <w:rsid w:val="00E710E7"/>
    <w:rsid w:val="00E72213"/>
    <w:rsid w:val="00E72851"/>
    <w:rsid w:val="00E73DDF"/>
    <w:rsid w:val="00E76135"/>
    <w:rsid w:val="00E8293E"/>
    <w:rsid w:val="00E82F4F"/>
    <w:rsid w:val="00E83AAF"/>
    <w:rsid w:val="00E850DD"/>
    <w:rsid w:val="00E87985"/>
    <w:rsid w:val="00E9105E"/>
    <w:rsid w:val="00E92B34"/>
    <w:rsid w:val="00EA140F"/>
    <w:rsid w:val="00EA4CAC"/>
    <w:rsid w:val="00EA5042"/>
    <w:rsid w:val="00EB2A47"/>
    <w:rsid w:val="00EB6294"/>
    <w:rsid w:val="00EC2844"/>
    <w:rsid w:val="00EC5500"/>
    <w:rsid w:val="00EC620C"/>
    <w:rsid w:val="00EC6517"/>
    <w:rsid w:val="00EC7ABC"/>
    <w:rsid w:val="00ED18F8"/>
    <w:rsid w:val="00ED1A92"/>
    <w:rsid w:val="00ED4213"/>
    <w:rsid w:val="00ED6E18"/>
    <w:rsid w:val="00EE0393"/>
    <w:rsid w:val="00EE2916"/>
    <w:rsid w:val="00EE49A5"/>
    <w:rsid w:val="00EE5976"/>
    <w:rsid w:val="00EF0857"/>
    <w:rsid w:val="00EF23D2"/>
    <w:rsid w:val="00EF25B1"/>
    <w:rsid w:val="00EF6A64"/>
    <w:rsid w:val="00EF6C6C"/>
    <w:rsid w:val="00EF73B8"/>
    <w:rsid w:val="00F03FB3"/>
    <w:rsid w:val="00F056FC"/>
    <w:rsid w:val="00F07151"/>
    <w:rsid w:val="00F07B6A"/>
    <w:rsid w:val="00F10476"/>
    <w:rsid w:val="00F11278"/>
    <w:rsid w:val="00F12676"/>
    <w:rsid w:val="00F135D8"/>
    <w:rsid w:val="00F16E87"/>
    <w:rsid w:val="00F17D0E"/>
    <w:rsid w:val="00F2538E"/>
    <w:rsid w:val="00F27E0F"/>
    <w:rsid w:val="00F31299"/>
    <w:rsid w:val="00F3534A"/>
    <w:rsid w:val="00F403FD"/>
    <w:rsid w:val="00F4711B"/>
    <w:rsid w:val="00F51609"/>
    <w:rsid w:val="00F55BE9"/>
    <w:rsid w:val="00F57EAA"/>
    <w:rsid w:val="00F6326B"/>
    <w:rsid w:val="00F63ED6"/>
    <w:rsid w:val="00F65888"/>
    <w:rsid w:val="00F66587"/>
    <w:rsid w:val="00F712F1"/>
    <w:rsid w:val="00F72CED"/>
    <w:rsid w:val="00F75D63"/>
    <w:rsid w:val="00F81006"/>
    <w:rsid w:val="00F83BB0"/>
    <w:rsid w:val="00F84337"/>
    <w:rsid w:val="00F85325"/>
    <w:rsid w:val="00F901D6"/>
    <w:rsid w:val="00F9308F"/>
    <w:rsid w:val="00F950B8"/>
    <w:rsid w:val="00F95589"/>
    <w:rsid w:val="00F95C06"/>
    <w:rsid w:val="00F974C9"/>
    <w:rsid w:val="00F97D05"/>
    <w:rsid w:val="00FA2C7C"/>
    <w:rsid w:val="00FA587F"/>
    <w:rsid w:val="00FB460B"/>
    <w:rsid w:val="00FB4740"/>
    <w:rsid w:val="00FB6855"/>
    <w:rsid w:val="00FC0334"/>
    <w:rsid w:val="00FD0789"/>
    <w:rsid w:val="00FD22B1"/>
    <w:rsid w:val="00FD551C"/>
    <w:rsid w:val="00FD57F3"/>
    <w:rsid w:val="00FD657D"/>
    <w:rsid w:val="00FE2331"/>
    <w:rsid w:val="00FE5397"/>
    <w:rsid w:val="00FE7BB8"/>
    <w:rsid w:val="00FF1822"/>
    <w:rsid w:val="00FF4DA3"/>
    <w:rsid w:val="00FF76E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02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Body Text" w:qFormat="1"/>
    <w:lsdException w:name="Emphasis" w:uiPriority="20"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7E581F"/>
    <w:rPr>
      <w:sz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8"/>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sz w:val="26"/>
      <w:szCs w:val="24"/>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szCs w:val="24"/>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sz w:val="26"/>
      <w:szCs w:val="24"/>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uiPriority w:val="20"/>
    <w:qForma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Default">
    <w:name w:val="Default"/>
    <w:rsid w:val="009D4E82"/>
    <w:pPr>
      <w:autoSpaceDE w:val="0"/>
      <w:autoSpaceDN w:val="0"/>
      <w:adjustRightInd w:val="0"/>
    </w:pPr>
    <w:rPr>
      <w:rFonts w:ascii="Cambria" w:hAnsi="Cambria" w:cs="Cambria"/>
      <w:color w:val="000000"/>
      <w:sz w:val="24"/>
      <w:szCs w:val="24"/>
    </w:rPr>
  </w:style>
  <w:style w:type="character" w:customStyle="1" w:styleId="BodyTextChar">
    <w:name w:val="Body Text Char"/>
    <w:basedOn w:val="DefaultParagraphFont"/>
    <w:link w:val="BodyText"/>
    <w:rsid w:val="00E45734"/>
    <w:rPr>
      <w:sz w:val="26"/>
    </w:rPr>
  </w:style>
  <w:style w:type="paragraph" w:styleId="ListParagraph">
    <w:name w:val="List Paragraph"/>
    <w:basedOn w:val="Normal"/>
    <w:uiPriority w:val="34"/>
    <w:qFormat/>
    <w:rsid w:val="004B2B94"/>
    <w:pPr>
      <w:ind w:left="720"/>
      <w:contextualSpacing/>
    </w:pPr>
    <w:rPr>
      <w:szCs w:val="24"/>
    </w:rPr>
  </w:style>
  <w:style w:type="paragraph" w:customStyle="1" w:styleId="gb">
    <w:name w:val="gb"/>
    <w:basedOn w:val="ListBullet"/>
    <w:rsid w:val="00B44D30"/>
  </w:style>
  <w:style w:type="character" w:customStyle="1" w:styleId="QuoteChar">
    <w:name w:val="Quote Char"/>
    <w:basedOn w:val="DefaultParagraphFont"/>
    <w:link w:val="Quote"/>
    <w:rsid w:val="000A59DC"/>
    <w:rPr>
      <w:sz w:val="24"/>
    </w:rPr>
  </w:style>
  <w:style w:type="paragraph" w:customStyle="1" w:styleId="Body">
    <w:name w:val="Body"/>
    <w:basedOn w:val="ListBullet"/>
    <w:rsid w:val="00F07B6A"/>
  </w:style>
  <w:style w:type="paragraph" w:styleId="CommentSubject">
    <w:name w:val="annotation subject"/>
    <w:basedOn w:val="CommentText"/>
    <w:next w:val="CommentText"/>
    <w:link w:val="CommentSubjectChar"/>
    <w:rsid w:val="004A4837"/>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4A4837"/>
    <w:rPr>
      <w:szCs w:val="24"/>
    </w:rPr>
  </w:style>
  <w:style w:type="character" w:customStyle="1" w:styleId="CommentSubjectChar">
    <w:name w:val="Comment Subject Char"/>
    <w:basedOn w:val="CommentTextChar"/>
    <w:link w:val="CommentSubject"/>
    <w:rsid w:val="004A4837"/>
    <w:rPr>
      <w:b/>
      <w:bCs/>
      <w:szCs w:val="24"/>
    </w:rPr>
  </w:style>
  <w:style w:type="paragraph" w:customStyle="1" w:styleId="tagline">
    <w:name w:val="tagline"/>
    <w:basedOn w:val="Normal"/>
    <w:rsid w:val="000F34E0"/>
    <w:pPr>
      <w:spacing w:before="240" w:after="336"/>
    </w:pPr>
    <w:rPr>
      <w:szCs w:val="24"/>
    </w:rPr>
  </w:style>
  <w:style w:type="character" w:styleId="Hyperlink">
    <w:name w:val="Hyperlink"/>
    <w:basedOn w:val="DefaultParagraphFont"/>
    <w:rsid w:val="004C50C7"/>
    <w:rPr>
      <w:color w:val="0000FF" w:themeColor="hyperlink"/>
      <w:u w:val="single"/>
    </w:rPr>
  </w:style>
  <w:style w:type="paragraph" w:styleId="Revision">
    <w:name w:val="Revision"/>
    <w:hidden/>
    <w:uiPriority w:val="99"/>
    <w:semiHidden/>
    <w:rsid w:val="0067625B"/>
    <w:rPr>
      <w:sz w:val="24"/>
    </w:rPr>
  </w:style>
  <w:style w:type="character" w:customStyle="1" w:styleId="Heading2Char">
    <w:name w:val="Heading 2 Char"/>
    <w:basedOn w:val="DefaultParagraphFont"/>
    <w:link w:val="Heading2"/>
    <w:rsid w:val="00A32C4F"/>
    <w:rPr>
      <w:rFonts w:ascii="Arial" w:hAnsi="Arial"/>
      <w:b/>
      <w:sz w:val="32"/>
    </w:rPr>
  </w:style>
  <w:style w:type="paragraph" w:styleId="EndnoteText">
    <w:name w:val="endnote text"/>
    <w:basedOn w:val="Normal"/>
    <w:link w:val="EndnoteTextChar"/>
    <w:rsid w:val="00AC10B5"/>
    <w:rPr>
      <w:sz w:val="20"/>
    </w:rPr>
  </w:style>
  <w:style w:type="character" w:customStyle="1" w:styleId="EndnoteTextChar">
    <w:name w:val="Endnote Text Char"/>
    <w:basedOn w:val="DefaultParagraphFont"/>
    <w:link w:val="EndnoteText"/>
    <w:rsid w:val="00AC10B5"/>
  </w:style>
  <w:style w:type="character" w:styleId="EndnoteReference">
    <w:name w:val="endnote reference"/>
    <w:basedOn w:val="DefaultParagraphFont"/>
    <w:rsid w:val="00AC10B5"/>
    <w:rPr>
      <w:vertAlign w:val="superscript"/>
    </w:rPr>
  </w:style>
  <w:style w:type="character" w:customStyle="1" w:styleId="FootnoteTextChar">
    <w:name w:val="Footnote Text Char"/>
    <w:basedOn w:val="DefaultParagraphFont"/>
    <w:link w:val="FootnoteText"/>
    <w:rsid w:val="00767B0E"/>
    <w:rPr>
      <w:sz w:val="22"/>
    </w:rPr>
  </w:style>
  <w:style w:type="character" w:customStyle="1" w:styleId="Heading3Char">
    <w:name w:val="Heading 3 Char"/>
    <w:basedOn w:val="DefaultParagraphFont"/>
    <w:link w:val="Heading3"/>
    <w:rsid w:val="000859FF"/>
    <w:rPr>
      <w:rFonts w:ascii="Arial" w:hAnsi="Arial"/>
      <w:b/>
      <w:sz w:val="26"/>
    </w:rPr>
  </w:style>
  <w:style w:type="character" w:styleId="FollowedHyperlink">
    <w:name w:val="FollowedHyperlink"/>
    <w:basedOn w:val="DefaultParagraphFont"/>
    <w:rsid w:val="0075108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Body Text" w:qFormat="1"/>
    <w:lsdException w:name="Emphasis" w:uiPriority="20"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7E581F"/>
    <w:rPr>
      <w:sz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8"/>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sz w:val="26"/>
      <w:szCs w:val="24"/>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szCs w:val="24"/>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sz w:val="26"/>
      <w:szCs w:val="24"/>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uiPriority w:val="20"/>
    <w:qForma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Default">
    <w:name w:val="Default"/>
    <w:rsid w:val="009D4E82"/>
    <w:pPr>
      <w:autoSpaceDE w:val="0"/>
      <w:autoSpaceDN w:val="0"/>
      <w:adjustRightInd w:val="0"/>
    </w:pPr>
    <w:rPr>
      <w:rFonts w:ascii="Cambria" w:hAnsi="Cambria" w:cs="Cambria"/>
      <w:color w:val="000000"/>
      <w:sz w:val="24"/>
      <w:szCs w:val="24"/>
    </w:rPr>
  </w:style>
  <w:style w:type="character" w:customStyle="1" w:styleId="BodyTextChar">
    <w:name w:val="Body Text Char"/>
    <w:basedOn w:val="DefaultParagraphFont"/>
    <w:link w:val="BodyText"/>
    <w:rsid w:val="00E45734"/>
    <w:rPr>
      <w:sz w:val="26"/>
    </w:rPr>
  </w:style>
  <w:style w:type="paragraph" w:styleId="ListParagraph">
    <w:name w:val="List Paragraph"/>
    <w:basedOn w:val="Normal"/>
    <w:uiPriority w:val="34"/>
    <w:qFormat/>
    <w:rsid w:val="004B2B94"/>
    <w:pPr>
      <w:ind w:left="720"/>
      <w:contextualSpacing/>
    </w:pPr>
    <w:rPr>
      <w:szCs w:val="24"/>
    </w:rPr>
  </w:style>
  <w:style w:type="paragraph" w:customStyle="1" w:styleId="gb">
    <w:name w:val="gb"/>
    <w:basedOn w:val="ListBullet"/>
    <w:rsid w:val="00B44D30"/>
  </w:style>
  <w:style w:type="character" w:customStyle="1" w:styleId="QuoteChar">
    <w:name w:val="Quote Char"/>
    <w:basedOn w:val="DefaultParagraphFont"/>
    <w:link w:val="Quote"/>
    <w:rsid w:val="000A59DC"/>
    <w:rPr>
      <w:sz w:val="24"/>
    </w:rPr>
  </w:style>
  <w:style w:type="paragraph" w:customStyle="1" w:styleId="Body">
    <w:name w:val="Body"/>
    <w:basedOn w:val="ListBullet"/>
    <w:rsid w:val="00F07B6A"/>
  </w:style>
  <w:style w:type="paragraph" w:styleId="CommentSubject">
    <w:name w:val="annotation subject"/>
    <w:basedOn w:val="CommentText"/>
    <w:next w:val="CommentText"/>
    <w:link w:val="CommentSubjectChar"/>
    <w:rsid w:val="004A4837"/>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4A4837"/>
    <w:rPr>
      <w:szCs w:val="24"/>
    </w:rPr>
  </w:style>
  <w:style w:type="character" w:customStyle="1" w:styleId="CommentSubjectChar">
    <w:name w:val="Comment Subject Char"/>
    <w:basedOn w:val="CommentTextChar"/>
    <w:link w:val="CommentSubject"/>
    <w:rsid w:val="004A4837"/>
    <w:rPr>
      <w:b/>
      <w:bCs/>
      <w:szCs w:val="24"/>
    </w:rPr>
  </w:style>
  <w:style w:type="paragraph" w:customStyle="1" w:styleId="tagline">
    <w:name w:val="tagline"/>
    <w:basedOn w:val="Normal"/>
    <w:rsid w:val="000F34E0"/>
    <w:pPr>
      <w:spacing w:before="240" w:after="336"/>
    </w:pPr>
    <w:rPr>
      <w:szCs w:val="24"/>
    </w:rPr>
  </w:style>
  <w:style w:type="character" w:styleId="Hyperlink">
    <w:name w:val="Hyperlink"/>
    <w:basedOn w:val="DefaultParagraphFont"/>
    <w:rsid w:val="004C50C7"/>
    <w:rPr>
      <w:color w:val="0000FF" w:themeColor="hyperlink"/>
      <w:u w:val="single"/>
    </w:rPr>
  </w:style>
  <w:style w:type="paragraph" w:styleId="Revision">
    <w:name w:val="Revision"/>
    <w:hidden/>
    <w:uiPriority w:val="99"/>
    <w:semiHidden/>
    <w:rsid w:val="0067625B"/>
    <w:rPr>
      <w:sz w:val="24"/>
    </w:rPr>
  </w:style>
  <w:style w:type="character" w:customStyle="1" w:styleId="Heading2Char">
    <w:name w:val="Heading 2 Char"/>
    <w:basedOn w:val="DefaultParagraphFont"/>
    <w:link w:val="Heading2"/>
    <w:rsid w:val="00A32C4F"/>
    <w:rPr>
      <w:rFonts w:ascii="Arial" w:hAnsi="Arial"/>
      <w:b/>
      <w:sz w:val="32"/>
    </w:rPr>
  </w:style>
  <w:style w:type="paragraph" w:styleId="EndnoteText">
    <w:name w:val="endnote text"/>
    <w:basedOn w:val="Normal"/>
    <w:link w:val="EndnoteTextChar"/>
    <w:rsid w:val="00AC10B5"/>
    <w:rPr>
      <w:sz w:val="20"/>
    </w:rPr>
  </w:style>
  <w:style w:type="character" w:customStyle="1" w:styleId="EndnoteTextChar">
    <w:name w:val="Endnote Text Char"/>
    <w:basedOn w:val="DefaultParagraphFont"/>
    <w:link w:val="EndnoteText"/>
    <w:rsid w:val="00AC10B5"/>
  </w:style>
  <w:style w:type="character" w:styleId="EndnoteReference">
    <w:name w:val="endnote reference"/>
    <w:basedOn w:val="DefaultParagraphFont"/>
    <w:rsid w:val="00AC10B5"/>
    <w:rPr>
      <w:vertAlign w:val="superscript"/>
    </w:rPr>
  </w:style>
  <w:style w:type="character" w:customStyle="1" w:styleId="FootnoteTextChar">
    <w:name w:val="Footnote Text Char"/>
    <w:basedOn w:val="DefaultParagraphFont"/>
    <w:link w:val="FootnoteText"/>
    <w:rsid w:val="00767B0E"/>
    <w:rPr>
      <w:sz w:val="22"/>
    </w:rPr>
  </w:style>
  <w:style w:type="character" w:customStyle="1" w:styleId="Heading3Char">
    <w:name w:val="Heading 3 Char"/>
    <w:basedOn w:val="DefaultParagraphFont"/>
    <w:link w:val="Heading3"/>
    <w:rsid w:val="000859FF"/>
    <w:rPr>
      <w:rFonts w:ascii="Arial" w:hAnsi="Arial"/>
      <w:b/>
      <w:sz w:val="26"/>
    </w:rPr>
  </w:style>
  <w:style w:type="character" w:styleId="FollowedHyperlink">
    <w:name w:val="FollowedHyperlink"/>
    <w:basedOn w:val="DefaultParagraphFont"/>
    <w:rsid w:val="0075108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60802">
      <w:bodyDiv w:val="1"/>
      <w:marLeft w:val="0"/>
      <w:marRight w:val="0"/>
      <w:marTop w:val="0"/>
      <w:marBottom w:val="0"/>
      <w:divBdr>
        <w:top w:val="none" w:sz="0" w:space="0" w:color="auto"/>
        <w:left w:val="none" w:sz="0" w:space="0" w:color="auto"/>
        <w:bottom w:val="none" w:sz="0" w:space="0" w:color="auto"/>
        <w:right w:val="none" w:sz="0" w:space="0" w:color="auto"/>
      </w:divBdr>
      <w:divsChild>
        <w:div w:id="2129081998">
          <w:marLeft w:val="0"/>
          <w:marRight w:val="0"/>
          <w:marTop w:val="0"/>
          <w:marBottom w:val="0"/>
          <w:divBdr>
            <w:top w:val="none" w:sz="0" w:space="0" w:color="auto"/>
            <w:left w:val="none" w:sz="0" w:space="0" w:color="auto"/>
            <w:bottom w:val="none" w:sz="0" w:space="0" w:color="auto"/>
            <w:right w:val="none" w:sz="0" w:space="0" w:color="auto"/>
          </w:divBdr>
        </w:div>
      </w:divsChild>
    </w:div>
    <w:div w:id="233786748">
      <w:bodyDiv w:val="1"/>
      <w:marLeft w:val="0"/>
      <w:marRight w:val="0"/>
      <w:marTop w:val="0"/>
      <w:marBottom w:val="0"/>
      <w:divBdr>
        <w:top w:val="none" w:sz="0" w:space="0" w:color="auto"/>
        <w:left w:val="none" w:sz="0" w:space="0" w:color="auto"/>
        <w:bottom w:val="none" w:sz="0" w:space="0" w:color="auto"/>
        <w:right w:val="none" w:sz="0" w:space="0" w:color="auto"/>
      </w:divBdr>
      <w:divsChild>
        <w:div w:id="235015079">
          <w:marLeft w:val="547"/>
          <w:marRight w:val="0"/>
          <w:marTop w:val="144"/>
          <w:marBottom w:val="0"/>
          <w:divBdr>
            <w:top w:val="none" w:sz="0" w:space="0" w:color="auto"/>
            <w:left w:val="none" w:sz="0" w:space="0" w:color="auto"/>
            <w:bottom w:val="none" w:sz="0" w:space="0" w:color="auto"/>
            <w:right w:val="none" w:sz="0" w:space="0" w:color="auto"/>
          </w:divBdr>
        </w:div>
        <w:div w:id="1015961714">
          <w:marLeft w:val="1166"/>
          <w:marRight w:val="0"/>
          <w:marTop w:val="125"/>
          <w:marBottom w:val="0"/>
          <w:divBdr>
            <w:top w:val="none" w:sz="0" w:space="0" w:color="auto"/>
            <w:left w:val="none" w:sz="0" w:space="0" w:color="auto"/>
            <w:bottom w:val="none" w:sz="0" w:space="0" w:color="auto"/>
            <w:right w:val="none" w:sz="0" w:space="0" w:color="auto"/>
          </w:divBdr>
        </w:div>
        <w:div w:id="2049836932">
          <w:marLeft w:val="1166"/>
          <w:marRight w:val="0"/>
          <w:marTop w:val="125"/>
          <w:marBottom w:val="0"/>
          <w:divBdr>
            <w:top w:val="none" w:sz="0" w:space="0" w:color="auto"/>
            <w:left w:val="none" w:sz="0" w:space="0" w:color="auto"/>
            <w:bottom w:val="none" w:sz="0" w:space="0" w:color="auto"/>
            <w:right w:val="none" w:sz="0" w:space="0" w:color="auto"/>
          </w:divBdr>
        </w:div>
        <w:div w:id="437869254">
          <w:marLeft w:val="1166"/>
          <w:marRight w:val="0"/>
          <w:marTop w:val="125"/>
          <w:marBottom w:val="0"/>
          <w:divBdr>
            <w:top w:val="none" w:sz="0" w:space="0" w:color="auto"/>
            <w:left w:val="none" w:sz="0" w:space="0" w:color="auto"/>
            <w:bottom w:val="none" w:sz="0" w:space="0" w:color="auto"/>
            <w:right w:val="none" w:sz="0" w:space="0" w:color="auto"/>
          </w:divBdr>
        </w:div>
        <w:div w:id="30961157">
          <w:marLeft w:val="1166"/>
          <w:marRight w:val="0"/>
          <w:marTop w:val="125"/>
          <w:marBottom w:val="0"/>
          <w:divBdr>
            <w:top w:val="none" w:sz="0" w:space="0" w:color="auto"/>
            <w:left w:val="none" w:sz="0" w:space="0" w:color="auto"/>
            <w:bottom w:val="none" w:sz="0" w:space="0" w:color="auto"/>
            <w:right w:val="none" w:sz="0" w:space="0" w:color="auto"/>
          </w:divBdr>
        </w:div>
        <w:div w:id="447355663">
          <w:marLeft w:val="1166"/>
          <w:marRight w:val="0"/>
          <w:marTop w:val="125"/>
          <w:marBottom w:val="0"/>
          <w:divBdr>
            <w:top w:val="none" w:sz="0" w:space="0" w:color="auto"/>
            <w:left w:val="none" w:sz="0" w:space="0" w:color="auto"/>
            <w:bottom w:val="none" w:sz="0" w:space="0" w:color="auto"/>
            <w:right w:val="none" w:sz="0" w:space="0" w:color="auto"/>
          </w:divBdr>
        </w:div>
        <w:div w:id="2010937658">
          <w:marLeft w:val="1166"/>
          <w:marRight w:val="0"/>
          <w:marTop w:val="125"/>
          <w:marBottom w:val="0"/>
          <w:divBdr>
            <w:top w:val="none" w:sz="0" w:space="0" w:color="auto"/>
            <w:left w:val="none" w:sz="0" w:space="0" w:color="auto"/>
            <w:bottom w:val="none" w:sz="0" w:space="0" w:color="auto"/>
            <w:right w:val="none" w:sz="0" w:space="0" w:color="auto"/>
          </w:divBdr>
        </w:div>
        <w:div w:id="1256400375">
          <w:marLeft w:val="547"/>
          <w:marRight w:val="0"/>
          <w:marTop w:val="144"/>
          <w:marBottom w:val="0"/>
          <w:divBdr>
            <w:top w:val="none" w:sz="0" w:space="0" w:color="auto"/>
            <w:left w:val="none" w:sz="0" w:space="0" w:color="auto"/>
            <w:bottom w:val="none" w:sz="0" w:space="0" w:color="auto"/>
            <w:right w:val="none" w:sz="0" w:space="0" w:color="auto"/>
          </w:divBdr>
        </w:div>
      </w:divsChild>
    </w:div>
    <w:div w:id="579408098">
      <w:bodyDiv w:val="1"/>
      <w:marLeft w:val="0"/>
      <w:marRight w:val="0"/>
      <w:marTop w:val="0"/>
      <w:marBottom w:val="0"/>
      <w:divBdr>
        <w:top w:val="none" w:sz="0" w:space="0" w:color="auto"/>
        <w:left w:val="none" w:sz="0" w:space="0" w:color="auto"/>
        <w:bottom w:val="none" w:sz="0" w:space="0" w:color="auto"/>
        <w:right w:val="none" w:sz="0" w:space="0" w:color="auto"/>
      </w:divBdr>
    </w:div>
    <w:div w:id="941570607">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C0C33-2917-4191-BE6D-BDC99272D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16</Pages>
  <Words>5887</Words>
  <Characters>34021</Characters>
  <Application>Microsoft Office Word</Application>
  <DocSecurity>0</DocSecurity>
  <Lines>557</Lines>
  <Paragraphs>173</Paragraphs>
  <ScaleCrop>false</ScaleCrop>
  <HeadingPairs>
    <vt:vector size="2" baseType="variant">
      <vt:variant>
        <vt:lpstr>Title</vt:lpstr>
      </vt:variant>
      <vt:variant>
        <vt:i4>1</vt:i4>
      </vt:variant>
    </vt:vector>
  </HeadingPairs>
  <TitlesOfParts>
    <vt:vector size="1" baseType="lpstr">
      <vt:lpstr>Using administrative data</vt:lpstr>
    </vt:vector>
  </TitlesOfParts>
  <Company>Productivity Commission</Company>
  <LinksUpToDate>false</LinksUpToDate>
  <CharactersWithSpaces>39735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Using administrative data</dc:title>
  <dc:subject>Annual Report 2012-13</dc:subject>
  <dc:creator>Productivity Commission</dc:creator>
  <dc:description>1.</dc:description>
  <cp:lastModifiedBy>Productivity Commission</cp:lastModifiedBy>
  <cp:revision>2</cp:revision>
  <cp:lastPrinted>2013-10-04T04:39:00Z</cp:lastPrinted>
  <dcterms:created xsi:type="dcterms:W3CDTF">2013-10-09T23:14:00Z</dcterms:created>
  <dcterms:modified xsi:type="dcterms:W3CDTF">2013-10-09T23:14:00Z</dcterms:modified>
</cp:coreProperties>
</file>