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479835661"/>
        <w:docPartObj>
          <w:docPartGallery w:val="Cover Pages"/>
          <w:docPartUnique/>
        </w:docPartObj>
      </w:sdtPr>
      <w:sdtEndPr/>
      <w:sdtContent>
        <w:p w:rsidR="006D20BA" w:rsidRDefault="0041257B" w:rsidP="0041257B">
          <w:pPr>
            <w:rPr>
              <w:b/>
              <w:szCs w:val="26"/>
            </w:rPr>
          </w:pPr>
          <w:r>
            <w:rPr>
              <w:noProof/>
              <w:lang w:eastAsia="en-AU"/>
            </w:rPr>
            <w:drawing>
              <wp:anchor distT="0" distB="0" distL="114300" distR="114300" simplePos="0" relativeHeight="251659264" behindDoc="1" locked="0" layoutInCell="1" allowOverlap="1">
                <wp:simplePos x="1152525" y="904875"/>
                <wp:positionH relativeFrom="page">
                  <wp:align>center</wp:align>
                </wp:positionH>
                <wp:positionV relativeFrom="page">
                  <wp:align>bottom</wp:align>
                </wp:positionV>
                <wp:extent cx="7560000" cy="10126800"/>
                <wp:effectExtent l="0" t="0" r="3175" b="8255"/>
                <wp:wrapNone/>
                <wp:docPr id="1" name="Picture 1" descr="Cover image for the Australian Government Productivity Commission Annual Report 2012-13. Part of the Productivity Commission Annual Report Series.&#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cover-annual-report-2012-13.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60000" cy="10126800"/>
                        </a:xfrm>
                        <a:prstGeom prst="rect">
                          <a:avLst/>
                        </a:prstGeom>
                      </pic:spPr>
                    </pic:pic>
                  </a:graphicData>
                </a:graphic>
                <wp14:sizeRelH relativeFrom="margin">
                  <wp14:pctWidth>0</wp14:pctWidth>
                </wp14:sizeRelH>
                <wp14:sizeRelV relativeFrom="margin">
                  <wp14:pctHeight>0</wp14:pctHeight>
                </wp14:sizeRelV>
              </wp:anchor>
            </w:drawing>
          </w:r>
          <w:r w:rsidR="006D20BA">
            <w:br w:type="page"/>
          </w:r>
        </w:p>
      </w:sdtContent>
    </w:sdt>
    <w:p w:rsidR="003E7802" w:rsidRDefault="003E7802" w:rsidP="001D4B1F">
      <w:pPr>
        <w:pStyle w:val="TOC1"/>
      </w:pPr>
      <w:r w:rsidRPr="008C305F">
        <w:lastRenderedPageBreak/>
        <w:fldChar w:fldCharType="begin"/>
      </w:r>
      <w:r w:rsidRPr="008C305F">
        <w:instrText>SYMBOL 227 \f "Symbol"</w:instrText>
      </w:r>
      <w:r w:rsidRPr="008C305F">
        <w:fldChar w:fldCharType="end"/>
      </w:r>
      <w:r w:rsidRPr="008C305F">
        <w:t xml:space="preserve"> Commonwealth of Australia </w:t>
      </w:r>
      <w:r w:rsidR="00602523">
        <w:t>201</w:t>
      </w:r>
      <w:r w:rsidR="00DC3E29">
        <w:t>3</w:t>
      </w:r>
    </w:p>
    <w:p w:rsidR="00B03350" w:rsidRDefault="00B03350">
      <w:pPr>
        <w:pStyle w:val="BodyText"/>
        <w:tabs>
          <w:tab w:val="left" w:pos="851"/>
        </w:tabs>
        <w:spacing w:before="200" w:after="120"/>
        <w:jc w:val="left"/>
        <w:rPr>
          <w:rFonts w:ascii="Arial" w:hAnsi="Arial" w:cs="Arial"/>
          <w:sz w:val="16"/>
          <w:szCs w:val="16"/>
          <w:lang w:eastAsia="en-AU"/>
        </w:rPr>
      </w:pPr>
      <w:bookmarkStart w:id="0" w:name="ISSN"/>
      <w:bookmarkEnd w:id="0"/>
      <w:r>
        <w:rPr>
          <w:b/>
          <w:sz w:val="24"/>
        </w:rPr>
        <w:t>ISSN</w:t>
      </w:r>
      <w:r>
        <w:rPr>
          <w:b/>
          <w:sz w:val="24"/>
        </w:rPr>
        <w:tab/>
      </w:r>
      <w:r w:rsidR="00C51E45" w:rsidRPr="00782B4E">
        <w:rPr>
          <w:b/>
          <w:sz w:val="24"/>
        </w:rPr>
        <w:t>1035-</w:t>
      </w:r>
      <w:r w:rsidR="00640F62" w:rsidRPr="00640F62">
        <w:rPr>
          <w:b/>
          <w:sz w:val="24"/>
        </w:rPr>
        <w:t>5243</w:t>
      </w:r>
      <w:r>
        <w:rPr>
          <w:b/>
          <w:sz w:val="24"/>
        </w:rPr>
        <w:br/>
        <w:t>ISBN</w:t>
      </w:r>
      <w:r>
        <w:rPr>
          <w:b/>
          <w:sz w:val="24"/>
        </w:rPr>
        <w:tab/>
      </w:r>
      <w:r w:rsidR="00424E3B" w:rsidRPr="00424E3B">
        <w:rPr>
          <w:b/>
          <w:sz w:val="24"/>
        </w:rPr>
        <w:t>978-1-74037-453-8</w:t>
      </w:r>
    </w:p>
    <w:p w:rsidR="003E7802" w:rsidRPr="00691AB5" w:rsidRDefault="003E7802" w:rsidP="00FA4A24">
      <w:pPr>
        <w:pStyle w:val="BodyText"/>
        <w:rPr>
          <w:snapToGrid w:val="0"/>
        </w:rPr>
      </w:pPr>
      <w:r w:rsidRPr="00691AB5">
        <w:rPr>
          <w:snapToGrid w:val="0"/>
        </w:rPr>
        <w:t xml:space="preserve">This work is copyright. Apart from any use as permitted under the </w:t>
      </w:r>
      <w:r w:rsidRPr="00097C15">
        <w:rPr>
          <w:i/>
          <w:snapToGrid w:val="0"/>
        </w:rPr>
        <w:t>Copyright Act 1968</w:t>
      </w:r>
      <w:r w:rsidRPr="00691AB5">
        <w:rPr>
          <w:snapToGrid w:val="0"/>
        </w:rPr>
        <w:t xml:space="preserve">, the work may be reproduced in whole or in part for study or training purposes, subject to the inclusion of an acknowledgment of the source. Reproduction for commercial use or sale requires prior written permission from the </w:t>
      </w:r>
      <w:r w:rsidR="009B12EF">
        <w:rPr>
          <w:snapToGrid w:val="0"/>
        </w:rPr>
        <w:t>Productivity Commission</w:t>
      </w:r>
      <w:r w:rsidRPr="00691AB5">
        <w:rPr>
          <w:snapToGrid w:val="0"/>
        </w:rPr>
        <w:t xml:space="preserve">. Requests and inquiries concerning reproduction and rights should be addressed to </w:t>
      </w:r>
      <w:r w:rsidR="009B12EF">
        <w:rPr>
          <w:snapToGrid w:val="0"/>
        </w:rPr>
        <w:t>Media and Publications (see below)</w:t>
      </w:r>
      <w:r w:rsidR="00734127">
        <w:rPr>
          <w:snapToGrid w:val="0"/>
        </w:rPr>
        <w:t>.</w:t>
      </w:r>
    </w:p>
    <w:p w:rsidR="003E7802" w:rsidRDefault="003E7802" w:rsidP="003E7802">
      <w:pPr>
        <w:pStyle w:val="BodyText"/>
        <w:spacing w:before="160" w:line="240" w:lineRule="auto"/>
        <w:rPr>
          <w:i/>
          <w:sz w:val="24"/>
        </w:rPr>
      </w:pPr>
      <w:r>
        <w:rPr>
          <w:i/>
          <w:snapToGrid w:val="0"/>
          <w:color w:val="000000"/>
          <w:sz w:val="24"/>
        </w:rPr>
        <w:t>This publication is available from the Productivity Commission website at www.pc.gov.au. If</w:t>
      </w:r>
      <w:r>
        <w:rPr>
          <w:i/>
          <w:snapToGrid w:val="0"/>
          <w:sz w:val="24"/>
        </w:rPr>
        <w:t xml:space="preserve"> you require part or all of this publication in a different format, please contact Me</w:t>
      </w:r>
      <w:r w:rsidR="00734127">
        <w:rPr>
          <w:i/>
          <w:snapToGrid w:val="0"/>
          <w:sz w:val="24"/>
        </w:rPr>
        <w:t>dia and Publications.</w:t>
      </w:r>
    </w:p>
    <w:p w:rsidR="003E7802" w:rsidRDefault="00A85FC4" w:rsidP="003E7802">
      <w:pPr>
        <w:pStyle w:val="BodyText"/>
        <w:spacing w:before="320"/>
        <w:rPr>
          <w:b/>
          <w:sz w:val="24"/>
        </w:rPr>
      </w:pPr>
      <w:r>
        <w:rPr>
          <w:b/>
          <w:sz w:val="24"/>
        </w:rPr>
        <w:t>Publications e</w:t>
      </w:r>
      <w:r w:rsidR="003E7802">
        <w:rPr>
          <w:b/>
          <w:sz w:val="24"/>
        </w:rPr>
        <w:t>nquiries:</w:t>
      </w:r>
    </w:p>
    <w:p w:rsidR="003E7802" w:rsidRDefault="003E7802" w:rsidP="003E7802">
      <w:pPr>
        <w:pStyle w:val="BodyText"/>
        <w:spacing w:before="0" w:line="240" w:lineRule="auto"/>
        <w:rPr>
          <w:sz w:val="24"/>
        </w:rPr>
      </w:pPr>
      <w:r>
        <w:rPr>
          <w:sz w:val="24"/>
        </w:rPr>
        <w:t xml:space="preserve">Media and </w:t>
      </w:r>
      <w:r w:rsidRPr="00FD4728">
        <w:rPr>
          <w:snapToGrid w:val="0"/>
          <w:sz w:val="24"/>
        </w:rPr>
        <w:t>Publications</w:t>
      </w:r>
    </w:p>
    <w:p w:rsidR="003E7802" w:rsidRDefault="003E7802" w:rsidP="003E7802">
      <w:pPr>
        <w:pStyle w:val="BodyText"/>
        <w:spacing w:before="0" w:line="240" w:lineRule="auto"/>
        <w:rPr>
          <w:sz w:val="24"/>
        </w:rPr>
      </w:pPr>
      <w:r>
        <w:rPr>
          <w:sz w:val="24"/>
        </w:rPr>
        <w:t xml:space="preserve">Productivity </w:t>
      </w:r>
      <w:r w:rsidRPr="00FD4728">
        <w:rPr>
          <w:snapToGrid w:val="0"/>
          <w:sz w:val="24"/>
        </w:rPr>
        <w:t>Commission</w:t>
      </w:r>
    </w:p>
    <w:p w:rsidR="003E7802" w:rsidRDefault="003E7802" w:rsidP="003E7802">
      <w:pPr>
        <w:pStyle w:val="BodyText"/>
        <w:spacing w:before="0" w:line="240" w:lineRule="auto"/>
        <w:rPr>
          <w:sz w:val="24"/>
        </w:rPr>
      </w:pPr>
      <w:r>
        <w:rPr>
          <w:sz w:val="24"/>
        </w:rPr>
        <w:t xml:space="preserve">Locked Bag </w:t>
      </w:r>
      <w:smartTag w:uri="urn:schemas-microsoft-com:office:smarttags" w:element="Street">
        <w:smartTag w:uri="urn:schemas-microsoft-com:office:smarttags" w:element="address">
          <w:r>
            <w:rPr>
              <w:sz w:val="24"/>
            </w:rPr>
            <w:t xml:space="preserve">2 Collins </w:t>
          </w:r>
          <w:r w:rsidRPr="00FD4728">
            <w:rPr>
              <w:snapToGrid w:val="0"/>
              <w:sz w:val="24"/>
            </w:rPr>
            <w:t>Street</w:t>
          </w:r>
          <w:r>
            <w:rPr>
              <w:sz w:val="24"/>
            </w:rPr>
            <w:t xml:space="preserve"> East</w:t>
          </w:r>
        </w:smartTag>
      </w:smartTag>
    </w:p>
    <w:p w:rsidR="003E7802" w:rsidRDefault="003E7802" w:rsidP="003E7802">
      <w:pPr>
        <w:pStyle w:val="BodyText"/>
        <w:spacing w:before="0" w:after="120" w:line="240" w:lineRule="auto"/>
        <w:rPr>
          <w:sz w:val="24"/>
        </w:rPr>
      </w:pPr>
      <w:smartTag w:uri="urn:schemas-microsoft-com:office:smarttags" w:element="City">
        <w:smartTag w:uri="urn:schemas-microsoft-com:office:smarttags" w:element="place">
          <w:r>
            <w:rPr>
              <w:sz w:val="24"/>
            </w:rPr>
            <w:t>Melbourne</w:t>
          </w:r>
        </w:smartTag>
      </w:smartTag>
      <w:r>
        <w:rPr>
          <w:sz w:val="24"/>
        </w:rPr>
        <w:t xml:space="preserve">    VIC    </w:t>
      </w:r>
      <w:r w:rsidRPr="00FD4728">
        <w:rPr>
          <w:snapToGrid w:val="0"/>
          <w:sz w:val="24"/>
        </w:rPr>
        <w:t>8003</w:t>
      </w:r>
    </w:p>
    <w:p w:rsidR="003E7802" w:rsidRPr="00FD4728" w:rsidRDefault="003E7802" w:rsidP="003E7802">
      <w:pPr>
        <w:pStyle w:val="BodyText"/>
        <w:tabs>
          <w:tab w:val="left" w:pos="1134"/>
        </w:tabs>
        <w:spacing w:before="0" w:line="240" w:lineRule="auto"/>
        <w:rPr>
          <w:sz w:val="24"/>
          <w:szCs w:val="24"/>
        </w:rPr>
      </w:pPr>
      <w:r w:rsidRPr="00FD4728">
        <w:rPr>
          <w:sz w:val="24"/>
          <w:szCs w:val="24"/>
        </w:rPr>
        <w:t>Tel:</w:t>
      </w:r>
      <w:r w:rsidRPr="00FD4728">
        <w:rPr>
          <w:sz w:val="24"/>
          <w:szCs w:val="24"/>
        </w:rPr>
        <w:tab/>
        <w:t>(03) 9653 2244</w:t>
      </w:r>
    </w:p>
    <w:p w:rsidR="003E7802" w:rsidRDefault="003E7802" w:rsidP="003E7802">
      <w:pPr>
        <w:pStyle w:val="BodyText"/>
        <w:tabs>
          <w:tab w:val="left" w:pos="1134"/>
        </w:tabs>
        <w:spacing w:before="0" w:line="240" w:lineRule="auto"/>
        <w:jc w:val="left"/>
      </w:pPr>
      <w:r w:rsidRPr="00FD4728">
        <w:rPr>
          <w:sz w:val="24"/>
          <w:szCs w:val="24"/>
        </w:rPr>
        <w:t>Fax:</w:t>
      </w:r>
      <w:r w:rsidRPr="00FD4728">
        <w:rPr>
          <w:sz w:val="24"/>
          <w:szCs w:val="24"/>
        </w:rPr>
        <w:tab/>
        <w:t>(03) 9653 2303</w:t>
      </w:r>
      <w:r w:rsidRPr="00FD4728">
        <w:rPr>
          <w:sz w:val="24"/>
          <w:szCs w:val="24"/>
        </w:rPr>
        <w:br/>
      </w:r>
      <w:r w:rsidRPr="008F04C9">
        <w:rPr>
          <w:sz w:val="24"/>
          <w:szCs w:val="24"/>
        </w:rPr>
        <w:t>Email:</w:t>
      </w:r>
      <w:r w:rsidRPr="008F04C9">
        <w:rPr>
          <w:sz w:val="24"/>
          <w:szCs w:val="24"/>
        </w:rPr>
        <w:tab/>
      </w:r>
      <w:proofErr w:type="spellStart"/>
      <w:r w:rsidRPr="008F04C9">
        <w:rPr>
          <w:sz w:val="24"/>
          <w:szCs w:val="24"/>
        </w:rPr>
        <w:t>maps@pc.gov.au</w:t>
      </w:r>
      <w:proofErr w:type="spellEnd"/>
    </w:p>
    <w:p w:rsidR="003E7802" w:rsidRDefault="003E7802" w:rsidP="003E7802">
      <w:pPr>
        <w:pStyle w:val="BodyText"/>
        <w:spacing w:before="320"/>
        <w:rPr>
          <w:b/>
          <w:sz w:val="24"/>
        </w:rPr>
      </w:pPr>
      <w:r>
        <w:rPr>
          <w:b/>
          <w:sz w:val="24"/>
        </w:rPr>
        <w:t xml:space="preserve">General </w:t>
      </w:r>
      <w:r w:rsidR="00A85FC4">
        <w:rPr>
          <w:b/>
          <w:sz w:val="24"/>
        </w:rPr>
        <w:t>e</w:t>
      </w:r>
      <w:r>
        <w:rPr>
          <w:b/>
          <w:sz w:val="24"/>
        </w:rPr>
        <w:t>nquiries:</w:t>
      </w:r>
    </w:p>
    <w:p w:rsidR="003E7802" w:rsidRPr="008F04C9" w:rsidRDefault="003E7802" w:rsidP="003E7802">
      <w:pPr>
        <w:pStyle w:val="BodyText"/>
        <w:tabs>
          <w:tab w:val="left" w:pos="1134"/>
        </w:tabs>
        <w:spacing w:before="0" w:line="240" w:lineRule="auto"/>
        <w:rPr>
          <w:sz w:val="24"/>
          <w:szCs w:val="24"/>
        </w:rPr>
      </w:pPr>
      <w:r w:rsidRPr="008F04C9">
        <w:rPr>
          <w:sz w:val="24"/>
          <w:szCs w:val="24"/>
        </w:rPr>
        <w:t>Tel:</w:t>
      </w:r>
      <w:r w:rsidRPr="008F04C9">
        <w:rPr>
          <w:sz w:val="24"/>
          <w:szCs w:val="24"/>
        </w:rPr>
        <w:tab/>
        <w:t>(03) 9653 2100 or (02) 6240 3200</w:t>
      </w:r>
    </w:p>
    <w:p w:rsidR="003E7802" w:rsidRPr="008F04C9" w:rsidRDefault="003E7802" w:rsidP="003E7802">
      <w:pPr>
        <w:pStyle w:val="BodyText"/>
        <w:spacing w:before="360" w:line="240" w:lineRule="auto"/>
        <w:rPr>
          <w:b/>
          <w:sz w:val="24"/>
          <w:szCs w:val="24"/>
        </w:rPr>
      </w:pPr>
      <w:r w:rsidRPr="008F04C9">
        <w:rPr>
          <w:b/>
          <w:sz w:val="24"/>
          <w:szCs w:val="24"/>
        </w:rPr>
        <w:t>An appropriate citation for this paper is:</w:t>
      </w:r>
    </w:p>
    <w:p w:rsidR="00B03350" w:rsidRPr="00051780" w:rsidRDefault="00B03350" w:rsidP="00B03350">
      <w:pPr>
        <w:pStyle w:val="BodyText"/>
        <w:spacing w:before="160" w:after="120" w:line="240" w:lineRule="auto"/>
        <w:rPr>
          <w:sz w:val="24"/>
          <w:szCs w:val="24"/>
        </w:rPr>
      </w:pPr>
      <w:r>
        <w:rPr>
          <w:sz w:val="24"/>
          <w:szCs w:val="24"/>
        </w:rPr>
        <w:t>Productivity Commission 201</w:t>
      </w:r>
      <w:r w:rsidR="00442D6C">
        <w:rPr>
          <w:sz w:val="24"/>
          <w:szCs w:val="24"/>
        </w:rPr>
        <w:t>3</w:t>
      </w:r>
      <w:r>
        <w:rPr>
          <w:sz w:val="24"/>
          <w:szCs w:val="24"/>
        </w:rPr>
        <w:t xml:space="preserve">, </w:t>
      </w:r>
      <w:r w:rsidR="00442D6C">
        <w:rPr>
          <w:i/>
          <w:sz w:val="24"/>
          <w:szCs w:val="24"/>
        </w:rPr>
        <w:t>Annual Report 2012-13</w:t>
      </w:r>
      <w:r>
        <w:rPr>
          <w:i/>
          <w:sz w:val="24"/>
          <w:szCs w:val="24"/>
        </w:rPr>
        <w:t xml:space="preserve">, </w:t>
      </w:r>
      <w:r>
        <w:rPr>
          <w:sz w:val="24"/>
          <w:szCs w:val="24"/>
        </w:rPr>
        <w:t>Annual Report Series, Productivity Commission, Canberra</w:t>
      </w:r>
      <w:r w:rsidR="00761D2F">
        <w:rPr>
          <w:sz w:val="24"/>
          <w:szCs w:val="24"/>
        </w:rPr>
        <w:t>.</w:t>
      </w:r>
    </w:p>
    <w:p w:rsidR="00B03350" w:rsidRPr="00507F3C" w:rsidRDefault="00B03350" w:rsidP="00B03350">
      <w:pPr>
        <w:pStyle w:val="BodyText"/>
        <w:spacing w:before="160" w:after="120" w:line="240" w:lineRule="auto"/>
        <w:rPr>
          <w:sz w:val="20"/>
        </w:rPr>
      </w:pPr>
      <w:proofErr w:type="spellStart"/>
      <w:r>
        <w:rPr>
          <w:sz w:val="20"/>
        </w:rPr>
        <w:t>JEL</w:t>
      </w:r>
      <w:proofErr w:type="spellEnd"/>
      <w:r>
        <w:rPr>
          <w:sz w:val="20"/>
        </w:rPr>
        <w:t xml:space="preserve"> code: D</w:t>
      </w:r>
    </w:p>
    <w:p w:rsidR="003E7802" w:rsidRPr="00DC75C7" w:rsidRDefault="003E7802" w:rsidP="003E7802">
      <w:pPr>
        <w:pStyle w:val="BodyText"/>
        <w:pBdr>
          <w:top w:val="single" w:sz="4" w:space="5" w:color="auto"/>
          <w:left w:val="single" w:sz="4" w:space="8" w:color="auto"/>
          <w:bottom w:val="single" w:sz="4" w:space="14" w:color="auto"/>
          <w:right w:val="single" w:sz="4" w:space="8" w:color="auto"/>
        </w:pBdr>
        <w:spacing w:before="120" w:line="240" w:lineRule="auto"/>
        <w:ind w:left="284" w:right="284"/>
        <w:rPr>
          <w:b/>
          <w:i/>
          <w:sz w:val="24"/>
          <w:szCs w:val="24"/>
        </w:rPr>
      </w:pPr>
      <w:r w:rsidRPr="00DC75C7">
        <w:rPr>
          <w:b/>
          <w:i/>
          <w:sz w:val="24"/>
          <w:szCs w:val="24"/>
        </w:rPr>
        <w:t>The Productivity Commission</w:t>
      </w:r>
    </w:p>
    <w:p w:rsidR="003E7802" w:rsidRPr="00BB5DCF" w:rsidRDefault="003E7802" w:rsidP="003E7802">
      <w:pPr>
        <w:pStyle w:val="BodyText"/>
        <w:pBdr>
          <w:top w:val="single" w:sz="4" w:space="5" w:color="auto"/>
          <w:left w:val="single" w:sz="4" w:space="8" w:color="auto"/>
          <w:bottom w:val="single" w:sz="4" w:space="14" w:color="auto"/>
          <w:right w:val="single" w:sz="4" w:space="8" w:color="auto"/>
        </w:pBdr>
        <w:spacing w:before="160" w:line="240" w:lineRule="auto"/>
        <w:ind w:left="284" w:right="284"/>
        <w:rPr>
          <w:sz w:val="24"/>
          <w:szCs w:val="24"/>
        </w:rPr>
      </w:pPr>
      <w:r w:rsidRPr="00BB5DCF">
        <w:rPr>
          <w:sz w:val="24"/>
          <w:szCs w:val="24"/>
        </w:rPr>
        <w:t>The Productivity Commission is the Australian Government’s independent research and advisory body on a range of economic, social and environmental issues affecting the welfare of Australians. Its role, expressed most simply, is to help governments make better policies, in the long term interest of the Australian community.</w:t>
      </w:r>
    </w:p>
    <w:p w:rsidR="003E7802" w:rsidRPr="00BB5DCF" w:rsidRDefault="003E7802" w:rsidP="003E7802">
      <w:pPr>
        <w:pStyle w:val="BodyText"/>
        <w:pBdr>
          <w:top w:val="single" w:sz="4" w:space="5" w:color="auto"/>
          <w:left w:val="single" w:sz="4" w:space="8" w:color="auto"/>
          <w:bottom w:val="single" w:sz="4" w:space="14" w:color="auto"/>
          <w:right w:val="single" w:sz="4" w:space="8" w:color="auto"/>
        </w:pBdr>
        <w:spacing w:before="160" w:line="240" w:lineRule="auto"/>
        <w:ind w:left="284" w:right="284"/>
        <w:rPr>
          <w:sz w:val="24"/>
          <w:szCs w:val="24"/>
        </w:rPr>
      </w:pPr>
      <w:r w:rsidRPr="00BB5DCF">
        <w:rPr>
          <w:sz w:val="24"/>
          <w:szCs w:val="24"/>
        </w:rPr>
        <w:t>The Commission’s independence is underpinned by an Act of Parliament. Its processes and outputs are open to public scrutiny and are driven by concern for the wellbeing of the community as a whole.</w:t>
      </w:r>
    </w:p>
    <w:p w:rsidR="00B03350" w:rsidRDefault="003E7802" w:rsidP="00704F3B">
      <w:pPr>
        <w:pStyle w:val="BodyText"/>
        <w:pBdr>
          <w:top w:val="single" w:sz="4" w:space="5" w:color="auto"/>
          <w:left w:val="single" w:sz="4" w:space="8" w:color="auto"/>
          <w:bottom w:val="single" w:sz="4" w:space="14" w:color="auto"/>
          <w:right w:val="single" w:sz="4" w:space="8" w:color="auto"/>
        </w:pBdr>
        <w:spacing w:before="160" w:line="240" w:lineRule="auto"/>
        <w:ind w:left="284" w:right="284"/>
      </w:pPr>
      <w:r w:rsidRPr="00BB5DCF">
        <w:rPr>
          <w:sz w:val="24"/>
          <w:szCs w:val="24"/>
        </w:rPr>
        <w:t xml:space="preserve">Further information on the Productivity Commission can be obtained from the Commission’s website (www.pc.gov.au) or by contacting Media and Publications on (03) 9653 2244 or email: </w:t>
      </w:r>
      <w:proofErr w:type="spellStart"/>
      <w:r w:rsidRPr="00BB5DCF">
        <w:rPr>
          <w:sz w:val="24"/>
          <w:szCs w:val="24"/>
        </w:rPr>
        <w:t>maps@pc.gov.au</w:t>
      </w:r>
      <w:bookmarkStart w:id="1" w:name="cov"/>
      <w:bookmarkEnd w:id="1"/>
      <w:proofErr w:type="spellEnd"/>
    </w:p>
    <w:p w:rsidR="006D20BA" w:rsidRDefault="006D20BA">
      <w:pPr>
        <w:rPr>
          <w:noProof/>
          <w:sz w:val="24"/>
          <w:lang w:eastAsia="en-AU"/>
        </w:rPr>
      </w:pPr>
      <w:r>
        <w:rPr>
          <w:noProof/>
        </w:rPr>
        <w:br w:type="page"/>
      </w:r>
    </w:p>
    <w:p w:rsidR="00B03350" w:rsidRDefault="00B03350" w:rsidP="00A874FD">
      <w:pPr>
        <w:pStyle w:val="BodyText"/>
        <w:spacing w:line="240" w:lineRule="auto"/>
      </w:pPr>
    </w:p>
    <w:p w:rsidR="006D20BA" w:rsidRDefault="00115E33" w:rsidP="00A874FD">
      <w:pPr>
        <w:pStyle w:val="BodyText"/>
        <w:spacing w:line="240" w:lineRule="auto"/>
        <w:ind w:left="-284" w:hanging="567"/>
        <w:rPr>
          <w:sz w:val="24"/>
          <w:lang w:eastAsia="en-AU"/>
        </w:rPr>
      </w:pPr>
      <w:r>
        <w:rPr>
          <w:noProof/>
          <w:sz w:val="24"/>
          <w:lang w:eastAsia="en-AU"/>
        </w:rPr>
        <w:drawing>
          <wp:anchor distT="0" distB="0" distL="114300" distR="114300" simplePos="0" relativeHeight="251658240" behindDoc="0" locked="0" layoutInCell="1" allowOverlap="1">
            <wp:simplePos x="609600" y="1238250"/>
            <wp:positionH relativeFrom="page">
              <wp:align>center</wp:align>
            </wp:positionH>
            <wp:positionV relativeFrom="page">
              <wp:align>center</wp:align>
            </wp:positionV>
            <wp:extent cx="7542000" cy="10674000"/>
            <wp:effectExtent l="0" t="0" r="1905" b="0"/>
            <wp:wrapNone/>
            <wp:docPr id="8" name="Picture 8" descr="Letter of transmittal. 28 September 2013. Dear Treasurer, We submit to you the Productivity Commissions's annual report for 2012-13. The report is prepared in accordance with section 10 of the Productivity Commission Act 1998. The Commission's Act requires that a copy of this report be tabled within 15 sitting days of each House of Parliament after the day of receipt of the report. Yours sincerely [signed] Peter Harris (Chair), Michael Woods (Deputy Chair) and (Commissioners) Alison McClelland, Warren Mundy, Jonathan Coppel, Patricia Scott, Wendy Craik, Philip Weickhardt and Angela McR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d transmittal letter.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42000" cy="10674000"/>
                    </a:xfrm>
                    <a:prstGeom prst="rect">
                      <a:avLst/>
                    </a:prstGeom>
                  </pic:spPr>
                </pic:pic>
              </a:graphicData>
            </a:graphic>
            <wp14:sizeRelH relativeFrom="margin">
              <wp14:pctWidth>0</wp14:pctWidth>
            </wp14:sizeRelH>
            <wp14:sizeRelV relativeFrom="margin">
              <wp14:pctHeight>0</wp14:pctHeight>
            </wp14:sizeRelV>
          </wp:anchor>
        </w:drawing>
      </w:r>
    </w:p>
    <w:p w:rsidR="00B03350" w:rsidRDefault="00B03350" w:rsidP="00A874FD">
      <w:pPr>
        <w:pStyle w:val="BodyText"/>
        <w:spacing w:line="240" w:lineRule="auto"/>
      </w:pPr>
    </w:p>
    <w:p w:rsidR="00735FEA" w:rsidRDefault="00735FEA">
      <w:pPr>
        <w:pStyle w:val="BodyText"/>
        <w:sectPr w:rsidR="00735FEA" w:rsidSect="008D1B67">
          <w:type w:val="oddPage"/>
          <w:pgSz w:w="11907" w:h="16840" w:code="9"/>
          <w:pgMar w:top="1418" w:right="1304" w:bottom="567" w:left="1814" w:header="1701" w:footer="567" w:gutter="0"/>
          <w:pgNumType w:start="1"/>
          <w:cols w:space="720"/>
          <w:titlePg/>
        </w:sectPr>
      </w:pPr>
    </w:p>
    <w:p w:rsidR="00DE22CA" w:rsidRPr="006D673C" w:rsidRDefault="00DE22CA" w:rsidP="00DE22CA">
      <w:pPr>
        <w:pStyle w:val="Heading3"/>
        <w:spacing w:before="0"/>
        <w:ind w:left="709" w:hanging="709"/>
        <w:rPr>
          <w:szCs w:val="26"/>
        </w:rPr>
      </w:pPr>
      <w:bookmarkStart w:id="2" w:name="Contents"/>
      <w:bookmarkEnd w:id="2"/>
      <w:r w:rsidRPr="006D673C">
        <w:rPr>
          <w:szCs w:val="26"/>
        </w:rPr>
        <w:lastRenderedPageBreak/>
        <w:t>Chairman and Commissioners</w:t>
      </w:r>
    </w:p>
    <w:p w:rsidR="00DE22CA" w:rsidRDefault="00DE22CA" w:rsidP="00DE22CA">
      <w:pPr>
        <w:ind w:left="709" w:hanging="709"/>
      </w:pPr>
    </w:p>
    <w:p w:rsidR="00DE22CA" w:rsidRDefault="00DE22CA" w:rsidP="00DE22CA"/>
    <w:p w:rsidR="002A7D53" w:rsidRDefault="002A7D53" w:rsidP="002A7D53">
      <w:pPr>
        <w:ind w:left="709" w:hanging="709"/>
      </w:pPr>
    </w:p>
    <w:p w:rsidR="002A7D53" w:rsidRDefault="002A7D53" w:rsidP="002A7D53">
      <w:r>
        <w:rPr>
          <w:noProof/>
          <w:lang w:eastAsia="en-AU"/>
        </w:rPr>
        <w:drawing>
          <wp:inline distT="0" distB="0" distL="0" distR="0">
            <wp:extent cx="1401445" cy="1531620"/>
            <wp:effectExtent l="19050" t="19050" r="27305" b="11430"/>
            <wp:docPr id="7" name="Picture 7" descr="Peter Harris (Chair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ter Harris photo_CMYK_retouched_flat"/>
                    <pic:cNvPicPr>
                      <a:picLocks noChangeAspect="1" noChangeArrowheads="1"/>
                    </pic:cNvPicPr>
                  </pic:nvPicPr>
                  <pic:blipFill>
                    <a:blip r:embed="rId10" cstate="print">
                      <a:extLst>
                        <a:ext uri="{28A0092B-C50C-407E-A947-70E740481C1C}">
                          <a14:useLocalDpi xmlns:a14="http://schemas.microsoft.com/office/drawing/2010/main" val="0"/>
                        </a:ext>
                      </a:extLst>
                    </a:blip>
                    <a:srcRect l="3181" r="4546"/>
                    <a:stretch>
                      <a:fillRect/>
                    </a:stretch>
                  </pic:blipFill>
                  <pic:spPr bwMode="auto">
                    <a:xfrm>
                      <a:off x="0" y="0"/>
                      <a:ext cx="1401445" cy="1531620"/>
                    </a:xfrm>
                    <a:prstGeom prst="rect">
                      <a:avLst/>
                    </a:prstGeom>
                    <a:noFill/>
                    <a:ln w="6350" cmpd="sng">
                      <a:solidFill>
                        <a:srgbClr val="000000"/>
                      </a:solidFill>
                      <a:miter lim="800000"/>
                      <a:headEnd/>
                      <a:tailEnd/>
                    </a:ln>
                    <a:effectLst/>
                  </pic:spPr>
                </pic:pic>
              </a:graphicData>
            </a:graphic>
          </wp:inline>
        </w:drawing>
      </w:r>
      <w:r>
        <w:rPr>
          <w:noProof/>
          <w:lang w:eastAsia="en-AU"/>
        </w:rPr>
        <w:tab/>
      </w:r>
      <w:r>
        <w:rPr>
          <w:noProof/>
          <w:lang w:eastAsia="en-AU"/>
        </w:rPr>
        <w:drawing>
          <wp:inline distT="0" distB="0" distL="0" distR="0" wp14:anchorId="56CD561C" wp14:editId="1E6D4452">
            <wp:extent cx="3336925" cy="1531620"/>
            <wp:effectExtent l="19050" t="19050" r="15875" b="11430"/>
            <wp:docPr id="6" name="Picture 6" descr="Philip Weikhardt, Gary Banks (former Chairman) and Patricia Sc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W,GB&amp;PS2-cropp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36925" cy="1531620"/>
                    </a:xfrm>
                    <a:prstGeom prst="rect">
                      <a:avLst/>
                    </a:prstGeom>
                    <a:noFill/>
                    <a:ln w="6350" cmpd="sng">
                      <a:solidFill>
                        <a:srgbClr val="000000"/>
                      </a:solidFill>
                      <a:miter lim="800000"/>
                      <a:headEnd/>
                      <a:tailEnd/>
                    </a:ln>
                    <a:effectLst/>
                  </pic:spPr>
                </pic:pic>
              </a:graphicData>
            </a:graphic>
          </wp:inline>
        </w:drawing>
      </w:r>
    </w:p>
    <w:p w:rsidR="002A7D53" w:rsidRPr="00E87334" w:rsidRDefault="002A7D53" w:rsidP="002A7D53">
      <w:pPr>
        <w:tabs>
          <w:tab w:val="left" w:pos="2835"/>
          <w:tab w:val="left" w:pos="3119"/>
        </w:tabs>
        <w:spacing w:before="120"/>
        <w:rPr>
          <w:rFonts w:ascii="Arial" w:hAnsi="Arial" w:cs="Arial"/>
          <w:sz w:val="18"/>
          <w:szCs w:val="18"/>
        </w:rPr>
      </w:pPr>
      <w:r>
        <w:rPr>
          <w:rFonts w:ascii="Arial" w:hAnsi="Arial" w:cs="Arial"/>
          <w:sz w:val="18"/>
          <w:szCs w:val="18"/>
        </w:rPr>
        <w:t>Peter Harris</w:t>
      </w:r>
      <w:r w:rsidRPr="00953BDF">
        <w:rPr>
          <w:rFonts w:ascii="Arial" w:hAnsi="Arial" w:cs="Arial"/>
          <w:sz w:val="18"/>
          <w:szCs w:val="18"/>
        </w:rPr>
        <w:t xml:space="preserve"> (Chairman</w:t>
      </w:r>
      <w:r>
        <w:rPr>
          <w:rFonts w:ascii="Arial" w:hAnsi="Arial" w:cs="Arial"/>
          <w:sz w:val="18"/>
          <w:szCs w:val="18"/>
        </w:rPr>
        <w:t>)</w:t>
      </w:r>
      <w:r>
        <w:rPr>
          <w:rFonts w:ascii="Arial" w:hAnsi="Arial" w:cs="Arial"/>
          <w:sz w:val="18"/>
          <w:szCs w:val="18"/>
        </w:rPr>
        <w:tab/>
        <w:t>Philip Weickhardt, Gary Banks (f</w:t>
      </w:r>
      <w:r w:rsidRPr="00E87334">
        <w:rPr>
          <w:rFonts w:ascii="Arial" w:hAnsi="Arial" w:cs="Arial"/>
          <w:sz w:val="18"/>
          <w:szCs w:val="18"/>
        </w:rPr>
        <w:t>ormer Chairman) &amp; Patricia Scott</w:t>
      </w:r>
    </w:p>
    <w:p w:rsidR="002A7D53" w:rsidRDefault="002A7D53" w:rsidP="002A7D53">
      <w:pPr>
        <w:tabs>
          <w:tab w:val="left" w:pos="993"/>
        </w:tabs>
        <w:spacing w:before="120"/>
        <w:jc w:val="center"/>
        <w:rPr>
          <w:rFonts w:ascii="Arial" w:hAnsi="Arial" w:cs="Arial"/>
          <w:sz w:val="20"/>
        </w:rPr>
      </w:pPr>
    </w:p>
    <w:p w:rsidR="002A7D53" w:rsidRDefault="002A7D53" w:rsidP="002A7D53">
      <w:pPr>
        <w:tabs>
          <w:tab w:val="left" w:pos="993"/>
        </w:tabs>
        <w:spacing w:before="120"/>
        <w:jc w:val="center"/>
        <w:rPr>
          <w:rFonts w:ascii="Arial" w:hAnsi="Arial" w:cs="Arial"/>
          <w:sz w:val="20"/>
        </w:rPr>
      </w:pPr>
    </w:p>
    <w:p w:rsidR="002A7D53" w:rsidRPr="00DB58DB" w:rsidRDefault="002A7D53" w:rsidP="002A7D53">
      <w:pPr>
        <w:tabs>
          <w:tab w:val="left" w:pos="993"/>
        </w:tabs>
        <w:spacing w:before="120"/>
        <w:jc w:val="center"/>
        <w:rPr>
          <w:rFonts w:ascii="Arial" w:hAnsi="Arial" w:cs="Arial"/>
          <w:sz w:val="20"/>
        </w:rPr>
      </w:pPr>
    </w:p>
    <w:p w:rsidR="002A7D53" w:rsidRPr="00D27C9E" w:rsidRDefault="002A7D53" w:rsidP="002A7D53">
      <w:pPr>
        <w:ind w:left="709" w:hanging="709"/>
        <w:jc w:val="center"/>
        <w:rPr>
          <w:sz w:val="16"/>
          <w:szCs w:val="16"/>
        </w:rPr>
      </w:pPr>
    </w:p>
    <w:p w:rsidR="002A7D53" w:rsidRPr="003874F5" w:rsidRDefault="002A7D53" w:rsidP="002A7D53">
      <w:pPr>
        <w:ind w:left="709" w:hanging="709"/>
      </w:pPr>
      <w:r>
        <w:rPr>
          <w:noProof/>
          <w:lang w:eastAsia="en-AU"/>
        </w:rPr>
        <w:drawing>
          <wp:inline distT="0" distB="0" distL="0" distR="0" wp14:anchorId="60E2B097" wp14:editId="739D7089">
            <wp:extent cx="2553335" cy="1543685"/>
            <wp:effectExtent l="19050" t="19050" r="18415" b="18415"/>
            <wp:docPr id="5" name="Picture 5" descr="Alison McClelland and Robert Fitzgerald (currently on leave from the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c&amp;RF2"/>
                    <pic:cNvPicPr>
                      <a:picLocks noChangeAspect="1" noChangeArrowheads="1"/>
                    </pic:cNvPicPr>
                  </pic:nvPicPr>
                  <pic:blipFill>
                    <a:blip r:embed="rId12" cstate="print">
                      <a:extLst>
                        <a:ext uri="{28A0092B-C50C-407E-A947-70E740481C1C}">
                          <a14:useLocalDpi xmlns:a14="http://schemas.microsoft.com/office/drawing/2010/main" val="0"/>
                        </a:ext>
                      </a:extLst>
                    </a:blip>
                    <a:srcRect t="15880" r="6976"/>
                    <a:stretch>
                      <a:fillRect/>
                    </a:stretch>
                  </pic:blipFill>
                  <pic:spPr bwMode="auto">
                    <a:xfrm>
                      <a:off x="0" y="0"/>
                      <a:ext cx="2553335" cy="1543685"/>
                    </a:xfrm>
                    <a:prstGeom prst="rect">
                      <a:avLst/>
                    </a:prstGeom>
                    <a:noFill/>
                    <a:ln w="6350" cmpd="sng">
                      <a:solidFill>
                        <a:srgbClr val="000000"/>
                      </a:solidFill>
                      <a:miter lim="800000"/>
                      <a:headEnd/>
                      <a:tailEnd/>
                    </a:ln>
                    <a:effectLst/>
                  </pic:spPr>
                </pic:pic>
              </a:graphicData>
            </a:graphic>
          </wp:inline>
        </w:drawing>
      </w:r>
      <w:r>
        <w:rPr>
          <w:noProof/>
          <w:lang w:eastAsia="en-AU"/>
        </w:rPr>
        <w:tab/>
      </w:r>
      <w:r>
        <w:rPr>
          <w:noProof/>
          <w:lang w:eastAsia="en-AU"/>
        </w:rPr>
        <w:drawing>
          <wp:inline distT="0" distB="0" distL="0" distR="0" wp14:anchorId="0275001C" wp14:editId="5D91D0F7">
            <wp:extent cx="2339340" cy="1543685"/>
            <wp:effectExtent l="19050" t="19050" r="22860" b="18415"/>
            <wp:docPr id="4" name="Picture 4" descr="Mike Woods (Deputy Chair) and Wendy Cra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W&amp;WC-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39340" cy="1543685"/>
                    </a:xfrm>
                    <a:prstGeom prst="rect">
                      <a:avLst/>
                    </a:prstGeom>
                    <a:noFill/>
                    <a:ln w="6350" cmpd="sng">
                      <a:solidFill>
                        <a:srgbClr val="000000"/>
                      </a:solidFill>
                      <a:miter lim="800000"/>
                      <a:headEnd/>
                      <a:tailEnd/>
                    </a:ln>
                    <a:effectLst/>
                  </pic:spPr>
                </pic:pic>
              </a:graphicData>
            </a:graphic>
          </wp:inline>
        </w:drawing>
      </w:r>
    </w:p>
    <w:p w:rsidR="002A7D53" w:rsidRPr="000902D4" w:rsidRDefault="002A7D53" w:rsidP="002A7D53">
      <w:pPr>
        <w:tabs>
          <w:tab w:val="left" w:pos="567"/>
          <w:tab w:val="left" w:pos="4536"/>
        </w:tabs>
        <w:spacing w:before="120"/>
        <w:ind w:right="-113"/>
        <w:rPr>
          <w:rFonts w:ascii="Arial" w:hAnsi="Arial" w:cs="Arial"/>
          <w:sz w:val="18"/>
          <w:szCs w:val="18"/>
        </w:rPr>
      </w:pPr>
      <w:r>
        <w:rPr>
          <w:rFonts w:ascii="Arial" w:hAnsi="Arial" w:cs="Arial"/>
          <w:sz w:val="18"/>
          <w:szCs w:val="18"/>
        </w:rPr>
        <w:tab/>
      </w:r>
      <w:r w:rsidRPr="000902D4">
        <w:rPr>
          <w:rFonts w:ascii="Arial" w:hAnsi="Arial" w:cs="Arial"/>
          <w:sz w:val="18"/>
          <w:szCs w:val="18"/>
        </w:rPr>
        <w:t>Alison McClelland &amp; Robert Fitzgerald</w:t>
      </w:r>
      <w:r>
        <w:rPr>
          <w:rFonts w:ascii="Arial" w:hAnsi="Arial" w:cs="Arial"/>
          <w:sz w:val="18"/>
          <w:szCs w:val="18"/>
        </w:rPr>
        <w:t>*</w:t>
      </w:r>
      <w:r w:rsidRPr="000902D4">
        <w:rPr>
          <w:rFonts w:ascii="Arial" w:hAnsi="Arial" w:cs="Arial"/>
          <w:sz w:val="18"/>
          <w:szCs w:val="18"/>
        </w:rPr>
        <w:t xml:space="preserve"> </w:t>
      </w:r>
      <w:r w:rsidRPr="000902D4">
        <w:rPr>
          <w:rFonts w:ascii="Arial" w:hAnsi="Arial" w:cs="Arial"/>
          <w:sz w:val="18"/>
          <w:szCs w:val="18"/>
        </w:rPr>
        <w:tab/>
        <w:t>Mike Woods (Deputy Chairman) &amp; Wendy Craik</w:t>
      </w:r>
    </w:p>
    <w:p w:rsidR="002A7D53" w:rsidRDefault="002A7D53" w:rsidP="002A7D53">
      <w:pPr>
        <w:tabs>
          <w:tab w:val="left" w:pos="4111"/>
        </w:tabs>
        <w:spacing w:before="120"/>
        <w:jc w:val="center"/>
        <w:rPr>
          <w:rFonts w:ascii="Arial" w:hAnsi="Arial" w:cs="Arial"/>
          <w:sz w:val="20"/>
        </w:rPr>
      </w:pPr>
    </w:p>
    <w:p w:rsidR="002A7D53" w:rsidRDefault="002A7D53" w:rsidP="002A7D53">
      <w:pPr>
        <w:tabs>
          <w:tab w:val="left" w:pos="4111"/>
        </w:tabs>
        <w:spacing w:before="120"/>
        <w:jc w:val="center"/>
        <w:rPr>
          <w:rFonts w:ascii="Arial" w:hAnsi="Arial" w:cs="Arial"/>
          <w:sz w:val="20"/>
        </w:rPr>
      </w:pPr>
    </w:p>
    <w:p w:rsidR="002A7D53" w:rsidRPr="00DB58DB" w:rsidRDefault="002A7D53" w:rsidP="002A7D53">
      <w:pPr>
        <w:tabs>
          <w:tab w:val="left" w:pos="4111"/>
        </w:tabs>
        <w:spacing w:before="120"/>
        <w:jc w:val="center"/>
        <w:rPr>
          <w:rFonts w:ascii="Arial" w:hAnsi="Arial" w:cs="Arial"/>
          <w:sz w:val="20"/>
        </w:rPr>
      </w:pPr>
    </w:p>
    <w:p w:rsidR="002A7D53" w:rsidRPr="00D27C9E" w:rsidRDefault="002A7D53" w:rsidP="002A7D53">
      <w:pPr>
        <w:ind w:left="709" w:hanging="709"/>
        <w:jc w:val="center"/>
        <w:rPr>
          <w:sz w:val="16"/>
          <w:szCs w:val="16"/>
        </w:rPr>
      </w:pPr>
    </w:p>
    <w:p w:rsidR="002A7D53" w:rsidRPr="006F3394" w:rsidRDefault="002A7D53" w:rsidP="002A7D53">
      <w:pPr>
        <w:ind w:left="426"/>
        <w:jc w:val="center"/>
      </w:pPr>
      <w:r>
        <w:rPr>
          <w:noProof/>
          <w:lang w:eastAsia="en-AU"/>
        </w:rPr>
        <w:drawing>
          <wp:inline distT="0" distB="0" distL="0" distR="0">
            <wp:extent cx="3942715" cy="1757680"/>
            <wp:effectExtent l="19050" t="19050" r="19685" b="13970"/>
            <wp:docPr id="2" name="Picture 2" descr="Angela MacRae, Warrren Mundy and Jonathan Copp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Mac,WM&amp;JC"/>
                    <pic:cNvPicPr>
                      <a:picLocks noChangeAspect="1" noChangeArrowheads="1"/>
                    </pic:cNvPicPr>
                  </pic:nvPicPr>
                  <pic:blipFill>
                    <a:blip r:embed="rId14" cstate="print">
                      <a:extLst>
                        <a:ext uri="{28A0092B-C50C-407E-A947-70E740481C1C}">
                          <a14:useLocalDpi xmlns:a14="http://schemas.microsoft.com/office/drawing/2010/main" val="0"/>
                        </a:ext>
                      </a:extLst>
                    </a:blip>
                    <a:srcRect l="6262" t="26770" r="3975" b="12920"/>
                    <a:stretch>
                      <a:fillRect/>
                    </a:stretch>
                  </pic:blipFill>
                  <pic:spPr bwMode="auto">
                    <a:xfrm>
                      <a:off x="0" y="0"/>
                      <a:ext cx="3942715" cy="1757680"/>
                    </a:xfrm>
                    <a:prstGeom prst="rect">
                      <a:avLst/>
                    </a:prstGeom>
                    <a:noFill/>
                    <a:ln w="6350" cmpd="sng">
                      <a:solidFill>
                        <a:srgbClr val="000000"/>
                      </a:solidFill>
                      <a:miter lim="800000"/>
                      <a:headEnd/>
                      <a:tailEnd/>
                    </a:ln>
                    <a:effectLst/>
                  </pic:spPr>
                </pic:pic>
              </a:graphicData>
            </a:graphic>
          </wp:inline>
        </w:drawing>
      </w:r>
    </w:p>
    <w:p w:rsidR="002A7D53" w:rsidRPr="00953BDF" w:rsidRDefault="002A7D53" w:rsidP="002A7D53">
      <w:pPr>
        <w:tabs>
          <w:tab w:val="left" w:pos="1985"/>
        </w:tabs>
        <w:spacing w:before="120"/>
        <w:jc w:val="center"/>
        <w:rPr>
          <w:rFonts w:ascii="Arial" w:hAnsi="Arial" w:cs="Arial"/>
          <w:sz w:val="18"/>
          <w:szCs w:val="18"/>
        </w:rPr>
      </w:pPr>
      <w:r w:rsidRPr="00953BDF">
        <w:rPr>
          <w:rFonts w:ascii="Arial" w:hAnsi="Arial" w:cs="Arial"/>
          <w:sz w:val="18"/>
          <w:szCs w:val="18"/>
        </w:rPr>
        <w:t>Angela MacRae, Warren Mundy &amp; Jonathan Coppel</w:t>
      </w:r>
    </w:p>
    <w:p w:rsidR="002A7D53" w:rsidRPr="00D27C9E" w:rsidRDefault="002A7D53" w:rsidP="002A7D53">
      <w:pPr>
        <w:tabs>
          <w:tab w:val="left" w:pos="1701"/>
        </w:tabs>
        <w:rPr>
          <w:rFonts w:ascii="Arial" w:hAnsi="Arial" w:cs="Arial"/>
          <w:sz w:val="16"/>
          <w:szCs w:val="16"/>
        </w:rPr>
      </w:pPr>
    </w:p>
    <w:p w:rsidR="002A7D53" w:rsidRDefault="002A7D53" w:rsidP="002A7D53">
      <w:pPr>
        <w:tabs>
          <w:tab w:val="left" w:pos="426"/>
          <w:tab w:val="left" w:pos="3686"/>
        </w:tabs>
        <w:spacing w:before="120"/>
        <w:ind w:right="-113"/>
        <w:rPr>
          <w:rFonts w:ascii="Arial" w:hAnsi="Arial" w:cs="Arial"/>
          <w:sz w:val="18"/>
          <w:szCs w:val="18"/>
        </w:rPr>
      </w:pPr>
      <w:r>
        <w:rPr>
          <w:rFonts w:ascii="Arial" w:hAnsi="Arial" w:cs="Arial"/>
          <w:sz w:val="18"/>
          <w:szCs w:val="18"/>
        </w:rPr>
        <w:t>*:Currently on leave from the Commission</w:t>
      </w:r>
    </w:p>
    <w:p w:rsidR="002A7D53" w:rsidRPr="00953BDF" w:rsidRDefault="002A7D53" w:rsidP="002A7D53">
      <w:pPr>
        <w:tabs>
          <w:tab w:val="left" w:pos="426"/>
          <w:tab w:val="left" w:pos="3686"/>
        </w:tabs>
        <w:spacing w:before="120"/>
        <w:ind w:right="-113"/>
        <w:rPr>
          <w:rFonts w:ascii="Arial" w:hAnsi="Arial" w:cs="Arial"/>
          <w:sz w:val="18"/>
          <w:szCs w:val="18"/>
        </w:rPr>
      </w:pPr>
      <w:r>
        <w:rPr>
          <w:rFonts w:ascii="Arial" w:hAnsi="Arial" w:cs="Arial"/>
          <w:sz w:val="18"/>
          <w:szCs w:val="18"/>
        </w:rPr>
        <w:t>Absent: Siobhan McKenna</w:t>
      </w:r>
    </w:p>
    <w:p w:rsidR="00B03350" w:rsidRDefault="00B03350" w:rsidP="002A7D53">
      <w:pPr>
        <w:tabs>
          <w:tab w:val="left" w:pos="426"/>
          <w:tab w:val="left" w:pos="3686"/>
        </w:tabs>
        <w:spacing w:before="480"/>
        <w:ind w:right="-113"/>
      </w:pPr>
      <w:r>
        <w:lastRenderedPageBreak/>
        <w:t>Acknowledgments</w:t>
      </w:r>
    </w:p>
    <w:p w:rsidR="00B03350" w:rsidRDefault="00B03350" w:rsidP="00B03350">
      <w:pPr>
        <w:pStyle w:val="BodyText"/>
      </w:pPr>
      <w:r>
        <w:t>The Commission wishes to thank its staff for their continued efforts, commitment and support during the past year</w:t>
      </w:r>
      <w:r w:rsidR="000C7512">
        <w:t>.</w:t>
      </w:r>
    </w:p>
    <w:p w:rsidR="006F6A87" w:rsidRDefault="006F6A87" w:rsidP="00B03350">
      <w:pPr>
        <w:pStyle w:val="BodyText"/>
      </w:pPr>
    </w:p>
    <w:p w:rsidR="006F6A87" w:rsidRDefault="006F6A87" w:rsidP="00B03350">
      <w:pPr>
        <w:pStyle w:val="BodyText"/>
      </w:pPr>
    </w:p>
    <w:p w:rsidR="00B03350" w:rsidRDefault="00B03350" w:rsidP="00B03350">
      <w:pPr>
        <w:rPr>
          <w:kern w:val="28"/>
          <w:sz w:val="52"/>
          <w:szCs w:val="26"/>
        </w:rPr>
      </w:pPr>
    </w:p>
    <w:p w:rsidR="00B03350" w:rsidRPr="00B03350" w:rsidRDefault="00B03350" w:rsidP="00B03350">
      <w:pPr>
        <w:rPr>
          <w:kern w:val="28"/>
          <w:sz w:val="52"/>
          <w:szCs w:val="26"/>
        </w:rPr>
        <w:sectPr w:rsidR="00B03350" w:rsidRPr="00B03350" w:rsidSect="002A7D53">
          <w:headerReference w:type="even" r:id="rId15"/>
          <w:headerReference w:type="default" r:id="rId16"/>
          <w:footerReference w:type="even" r:id="rId17"/>
          <w:footerReference w:type="default" r:id="rId18"/>
          <w:type w:val="oddPage"/>
          <w:pgSz w:w="11907" w:h="16840" w:code="9"/>
          <w:pgMar w:top="1985" w:right="1304" w:bottom="1418" w:left="1588" w:header="1701" w:footer="567" w:gutter="0"/>
          <w:pgNumType w:fmt="lowerRoman"/>
          <w:cols w:space="720"/>
        </w:sectPr>
      </w:pPr>
    </w:p>
    <w:p w:rsidR="002F1717" w:rsidRDefault="002F1717" w:rsidP="00EB7544">
      <w:pPr>
        <w:pStyle w:val="Heading1"/>
        <w:spacing w:after="960"/>
      </w:pPr>
      <w:bookmarkStart w:id="3" w:name="_Toc367104905"/>
      <w:r>
        <w:lastRenderedPageBreak/>
        <w:t>Foreword</w:t>
      </w:r>
      <w:bookmarkEnd w:id="3"/>
    </w:p>
    <w:p w:rsidR="0041256C" w:rsidRDefault="0041256C" w:rsidP="0041256C">
      <w:pPr>
        <w:pStyle w:val="BodyText"/>
        <w:spacing w:before="200" w:line="310" w:lineRule="exact"/>
      </w:pPr>
      <w:r>
        <w:t xml:space="preserve">This is my first Annual Report as Chair of the Productivity Commission. One of the more significant events for the Commission in the last twelve months was the retirement of Gary Banks, our inaugural Chair. Gary had a major influence on the wide acceptance today of the Commission’s role as independent adviser on national reform. On behalf of Commissioners and staff, I wish him well.  </w:t>
      </w:r>
    </w:p>
    <w:p w:rsidR="0041256C" w:rsidRPr="00712F56" w:rsidRDefault="0041256C" w:rsidP="0041256C">
      <w:pPr>
        <w:pStyle w:val="BodyText"/>
        <w:spacing w:before="200" w:line="310" w:lineRule="exact"/>
      </w:pPr>
      <w:r>
        <w:t>On coming to the Commission, I have found a highly competent and committed group of people</w:t>
      </w:r>
      <w:r w:rsidRPr="00712F56">
        <w:t xml:space="preserve">, who are justifiably proud of the Commission’s contribution to national reform. Equally, transitions of this kind create an opportunity for a re-examination of what organisations do and how they do it, especially in times of significant budget restraint. </w:t>
      </w:r>
    </w:p>
    <w:p w:rsidR="0041256C" w:rsidRPr="00712F56" w:rsidRDefault="0041256C" w:rsidP="0041256C">
      <w:pPr>
        <w:pStyle w:val="BodyText"/>
        <w:spacing w:before="200" w:line="310" w:lineRule="exact"/>
      </w:pPr>
      <w:r w:rsidRPr="00712F56">
        <w:t xml:space="preserve">Accordingly, we are undertaking a number of internal reforms to ensure we can continue to provide high quality advice within a reducing resource base. There will be a need to take a more flexible approach and potentially to broaden our range of report products. Nevertheless, consultation and exposure draft processes so critical to the quality </w:t>
      </w:r>
      <w:r>
        <w:t xml:space="preserve">of our outputs </w:t>
      </w:r>
      <w:r w:rsidRPr="00712F56">
        <w:t>will remain central to our work.</w:t>
      </w:r>
    </w:p>
    <w:p w:rsidR="0041256C" w:rsidRDefault="0041256C" w:rsidP="0041256C">
      <w:pPr>
        <w:pStyle w:val="BodyText"/>
        <w:spacing w:before="200" w:line="310" w:lineRule="exact"/>
      </w:pPr>
      <w:r w:rsidRPr="00712F56">
        <w:t>We are also improving our ability to communicate in a world where social media is increasingly important. We now use Twitter to inform a wider audience about the availability of our reports. We will also move increasingly toward</w:t>
      </w:r>
      <w:r>
        <w:t xml:space="preserve"> on</w:t>
      </w:r>
      <w:r w:rsidRPr="00712F56">
        <w:t>line reporting as the primary focus and consequently will use this opportunity to improve the information and search functions</w:t>
      </w:r>
      <w:r>
        <w:t xml:space="preserve"> so important to effective on</w:t>
      </w:r>
      <w:r w:rsidRPr="00712F56">
        <w:t>line delivery. Initial changes will be implemented in our Reports on Government</w:t>
      </w:r>
      <w:r>
        <w:t xml:space="preserve"> Services.</w:t>
      </w:r>
    </w:p>
    <w:p w:rsidR="0041256C" w:rsidRDefault="0041256C" w:rsidP="0041256C">
      <w:pPr>
        <w:pStyle w:val="BodyText"/>
        <w:spacing w:before="200" w:line="310" w:lineRule="exact"/>
      </w:pPr>
      <w:r>
        <w:t xml:space="preserve">Our research program will focus more closely on flagship pieces, which help to outline future directions for reform. Our first effort in this area will look at over-the-horizon policy options that may be consistent with demographic change.  </w:t>
      </w:r>
    </w:p>
    <w:p w:rsidR="0041256C" w:rsidRDefault="0041256C" w:rsidP="0041256C">
      <w:pPr>
        <w:pStyle w:val="BodyText"/>
        <w:spacing w:before="200" w:line="310" w:lineRule="exact"/>
      </w:pPr>
      <w:r>
        <w:t xml:space="preserve">We expect that the Commission’s program of work is likely to expand as the momentum for productivity enhancing reform increases. With a slowing of national income growth as the terms of trade declines, productivity growth becomes, again, the paramount source of sustainable growth. </w:t>
      </w:r>
    </w:p>
    <w:p w:rsidR="0041256C" w:rsidRDefault="0041256C" w:rsidP="0041256C">
      <w:pPr>
        <w:pStyle w:val="BodyText"/>
        <w:spacing w:before="200" w:line="310" w:lineRule="exact"/>
      </w:pPr>
      <w:r>
        <w:t>The Commission looks forward to contributing to a strong national reform agenda.</w:t>
      </w:r>
    </w:p>
    <w:p w:rsidR="0041256C" w:rsidRDefault="0041256C" w:rsidP="0041256C">
      <w:pPr>
        <w:pStyle w:val="BodyText"/>
        <w:spacing w:before="840"/>
      </w:pPr>
      <w:r>
        <w:t>Peter Harris</w:t>
      </w:r>
    </w:p>
    <w:p w:rsidR="00A00FC3" w:rsidRDefault="0041256C" w:rsidP="00916103">
      <w:pPr>
        <w:pStyle w:val="BodyText"/>
        <w:spacing w:before="0"/>
        <w:sectPr w:rsidR="00A00FC3" w:rsidSect="00537BB4">
          <w:headerReference w:type="even" r:id="rId19"/>
          <w:headerReference w:type="default" r:id="rId20"/>
          <w:footerReference w:type="even" r:id="rId21"/>
          <w:footerReference w:type="default" r:id="rId22"/>
          <w:pgSz w:w="11906" w:h="16838" w:code="9"/>
          <w:pgMar w:top="1985" w:right="1304" w:bottom="1418" w:left="1814" w:header="1701" w:footer="567" w:gutter="0"/>
          <w:pgNumType w:fmt="lowerRoman"/>
          <w:cols w:space="708"/>
          <w:docGrid w:linePitch="360"/>
        </w:sectPr>
      </w:pPr>
      <w:r>
        <w:t>Chair</w:t>
      </w:r>
    </w:p>
    <w:p w:rsidR="002F1717" w:rsidRDefault="00735FEA" w:rsidP="00DE22CA">
      <w:pPr>
        <w:pStyle w:val="Heading1NotTOC"/>
        <w:rPr>
          <w:noProof/>
        </w:rPr>
      </w:pPr>
      <w:r w:rsidRPr="00B153C3">
        <w:lastRenderedPageBreak/>
        <w:t>Contents</w:t>
      </w:r>
      <w:bookmarkStart w:id="4" w:name="InsertContents"/>
      <w:bookmarkEnd w:id="4"/>
    </w:p>
    <w:p w:rsidR="002F1717" w:rsidRDefault="002F1717">
      <w:pPr>
        <w:pStyle w:val="TOC1"/>
        <w:rPr>
          <w:rFonts w:asciiTheme="minorHAnsi" w:eastAsiaTheme="minorEastAsia" w:hAnsiTheme="minorHAnsi" w:cstheme="minorBidi"/>
          <w:b w:val="0"/>
          <w:noProof/>
          <w:sz w:val="22"/>
          <w:szCs w:val="22"/>
          <w:lang w:eastAsia="en-AU"/>
        </w:rPr>
      </w:pPr>
      <w:r>
        <w:rPr>
          <w:noProof/>
        </w:rPr>
        <w:t>Foreword</w:t>
      </w:r>
      <w:r>
        <w:rPr>
          <w:noProof/>
        </w:rPr>
        <w:tab/>
      </w:r>
      <w:r w:rsidR="00E50EFA">
        <w:rPr>
          <w:noProof/>
        </w:rPr>
        <w:t>vii</w:t>
      </w:r>
    </w:p>
    <w:p w:rsidR="002F1717" w:rsidRDefault="002F1717">
      <w:pPr>
        <w:pStyle w:val="TOC1"/>
        <w:rPr>
          <w:rFonts w:asciiTheme="minorHAnsi" w:eastAsiaTheme="minorEastAsia" w:hAnsiTheme="minorHAnsi" w:cstheme="minorBidi"/>
          <w:b w:val="0"/>
          <w:noProof/>
          <w:sz w:val="22"/>
          <w:szCs w:val="22"/>
          <w:lang w:eastAsia="en-AU"/>
        </w:rPr>
      </w:pPr>
      <w:r>
        <w:rPr>
          <w:noProof/>
        </w:rPr>
        <w:t>Abbreviations</w:t>
      </w:r>
      <w:r>
        <w:rPr>
          <w:noProof/>
        </w:rPr>
        <w:tab/>
      </w:r>
      <w:r w:rsidR="00E50EFA">
        <w:rPr>
          <w:noProof/>
        </w:rPr>
        <w:t>x</w:t>
      </w:r>
      <w:r w:rsidR="00526E1F">
        <w:rPr>
          <w:noProof/>
        </w:rPr>
        <w:t>ii</w:t>
      </w:r>
      <w:bookmarkStart w:id="5" w:name="_GoBack"/>
      <w:bookmarkEnd w:id="5"/>
    </w:p>
    <w:p w:rsidR="002F1717" w:rsidRDefault="002F1717" w:rsidP="00E67111">
      <w:pPr>
        <w:pStyle w:val="TOC1"/>
        <w:spacing w:before="320"/>
        <w:rPr>
          <w:noProof/>
        </w:rPr>
      </w:pPr>
      <w:r>
        <w:rPr>
          <w:noProof/>
        </w:rPr>
        <w:t>CHAPTERS</w:t>
      </w:r>
    </w:p>
    <w:p w:rsidR="002F1717" w:rsidRDefault="002F1717">
      <w:pPr>
        <w:pStyle w:val="TOC1"/>
        <w:rPr>
          <w:rFonts w:asciiTheme="minorHAnsi" w:eastAsiaTheme="minorEastAsia" w:hAnsiTheme="minorHAnsi" w:cstheme="minorBidi"/>
          <w:b w:val="0"/>
          <w:noProof/>
          <w:sz w:val="22"/>
          <w:szCs w:val="22"/>
          <w:lang w:eastAsia="en-AU"/>
        </w:rPr>
      </w:pPr>
      <w:r>
        <w:rPr>
          <w:noProof/>
        </w:rPr>
        <w:t>1</w:t>
      </w:r>
      <w:r>
        <w:rPr>
          <w:rFonts w:asciiTheme="minorHAnsi" w:eastAsiaTheme="minorEastAsia" w:hAnsiTheme="minorHAnsi" w:cstheme="minorBidi"/>
          <w:b w:val="0"/>
          <w:noProof/>
          <w:sz w:val="22"/>
          <w:szCs w:val="22"/>
          <w:lang w:eastAsia="en-AU"/>
        </w:rPr>
        <w:tab/>
      </w:r>
      <w:r>
        <w:rPr>
          <w:noProof/>
        </w:rPr>
        <w:t>Using administrative data to achieve better policy outcomes</w:t>
      </w:r>
      <w:r>
        <w:rPr>
          <w:noProof/>
        </w:rPr>
        <w:tab/>
        <w:t>1</w:t>
      </w:r>
    </w:p>
    <w:p w:rsidR="002F1717" w:rsidRDefault="002F1717">
      <w:pPr>
        <w:pStyle w:val="TOC2"/>
        <w:rPr>
          <w:rFonts w:asciiTheme="minorHAnsi" w:eastAsiaTheme="minorEastAsia" w:hAnsiTheme="minorHAnsi" w:cstheme="minorBidi"/>
          <w:noProof/>
          <w:sz w:val="22"/>
          <w:szCs w:val="22"/>
          <w:lang w:eastAsia="en-AU"/>
        </w:rPr>
      </w:pPr>
      <w:r>
        <w:rPr>
          <w:noProof/>
        </w:rPr>
        <w:t>Effective policy making rests on evidence</w:t>
      </w:r>
      <w:r>
        <w:rPr>
          <w:noProof/>
        </w:rPr>
        <w:tab/>
        <w:t>1</w:t>
      </w:r>
    </w:p>
    <w:p w:rsidR="002F1717" w:rsidRDefault="002F1717">
      <w:pPr>
        <w:pStyle w:val="TOC2"/>
        <w:rPr>
          <w:rFonts w:asciiTheme="minorHAnsi" w:eastAsiaTheme="minorEastAsia" w:hAnsiTheme="minorHAnsi" w:cstheme="minorBidi"/>
          <w:noProof/>
          <w:sz w:val="22"/>
          <w:szCs w:val="22"/>
          <w:lang w:eastAsia="en-AU"/>
        </w:rPr>
      </w:pPr>
      <w:r>
        <w:rPr>
          <w:noProof/>
        </w:rPr>
        <w:t>Administrative data are sources of evidence</w:t>
      </w:r>
      <w:r>
        <w:rPr>
          <w:noProof/>
        </w:rPr>
        <w:tab/>
        <w:t>3</w:t>
      </w:r>
    </w:p>
    <w:p w:rsidR="002F1717" w:rsidRDefault="002F1717">
      <w:pPr>
        <w:pStyle w:val="TOC2"/>
        <w:rPr>
          <w:rFonts w:asciiTheme="minorHAnsi" w:eastAsiaTheme="minorEastAsia" w:hAnsiTheme="minorHAnsi" w:cstheme="minorBidi"/>
          <w:noProof/>
          <w:sz w:val="22"/>
          <w:szCs w:val="22"/>
          <w:lang w:eastAsia="en-AU"/>
        </w:rPr>
      </w:pPr>
      <w:r>
        <w:rPr>
          <w:noProof/>
        </w:rPr>
        <w:t>What could be done with greater access to data?</w:t>
      </w:r>
      <w:r>
        <w:rPr>
          <w:noProof/>
        </w:rPr>
        <w:tab/>
        <w:t>5</w:t>
      </w:r>
    </w:p>
    <w:p w:rsidR="002F1717" w:rsidRDefault="002F1717">
      <w:pPr>
        <w:pStyle w:val="TOC2"/>
        <w:rPr>
          <w:rFonts w:asciiTheme="minorHAnsi" w:eastAsiaTheme="minorEastAsia" w:hAnsiTheme="minorHAnsi" w:cstheme="minorBidi"/>
          <w:noProof/>
          <w:sz w:val="22"/>
          <w:szCs w:val="22"/>
          <w:lang w:eastAsia="en-AU"/>
        </w:rPr>
      </w:pPr>
      <w:r>
        <w:rPr>
          <w:noProof/>
        </w:rPr>
        <w:t>Why isn’t more happening?</w:t>
      </w:r>
      <w:r>
        <w:rPr>
          <w:noProof/>
        </w:rPr>
        <w:tab/>
        <w:t>10</w:t>
      </w:r>
    </w:p>
    <w:p w:rsidR="002F1717" w:rsidRDefault="002F1717">
      <w:pPr>
        <w:pStyle w:val="TOC2"/>
        <w:rPr>
          <w:rFonts w:asciiTheme="minorHAnsi" w:eastAsiaTheme="minorEastAsia" w:hAnsiTheme="minorHAnsi" w:cstheme="minorBidi"/>
          <w:noProof/>
          <w:sz w:val="22"/>
          <w:szCs w:val="22"/>
          <w:lang w:eastAsia="en-AU"/>
        </w:rPr>
      </w:pPr>
      <w:r>
        <w:rPr>
          <w:noProof/>
        </w:rPr>
        <w:t>Australia — limited progress from sporadic starts</w:t>
      </w:r>
      <w:r>
        <w:rPr>
          <w:noProof/>
        </w:rPr>
        <w:tab/>
        <w:t>13</w:t>
      </w:r>
    </w:p>
    <w:p w:rsidR="002F1717" w:rsidRDefault="002F1717">
      <w:pPr>
        <w:pStyle w:val="TOC2"/>
        <w:rPr>
          <w:rFonts w:asciiTheme="minorHAnsi" w:eastAsiaTheme="minorEastAsia" w:hAnsiTheme="minorHAnsi" w:cstheme="minorBidi"/>
          <w:noProof/>
          <w:sz w:val="22"/>
          <w:szCs w:val="22"/>
          <w:lang w:eastAsia="en-AU"/>
        </w:rPr>
      </w:pPr>
      <w:r>
        <w:rPr>
          <w:noProof/>
        </w:rPr>
        <w:t>A sustained and concerted effort is needed</w:t>
      </w:r>
      <w:r>
        <w:rPr>
          <w:noProof/>
        </w:rPr>
        <w:tab/>
        <w:t>14</w:t>
      </w:r>
    </w:p>
    <w:p w:rsidR="002F1717" w:rsidRDefault="002F1717">
      <w:pPr>
        <w:pStyle w:val="TOC1"/>
        <w:rPr>
          <w:rFonts w:asciiTheme="minorHAnsi" w:eastAsiaTheme="minorEastAsia" w:hAnsiTheme="minorHAnsi" w:cstheme="minorBidi"/>
          <w:b w:val="0"/>
          <w:noProof/>
          <w:sz w:val="22"/>
          <w:szCs w:val="22"/>
          <w:lang w:eastAsia="en-AU"/>
        </w:rPr>
      </w:pPr>
      <w:r>
        <w:rPr>
          <w:noProof/>
        </w:rPr>
        <w:t>2</w:t>
      </w:r>
      <w:r>
        <w:rPr>
          <w:rFonts w:asciiTheme="minorHAnsi" w:eastAsiaTheme="minorEastAsia" w:hAnsiTheme="minorHAnsi" w:cstheme="minorBidi"/>
          <w:b w:val="0"/>
          <w:noProof/>
          <w:sz w:val="22"/>
          <w:szCs w:val="22"/>
          <w:lang w:eastAsia="en-AU"/>
        </w:rPr>
        <w:tab/>
      </w:r>
      <w:r>
        <w:rPr>
          <w:noProof/>
        </w:rPr>
        <w:t>Review of Commission activities and performance</w:t>
      </w:r>
      <w:r>
        <w:rPr>
          <w:noProof/>
        </w:rPr>
        <w:tab/>
        <w:t>17</w:t>
      </w:r>
    </w:p>
    <w:p w:rsidR="002F1717" w:rsidRDefault="002F1717">
      <w:pPr>
        <w:pStyle w:val="TOC2"/>
        <w:rPr>
          <w:rFonts w:asciiTheme="minorHAnsi" w:eastAsiaTheme="minorEastAsia" w:hAnsiTheme="minorHAnsi" w:cstheme="minorBidi"/>
          <w:noProof/>
          <w:sz w:val="22"/>
          <w:szCs w:val="22"/>
          <w:lang w:eastAsia="en-AU"/>
        </w:rPr>
      </w:pPr>
      <w:r>
        <w:rPr>
          <w:noProof/>
        </w:rPr>
        <w:t>Overview</w:t>
      </w:r>
      <w:r>
        <w:rPr>
          <w:noProof/>
        </w:rPr>
        <w:tab/>
        <w:t>18</w:t>
      </w:r>
    </w:p>
    <w:p w:rsidR="002F1717" w:rsidRDefault="002F1717">
      <w:pPr>
        <w:pStyle w:val="TOC2"/>
        <w:rPr>
          <w:rFonts w:asciiTheme="minorHAnsi" w:eastAsiaTheme="minorEastAsia" w:hAnsiTheme="minorHAnsi" w:cstheme="minorBidi"/>
          <w:noProof/>
          <w:sz w:val="22"/>
          <w:szCs w:val="22"/>
          <w:lang w:eastAsia="en-AU"/>
        </w:rPr>
      </w:pPr>
      <w:r>
        <w:rPr>
          <w:noProof/>
        </w:rPr>
        <w:t>Year in review</w:t>
      </w:r>
      <w:r>
        <w:rPr>
          <w:noProof/>
        </w:rPr>
        <w:tab/>
        <w:t>19</w:t>
      </w:r>
    </w:p>
    <w:p w:rsidR="002F1717" w:rsidRDefault="002F1717">
      <w:pPr>
        <w:pStyle w:val="TOC2"/>
        <w:rPr>
          <w:rFonts w:asciiTheme="minorHAnsi" w:eastAsiaTheme="minorEastAsia" w:hAnsiTheme="minorHAnsi" w:cstheme="minorBidi"/>
          <w:noProof/>
          <w:sz w:val="22"/>
          <w:szCs w:val="22"/>
          <w:lang w:eastAsia="en-AU"/>
        </w:rPr>
      </w:pPr>
      <w:r>
        <w:rPr>
          <w:noProof/>
        </w:rPr>
        <w:t>Transparency and public consultation</w:t>
      </w:r>
      <w:r>
        <w:rPr>
          <w:noProof/>
        </w:rPr>
        <w:tab/>
        <w:t>24</w:t>
      </w:r>
    </w:p>
    <w:p w:rsidR="002F1717" w:rsidRDefault="002F1717">
      <w:pPr>
        <w:pStyle w:val="TOC2"/>
        <w:rPr>
          <w:rFonts w:asciiTheme="minorHAnsi" w:eastAsiaTheme="minorEastAsia" w:hAnsiTheme="minorHAnsi" w:cstheme="minorBidi"/>
          <w:noProof/>
          <w:sz w:val="22"/>
          <w:szCs w:val="22"/>
          <w:lang w:eastAsia="en-AU"/>
        </w:rPr>
      </w:pPr>
      <w:r>
        <w:rPr>
          <w:noProof/>
        </w:rPr>
        <w:t>Feedback on the Commission’s work</w:t>
      </w:r>
      <w:r>
        <w:rPr>
          <w:noProof/>
        </w:rPr>
        <w:tab/>
        <w:t>28</w:t>
      </w:r>
    </w:p>
    <w:p w:rsidR="002F1717" w:rsidRDefault="002F1717">
      <w:pPr>
        <w:pStyle w:val="TOC2"/>
        <w:rPr>
          <w:rFonts w:asciiTheme="minorHAnsi" w:eastAsiaTheme="minorEastAsia" w:hAnsiTheme="minorHAnsi" w:cstheme="minorBidi"/>
          <w:noProof/>
          <w:sz w:val="22"/>
          <w:szCs w:val="22"/>
          <w:lang w:eastAsia="en-AU"/>
        </w:rPr>
      </w:pPr>
      <w:r>
        <w:rPr>
          <w:noProof/>
        </w:rPr>
        <w:t>Policy and wider impacts</w:t>
      </w:r>
      <w:r>
        <w:rPr>
          <w:noProof/>
        </w:rPr>
        <w:tab/>
        <w:t>28</w:t>
      </w:r>
    </w:p>
    <w:p w:rsidR="002F1717" w:rsidRDefault="002F1717">
      <w:pPr>
        <w:pStyle w:val="TOC2"/>
        <w:rPr>
          <w:rFonts w:asciiTheme="minorHAnsi" w:eastAsiaTheme="minorEastAsia" w:hAnsiTheme="minorHAnsi" w:cstheme="minorBidi"/>
          <w:noProof/>
          <w:sz w:val="22"/>
          <w:szCs w:val="22"/>
          <w:lang w:eastAsia="en-AU"/>
        </w:rPr>
      </w:pPr>
      <w:r>
        <w:rPr>
          <w:noProof/>
        </w:rPr>
        <w:t>Associated reporting</w:t>
      </w:r>
      <w:r>
        <w:rPr>
          <w:noProof/>
        </w:rPr>
        <w:tab/>
        <w:t>35</w:t>
      </w:r>
    </w:p>
    <w:p w:rsidR="002F1717" w:rsidRDefault="002F1717" w:rsidP="00E67111">
      <w:pPr>
        <w:pStyle w:val="TOC1"/>
        <w:spacing w:before="320"/>
        <w:rPr>
          <w:noProof/>
        </w:rPr>
      </w:pPr>
      <w:r>
        <w:rPr>
          <w:noProof/>
        </w:rPr>
        <w:t>APPENDICES</w:t>
      </w:r>
    </w:p>
    <w:p w:rsidR="002F1717" w:rsidRDefault="002F1717">
      <w:pPr>
        <w:pStyle w:val="TOC1"/>
        <w:rPr>
          <w:rFonts w:asciiTheme="minorHAnsi" w:eastAsiaTheme="minorEastAsia" w:hAnsiTheme="minorHAnsi" w:cstheme="minorBidi"/>
          <w:b w:val="0"/>
          <w:noProof/>
          <w:sz w:val="22"/>
          <w:szCs w:val="22"/>
          <w:lang w:eastAsia="en-AU"/>
        </w:rPr>
      </w:pPr>
      <w:r>
        <w:rPr>
          <w:noProof/>
        </w:rPr>
        <w:t>A</w:t>
      </w:r>
      <w:r>
        <w:rPr>
          <w:rFonts w:asciiTheme="minorHAnsi" w:eastAsiaTheme="minorEastAsia" w:hAnsiTheme="minorHAnsi" w:cstheme="minorBidi"/>
          <w:b w:val="0"/>
          <w:noProof/>
          <w:sz w:val="22"/>
          <w:szCs w:val="22"/>
          <w:lang w:eastAsia="en-AU"/>
        </w:rPr>
        <w:tab/>
      </w:r>
      <w:r>
        <w:rPr>
          <w:noProof/>
        </w:rPr>
        <w:t>Management and accountability</w:t>
      </w:r>
      <w:r>
        <w:rPr>
          <w:noProof/>
        </w:rPr>
        <w:tab/>
        <w:t>39</w:t>
      </w:r>
    </w:p>
    <w:p w:rsidR="002F1717" w:rsidRDefault="002F1717">
      <w:pPr>
        <w:pStyle w:val="TOC1"/>
        <w:rPr>
          <w:rFonts w:asciiTheme="minorHAnsi" w:eastAsiaTheme="minorEastAsia" w:hAnsiTheme="minorHAnsi" w:cstheme="minorBidi"/>
          <w:b w:val="0"/>
          <w:noProof/>
          <w:sz w:val="22"/>
          <w:szCs w:val="22"/>
          <w:lang w:eastAsia="en-AU"/>
        </w:rPr>
      </w:pPr>
      <w:r>
        <w:rPr>
          <w:noProof/>
        </w:rPr>
        <w:t>B</w:t>
      </w:r>
      <w:r>
        <w:rPr>
          <w:rFonts w:asciiTheme="minorHAnsi" w:eastAsiaTheme="minorEastAsia" w:hAnsiTheme="minorHAnsi" w:cstheme="minorBidi"/>
          <w:b w:val="0"/>
          <w:noProof/>
          <w:sz w:val="22"/>
          <w:szCs w:val="22"/>
          <w:lang w:eastAsia="en-AU"/>
        </w:rPr>
        <w:tab/>
      </w:r>
      <w:r>
        <w:rPr>
          <w:noProof/>
        </w:rPr>
        <w:t>Program performance</w:t>
      </w:r>
      <w:r>
        <w:rPr>
          <w:noProof/>
        </w:rPr>
        <w:tab/>
        <w:t>65</w:t>
      </w:r>
    </w:p>
    <w:p w:rsidR="002F1717" w:rsidRDefault="002F1717">
      <w:pPr>
        <w:pStyle w:val="TOC1"/>
        <w:rPr>
          <w:rFonts w:asciiTheme="minorHAnsi" w:eastAsiaTheme="minorEastAsia" w:hAnsiTheme="minorHAnsi" w:cstheme="minorBidi"/>
          <w:b w:val="0"/>
          <w:noProof/>
          <w:sz w:val="22"/>
          <w:szCs w:val="22"/>
          <w:lang w:eastAsia="en-AU"/>
        </w:rPr>
      </w:pPr>
      <w:r>
        <w:rPr>
          <w:noProof/>
        </w:rPr>
        <w:t>C</w:t>
      </w:r>
      <w:r>
        <w:rPr>
          <w:rFonts w:asciiTheme="minorHAnsi" w:eastAsiaTheme="minorEastAsia" w:hAnsiTheme="minorHAnsi" w:cstheme="minorBidi"/>
          <w:b w:val="0"/>
          <w:noProof/>
          <w:sz w:val="22"/>
          <w:szCs w:val="22"/>
          <w:lang w:eastAsia="en-AU"/>
        </w:rPr>
        <w:tab/>
      </w:r>
      <w:r>
        <w:rPr>
          <w:noProof/>
        </w:rPr>
        <w:t>Competitive neutrality complaints</w:t>
      </w:r>
      <w:r>
        <w:rPr>
          <w:noProof/>
        </w:rPr>
        <w:tab/>
        <w:t>121</w:t>
      </w:r>
    </w:p>
    <w:p w:rsidR="002F1717" w:rsidRDefault="002F1717">
      <w:pPr>
        <w:pStyle w:val="TOC1"/>
        <w:rPr>
          <w:rFonts w:asciiTheme="minorHAnsi" w:eastAsiaTheme="minorEastAsia" w:hAnsiTheme="minorHAnsi" w:cstheme="minorBidi"/>
          <w:b w:val="0"/>
          <w:noProof/>
          <w:sz w:val="22"/>
          <w:szCs w:val="22"/>
          <w:lang w:eastAsia="en-AU"/>
        </w:rPr>
      </w:pPr>
      <w:r>
        <w:rPr>
          <w:noProof/>
        </w:rPr>
        <w:t>D</w:t>
      </w:r>
      <w:r>
        <w:rPr>
          <w:rFonts w:asciiTheme="minorHAnsi" w:eastAsiaTheme="minorEastAsia" w:hAnsiTheme="minorHAnsi" w:cstheme="minorBidi"/>
          <w:b w:val="0"/>
          <w:noProof/>
          <w:sz w:val="22"/>
          <w:szCs w:val="22"/>
          <w:lang w:eastAsia="en-AU"/>
        </w:rPr>
        <w:tab/>
      </w:r>
      <w:r>
        <w:rPr>
          <w:noProof/>
        </w:rPr>
        <w:t>Government commissioned projects</w:t>
      </w:r>
      <w:r>
        <w:rPr>
          <w:noProof/>
        </w:rPr>
        <w:tab/>
        <w:t>123</w:t>
      </w:r>
    </w:p>
    <w:p w:rsidR="002F1717" w:rsidRDefault="002F1717">
      <w:pPr>
        <w:pStyle w:val="TOC1"/>
        <w:rPr>
          <w:rFonts w:asciiTheme="minorHAnsi" w:eastAsiaTheme="minorEastAsia" w:hAnsiTheme="minorHAnsi" w:cstheme="minorBidi"/>
          <w:b w:val="0"/>
          <w:noProof/>
          <w:sz w:val="22"/>
          <w:szCs w:val="22"/>
          <w:lang w:eastAsia="en-AU"/>
        </w:rPr>
      </w:pPr>
      <w:r>
        <w:rPr>
          <w:noProof/>
        </w:rPr>
        <w:t>E</w:t>
      </w:r>
      <w:r>
        <w:rPr>
          <w:rFonts w:asciiTheme="minorHAnsi" w:eastAsiaTheme="minorEastAsia" w:hAnsiTheme="minorHAnsi" w:cstheme="minorBidi"/>
          <w:b w:val="0"/>
          <w:noProof/>
          <w:sz w:val="22"/>
          <w:szCs w:val="22"/>
          <w:lang w:eastAsia="en-AU"/>
        </w:rPr>
        <w:tab/>
      </w:r>
      <w:r>
        <w:rPr>
          <w:noProof/>
        </w:rPr>
        <w:t>Supporting research and related activities</w:t>
      </w:r>
      <w:r>
        <w:rPr>
          <w:noProof/>
        </w:rPr>
        <w:tab/>
        <w:t>145</w:t>
      </w:r>
    </w:p>
    <w:p w:rsidR="002F1717" w:rsidRDefault="002F1717">
      <w:pPr>
        <w:pStyle w:val="TOC1"/>
        <w:rPr>
          <w:rFonts w:asciiTheme="minorHAnsi" w:eastAsiaTheme="minorEastAsia" w:hAnsiTheme="minorHAnsi" w:cstheme="minorBidi"/>
          <w:b w:val="0"/>
          <w:noProof/>
          <w:sz w:val="22"/>
          <w:szCs w:val="22"/>
          <w:lang w:eastAsia="en-AU"/>
        </w:rPr>
      </w:pPr>
      <w:r>
        <w:rPr>
          <w:noProof/>
        </w:rPr>
        <w:t>F</w:t>
      </w:r>
      <w:r>
        <w:rPr>
          <w:rFonts w:asciiTheme="minorHAnsi" w:eastAsiaTheme="minorEastAsia" w:hAnsiTheme="minorHAnsi" w:cstheme="minorBidi"/>
          <w:b w:val="0"/>
          <w:noProof/>
          <w:sz w:val="22"/>
          <w:szCs w:val="22"/>
          <w:lang w:eastAsia="en-AU"/>
        </w:rPr>
        <w:tab/>
      </w:r>
      <w:r>
        <w:rPr>
          <w:noProof/>
        </w:rPr>
        <w:t>Publications</w:t>
      </w:r>
      <w:r>
        <w:rPr>
          <w:noProof/>
        </w:rPr>
        <w:tab/>
        <w:t>157</w:t>
      </w:r>
    </w:p>
    <w:p w:rsidR="002F1717" w:rsidRDefault="002F1717">
      <w:pPr>
        <w:pStyle w:val="TOC1"/>
        <w:rPr>
          <w:rFonts w:asciiTheme="minorHAnsi" w:eastAsiaTheme="minorEastAsia" w:hAnsiTheme="minorHAnsi" w:cstheme="minorBidi"/>
          <w:b w:val="0"/>
          <w:noProof/>
          <w:sz w:val="22"/>
          <w:szCs w:val="22"/>
          <w:lang w:eastAsia="en-AU"/>
        </w:rPr>
      </w:pPr>
      <w:r>
        <w:rPr>
          <w:noProof/>
        </w:rPr>
        <w:t>G</w:t>
      </w:r>
      <w:r>
        <w:rPr>
          <w:rFonts w:asciiTheme="minorHAnsi" w:eastAsiaTheme="minorEastAsia" w:hAnsiTheme="minorHAnsi" w:cstheme="minorBidi"/>
          <w:b w:val="0"/>
          <w:noProof/>
          <w:sz w:val="22"/>
          <w:szCs w:val="22"/>
          <w:lang w:eastAsia="en-AU"/>
        </w:rPr>
        <w:tab/>
      </w:r>
      <w:r>
        <w:rPr>
          <w:noProof/>
        </w:rPr>
        <w:t>Financial statements</w:t>
      </w:r>
      <w:r>
        <w:rPr>
          <w:noProof/>
        </w:rPr>
        <w:tab/>
        <w:t>161</w:t>
      </w:r>
    </w:p>
    <w:p w:rsidR="000E3C2B" w:rsidRPr="000134DC" w:rsidRDefault="000E3C2B" w:rsidP="000E3C2B">
      <w:pPr>
        <w:pStyle w:val="TOC1"/>
        <w:spacing w:before="360"/>
        <w:rPr>
          <w:noProof/>
        </w:rPr>
      </w:pPr>
      <w:r>
        <w:rPr>
          <w:noProof/>
        </w:rPr>
        <w:lastRenderedPageBreak/>
        <w:t>Attachments</w:t>
      </w:r>
    </w:p>
    <w:p w:rsidR="000E3C2B" w:rsidRDefault="000E3C2B" w:rsidP="000E3C2B">
      <w:pPr>
        <w:pStyle w:val="TOC1"/>
        <w:rPr>
          <w:noProof/>
        </w:rPr>
      </w:pPr>
      <w:r>
        <w:rPr>
          <w:noProof/>
        </w:rPr>
        <w:t>A1</w:t>
      </w:r>
      <w:r>
        <w:rPr>
          <w:noProof/>
        </w:rPr>
        <w:tab/>
        <w:t>Commissioner and employee statistics</w:t>
      </w:r>
      <w:r>
        <w:rPr>
          <w:noProof/>
        </w:rPr>
        <w:tab/>
        <w:t>57</w:t>
      </w:r>
    </w:p>
    <w:p w:rsidR="000E3C2B" w:rsidRDefault="000E3C2B" w:rsidP="000E3C2B">
      <w:pPr>
        <w:pStyle w:val="TOC1"/>
        <w:rPr>
          <w:noProof/>
        </w:rPr>
      </w:pPr>
      <w:r>
        <w:rPr>
          <w:noProof/>
        </w:rPr>
        <w:t>A2</w:t>
      </w:r>
      <w:r>
        <w:rPr>
          <w:noProof/>
        </w:rPr>
        <w:tab/>
        <w:t>Agency Resource Statement — 2012-13</w:t>
      </w:r>
      <w:r>
        <w:rPr>
          <w:noProof/>
        </w:rPr>
        <w:tab/>
        <w:t>61</w:t>
      </w:r>
    </w:p>
    <w:p w:rsidR="000E3C2B" w:rsidRDefault="000E3C2B" w:rsidP="000E3C2B">
      <w:pPr>
        <w:pStyle w:val="TOC1"/>
        <w:rPr>
          <w:noProof/>
        </w:rPr>
      </w:pPr>
      <w:r>
        <w:rPr>
          <w:noProof/>
        </w:rPr>
        <w:t>A3</w:t>
      </w:r>
      <w:r>
        <w:rPr>
          <w:noProof/>
        </w:rPr>
        <w:tab/>
        <w:t>Fraud control certificate</w:t>
      </w:r>
      <w:r>
        <w:rPr>
          <w:noProof/>
        </w:rPr>
        <w:tab/>
        <w:t>62</w:t>
      </w:r>
    </w:p>
    <w:p w:rsidR="000E3C2B" w:rsidRDefault="000E3C2B" w:rsidP="000E3C2B">
      <w:pPr>
        <w:pStyle w:val="TOC1"/>
        <w:spacing w:before="80"/>
        <w:rPr>
          <w:noProof/>
        </w:rPr>
      </w:pPr>
      <w:r>
        <w:rPr>
          <w:noProof/>
        </w:rPr>
        <w:t>A4</w:t>
      </w:r>
      <w:r>
        <w:rPr>
          <w:noProof/>
        </w:rPr>
        <w:tab/>
        <w:t>Compliance Index</w:t>
      </w:r>
      <w:r>
        <w:rPr>
          <w:noProof/>
        </w:rPr>
        <w:tab/>
        <w:t>63</w:t>
      </w:r>
    </w:p>
    <w:p w:rsidR="002F1717" w:rsidRDefault="002F1717" w:rsidP="000E3C2B">
      <w:pPr>
        <w:pStyle w:val="TOC1"/>
        <w:spacing w:before="240"/>
        <w:rPr>
          <w:rFonts w:asciiTheme="minorHAnsi" w:eastAsiaTheme="minorEastAsia" w:hAnsiTheme="minorHAnsi" w:cstheme="minorBidi"/>
          <w:b w:val="0"/>
          <w:noProof/>
          <w:sz w:val="22"/>
          <w:szCs w:val="22"/>
          <w:lang w:eastAsia="en-AU"/>
        </w:rPr>
      </w:pPr>
      <w:r>
        <w:rPr>
          <w:noProof/>
        </w:rPr>
        <w:t>References</w:t>
      </w:r>
      <w:r>
        <w:rPr>
          <w:noProof/>
        </w:rPr>
        <w:tab/>
        <w:t>211</w:t>
      </w:r>
    </w:p>
    <w:p w:rsidR="002F1717" w:rsidRDefault="002F1717">
      <w:pPr>
        <w:pStyle w:val="TOC1"/>
        <w:rPr>
          <w:rFonts w:asciiTheme="minorHAnsi" w:eastAsiaTheme="minorEastAsia" w:hAnsiTheme="minorHAnsi" w:cstheme="minorBidi"/>
          <w:b w:val="0"/>
          <w:noProof/>
          <w:sz w:val="22"/>
          <w:szCs w:val="22"/>
          <w:lang w:eastAsia="en-AU"/>
        </w:rPr>
      </w:pPr>
      <w:r>
        <w:rPr>
          <w:noProof/>
        </w:rPr>
        <w:t>Index</w:t>
      </w:r>
      <w:r>
        <w:rPr>
          <w:noProof/>
        </w:rPr>
        <w:tab/>
        <w:t>233</w:t>
      </w:r>
    </w:p>
    <w:p w:rsidR="00CA581C" w:rsidRDefault="00721D53" w:rsidP="000E3C2B">
      <w:pPr>
        <w:pStyle w:val="TOC1"/>
        <w:spacing w:before="360"/>
      </w:pPr>
      <w:r>
        <w:t>Boxes</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DF32CA">
        <w:rPr>
          <w:noProof/>
        </w:rPr>
        <w:t>1.2</w:t>
      </w:r>
      <w:r>
        <w:rPr>
          <w:rFonts w:asciiTheme="minorHAnsi" w:eastAsiaTheme="minorEastAsia" w:hAnsiTheme="minorHAnsi" w:cstheme="minorBidi"/>
          <w:noProof/>
          <w:sz w:val="22"/>
          <w:szCs w:val="22"/>
          <w:lang w:eastAsia="en-AU"/>
        </w:rPr>
        <w:tab/>
      </w:r>
      <w:r>
        <w:rPr>
          <w:noProof/>
        </w:rPr>
        <w:t>Techniques to protect confidentiality</w:t>
      </w:r>
      <w:r>
        <w:rPr>
          <w:noProof/>
        </w:rPr>
        <w:tab/>
        <w:t>11</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DF32CA">
        <w:rPr>
          <w:noProof/>
        </w:rPr>
        <w:t>2.1</w:t>
      </w:r>
      <w:r>
        <w:rPr>
          <w:rFonts w:asciiTheme="minorHAnsi" w:eastAsiaTheme="minorEastAsia" w:hAnsiTheme="minorHAnsi" w:cstheme="minorBidi"/>
          <w:noProof/>
          <w:sz w:val="22"/>
          <w:szCs w:val="22"/>
          <w:lang w:eastAsia="en-AU"/>
        </w:rPr>
        <w:tab/>
      </w:r>
      <w:r>
        <w:rPr>
          <w:noProof/>
        </w:rPr>
        <w:t>Participative and transparent processes</w:t>
      </w:r>
      <w:r>
        <w:rPr>
          <w:noProof/>
        </w:rPr>
        <w:tab/>
        <w:t>25</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DF32CA">
        <w:rPr>
          <w:noProof/>
        </w:rPr>
        <w:t>2.2</w:t>
      </w:r>
      <w:r>
        <w:rPr>
          <w:rFonts w:asciiTheme="minorHAnsi" w:eastAsiaTheme="minorEastAsia" w:hAnsiTheme="minorHAnsi" w:cstheme="minorBidi"/>
          <w:noProof/>
          <w:sz w:val="22"/>
          <w:szCs w:val="22"/>
          <w:lang w:eastAsia="en-AU"/>
        </w:rPr>
        <w:tab/>
      </w:r>
      <w:r>
        <w:rPr>
          <w:noProof/>
        </w:rPr>
        <w:t>Respect for Commission activities: some recent examples</w:t>
      </w:r>
      <w:r>
        <w:rPr>
          <w:noProof/>
        </w:rPr>
        <w:tab/>
        <w:t>29</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DF32CA">
        <w:rPr>
          <w:noProof/>
        </w:rPr>
        <w:t>B.1</w:t>
      </w:r>
      <w:r>
        <w:rPr>
          <w:rFonts w:asciiTheme="minorHAnsi" w:eastAsiaTheme="minorEastAsia" w:hAnsiTheme="minorHAnsi" w:cstheme="minorBidi"/>
          <w:noProof/>
          <w:sz w:val="22"/>
          <w:szCs w:val="22"/>
          <w:lang w:eastAsia="en-AU"/>
        </w:rPr>
        <w:tab/>
      </w:r>
      <w:r>
        <w:rPr>
          <w:noProof/>
        </w:rPr>
        <w:t>Performance indicators for the Commission</w:t>
      </w:r>
      <w:r>
        <w:rPr>
          <w:noProof/>
        </w:rPr>
        <w:tab/>
        <w:t>70</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DF32CA">
        <w:rPr>
          <w:noProof/>
        </w:rPr>
        <w:t>B.2</w:t>
      </w:r>
      <w:r>
        <w:rPr>
          <w:rFonts w:asciiTheme="minorHAnsi" w:eastAsiaTheme="minorEastAsia" w:hAnsiTheme="minorHAnsi" w:cstheme="minorBidi"/>
          <w:noProof/>
          <w:sz w:val="22"/>
          <w:szCs w:val="22"/>
          <w:lang w:eastAsia="en-AU"/>
        </w:rPr>
        <w:tab/>
      </w:r>
      <w:r>
        <w:rPr>
          <w:noProof/>
        </w:rPr>
        <w:t>Longer-term influence</w:t>
      </w:r>
      <w:r>
        <w:rPr>
          <w:noProof/>
        </w:rPr>
        <w:tab/>
        <w:t>71</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DF32CA">
        <w:rPr>
          <w:noProof/>
        </w:rPr>
        <w:t>B.3</w:t>
      </w:r>
      <w:r>
        <w:rPr>
          <w:rFonts w:asciiTheme="minorHAnsi" w:eastAsiaTheme="minorEastAsia" w:hAnsiTheme="minorHAnsi" w:cstheme="minorBidi"/>
          <w:noProof/>
          <w:sz w:val="22"/>
          <w:szCs w:val="22"/>
          <w:lang w:eastAsia="en-AU"/>
        </w:rPr>
        <w:tab/>
      </w:r>
      <w:r>
        <w:rPr>
          <w:noProof/>
        </w:rPr>
        <w:t>Supporting research and annual reporting publications, 2012</w:t>
      </w:r>
      <w:r>
        <w:rPr>
          <w:noProof/>
        </w:rPr>
        <w:noBreakHyphen/>
        <w:t>13</w:t>
      </w:r>
      <w:r>
        <w:rPr>
          <w:noProof/>
        </w:rPr>
        <w:tab/>
        <w:t>115</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DF32CA">
        <w:rPr>
          <w:noProof/>
        </w:rPr>
        <w:t>B.4</w:t>
      </w:r>
      <w:r>
        <w:rPr>
          <w:rFonts w:asciiTheme="minorHAnsi" w:eastAsiaTheme="minorEastAsia" w:hAnsiTheme="minorHAnsi" w:cstheme="minorBidi"/>
          <w:noProof/>
          <w:sz w:val="22"/>
          <w:szCs w:val="22"/>
          <w:lang w:eastAsia="en-AU"/>
        </w:rPr>
        <w:tab/>
      </w:r>
      <w:r>
        <w:rPr>
          <w:noProof/>
        </w:rPr>
        <w:t>Supporting research projects underway at 30 June 2013</w:t>
      </w:r>
      <w:r>
        <w:rPr>
          <w:noProof/>
        </w:rPr>
        <w:tab/>
        <w:t>116</w:t>
      </w:r>
    </w:p>
    <w:p w:rsidR="00721D53" w:rsidRDefault="00721D53" w:rsidP="0017066F">
      <w:pPr>
        <w:pStyle w:val="TOC1"/>
        <w:spacing w:before="360"/>
      </w:pPr>
      <w:r>
        <w:t>Figures</w:t>
      </w:r>
    </w:p>
    <w:p w:rsidR="002F1717" w:rsidRDefault="002F1717" w:rsidP="00E67111">
      <w:pPr>
        <w:pStyle w:val="TOC2"/>
        <w:tabs>
          <w:tab w:val="left" w:pos="1799"/>
        </w:tabs>
        <w:ind w:left="993" w:hanging="624"/>
        <w:rPr>
          <w:rFonts w:asciiTheme="minorHAnsi" w:eastAsiaTheme="minorEastAsia" w:hAnsiTheme="minorHAnsi" w:cstheme="minorBidi"/>
          <w:noProof/>
          <w:sz w:val="22"/>
          <w:szCs w:val="22"/>
          <w:lang w:eastAsia="en-AU"/>
        </w:rPr>
      </w:pPr>
      <w:r w:rsidRPr="00A625E0">
        <w:rPr>
          <w:noProof/>
        </w:rPr>
        <w:t>2.1</w:t>
      </w:r>
      <w:r>
        <w:rPr>
          <w:rFonts w:asciiTheme="minorHAnsi" w:eastAsiaTheme="minorEastAsia" w:hAnsiTheme="minorHAnsi" w:cstheme="minorBidi"/>
          <w:noProof/>
          <w:sz w:val="22"/>
          <w:szCs w:val="22"/>
          <w:lang w:eastAsia="en-AU"/>
        </w:rPr>
        <w:tab/>
      </w:r>
      <w:r>
        <w:rPr>
          <w:noProof/>
        </w:rPr>
        <w:t>References on hand</w:t>
      </w:r>
      <w:r>
        <w:rPr>
          <w:noProof/>
        </w:rPr>
        <w:tab/>
        <w:t>19</w:t>
      </w:r>
    </w:p>
    <w:p w:rsidR="002F1717" w:rsidRDefault="002F1717" w:rsidP="00E67111">
      <w:pPr>
        <w:pStyle w:val="TOC2"/>
        <w:tabs>
          <w:tab w:val="left" w:pos="1799"/>
        </w:tabs>
        <w:ind w:left="993" w:hanging="624"/>
        <w:rPr>
          <w:rFonts w:asciiTheme="minorHAnsi" w:eastAsiaTheme="minorEastAsia" w:hAnsiTheme="minorHAnsi" w:cstheme="minorBidi"/>
          <w:noProof/>
          <w:sz w:val="22"/>
          <w:szCs w:val="22"/>
          <w:lang w:eastAsia="en-AU"/>
        </w:rPr>
      </w:pPr>
      <w:r w:rsidRPr="00A625E0">
        <w:rPr>
          <w:noProof/>
        </w:rPr>
        <w:t>2.2</w:t>
      </w:r>
      <w:r>
        <w:rPr>
          <w:rFonts w:asciiTheme="minorHAnsi" w:eastAsiaTheme="minorEastAsia" w:hAnsiTheme="minorHAnsi" w:cstheme="minorBidi"/>
          <w:noProof/>
          <w:sz w:val="22"/>
          <w:szCs w:val="22"/>
          <w:lang w:eastAsia="en-AU"/>
        </w:rPr>
        <w:tab/>
      </w:r>
      <w:r>
        <w:rPr>
          <w:noProof/>
        </w:rPr>
        <w:t>Website hits</w:t>
      </w:r>
      <w:r>
        <w:rPr>
          <w:noProof/>
        </w:rPr>
        <w:tab/>
        <w:t>27</w:t>
      </w:r>
    </w:p>
    <w:p w:rsidR="002F1717" w:rsidRDefault="002F1717" w:rsidP="00E67111">
      <w:pPr>
        <w:pStyle w:val="TOC2"/>
        <w:tabs>
          <w:tab w:val="left" w:pos="1799"/>
        </w:tabs>
        <w:ind w:left="993" w:hanging="624"/>
        <w:rPr>
          <w:rFonts w:asciiTheme="minorHAnsi" w:eastAsiaTheme="minorEastAsia" w:hAnsiTheme="minorHAnsi" w:cstheme="minorBidi"/>
          <w:noProof/>
          <w:sz w:val="22"/>
          <w:szCs w:val="22"/>
          <w:lang w:eastAsia="en-AU"/>
        </w:rPr>
      </w:pPr>
      <w:r w:rsidRPr="00A625E0">
        <w:rPr>
          <w:noProof/>
        </w:rPr>
        <w:t>2.3</w:t>
      </w:r>
      <w:r>
        <w:rPr>
          <w:rFonts w:asciiTheme="minorHAnsi" w:eastAsiaTheme="minorEastAsia" w:hAnsiTheme="minorHAnsi" w:cstheme="minorBidi"/>
          <w:noProof/>
          <w:sz w:val="22"/>
          <w:szCs w:val="22"/>
          <w:lang w:eastAsia="en-AU"/>
        </w:rPr>
        <w:tab/>
      </w:r>
      <w:r>
        <w:rPr>
          <w:noProof/>
        </w:rPr>
        <w:t>Mentions of the Commission in Australian parliaments, 2009-10 to 2012-13</w:t>
      </w:r>
      <w:r>
        <w:rPr>
          <w:noProof/>
        </w:rPr>
        <w:tab/>
        <w:t>34</w:t>
      </w:r>
    </w:p>
    <w:p w:rsidR="002F1717" w:rsidRDefault="002F1717" w:rsidP="00E67111">
      <w:pPr>
        <w:pStyle w:val="TOC2"/>
        <w:tabs>
          <w:tab w:val="left" w:pos="1857"/>
        </w:tabs>
        <w:ind w:left="993" w:hanging="624"/>
        <w:rPr>
          <w:rFonts w:asciiTheme="minorHAnsi" w:eastAsiaTheme="minorEastAsia" w:hAnsiTheme="minorHAnsi" w:cstheme="minorBidi"/>
          <w:noProof/>
          <w:sz w:val="22"/>
          <w:szCs w:val="22"/>
          <w:lang w:eastAsia="en-AU"/>
        </w:rPr>
      </w:pPr>
      <w:r w:rsidRPr="00A625E0">
        <w:rPr>
          <w:noProof/>
        </w:rPr>
        <w:t>A.1</w:t>
      </w:r>
      <w:r>
        <w:rPr>
          <w:rFonts w:asciiTheme="minorHAnsi" w:eastAsiaTheme="minorEastAsia" w:hAnsiTheme="minorHAnsi" w:cstheme="minorBidi"/>
          <w:noProof/>
          <w:sz w:val="22"/>
          <w:szCs w:val="22"/>
          <w:lang w:eastAsia="en-AU"/>
        </w:rPr>
        <w:tab/>
      </w:r>
      <w:r>
        <w:rPr>
          <w:noProof/>
        </w:rPr>
        <w:t>Productivity Commission structure and senior staff, 30 June 2013</w:t>
      </w:r>
      <w:r w:rsidR="0000441F">
        <w:rPr>
          <w:noProof/>
        </w:rPr>
        <w:tab/>
      </w:r>
      <w:r>
        <w:rPr>
          <w:noProof/>
        </w:rPr>
        <w:t>40</w:t>
      </w:r>
    </w:p>
    <w:p w:rsidR="002F1717" w:rsidRDefault="002F1717" w:rsidP="00E67111">
      <w:pPr>
        <w:pStyle w:val="TOC2"/>
        <w:tabs>
          <w:tab w:val="left" w:pos="1842"/>
        </w:tabs>
        <w:ind w:left="993" w:hanging="624"/>
        <w:rPr>
          <w:rFonts w:asciiTheme="minorHAnsi" w:eastAsiaTheme="minorEastAsia" w:hAnsiTheme="minorHAnsi" w:cstheme="minorBidi"/>
          <w:noProof/>
          <w:sz w:val="22"/>
          <w:szCs w:val="22"/>
          <w:lang w:eastAsia="en-AU"/>
        </w:rPr>
      </w:pPr>
      <w:r w:rsidRPr="00A625E0">
        <w:rPr>
          <w:noProof/>
        </w:rPr>
        <w:t>B.1</w:t>
      </w:r>
      <w:r>
        <w:rPr>
          <w:rFonts w:asciiTheme="minorHAnsi" w:eastAsiaTheme="minorEastAsia" w:hAnsiTheme="minorHAnsi" w:cstheme="minorBidi"/>
          <w:noProof/>
          <w:sz w:val="22"/>
          <w:szCs w:val="22"/>
          <w:lang w:eastAsia="en-AU"/>
        </w:rPr>
        <w:tab/>
      </w:r>
      <w:r>
        <w:rPr>
          <w:noProof/>
        </w:rPr>
        <w:t>Productivity Commission main activities 2012-13</w:t>
      </w:r>
      <w:r>
        <w:rPr>
          <w:noProof/>
        </w:rPr>
        <w:tab/>
        <w:t>66</w:t>
      </w:r>
    </w:p>
    <w:p w:rsidR="00721D53" w:rsidRDefault="00721D53" w:rsidP="0017066F">
      <w:pPr>
        <w:pStyle w:val="TOC1"/>
        <w:spacing w:before="360"/>
      </w:pPr>
      <w:r>
        <w:t>Tables</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1.1</w:t>
      </w:r>
      <w:r>
        <w:rPr>
          <w:rFonts w:asciiTheme="minorHAnsi" w:eastAsiaTheme="minorEastAsia" w:hAnsiTheme="minorHAnsi" w:cstheme="minorBidi"/>
          <w:noProof/>
          <w:sz w:val="22"/>
          <w:szCs w:val="22"/>
          <w:lang w:eastAsia="en-AU"/>
        </w:rPr>
        <w:tab/>
      </w:r>
      <w:r>
        <w:rPr>
          <w:noProof/>
        </w:rPr>
        <w:t>Advantages and disadvantages of using administrative data</w:t>
      </w:r>
      <w:r>
        <w:rPr>
          <w:noProof/>
        </w:rPr>
        <w:tab/>
        <w:t>5</w:t>
      </w:r>
    </w:p>
    <w:p w:rsidR="002F1717" w:rsidRDefault="002F1717" w:rsidP="00E67111">
      <w:pPr>
        <w:pStyle w:val="TOC2"/>
        <w:tabs>
          <w:tab w:val="left" w:pos="1770"/>
        </w:tabs>
        <w:ind w:left="993" w:hanging="624"/>
        <w:rPr>
          <w:rFonts w:asciiTheme="minorHAnsi" w:eastAsiaTheme="minorEastAsia" w:hAnsiTheme="minorHAnsi" w:cstheme="minorBidi"/>
          <w:noProof/>
          <w:sz w:val="22"/>
          <w:szCs w:val="22"/>
          <w:lang w:eastAsia="en-AU"/>
        </w:rPr>
      </w:pPr>
      <w:r w:rsidRPr="005E6992">
        <w:rPr>
          <w:noProof/>
        </w:rPr>
        <w:t>A.1</w:t>
      </w:r>
      <w:r>
        <w:rPr>
          <w:rFonts w:asciiTheme="minorHAnsi" w:eastAsiaTheme="minorEastAsia" w:hAnsiTheme="minorHAnsi" w:cstheme="minorBidi"/>
          <w:noProof/>
          <w:sz w:val="22"/>
          <w:szCs w:val="22"/>
          <w:lang w:eastAsia="en-AU"/>
        </w:rPr>
        <w:tab/>
      </w:r>
      <w:r>
        <w:rPr>
          <w:noProof/>
        </w:rPr>
        <w:t>Financial and staffing resources summary</w:t>
      </w:r>
      <w:r>
        <w:rPr>
          <w:noProof/>
        </w:rPr>
        <w:tab/>
        <w:t>42</w:t>
      </w:r>
    </w:p>
    <w:p w:rsidR="002F1717" w:rsidRDefault="002F1717" w:rsidP="00E67111">
      <w:pPr>
        <w:pStyle w:val="TOC2"/>
        <w:tabs>
          <w:tab w:val="left" w:pos="1770"/>
        </w:tabs>
        <w:ind w:left="993" w:hanging="624"/>
        <w:rPr>
          <w:rFonts w:asciiTheme="minorHAnsi" w:eastAsiaTheme="minorEastAsia" w:hAnsiTheme="minorHAnsi" w:cstheme="minorBidi"/>
          <w:noProof/>
          <w:sz w:val="22"/>
          <w:szCs w:val="22"/>
          <w:lang w:eastAsia="en-AU"/>
        </w:rPr>
      </w:pPr>
      <w:r w:rsidRPr="005E6992">
        <w:rPr>
          <w:noProof/>
        </w:rPr>
        <w:t>A.2</w:t>
      </w:r>
      <w:r>
        <w:rPr>
          <w:rFonts w:asciiTheme="minorHAnsi" w:eastAsiaTheme="minorEastAsia" w:hAnsiTheme="minorHAnsi" w:cstheme="minorBidi"/>
          <w:noProof/>
          <w:sz w:val="22"/>
          <w:szCs w:val="22"/>
          <w:lang w:eastAsia="en-AU"/>
        </w:rPr>
        <w:tab/>
      </w:r>
      <w:r>
        <w:rPr>
          <w:noProof/>
        </w:rPr>
        <w:t>Expenditure on consultancies, 2008-09 to 2012-13</w:t>
      </w:r>
      <w:r>
        <w:rPr>
          <w:noProof/>
        </w:rPr>
        <w:tab/>
        <w:t>53</w:t>
      </w:r>
    </w:p>
    <w:p w:rsidR="002F1717" w:rsidRDefault="002F1717" w:rsidP="00E67111">
      <w:pPr>
        <w:pStyle w:val="TOC2"/>
        <w:tabs>
          <w:tab w:val="left" w:pos="1900"/>
        </w:tabs>
        <w:ind w:left="993" w:hanging="624"/>
        <w:rPr>
          <w:rFonts w:asciiTheme="minorHAnsi" w:eastAsiaTheme="minorEastAsia" w:hAnsiTheme="minorHAnsi" w:cstheme="minorBidi"/>
          <w:noProof/>
          <w:sz w:val="22"/>
          <w:szCs w:val="22"/>
          <w:lang w:eastAsia="en-AU"/>
        </w:rPr>
      </w:pPr>
      <w:r w:rsidRPr="005E6992">
        <w:rPr>
          <w:noProof/>
        </w:rPr>
        <w:t>A1.1</w:t>
      </w:r>
      <w:r>
        <w:rPr>
          <w:rFonts w:asciiTheme="minorHAnsi" w:eastAsiaTheme="minorEastAsia" w:hAnsiTheme="minorHAnsi" w:cstheme="minorBidi"/>
          <w:noProof/>
          <w:sz w:val="22"/>
          <w:szCs w:val="22"/>
          <w:lang w:eastAsia="en-AU"/>
        </w:rPr>
        <w:tab/>
      </w:r>
      <w:r>
        <w:rPr>
          <w:noProof/>
        </w:rPr>
        <w:t>Chair and Commissioners, 30 June 2013</w:t>
      </w:r>
      <w:r>
        <w:rPr>
          <w:noProof/>
        </w:rPr>
        <w:tab/>
        <w:t>57</w:t>
      </w:r>
    </w:p>
    <w:p w:rsidR="002F1717" w:rsidRDefault="002F1717" w:rsidP="00E67111">
      <w:pPr>
        <w:pStyle w:val="TOC2"/>
        <w:tabs>
          <w:tab w:val="left" w:pos="1965"/>
        </w:tabs>
        <w:ind w:left="993" w:hanging="624"/>
        <w:rPr>
          <w:rFonts w:asciiTheme="minorHAnsi" w:eastAsiaTheme="minorEastAsia" w:hAnsiTheme="minorHAnsi" w:cstheme="minorBidi"/>
          <w:noProof/>
          <w:sz w:val="22"/>
          <w:szCs w:val="22"/>
          <w:lang w:eastAsia="en-AU"/>
        </w:rPr>
      </w:pPr>
      <w:r w:rsidRPr="005E6992">
        <w:rPr>
          <w:noProof/>
        </w:rPr>
        <w:t>A1.2</w:t>
      </w:r>
      <w:r>
        <w:rPr>
          <w:noProof/>
        </w:rPr>
        <w:t xml:space="preserve"> </w:t>
      </w:r>
      <w:r>
        <w:rPr>
          <w:rFonts w:asciiTheme="minorHAnsi" w:eastAsiaTheme="minorEastAsia" w:hAnsiTheme="minorHAnsi" w:cstheme="minorBidi"/>
          <w:noProof/>
          <w:sz w:val="22"/>
          <w:szCs w:val="22"/>
          <w:lang w:eastAsia="en-AU"/>
        </w:rPr>
        <w:tab/>
      </w:r>
      <w:r>
        <w:rPr>
          <w:noProof/>
        </w:rPr>
        <w:t>Part-time Associate Commissioners, 30 June 2013</w:t>
      </w:r>
      <w:r>
        <w:rPr>
          <w:noProof/>
        </w:rPr>
        <w:tab/>
        <w:t>57</w:t>
      </w:r>
    </w:p>
    <w:p w:rsidR="002F1717" w:rsidRDefault="002F1717" w:rsidP="00E67111">
      <w:pPr>
        <w:pStyle w:val="TOC2"/>
        <w:tabs>
          <w:tab w:val="left" w:pos="1900"/>
        </w:tabs>
        <w:ind w:left="993" w:hanging="624"/>
        <w:rPr>
          <w:rFonts w:asciiTheme="minorHAnsi" w:eastAsiaTheme="minorEastAsia" w:hAnsiTheme="minorHAnsi" w:cstheme="minorBidi"/>
          <w:noProof/>
          <w:sz w:val="22"/>
          <w:szCs w:val="22"/>
          <w:lang w:eastAsia="en-AU"/>
        </w:rPr>
      </w:pPr>
      <w:r w:rsidRPr="005E6992">
        <w:rPr>
          <w:noProof/>
        </w:rPr>
        <w:lastRenderedPageBreak/>
        <w:t>A1.3</w:t>
      </w:r>
      <w:r>
        <w:rPr>
          <w:rFonts w:asciiTheme="minorHAnsi" w:eastAsiaTheme="minorEastAsia" w:hAnsiTheme="minorHAnsi" w:cstheme="minorBidi"/>
          <w:noProof/>
          <w:sz w:val="22"/>
          <w:szCs w:val="22"/>
          <w:lang w:eastAsia="en-AU"/>
        </w:rPr>
        <w:tab/>
      </w:r>
      <w:r>
        <w:rPr>
          <w:noProof/>
        </w:rPr>
        <w:t>Part-time Associate Commissioners completing appointments during 2012-13</w:t>
      </w:r>
      <w:r>
        <w:rPr>
          <w:noProof/>
        </w:rPr>
        <w:tab/>
        <w:t>58</w:t>
      </w:r>
    </w:p>
    <w:p w:rsidR="002F1717" w:rsidRDefault="002F1717" w:rsidP="00E67111">
      <w:pPr>
        <w:pStyle w:val="TOC2"/>
        <w:tabs>
          <w:tab w:val="left" w:pos="1900"/>
        </w:tabs>
        <w:ind w:left="993" w:hanging="624"/>
        <w:rPr>
          <w:rFonts w:asciiTheme="minorHAnsi" w:eastAsiaTheme="minorEastAsia" w:hAnsiTheme="minorHAnsi" w:cstheme="minorBidi"/>
          <w:noProof/>
          <w:sz w:val="22"/>
          <w:szCs w:val="22"/>
          <w:lang w:eastAsia="en-AU"/>
        </w:rPr>
      </w:pPr>
      <w:r w:rsidRPr="005E6992">
        <w:rPr>
          <w:noProof/>
        </w:rPr>
        <w:t>A1.4</w:t>
      </w:r>
      <w:r>
        <w:rPr>
          <w:rFonts w:asciiTheme="minorHAnsi" w:eastAsiaTheme="minorEastAsia" w:hAnsiTheme="minorHAnsi" w:cstheme="minorBidi"/>
          <w:noProof/>
          <w:sz w:val="22"/>
          <w:szCs w:val="22"/>
          <w:lang w:eastAsia="en-AU"/>
        </w:rPr>
        <w:tab/>
      </w:r>
      <w:r>
        <w:rPr>
          <w:noProof/>
        </w:rPr>
        <w:t>Employees by location and gender, 30 June 2013</w:t>
      </w:r>
      <w:r>
        <w:rPr>
          <w:noProof/>
        </w:rPr>
        <w:tab/>
        <w:t>58</w:t>
      </w:r>
    </w:p>
    <w:p w:rsidR="002F1717" w:rsidRDefault="002F1717" w:rsidP="00E67111">
      <w:pPr>
        <w:pStyle w:val="TOC2"/>
        <w:tabs>
          <w:tab w:val="left" w:pos="1900"/>
        </w:tabs>
        <w:ind w:left="993" w:hanging="624"/>
        <w:rPr>
          <w:rFonts w:asciiTheme="minorHAnsi" w:eastAsiaTheme="minorEastAsia" w:hAnsiTheme="minorHAnsi" w:cstheme="minorBidi"/>
          <w:noProof/>
          <w:sz w:val="22"/>
          <w:szCs w:val="22"/>
          <w:lang w:eastAsia="en-AU"/>
        </w:rPr>
      </w:pPr>
      <w:r w:rsidRPr="005E6992">
        <w:rPr>
          <w:noProof/>
        </w:rPr>
        <w:t>A1.5</w:t>
      </w:r>
      <w:r>
        <w:rPr>
          <w:rFonts w:asciiTheme="minorHAnsi" w:eastAsiaTheme="minorEastAsia" w:hAnsiTheme="minorHAnsi" w:cstheme="minorBidi"/>
          <w:noProof/>
          <w:sz w:val="22"/>
          <w:szCs w:val="22"/>
          <w:lang w:eastAsia="en-AU"/>
        </w:rPr>
        <w:tab/>
      </w:r>
      <w:r>
        <w:rPr>
          <w:noProof/>
        </w:rPr>
        <w:t>Employees by employment status and gender, 30 June 2013</w:t>
      </w:r>
      <w:r>
        <w:rPr>
          <w:noProof/>
        </w:rPr>
        <w:tab/>
        <w:t>59</w:t>
      </w:r>
    </w:p>
    <w:p w:rsidR="002F1717" w:rsidRDefault="002F1717" w:rsidP="00E67111">
      <w:pPr>
        <w:pStyle w:val="TOC2"/>
        <w:tabs>
          <w:tab w:val="left" w:pos="1900"/>
        </w:tabs>
        <w:ind w:left="993" w:hanging="624"/>
        <w:rPr>
          <w:rFonts w:asciiTheme="minorHAnsi" w:eastAsiaTheme="minorEastAsia" w:hAnsiTheme="minorHAnsi" w:cstheme="minorBidi"/>
          <w:noProof/>
          <w:sz w:val="22"/>
          <w:szCs w:val="22"/>
          <w:lang w:eastAsia="en-AU"/>
        </w:rPr>
      </w:pPr>
      <w:r w:rsidRPr="005E6992">
        <w:rPr>
          <w:noProof/>
        </w:rPr>
        <w:t>A1.6</w:t>
      </w:r>
      <w:r>
        <w:rPr>
          <w:rFonts w:asciiTheme="minorHAnsi" w:eastAsiaTheme="minorEastAsia" w:hAnsiTheme="minorHAnsi" w:cstheme="minorBidi"/>
          <w:noProof/>
          <w:sz w:val="22"/>
          <w:szCs w:val="22"/>
          <w:lang w:eastAsia="en-AU"/>
        </w:rPr>
        <w:tab/>
      </w:r>
      <w:r>
        <w:rPr>
          <w:noProof/>
        </w:rPr>
        <w:t>Salary ranges, 30 June 2013</w:t>
      </w:r>
      <w:r>
        <w:rPr>
          <w:noProof/>
        </w:rPr>
        <w:tab/>
        <w:t>59</w:t>
      </w:r>
    </w:p>
    <w:p w:rsidR="002F1717" w:rsidRDefault="002F1717" w:rsidP="00E67111">
      <w:pPr>
        <w:pStyle w:val="TOC2"/>
        <w:tabs>
          <w:tab w:val="left" w:pos="1900"/>
        </w:tabs>
        <w:ind w:left="993" w:hanging="624"/>
        <w:rPr>
          <w:rFonts w:asciiTheme="minorHAnsi" w:eastAsiaTheme="minorEastAsia" w:hAnsiTheme="minorHAnsi" w:cstheme="minorBidi"/>
          <w:noProof/>
          <w:sz w:val="22"/>
          <w:szCs w:val="22"/>
          <w:lang w:eastAsia="en-AU"/>
        </w:rPr>
      </w:pPr>
      <w:r w:rsidRPr="005E6992">
        <w:rPr>
          <w:noProof/>
        </w:rPr>
        <w:t>A1.7</w:t>
      </w:r>
      <w:r>
        <w:rPr>
          <w:rFonts w:asciiTheme="minorHAnsi" w:eastAsiaTheme="minorEastAsia" w:hAnsiTheme="minorHAnsi" w:cstheme="minorBidi"/>
          <w:noProof/>
          <w:sz w:val="22"/>
          <w:szCs w:val="22"/>
          <w:lang w:eastAsia="en-AU"/>
        </w:rPr>
        <w:tab/>
      </w:r>
      <w:r>
        <w:rPr>
          <w:noProof/>
        </w:rPr>
        <w:t>Employees by level and reason for separation, 2012-13</w:t>
      </w:r>
      <w:r>
        <w:rPr>
          <w:noProof/>
        </w:rPr>
        <w:tab/>
        <w:t>60</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B.1</w:t>
      </w:r>
      <w:r>
        <w:rPr>
          <w:rFonts w:asciiTheme="minorHAnsi" w:eastAsiaTheme="minorEastAsia" w:hAnsiTheme="minorHAnsi" w:cstheme="minorBidi"/>
          <w:noProof/>
          <w:sz w:val="22"/>
          <w:szCs w:val="22"/>
          <w:lang w:eastAsia="en-AU"/>
        </w:rPr>
        <w:tab/>
      </w:r>
      <w:r>
        <w:rPr>
          <w:noProof/>
        </w:rPr>
        <w:t>Use of Commission publications in parliamentary committee reports in 2012-13</w:t>
      </w:r>
      <w:r>
        <w:rPr>
          <w:noProof/>
        </w:rPr>
        <w:tab/>
        <w:t>74</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B.2</w:t>
      </w:r>
      <w:r>
        <w:rPr>
          <w:rFonts w:asciiTheme="minorHAnsi" w:eastAsiaTheme="minorEastAsia" w:hAnsiTheme="minorHAnsi" w:cstheme="minorBidi"/>
          <w:noProof/>
          <w:sz w:val="22"/>
          <w:szCs w:val="22"/>
          <w:lang w:eastAsia="en-AU"/>
        </w:rPr>
        <w:tab/>
      </w:r>
      <w:r>
        <w:rPr>
          <w:noProof/>
        </w:rPr>
        <w:t>Parliamentary Library use of Commission publications in 2012</w:t>
      </w:r>
      <w:r w:rsidR="0000441F">
        <w:rPr>
          <w:noProof/>
        </w:rPr>
        <w:noBreakHyphen/>
      </w:r>
      <w:r>
        <w:rPr>
          <w:noProof/>
        </w:rPr>
        <w:t>13</w:t>
      </w:r>
      <w:r>
        <w:rPr>
          <w:noProof/>
        </w:rPr>
        <w:tab/>
        <w:t>77</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B.3</w:t>
      </w:r>
      <w:r>
        <w:rPr>
          <w:rFonts w:asciiTheme="minorHAnsi" w:eastAsiaTheme="minorEastAsia" w:hAnsiTheme="minorHAnsi" w:cstheme="minorBidi"/>
          <w:noProof/>
          <w:sz w:val="22"/>
          <w:szCs w:val="22"/>
          <w:lang w:eastAsia="en-AU"/>
        </w:rPr>
        <w:tab/>
      </w:r>
      <w:r>
        <w:rPr>
          <w:noProof/>
        </w:rPr>
        <w:t>Program of public inquiries and other government-commissioned projects</w:t>
      </w:r>
      <w:r>
        <w:rPr>
          <w:noProof/>
        </w:rPr>
        <w:tab/>
        <w:t>88</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B.4</w:t>
      </w:r>
      <w:r>
        <w:rPr>
          <w:rFonts w:asciiTheme="minorHAnsi" w:eastAsiaTheme="minorEastAsia" w:hAnsiTheme="minorHAnsi" w:cstheme="minorBidi"/>
          <w:noProof/>
          <w:sz w:val="22"/>
          <w:szCs w:val="22"/>
          <w:lang w:eastAsia="en-AU"/>
        </w:rPr>
        <w:tab/>
      </w:r>
      <w:r>
        <w:rPr>
          <w:noProof/>
        </w:rPr>
        <w:t>Public inquiry and other commissioned project activity, 2008-09 to 2012-13</w:t>
      </w:r>
      <w:r>
        <w:rPr>
          <w:noProof/>
        </w:rPr>
        <w:tab/>
        <w:t>89</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B.5</w:t>
      </w:r>
      <w:r>
        <w:rPr>
          <w:rFonts w:asciiTheme="minorHAnsi" w:eastAsiaTheme="minorEastAsia" w:hAnsiTheme="minorHAnsi" w:cstheme="minorBidi"/>
          <w:noProof/>
          <w:sz w:val="22"/>
          <w:szCs w:val="22"/>
          <w:lang w:eastAsia="en-AU"/>
        </w:rPr>
        <w:tab/>
      </w:r>
      <w:r>
        <w:rPr>
          <w:noProof/>
        </w:rPr>
        <w:t>Cost of public inquiries and other commissioned projects completed in 2012-13</w:t>
      </w:r>
      <w:r>
        <w:rPr>
          <w:noProof/>
        </w:rPr>
        <w:tab/>
        <w:t>90</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B.6</w:t>
      </w:r>
      <w:r>
        <w:rPr>
          <w:rFonts w:asciiTheme="minorHAnsi" w:eastAsiaTheme="minorEastAsia" w:hAnsiTheme="minorHAnsi" w:cstheme="minorBidi"/>
          <w:noProof/>
          <w:sz w:val="22"/>
          <w:szCs w:val="22"/>
          <w:lang w:eastAsia="en-AU"/>
        </w:rPr>
        <w:tab/>
      </w:r>
      <w:r>
        <w:rPr>
          <w:noProof/>
        </w:rPr>
        <w:t>Direct administrative expenditure on public inquiries and other government-commissioned projects, 2008-09 to 2012-13</w:t>
      </w:r>
      <w:r>
        <w:rPr>
          <w:noProof/>
        </w:rPr>
        <w:tab/>
        <w:t>90</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B.7</w:t>
      </w:r>
      <w:r>
        <w:rPr>
          <w:rFonts w:asciiTheme="minorHAnsi" w:eastAsiaTheme="minorEastAsia" w:hAnsiTheme="minorHAnsi" w:cstheme="minorBidi"/>
          <w:noProof/>
          <w:sz w:val="22"/>
          <w:szCs w:val="22"/>
          <w:lang w:eastAsia="en-AU"/>
        </w:rPr>
        <w:tab/>
      </w:r>
      <w:r>
        <w:rPr>
          <w:noProof/>
        </w:rPr>
        <w:t>Impact of recent Commission inquiry reports on government policy making</w:t>
      </w:r>
      <w:r>
        <w:rPr>
          <w:noProof/>
        </w:rPr>
        <w:tab/>
        <w:t>96</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B.8</w:t>
      </w:r>
      <w:r>
        <w:rPr>
          <w:rFonts w:asciiTheme="minorHAnsi" w:eastAsiaTheme="minorEastAsia" w:hAnsiTheme="minorHAnsi" w:cstheme="minorBidi"/>
          <w:noProof/>
          <w:sz w:val="22"/>
          <w:szCs w:val="22"/>
          <w:lang w:eastAsia="en-AU"/>
        </w:rPr>
        <w:tab/>
      </w:r>
      <w:r>
        <w:rPr>
          <w:noProof/>
        </w:rPr>
        <w:t>Impact of recent Commission inquiry reports on government policy making</w:t>
      </w:r>
      <w:r>
        <w:rPr>
          <w:noProof/>
        </w:rPr>
        <w:tab/>
        <w:t>98</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B.9</w:t>
      </w:r>
      <w:r>
        <w:rPr>
          <w:rFonts w:asciiTheme="minorHAnsi" w:eastAsiaTheme="minorEastAsia" w:hAnsiTheme="minorHAnsi" w:cstheme="minorBidi"/>
          <w:noProof/>
          <w:sz w:val="22"/>
          <w:szCs w:val="22"/>
          <w:lang w:eastAsia="en-AU"/>
        </w:rPr>
        <w:tab/>
      </w:r>
      <w:r>
        <w:rPr>
          <w:noProof/>
        </w:rPr>
        <w:t>Formal competitive neutrality complaints, 2008-09 to 2012</w:t>
      </w:r>
      <w:r>
        <w:rPr>
          <w:noProof/>
        </w:rPr>
        <w:noBreakHyphen/>
        <w:t>13</w:t>
      </w:r>
      <w:r>
        <w:rPr>
          <w:noProof/>
        </w:rPr>
        <w:tab/>
        <w:t>112</w:t>
      </w:r>
    </w:p>
    <w:p w:rsidR="002F1717" w:rsidRDefault="002F1717" w:rsidP="00E67111">
      <w:pPr>
        <w:pStyle w:val="TOC2"/>
        <w:tabs>
          <w:tab w:val="left" w:pos="1770"/>
        </w:tabs>
        <w:ind w:left="993" w:hanging="624"/>
        <w:rPr>
          <w:rFonts w:asciiTheme="minorHAnsi" w:eastAsiaTheme="minorEastAsia" w:hAnsiTheme="minorHAnsi" w:cstheme="minorBidi"/>
          <w:noProof/>
          <w:sz w:val="22"/>
          <w:szCs w:val="22"/>
          <w:lang w:eastAsia="en-AU"/>
        </w:rPr>
      </w:pPr>
      <w:r w:rsidRPr="005E6992">
        <w:rPr>
          <w:noProof/>
        </w:rPr>
        <w:t>D.1</w:t>
      </w:r>
      <w:r>
        <w:rPr>
          <w:rFonts w:asciiTheme="minorHAnsi" w:eastAsiaTheme="minorEastAsia" w:hAnsiTheme="minorHAnsi" w:cstheme="minorBidi"/>
          <w:noProof/>
          <w:sz w:val="22"/>
          <w:szCs w:val="22"/>
          <w:lang w:eastAsia="en-AU"/>
        </w:rPr>
        <w:tab/>
      </w:r>
      <w:r>
        <w:rPr>
          <w:noProof/>
        </w:rPr>
        <w:t>Stage of completion of commissioned projects and government responses to Commission reports</w:t>
      </w:r>
      <w:r>
        <w:rPr>
          <w:noProof/>
        </w:rPr>
        <w:tab/>
        <w:t>124</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E.1</w:t>
      </w:r>
      <w:r>
        <w:rPr>
          <w:rFonts w:asciiTheme="minorHAnsi" w:eastAsiaTheme="minorEastAsia" w:hAnsiTheme="minorHAnsi" w:cstheme="minorBidi"/>
          <w:noProof/>
          <w:sz w:val="22"/>
          <w:szCs w:val="22"/>
          <w:lang w:eastAsia="en-AU"/>
        </w:rPr>
        <w:tab/>
      </w:r>
      <w:r>
        <w:rPr>
          <w:noProof/>
        </w:rPr>
        <w:t>Speeches and presentations by the Chair, Commissioners and staff, 2012-13</w:t>
      </w:r>
      <w:r>
        <w:rPr>
          <w:noProof/>
        </w:rPr>
        <w:tab/>
        <w:t>150</w:t>
      </w:r>
    </w:p>
    <w:p w:rsidR="002F1717" w:rsidRDefault="002F1717" w:rsidP="00E67111">
      <w:pPr>
        <w:pStyle w:val="TOC2"/>
        <w:tabs>
          <w:tab w:val="left" w:pos="1760"/>
        </w:tabs>
        <w:ind w:left="993" w:hanging="624"/>
        <w:rPr>
          <w:rFonts w:asciiTheme="minorHAnsi" w:eastAsiaTheme="minorEastAsia" w:hAnsiTheme="minorHAnsi" w:cstheme="minorBidi"/>
          <w:noProof/>
          <w:sz w:val="22"/>
          <w:szCs w:val="22"/>
          <w:lang w:eastAsia="en-AU"/>
        </w:rPr>
      </w:pPr>
      <w:r w:rsidRPr="005E6992">
        <w:rPr>
          <w:noProof/>
        </w:rPr>
        <w:t>E.2</w:t>
      </w:r>
      <w:r>
        <w:rPr>
          <w:rFonts w:asciiTheme="minorHAnsi" w:eastAsiaTheme="minorEastAsia" w:hAnsiTheme="minorHAnsi" w:cstheme="minorBidi"/>
          <w:noProof/>
          <w:sz w:val="22"/>
          <w:szCs w:val="22"/>
          <w:lang w:eastAsia="en-AU"/>
        </w:rPr>
        <w:tab/>
      </w:r>
      <w:r>
        <w:rPr>
          <w:noProof/>
        </w:rPr>
        <w:t>International delegations and visitors, 2012-13</w:t>
      </w:r>
      <w:r>
        <w:rPr>
          <w:noProof/>
        </w:rPr>
        <w:tab/>
        <w:t>155</w:t>
      </w:r>
    </w:p>
    <w:p w:rsidR="00721D53" w:rsidRPr="00721D53" w:rsidRDefault="00721D53" w:rsidP="00E67111">
      <w:pPr>
        <w:pStyle w:val="TOC2"/>
        <w:ind w:left="993" w:hanging="624"/>
      </w:pPr>
    </w:p>
    <w:p w:rsidR="00721D53" w:rsidRPr="00721D53" w:rsidRDefault="00721D53" w:rsidP="00721D53">
      <w:pPr>
        <w:pStyle w:val="BodyText"/>
      </w:pPr>
    </w:p>
    <w:p w:rsidR="00CA581C" w:rsidRPr="00CA581C" w:rsidRDefault="00CA581C" w:rsidP="00EE62B3">
      <w:pPr>
        <w:pStyle w:val="TOC2"/>
        <w:tabs>
          <w:tab w:val="left" w:pos="851"/>
        </w:tabs>
        <w:ind w:left="851" w:hanging="794"/>
      </w:pPr>
    </w:p>
    <w:p w:rsidR="00B03350" w:rsidRPr="00B03350" w:rsidRDefault="00B03350" w:rsidP="00B03350">
      <w:pPr>
        <w:pStyle w:val="BodyText"/>
      </w:pPr>
    </w:p>
    <w:p w:rsidR="00735FEA" w:rsidRDefault="00735FEA">
      <w:pPr>
        <w:pStyle w:val="BodyText"/>
        <w:sectPr w:rsidR="00735FEA" w:rsidSect="00C25485">
          <w:headerReference w:type="even" r:id="rId23"/>
          <w:headerReference w:type="default" r:id="rId24"/>
          <w:footerReference w:type="even" r:id="rId25"/>
          <w:footerReference w:type="default" r:id="rId26"/>
          <w:pgSz w:w="11907" w:h="16840" w:code="9"/>
          <w:pgMar w:top="1985" w:right="1304" w:bottom="1418" w:left="1814" w:header="1701" w:footer="567" w:gutter="0"/>
          <w:pgNumType w:fmt="lowerRoman" w:start="9"/>
          <w:cols w:space="720"/>
        </w:sectPr>
      </w:pPr>
    </w:p>
    <w:p w:rsidR="00735FEA" w:rsidRDefault="00735FEA" w:rsidP="00F7477E">
      <w:pPr>
        <w:pStyle w:val="Heading1"/>
      </w:pPr>
      <w:bookmarkStart w:id="6" w:name="Abbreviations"/>
      <w:bookmarkStart w:id="7" w:name="RDnote"/>
      <w:bookmarkStart w:id="8" w:name="EndContents"/>
      <w:bookmarkStart w:id="9" w:name="_Toc338146675"/>
      <w:bookmarkStart w:id="10" w:name="_Toc367104906"/>
      <w:bookmarkEnd w:id="6"/>
      <w:bookmarkEnd w:id="7"/>
      <w:bookmarkEnd w:id="8"/>
      <w:r>
        <w:lastRenderedPageBreak/>
        <w:t>Abbreviations</w:t>
      </w:r>
      <w:bookmarkEnd w:id="9"/>
      <w:bookmarkEnd w:id="10"/>
      <w:r>
        <w:t xml:space="preserve"> </w:t>
      </w:r>
    </w:p>
    <w:p w:rsidR="00B03350" w:rsidRDefault="00B03350" w:rsidP="00B03350">
      <w:pPr>
        <w:pStyle w:val="Abbreviation"/>
        <w:tabs>
          <w:tab w:val="left" w:pos="1701"/>
        </w:tabs>
        <w:spacing w:before="80"/>
        <w:ind w:left="1985" w:hanging="1985"/>
      </w:pPr>
      <w:r>
        <w:t>ABS</w:t>
      </w:r>
      <w:r>
        <w:tab/>
        <w:t>Australian Bureau of Statistics</w:t>
      </w:r>
    </w:p>
    <w:p w:rsidR="00B03350" w:rsidRDefault="00B03350" w:rsidP="00B03350">
      <w:pPr>
        <w:pStyle w:val="Abbreviation"/>
        <w:tabs>
          <w:tab w:val="left" w:pos="1701"/>
        </w:tabs>
        <w:spacing w:before="80"/>
        <w:ind w:left="1985" w:hanging="1985"/>
      </w:pPr>
      <w:r>
        <w:t>ACCC</w:t>
      </w:r>
      <w:r>
        <w:tab/>
        <w:t>Australian Competition and Consumer Commission</w:t>
      </w:r>
    </w:p>
    <w:p w:rsidR="00B03350" w:rsidRDefault="00B03350" w:rsidP="00B03350">
      <w:pPr>
        <w:pStyle w:val="Abbreviation"/>
        <w:tabs>
          <w:tab w:val="left" w:pos="1701"/>
        </w:tabs>
        <w:spacing w:before="80"/>
        <w:ind w:left="1985" w:hanging="1985"/>
      </w:pPr>
      <w:proofErr w:type="spellStart"/>
      <w:r>
        <w:t>ACCI</w:t>
      </w:r>
      <w:proofErr w:type="spellEnd"/>
      <w:r>
        <w:tab/>
        <w:t>Australian Chamber of Commerce and Industry</w:t>
      </w:r>
    </w:p>
    <w:p w:rsidR="00B03350" w:rsidRDefault="00B03350" w:rsidP="00B03350">
      <w:pPr>
        <w:pStyle w:val="Abbreviation"/>
        <w:tabs>
          <w:tab w:val="left" w:pos="1701"/>
        </w:tabs>
        <w:spacing w:before="80"/>
        <w:ind w:left="1985" w:hanging="1985"/>
      </w:pPr>
      <w:r>
        <w:t>AGCNCO</w:t>
      </w:r>
      <w:r>
        <w:tab/>
        <w:t>Australian Government Competitive Neutrality Complaints Office</w:t>
      </w:r>
    </w:p>
    <w:p w:rsidR="00B03350" w:rsidRDefault="00B03350" w:rsidP="00B03350">
      <w:pPr>
        <w:pStyle w:val="Abbreviation"/>
        <w:tabs>
          <w:tab w:val="left" w:pos="1701"/>
        </w:tabs>
        <w:spacing w:before="80"/>
        <w:ind w:left="1985" w:hanging="1985"/>
      </w:pPr>
      <w:proofErr w:type="spellStart"/>
      <w:r>
        <w:t>AIHW</w:t>
      </w:r>
      <w:proofErr w:type="spellEnd"/>
      <w:r>
        <w:tab/>
        <w:t>Australian Institute of Health and Welfare</w:t>
      </w:r>
    </w:p>
    <w:p w:rsidR="00B03350" w:rsidRDefault="00B03350" w:rsidP="00B03350">
      <w:pPr>
        <w:pStyle w:val="Abbreviation"/>
        <w:tabs>
          <w:tab w:val="left" w:pos="1701"/>
        </w:tabs>
        <w:spacing w:before="80"/>
        <w:ind w:left="1985" w:hanging="1985"/>
      </w:pPr>
      <w:r>
        <w:t>ALGA</w:t>
      </w:r>
      <w:r>
        <w:tab/>
        <w:t>Australian Local Government Association</w:t>
      </w:r>
    </w:p>
    <w:p w:rsidR="00B03350" w:rsidRDefault="00B03350" w:rsidP="00B03350">
      <w:pPr>
        <w:pStyle w:val="Abbreviation"/>
        <w:tabs>
          <w:tab w:val="left" w:pos="1701"/>
        </w:tabs>
        <w:spacing w:before="80"/>
        <w:ind w:left="1985" w:hanging="1985"/>
      </w:pPr>
      <w:proofErr w:type="spellStart"/>
      <w:r>
        <w:t>ANAO</w:t>
      </w:r>
      <w:proofErr w:type="spellEnd"/>
      <w:r>
        <w:tab/>
        <w:t>Australian National Audit Office</w:t>
      </w:r>
    </w:p>
    <w:p w:rsidR="00B03350" w:rsidRDefault="00B03350" w:rsidP="00B03350">
      <w:pPr>
        <w:pStyle w:val="Abbreviation"/>
        <w:tabs>
          <w:tab w:val="left" w:pos="1701"/>
        </w:tabs>
        <w:spacing w:before="80"/>
        <w:ind w:left="1985" w:hanging="1985"/>
      </w:pPr>
      <w:proofErr w:type="spellStart"/>
      <w:r>
        <w:t>ANU</w:t>
      </w:r>
      <w:proofErr w:type="spellEnd"/>
      <w:r>
        <w:tab/>
        <w:t>Australian National University</w:t>
      </w:r>
    </w:p>
    <w:p w:rsidR="00B03350" w:rsidRDefault="00B03350" w:rsidP="00B03350">
      <w:pPr>
        <w:pStyle w:val="Abbreviation"/>
        <w:tabs>
          <w:tab w:val="left" w:pos="1701"/>
        </w:tabs>
        <w:spacing w:before="80"/>
        <w:ind w:left="1985" w:hanging="1985"/>
      </w:pPr>
      <w:proofErr w:type="spellStart"/>
      <w:r>
        <w:t>ANZSIC</w:t>
      </w:r>
      <w:proofErr w:type="spellEnd"/>
      <w:r>
        <w:tab/>
        <w:t xml:space="preserve">Australian and </w:t>
      </w:r>
      <w:smartTag w:uri="urn:schemas-microsoft-com:office:smarttags" w:element="place">
        <w:smartTag w:uri="urn:schemas-microsoft-com:office:smarttags" w:element="country-region">
          <w:r>
            <w:t>New Zealand</w:t>
          </w:r>
        </w:smartTag>
      </w:smartTag>
      <w:r>
        <w:t xml:space="preserve"> Standard Industrial Classification</w:t>
      </w:r>
    </w:p>
    <w:p w:rsidR="00B03350" w:rsidRDefault="00B03350" w:rsidP="00B03350">
      <w:pPr>
        <w:pStyle w:val="Abbreviation"/>
        <w:tabs>
          <w:tab w:val="left" w:pos="1701"/>
        </w:tabs>
        <w:spacing w:before="80"/>
        <w:ind w:left="1985" w:hanging="1985"/>
      </w:pPr>
      <w:proofErr w:type="spellStart"/>
      <w:r>
        <w:t>ANZSOG</w:t>
      </w:r>
      <w:proofErr w:type="spellEnd"/>
      <w:r>
        <w:tab/>
      </w:r>
      <w:smartTag w:uri="urn:schemas-microsoft-com:office:smarttags" w:element="country-region">
        <w:r>
          <w:t>Australia</w:t>
        </w:r>
      </w:smartTag>
      <w:r>
        <w:t xml:space="preserve"> and </w:t>
      </w:r>
      <w:smartTag w:uri="urn:schemas-microsoft-com:office:smarttags" w:element="place">
        <w:smartTag w:uri="urn:schemas-microsoft-com:office:smarttags" w:element="PlaceName">
          <w:r>
            <w:t>New Zealand</w:t>
          </w:r>
        </w:smartTag>
        <w:r>
          <w:t xml:space="preserve"> </w:t>
        </w:r>
        <w:smartTag w:uri="urn:schemas-microsoft-com:office:smarttags" w:element="PlaceType">
          <w:r>
            <w:t>School</w:t>
          </w:r>
        </w:smartTag>
      </w:smartTag>
      <w:r>
        <w:t xml:space="preserve"> of Government</w:t>
      </w:r>
    </w:p>
    <w:p w:rsidR="00B03350" w:rsidRDefault="00B03350" w:rsidP="00B03350">
      <w:pPr>
        <w:pStyle w:val="Abbreviation"/>
        <w:tabs>
          <w:tab w:val="left" w:pos="1701"/>
        </w:tabs>
        <w:spacing w:before="80"/>
        <w:ind w:left="1985" w:hanging="1985"/>
      </w:pPr>
      <w:r>
        <w:t>APEC</w:t>
      </w:r>
      <w:r>
        <w:tab/>
        <w:t>Asia-Pacific Economic Cooperation</w:t>
      </w:r>
    </w:p>
    <w:p w:rsidR="00B03350" w:rsidRDefault="00B03350" w:rsidP="00B03350">
      <w:pPr>
        <w:pStyle w:val="Abbreviation"/>
        <w:tabs>
          <w:tab w:val="left" w:pos="1701"/>
        </w:tabs>
        <w:spacing w:before="80"/>
        <w:ind w:left="1985" w:hanging="1985"/>
      </w:pPr>
      <w:r>
        <w:t>APRA</w:t>
      </w:r>
      <w:r>
        <w:tab/>
        <w:t>Australian Prudential Regulation Authority</w:t>
      </w:r>
    </w:p>
    <w:p w:rsidR="00B03350" w:rsidRDefault="00B03350" w:rsidP="00B03350">
      <w:pPr>
        <w:pStyle w:val="Abbreviation"/>
        <w:tabs>
          <w:tab w:val="left" w:pos="1701"/>
        </w:tabs>
        <w:spacing w:before="80"/>
        <w:ind w:left="1985" w:hanging="1985"/>
      </w:pPr>
      <w:r>
        <w:t>APS</w:t>
      </w:r>
      <w:r>
        <w:tab/>
        <w:t>Australian Public Service</w:t>
      </w:r>
    </w:p>
    <w:p w:rsidR="00B03350" w:rsidRDefault="00B03350" w:rsidP="00B03350">
      <w:pPr>
        <w:pStyle w:val="Abbreviation"/>
        <w:tabs>
          <w:tab w:val="left" w:pos="1701"/>
        </w:tabs>
        <w:spacing w:before="80"/>
        <w:ind w:left="1985" w:hanging="1985"/>
      </w:pPr>
      <w:proofErr w:type="spellStart"/>
      <w:r>
        <w:t>BRCWG</w:t>
      </w:r>
      <w:proofErr w:type="spellEnd"/>
      <w:r>
        <w:tab/>
        <w:t>Business Regulation and Competition Working Group (COAG)</w:t>
      </w:r>
    </w:p>
    <w:p w:rsidR="00B03350" w:rsidRDefault="00B03350" w:rsidP="00B03350">
      <w:pPr>
        <w:pStyle w:val="Abbreviation"/>
        <w:tabs>
          <w:tab w:val="left" w:pos="1701"/>
        </w:tabs>
        <w:spacing w:before="80"/>
        <w:ind w:left="1985" w:hanging="1985"/>
      </w:pPr>
      <w:proofErr w:type="spellStart"/>
      <w:r>
        <w:t>CEDA</w:t>
      </w:r>
      <w:proofErr w:type="spellEnd"/>
      <w:r>
        <w:tab/>
        <w:t>Committee for Economic Development of Australia</w:t>
      </w:r>
    </w:p>
    <w:p w:rsidR="00B03350" w:rsidRDefault="00B03350" w:rsidP="00B03350">
      <w:pPr>
        <w:pStyle w:val="Abbreviation"/>
        <w:tabs>
          <w:tab w:val="left" w:pos="1701"/>
        </w:tabs>
        <w:spacing w:before="80"/>
        <w:ind w:left="1985" w:hanging="1985"/>
      </w:pPr>
      <w:r>
        <w:t>COAG</w:t>
      </w:r>
      <w:r>
        <w:tab/>
        <w:t>Council of Australian Governments</w:t>
      </w:r>
    </w:p>
    <w:p w:rsidR="00B03350" w:rsidRDefault="00B03350" w:rsidP="00B03350">
      <w:pPr>
        <w:pStyle w:val="Abbreviation"/>
        <w:tabs>
          <w:tab w:val="left" w:pos="1701"/>
        </w:tabs>
        <w:spacing w:before="80"/>
        <w:ind w:left="1985" w:hanging="1985"/>
      </w:pPr>
      <w:r>
        <w:t>CRC</w:t>
      </w:r>
      <w:r>
        <w:tab/>
        <w:t>COAG Reform Council</w:t>
      </w:r>
    </w:p>
    <w:p w:rsidR="00BE363E" w:rsidRDefault="00BE363E" w:rsidP="00B03350">
      <w:pPr>
        <w:pStyle w:val="Abbreviation"/>
        <w:tabs>
          <w:tab w:val="left" w:pos="1701"/>
        </w:tabs>
        <w:spacing w:before="80"/>
        <w:ind w:left="1985" w:hanging="1985"/>
      </w:pPr>
      <w:proofErr w:type="spellStart"/>
      <w:r>
        <w:t>EFIC</w:t>
      </w:r>
      <w:proofErr w:type="spellEnd"/>
      <w:r>
        <w:tab/>
        <w:t>Export Finance and Investment Corporation</w:t>
      </w:r>
    </w:p>
    <w:p w:rsidR="00B03350" w:rsidRDefault="00B03350" w:rsidP="00B03350">
      <w:pPr>
        <w:pStyle w:val="Abbreviation"/>
        <w:tabs>
          <w:tab w:val="left" w:pos="1701"/>
        </w:tabs>
        <w:spacing w:before="80"/>
        <w:ind w:left="1985" w:hanging="1985"/>
      </w:pPr>
      <w:proofErr w:type="spellStart"/>
      <w:r>
        <w:t>EGWW</w:t>
      </w:r>
      <w:proofErr w:type="spellEnd"/>
      <w:r>
        <w:tab/>
        <w:t>Electricity, gas, water &amp; waste services</w:t>
      </w:r>
    </w:p>
    <w:p w:rsidR="00B03350" w:rsidRDefault="00B03350" w:rsidP="00B03350">
      <w:pPr>
        <w:pStyle w:val="Abbreviation"/>
        <w:tabs>
          <w:tab w:val="left" w:pos="1701"/>
        </w:tabs>
        <w:spacing w:before="80"/>
        <w:ind w:left="1985" w:hanging="1985"/>
      </w:pPr>
      <w:proofErr w:type="spellStart"/>
      <w:r>
        <w:t>GS</w:t>
      </w:r>
      <w:proofErr w:type="spellEnd"/>
      <w:r>
        <w:tab/>
        <w:t>Gas supply</w:t>
      </w:r>
    </w:p>
    <w:p w:rsidR="00B03350" w:rsidRDefault="00B03350" w:rsidP="00B03350">
      <w:pPr>
        <w:pStyle w:val="Abbreviation"/>
        <w:tabs>
          <w:tab w:val="left" w:pos="1701"/>
        </w:tabs>
        <w:spacing w:before="80"/>
        <w:ind w:left="1985" w:hanging="1985"/>
      </w:pPr>
      <w:r>
        <w:t>GDP</w:t>
      </w:r>
      <w:r>
        <w:tab/>
        <w:t>Gross Domestic Product</w:t>
      </w:r>
    </w:p>
    <w:p w:rsidR="00B03350" w:rsidRDefault="00B03350" w:rsidP="00B03350">
      <w:pPr>
        <w:pStyle w:val="Abbreviation"/>
        <w:tabs>
          <w:tab w:val="left" w:pos="1701"/>
        </w:tabs>
        <w:spacing w:before="80"/>
        <w:ind w:left="1985" w:hanging="1985"/>
      </w:pPr>
      <w:proofErr w:type="spellStart"/>
      <w:r>
        <w:t>GTAP</w:t>
      </w:r>
      <w:proofErr w:type="spellEnd"/>
      <w:r>
        <w:tab/>
        <w:t>Global Trade Analysis Project</w:t>
      </w:r>
    </w:p>
    <w:p w:rsidR="00B03350" w:rsidRDefault="00B03350" w:rsidP="00B03350">
      <w:pPr>
        <w:pStyle w:val="Abbreviation"/>
        <w:tabs>
          <w:tab w:val="left" w:pos="1701"/>
        </w:tabs>
        <w:spacing w:before="80"/>
        <w:ind w:left="1985" w:hanging="1985"/>
      </w:pPr>
      <w:proofErr w:type="spellStart"/>
      <w:r>
        <w:t>GTEs</w:t>
      </w:r>
      <w:proofErr w:type="spellEnd"/>
      <w:r>
        <w:tab/>
        <w:t>Government trading enterprises</w:t>
      </w:r>
    </w:p>
    <w:p w:rsidR="0056627F" w:rsidRDefault="0056627F" w:rsidP="00B03350">
      <w:pPr>
        <w:pStyle w:val="Abbreviation"/>
        <w:tabs>
          <w:tab w:val="left" w:pos="1701"/>
        </w:tabs>
        <w:spacing w:before="80"/>
        <w:ind w:left="1985" w:hanging="1985"/>
      </w:pPr>
      <w:r>
        <w:t>HILDA</w:t>
      </w:r>
      <w:r>
        <w:tab/>
        <w:t>Household, Income and Labour Dynamics</w:t>
      </w:r>
    </w:p>
    <w:p w:rsidR="00B03350" w:rsidRDefault="00B03350" w:rsidP="00B03350">
      <w:pPr>
        <w:pStyle w:val="Abbreviation"/>
        <w:tabs>
          <w:tab w:val="left" w:pos="1701"/>
        </w:tabs>
        <w:spacing w:before="80"/>
        <w:ind w:left="1985" w:hanging="1985"/>
      </w:pPr>
      <w:proofErr w:type="spellStart"/>
      <w:r>
        <w:t>ICTs</w:t>
      </w:r>
      <w:proofErr w:type="spellEnd"/>
      <w:r>
        <w:tab/>
        <w:t>Information and communication technologies</w:t>
      </w:r>
    </w:p>
    <w:p w:rsidR="00B03350" w:rsidRDefault="00B03350" w:rsidP="00B03350">
      <w:pPr>
        <w:pStyle w:val="Abbreviation"/>
        <w:tabs>
          <w:tab w:val="left" w:pos="1701"/>
        </w:tabs>
        <w:spacing w:before="80"/>
        <w:ind w:left="1985" w:hanging="1985"/>
      </w:pPr>
      <w:r>
        <w:t>IMF</w:t>
      </w:r>
      <w:r>
        <w:tab/>
        <w:t>International Monetary Fund</w:t>
      </w:r>
    </w:p>
    <w:p w:rsidR="00B03350" w:rsidRDefault="00B03350" w:rsidP="00B03350">
      <w:pPr>
        <w:pStyle w:val="Abbreviation"/>
        <w:tabs>
          <w:tab w:val="left" w:pos="1701"/>
        </w:tabs>
        <w:spacing w:before="80"/>
        <w:ind w:left="1985" w:hanging="1985"/>
      </w:pPr>
      <w:r>
        <w:t>LP</w:t>
      </w:r>
      <w:r>
        <w:tab/>
        <w:t xml:space="preserve">labour productivity </w:t>
      </w:r>
    </w:p>
    <w:p w:rsidR="00E57DFD" w:rsidRDefault="00E57DFD" w:rsidP="00B03350">
      <w:pPr>
        <w:pStyle w:val="Abbreviation"/>
        <w:tabs>
          <w:tab w:val="left" w:pos="1701"/>
        </w:tabs>
        <w:spacing w:before="80"/>
        <w:ind w:left="1985" w:hanging="1985"/>
      </w:pPr>
      <w:proofErr w:type="spellStart"/>
      <w:r>
        <w:t>MBS</w:t>
      </w:r>
      <w:proofErr w:type="spellEnd"/>
      <w:r>
        <w:tab/>
        <w:t>Medicare Benefits scheme</w:t>
      </w:r>
    </w:p>
    <w:p w:rsidR="00B03350" w:rsidRDefault="00B03350" w:rsidP="00B03350">
      <w:pPr>
        <w:pStyle w:val="Abbreviation"/>
        <w:tabs>
          <w:tab w:val="left" w:pos="1701"/>
        </w:tabs>
        <w:spacing w:before="80"/>
        <w:ind w:left="1985" w:hanging="1985"/>
      </w:pPr>
      <w:r>
        <w:lastRenderedPageBreak/>
        <w:t>MFP</w:t>
      </w:r>
      <w:r>
        <w:tab/>
        <w:t>multifactor productivity</w:t>
      </w:r>
    </w:p>
    <w:p w:rsidR="00B03350" w:rsidRPr="009417E6" w:rsidRDefault="00B03350" w:rsidP="00B03350">
      <w:pPr>
        <w:pStyle w:val="Abbreviation"/>
        <w:tabs>
          <w:tab w:val="left" w:pos="1701"/>
        </w:tabs>
        <w:spacing w:before="80"/>
        <w:ind w:left="1985" w:hanging="1985"/>
      </w:pPr>
      <w:proofErr w:type="spellStart"/>
      <w:r>
        <w:t>NAPLAN</w:t>
      </w:r>
      <w:proofErr w:type="spellEnd"/>
      <w:r>
        <w:tab/>
      </w:r>
      <w:r w:rsidRPr="009417E6">
        <w:t>National Assessment Program for Literacy and Numeracy</w:t>
      </w:r>
    </w:p>
    <w:p w:rsidR="00B03350" w:rsidRDefault="00B03350" w:rsidP="00B03350">
      <w:pPr>
        <w:pStyle w:val="Abbreviation"/>
        <w:tabs>
          <w:tab w:val="left" w:pos="1701"/>
        </w:tabs>
        <w:spacing w:before="80"/>
        <w:ind w:left="1985" w:hanging="1985"/>
      </w:pPr>
      <w:proofErr w:type="spellStart"/>
      <w:r>
        <w:t>NATSEM</w:t>
      </w:r>
      <w:proofErr w:type="spellEnd"/>
      <w:r>
        <w:tab/>
        <w:t>National Centre for Social and Economic Modelling</w:t>
      </w:r>
    </w:p>
    <w:p w:rsidR="00B03350" w:rsidRDefault="00B03350" w:rsidP="00B03350">
      <w:pPr>
        <w:pStyle w:val="Abbreviation"/>
        <w:tabs>
          <w:tab w:val="left" w:pos="1701"/>
        </w:tabs>
        <w:spacing w:before="80"/>
        <w:ind w:left="1985" w:hanging="1985"/>
      </w:pPr>
      <w:r>
        <w:t>NBN</w:t>
      </w:r>
      <w:r>
        <w:tab/>
        <w:t>National Broadband Network</w:t>
      </w:r>
    </w:p>
    <w:p w:rsidR="00B03350" w:rsidRDefault="00B03350" w:rsidP="00B03350">
      <w:pPr>
        <w:pStyle w:val="Abbreviation"/>
        <w:tabs>
          <w:tab w:val="left" w:pos="1701"/>
        </w:tabs>
        <w:spacing w:before="80"/>
        <w:ind w:left="1985" w:hanging="1985"/>
      </w:pPr>
      <w:r>
        <w:t>NCP</w:t>
      </w:r>
      <w:r>
        <w:tab/>
        <w:t>National Competition Policy</w:t>
      </w:r>
    </w:p>
    <w:p w:rsidR="00B03350" w:rsidRDefault="00B03350" w:rsidP="00B03350">
      <w:pPr>
        <w:pStyle w:val="Abbreviation"/>
        <w:tabs>
          <w:tab w:val="left" w:pos="1701"/>
        </w:tabs>
        <w:spacing w:before="80"/>
        <w:ind w:left="1985" w:hanging="1985"/>
      </w:pPr>
      <w:r>
        <w:t>NRA</w:t>
      </w:r>
      <w:r>
        <w:tab/>
        <w:t>National Reform Agenda</w:t>
      </w:r>
    </w:p>
    <w:p w:rsidR="00AE1707" w:rsidRDefault="00AE1707" w:rsidP="00B03350">
      <w:pPr>
        <w:pStyle w:val="Abbreviation"/>
        <w:tabs>
          <w:tab w:val="left" w:pos="1701"/>
        </w:tabs>
        <w:spacing w:before="80"/>
        <w:ind w:left="1985" w:hanging="1985"/>
      </w:pPr>
      <w:proofErr w:type="spellStart"/>
      <w:r>
        <w:t>OAIC</w:t>
      </w:r>
      <w:proofErr w:type="spellEnd"/>
      <w:r>
        <w:tab/>
        <w:t>Office of the Australian Information Commissioner</w:t>
      </w:r>
    </w:p>
    <w:p w:rsidR="00B03350" w:rsidRDefault="00B03350" w:rsidP="00B03350">
      <w:pPr>
        <w:pStyle w:val="Abbreviation"/>
        <w:tabs>
          <w:tab w:val="left" w:pos="1701"/>
        </w:tabs>
        <w:spacing w:before="80"/>
        <w:ind w:left="1985" w:hanging="1985"/>
      </w:pPr>
      <w:r>
        <w:t>OECD</w:t>
      </w:r>
      <w:r>
        <w:tab/>
        <w:t>Organisation for Economic Cooperation and Development</w:t>
      </w:r>
    </w:p>
    <w:p w:rsidR="00B03350" w:rsidRDefault="00B03350" w:rsidP="00B03350">
      <w:pPr>
        <w:pStyle w:val="Abbreviation"/>
        <w:tabs>
          <w:tab w:val="left" w:pos="1701"/>
        </w:tabs>
        <w:spacing w:before="80"/>
        <w:ind w:left="1985" w:hanging="1985"/>
      </w:pPr>
      <w:r>
        <w:t>OHS</w:t>
      </w:r>
      <w:r>
        <w:tab/>
        <w:t>Occupation health and safety</w:t>
      </w:r>
    </w:p>
    <w:p w:rsidR="00B03350" w:rsidRPr="00797748" w:rsidRDefault="00B03350" w:rsidP="00B03350">
      <w:pPr>
        <w:pStyle w:val="Abbreviation"/>
        <w:tabs>
          <w:tab w:val="left" w:pos="1701"/>
        </w:tabs>
        <w:spacing w:before="80"/>
        <w:ind w:left="1985" w:hanging="1985"/>
      </w:pPr>
      <w:r>
        <w:t>OID</w:t>
      </w:r>
      <w:r>
        <w:tab/>
      </w:r>
      <w:r w:rsidRPr="00797748">
        <w:t>Overcoming Indigenous Disadvantage report</w:t>
      </w:r>
    </w:p>
    <w:p w:rsidR="00E57DFD" w:rsidRDefault="00E57DFD" w:rsidP="00B03350">
      <w:pPr>
        <w:pStyle w:val="Abbreviation"/>
        <w:tabs>
          <w:tab w:val="left" w:pos="1701"/>
        </w:tabs>
        <w:spacing w:before="80"/>
        <w:ind w:left="1985" w:hanging="1985"/>
      </w:pPr>
      <w:proofErr w:type="spellStart"/>
      <w:r>
        <w:t>PBS</w:t>
      </w:r>
      <w:proofErr w:type="spellEnd"/>
      <w:r>
        <w:tab/>
        <w:t xml:space="preserve">Pharmaceutical Benefits </w:t>
      </w:r>
      <w:r w:rsidR="00766B2C">
        <w:t>S</w:t>
      </w:r>
      <w:r>
        <w:t>cheme</w:t>
      </w:r>
    </w:p>
    <w:p w:rsidR="00B03350" w:rsidRDefault="00B03350" w:rsidP="00B03350">
      <w:pPr>
        <w:pStyle w:val="Abbreviation"/>
        <w:tabs>
          <w:tab w:val="left" w:pos="1701"/>
        </w:tabs>
        <w:spacing w:before="80"/>
        <w:ind w:left="1985" w:hanging="1985"/>
      </w:pPr>
      <w:r>
        <w:t>PC</w:t>
      </w:r>
      <w:r>
        <w:tab/>
        <w:t>Productivity Commission</w:t>
      </w:r>
    </w:p>
    <w:p w:rsidR="00BD4FE0" w:rsidRDefault="00BD4FE0" w:rsidP="00B03350">
      <w:pPr>
        <w:pStyle w:val="Abbreviation"/>
        <w:tabs>
          <w:tab w:val="left" w:pos="1701"/>
        </w:tabs>
        <w:spacing w:before="80"/>
        <w:ind w:left="1985" w:hanging="1985"/>
      </w:pPr>
      <w:r>
        <w:t>RBA</w:t>
      </w:r>
      <w:r>
        <w:tab/>
        <w:t>Reserve Bank of Australia</w:t>
      </w:r>
    </w:p>
    <w:p w:rsidR="001E62FD" w:rsidRDefault="001E62FD" w:rsidP="00B03350">
      <w:pPr>
        <w:pStyle w:val="Abbreviation"/>
        <w:tabs>
          <w:tab w:val="left" w:pos="1701"/>
        </w:tabs>
        <w:spacing w:before="80"/>
        <w:ind w:left="1985" w:hanging="1985"/>
      </w:pPr>
      <w:proofErr w:type="spellStart"/>
      <w:r>
        <w:t>RCT</w:t>
      </w:r>
      <w:proofErr w:type="spellEnd"/>
      <w:r>
        <w:tab/>
        <w:t>Randomised Control Trial</w:t>
      </w:r>
    </w:p>
    <w:p w:rsidR="00B03350" w:rsidRDefault="00B03350" w:rsidP="00B03350">
      <w:pPr>
        <w:pStyle w:val="Abbreviation"/>
        <w:tabs>
          <w:tab w:val="left" w:pos="1701"/>
        </w:tabs>
        <w:spacing w:before="80"/>
        <w:ind w:left="1985" w:hanging="1985"/>
      </w:pPr>
      <w:r>
        <w:t>R&amp;D</w:t>
      </w:r>
      <w:r>
        <w:tab/>
        <w:t>Research and development</w:t>
      </w:r>
    </w:p>
    <w:p w:rsidR="00B03350" w:rsidRPr="00797748" w:rsidRDefault="00B03350" w:rsidP="00B03350">
      <w:pPr>
        <w:pStyle w:val="Abbreviation"/>
        <w:tabs>
          <w:tab w:val="left" w:pos="1701"/>
        </w:tabs>
        <w:spacing w:before="80"/>
        <w:ind w:left="1985" w:hanging="1985"/>
      </w:pPr>
      <w:r>
        <w:t>ROGS</w:t>
      </w:r>
      <w:r>
        <w:tab/>
      </w:r>
      <w:r w:rsidRPr="00797748">
        <w:t>Report on Government Services</w:t>
      </w:r>
    </w:p>
    <w:p w:rsidR="00B03350" w:rsidRDefault="00B03350" w:rsidP="00B03350">
      <w:pPr>
        <w:pStyle w:val="Abbreviation"/>
        <w:tabs>
          <w:tab w:val="left" w:pos="1701"/>
        </w:tabs>
        <w:spacing w:before="80"/>
        <w:ind w:left="1985" w:hanging="1985"/>
      </w:pPr>
      <w:r>
        <w:t>SES</w:t>
      </w:r>
      <w:r>
        <w:tab/>
        <w:t>Senior Executive Service</w:t>
      </w:r>
    </w:p>
    <w:p w:rsidR="00BD4FE0" w:rsidRDefault="00BD4FE0" w:rsidP="00CA581C">
      <w:pPr>
        <w:pStyle w:val="Abbreviation"/>
        <w:tabs>
          <w:tab w:val="left" w:pos="1701"/>
        </w:tabs>
        <w:spacing w:before="80"/>
        <w:ind w:left="1985" w:hanging="1985"/>
      </w:pPr>
      <w:r>
        <w:t>SLA</w:t>
      </w:r>
      <w:r>
        <w:tab/>
        <w:t>Statistical Local Areas</w:t>
      </w:r>
    </w:p>
    <w:p w:rsidR="00BD4FE0" w:rsidRDefault="00BD4FE0" w:rsidP="00CA581C">
      <w:pPr>
        <w:pStyle w:val="Abbreviation"/>
        <w:tabs>
          <w:tab w:val="left" w:pos="1701"/>
        </w:tabs>
        <w:spacing w:before="80"/>
        <w:ind w:left="1985" w:hanging="1985"/>
      </w:pPr>
      <w:proofErr w:type="spellStart"/>
      <w:r>
        <w:t>TCF</w:t>
      </w:r>
      <w:proofErr w:type="spellEnd"/>
      <w:r>
        <w:tab/>
        <w:t>Textiles, clothing and footwear</w:t>
      </w:r>
    </w:p>
    <w:p w:rsidR="00CA581C" w:rsidRDefault="00B03350" w:rsidP="00CA581C">
      <w:pPr>
        <w:pStyle w:val="Abbreviation"/>
        <w:tabs>
          <w:tab w:val="left" w:pos="1701"/>
        </w:tabs>
        <w:spacing w:before="80"/>
        <w:ind w:left="1985" w:hanging="1985"/>
      </w:pPr>
      <w:proofErr w:type="spellStart"/>
      <w:r>
        <w:t>WSSD</w:t>
      </w:r>
      <w:proofErr w:type="spellEnd"/>
      <w:r>
        <w:tab/>
        <w:t>Water supply sewerage &amp; drainage services</w:t>
      </w:r>
    </w:p>
    <w:p w:rsidR="00CA581C" w:rsidRDefault="00CA581C" w:rsidP="00CA581C">
      <w:pPr>
        <w:pStyle w:val="Abbreviation"/>
        <w:tabs>
          <w:tab w:val="left" w:pos="1701"/>
        </w:tabs>
        <w:spacing w:before="80"/>
        <w:ind w:left="1985" w:hanging="1985"/>
      </w:pPr>
    </w:p>
    <w:sectPr w:rsidR="00CA581C" w:rsidSect="00C55A45">
      <w:headerReference w:type="even" r:id="rId27"/>
      <w:headerReference w:type="default" r:id="rId28"/>
      <w:footerReference w:type="even" r:id="rId29"/>
      <w:footerReference w:type="default" r:id="rId30"/>
      <w:pgSz w:w="11907" w:h="16840" w:code="9"/>
      <w:pgMar w:top="1332" w:right="1304" w:bottom="1418" w:left="1814" w:header="1701" w:footer="567" w:gutter="0"/>
      <w:pgNumType w:fmt="lowerRoman"/>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30ED" w:rsidRDefault="00EE30ED">
      <w:r>
        <w:separator/>
      </w:r>
    </w:p>
    <w:p w:rsidR="00EE30ED" w:rsidRDefault="00EE30ED"/>
    <w:p w:rsidR="00EE30ED" w:rsidRDefault="00EE30ED"/>
  </w:endnote>
  <w:endnote w:type="continuationSeparator" w:id="0">
    <w:p w:rsidR="00EE30ED" w:rsidRDefault="00EE30ED">
      <w:r>
        <w:continuationSeparator/>
      </w:r>
    </w:p>
    <w:p w:rsidR="00EE30ED" w:rsidRDefault="00EE30ED"/>
    <w:p w:rsidR="00EE30ED" w:rsidRDefault="00EE30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oudyOlSt BT">
    <w:altName w:val="Georgia"/>
    <w:charset w:val="00"/>
    <w:family w:val="roman"/>
    <w:pitch w:val="variable"/>
    <w:sig w:usb0="00000087"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13EF" w:rsidRDefault="002513EF">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13EF" w:rsidRDefault="002513EF">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830"/>
      <w:gridCol w:w="6448"/>
    </w:tblGrid>
    <w:tr w:rsidR="002F1717">
      <w:trPr>
        <w:trHeight w:hRule="exact" w:val="740"/>
      </w:trPr>
      <w:tc>
        <w:tcPr>
          <w:tcW w:w="510" w:type="dxa"/>
          <w:tcBorders>
            <w:top w:val="single" w:sz="6" w:space="0" w:color="auto"/>
          </w:tcBorders>
        </w:tcPr>
        <w:p w:rsidR="002F1717" w:rsidRPr="008A654B" w:rsidRDefault="002F1717">
          <w:pPr>
            <w:pStyle w:val="Footer"/>
            <w:tabs>
              <w:tab w:val="left" w:pos="0"/>
            </w:tabs>
            <w:ind w:right="0"/>
            <w:rPr>
              <w:rStyle w:val="PageNumber"/>
              <w:caps w:val="0"/>
            </w:rPr>
          </w:pPr>
          <w:r w:rsidRPr="008A654B">
            <w:rPr>
              <w:rStyle w:val="PageNumber"/>
              <w:caps w:val="0"/>
            </w:rPr>
            <w:fldChar w:fldCharType="begin"/>
          </w:r>
          <w:r w:rsidRPr="008A654B">
            <w:rPr>
              <w:rStyle w:val="PageNumber"/>
              <w:caps w:val="0"/>
            </w:rPr>
            <w:instrText xml:space="preserve">PAGE  </w:instrText>
          </w:r>
          <w:r w:rsidRPr="008A654B">
            <w:rPr>
              <w:rStyle w:val="PageNumber"/>
              <w:caps w:val="0"/>
            </w:rPr>
            <w:fldChar w:fldCharType="separate"/>
          </w:r>
          <w:r w:rsidR="00A00FC3">
            <w:rPr>
              <w:rStyle w:val="PageNumber"/>
              <w:caps w:val="0"/>
              <w:noProof/>
            </w:rPr>
            <w:t>viii</w:t>
          </w:r>
          <w:r w:rsidRPr="008A654B">
            <w:rPr>
              <w:rStyle w:val="PageNumber"/>
              <w:caps w:val="0"/>
            </w:rPr>
            <w:fldChar w:fldCharType="end"/>
          </w:r>
        </w:p>
      </w:tc>
      <w:tc>
        <w:tcPr>
          <w:tcW w:w="1830" w:type="dxa"/>
          <w:tcBorders>
            <w:top w:val="single" w:sz="6" w:space="0" w:color="auto"/>
          </w:tcBorders>
        </w:tcPr>
        <w:p w:rsidR="002F1717" w:rsidRDefault="009404F1">
          <w:pPr>
            <w:pStyle w:val="Footer"/>
          </w:pPr>
          <w:r>
            <w:fldChar w:fldCharType="begin"/>
          </w:r>
          <w:r>
            <w:instrText xml:space="preserve"> STYLEREF "Heading 1" \* MERGEFORMAT </w:instrText>
          </w:r>
          <w:r>
            <w:fldChar w:fldCharType="separate"/>
          </w:r>
          <w:r w:rsidR="00A00FC3">
            <w:rPr>
              <w:noProof/>
            </w:rPr>
            <w:t>Foreword</w:t>
          </w:r>
          <w:r>
            <w:rPr>
              <w:noProof/>
            </w:rPr>
            <w:fldChar w:fldCharType="end"/>
          </w:r>
        </w:p>
      </w:tc>
      <w:tc>
        <w:tcPr>
          <w:tcW w:w="6448" w:type="dxa"/>
        </w:tcPr>
        <w:p w:rsidR="002F1717" w:rsidRDefault="002F1717">
          <w:pPr>
            <w:pStyle w:val="Footer"/>
          </w:pPr>
        </w:p>
      </w:tc>
    </w:tr>
  </w:tbl>
  <w:p w:rsidR="002F1717" w:rsidRDefault="002F1717">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480"/>
      <w:gridCol w:w="1798"/>
      <w:gridCol w:w="510"/>
    </w:tblGrid>
    <w:tr w:rsidR="002F1717">
      <w:trPr>
        <w:trHeight w:hRule="exact" w:val="740"/>
      </w:trPr>
      <w:tc>
        <w:tcPr>
          <w:tcW w:w="6480" w:type="dxa"/>
        </w:tcPr>
        <w:p w:rsidR="002F1717" w:rsidRDefault="002F1717">
          <w:pPr>
            <w:pStyle w:val="Footer"/>
          </w:pPr>
        </w:p>
      </w:tc>
      <w:tc>
        <w:tcPr>
          <w:tcW w:w="1798" w:type="dxa"/>
          <w:tcBorders>
            <w:top w:val="single" w:sz="6" w:space="0" w:color="auto"/>
          </w:tcBorders>
        </w:tcPr>
        <w:p w:rsidR="002F1717" w:rsidRDefault="009404F1">
          <w:pPr>
            <w:pStyle w:val="Footer"/>
            <w:rPr>
              <w:rStyle w:val="PageNumber"/>
              <w:b w:val="0"/>
            </w:rPr>
          </w:pPr>
          <w:r>
            <w:fldChar w:fldCharType="begin"/>
          </w:r>
          <w:r>
            <w:instrText xml:space="preserve"> STYLEREF "Heading 1" \* MERGEFORMAT </w:instrText>
          </w:r>
          <w:r>
            <w:fldChar w:fldCharType="separate"/>
          </w:r>
          <w:r w:rsidR="00526E1F">
            <w:rPr>
              <w:noProof/>
            </w:rPr>
            <w:t>Foreword</w:t>
          </w:r>
          <w:r>
            <w:rPr>
              <w:noProof/>
            </w:rPr>
            <w:fldChar w:fldCharType="end"/>
          </w:r>
        </w:p>
      </w:tc>
      <w:tc>
        <w:tcPr>
          <w:tcW w:w="510" w:type="dxa"/>
          <w:tcBorders>
            <w:top w:val="single" w:sz="6" w:space="0" w:color="auto"/>
          </w:tcBorders>
        </w:tcPr>
        <w:p w:rsidR="002F1717" w:rsidRPr="00B4787B" w:rsidRDefault="002F1717" w:rsidP="00537BB4">
          <w:pPr>
            <w:pStyle w:val="PartTitle"/>
            <w:spacing w:before="80" w:after="200" w:line="200" w:lineRule="exact"/>
            <w:ind w:right="6"/>
            <w:rPr>
              <w:rStyle w:val="PageNumber"/>
              <w:smallCaps w:val="0"/>
            </w:rPr>
          </w:pPr>
          <w:r w:rsidRPr="00B4787B">
            <w:rPr>
              <w:rStyle w:val="PageNumber"/>
              <w:smallCaps w:val="0"/>
            </w:rPr>
            <w:fldChar w:fldCharType="begin"/>
          </w:r>
          <w:r w:rsidRPr="00B4787B">
            <w:rPr>
              <w:rStyle w:val="PageNumber"/>
              <w:smallCaps w:val="0"/>
            </w:rPr>
            <w:instrText xml:space="preserve">PAGE  </w:instrText>
          </w:r>
          <w:r w:rsidRPr="00B4787B">
            <w:rPr>
              <w:rStyle w:val="PageNumber"/>
              <w:smallCaps w:val="0"/>
            </w:rPr>
            <w:fldChar w:fldCharType="separate"/>
          </w:r>
          <w:r w:rsidR="00526E1F">
            <w:rPr>
              <w:rStyle w:val="PageNumber"/>
              <w:smallCaps w:val="0"/>
              <w:noProof/>
            </w:rPr>
            <w:t>vii</w:t>
          </w:r>
          <w:r w:rsidRPr="00B4787B">
            <w:rPr>
              <w:rStyle w:val="PageNumber"/>
              <w:smallCaps w:val="0"/>
            </w:rPr>
            <w:fldChar w:fldCharType="end"/>
          </w:r>
        </w:p>
      </w:tc>
    </w:tr>
  </w:tbl>
  <w:p w:rsidR="002F1717" w:rsidRDefault="002F1717">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2513EF">
      <w:trPr>
        <w:trHeight w:hRule="exact" w:val="740"/>
      </w:trPr>
      <w:tc>
        <w:tcPr>
          <w:tcW w:w="510" w:type="dxa"/>
          <w:tcBorders>
            <w:top w:val="single" w:sz="6" w:space="0" w:color="auto"/>
          </w:tcBorders>
        </w:tcPr>
        <w:p w:rsidR="002513EF" w:rsidRPr="008206EE" w:rsidRDefault="00C057AC">
          <w:pPr>
            <w:pStyle w:val="Footer"/>
            <w:rPr>
              <w:rStyle w:val="PageNumber"/>
              <w:caps w:val="0"/>
            </w:rPr>
          </w:pPr>
          <w:r>
            <w:rPr>
              <w:rStyle w:val="PageNumber"/>
              <w:caps w:val="0"/>
            </w:rPr>
            <w:t>x</w:t>
          </w:r>
        </w:p>
      </w:tc>
      <w:tc>
        <w:tcPr>
          <w:tcW w:w="1644" w:type="dxa"/>
          <w:tcBorders>
            <w:top w:val="single" w:sz="6" w:space="0" w:color="auto"/>
          </w:tcBorders>
        </w:tcPr>
        <w:p w:rsidR="002513EF" w:rsidRDefault="003B4BEC">
          <w:pPr>
            <w:pStyle w:val="Footer"/>
          </w:pPr>
          <w:fldSimple w:instr=" STYLEREF &quot;Heading 1 Not TOC&quot; \* MERGEFORMAT ">
            <w:r w:rsidR="00526E1F">
              <w:rPr>
                <w:noProof/>
              </w:rPr>
              <w:t>Contents</w:t>
            </w:r>
          </w:fldSimple>
        </w:p>
      </w:tc>
      <w:tc>
        <w:tcPr>
          <w:tcW w:w="6634" w:type="dxa"/>
        </w:tcPr>
        <w:p w:rsidR="002513EF" w:rsidRDefault="002513EF">
          <w:pPr>
            <w:pStyle w:val="Footer"/>
            <w:rPr>
              <w:caps w:val="0"/>
            </w:rPr>
          </w:pPr>
        </w:p>
      </w:tc>
    </w:tr>
  </w:tbl>
  <w:p w:rsidR="002513EF" w:rsidRDefault="002513EF">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2513EF" w:rsidTr="008F7DB7">
      <w:trPr>
        <w:trHeight w:hRule="exact" w:val="740"/>
      </w:trPr>
      <w:tc>
        <w:tcPr>
          <w:tcW w:w="6634" w:type="dxa"/>
        </w:tcPr>
        <w:p w:rsidR="002513EF" w:rsidRDefault="002513EF">
          <w:pPr>
            <w:pStyle w:val="Footer"/>
          </w:pPr>
        </w:p>
      </w:tc>
      <w:tc>
        <w:tcPr>
          <w:tcW w:w="1644" w:type="dxa"/>
          <w:tcBorders>
            <w:top w:val="single" w:sz="6" w:space="0" w:color="auto"/>
          </w:tcBorders>
        </w:tcPr>
        <w:p w:rsidR="002513EF" w:rsidRPr="008F7DB7" w:rsidRDefault="002513EF">
          <w:pPr>
            <w:pStyle w:val="Footer"/>
            <w:rPr>
              <w:rStyle w:val="PageNumber"/>
              <w:noProof/>
            </w:rPr>
          </w:pPr>
          <w:r w:rsidRPr="008F7DB7">
            <w:rPr>
              <w:noProof/>
            </w:rPr>
            <w:fldChar w:fldCharType="begin"/>
          </w:r>
          <w:r w:rsidRPr="008F7DB7">
            <w:rPr>
              <w:noProof/>
            </w:rPr>
            <w:instrText xml:space="preserve"> STYLEREF "Heading 1 Not TOC" \* MERGEFORMAT </w:instrText>
          </w:r>
          <w:r w:rsidRPr="008F7DB7">
            <w:rPr>
              <w:noProof/>
            </w:rPr>
            <w:fldChar w:fldCharType="separate"/>
          </w:r>
          <w:r w:rsidR="00526E1F" w:rsidRPr="00526E1F">
            <w:rPr>
              <w:bCs/>
              <w:noProof/>
            </w:rPr>
            <w:t>Contents</w:t>
          </w:r>
          <w:r w:rsidRPr="008F7DB7">
            <w:rPr>
              <w:noProof/>
            </w:rPr>
            <w:fldChar w:fldCharType="end"/>
          </w:r>
        </w:p>
      </w:tc>
      <w:tc>
        <w:tcPr>
          <w:tcW w:w="510" w:type="dxa"/>
          <w:tcBorders>
            <w:top w:val="single" w:sz="6" w:space="0" w:color="auto"/>
          </w:tcBorders>
        </w:tcPr>
        <w:p w:rsidR="002513EF" w:rsidRPr="00C55A45" w:rsidRDefault="00EE7DFB" w:rsidP="00D8563F">
          <w:pPr>
            <w:pStyle w:val="Footer"/>
            <w:jc w:val="right"/>
            <w:rPr>
              <w:rStyle w:val="PageNumber"/>
              <w:caps w:val="0"/>
              <w:noProof/>
            </w:rPr>
          </w:pPr>
          <w:r>
            <w:rPr>
              <w:rStyle w:val="PageNumber"/>
              <w:caps w:val="0"/>
              <w:noProof/>
            </w:rPr>
            <w:t>ix</w:t>
          </w:r>
        </w:p>
      </w:tc>
    </w:tr>
  </w:tbl>
  <w:p w:rsidR="002513EF" w:rsidRDefault="002513EF">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758"/>
      <w:gridCol w:w="6634"/>
    </w:tblGrid>
    <w:tr w:rsidR="002513EF" w:rsidTr="008F7DB7">
      <w:trPr>
        <w:trHeight w:hRule="exact" w:val="740"/>
      </w:trPr>
      <w:tc>
        <w:tcPr>
          <w:tcW w:w="510" w:type="dxa"/>
          <w:tcBorders>
            <w:top w:val="single" w:sz="6" w:space="0" w:color="auto"/>
          </w:tcBorders>
        </w:tcPr>
        <w:p w:rsidR="002513EF" w:rsidRPr="00C55A45" w:rsidRDefault="002513EF">
          <w:pPr>
            <w:pStyle w:val="Footer"/>
            <w:rPr>
              <w:rStyle w:val="PageNumber"/>
              <w:caps w:val="0"/>
              <w:noProof/>
            </w:rPr>
          </w:pPr>
          <w:r w:rsidRPr="00C55A45">
            <w:rPr>
              <w:rStyle w:val="PageNumber"/>
              <w:caps w:val="0"/>
              <w:noProof/>
            </w:rPr>
            <w:fldChar w:fldCharType="begin"/>
          </w:r>
          <w:r w:rsidRPr="00C55A45">
            <w:rPr>
              <w:rStyle w:val="PageNumber"/>
              <w:caps w:val="0"/>
              <w:noProof/>
            </w:rPr>
            <w:instrText xml:space="preserve"> PAGE   \* MERGEFORMAT </w:instrText>
          </w:r>
          <w:r w:rsidRPr="00C55A45">
            <w:rPr>
              <w:rStyle w:val="PageNumber"/>
              <w:caps w:val="0"/>
              <w:noProof/>
            </w:rPr>
            <w:fldChar w:fldCharType="separate"/>
          </w:r>
          <w:r w:rsidR="00526E1F">
            <w:rPr>
              <w:rStyle w:val="PageNumber"/>
              <w:caps w:val="0"/>
              <w:noProof/>
            </w:rPr>
            <w:t>xii</w:t>
          </w:r>
          <w:r w:rsidRPr="00C55A45">
            <w:rPr>
              <w:rStyle w:val="PageNumber"/>
              <w:caps w:val="0"/>
              <w:noProof/>
            </w:rPr>
            <w:fldChar w:fldCharType="end"/>
          </w:r>
        </w:p>
      </w:tc>
      <w:tc>
        <w:tcPr>
          <w:tcW w:w="1758" w:type="dxa"/>
          <w:tcBorders>
            <w:top w:val="single" w:sz="6" w:space="0" w:color="auto"/>
          </w:tcBorders>
        </w:tcPr>
        <w:p w:rsidR="002513EF" w:rsidRDefault="002513EF">
          <w:pPr>
            <w:pStyle w:val="Footer"/>
            <w:rPr>
              <w:noProof/>
            </w:rPr>
          </w:pPr>
          <w:r>
            <w:rPr>
              <w:noProof/>
            </w:rPr>
            <w:fldChar w:fldCharType="begin"/>
          </w:r>
          <w:r>
            <w:rPr>
              <w:noProof/>
            </w:rPr>
            <w:instrText xml:space="preserve"> STYLEREF "Heading 1" \* MERGEFORMAT </w:instrText>
          </w:r>
          <w:r>
            <w:rPr>
              <w:noProof/>
            </w:rPr>
            <w:fldChar w:fldCharType="separate"/>
          </w:r>
          <w:r w:rsidR="00526E1F">
            <w:rPr>
              <w:noProof/>
            </w:rPr>
            <w:t>Abbreviations</w:t>
          </w:r>
          <w:r>
            <w:rPr>
              <w:noProof/>
            </w:rPr>
            <w:fldChar w:fldCharType="end"/>
          </w:r>
        </w:p>
      </w:tc>
      <w:tc>
        <w:tcPr>
          <w:tcW w:w="6634" w:type="dxa"/>
        </w:tcPr>
        <w:p w:rsidR="002513EF" w:rsidRDefault="002513EF">
          <w:pPr>
            <w:pStyle w:val="Footer"/>
            <w:rPr>
              <w:caps w:val="0"/>
            </w:rPr>
          </w:pPr>
        </w:p>
      </w:tc>
    </w:tr>
  </w:tbl>
  <w:p w:rsidR="002513EF" w:rsidRDefault="002513EF">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63"/>
      <w:gridCol w:w="1615"/>
      <w:gridCol w:w="510"/>
    </w:tblGrid>
    <w:tr w:rsidR="002513EF">
      <w:trPr>
        <w:trHeight w:hRule="exact" w:val="740"/>
      </w:trPr>
      <w:tc>
        <w:tcPr>
          <w:tcW w:w="6663" w:type="dxa"/>
        </w:tcPr>
        <w:p w:rsidR="002513EF" w:rsidRDefault="002513EF">
          <w:pPr>
            <w:pStyle w:val="Footer"/>
          </w:pPr>
        </w:p>
      </w:tc>
      <w:tc>
        <w:tcPr>
          <w:tcW w:w="1615" w:type="dxa"/>
          <w:tcBorders>
            <w:top w:val="single" w:sz="6" w:space="0" w:color="auto"/>
          </w:tcBorders>
        </w:tcPr>
        <w:p w:rsidR="002513EF" w:rsidRDefault="003B4BEC">
          <w:pPr>
            <w:pStyle w:val="Footer"/>
            <w:rPr>
              <w:rStyle w:val="PageNumber"/>
              <w:b w:val="0"/>
            </w:rPr>
          </w:pPr>
          <w:fldSimple w:instr=" STYLEREF &quot;Heading 1&quot; \* MERGEFORMAT ">
            <w:r w:rsidR="00526E1F">
              <w:rPr>
                <w:noProof/>
              </w:rPr>
              <w:t>Abbreviations</w:t>
            </w:r>
          </w:fldSimple>
        </w:p>
      </w:tc>
      <w:tc>
        <w:tcPr>
          <w:tcW w:w="510" w:type="dxa"/>
          <w:tcBorders>
            <w:top w:val="single" w:sz="6" w:space="0" w:color="auto"/>
          </w:tcBorders>
        </w:tcPr>
        <w:p w:rsidR="002513EF" w:rsidRPr="00E15FDC" w:rsidRDefault="002513EF">
          <w:pPr>
            <w:pStyle w:val="Footer"/>
            <w:jc w:val="right"/>
            <w:rPr>
              <w:rStyle w:val="PageNumber"/>
              <w:caps w:val="0"/>
            </w:rPr>
          </w:pPr>
          <w:r w:rsidRPr="00E15FDC">
            <w:rPr>
              <w:rStyle w:val="PageNumber"/>
              <w:caps w:val="0"/>
            </w:rPr>
            <w:fldChar w:fldCharType="begin"/>
          </w:r>
          <w:r w:rsidRPr="00E15FDC">
            <w:rPr>
              <w:rStyle w:val="PageNumber"/>
              <w:caps w:val="0"/>
            </w:rPr>
            <w:instrText xml:space="preserve"> PAGE   \* MERGEFORMAT </w:instrText>
          </w:r>
          <w:r w:rsidRPr="00E15FDC">
            <w:rPr>
              <w:rStyle w:val="PageNumber"/>
              <w:caps w:val="0"/>
            </w:rPr>
            <w:fldChar w:fldCharType="separate"/>
          </w:r>
          <w:r w:rsidR="00526E1F">
            <w:rPr>
              <w:rStyle w:val="PageNumber"/>
              <w:caps w:val="0"/>
              <w:noProof/>
            </w:rPr>
            <w:t>xiii</w:t>
          </w:r>
          <w:r w:rsidRPr="00E15FDC">
            <w:rPr>
              <w:rStyle w:val="PageNumber"/>
              <w:caps w:val="0"/>
              <w:noProof/>
            </w:rPr>
            <w:fldChar w:fldCharType="end"/>
          </w:r>
        </w:p>
      </w:tc>
    </w:tr>
  </w:tbl>
  <w:p w:rsidR="002513EF" w:rsidRDefault="002513EF" w:rsidP="00B9533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30ED" w:rsidRDefault="00EE30ED">
      <w:r>
        <w:separator/>
      </w:r>
    </w:p>
    <w:p w:rsidR="00EE30ED" w:rsidRDefault="00EE30ED"/>
    <w:p w:rsidR="00EE30ED" w:rsidRDefault="00EE30ED"/>
  </w:footnote>
  <w:footnote w:type="continuationSeparator" w:id="0">
    <w:p w:rsidR="00EE30ED" w:rsidRDefault="00EE30ED">
      <w:r>
        <w:continuationSeparator/>
      </w:r>
    </w:p>
    <w:p w:rsidR="00EE30ED" w:rsidRDefault="00EE30ED"/>
    <w:p w:rsidR="00EE30ED" w:rsidRDefault="00EE30E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13EF" w:rsidRDefault="002513EF">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13EF" w:rsidRPr="005C68FE" w:rsidRDefault="002513EF" w:rsidP="005C68FE">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2F1717">
      <w:tc>
        <w:tcPr>
          <w:tcW w:w="2155" w:type="dxa"/>
          <w:tcBorders>
            <w:top w:val="single" w:sz="24" w:space="0" w:color="auto"/>
          </w:tcBorders>
        </w:tcPr>
        <w:p w:rsidR="002F1717" w:rsidRDefault="002F1717">
          <w:pPr>
            <w:pStyle w:val="HeaderEven"/>
          </w:pPr>
        </w:p>
      </w:tc>
      <w:tc>
        <w:tcPr>
          <w:tcW w:w="6634" w:type="dxa"/>
          <w:tcBorders>
            <w:top w:val="single" w:sz="6" w:space="0" w:color="auto"/>
          </w:tcBorders>
        </w:tcPr>
        <w:p w:rsidR="002F1717" w:rsidRDefault="002F1717">
          <w:pPr>
            <w:pStyle w:val="HeaderEven"/>
          </w:pPr>
        </w:p>
      </w:tc>
    </w:tr>
  </w:tbl>
  <w:p w:rsidR="002F1717" w:rsidRDefault="002F1717">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2F1717">
      <w:tc>
        <w:tcPr>
          <w:tcW w:w="6634" w:type="dxa"/>
          <w:tcBorders>
            <w:top w:val="single" w:sz="6" w:space="0" w:color="auto"/>
          </w:tcBorders>
        </w:tcPr>
        <w:p w:rsidR="002F1717" w:rsidRDefault="002F1717">
          <w:pPr>
            <w:pStyle w:val="HeaderOdd"/>
          </w:pPr>
        </w:p>
      </w:tc>
      <w:tc>
        <w:tcPr>
          <w:tcW w:w="2155" w:type="dxa"/>
          <w:tcBorders>
            <w:top w:val="single" w:sz="24" w:space="0" w:color="auto"/>
          </w:tcBorders>
        </w:tcPr>
        <w:p w:rsidR="002F1717" w:rsidRDefault="002F1717">
          <w:pPr>
            <w:pStyle w:val="HeaderOdd"/>
          </w:pPr>
        </w:p>
      </w:tc>
    </w:tr>
  </w:tbl>
  <w:p w:rsidR="002F1717" w:rsidRDefault="002F1717">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2" w:space="0" w:color="auto"/>
      </w:tblBorders>
      <w:tblLayout w:type="fixed"/>
      <w:tblCellMar>
        <w:left w:w="0" w:type="dxa"/>
        <w:right w:w="0" w:type="dxa"/>
      </w:tblCellMar>
      <w:tblLook w:val="0000" w:firstRow="0" w:lastRow="0" w:firstColumn="0" w:lastColumn="0" w:noHBand="0" w:noVBand="0"/>
    </w:tblPr>
    <w:tblGrid>
      <w:gridCol w:w="2155"/>
      <w:gridCol w:w="6634"/>
    </w:tblGrid>
    <w:tr w:rsidR="002513EF">
      <w:tc>
        <w:tcPr>
          <w:tcW w:w="2155" w:type="dxa"/>
          <w:tcBorders>
            <w:top w:val="single" w:sz="24" w:space="0" w:color="auto"/>
          </w:tcBorders>
        </w:tcPr>
        <w:p w:rsidR="002513EF" w:rsidRDefault="002513EF">
          <w:pPr>
            <w:pStyle w:val="Header"/>
          </w:pPr>
        </w:p>
      </w:tc>
      <w:tc>
        <w:tcPr>
          <w:tcW w:w="6634" w:type="dxa"/>
          <w:tcBorders>
            <w:top w:val="single" w:sz="6" w:space="0" w:color="auto"/>
          </w:tcBorders>
        </w:tcPr>
        <w:p w:rsidR="002513EF" w:rsidRDefault="002513EF">
          <w:pPr>
            <w:pStyle w:val="Header"/>
          </w:pPr>
        </w:p>
      </w:tc>
    </w:tr>
  </w:tbl>
  <w:p w:rsidR="002513EF" w:rsidRDefault="002513EF">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2513EF" w:rsidTr="005C68FE">
      <w:tc>
        <w:tcPr>
          <w:tcW w:w="6634" w:type="dxa"/>
          <w:tcBorders>
            <w:top w:val="single" w:sz="6" w:space="0" w:color="auto"/>
          </w:tcBorders>
        </w:tcPr>
        <w:p w:rsidR="002513EF" w:rsidRDefault="002513EF" w:rsidP="005C68FE">
          <w:pPr>
            <w:pStyle w:val="HeaderOdd"/>
          </w:pPr>
        </w:p>
      </w:tc>
      <w:tc>
        <w:tcPr>
          <w:tcW w:w="2155" w:type="dxa"/>
          <w:tcBorders>
            <w:top w:val="single" w:sz="24" w:space="0" w:color="auto"/>
          </w:tcBorders>
        </w:tcPr>
        <w:p w:rsidR="002513EF" w:rsidRDefault="002513EF" w:rsidP="005C68FE">
          <w:pPr>
            <w:pStyle w:val="HeaderOdd"/>
          </w:pPr>
        </w:p>
      </w:tc>
    </w:tr>
  </w:tbl>
  <w:p w:rsidR="002513EF" w:rsidRPr="005C68FE" w:rsidRDefault="002513EF" w:rsidP="005C68FE">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2513EF" w:rsidTr="005C68FE">
      <w:tc>
        <w:tcPr>
          <w:tcW w:w="2155" w:type="dxa"/>
          <w:tcBorders>
            <w:top w:val="single" w:sz="24" w:space="0" w:color="auto"/>
          </w:tcBorders>
        </w:tcPr>
        <w:p w:rsidR="002513EF" w:rsidRDefault="002513EF" w:rsidP="005C68FE">
          <w:pPr>
            <w:pStyle w:val="HeaderEven"/>
          </w:pPr>
        </w:p>
      </w:tc>
      <w:tc>
        <w:tcPr>
          <w:tcW w:w="6634" w:type="dxa"/>
          <w:tcBorders>
            <w:top w:val="single" w:sz="6" w:space="0" w:color="auto"/>
          </w:tcBorders>
        </w:tcPr>
        <w:p w:rsidR="002513EF" w:rsidRDefault="002513EF" w:rsidP="005C68FE">
          <w:pPr>
            <w:pStyle w:val="HeaderEven"/>
          </w:pPr>
        </w:p>
      </w:tc>
    </w:tr>
  </w:tbl>
  <w:p w:rsidR="002513EF" w:rsidRDefault="002513EF" w:rsidP="00D732FE">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2513EF">
      <w:tc>
        <w:tcPr>
          <w:tcW w:w="6634" w:type="dxa"/>
          <w:tcBorders>
            <w:top w:val="single" w:sz="6" w:space="0" w:color="auto"/>
          </w:tcBorders>
        </w:tcPr>
        <w:p w:rsidR="002513EF" w:rsidRDefault="002513EF">
          <w:pPr>
            <w:pStyle w:val="HeaderOdd"/>
          </w:pPr>
        </w:p>
      </w:tc>
      <w:tc>
        <w:tcPr>
          <w:tcW w:w="2155" w:type="dxa"/>
          <w:tcBorders>
            <w:top w:val="single" w:sz="24" w:space="0" w:color="auto"/>
          </w:tcBorders>
        </w:tcPr>
        <w:p w:rsidR="002513EF" w:rsidRDefault="002513EF">
          <w:pPr>
            <w:pStyle w:val="HeaderOdd"/>
          </w:pPr>
        </w:p>
      </w:tc>
    </w:tr>
  </w:tbl>
  <w:p w:rsidR="002513EF" w:rsidRDefault="002513EF" w:rsidP="00B9533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92E4A210"/>
    <w:lvl w:ilvl="0">
      <w:start w:val="1"/>
      <w:numFmt w:val="decimal"/>
      <w:lvlText w:val="%1."/>
      <w:lvlJc w:val="left"/>
      <w:pPr>
        <w:tabs>
          <w:tab w:val="num" w:pos="926"/>
        </w:tabs>
        <w:ind w:left="926" w:hanging="360"/>
      </w:pPr>
    </w:lvl>
  </w:abstractNum>
  <w:abstractNum w:abstractNumId="1">
    <w:nsid w:val="FFFFFF7F"/>
    <w:multiLevelType w:val="singleLevel"/>
    <w:tmpl w:val="A3C2DCF6"/>
    <w:lvl w:ilvl="0">
      <w:start w:val="1"/>
      <w:numFmt w:val="decimal"/>
      <w:lvlText w:val="%1."/>
      <w:lvlJc w:val="left"/>
      <w:pPr>
        <w:tabs>
          <w:tab w:val="num" w:pos="643"/>
        </w:tabs>
        <w:ind w:left="643" w:hanging="360"/>
      </w:pPr>
    </w:lvl>
  </w:abstractNum>
  <w:abstractNum w:abstractNumId="2">
    <w:nsid w:val="FFFFFF82"/>
    <w:multiLevelType w:val="singleLevel"/>
    <w:tmpl w:val="695EB052"/>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43DA5D68"/>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B58078F8"/>
    <w:lvl w:ilvl="0">
      <w:start w:val="1"/>
      <w:numFmt w:val="decimal"/>
      <w:lvlText w:val="%1."/>
      <w:lvlJc w:val="left"/>
      <w:pPr>
        <w:tabs>
          <w:tab w:val="num" w:pos="360"/>
        </w:tabs>
        <w:ind w:left="360" w:hanging="360"/>
      </w:pPr>
    </w:lvl>
  </w:abstractNum>
  <w:abstractNum w:abstractNumId="5">
    <w:nsid w:val="FFFFFF89"/>
    <w:multiLevelType w:val="singleLevel"/>
    <w:tmpl w:val="6AD25FCC"/>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47A7C39"/>
    <w:multiLevelType w:val="singleLevel"/>
    <w:tmpl w:val="DEC02068"/>
    <w:lvl w:ilvl="0">
      <w:numFmt w:val="bullet"/>
      <w:pStyle w:val="ListBullet2"/>
      <w:lvlText w:val="–"/>
      <w:lvlJc w:val="left"/>
      <w:pPr>
        <w:tabs>
          <w:tab w:val="num" w:pos="644"/>
        </w:tabs>
        <w:ind w:left="340" w:hanging="56"/>
      </w:pPr>
      <w:rPr>
        <w:rFonts w:ascii="Times New Roman" w:hAnsi="Times New Roman" w:hint="default"/>
      </w:rPr>
    </w:lvl>
  </w:abstractNum>
  <w:abstractNum w:abstractNumId="8">
    <w:nsid w:val="06214B87"/>
    <w:multiLevelType w:val="singleLevel"/>
    <w:tmpl w:val="E7705C56"/>
    <w:lvl w:ilvl="0">
      <w:numFmt w:val="bullet"/>
      <w:pStyle w:val="BoxListBullet2"/>
      <w:lvlText w:val="–"/>
      <w:lvlJc w:val="left"/>
      <w:pPr>
        <w:tabs>
          <w:tab w:val="num" w:pos="360"/>
        </w:tabs>
        <w:ind w:left="284" w:hanging="284"/>
      </w:pPr>
      <w:rPr>
        <w:rFonts w:ascii="Times New Roman" w:hAnsi="Times New Roman" w:hint="default"/>
      </w:rPr>
    </w:lvl>
  </w:abstractNum>
  <w:abstractNum w:abstractNumId="9">
    <w:nsid w:val="0E116344"/>
    <w:multiLevelType w:val="multilevel"/>
    <w:tmpl w:val="3B188B36"/>
    <w:lvl w:ilvl="0">
      <w:start w:val="1"/>
      <w:numFmt w:val="decimal"/>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2">
    <w:nsid w:val="1AB25CDE"/>
    <w:multiLevelType w:val="singleLevel"/>
    <w:tmpl w:val="3086CA22"/>
    <w:lvl w:ilvl="0">
      <w:start w:val="1"/>
      <w:numFmt w:val="decimal"/>
      <w:lvlText w:val="%1."/>
      <w:legacy w:legacy="1" w:legacySpace="0" w:legacyIndent="340"/>
      <w:lvlJc w:val="left"/>
      <w:pPr>
        <w:ind w:left="340" w:hanging="340"/>
      </w:pPr>
    </w:lvl>
  </w:abstractNum>
  <w:abstractNum w:abstractNumId="13">
    <w:nsid w:val="23FF358D"/>
    <w:multiLevelType w:val="singleLevel"/>
    <w:tmpl w:val="849CD80E"/>
    <w:lvl w:ilvl="0">
      <w:start w:val="1"/>
      <w:numFmt w:val="bullet"/>
      <w:pStyle w:val="RecBBullet"/>
      <w:lvlText w:val=""/>
      <w:lvlJc w:val="left"/>
      <w:pPr>
        <w:tabs>
          <w:tab w:val="num" w:pos="360"/>
        </w:tabs>
        <w:ind w:left="340" w:hanging="340"/>
      </w:pPr>
      <w:rPr>
        <w:rFonts w:ascii="Symbol" w:hAnsi="Symbol" w:hint="default"/>
        <w:b w:val="0"/>
        <w:i w:val="0"/>
        <w:sz w:val="18"/>
      </w:rPr>
    </w:lvl>
  </w:abstractNum>
  <w:abstractNum w:abstractNumId="14">
    <w:nsid w:val="2F1F7586"/>
    <w:multiLevelType w:val="hybridMultilevel"/>
    <w:tmpl w:val="C956622A"/>
    <w:lvl w:ilvl="0" w:tplc="8D90534E">
      <w:start w:val="1"/>
      <w:numFmt w:val="decimal"/>
      <w:pStyle w:val="BoxListNumber"/>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30E90CE4"/>
    <w:multiLevelType w:val="singleLevel"/>
    <w:tmpl w:val="5FA21F84"/>
    <w:lvl w:ilvl="0">
      <w:start w:val="1"/>
      <w:numFmt w:val="bullet"/>
      <w:pStyle w:val="BoxListBullet"/>
      <w:lvlText w:val=""/>
      <w:lvlJc w:val="left"/>
      <w:pPr>
        <w:tabs>
          <w:tab w:val="num" w:pos="360"/>
        </w:tabs>
        <w:ind w:left="284" w:hanging="284"/>
      </w:pPr>
      <w:rPr>
        <w:rFonts w:ascii="Symbol" w:hAnsi="Symbol" w:hint="default"/>
        <w:sz w:val="18"/>
      </w:rPr>
    </w:lvl>
  </w:abstractNum>
  <w:abstractNum w:abstractNumId="16">
    <w:nsid w:val="54382D6E"/>
    <w:multiLevelType w:val="singleLevel"/>
    <w:tmpl w:val="B7BC21DE"/>
    <w:lvl w:ilvl="0">
      <w:numFmt w:val="bullet"/>
      <w:pStyle w:val="ListBullet"/>
      <w:lvlText w:val=""/>
      <w:lvlJc w:val="left"/>
      <w:pPr>
        <w:tabs>
          <w:tab w:val="num" w:pos="360"/>
        </w:tabs>
        <w:ind w:left="340" w:hanging="340"/>
      </w:pPr>
      <w:rPr>
        <w:rFonts w:ascii="Symbol" w:hAnsi="Symbol" w:hint="default"/>
        <w:sz w:val="18"/>
      </w:rPr>
    </w:lvl>
  </w:abstractNum>
  <w:abstractNum w:abstractNumId="17">
    <w:nsid w:val="543E1FD6"/>
    <w:multiLevelType w:val="singleLevel"/>
    <w:tmpl w:val="D4A092D6"/>
    <w:lvl w:ilvl="0">
      <w:start w:val="1"/>
      <w:numFmt w:val="bullet"/>
      <w:pStyle w:val="TableBullet"/>
      <w:lvlText w:val=""/>
      <w:lvlJc w:val="left"/>
      <w:pPr>
        <w:tabs>
          <w:tab w:val="num" w:pos="360"/>
        </w:tabs>
        <w:ind w:left="170" w:hanging="170"/>
      </w:pPr>
      <w:rPr>
        <w:rFonts w:ascii="Symbol" w:hAnsi="Symbol" w:hint="default"/>
        <w:b w:val="0"/>
        <w:i w:val="0"/>
        <w:sz w:val="18"/>
      </w:rPr>
    </w:lvl>
  </w:abstractNum>
  <w:abstractNum w:abstractNumId="18">
    <w:nsid w:val="56107838"/>
    <w:multiLevelType w:val="singleLevel"/>
    <w:tmpl w:val="98765266"/>
    <w:lvl w:ilvl="0">
      <w:start w:val="1"/>
      <w:numFmt w:val="bullet"/>
      <w:pStyle w:val="QuoteBullet"/>
      <w:lvlText w:val=""/>
      <w:lvlJc w:val="left"/>
      <w:pPr>
        <w:tabs>
          <w:tab w:val="num" w:pos="360"/>
        </w:tabs>
        <w:ind w:left="360" w:hanging="360"/>
      </w:pPr>
      <w:rPr>
        <w:rFonts w:ascii="Symbol" w:hAnsi="Symbol" w:hint="default"/>
        <w:sz w:val="18"/>
      </w:rPr>
    </w:lvl>
  </w:abstractNum>
  <w:abstractNum w:abstractNumId="19">
    <w:nsid w:val="643516F3"/>
    <w:multiLevelType w:val="singleLevel"/>
    <w:tmpl w:val="456CB25C"/>
    <w:lvl w:ilvl="0">
      <w:start w:val="1"/>
      <w:numFmt w:val="bullet"/>
      <w:pStyle w:val="ListBullet3"/>
      <w:lvlText w:val=""/>
      <w:lvlJc w:val="left"/>
      <w:pPr>
        <w:tabs>
          <w:tab w:val="num" w:pos="360"/>
        </w:tabs>
        <w:ind w:left="340" w:hanging="340"/>
      </w:pPr>
      <w:rPr>
        <w:rFonts w:ascii="MT Extra" w:hAnsi="MT Extra" w:hint="default"/>
        <w:b w:val="0"/>
        <w:i w:val="0"/>
        <w:sz w:val="16"/>
      </w:rPr>
    </w:lvl>
  </w:abstractNum>
  <w:abstractNum w:abstractNumId="20">
    <w:nsid w:val="6B740744"/>
    <w:multiLevelType w:val="singleLevel"/>
    <w:tmpl w:val="B4744B66"/>
    <w:lvl w:ilvl="0">
      <w:start w:val="1"/>
      <w:numFmt w:val="decimal"/>
      <w:lvlText w:val="%1."/>
      <w:legacy w:legacy="1" w:legacySpace="0" w:legacyIndent="340"/>
      <w:lvlJc w:val="left"/>
      <w:pPr>
        <w:ind w:left="340" w:hanging="340"/>
      </w:pPr>
    </w:lvl>
  </w:abstractNum>
  <w:abstractNum w:abstractNumId="21">
    <w:nsid w:val="7A1373DF"/>
    <w:multiLevelType w:val="singleLevel"/>
    <w:tmpl w:val="798200E0"/>
    <w:lvl w:ilvl="0">
      <w:start w:val="1"/>
      <w:numFmt w:val="bullet"/>
      <w:pStyle w:val="FindingBullet"/>
      <w:lvlText w:val=""/>
      <w:lvlJc w:val="left"/>
      <w:pPr>
        <w:tabs>
          <w:tab w:val="num" w:pos="360"/>
        </w:tabs>
        <w:ind w:left="340" w:hanging="340"/>
      </w:pPr>
      <w:rPr>
        <w:rFonts w:ascii="Symbol" w:hAnsi="Symbol" w:hint="default"/>
        <w:b w:val="0"/>
        <w:i w:val="0"/>
        <w:sz w:val="18"/>
      </w:rPr>
    </w:lvl>
  </w:abstractNum>
  <w:abstractNum w:abstractNumId="22">
    <w:nsid w:val="7BFA7D75"/>
    <w:multiLevelType w:val="singleLevel"/>
    <w:tmpl w:val="FE48DC38"/>
    <w:lvl w:ilvl="0">
      <w:start w:val="1"/>
      <w:numFmt w:val="bullet"/>
      <w:pStyle w:val="RecBullet"/>
      <w:lvlText w:val=""/>
      <w:lvlJc w:val="left"/>
      <w:pPr>
        <w:tabs>
          <w:tab w:val="num" w:pos="360"/>
        </w:tabs>
        <w:ind w:left="340" w:hanging="340"/>
      </w:pPr>
      <w:rPr>
        <w:rFonts w:ascii="Symbol" w:hAnsi="Symbol" w:hint="default"/>
        <w:b w:val="0"/>
        <w:i w:val="0"/>
        <w:sz w:val="18"/>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8">
    <w:abstractNumId w:val="6"/>
    <w:lvlOverride w:ilvl="0">
      <w:lvl w:ilvl="0">
        <w:start w:val="1"/>
        <w:numFmt w:val="bullet"/>
        <w:lvlText w:val=""/>
        <w:legacy w:legacy="1" w:legacySpace="0" w:legacyIndent="340"/>
        <w:lvlJc w:val="left"/>
        <w:pPr>
          <w:ind w:left="680" w:hanging="340"/>
        </w:pPr>
        <w:rPr>
          <w:rFonts w:ascii="Symbol" w:hAnsi="Symbol" w:hint="default"/>
        </w:rPr>
      </w:lvl>
    </w:lvlOverride>
  </w:num>
  <w:num w:numId="9">
    <w:abstractNumId w:val="6"/>
    <w:lvlOverride w:ilvl="0">
      <w:lvl w:ilvl="0">
        <w:start w:val="1"/>
        <w:numFmt w:val="bullet"/>
        <w:lvlText w:val=""/>
        <w:legacy w:legacy="1" w:legacySpace="0" w:legacyIndent="340"/>
        <w:lvlJc w:val="left"/>
        <w:pPr>
          <w:ind w:left="1020" w:hanging="340"/>
        </w:pPr>
        <w:rPr>
          <w:rFonts w:ascii="MT Extra" w:hAnsi="MT Extra" w:hint="default"/>
        </w:rPr>
      </w:lvl>
    </w:lvlOverride>
  </w:num>
  <w:num w:numId="10">
    <w:abstractNumId w:val="6"/>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11">
    <w:abstractNumId w:val="6"/>
    <w:lvlOverride w:ilvl="0">
      <w:lvl w:ilvl="0">
        <w:start w:val="1"/>
        <w:numFmt w:val="bullet"/>
        <w:lvlText w:val=""/>
        <w:legacy w:legacy="1" w:legacySpace="0" w:legacyIndent="283"/>
        <w:lvlJc w:val="left"/>
        <w:pPr>
          <w:ind w:left="283" w:hanging="283"/>
        </w:pPr>
        <w:rPr>
          <w:rFonts w:ascii="Symbol" w:hAnsi="Symbol" w:hint="default"/>
        </w:rPr>
      </w:lvl>
    </w:lvlOverride>
  </w:num>
  <w:num w:numId="12">
    <w:abstractNumId w:val="20"/>
  </w:num>
  <w:num w:numId="13">
    <w:abstractNumId w:val="15"/>
  </w:num>
  <w:num w:numId="14">
    <w:abstractNumId w:val="8"/>
  </w:num>
  <w:num w:numId="15">
    <w:abstractNumId w:val="21"/>
  </w:num>
  <w:num w:numId="16">
    <w:abstractNumId w:val="16"/>
  </w:num>
  <w:num w:numId="17">
    <w:abstractNumId w:val="7"/>
  </w:num>
  <w:num w:numId="18">
    <w:abstractNumId w:val="19"/>
  </w:num>
  <w:num w:numId="19">
    <w:abstractNumId w:val="18"/>
  </w:num>
  <w:num w:numId="20">
    <w:abstractNumId w:val="22"/>
  </w:num>
  <w:num w:numId="21">
    <w:abstractNumId w:val="13"/>
  </w:num>
  <w:num w:numId="22">
    <w:abstractNumId w:val="11"/>
  </w:num>
  <w:num w:numId="23">
    <w:abstractNumId w:val="17"/>
  </w:num>
  <w:num w:numId="24">
    <w:abstractNumId w:val="12"/>
  </w:num>
  <w:num w:numId="25">
    <w:abstractNumId w:val="10"/>
  </w:num>
  <w:num w:numId="26">
    <w:abstractNumId w:val="10"/>
  </w:num>
  <w:num w:numId="27">
    <w:abstractNumId w:val="10"/>
  </w:num>
  <w:num w:numId="28">
    <w:abstractNumId w:val="10"/>
  </w:num>
  <w:num w:numId="29">
    <w:abstractNumId w:val="14"/>
  </w:num>
  <w:num w:numId="3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proofState w:spelling="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3350"/>
    <w:rsid w:val="0000441F"/>
    <w:rsid w:val="000134DC"/>
    <w:rsid w:val="00017AFC"/>
    <w:rsid w:val="00025878"/>
    <w:rsid w:val="00026B38"/>
    <w:rsid w:val="000502D3"/>
    <w:rsid w:val="00052340"/>
    <w:rsid w:val="000623BF"/>
    <w:rsid w:val="00095EEA"/>
    <w:rsid w:val="00097C15"/>
    <w:rsid w:val="000A1618"/>
    <w:rsid w:val="000B416E"/>
    <w:rsid w:val="000C7512"/>
    <w:rsid w:val="000D6E7B"/>
    <w:rsid w:val="000E3C2B"/>
    <w:rsid w:val="000F185F"/>
    <w:rsid w:val="000F2F5F"/>
    <w:rsid w:val="00101946"/>
    <w:rsid w:val="00106041"/>
    <w:rsid w:val="00115E33"/>
    <w:rsid w:val="0013399B"/>
    <w:rsid w:val="0017066F"/>
    <w:rsid w:val="00181F4B"/>
    <w:rsid w:val="00196FB3"/>
    <w:rsid w:val="001A5071"/>
    <w:rsid w:val="001B4E73"/>
    <w:rsid w:val="001B7F1E"/>
    <w:rsid w:val="001D4B1F"/>
    <w:rsid w:val="001D6629"/>
    <w:rsid w:val="001E62FD"/>
    <w:rsid w:val="001F2270"/>
    <w:rsid w:val="00205A82"/>
    <w:rsid w:val="00211BEE"/>
    <w:rsid w:val="002179C6"/>
    <w:rsid w:val="00220C49"/>
    <w:rsid w:val="002513EF"/>
    <w:rsid w:val="00261607"/>
    <w:rsid w:val="00264D3B"/>
    <w:rsid w:val="00265685"/>
    <w:rsid w:val="00281D5F"/>
    <w:rsid w:val="00284DE0"/>
    <w:rsid w:val="00290798"/>
    <w:rsid w:val="002923AD"/>
    <w:rsid w:val="00296592"/>
    <w:rsid w:val="002A09E3"/>
    <w:rsid w:val="002A0A4B"/>
    <w:rsid w:val="002A7D53"/>
    <w:rsid w:val="002B636E"/>
    <w:rsid w:val="002B64D6"/>
    <w:rsid w:val="002C12F5"/>
    <w:rsid w:val="002D6FCE"/>
    <w:rsid w:val="002E2B62"/>
    <w:rsid w:val="002F1717"/>
    <w:rsid w:val="003B1C3E"/>
    <w:rsid w:val="003B41E0"/>
    <w:rsid w:val="003B4BEC"/>
    <w:rsid w:val="003D624D"/>
    <w:rsid w:val="003E7802"/>
    <w:rsid w:val="0041256C"/>
    <w:rsid w:val="0041257B"/>
    <w:rsid w:val="00424E3B"/>
    <w:rsid w:val="00433C81"/>
    <w:rsid w:val="00442D6C"/>
    <w:rsid w:val="00446D6B"/>
    <w:rsid w:val="00457B3F"/>
    <w:rsid w:val="00463022"/>
    <w:rsid w:val="004670F3"/>
    <w:rsid w:val="00481CF0"/>
    <w:rsid w:val="004A0D1C"/>
    <w:rsid w:val="004A3D33"/>
    <w:rsid w:val="004B492A"/>
    <w:rsid w:val="004C0B0C"/>
    <w:rsid w:val="004E52E2"/>
    <w:rsid w:val="004E6BB4"/>
    <w:rsid w:val="00515D43"/>
    <w:rsid w:val="0052544D"/>
    <w:rsid w:val="00526E1F"/>
    <w:rsid w:val="00551FB8"/>
    <w:rsid w:val="00560F43"/>
    <w:rsid w:val="005654D0"/>
    <w:rsid w:val="0056627F"/>
    <w:rsid w:val="005B17AB"/>
    <w:rsid w:val="005B1FCE"/>
    <w:rsid w:val="005C68FE"/>
    <w:rsid w:val="00602523"/>
    <w:rsid w:val="00604351"/>
    <w:rsid w:val="00607D8A"/>
    <w:rsid w:val="0061590F"/>
    <w:rsid w:val="00623DCF"/>
    <w:rsid w:val="00636497"/>
    <w:rsid w:val="00640F62"/>
    <w:rsid w:val="00641AE2"/>
    <w:rsid w:val="0064456A"/>
    <w:rsid w:val="00645D8A"/>
    <w:rsid w:val="00650DDA"/>
    <w:rsid w:val="0065126A"/>
    <w:rsid w:val="006621F1"/>
    <w:rsid w:val="00674C1D"/>
    <w:rsid w:val="006802D4"/>
    <w:rsid w:val="00683849"/>
    <w:rsid w:val="006850C7"/>
    <w:rsid w:val="00691AB5"/>
    <w:rsid w:val="006D20BA"/>
    <w:rsid w:val="006E1E6B"/>
    <w:rsid w:val="006E72B4"/>
    <w:rsid w:val="006F0EAC"/>
    <w:rsid w:val="006F6A85"/>
    <w:rsid w:val="006F6A87"/>
    <w:rsid w:val="0070328D"/>
    <w:rsid w:val="00704F3B"/>
    <w:rsid w:val="00721D53"/>
    <w:rsid w:val="00731F96"/>
    <w:rsid w:val="00734127"/>
    <w:rsid w:val="00735FEA"/>
    <w:rsid w:val="00743460"/>
    <w:rsid w:val="00743A27"/>
    <w:rsid w:val="00753DC6"/>
    <w:rsid w:val="0075578C"/>
    <w:rsid w:val="00761D2F"/>
    <w:rsid w:val="00762519"/>
    <w:rsid w:val="00766B2C"/>
    <w:rsid w:val="007734B5"/>
    <w:rsid w:val="007809B8"/>
    <w:rsid w:val="00782B4E"/>
    <w:rsid w:val="008206EE"/>
    <w:rsid w:val="008214B1"/>
    <w:rsid w:val="00836ED7"/>
    <w:rsid w:val="008453AC"/>
    <w:rsid w:val="008454CD"/>
    <w:rsid w:val="00853FB2"/>
    <w:rsid w:val="008578C4"/>
    <w:rsid w:val="00860D09"/>
    <w:rsid w:val="00862044"/>
    <w:rsid w:val="0086644E"/>
    <w:rsid w:val="008C305F"/>
    <w:rsid w:val="008C3AD2"/>
    <w:rsid w:val="008C7C3D"/>
    <w:rsid w:val="008D1B67"/>
    <w:rsid w:val="008D6F66"/>
    <w:rsid w:val="008E1BEA"/>
    <w:rsid w:val="008E43D2"/>
    <w:rsid w:val="008F04C9"/>
    <w:rsid w:val="008F7DB7"/>
    <w:rsid w:val="009064D3"/>
    <w:rsid w:val="00915300"/>
    <w:rsid w:val="00916103"/>
    <w:rsid w:val="00933B0C"/>
    <w:rsid w:val="00935676"/>
    <w:rsid w:val="009404F1"/>
    <w:rsid w:val="0095716F"/>
    <w:rsid w:val="009723E7"/>
    <w:rsid w:val="0098401D"/>
    <w:rsid w:val="009A789F"/>
    <w:rsid w:val="009B12EF"/>
    <w:rsid w:val="009B6185"/>
    <w:rsid w:val="009D3AF0"/>
    <w:rsid w:val="009E1E78"/>
    <w:rsid w:val="00A00FC3"/>
    <w:rsid w:val="00A1597D"/>
    <w:rsid w:val="00A46989"/>
    <w:rsid w:val="00A71CE9"/>
    <w:rsid w:val="00A72A19"/>
    <w:rsid w:val="00A73425"/>
    <w:rsid w:val="00A75A30"/>
    <w:rsid w:val="00A85FC4"/>
    <w:rsid w:val="00A874FD"/>
    <w:rsid w:val="00AB2A48"/>
    <w:rsid w:val="00AC3236"/>
    <w:rsid w:val="00AD29BD"/>
    <w:rsid w:val="00AD4874"/>
    <w:rsid w:val="00AE1707"/>
    <w:rsid w:val="00AE197D"/>
    <w:rsid w:val="00AE1F8A"/>
    <w:rsid w:val="00B03350"/>
    <w:rsid w:val="00B036B2"/>
    <w:rsid w:val="00B153C3"/>
    <w:rsid w:val="00B21576"/>
    <w:rsid w:val="00B22087"/>
    <w:rsid w:val="00B27937"/>
    <w:rsid w:val="00B3558F"/>
    <w:rsid w:val="00B45788"/>
    <w:rsid w:val="00B722F2"/>
    <w:rsid w:val="00B95339"/>
    <w:rsid w:val="00BB334E"/>
    <w:rsid w:val="00BB5DCF"/>
    <w:rsid w:val="00BD4FE0"/>
    <w:rsid w:val="00BE363E"/>
    <w:rsid w:val="00BF59EA"/>
    <w:rsid w:val="00BF79CD"/>
    <w:rsid w:val="00C057AC"/>
    <w:rsid w:val="00C0721B"/>
    <w:rsid w:val="00C25485"/>
    <w:rsid w:val="00C34C8C"/>
    <w:rsid w:val="00C449D8"/>
    <w:rsid w:val="00C50792"/>
    <w:rsid w:val="00C51E45"/>
    <w:rsid w:val="00C55A45"/>
    <w:rsid w:val="00C562C0"/>
    <w:rsid w:val="00C904D9"/>
    <w:rsid w:val="00C94C06"/>
    <w:rsid w:val="00C9579B"/>
    <w:rsid w:val="00CA48BF"/>
    <w:rsid w:val="00CA581C"/>
    <w:rsid w:val="00CB3ACC"/>
    <w:rsid w:val="00CB4745"/>
    <w:rsid w:val="00CD2163"/>
    <w:rsid w:val="00CD4FE7"/>
    <w:rsid w:val="00CE5D96"/>
    <w:rsid w:val="00CE7344"/>
    <w:rsid w:val="00CF26EE"/>
    <w:rsid w:val="00D310F0"/>
    <w:rsid w:val="00D500A9"/>
    <w:rsid w:val="00D64121"/>
    <w:rsid w:val="00D65D44"/>
    <w:rsid w:val="00D732FE"/>
    <w:rsid w:val="00D772E9"/>
    <w:rsid w:val="00D8563F"/>
    <w:rsid w:val="00DA31AB"/>
    <w:rsid w:val="00DA3281"/>
    <w:rsid w:val="00DA6D3E"/>
    <w:rsid w:val="00DC02E8"/>
    <w:rsid w:val="00DC3E29"/>
    <w:rsid w:val="00DC75C7"/>
    <w:rsid w:val="00DC78D3"/>
    <w:rsid w:val="00DE22CA"/>
    <w:rsid w:val="00DF4592"/>
    <w:rsid w:val="00E129D4"/>
    <w:rsid w:val="00E15FDC"/>
    <w:rsid w:val="00E2651B"/>
    <w:rsid w:val="00E50EFA"/>
    <w:rsid w:val="00E57DFD"/>
    <w:rsid w:val="00E6632E"/>
    <w:rsid w:val="00E67111"/>
    <w:rsid w:val="00E75018"/>
    <w:rsid w:val="00E90CF2"/>
    <w:rsid w:val="00EB7544"/>
    <w:rsid w:val="00ED0F61"/>
    <w:rsid w:val="00EE30ED"/>
    <w:rsid w:val="00EE62B3"/>
    <w:rsid w:val="00EE73E1"/>
    <w:rsid w:val="00EE7DFB"/>
    <w:rsid w:val="00EF1A6E"/>
    <w:rsid w:val="00F0201B"/>
    <w:rsid w:val="00F12107"/>
    <w:rsid w:val="00F12FB8"/>
    <w:rsid w:val="00F13165"/>
    <w:rsid w:val="00F24EEE"/>
    <w:rsid w:val="00F7477E"/>
    <w:rsid w:val="00F85393"/>
    <w:rsid w:val="00FA4A24"/>
    <w:rsid w:val="00FB5137"/>
    <w:rsid w:val="00FC41B4"/>
    <w:rsid w:val="00FC5A6B"/>
    <w:rsid w:val="00FD4728"/>
    <w:rsid w:val="00FF67E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country-region"/>
  <w:smartTagType w:namespaceuri="urn:schemas-microsoft-com:office:smarttags" w:name="City"/>
  <w:smartTagType w:namespaceuri="urn:schemas-microsoft-com:office:smarttags" w:name="place"/>
  <w:smartTagType w:namespaceuri="urn:schemas-microsoft-com:office:smarttags" w:name="Street"/>
  <w:smartTagType w:namespaceuri="urn:schemas-microsoft-com:office:smarttags" w:name="addres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qFormat/>
    <w:pPr>
      <w:spacing w:before="240" w:after="60"/>
      <w:outlineLvl w:val="5"/>
    </w:pPr>
    <w:rPr>
      <w:i/>
      <w:sz w:val="22"/>
    </w:rPr>
  </w:style>
  <w:style w:type="paragraph" w:styleId="Heading7">
    <w:name w:val="heading 7"/>
    <w:basedOn w:val="Normal"/>
    <w:next w:val="Normal"/>
    <w:qFormat/>
    <w:pPr>
      <w:spacing w:before="240" w:after="60"/>
      <w:outlineLvl w:val="6"/>
    </w:pPr>
    <w:rPr>
      <w:rFonts w:ascii="Arial" w:hAnsi="Arial"/>
      <w:sz w:val="20"/>
    </w:rPr>
  </w:style>
  <w:style w:type="paragraph" w:styleId="Heading8">
    <w:name w:val="heading 8"/>
    <w:basedOn w:val="Normal"/>
    <w:next w:val="Normal"/>
    <w:qFormat/>
    <w:pPr>
      <w:spacing w:before="240" w:after="60"/>
      <w:outlineLvl w:val="7"/>
    </w:pPr>
    <w:rPr>
      <w:rFonts w:ascii="Arial" w:hAnsi="Arial"/>
      <w:i/>
      <w:sz w:val="20"/>
    </w:rPr>
  </w:style>
  <w:style w:type="paragraph" w:styleId="Heading9">
    <w:name w:val="heading 9"/>
    <w:basedOn w:val="Normal"/>
    <w:next w:val="Normal"/>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rsid w:val="00F13165"/>
    <w:pPr>
      <w:spacing w:before="240" w:line="320" w:lineRule="exact"/>
      <w:jc w:val="both"/>
    </w:pPr>
    <w:rPr>
      <w:sz w:val="26"/>
      <w:lang w:eastAsia="en-US"/>
    </w:rPr>
  </w:style>
  <w:style w:type="paragraph" w:customStyle="1" w:styleId="Abbreviation">
    <w:name w:val="Abbreviation"/>
    <w:basedOn w:val="BodyText"/>
    <w:pPr>
      <w:spacing w:before="120"/>
      <w:ind w:left="2381" w:hanging="2381"/>
      <w:jc w:val="left"/>
    </w:pPr>
  </w:style>
  <w:style w:type="paragraph" w:customStyle="1" w:styleId="Box">
    <w:name w:val="Box"/>
    <w:basedOn w:val="BodyText"/>
    <w:pPr>
      <w:keepNext/>
      <w:spacing w:before="120" w:line="280" w:lineRule="atLeast"/>
    </w:pPr>
    <w:rPr>
      <w:rFonts w:ascii="Arial" w:hAnsi="Arial"/>
      <w:sz w:val="22"/>
    </w:rPr>
  </w:style>
  <w:style w:type="paragraph" w:customStyle="1" w:styleId="Note">
    <w:name w:val="Note"/>
    <w:basedOn w:val="BodyText"/>
    <w:next w:val="Normal"/>
    <w:pPr>
      <w:keepLines/>
      <w:spacing w:before="80" w:line="220" w:lineRule="exact"/>
    </w:pPr>
    <w:rPr>
      <w:rFonts w:ascii="Arial" w:hAnsi="Arial"/>
      <w:sz w:val="18"/>
    </w:rPr>
  </w:style>
  <w:style w:type="paragraph" w:customStyle="1" w:styleId="Source">
    <w:name w:val="Source"/>
    <w:basedOn w:val="Note"/>
    <w:next w:val="BodyText"/>
    <w:pPr>
      <w:spacing w:after="120"/>
    </w:pPr>
  </w:style>
  <w:style w:type="paragraph" w:customStyle="1" w:styleId="BoxSource">
    <w:name w:val="Box Source"/>
    <w:basedOn w:val="Source"/>
    <w:next w:val="BodyText"/>
    <w:pPr>
      <w:spacing w:before="180" w:after="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x"/>
    <w:next w:val="Box"/>
    <w:pPr>
      <w:spacing w:before="200"/>
    </w:pPr>
    <w:rPr>
      <w:b/>
    </w:rPr>
  </w:style>
  <w:style w:type="paragraph" w:customStyle="1" w:styleId="BoxHeading2">
    <w:name w:val="Box Heading 2"/>
    <w:basedOn w:val="BoxHeading1"/>
    <w:next w:val="Box"/>
    <w:rPr>
      <w:b w:val="0"/>
      <w:i/>
    </w:rPr>
  </w:style>
  <w:style w:type="paragraph" w:customStyle="1" w:styleId="BoxListBullet">
    <w:name w:val="Box List Bullet"/>
    <w:basedOn w:val="Box"/>
    <w:rsid w:val="00DC78D3"/>
    <w:pPr>
      <w:numPr>
        <w:numId w:val="13"/>
      </w:numPr>
      <w:tabs>
        <w:tab w:val="clear" w:pos="360"/>
        <w:tab w:val="left" w:pos="284"/>
      </w:tabs>
      <w:spacing w:before="60"/>
      <w:ind w:left="0" w:firstLine="0"/>
    </w:pPr>
  </w:style>
  <w:style w:type="paragraph" w:customStyle="1" w:styleId="BoxListBullet2">
    <w:name w:val="Box List Bullet 2"/>
    <w:basedOn w:val="Box"/>
    <w:pPr>
      <w:numPr>
        <w:numId w:val="14"/>
      </w:numPr>
      <w:tabs>
        <w:tab w:val="left" w:pos="284"/>
        <w:tab w:val="left" w:pos="567"/>
      </w:tabs>
      <w:spacing w:before="60"/>
      <w:ind w:left="568" w:firstLine="0"/>
    </w:pPr>
  </w:style>
  <w:style w:type="paragraph" w:customStyle="1" w:styleId="BoxListNumber">
    <w:name w:val="Box List Number"/>
    <w:basedOn w:val="Box"/>
    <w:rsid w:val="00DC78D3"/>
    <w:pPr>
      <w:numPr>
        <w:numId w:val="29"/>
      </w:numPr>
      <w:tabs>
        <w:tab w:val="num" w:pos="360"/>
      </w:tabs>
      <w:spacing w:before="60"/>
      <w:ind w:left="357" w:hanging="357"/>
    </w:pPr>
  </w:style>
  <w:style w:type="paragraph" w:customStyle="1" w:styleId="BoxListNumber2">
    <w:name w:val="Box List Number 2"/>
    <w:basedOn w:val="Normal"/>
    <w:rsid w:val="00743A27"/>
    <w:pPr>
      <w:keepNext/>
      <w:numPr>
        <w:ilvl w:val="1"/>
        <w:numId w:val="30"/>
      </w:numPr>
      <w:spacing w:before="60" w:line="280" w:lineRule="atLeast"/>
      <w:jc w:val="both"/>
    </w:pPr>
    <w:rPr>
      <w:rFonts w:ascii="Arial" w:hAnsi="Arial"/>
      <w:sz w:val="22"/>
      <w:lang w:eastAsia="en-AU"/>
    </w:rPr>
  </w:style>
  <w:style w:type="paragraph" w:customStyle="1" w:styleId="BoxQuote">
    <w:name w:val="Box Quote"/>
    <w:basedOn w:val="Box"/>
    <w:next w:val="Box"/>
    <w:pPr>
      <w:spacing w:before="60" w:line="260" w:lineRule="exact"/>
      <w:ind w:left="284"/>
    </w:pPr>
    <w:rPr>
      <w:sz w:val="20"/>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041"/>
    <w:pPr>
      <w:spacing w:before="120" w:after="0"/>
      <w:ind w:left="1304" w:hanging="1304"/>
    </w:pPr>
    <w:rPr>
      <w:b w:val="0"/>
    </w:rPr>
  </w:style>
  <w:style w:type="paragraph" w:customStyle="1" w:styleId="BoxSubtitle">
    <w:name w:val="Box Subtitle"/>
    <w:basedOn w:val="BoxTitle"/>
    <w:next w:val="Box"/>
    <w:pPr>
      <w:spacing w:after="80" w:line="200" w:lineRule="exact"/>
      <w:ind w:firstLine="0"/>
    </w:pPr>
    <w:rPr>
      <w:b/>
      <w:sz w:val="20"/>
    </w:rPr>
  </w:style>
  <w:style w:type="paragraph" w:customStyle="1" w:styleId="Chapter">
    <w:name w:val="Chapter"/>
    <w:basedOn w:val="Heading1"/>
    <w:next w:val="BodyText"/>
    <w:semiHidden/>
    <w:pPr>
      <w:ind w:left="0" w:firstLine="0"/>
      <w:outlineLvl w:val="9"/>
    </w:pPr>
  </w:style>
  <w:style w:type="paragraph" w:customStyle="1" w:styleId="ChapterSummary">
    <w:name w:val="Chapter Summary"/>
    <w:basedOn w:val="BodyText"/>
    <w:semiHidden/>
    <w:pPr>
      <w:ind w:left="907"/>
    </w:pPr>
    <w:rPr>
      <w:rFonts w:ascii="Arial" w:hAnsi="Arial"/>
      <w:b/>
      <w:sz w:val="22"/>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BoxContinued"/>
    <w:next w:val="BodyText"/>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pPr>
      <w:spacing w:before="80" w:line="200" w:lineRule="exact"/>
      <w:ind w:right="6"/>
    </w:pPr>
    <w:rPr>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041"/>
    <w:rPr>
      <w:b w:val="0"/>
    </w:rPr>
  </w:style>
  <w:style w:type="paragraph" w:styleId="Subtitle">
    <w:name w:val="Subtitle"/>
    <w:basedOn w:val="Caption"/>
    <w:qFormat/>
    <w:pPr>
      <w:spacing w:before="0" w:line="200" w:lineRule="exact"/>
      <w:ind w:firstLine="0"/>
    </w:pPr>
    <w:rPr>
      <w:b w:val="0"/>
      <w:sz w:val="20"/>
    </w:rPr>
  </w:style>
  <w:style w:type="paragraph" w:customStyle="1" w:styleId="Finding">
    <w:name w:val="Finding"/>
    <w:basedOn w:val="BodyText"/>
    <w:pPr>
      <w:spacing w:before="180"/>
    </w:pPr>
    <w:rPr>
      <w:i/>
    </w:rPr>
  </w:style>
  <w:style w:type="paragraph" w:customStyle="1" w:styleId="FindingBullet">
    <w:name w:val="Finding Bullet"/>
    <w:basedOn w:val="Finding"/>
    <w:pPr>
      <w:numPr>
        <w:numId w:val="15"/>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pPr>
      <w:keepNext/>
      <w:framePr w:hSpace="181" w:wrap="notBeside" w:vAnchor="text" w:hAnchor="text" w:xAlign="outside" w:y="1"/>
    </w:pPr>
    <w:rPr>
      <w:caps/>
      <w:sz w:val="16"/>
    </w:rPr>
  </w:style>
  <w:style w:type="paragraph" w:customStyle="1" w:styleId="FindingTitle">
    <w:name w:val="Finding Title"/>
    <w:basedOn w:val="RecTitle"/>
    <w:next w:val="Finding"/>
    <w:pPr>
      <w:framePr w:wrap="notBeside"/>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semiHidden/>
    <w:pPr>
      <w:spacing w:before="360" w:after="120"/>
    </w:pPr>
    <w:rPr>
      <w:rFonts w:ascii="Arial" w:hAnsi="Arial"/>
      <w:sz w:val="24"/>
    </w:rPr>
  </w:style>
  <w:style w:type="paragraph" w:styleId="ListBullet">
    <w:name w:val="List Bullet"/>
    <w:basedOn w:val="BodyText"/>
    <w:rsid w:val="005654D0"/>
    <w:pPr>
      <w:numPr>
        <w:numId w:val="16"/>
      </w:numPr>
      <w:tabs>
        <w:tab w:val="clear" w:pos="360"/>
        <w:tab w:val="left" w:pos="340"/>
      </w:tabs>
      <w:spacing w:before="120"/>
      <w:ind w:left="0" w:firstLine="0"/>
    </w:pPr>
  </w:style>
  <w:style w:type="paragraph" w:styleId="ListBullet2">
    <w:name w:val="List Bullet 2"/>
    <w:basedOn w:val="BodyText"/>
    <w:rsid w:val="005654D0"/>
    <w:pPr>
      <w:numPr>
        <w:numId w:val="17"/>
      </w:numPr>
      <w:tabs>
        <w:tab w:val="clear" w:pos="644"/>
        <w:tab w:val="num" w:pos="360"/>
        <w:tab w:val="left" w:pos="680"/>
      </w:tabs>
      <w:spacing w:before="120"/>
      <w:ind w:left="680" w:hanging="340"/>
    </w:pPr>
  </w:style>
  <w:style w:type="paragraph" w:styleId="ListBullet3">
    <w:name w:val="List Bullet 3"/>
    <w:basedOn w:val="BodyText"/>
    <w:rsid w:val="005654D0"/>
    <w:pPr>
      <w:numPr>
        <w:numId w:val="18"/>
      </w:numPr>
      <w:tabs>
        <w:tab w:val="clear" w:pos="360"/>
        <w:tab w:val="left" w:pos="1021"/>
      </w:tabs>
      <w:spacing w:before="120"/>
      <w:ind w:left="1020" w:firstLine="0"/>
    </w:pPr>
  </w:style>
  <w:style w:type="paragraph" w:styleId="ListNumber">
    <w:name w:val="List Number"/>
    <w:basedOn w:val="BodyText"/>
    <w:rsid w:val="005654D0"/>
    <w:pPr>
      <w:numPr>
        <w:numId w:val="28"/>
      </w:numPr>
      <w:tabs>
        <w:tab w:val="clear" w:pos="340"/>
        <w:tab w:val="num" w:pos="360"/>
      </w:tabs>
      <w:spacing w:before="120" w:line="320" w:lineRule="atLeast"/>
      <w:ind w:left="0" w:firstLine="0"/>
    </w:pPr>
    <w:rPr>
      <w:lang w:eastAsia="en-AU"/>
    </w:rPr>
  </w:style>
  <w:style w:type="paragraph" w:styleId="ListNumber2">
    <w:name w:val="List Number 2"/>
    <w:basedOn w:val="ListNumber"/>
    <w:rsid w:val="000F2F5F"/>
    <w:pPr>
      <w:numPr>
        <w:ilvl w:val="1"/>
      </w:numPr>
      <w:tabs>
        <w:tab w:val="num" w:pos="360"/>
        <w:tab w:val="left" w:pos="794"/>
      </w:tabs>
      <w:ind w:left="0" w:firstLine="0"/>
    </w:pPr>
  </w:style>
  <w:style w:type="paragraph" w:styleId="ListNumber3">
    <w:name w:val="List Number 3"/>
    <w:basedOn w:val="ListNumber2"/>
    <w:rsid w:val="000F2F5F"/>
    <w:pPr>
      <w:numPr>
        <w:ilvl w:val="2"/>
      </w:numPr>
      <w:tabs>
        <w:tab w:val="clear" w:pos="794"/>
      </w:tabs>
      <w:ind w:left="1248" w:hanging="454"/>
    </w:pPr>
  </w:style>
  <w:style w:type="character" w:customStyle="1" w:styleId="NoteLabel">
    <w:name w:val="Note Label"/>
    <w:rPr>
      <w:rFonts w:ascii="Arial" w:hAnsi="Arial"/>
      <w:b/>
      <w:position w:val="6"/>
      <w:sz w:val="18"/>
    </w:rPr>
  </w:style>
  <w:style w:type="character" w:styleId="PageNumber">
    <w:name w:val="page number"/>
    <w:rsid w:val="00C0721B"/>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qFormat/>
    <w:pPr>
      <w:spacing w:before="120" w:line="280" w:lineRule="exact"/>
      <w:ind w:left="340"/>
    </w:pPr>
    <w:rPr>
      <w:sz w:val="24"/>
    </w:rPr>
  </w:style>
  <w:style w:type="paragraph" w:customStyle="1" w:styleId="Rec">
    <w:name w:val="Rec"/>
    <w:basedOn w:val="BodyText"/>
    <w:pPr>
      <w:spacing w:before="180"/>
    </w:pPr>
    <w:rPr>
      <w:b/>
      <w:i/>
    </w:rPr>
  </w:style>
  <w:style w:type="paragraph" w:customStyle="1" w:styleId="RecBullet">
    <w:name w:val="Rec Bullet"/>
    <w:basedOn w:val="Rec"/>
    <w:pPr>
      <w:numPr>
        <w:numId w:val="20"/>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pPr>
      <w:numPr>
        <w:numId w:val="23"/>
      </w:numPr>
      <w:tabs>
        <w:tab w:val="left" w:pos="170"/>
      </w:tabs>
      <w:jc w:val="left"/>
    </w:pPr>
  </w:style>
  <w:style w:type="paragraph" w:customStyle="1" w:styleId="TableColumnHeading">
    <w:name w:val="Table Column Heading"/>
    <w:basedOn w:val="TableBodyText"/>
    <w:pPr>
      <w:spacing w:before="80" w:after="80"/>
    </w:pPr>
    <w:rPr>
      <w:i/>
    </w:rPr>
  </w:style>
  <w:style w:type="paragraph" w:styleId="TOC2">
    <w:name w:val="toc 2"/>
    <w:basedOn w:val="TOC1"/>
    <w:uiPriority w:val="39"/>
    <w:rsid w:val="00433C81"/>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rsid w:val="00106041"/>
    <w:rPr>
      <w:b w:val="0"/>
    </w:rPr>
  </w:style>
  <w:style w:type="paragraph" w:customStyle="1" w:styleId="TableUnitsRow">
    <w:name w:val="Table Units Row"/>
    <w:basedOn w:val="TableBodyText"/>
    <w:pPr>
      <w:spacing w:before="80" w:after="80"/>
    </w:pPr>
  </w:style>
  <w:style w:type="paragraph" w:styleId="TOC1">
    <w:name w:val="toc 1"/>
    <w:basedOn w:val="Normal"/>
    <w:next w:val="TOC2"/>
    <w:uiPriority w:val="39"/>
    <w:rsid w:val="00D772E9"/>
    <w:pPr>
      <w:tabs>
        <w:tab w:val="right" w:pos="8789"/>
      </w:tabs>
      <w:spacing w:before="120" w:line="320" w:lineRule="exact"/>
      <w:ind w:left="510" w:right="851" w:hanging="510"/>
    </w:pPr>
    <w:rPr>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pPr>
      <w:numPr>
        <w:numId w:val="19"/>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link w:val="BodyText"/>
    <w:locked/>
    <w:rsid w:val="007809B8"/>
    <w:rPr>
      <w:sz w:val="26"/>
      <w:lang w:val="en-AU" w:eastAsia="en-US" w:bidi="ar-SA"/>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3B41E0"/>
    <w:pPr>
      <w:tabs>
        <w:tab w:val="left" w:pos="866"/>
      </w:tabs>
      <w:spacing w:after="60"/>
    </w:pPr>
    <w:rPr>
      <w:rFonts w:ascii="GoudyOlSt BT" w:hAnsi="GoudyOlSt BT"/>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rPr>
      <w:sz w:val="24"/>
      <w:lang w:eastAsia="en-AU"/>
    </w:rPr>
  </w:style>
  <w:style w:type="paragraph" w:customStyle="1" w:styleId="LetterAddress">
    <w:name w:val="Letter Address"/>
    <w:basedOn w:val="BodyText"/>
    <w:rsid w:val="003B41E0"/>
    <w:pPr>
      <w:spacing w:before="0" w:line="240" w:lineRule="auto"/>
      <w:jc w:val="left"/>
    </w:pPr>
    <w:rPr>
      <w:sz w:val="24"/>
      <w:lang w:eastAsia="en-AU"/>
    </w:rPr>
  </w:style>
  <w:style w:type="character" w:customStyle="1" w:styleId="FooterChar">
    <w:name w:val="Footer Char"/>
    <w:basedOn w:val="DefaultParagraphFont"/>
    <w:link w:val="Footer"/>
    <w:rsid w:val="00B03350"/>
    <w:rPr>
      <w:caps/>
      <w:spacing w:val="-4"/>
      <w:sz w:val="16"/>
      <w:lang w:eastAsia="en-US"/>
    </w:rPr>
  </w:style>
  <w:style w:type="character" w:customStyle="1" w:styleId="Heading1Char">
    <w:name w:val="Heading 1 Char"/>
    <w:basedOn w:val="DefaultParagraphFont"/>
    <w:link w:val="Heading1"/>
    <w:rsid w:val="00B03350"/>
    <w:rPr>
      <w:kern w:val="28"/>
      <w:sz w:val="52"/>
      <w:lang w:eastAsia="en-US"/>
    </w:rPr>
  </w:style>
  <w:style w:type="paragraph" w:styleId="NoSpacing">
    <w:name w:val="No Spacing"/>
    <w:link w:val="NoSpacingChar"/>
    <w:uiPriority w:val="1"/>
    <w:qFormat/>
    <w:rsid w:val="006D20BA"/>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1"/>
    <w:rsid w:val="006D20BA"/>
    <w:rPr>
      <w:rFonts w:asciiTheme="minorHAnsi" w:eastAsiaTheme="minorEastAsia" w:hAnsiTheme="minorHAnsi" w:cstheme="minorBidi"/>
      <w:sz w:val="22"/>
      <w:szCs w:val="22"/>
      <w:lang w:val="en-US" w:eastAsia="ja-JP"/>
    </w:rPr>
  </w:style>
  <w:style w:type="character" w:styleId="Hyperlink">
    <w:name w:val="Hyperlink"/>
    <w:basedOn w:val="DefaultParagraphFont"/>
    <w:unhideWhenUsed/>
    <w:rsid w:val="006D20BA"/>
    <w:rPr>
      <w:rFonts w:ascii="Times New Roman" w:hAnsi="Times New Roman" w:cs="Times New Roman" w:hint="default"/>
      <w:color w:val="00000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qFormat/>
    <w:pPr>
      <w:spacing w:before="240" w:after="60"/>
      <w:outlineLvl w:val="5"/>
    </w:pPr>
    <w:rPr>
      <w:i/>
      <w:sz w:val="22"/>
    </w:rPr>
  </w:style>
  <w:style w:type="paragraph" w:styleId="Heading7">
    <w:name w:val="heading 7"/>
    <w:basedOn w:val="Normal"/>
    <w:next w:val="Normal"/>
    <w:qFormat/>
    <w:pPr>
      <w:spacing w:before="240" w:after="60"/>
      <w:outlineLvl w:val="6"/>
    </w:pPr>
    <w:rPr>
      <w:rFonts w:ascii="Arial" w:hAnsi="Arial"/>
      <w:sz w:val="20"/>
    </w:rPr>
  </w:style>
  <w:style w:type="paragraph" w:styleId="Heading8">
    <w:name w:val="heading 8"/>
    <w:basedOn w:val="Normal"/>
    <w:next w:val="Normal"/>
    <w:qFormat/>
    <w:pPr>
      <w:spacing w:before="240" w:after="60"/>
      <w:outlineLvl w:val="7"/>
    </w:pPr>
    <w:rPr>
      <w:rFonts w:ascii="Arial" w:hAnsi="Arial"/>
      <w:i/>
      <w:sz w:val="20"/>
    </w:rPr>
  </w:style>
  <w:style w:type="paragraph" w:styleId="Heading9">
    <w:name w:val="heading 9"/>
    <w:basedOn w:val="Normal"/>
    <w:next w:val="Normal"/>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rsid w:val="00F13165"/>
    <w:pPr>
      <w:spacing w:before="240" w:line="320" w:lineRule="exact"/>
      <w:jc w:val="both"/>
    </w:pPr>
    <w:rPr>
      <w:sz w:val="26"/>
      <w:lang w:eastAsia="en-US"/>
    </w:rPr>
  </w:style>
  <w:style w:type="paragraph" w:customStyle="1" w:styleId="Abbreviation">
    <w:name w:val="Abbreviation"/>
    <w:basedOn w:val="BodyText"/>
    <w:pPr>
      <w:spacing w:before="120"/>
      <w:ind w:left="2381" w:hanging="2381"/>
      <w:jc w:val="left"/>
    </w:pPr>
  </w:style>
  <w:style w:type="paragraph" w:customStyle="1" w:styleId="Box">
    <w:name w:val="Box"/>
    <w:basedOn w:val="BodyText"/>
    <w:pPr>
      <w:keepNext/>
      <w:spacing w:before="120" w:line="280" w:lineRule="atLeast"/>
    </w:pPr>
    <w:rPr>
      <w:rFonts w:ascii="Arial" w:hAnsi="Arial"/>
      <w:sz w:val="22"/>
    </w:rPr>
  </w:style>
  <w:style w:type="paragraph" w:customStyle="1" w:styleId="Note">
    <w:name w:val="Note"/>
    <w:basedOn w:val="BodyText"/>
    <w:next w:val="Normal"/>
    <w:pPr>
      <w:keepLines/>
      <w:spacing w:before="80" w:line="220" w:lineRule="exact"/>
    </w:pPr>
    <w:rPr>
      <w:rFonts w:ascii="Arial" w:hAnsi="Arial"/>
      <w:sz w:val="18"/>
    </w:rPr>
  </w:style>
  <w:style w:type="paragraph" w:customStyle="1" w:styleId="Source">
    <w:name w:val="Source"/>
    <w:basedOn w:val="Note"/>
    <w:next w:val="BodyText"/>
    <w:pPr>
      <w:spacing w:after="120"/>
    </w:pPr>
  </w:style>
  <w:style w:type="paragraph" w:customStyle="1" w:styleId="BoxSource">
    <w:name w:val="Box Source"/>
    <w:basedOn w:val="Source"/>
    <w:next w:val="BodyText"/>
    <w:pPr>
      <w:spacing w:before="180" w:after="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x"/>
    <w:next w:val="Box"/>
    <w:pPr>
      <w:spacing w:before="200"/>
    </w:pPr>
    <w:rPr>
      <w:b/>
    </w:rPr>
  </w:style>
  <w:style w:type="paragraph" w:customStyle="1" w:styleId="BoxHeading2">
    <w:name w:val="Box Heading 2"/>
    <w:basedOn w:val="BoxHeading1"/>
    <w:next w:val="Box"/>
    <w:rPr>
      <w:b w:val="0"/>
      <w:i/>
    </w:rPr>
  </w:style>
  <w:style w:type="paragraph" w:customStyle="1" w:styleId="BoxListBullet">
    <w:name w:val="Box List Bullet"/>
    <w:basedOn w:val="Box"/>
    <w:rsid w:val="00DC78D3"/>
    <w:pPr>
      <w:numPr>
        <w:numId w:val="13"/>
      </w:numPr>
      <w:tabs>
        <w:tab w:val="clear" w:pos="360"/>
        <w:tab w:val="left" w:pos="284"/>
      </w:tabs>
      <w:spacing w:before="60"/>
      <w:ind w:left="0" w:firstLine="0"/>
    </w:pPr>
  </w:style>
  <w:style w:type="paragraph" w:customStyle="1" w:styleId="BoxListBullet2">
    <w:name w:val="Box List Bullet 2"/>
    <w:basedOn w:val="Box"/>
    <w:pPr>
      <w:numPr>
        <w:numId w:val="14"/>
      </w:numPr>
      <w:tabs>
        <w:tab w:val="left" w:pos="284"/>
        <w:tab w:val="left" w:pos="567"/>
      </w:tabs>
      <w:spacing w:before="60"/>
      <w:ind w:left="568" w:firstLine="0"/>
    </w:pPr>
  </w:style>
  <w:style w:type="paragraph" w:customStyle="1" w:styleId="BoxListNumber">
    <w:name w:val="Box List Number"/>
    <w:basedOn w:val="Box"/>
    <w:rsid w:val="00DC78D3"/>
    <w:pPr>
      <w:numPr>
        <w:numId w:val="29"/>
      </w:numPr>
      <w:tabs>
        <w:tab w:val="num" w:pos="360"/>
      </w:tabs>
      <w:spacing w:before="60"/>
      <w:ind w:left="357" w:hanging="357"/>
    </w:pPr>
  </w:style>
  <w:style w:type="paragraph" w:customStyle="1" w:styleId="BoxListNumber2">
    <w:name w:val="Box List Number 2"/>
    <w:basedOn w:val="Normal"/>
    <w:rsid w:val="00743A27"/>
    <w:pPr>
      <w:keepNext/>
      <w:numPr>
        <w:ilvl w:val="1"/>
        <w:numId w:val="30"/>
      </w:numPr>
      <w:spacing w:before="60" w:line="280" w:lineRule="atLeast"/>
      <w:jc w:val="both"/>
    </w:pPr>
    <w:rPr>
      <w:rFonts w:ascii="Arial" w:hAnsi="Arial"/>
      <w:sz w:val="22"/>
      <w:lang w:eastAsia="en-AU"/>
    </w:rPr>
  </w:style>
  <w:style w:type="paragraph" w:customStyle="1" w:styleId="BoxQuote">
    <w:name w:val="Box Quote"/>
    <w:basedOn w:val="Box"/>
    <w:next w:val="Box"/>
    <w:pPr>
      <w:spacing w:before="60" w:line="260" w:lineRule="exact"/>
      <w:ind w:left="284"/>
    </w:pPr>
    <w:rPr>
      <w:sz w:val="20"/>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041"/>
    <w:pPr>
      <w:spacing w:before="120" w:after="0"/>
      <w:ind w:left="1304" w:hanging="1304"/>
    </w:pPr>
    <w:rPr>
      <w:b w:val="0"/>
    </w:rPr>
  </w:style>
  <w:style w:type="paragraph" w:customStyle="1" w:styleId="BoxSubtitle">
    <w:name w:val="Box Subtitle"/>
    <w:basedOn w:val="BoxTitle"/>
    <w:next w:val="Box"/>
    <w:pPr>
      <w:spacing w:after="80" w:line="200" w:lineRule="exact"/>
      <w:ind w:firstLine="0"/>
    </w:pPr>
    <w:rPr>
      <w:b/>
      <w:sz w:val="20"/>
    </w:rPr>
  </w:style>
  <w:style w:type="paragraph" w:customStyle="1" w:styleId="Chapter">
    <w:name w:val="Chapter"/>
    <w:basedOn w:val="Heading1"/>
    <w:next w:val="BodyText"/>
    <w:semiHidden/>
    <w:pPr>
      <w:ind w:left="0" w:firstLine="0"/>
      <w:outlineLvl w:val="9"/>
    </w:pPr>
  </w:style>
  <w:style w:type="paragraph" w:customStyle="1" w:styleId="ChapterSummary">
    <w:name w:val="Chapter Summary"/>
    <w:basedOn w:val="BodyText"/>
    <w:semiHidden/>
    <w:pPr>
      <w:ind w:left="907"/>
    </w:pPr>
    <w:rPr>
      <w:rFonts w:ascii="Arial" w:hAnsi="Arial"/>
      <w:b/>
      <w:sz w:val="22"/>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BoxContinued"/>
    <w:next w:val="BodyText"/>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pPr>
      <w:spacing w:before="80" w:line="200" w:lineRule="exact"/>
      <w:ind w:right="6"/>
    </w:pPr>
    <w:rPr>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041"/>
    <w:rPr>
      <w:b w:val="0"/>
    </w:rPr>
  </w:style>
  <w:style w:type="paragraph" w:styleId="Subtitle">
    <w:name w:val="Subtitle"/>
    <w:basedOn w:val="Caption"/>
    <w:qFormat/>
    <w:pPr>
      <w:spacing w:before="0" w:line="200" w:lineRule="exact"/>
      <w:ind w:firstLine="0"/>
    </w:pPr>
    <w:rPr>
      <w:b w:val="0"/>
      <w:sz w:val="20"/>
    </w:rPr>
  </w:style>
  <w:style w:type="paragraph" w:customStyle="1" w:styleId="Finding">
    <w:name w:val="Finding"/>
    <w:basedOn w:val="BodyText"/>
    <w:pPr>
      <w:spacing w:before="180"/>
    </w:pPr>
    <w:rPr>
      <w:i/>
    </w:rPr>
  </w:style>
  <w:style w:type="paragraph" w:customStyle="1" w:styleId="FindingBullet">
    <w:name w:val="Finding Bullet"/>
    <w:basedOn w:val="Finding"/>
    <w:pPr>
      <w:numPr>
        <w:numId w:val="15"/>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pPr>
      <w:keepNext/>
      <w:framePr w:hSpace="181" w:wrap="notBeside" w:vAnchor="text" w:hAnchor="text" w:xAlign="outside" w:y="1"/>
    </w:pPr>
    <w:rPr>
      <w:caps/>
      <w:sz w:val="16"/>
    </w:rPr>
  </w:style>
  <w:style w:type="paragraph" w:customStyle="1" w:styleId="FindingTitle">
    <w:name w:val="Finding Title"/>
    <w:basedOn w:val="RecTitle"/>
    <w:next w:val="Finding"/>
    <w:pPr>
      <w:framePr w:wrap="notBeside"/>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semiHidden/>
    <w:pPr>
      <w:spacing w:before="360" w:after="120"/>
    </w:pPr>
    <w:rPr>
      <w:rFonts w:ascii="Arial" w:hAnsi="Arial"/>
      <w:sz w:val="24"/>
    </w:rPr>
  </w:style>
  <w:style w:type="paragraph" w:styleId="ListBullet">
    <w:name w:val="List Bullet"/>
    <w:basedOn w:val="BodyText"/>
    <w:rsid w:val="005654D0"/>
    <w:pPr>
      <w:numPr>
        <w:numId w:val="16"/>
      </w:numPr>
      <w:tabs>
        <w:tab w:val="clear" w:pos="360"/>
        <w:tab w:val="left" w:pos="340"/>
      </w:tabs>
      <w:spacing w:before="120"/>
      <w:ind w:left="0" w:firstLine="0"/>
    </w:pPr>
  </w:style>
  <w:style w:type="paragraph" w:styleId="ListBullet2">
    <w:name w:val="List Bullet 2"/>
    <w:basedOn w:val="BodyText"/>
    <w:rsid w:val="005654D0"/>
    <w:pPr>
      <w:numPr>
        <w:numId w:val="17"/>
      </w:numPr>
      <w:tabs>
        <w:tab w:val="clear" w:pos="644"/>
        <w:tab w:val="num" w:pos="360"/>
        <w:tab w:val="left" w:pos="680"/>
      </w:tabs>
      <w:spacing w:before="120"/>
      <w:ind w:left="680" w:hanging="340"/>
    </w:pPr>
  </w:style>
  <w:style w:type="paragraph" w:styleId="ListBullet3">
    <w:name w:val="List Bullet 3"/>
    <w:basedOn w:val="BodyText"/>
    <w:rsid w:val="005654D0"/>
    <w:pPr>
      <w:numPr>
        <w:numId w:val="18"/>
      </w:numPr>
      <w:tabs>
        <w:tab w:val="clear" w:pos="360"/>
        <w:tab w:val="left" w:pos="1021"/>
      </w:tabs>
      <w:spacing w:before="120"/>
      <w:ind w:left="1020" w:firstLine="0"/>
    </w:pPr>
  </w:style>
  <w:style w:type="paragraph" w:styleId="ListNumber">
    <w:name w:val="List Number"/>
    <w:basedOn w:val="BodyText"/>
    <w:rsid w:val="005654D0"/>
    <w:pPr>
      <w:numPr>
        <w:numId w:val="28"/>
      </w:numPr>
      <w:tabs>
        <w:tab w:val="clear" w:pos="340"/>
        <w:tab w:val="num" w:pos="360"/>
      </w:tabs>
      <w:spacing w:before="120" w:line="320" w:lineRule="atLeast"/>
      <w:ind w:left="0" w:firstLine="0"/>
    </w:pPr>
    <w:rPr>
      <w:lang w:eastAsia="en-AU"/>
    </w:rPr>
  </w:style>
  <w:style w:type="paragraph" w:styleId="ListNumber2">
    <w:name w:val="List Number 2"/>
    <w:basedOn w:val="ListNumber"/>
    <w:rsid w:val="000F2F5F"/>
    <w:pPr>
      <w:numPr>
        <w:ilvl w:val="1"/>
      </w:numPr>
      <w:tabs>
        <w:tab w:val="num" w:pos="360"/>
        <w:tab w:val="left" w:pos="794"/>
      </w:tabs>
      <w:ind w:left="0" w:firstLine="0"/>
    </w:pPr>
  </w:style>
  <w:style w:type="paragraph" w:styleId="ListNumber3">
    <w:name w:val="List Number 3"/>
    <w:basedOn w:val="ListNumber2"/>
    <w:rsid w:val="000F2F5F"/>
    <w:pPr>
      <w:numPr>
        <w:ilvl w:val="2"/>
      </w:numPr>
      <w:tabs>
        <w:tab w:val="clear" w:pos="794"/>
      </w:tabs>
      <w:ind w:left="1248" w:hanging="454"/>
    </w:pPr>
  </w:style>
  <w:style w:type="character" w:customStyle="1" w:styleId="NoteLabel">
    <w:name w:val="Note Label"/>
    <w:rPr>
      <w:rFonts w:ascii="Arial" w:hAnsi="Arial"/>
      <w:b/>
      <w:position w:val="6"/>
      <w:sz w:val="18"/>
    </w:rPr>
  </w:style>
  <w:style w:type="character" w:styleId="PageNumber">
    <w:name w:val="page number"/>
    <w:rsid w:val="00C0721B"/>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qFormat/>
    <w:pPr>
      <w:spacing w:before="120" w:line="280" w:lineRule="exact"/>
      <w:ind w:left="340"/>
    </w:pPr>
    <w:rPr>
      <w:sz w:val="24"/>
    </w:rPr>
  </w:style>
  <w:style w:type="paragraph" w:customStyle="1" w:styleId="Rec">
    <w:name w:val="Rec"/>
    <w:basedOn w:val="BodyText"/>
    <w:pPr>
      <w:spacing w:before="180"/>
    </w:pPr>
    <w:rPr>
      <w:b/>
      <w:i/>
    </w:rPr>
  </w:style>
  <w:style w:type="paragraph" w:customStyle="1" w:styleId="RecBullet">
    <w:name w:val="Rec Bullet"/>
    <w:basedOn w:val="Rec"/>
    <w:pPr>
      <w:numPr>
        <w:numId w:val="20"/>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pPr>
      <w:numPr>
        <w:numId w:val="23"/>
      </w:numPr>
      <w:tabs>
        <w:tab w:val="left" w:pos="170"/>
      </w:tabs>
      <w:jc w:val="left"/>
    </w:pPr>
  </w:style>
  <w:style w:type="paragraph" w:customStyle="1" w:styleId="TableColumnHeading">
    <w:name w:val="Table Column Heading"/>
    <w:basedOn w:val="TableBodyText"/>
    <w:pPr>
      <w:spacing w:before="80" w:after="80"/>
    </w:pPr>
    <w:rPr>
      <w:i/>
    </w:rPr>
  </w:style>
  <w:style w:type="paragraph" w:styleId="TOC2">
    <w:name w:val="toc 2"/>
    <w:basedOn w:val="TOC1"/>
    <w:uiPriority w:val="39"/>
    <w:rsid w:val="00433C81"/>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rsid w:val="00106041"/>
    <w:rPr>
      <w:b w:val="0"/>
    </w:rPr>
  </w:style>
  <w:style w:type="paragraph" w:customStyle="1" w:styleId="TableUnitsRow">
    <w:name w:val="Table Units Row"/>
    <w:basedOn w:val="TableBodyText"/>
    <w:pPr>
      <w:spacing w:before="80" w:after="80"/>
    </w:pPr>
  </w:style>
  <w:style w:type="paragraph" w:styleId="TOC1">
    <w:name w:val="toc 1"/>
    <w:basedOn w:val="Normal"/>
    <w:next w:val="TOC2"/>
    <w:uiPriority w:val="39"/>
    <w:rsid w:val="00D772E9"/>
    <w:pPr>
      <w:tabs>
        <w:tab w:val="right" w:pos="8789"/>
      </w:tabs>
      <w:spacing w:before="120" w:line="320" w:lineRule="exact"/>
      <w:ind w:left="510" w:right="851" w:hanging="510"/>
    </w:pPr>
    <w:rPr>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pPr>
      <w:numPr>
        <w:numId w:val="19"/>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link w:val="BodyText"/>
    <w:locked/>
    <w:rsid w:val="007809B8"/>
    <w:rPr>
      <w:sz w:val="26"/>
      <w:lang w:val="en-AU" w:eastAsia="en-US" w:bidi="ar-SA"/>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3B41E0"/>
    <w:pPr>
      <w:tabs>
        <w:tab w:val="left" w:pos="866"/>
      </w:tabs>
      <w:spacing w:after="60"/>
    </w:pPr>
    <w:rPr>
      <w:rFonts w:ascii="GoudyOlSt BT" w:hAnsi="GoudyOlSt BT"/>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rPr>
      <w:sz w:val="24"/>
      <w:lang w:eastAsia="en-AU"/>
    </w:rPr>
  </w:style>
  <w:style w:type="paragraph" w:customStyle="1" w:styleId="LetterAddress">
    <w:name w:val="Letter Address"/>
    <w:basedOn w:val="BodyText"/>
    <w:rsid w:val="003B41E0"/>
    <w:pPr>
      <w:spacing w:before="0" w:line="240" w:lineRule="auto"/>
      <w:jc w:val="left"/>
    </w:pPr>
    <w:rPr>
      <w:sz w:val="24"/>
      <w:lang w:eastAsia="en-AU"/>
    </w:rPr>
  </w:style>
  <w:style w:type="character" w:customStyle="1" w:styleId="FooterChar">
    <w:name w:val="Footer Char"/>
    <w:basedOn w:val="DefaultParagraphFont"/>
    <w:link w:val="Footer"/>
    <w:rsid w:val="00B03350"/>
    <w:rPr>
      <w:caps/>
      <w:spacing w:val="-4"/>
      <w:sz w:val="16"/>
      <w:lang w:eastAsia="en-US"/>
    </w:rPr>
  </w:style>
  <w:style w:type="character" w:customStyle="1" w:styleId="Heading1Char">
    <w:name w:val="Heading 1 Char"/>
    <w:basedOn w:val="DefaultParagraphFont"/>
    <w:link w:val="Heading1"/>
    <w:rsid w:val="00B03350"/>
    <w:rPr>
      <w:kern w:val="28"/>
      <w:sz w:val="52"/>
      <w:lang w:eastAsia="en-US"/>
    </w:rPr>
  </w:style>
  <w:style w:type="paragraph" w:styleId="NoSpacing">
    <w:name w:val="No Spacing"/>
    <w:link w:val="NoSpacingChar"/>
    <w:uiPriority w:val="1"/>
    <w:qFormat/>
    <w:rsid w:val="006D20BA"/>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1"/>
    <w:rsid w:val="006D20BA"/>
    <w:rPr>
      <w:rFonts w:asciiTheme="minorHAnsi" w:eastAsiaTheme="minorEastAsia" w:hAnsiTheme="minorHAnsi" w:cstheme="minorBidi"/>
      <w:sz w:val="22"/>
      <w:szCs w:val="22"/>
      <w:lang w:val="en-US" w:eastAsia="ja-JP"/>
    </w:rPr>
  </w:style>
  <w:style w:type="character" w:styleId="Hyperlink">
    <w:name w:val="Hyperlink"/>
    <w:basedOn w:val="DefaultParagraphFont"/>
    <w:unhideWhenUsed/>
    <w:rsid w:val="006D20BA"/>
    <w:rPr>
      <w:rFonts w:ascii="Times New Roman" w:hAnsi="Times New Roman" w:cs="Times New Roman" w:hint="default"/>
      <w:color w:val="00000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478255">
      <w:bodyDiv w:val="1"/>
      <w:marLeft w:val="0"/>
      <w:marRight w:val="0"/>
      <w:marTop w:val="0"/>
      <w:marBottom w:val="0"/>
      <w:divBdr>
        <w:top w:val="none" w:sz="0" w:space="0" w:color="auto"/>
        <w:left w:val="none" w:sz="0" w:space="0" w:color="auto"/>
        <w:bottom w:val="none" w:sz="0" w:space="0" w:color="auto"/>
        <w:right w:val="none" w:sz="0" w:space="0" w:color="auto"/>
      </w:divBdr>
    </w:div>
    <w:div w:id="581450898">
      <w:bodyDiv w:val="1"/>
      <w:marLeft w:val="0"/>
      <w:marRight w:val="0"/>
      <w:marTop w:val="0"/>
      <w:marBottom w:val="0"/>
      <w:divBdr>
        <w:top w:val="none" w:sz="0" w:space="0" w:color="auto"/>
        <w:left w:val="none" w:sz="0" w:space="0" w:color="auto"/>
        <w:bottom w:val="none" w:sz="0" w:space="0" w:color="auto"/>
        <w:right w:val="none" w:sz="0" w:space="0" w:color="auto"/>
      </w:divBdr>
    </w:div>
    <w:div w:id="661159256">
      <w:bodyDiv w:val="1"/>
      <w:marLeft w:val="0"/>
      <w:marRight w:val="0"/>
      <w:marTop w:val="0"/>
      <w:marBottom w:val="0"/>
      <w:divBdr>
        <w:top w:val="none" w:sz="0" w:space="0" w:color="auto"/>
        <w:left w:val="none" w:sz="0" w:space="0" w:color="auto"/>
        <w:bottom w:val="none" w:sz="0" w:space="0" w:color="auto"/>
        <w:right w:val="none" w:sz="0" w:space="0" w:color="auto"/>
      </w:divBdr>
    </w:div>
    <w:div w:id="1764446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2.xml"/><Relationship Id="rId26" Type="http://schemas.openxmlformats.org/officeDocument/2006/relationships/footer" Target="footer6.xml"/><Relationship Id="rId3" Type="http://schemas.microsoft.com/office/2007/relationships/stylesWithEffects" Target="stylesWithEffect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5" Type="http://schemas.openxmlformats.org/officeDocument/2006/relationships/footer" Target="footer5.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footer" Target="footer7.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6.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header" Target="header5.xml"/><Relationship Id="rId28" Type="http://schemas.openxmlformats.org/officeDocument/2006/relationships/header" Target="header8.xml"/><Relationship Id="rId10" Type="http://schemas.openxmlformats.org/officeDocument/2006/relationships/image" Target="media/image3.jpeg"/><Relationship Id="rId19" Type="http://schemas.openxmlformats.org/officeDocument/2006/relationships/header" Target="header3.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4.xml"/><Relationship Id="rId27" Type="http://schemas.openxmlformats.org/officeDocument/2006/relationships/header" Target="header7.xml"/><Relationship Id="rId30" Type="http://schemas.openxmlformats.org/officeDocument/2006/relationships/footer" Target="footer8.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prelim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prelims.dotm</Template>
  <TotalTime>0</TotalTime>
  <Pages>13</Pages>
  <Words>1413</Words>
  <Characters>8284</Characters>
  <Application>Microsoft Office Word</Application>
  <DocSecurity>0</DocSecurity>
  <Lines>239</Lines>
  <Paragraphs>157</Paragraphs>
  <ScaleCrop>false</ScaleCrop>
  <HeadingPairs>
    <vt:vector size="2" baseType="variant">
      <vt:variant>
        <vt:lpstr>Title</vt:lpstr>
      </vt:variant>
      <vt:variant>
        <vt:i4>1</vt:i4>
      </vt:variant>
    </vt:vector>
  </HeadingPairs>
  <TitlesOfParts>
    <vt:vector size="1" baseType="lpstr">
      <vt:lpstr>* Commonwealth of Australia 2010</vt:lpstr>
    </vt:vector>
  </TitlesOfParts>
  <Company>Productivity Commission</Company>
  <LinksUpToDate>false</LinksUpToDate>
  <CharactersWithSpaces>9557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Commonwealth of Australia 2010</dc:title>
  <dc:creator>Productivity Commission</dc:creator>
  <cp:lastModifiedBy>Productivity Commission</cp:lastModifiedBy>
  <cp:revision>3</cp:revision>
  <cp:lastPrinted>2013-10-04T05:57:00Z</cp:lastPrinted>
  <dcterms:created xsi:type="dcterms:W3CDTF">2013-10-10T01:25:00Z</dcterms:created>
  <dcterms:modified xsi:type="dcterms:W3CDTF">2013-10-10T01:25:00Z</dcterms:modified>
</cp:coreProperties>
</file>