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ED1" w:rsidRDefault="00D629A1" w:rsidP="00D629A1">
      <w:pPr>
        <w:pStyle w:val="Chapter"/>
        <w:ind w:left="907" w:hanging="907"/>
      </w:pPr>
      <w:bookmarkStart w:id="0" w:name="_AppendixNotByChapter"/>
      <w:bookmarkStart w:id="1" w:name="ChapterNumber"/>
      <w:bookmarkStart w:id="2" w:name="_GoBack"/>
      <w:bookmarkEnd w:id="0"/>
      <w:bookmarkEnd w:id="2"/>
      <w:r>
        <w:t>E</w:t>
      </w:r>
      <w:bookmarkEnd w:id="1"/>
      <w:r>
        <w:tab/>
      </w:r>
      <w:bookmarkStart w:id="3" w:name="ChapterTitle"/>
      <w:r>
        <w:t>Supporting research and related activities</w:t>
      </w:r>
      <w:bookmarkEnd w:id="3"/>
    </w:p>
    <w:p w:rsidR="009E1ED1" w:rsidRPr="0063784B" w:rsidRDefault="009E1ED1" w:rsidP="00B61021">
      <w:pPr>
        <w:pStyle w:val="BodyText"/>
        <w:spacing w:before="200"/>
      </w:pPr>
      <w:bookmarkStart w:id="4" w:name="begin"/>
      <w:bookmarkEnd w:id="4"/>
      <w:r w:rsidRPr="0063784B">
        <w:t>The Commission’s supporting research program encompasses a range of activities. This appendix provides</w:t>
      </w:r>
      <w:r w:rsidR="00CB6AAB" w:rsidRPr="0063784B">
        <w:t xml:space="preserve"> brief summaries of Staff Working P</w:t>
      </w:r>
      <w:r w:rsidRPr="0063784B">
        <w:t>apers</w:t>
      </w:r>
      <w:r w:rsidR="0094559B" w:rsidRPr="0063784B">
        <w:t xml:space="preserve"> released in the year.</w:t>
      </w:r>
      <w:r w:rsidRPr="0063784B">
        <w:t xml:space="preserve"> It also lists the presentations given by the Chair, Commissioners and staff to parliamentary committees, conferences and industry and community groups in 20</w:t>
      </w:r>
      <w:r w:rsidR="006A69EC" w:rsidRPr="0063784B">
        <w:t>1</w:t>
      </w:r>
      <w:r w:rsidR="00B5521E">
        <w:t>2</w:t>
      </w:r>
      <w:r w:rsidRPr="0063784B">
        <w:t>-</w:t>
      </w:r>
      <w:r w:rsidR="009D7078" w:rsidRPr="0063784B">
        <w:t>1</w:t>
      </w:r>
      <w:r w:rsidR="00B5521E">
        <w:t>3</w:t>
      </w:r>
      <w:r w:rsidR="00CB6AAB" w:rsidRPr="0063784B">
        <w:t>, as well as briefings to international visitors</w:t>
      </w:r>
      <w:r w:rsidRPr="0063784B">
        <w:t>.</w:t>
      </w:r>
    </w:p>
    <w:p w:rsidR="009E1ED1" w:rsidRPr="0063784B" w:rsidRDefault="009E1ED1">
      <w:pPr>
        <w:pStyle w:val="Heading2"/>
      </w:pPr>
      <w:r w:rsidRPr="0063784B">
        <w:t>Staff working papers</w:t>
      </w:r>
    </w:p>
    <w:p w:rsidR="009E1ED1" w:rsidRPr="0063784B" w:rsidRDefault="009E1ED1" w:rsidP="00B72D76">
      <w:pPr>
        <w:pStyle w:val="BodyText"/>
        <w:keepNext/>
        <w:rPr>
          <w:i/>
        </w:rPr>
      </w:pPr>
      <w:r w:rsidRPr="0063784B">
        <w:rPr>
          <w:i/>
        </w:rPr>
        <w:t>Note: The views expressed in staff working papers are those of the authors and do not necessarily reflect the views of the Productivity Commission</w:t>
      </w:r>
      <w:r w:rsidR="00B104C2" w:rsidRPr="0063784B">
        <w:rPr>
          <w:i/>
        </w:rPr>
        <w:t>.</w:t>
      </w:r>
    </w:p>
    <w:p w:rsidR="00A9712A" w:rsidRPr="0063784B" w:rsidRDefault="00A9712A" w:rsidP="00A9712A">
      <w:pPr>
        <w:pStyle w:val="Heading3"/>
      </w:pPr>
      <w:r>
        <w:t>Trends in the Distribution of Income in Australia</w:t>
      </w:r>
    </w:p>
    <w:p w:rsidR="00A9712A" w:rsidRDefault="00A9712A" w:rsidP="00A9712A">
      <w:pPr>
        <w:pStyle w:val="BodyText"/>
        <w:rPr>
          <w:i/>
        </w:rPr>
      </w:pPr>
      <w:r>
        <w:rPr>
          <w:i/>
        </w:rPr>
        <w:t xml:space="preserve">Jared Greenville, Clinton Pobke and Nikki Rogers, </w:t>
      </w:r>
      <w:r w:rsidRPr="00A9712A">
        <w:rPr>
          <w:i/>
        </w:rPr>
        <w:t>March</w:t>
      </w:r>
      <w:r>
        <w:rPr>
          <w:i/>
        </w:rPr>
        <w:t xml:space="preserve"> </w:t>
      </w:r>
      <w:r w:rsidRPr="00A9712A">
        <w:rPr>
          <w:i/>
        </w:rPr>
        <w:t>2013</w:t>
      </w:r>
    </w:p>
    <w:p w:rsidR="00A9712A" w:rsidRDefault="00A9712A" w:rsidP="00A9712A">
      <w:pPr>
        <w:pStyle w:val="BodyText"/>
      </w:pPr>
      <w:r>
        <w:rPr>
          <w:lang w:val="en"/>
        </w:rPr>
        <w:t>The paper examines the recent trends in Australia's individual and household income distributions. It examines the proximate factors that help explain aggregate trends to provide a more detailed understanding of the composition of the income distribution (in terms of both the groups represented within it and the different kinds of income they receive). It also examines whether the Australian experience mirrors general trends across OECD countries</w:t>
      </w:r>
      <w:r w:rsidR="00304BF8">
        <w:rPr>
          <w:lang w:val="en"/>
        </w:rPr>
        <w:t>.</w:t>
      </w:r>
    </w:p>
    <w:p w:rsidR="00A9712A" w:rsidRDefault="00A9712A" w:rsidP="00A9712A">
      <w:pPr>
        <w:pStyle w:val="ListBullet"/>
      </w:pPr>
      <w:r>
        <w:t xml:space="preserve">Between 1988-89 and 2009-10, the incomes of individuals and households in Australia have risen substantially in real terms and in comparison to trends in other OECD countries, with particularly strong growth between 2003-04 and 2009-10. </w:t>
      </w:r>
    </w:p>
    <w:p w:rsidR="00A9712A" w:rsidRDefault="00A9712A" w:rsidP="00A9712A">
      <w:pPr>
        <w:pStyle w:val="ListBullet2"/>
      </w:pPr>
      <w:r>
        <w:t>The increase has mainly been driven by growth in labour force earnings, arising from employment growth, more hours worked (by part-time workers) and increased hourly wages.</w:t>
      </w:r>
    </w:p>
    <w:p w:rsidR="00A9712A" w:rsidRDefault="00A9712A" w:rsidP="00A9712A">
      <w:pPr>
        <w:pStyle w:val="ListBullet"/>
      </w:pPr>
      <w:r>
        <w:t>While real individual and household incomes have both risen across their distributions, increases have been uneven.</w:t>
      </w:r>
    </w:p>
    <w:p w:rsidR="00A9712A" w:rsidRDefault="00A9712A" w:rsidP="00A9712A">
      <w:pPr>
        <w:pStyle w:val="ListBullet2"/>
      </w:pPr>
      <w:r>
        <w:lastRenderedPageBreak/>
        <w:t>The rate of growth has been higher at the ‘top end’ of the distributions than the ‘bottom end’.</w:t>
      </w:r>
    </w:p>
    <w:p w:rsidR="00A9712A" w:rsidRDefault="00A9712A" w:rsidP="00A9712A">
      <w:pPr>
        <w:pStyle w:val="ListBullet2"/>
      </w:pPr>
      <w:r>
        <w:t>Incomes for those in the middle of the distribution have spread out (that is, they have become less concentrated around the average).</w:t>
      </w:r>
    </w:p>
    <w:p w:rsidR="00A9712A" w:rsidRDefault="00A9712A" w:rsidP="00A9712A">
      <w:pPr>
        <w:pStyle w:val="ListBullet"/>
      </w:pPr>
      <w:r>
        <w:t xml:space="preserve">These changes underlie the recently observed increases in summary measures of inequality (such as the </w:t>
      </w:r>
      <w:proofErr w:type="spellStart"/>
      <w:r>
        <w:t>Gini</w:t>
      </w:r>
      <w:proofErr w:type="spellEnd"/>
      <w:r>
        <w:t xml:space="preserve"> Coefficient) in Australia for individual and household incomes.</w:t>
      </w:r>
    </w:p>
    <w:p w:rsidR="00A9712A" w:rsidRDefault="00A9712A" w:rsidP="00A9712A">
      <w:pPr>
        <w:pStyle w:val="ListBullet2"/>
      </w:pPr>
      <w:r>
        <w:t>At the individual level, the key drivers are the widening dispersion of hourly wages of full-time employees and (to a lesser extent) the relatively stronger growth in part-time employment.</w:t>
      </w:r>
    </w:p>
    <w:p w:rsidR="00A9712A" w:rsidRDefault="00A9712A" w:rsidP="00A9712A">
      <w:pPr>
        <w:pStyle w:val="ListBullet2"/>
      </w:pPr>
      <w:r>
        <w:t>At the household level, the key driver has been capital income growth amongst higher income households. The impact of growing dispersion of hourly wages on the distribution of labour income has been offset by increased employment of household members including a decline in the share of jobless households.</w:t>
      </w:r>
    </w:p>
    <w:p w:rsidR="00A9712A" w:rsidRDefault="00A9712A" w:rsidP="00A9712A">
      <w:pPr>
        <w:pStyle w:val="ListBullet"/>
      </w:pPr>
      <w:r>
        <w:t xml:space="preserve">Final income </w:t>
      </w:r>
      <w:r w:rsidRPr="0064017E">
        <w:t xml:space="preserve">is </w:t>
      </w:r>
      <w:r>
        <w:t xml:space="preserve">also </w:t>
      </w:r>
      <w:r w:rsidRPr="0064017E">
        <w:t>influenced by government taxes and transfers</w:t>
      </w:r>
      <w:r>
        <w:t>. These have a substantial redistributive impact on the distribution of household income, substantially reducing measured inequality.</w:t>
      </w:r>
    </w:p>
    <w:p w:rsidR="00A9712A" w:rsidRDefault="00A9712A" w:rsidP="00A9712A">
      <w:pPr>
        <w:pStyle w:val="ListBullet"/>
      </w:pPr>
      <w:r w:rsidRPr="00665A6A">
        <w:t>Although the progressive imp</w:t>
      </w:r>
      <w:r>
        <w:t xml:space="preserve">act of the tax and transfer system </w:t>
      </w:r>
      <w:r w:rsidRPr="00665A6A">
        <w:t xml:space="preserve">declined slightly </w:t>
      </w:r>
      <w:r>
        <w:t>from</w:t>
      </w:r>
      <w:r w:rsidRPr="00665A6A">
        <w:t xml:space="preserve"> the early </w:t>
      </w:r>
      <w:proofErr w:type="spellStart"/>
      <w:r w:rsidRPr="00665A6A">
        <w:t>2000s</w:t>
      </w:r>
      <w:proofErr w:type="spellEnd"/>
      <w:r>
        <w:t xml:space="preserve"> (</w:t>
      </w:r>
      <w:r w:rsidRPr="00665A6A">
        <w:t xml:space="preserve">with the </w:t>
      </w:r>
      <w:r>
        <w:t>introduction of t</w:t>
      </w:r>
      <w:r w:rsidRPr="00665A6A">
        <w:t xml:space="preserve">he GST and </w:t>
      </w:r>
      <w:r>
        <w:t xml:space="preserve">a </w:t>
      </w:r>
      <w:r w:rsidRPr="00665A6A">
        <w:t>fall in the number of recipients of government benefit payments</w:t>
      </w:r>
      <w:r>
        <w:t xml:space="preserve"> associated with higher employment)</w:t>
      </w:r>
      <w:r w:rsidRPr="00665A6A">
        <w:t>, real growth in the value of direct and indirect transfers contributed to growth in incomes for low income households</w:t>
      </w:r>
      <w:r>
        <w:t>.</w:t>
      </w:r>
    </w:p>
    <w:p w:rsidR="00A9712A" w:rsidRDefault="00A9712A" w:rsidP="00A9712A">
      <w:pPr>
        <w:pStyle w:val="ListBullet"/>
      </w:pPr>
      <w:r w:rsidRPr="001518C4">
        <w:t xml:space="preserve">The analysis highlights the need to examine the changes in </w:t>
      </w:r>
      <w:r>
        <w:t>various income components</w:t>
      </w:r>
      <w:r w:rsidRPr="001518C4">
        <w:t xml:space="preserve"> and </w:t>
      </w:r>
      <w:r>
        <w:t xml:space="preserve">population </w:t>
      </w:r>
      <w:r w:rsidRPr="001518C4">
        <w:t xml:space="preserve">subgroups </w:t>
      </w:r>
      <w:r>
        <w:t>in order to understand the</w:t>
      </w:r>
      <w:r w:rsidRPr="001518C4">
        <w:t xml:space="preserve"> changes in the distribution of income and inequality measures</w:t>
      </w:r>
      <w:r>
        <w:t xml:space="preserve"> such as the </w:t>
      </w:r>
      <w:proofErr w:type="spellStart"/>
      <w:r>
        <w:t>Gini</w:t>
      </w:r>
      <w:proofErr w:type="spellEnd"/>
      <w:r>
        <w:t xml:space="preserve"> coefficient</w:t>
      </w:r>
      <w:r w:rsidRPr="001518C4">
        <w:t xml:space="preserve">. </w:t>
      </w:r>
    </w:p>
    <w:p w:rsidR="00BB73F9" w:rsidRDefault="00A9712A" w:rsidP="00A9712A">
      <w:pPr>
        <w:pStyle w:val="ListBullet2"/>
        <w:rPr>
          <w:i/>
        </w:rPr>
      </w:pPr>
      <w:r>
        <w:t>Differences in individual income, and therefore household income levels, occur for a variety of reasons including personal choices and innate characteristics as well as opportunities and inheritances. These differences combine with broader economic forces and policy settings to influence the distribution of income over time.</w:t>
      </w:r>
    </w:p>
    <w:p w:rsidR="00A9712A" w:rsidRPr="0063784B" w:rsidRDefault="00A9712A" w:rsidP="00304BF8">
      <w:pPr>
        <w:pStyle w:val="Heading3"/>
        <w:keepLines/>
      </w:pPr>
      <w:r>
        <w:lastRenderedPageBreak/>
        <w:t>Forms of Work in Australia</w:t>
      </w:r>
    </w:p>
    <w:p w:rsidR="00A9712A" w:rsidRDefault="00A9712A" w:rsidP="00304BF8">
      <w:pPr>
        <w:pStyle w:val="BodyText"/>
        <w:keepNext/>
        <w:keepLines/>
        <w:rPr>
          <w:i/>
        </w:rPr>
      </w:pPr>
      <w:r>
        <w:rPr>
          <w:i/>
        </w:rPr>
        <w:t>Anthony Shomos, Erin Turner and Lou Will, April 2013</w:t>
      </w:r>
    </w:p>
    <w:p w:rsidR="00304BF8" w:rsidRPr="00304BF8" w:rsidRDefault="00304BF8" w:rsidP="00304BF8">
      <w:pPr>
        <w:pStyle w:val="BodyText"/>
        <w:keepNext/>
        <w:keepLines/>
        <w:rPr>
          <w:lang w:val="en"/>
        </w:rPr>
      </w:pPr>
      <w:r w:rsidRPr="00304BF8">
        <w:rPr>
          <w:lang w:val="en"/>
        </w:rPr>
        <w:t>The paper analyses changes in the prevalence of different forms of work in Australia over the decade to 2011, and explores possible explanations for observed changes.</w:t>
      </w:r>
    </w:p>
    <w:p w:rsidR="00C078C9" w:rsidRDefault="00C078C9" w:rsidP="00C078C9">
      <w:pPr>
        <w:pStyle w:val="ListBullet"/>
      </w:pPr>
      <w:r>
        <w:t>While employment in most forms of work (</w:t>
      </w:r>
      <w:proofErr w:type="spellStart"/>
      <w:r>
        <w:t>FOWs</w:t>
      </w:r>
      <w:proofErr w:type="spellEnd"/>
      <w:r>
        <w:t>) grew in absolute terms over the decade to 2011, only permanent employees became more ‘prevalent’ (increased as a share of employment).</w:t>
      </w:r>
    </w:p>
    <w:p w:rsidR="00C078C9" w:rsidRDefault="00C078C9" w:rsidP="00C078C9">
      <w:pPr>
        <w:pStyle w:val="ListBullet2"/>
      </w:pPr>
      <w:r>
        <w:t>Owner managers of unincorporated enterprises (</w:t>
      </w:r>
      <w:proofErr w:type="spellStart"/>
      <w:r>
        <w:t>OMUEs</w:t>
      </w:r>
      <w:proofErr w:type="spellEnd"/>
      <w:r>
        <w:t>) fell in prevalence by 2 to 3 percentage points, offsetting the increase for permanent employees.</w:t>
      </w:r>
    </w:p>
    <w:p w:rsidR="00C078C9" w:rsidRDefault="00C078C9" w:rsidP="00C078C9">
      <w:pPr>
        <w:pStyle w:val="ListBullet2"/>
        <w:rPr>
          <w:spacing w:val="-2"/>
        </w:rPr>
      </w:pPr>
      <w:r>
        <w:t>Casuals and fixed</w:t>
      </w:r>
      <w:r>
        <w:noBreakHyphen/>
        <w:t>term employees were no more prevalent at the end of the decade than at the start. Labour hire workers probably became less prevalent, and it is likely that the workforce share of independent contractors also fell.</w:t>
      </w:r>
    </w:p>
    <w:p w:rsidR="00C078C9" w:rsidRDefault="00C078C9" w:rsidP="00C078C9">
      <w:pPr>
        <w:pStyle w:val="ListBullet"/>
      </w:pPr>
      <w:r>
        <w:t xml:space="preserve">Relatively rapid growth of casual and independent contractor employment from the </w:t>
      </w:r>
      <w:proofErr w:type="spellStart"/>
      <w:r>
        <w:t>1980s</w:t>
      </w:r>
      <w:proofErr w:type="spellEnd"/>
      <w:r>
        <w:t xml:space="preserve">, and labour hire workers from the </w:t>
      </w:r>
      <w:proofErr w:type="spellStart"/>
      <w:r>
        <w:t>1990s</w:t>
      </w:r>
      <w:proofErr w:type="spellEnd"/>
      <w:r>
        <w:t xml:space="preserve">, did not continue through the </w:t>
      </w:r>
      <w:proofErr w:type="spellStart"/>
      <w:r>
        <w:t>2000s</w:t>
      </w:r>
      <w:proofErr w:type="spellEnd"/>
      <w:r>
        <w:t>.</w:t>
      </w:r>
    </w:p>
    <w:p w:rsidR="00C078C9" w:rsidRDefault="00C078C9" w:rsidP="00C078C9">
      <w:pPr>
        <w:pStyle w:val="ListBullet"/>
      </w:pPr>
      <w:r>
        <w:t>In 2011, permanent full-time and part-time employees accounted for about 60 per cent of the workforce. Casual employees and self</w:t>
      </w:r>
      <w:r>
        <w:noBreakHyphen/>
        <w:t>employment accounted for a little under 20 per cent each. Fixed</w:t>
      </w:r>
      <w:r>
        <w:noBreakHyphen/>
        <w:t xml:space="preserve">term employees accounted for the small residual and labour hire workers (who are employed under a mix of </w:t>
      </w:r>
      <w:proofErr w:type="spellStart"/>
      <w:r>
        <w:t>FOWs</w:t>
      </w:r>
      <w:proofErr w:type="spellEnd"/>
      <w:r>
        <w:t>) represented about 1 per cent of employment.</w:t>
      </w:r>
    </w:p>
    <w:p w:rsidR="00C078C9" w:rsidRDefault="00C078C9" w:rsidP="00C078C9">
      <w:pPr>
        <w:pStyle w:val="ListBullet"/>
      </w:pPr>
      <w:r>
        <w:t>Over the decade to 2011:</w:t>
      </w:r>
    </w:p>
    <w:p w:rsidR="00C078C9" w:rsidRDefault="00C078C9" w:rsidP="00C078C9">
      <w:pPr>
        <w:pStyle w:val="ListBullet2"/>
      </w:pPr>
      <w:r>
        <w:t>Increases in the prevalence of permanent employees were particularly strong in the mining states (Queensland, Western Australia and the Northern Territory).</w:t>
      </w:r>
    </w:p>
    <w:p w:rsidR="00C078C9" w:rsidRDefault="00C078C9" w:rsidP="00C078C9">
      <w:pPr>
        <w:pStyle w:val="ListBullet2"/>
      </w:pPr>
      <w:r>
        <w:t>Structural change at a broad industry level appears to have played little role in prevalence changes.</w:t>
      </w:r>
    </w:p>
    <w:p w:rsidR="00C078C9" w:rsidRDefault="00C078C9" w:rsidP="00C078C9">
      <w:pPr>
        <w:pStyle w:val="ListBullet2"/>
      </w:pPr>
      <w:r>
        <w:t>An increase in the employment share of higher</w:t>
      </w:r>
      <w:r>
        <w:noBreakHyphen/>
        <w:t>skilled jobs was associated with the increased prevalence of permanent employees.</w:t>
      </w:r>
    </w:p>
    <w:p w:rsidR="00C078C9" w:rsidRDefault="00C078C9" w:rsidP="00C078C9">
      <w:pPr>
        <w:pStyle w:val="ListBullet2"/>
      </w:pPr>
      <w:r>
        <w:t xml:space="preserve">Falls in the numbers of farmers and farm managers explain about half of the decline in the prevalence of </w:t>
      </w:r>
      <w:proofErr w:type="spellStart"/>
      <w:r>
        <w:t>OMUEs</w:t>
      </w:r>
      <w:proofErr w:type="spellEnd"/>
      <w:r>
        <w:t xml:space="preserve"> in the non</w:t>
      </w:r>
      <w:r>
        <w:noBreakHyphen/>
        <w:t xml:space="preserve">mining states. </w:t>
      </w:r>
    </w:p>
    <w:p w:rsidR="00C078C9" w:rsidRDefault="00C078C9" w:rsidP="00C078C9">
      <w:pPr>
        <w:pStyle w:val="ListBullet2"/>
      </w:pPr>
      <w:r>
        <w:t>The increased prevalence of permanent employees occurred disproportionately in part</w:t>
      </w:r>
      <w:r>
        <w:noBreakHyphen/>
        <w:t>time jobs and among workers aged 50 to 69.</w:t>
      </w:r>
    </w:p>
    <w:p w:rsidR="00C078C9" w:rsidRDefault="00C078C9" w:rsidP="00C078C9">
      <w:pPr>
        <w:pStyle w:val="ListBullet"/>
      </w:pPr>
      <w:r>
        <w:t>More pronounced prevalence changes in the mining states could have been related to:</w:t>
      </w:r>
    </w:p>
    <w:p w:rsidR="00C078C9" w:rsidRDefault="00C078C9" w:rsidP="00C078C9">
      <w:pPr>
        <w:pStyle w:val="ListBullet2"/>
      </w:pPr>
      <w:r>
        <w:lastRenderedPageBreak/>
        <w:t>strong competition for workers encouraging greater job mobility. Hiring of permanent employees can mitigate costly turnover</w:t>
      </w:r>
    </w:p>
    <w:p w:rsidR="00C078C9" w:rsidRDefault="00C078C9" w:rsidP="00C078C9">
      <w:pPr>
        <w:pStyle w:val="ListBullet2"/>
      </w:pPr>
      <w:r>
        <w:t>greater confidence in business viability. A fall in the risk of layoffs, and associated redundancy costs, might have encouraged employers to offer more permanent employee roles.</w:t>
      </w:r>
    </w:p>
    <w:p w:rsidR="00BB73F9" w:rsidRDefault="00C078C9" w:rsidP="00C078C9">
      <w:pPr>
        <w:pStyle w:val="ListBullet"/>
        <w:rPr>
          <w:i/>
        </w:rPr>
      </w:pPr>
      <w:r>
        <w:t>At a national level, a preference for permanent employee roles rather than self</w:t>
      </w:r>
      <w:r>
        <w:noBreakHyphen/>
        <w:t xml:space="preserve">employment among some workers — accommodated by relatively strong labour markets — might have played a role in the fall in the prevalence of </w:t>
      </w:r>
      <w:proofErr w:type="spellStart"/>
      <w:r>
        <w:t>OMUEs</w:t>
      </w:r>
      <w:proofErr w:type="spellEnd"/>
      <w:r>
        <w:t>.</w:t>
      </w:r>
    </w:p>
    <w:p w:rsidR="00507FB4" w:rsidRPr="0063784B" w:rsidRDefault="00507FB4" w:rsidP="00507FB4">
      <w:pPr>
        <w:pStyle w:val="Heading2"/>
      </w:pPr>
      <w:r w:rsidRPr="0063784B">
        <w:t xml:space="preserve">Staff </w:t>
      </w:r>
      <w:r>
        <w:t>research notes</w:t>
      </w:r>
    </w:p>
    <w:p w:rsidR="00507FB4" w:rsidRPr="0063784B" w:rsidRDefault="00507FB4" w:rsidP="00507FB4">
      <w:pPr>
        <w:pStyle w:val="BodyText"/>
        <w:keepNext/>
        <w:rPr>
          <w:i/>
        </w:rPr>
      </w:pPr>
      <w:r w:rsidRPr="0063784B">
        <w:rPr>
          <w:i/>
        </w:rPr>
        <w:t xml:space="preserve">Note: The views expressed in staff </w:t>
      </w:r>
      <w:r>
        <w:rPr>
          <w:i/>
        </w:rPr>
        <w:t>research</w:t>
      </w:r>
      <w:r w:rsidRPr="0063784B">
        <w:rPr>
          <w:i/>
        </w:rPr>
        <w:t xml:space="preserve"> </w:t>
      </w:r>
      <w:r>
        <w:rPr>
          <w:i/>
        </w:rPr>
        <w:t xml:space="preserve">notes </w:t>
      </w:r>
      <w:r w:rsidRPr="0063784B">
        <w:rPr>
          <w:i/>
        </w:rPr>
        <w:t>are those of the authors and do not necessarily reflect the views of the Productivity Commission.</w:t>
      </w:r>
    </w:p>
    <w:p w:rsidR="002D7BC1" w:rsidRPr="002D7BC1" w:rsidRDefault="002D7BC1" w:rsidP="002D7BC1">
      <w:pPr>
        <w:pStyle w:val="Heading3"/>
      </w:pPr>
      <w:r w:rsidRPr="002D7BC1">
        <w:t>On Efficiency and Effectiveness: some definitions</w:t>
      </w:r>
    </w:p>
    <w:p w:rsidR="002D7BC1" w:rsidRDefault="00C30C5A" w:rsidP="002D7BC1">
      <w:pPr>
        <w:pStyle w:val="BodyText"/>
        <w:rPr>
          <w:i/>
        </w:rPr>
      </w:pPr>
      <w:r>
        <w:rPr>
          <w:i/>
        </w:rPr>
        <w:t>Various a</w:t>
      </w:r>
      <w:r w:rsidR="002D7BC1">
        <w:rPr>
          <w:i/>
        </w:rPr>
        <w:t>uthor</w:t>
      </w:r>
      <w:r>
        <w:rPr>
          <w:i/>
        </w:rPr>
        <w:t>s</w:t>
      </w:r>
      <w:r w:rsidR="002D7BC1">
        <w:rPr>
          <w:i/>
        </w:rPr>
        <w:t xml:space="preserve">, </w:t>
      </w:r>
      <w:r w:rsidR="002D7BC1">
        <w:t xml:space="preserve">May </w:t>
      </w:r>
      <w:r w:rsidR="002D7BC1" w:rsidRPr="002D7BC1">
        <w:t>2013</w:t>
      </w:r>
    </w:p>
    <w:p w:rsidR="002D7BC1" w:rsidRDefault="002D7BC1" w:rsidP="002D7BC1">
      <w:pPr>
        <w:pStyle w:val="BodyText"/>
        <w:rPr>
          <w:lang w:val="en"/>
        </w:rPr>
      </w:pPr>
      <w:r w:rsidRPr="002D7BC1">
        <w:rPr>
          <w:lang w:val="en"/>
        </w:rPr>
        <w:t>The terms efficiency and effectiveness are commonly used, yet often are applied in slightly and occasionally along with related concepts such as cost effectiveness and productivity.</w:t>
      </w:r>
    </w:p>
    <w:p w:rsidR="00C30C5A" w:rsidRPr="002D7BC1" w:rsidRDefault="00C30C5A" w:rsidP="002D7BC1">
      <w:pPr>
        <w:pStyle w:val="BodyText"/>
        <w:rPr>
          <w:lang w:val="en"/>
        </w:rPr>
      </w:pPr>
      <w:r w:rsidRPr="00C30C5A">
        <w:rPr>
          <w:lang w:val="en"/>
        </w:rPr>
        <w:t>This staff research note sets out how the Productivity Commission defines these terms along with related concepts such as cost effectiveness and productivity.</w:t>
      </w:r>
    </w:p>
    <w:p w:rsidR="00507FB4" w:rsidRPr="0063784B" w:rsidRDefault="00507FB4" w:rsidP="00507FB4">
      <w:pPr>
        <w:pStyle w:val="Heading3"/>
      </w:pPr>
      <w:r>
        <w:t>On sustainability: an economic approach</w:t>
      </w:r>
    </w:p>
    <w:p w:rsidR="00507FB4" w:rsidRDefault="002D7BC1" w:rsidP="00507FB4">
      <w:pPr>
        <w:pStyle w:val="BodyText"/>
        <w:rPr>
          <w:i/>
        </w:rPr>
      </w:pPr>
      <w:r w:rsidRPr="002D7BC1">
        <w:rPr>
          <w:i/>
        </w:rPr>
        <w:t>Ana Markulev and Anthea Long</w:t>
      </w:r>
      <w:r w:rsidR="00507FB4">
        <w:rPr>
          <w:i/>
        </w:rPr>
        <w:t xml:space="preserve">, </w:t>
      </w:r>
      <w:r>
        <w:t xml:space="preserve">May </w:t>
      </w:r>
      <w:r w:rsidR="00507FB4" w:rsidRPr="002D7BC1">
        <w:t>2013</w:t>
      </w:r>
    </w:p>
    <w:p w:rsidR="002D7BC1" w:rsidRPr="002D7BC1" w:rsidRDefault="00615624" w:rsidP="002D7BC1">
      <w:pPr>
        <w:pStyle w:val="BodyText"/>
        <w:rPr>
          <w:lang w:val="en"/>
        </w:rPr>
      </w:pPr>
      <w:r>
        <w:rPr>
          <w:lang w:val="en"/>
        </w:rPr>
        <w:t>‘</w:t>
      </w:r>
      <w:r w:rsidR="002D7BC1" w:rsidRPr="002D7BC1">
        <w:rPr>
          <w:lang w:val="en"/>
        </w:rPr>
        <w:t>Sustainability</w:t>
      </w:r>
      <w:r>
        <w:rPr>
          <w:lang w:val="en"/>
        </w:rPr>
        <w:t>’</w:t>
      </w:r>
      <w:r w:rsidR="002D7BC1" w:rsidRPr="002D7BC1">
        <w:rPr>
          <w:lang w:val="en"/>
        </w:rPr>
        <w:t xml:space="preserve"> is invoked as a desirable objective in a range of contexts, yet its meaning is not always clear. Sustainability can imply vastly different policy responses depending on interpretation, particularly in relation to the degree to which environmental and </w:t>
      </w:r>
      <w:proofErr w:type="spellStart"/>
      <w:r w:rsidR="002D7BC1" w:rsidRPr="002D7BC1">
        <w:rPr>
          <w:lang w:val="en"/>
        </w:rPr>
        <w:t>oth</w:t>
      </w:r>
      <w:proofErr w:type="spellEnd"/>
      <w:r w:rsidR="005174B1">
        <w:rPr>
          <w:lang w:val="en"/>
        </w:rPr>
        <w:t xml:space="preserve"> </w:t>
      </w:r>
      <w:proofErr w:type="spellStart"/>
      <w:r w:rsidR="002D7BC1" w:rsidRPr="002D7BC1">
        <w:rPr>
          <w:lang w:val="en"/>
        </w:rPr>
        <w:t>er</w:t>
      </w:r>
      <w:proofErr w:type="spellEnd"/>
      <w:r w:rsidR="002D7BC1" w:rsidRPr="002D7BC1">
        <w:rPr>
          <w:lang w:val="en"/>
        </w:rPr>
        <w:t xml:space="preserve"> resources should be consumed over time.</w:t>
      </w:r>
    </w:p>
    <w:p w:rsidR="002D7BC1" w:rsidRPr="002D7BC1" w:rsidRDefault="002D7BC1" w:rsidP="002D7BC1">
      <w:pPr>
        <w:pStyle w:val="BodyText"/>
        <w:rPr>
          <w:rStyle w:val="BodyTextChar"/>
          <w:lang w:val="en"/>
        </w:rPr>
      </w:pPr>
      <w:r w:rsidRPr="002D7BC1">
        <w:rPr>
          <w:lang w:val="en"/>
        </w:rPr>
        <w:t xml:space="preserve">Using an economic framework for exploring the issues, this staff research note illustrates possible interpretations of sustainability and what they imply for policy </w:t>
      </w:r>
      <w:r w:rsidRPr="002D7BC1">
        <w:rPr>
          <w:rStyle w:val="BodyTextChar"/>
          <w:lang w:val="en"/>
        </w:rPr>
        <w:t>analysis.</w:t>
      </w:r>
    </w:p>
    <w:p w:rsidR="00BB73F9" w:rsidRPr="00615624" w:rsidRDefault="00615624" w:rsidP="00615624">
      <w:pPr>
        <w:pStyle w:val="Heading3"/>
      </w:pPr>
      <w:r w:rsidRPr="00615624">
        <w:lastRenderedPageBreak/>
        <w:t>On productivity: the influence of natural resource inputs</w:t>
      </w:r>
    </w:p>
    <w:p w:rsidR="00615624" w:rsidRDefault="00615624" w:rsidP="00E3570A">
      <w:pPr>
        <w:pStyle w:val="BodyText"/>
        <w:rPr>
          <w:i/>
        </w:rPr>
      </w:pPr>
      <w:r>
        <w:rPr>
          <w:i/>
        </w:rPr>
        <w:t>Vernon Topp and Tony Kulys, June 2013</w:t>
      </w:r>
    </w:p>
    <w:p w:rsidR="00615624" w:rsidRPr="00615624" w:rsidRDefault="00615624" w:rsidP="00615624">
      <w:pPr>
        <w:pStyle w:val="BodyText"/>
        <w:rPr>
          <w:lang w:val="en"/>
        </w:rPr>
      </w:pPr>
      <w:r w:rsidRPr="00615624">
        <w:rPr>
          <w:lang w:val="en"/>
        </w:rPr>
        <w:t xml:space="preserve">Multifactor productivity (MFP), which is measured as a residual (the growth in the volume of output not explained by the growth in the volume of </w:t>
      </w:r>
      <w:proofErr w:type="spellStart"/>
      <w:r w:rsidRPr="00615624">
        <w:rPr>
          <w:lang w:val="en"/>
        </w:rPr>
        <w:t>labour</w:t>
      </w:r>
      <w:proofErr w:type="spellEnd"/>
      <w:r w:rsidRPr="00615624">
        <w:rPr>
          <w:lang w:val="en"/>
        </w:rPr>
        <w:t xml:space="preserve"> and capital inputs), reflects other sources of change in the productive capacity of an industry or economy as well as technical change. This staff research note looks at the effect of one of these other possible sources of change — natural resource inputs.</w:t>
      </w:r>
    </w:p>
    <w:p w:rsidR="00615624" w:rsidRPr="0063784B" w:rsidRDefault="00615624" w:rsidP="00E3570A">
      <w:pPr>
        <w:pStyle w:val="BodyText"/>
        <w:rPr>
          <w:i/>
        </w:rPr>
      </w:pPr>
    </w:p>
    <w:p w:rsidR="00202AA1" w:rsidRDefault="00202AA1" w:rsidP="00F12AC0">
      <w:pPr>
        <w:pStyle w:val="BodyText"/>
      </w:pPr>
    </w:p>
    <w:p w:rsidR="00F12AC0" w:rsidRDefault="00F12AC0">
      <w:pPr>
        <w:pStyle w:val="BodyText"/>
        <w:sectPr w:rsidR="00F12AC0" w:rsidSect="00D629A1">
          <w:headerReference w:type="even" r:id="rId9"/>
          <w:headerReference w:type="default" r:id="rId10"/>
          <w:footerReference w:type="even" r:id="rId11"/>
          <w:footerReference w:type="default" r:id="rId12"/>
          <w:pgSz w:w="11907" w:h="16840" w:code="9"/>
          <w:pgMar w:top="1985" w:right="1304" w:bottom="1418" w:left="1814" w:header="1701" w:footer="567" w:gutter="0"/>
          <w:pgNumType w:start="145" w:chapStyle="1" w:chapSep="period"/>
          <w:cols w:space="720"/>
        </w:sectPr>
      </w:pPr>
    </w:p>
    <w:p w:rsidR="00F12AC0" w:rsidRPr="00BB73F9" w:rsidRDefault="00F12AC0" w:rsidP="00F12AC0">
      <w:pPr>
        <w:pStyle w:val="TableTitle"/>
        <w:spacing w:before="120"/>
      </w:pPr>
      <w:r w:rsidRPr="00BB73F9">
        <w:rPr>
          <w:b w:val="0"/>
        </w:rPr>
        <w:lastRenderedPageBreak/>
        <w:t xml:space="preserve">Table </w:t>
      </w:r>
      <w:proofErr w:type="spellStart"/>
      <w:r w:rsidR="00D629A1">
        <w:rPr>
          <w:b w:val="0"/>
        </w:rPr>
        <w:t>E.</w:t>
      </w:r>
      <w:r w:rsidR="00D629A1">
        <w:rPr>
          <w:b w:val="0"/>
          <w:noProof/>
        </w:rPr>
        <w:t>1</w:t>
      </w:r>
      <w:proofErr w:type="spellEnd"/>
      <w:r w:rsidRPr="00BB73F9">
        <w:tab/>
        <w:t>Speeches and presentations by the Chair, Commissioners and staff, 20</w:t>
      </w:r>
      <w:r w:rsidR="000C76B4" w:rsidRPr="00BB73F9">
        <w:t>1</w:t>
      </w:r>
      <w:r w:rsidR="00B5521E" w:rsidRPr="00BB73F9">
        <w:t>2</w:t>
      </w:r>
      <w:r w:rsidRPr="00BB73F9">
        <w:t>-</w:t>
      </w:r>
      <w:r w:rsidR="009D7078" w:rsidRPr="00BB73F9">
        <w:t>1</w:t>
      </w:r>
      <w:r w:rsidR="00B5521E" w:rsidRPr="00BB73F9">
        <w:t>3</w:t>
      </w:r>
      <w:r w:rsidRPr="00BB73F9">
        <w:t xml:space="preserve"> </w:t>
      </w:r>
    </w:p>
    <w:tbl>
      <w:tblPr>
        <w:tblW w:w="13622" w:type="dxa"/>
        <w:tblInd w:w="-3" w:type="dxa"/>
        <w:tblLayout w:type="fixed"/>
        <w:tblCellMar>
          <w:left w:w="0" w:type="dxa"/>
          <w:right w:w="0" w:type="dxa"/>
        </w:tblCellMar>
        <w:tblLook w:val="0000" w:firstRow="0" w:lastRow="0" w:firstColumn="0" w:lastColumn="0" w:noHBand="0" w:noVBand="0"/>
      </w:tblPr>
      <w:tblGrid>
        <w:gridCol w:w="6299"/>
        <w:gridCol w:w="172"/>
        <w:gridCol w:w="5865"/>
        <w:gridCol w:w="1286"/>
      </w:tblGrid>
      <w:tr w:rsidR="00F12AC0" w:rsidRPr="00D014A7" w:rsidTr="00E85F55">
        <w:tc>
          <w:tcPr>
            <w:tcW w:w="6299" w:type="dxa"/>
            <w:tcBorders>
              <w:top w:val="single" w:sz="6" w:space="0" w:color="auto"/>
              <w:bottom w:val="single" w:sz="4" w:space="0" w:color="auto"/>
            </w:tcBorders>
            <w:shd w:val="clear" w:color="auto" w:fill="auto"/>
          </w:tcPr>
          <w:p w:rsidR="00F12AC0" w:rsidRDefault="00F12AC0" w:rsidP="0066156F">
            <w:pPr>
              <w:pStyle w:val="TableColumnHeading"/>
              <w:spacing w:before="100" w:after="40"/>
              <w:ind w:left="57"/>
              <w:jc w:val="left"/>
            </w:pPr>
            <w:r w:rsidRPr="00D014A7">
              <w:t>Organisation/event</w:t>
            </w:r>
          </w:p>
        </w:tc>
        <w:tc>
          <w:tcPr>
            <w:tcW w:w="172" w:type="dxa"/>
            <w:tcBorders>
              <w:top w:val="single" w:sz="6" w:space="0" w:color="auto"/>
              <w:bottom w:val="single" w:sz="4" w:space="0" w:color="auto"/>
            </w:tcBorders>
          </w:tcPr>
          <w:p w:rsidR="00F12AC0" w:rsidRPr="00D014A7" w:rsidRDefault="00F12AC0" w:rsidP="0066156F">
            <w:pPr>
              <w:pStyle w:val="TableColumnHeading"/>
              <w:spacing w:before="100" w:after="40"/>
              <w:ind w:left="57"/>
              <w:jc w:val="left"/>
            </w:pPr>
          </w:p>
        </w:tc>
        <w:tc>
          <w:tcPr>
            <w:tcW w:w="5865" w:type="dxa"/>
            <w:tcBorders>
              <w:top w:val="single" w:sz="6" w:space="0" w:color="auto"/>
              <w:bottom w:val="single" w:sz="4" w:space="0" w:color="auto"/>
            </w:tcBorders>
            <w:shd w:val="clear" w:color="auto" w:fill="auto"/>
          </w:tcPr>
          <w:p w:rsidR="00F12AC0" w:rsidRDefault="00F12AC0" w:rsidP="0066156F">
            <w:pPr>
              <w:pStyle w:val="TableColumnHeading"/>
              <w:spacing w:before="100" w:after="40"/>
              <w:ind w:left="57"/>
              <w:jc w:val="left"/>
            </w:pPr>
            <w:r w:rsidRPr="00D014A7">
              <w:t>Topic</w:t>
            </w:r>
          </w:p>
        </w:tc>
        <w:tc>
          <w:tcPr>
            <w:tcW w:w="1286" w:type="dxa"/>
            <w:tcBorders>
              <w:top w:val="single" w:sz="6" w:space="0" w:color="auto"/>
              <w:bottom w:val="single" w:sz="4" w:space="0" w:color="auto"/>
            </w:tcBorders>
            <w:shd w:val="clear" w:color="auto" w:fill="auto"/>
          </w:tcPr>
          <w:p w:rsidR="00F12AC0" w:rsidRDefault="00F12AC0" w:rsidP="00B65CBD">
            <w:pPr>
              <w:pStyle w:val="TableColumnHeading"/>
              <w:spacing w:before="100" w:after="40"/>
              <w:ind w:left="57"/>
            </w:pPr>
            <w:r w:rsidRPr="00D014A7">
              <w:t>Date</w:t>
            </w:r>
          </w:p>
        </w:tc>
      </w:tr>
      <w:tr w:rsidR="00351334" w:rsidRPr="00056100" w:rsidTr="00E85F55">
        <w:tc>
          <w:tcPr>
            <w:tcW w:w="6299" w:type="dxa"/>
            <w:tcBorders>
              <w:top w:val="single" w:sz="4" w:space="0" w:color="auto"/>
            </w:tcBorders>
          </w:tcPr>
          <w:p w:rsidR="00351334" w:rsidRPr="00056100" w:rsidRDefault="0049590F" w:rsidP="00AF0FB2">
            <w:pPr>
              <w:pStyle w:val="TableBodyText"/>
              <w:spacing w:before="120"/>
              <w:ind w:left="57"/>
              <w:jc w:val="left"/>
              <w:rPr>
                <w:b/>
              </w:rPr>
            </w:pPr>
            <w:r>
              <w:rPr>
                <w:b/>
              </w:rPr>
              <w:t>Gary Banks</w:t>
            </w:r>
            <w:r w:rsidR="003D56E0">
              <w:rPr>
                <w:b/>
              </w:rPr>
              <w:t xml:space="preserve"> AO</w:t>
            </w:r>
            <w:r>
              <w:rPr>
                <w:b/>
              </w:rPr>
              <w:t>, Chair</w:t>
            </w:r>
            <w:r w:rsidR="003D56E0">
              <w:rPr>
                <w:b/>
              </w:rPr>
              <w:t xml:space="preserve"> </w:t>
            </w:r>
            <w:r w:rsidR="003D56E0" w:rsidRPr="003D56E0">
              <w:rPr>
                <w:sz w:val="18"/>
                <w:szCs w:val="18"/>
              </w:rPr>
              <w:t>(</w:t>
            </w:r>
            <w:r w:rsidR="003D56E0">
              <w:rPr>
                <w:sz w:val="18"/>
                <w:szCs w:val="18"/>
              </w:rPr>
              <w:t>until</w:t>
            </w:r>
            <w:r w:rsidR="003D56E0" w:rsidRPr="003D56E0">
              <w:rPr>
                <w:sz w:val="18"/>
                <w:szCs w:val="18"/>
              </w:rPr>
              <w:t xml:space="preserve"> December 2012)</w:t>
            </w:r>
          </w:p>
        </w:tc>
        <w:tc>
          <w:tcPr>
            <w:tcW w:w="172" w:type="dxa"/>
            <w:tcBorders>
              <w:top w:val="single" w:sz="4" w:space="0" w:color="auto"/>
            </w:tcBorders>
          </w:tcPr>
          <w:p w:rsidR="00351334" w:rsidRPr="00056100" w:rsidRDefault="00351334" w:rsidP="00D978F8">
            <w:pPr>
              <w:pStyle w:val="TableBodyText"/>
              <w:spacing w:before="120"/>
              <w:ind w:left="57"/>
              <w:jc w:val="left"/>
              <w:rPr>
                <w:b/>
              </w:rPr>
            </w:pPr>
          </w:p>
        </w:tc>
        <w:tc>
          <w:tcPr>
            <w:tcW w:w="5865" w:type="dxa"/>
            <w:tcBorders>
              <w:top w:val="single" w:sz="4" w:space="0" w:color="auto"/>
            </w:tcBorders>
          </w:tcPr>
          <w:p w:rsidR="00351334" w:rsidRPr="00056100" w:rsidRDefault="00351334" w:rsidP="00D978F8">
            <w:pPr>
              <w:pStyle w:val="TableBodyText"/>
              <w:spacing w:before="120"/>
              <w:ind w:left="57"/>
              <w:jc w:val="left"/>
              <w:rPr>
                <w:b/>
              </w:rPr>
            </w:pPr>
          </w:p>
        </w:tc>
        <w:tc>
          <w:tcPr>
            <w:tcW w:w="1286" w:type="dxa"/>
            <w:tcBorders>
              <w:top w:val="single" w:sz="4" w:space="0" w:color="auto"/>
            </w:tcBorders>
          </w:tcPr>
          <w:p w:rsidR="00351334" w:rsidRPr="00056100" w:rsidRDefault="00351334" w:rsidP="00B65CBD">
            <w:pPr>
              <w:pStyle w:val="TableBodyText"/>
              <w:spacing w:before="120"/>
              <w:ind w:left="57"/>
              <w:rPr>
                <w:b/>
              </w:rPr>
            </w:pPr>
          </w:p>
        </w:tc>
      </w:tr>
      <w:tr w:rsidR="00BB73F9" w:rsidRPr="00BB73F9" w:rsidTr="00E85F55">
        <w:tc>
          <w:tcPr>
            <w:tcW w:w="6299" w:type="dxa"/>
          </w:tcPr>
          <w:p w:rsidR="00056100" w:rsidRPr="00BB73F9" w:rsidRDefault="00AE7381" w:rsidP="00B65CBD">
            <w:pPr>
              <w:pStyle w:val="TableBodyText"/>
              <w:tabs>
                <w:tab w:val="left" w:pos="1065"/>
              </w:tabs>
              <w:spacing w:before="80"/>
              <w:ind w:left="57"/>
              <w:jc w:val="left"/>
            </w:pPr>
            <w:r>
              <w:t>Secretaries’ Committee on Social Policy, Canberra</w:t>
            </w:r>
          </w:p>
        </w:tc>
        <w:tc>
          <w:tcPr>
            <w:tcW w:w="172" w:type="dxa"/>
          </w:tcPr>
          <w:p w:rsidR="00056100" w:rsidRPr="00BB73F9" w:rsidRDefault="00056100" w:rsidP="00B65CBD">
            <w:pPr>
              <w:pStyle w:val="TableBodyText"/>
              <w:spacing w:before="80"/>
              <w:ind w:left="57"/>
              <w:jc w:val="left"/>
            </w:pPr>
          </w:p>
        </w:tc>
        <w:tc>
          <w:tcPr>
            <w:tcW w:w="5865" w:type="dxa"/>
          </w:tcPr>
          <w:p w:rsidR="00056100" w:rsidRPr="00BB73F9" w:rsidRDefault="00AE7381" w:rsidP="00B65CBD">
            <w:pPr>
              <w:pStyle w:val="TableBodyText"/>
              <w:tabs>
                <w:tab w:val="left" w:pos="1065"/>
              </w:tabs>
              <w:spacing w:before="80"/>
              <w:ind w:left="57"/>
              <w:jc w:val="left"/>
            </w:pPr>
            <w:r w:rsidRPr="00AE7381">
              <w:t>The challenges in assessing the productivity of the non-market sector.</w:t>
            </w:r>
          </w:p>
        </w:tc>
        <w:tc>
          <w:tcPr>
            <w:tcW w:w="1286" w:type="dxa"/>
          </w:tcPr>
          <w:p w:rsidR="00056100" w:rsidRPr="00BB73F9" w:rsidRDefault="00170ECD" w:rsidP="00B65CBD">
            <w:pPr>
              <w:pStyle w:val="TableBodyText"/>
              <w:tabs>
                <w:tab w:val="left" w:pos="1065"/>
              </w:tabs>
              <w:spacing w:before="80"/>
              <w:ind w:left="57"/>
            </w:pPr>
            <w:r>
              <w:t>July 2012</w:t>
            </w:r>
          </w:p>
        </w:tc>
      </w:tr>
      <w:tr w:rsidR="00BB73F9" w:rsidRPr="00BB73F9" w:rsidTr="00E85F55">
        <w:tc>
          <w:tcPr>
            <w:tcW w:w="6299" w:type="dxa"/>
          </w:tcPr>
          <w:p w:rsidR="00056100" w:rsidRPr="00BB73F9" w:rsidRDefault="00170ECD" w:rsidP="00B65CBD">
            <w:pPr>
              <w:pStyle w:val="TableBodyText"/>
              <w:spacing w:before="80"/>
              <w:ind w:left="57"/>
              <w:jc w:val="left"/>
            </w:pPr>
            <w:proofErr w:type="spellStart"/>
            <w:r>
              <w:t>ACCC</w:t>
            </w:r>
            <w:proofErr w:type="spellEnd"/>
            <w:r>
              <w:t xml:space="preserve"> 2012 Regulatory Conference, Brisbane</w:t>
            </w:r>
          </w:p>
        </w:tc>
        <w:tc>
          <w:tcPr>
            <w:tcW w:w="172" w:type="dxa"/>
          </w:tcPr>
          <w:p w:rsidR="00056100" w:rsidRPr="00BB73F9" w:rsidRDefault="00056100" w:rsidP="00B65CBD">
            <w:pPr>
              <w:pStyle w:val="TableBodyText"/>
              <w:spacing w:before="80"/>
              <w:ind w:left="57"/>
              <w:jc w:val="left"/>
            </w:pPr>
          </w:p>
        </w:tc>
        <w:tc>
          <w:tcPr>
            <w:tcW w:w="5865" w:type="dxa"/>
          </w:tcPr>
          <w:p w:rsidR="00056100" w:rsidRPr="00BB73F9" w:rsidRDefault="00170ECD" w:rsidP="00B65CBD">
            <w:pPr>
              <w:pStyle w:val="TableBodyText"/>
              <w:spacing w:before="80"/>
              <w:ind w:left="57"/>
              <w:jc w:val="left"/>
            </w:pPr>
            <w:r>
              <w:t xml:space="preserve">Economic Reform </w:t>
            </w:r>
            <w:r w:rsidR="004D68C8">
              <w:t>and</w:t>
            </w:r>
            <w:r>
              <w:t xml:space="preserve"> Infrastructure </w:t>
            </w:r>
          </w:p>
        </w:tc>
        <w:tc>
          <w:tcPr>
            <w:tcW w:w="1286" w:type="dxa"/>
          </w:tcPr>
          <w:p w:rsidR="00056100" w:rsidRPr="00BB73F9" w:rsidRDefault="00170ECD" w:rsidP="00B65CBD">
            <w:pPr>
              <w:pStyle w:val="TableBodyText"/>
              <w:spacing w:before="80"/>
              <w:ind w:left="57"/>
            </w:pPr>
            <w:r>
              <w:t>July 2012</w:t>
            </w:r>
          </w:p>
        </w:tc>
      </w:tr>
      <w:tr w:rsidR="00BB73F9" w:rsidRPr="00BB73F9" w:rsidTr="00E85F55">
        <w:tc>
          <w:tcPr>
            <w:tcW w:w="6299" w:type="dxa"/>
          </w:tcPr>
          <w:p w:rsidR="00056100" w:rsidRPr="00BB73F9" w:rsidRDefault="00170ECD" w:rsidP="00B65CBD">
            <w:pPr>
              <w:pStyle w:val="TableBodyText"/>
              <w:spacing w:before="80"/>
              <w:ind w:left="57"/>
              <w:jc w:val="left"/>
            </w:pPr>
            <w:proofErr w:type="spellStart"/>
            <w:r>
              <w:t>APSC</w:t>
            </w:r>
            <w:proofErr w:type="spellEnd"/>
            <w:r>
              <w:t xml:space="preserve"> 2012 Australian Government Leadership Network Conference, Melbourne</w:t>
            </w:r>
          </w:p>
        </w:tc>
        <w:tc>
          <w:tcPr>
            <w:tcW w:w="172" w:type="dxa"/>
          </w:tcPr>
          <w:p w:rsidR="00056100" w:rsidRPr="00BB73F9" w:rsidRDefault="00056100" w:rsidP="00B65CBD">
            <w:pPr>
              <w:pStyle w:val="TableBodyText"/>
              <w:spacing w:before="80"/>
              <w:ind w:left="57"/>
              <w:jc w:val="left"/>
            </w:pPr>
          </w:p>
        </w:tc>
        <w:tc>
          <w:tcPr>
            <w:tcW w:w="5865" w:type="dxa"/>
          </w:tcPr>
          <w:p w:rsidR="00056100" w:rsidRPr="00BB73F9" w:rsidRDefault="00170ECD" w:rsidP="00B65CBD">
            <w:pPr>
              <w:pStyle w:val="TableBodyText"/>
              <w:spacing w:before="80"/>
              <w:ind w:left="57"/>
              <w:jc w:val="left"/>
            </w:pPr>
            <w:r>
              <w:t>Securing</w:t>
            </w:r>
            <w:r w:rsidR="00CE6CA2">
              <w:t xml:space="preserve"> (real) reform in ‘interesting times’</w:t>
            </w:r>
          </w:p>
        </w:tc>
        <w:tc>
          <w:tcPr>
            <w:tcW w:w="1286" w:type="dxa"/>
          </w:tcPr>
          <w:p w:rsidR="00056100" w:rsidRPr="00BB73F9" w:rsidRDefault="00CE6CA2" w:rsidP="00B65CBD">
            <w:pPr>
              <w:pStyle w:val="TableBodyText"/>
              <w:spacing w:before="80"/>
              <w:ind w:left="57"/>
            </w:pPr>
            <w:r>
              <w:t>Aug 2012</w:t>
            </w:r>
          </w:p>
        </w:tc>
      </w:tr>
      <w:tr w:rsidR="00BB73F9" w:rsidRPr="00BB73F9" w:rsidTr="00E85F55">
        <w:tc>
          <w:tcPr>
            <w:tcW w:w="6299" w:type="dxa"/>
          </w:tcPr>
          <w:p w:rsidR="00056100" w:rsidRPr="00BB73F9" w:rsidRDefault="00CE6CA2" w:rsidP="00B65CBD">
            <w:pPr>
              <w:pStyle w:val="TableBodyText"/>
              <w:spacing w:before="80"/>
              <w:ind w:left="57"/>
              <w:jc w:val="left"/>
            </w:pPr>
            <w:proofErr w:type="spellStart"/>
            <w:r>
              <w:t>ASIC</w:t>
            </w:r>
            <w:proofErr w:type="spellEnd"/>
            <w:r>
              <w:t xml:space="preserve"> Senior Executive Leaders Forum, </w:t>
            </w:r>
            <w:r w:rsidR="004D68C8" w:rsidRPr="004D68C8">
              <w:t>Sydney</w:t>
            </w:r>
          </w:p>
        </w:tc>
        <w:tc>
          <w:tcPr>
            <w:tcW w:w="172" w:type="dxa"/>
          </w:tcPr>
          <w:p w:rsidR="00056100" w:rsidRPr="00BB73F9" w:rsidRDefault="00056100" w:rsidP="00B65CBD">
            <w:pPr>
              <w:pStyle w:val="TableBodyText"/>
              <w:spacing w:before="80"/>
              <w:ind w:left="57"/>
              <w:jc w:val="left"/>
            </w:pPr>
          </w:p>
        </w:tc>
        <w:tc>
          <w:tcPr>
            <w:tcW w:w="5865" w:type="dxa"/>
          </w:tcPr>
          <w:p w:rsidR="00056100" w:rsidRPr="00BB73F9" w:rsidRDefault="00DC51A8" w:rsidP="00B65CBD">
            <w:pPr>
              <w:pStyle w:val="TableBodyText"/>
              <w:spacing w:before="80"/>
              <w:ind w:left="57"/>
              <w:jc w:val="left"/>
            </w:pPr>
            <w:r>
              <w:t>Managing industry relationships &amp; expectations to avoid perceptions of industry capture</w:t>
            </w:r>
          </w:p>
        </w:tc>
        <w:tc>
          <w:tcPr>
            <w:tcW w:w="1286" w:type="dxa"/>
          </w:tcPr>
          <w:p w:rsidR="00056100" w:rsidRPr="00BB73F9" w:rsidRDefault="00CE6CA2" w:rsidP="00B65CBD">
            <w:pPr>
              <w:pStyle w:val="TableBodyText"/>
              <w:spacing w:before="80"/>
              <w:ind w:left="57"/>
            </w:pPr>
            <w:r>
              <w:t>Sept 2012</w:t>
            </w:r>
          </w:p>
        </w:tc>
      </w:tr>
      <w:tr w:rsidR="00CE6CA2" w:rsidRPr="00BB73F9" w:rsidTr="006F4979">
        <w:tc>
          <w:tcPr>
            <w:tcW w:w="6299" w:type="dxa"/>
          </w:tcPr>
          <w:p w:rsidR="00CE6CA2" w:rsidRPr="00BB73F9" w:rsidRDefault="00CE6CA2" w:rsidP="00B65CBD">
            <w:pPr>
              <w:pStyle w:val="TableBodyText"/>
              <w:spacing w:before="80"/>
              <w:ind w:left="57"/>
              <w:jc w:val="left"/>
            </w:pPr>
            <w:r>
              <w:t>Institute of Public Administration Australia, Melbourne</w:t>
            </w:r>
          </w:p>
        </w:tc>
        <w:tc>
          <w:tcPr>
            <w:tcW w:w="172" w:type="dxa"/>
          </w:tcPr>
          <w:p w:rsidR="00CE6CA2" w:rsidRPr="00BB73F9" w:rsidRDefault="00CE6CA2" w:rsidP="00B65CBD">
            <w:pPr>
              <w:pStyle w:val="TableBodyText"/>
              <w:spacing w:before="80"/>
              <w:ind w:left="57"/>
              <w:jc w:val="left"/>
            </w:pPr>
          </w:p>
        </w:tc>
        <w:tc>
          <w:tcPr>
            <w:tcW w:w="5865" w:type="dxa"/>
          </w:tcPr>
          <w:p w:rsidR="00CE6CA2" w:rsidRPr="00CE6CA2" w:rsidRDefault="00CE6CA2" w:rsidP="00B3509B">
            <w:pPr>
              <w:pStyle w:val="TableBodyText"/>
              <w:spacing w:before="80"/>
              <w:ind w:left="57"/>
              <w:jc w:val="left"/>
            </w:pPr>
            <w:r>
              <w:t>Panel discussion at release of new Grattan Paper on role of think tanks in the development of public policy</w:t>
            </w:r>
          </w:p>
        </w:tc>
        <w:tc>
          <w:tcPr>
            <w:tcW w:w="1286" w:type="dxa"/>
          </w:tcPr>
          <w:p w:rsidR="00CE6CA2" w:rsidRPr="00BB73F9" w:rsidRDefault="00CE6CA2" w:rsidP="00B65CBD">
            <w:pPr>
              <w:pStyle w:val="TableBodyText"/>
              <w:spacing w:before="80"/>
              <w:ind w:left="57"/>
            </w:pPr>
            <w:r>
              <w:t>Sept 2012</w:t>
            </w:r>
          </w:p>
        </w:tc>
      </w:tr>
      <w:tr w:rsidR="00BB73F9" w:rsidRPr="00BB73F9" w:rsidTr="00E85F55">
        <w:tc>
          <w:tcPr>
            <w:tcW w:w="6299" w:type="dxa"/>
          </w:tcPr>
          <w:p w:rsidR="00056100" w:rsidRPr="00CE6CA2" w:rsidRDefault="00CE6CA2" w:rsidP="00B65CBD">
            <w:pPr>
              <w:pStyle w:val="TableBodyText"/>
              <w:spacing w:before="80"/>
              <w:ind w:left="57"/>
              <w:jc w:val="left"/>
              <w:rPr>
                <w:b/>
              </w:rPr>
            </w:pPr>
            <w:r>
              <w:t xml:space="preserve">COAG Reform Council, </w:t>
            </w:r>
            <w:r w:rsidR="004D68C8">
              <w:t>Melbourne</w:t>
            </w:r>
          </w:p>
        </w:tc>
        <w:tc>
          <w:tcPr>
            <w:tcW w:w="172" w:type="dxa"/>
          </w:tcPr>
          <w:p w:rsidR="00056100" w:rsidRPr="00BB73F9" w:rsidRDefault="00056100" w:rsidP="00B65CBD">
            <w:pPr>
              <w:pStyle w:val="TableBodyText"/>
              <w:spacing w:before="80"/>
              <w:ind w:left="57"/>
              <w:jc w:val="left"/>
            </w:pPr>
          </w:p>
        </w:tc>
        <w:tc>
          <w:tcPr>
            <w:tcW w:w="5865" w:type="dxa"/>
          </w:tcPr>
          <w:p w:rsidR="00056100" w:rsidRPr="00BB73F9" w:rsidRDefault="00CE6CA2" w:rsidP="00B65CBD">
            <w:pPr>
              <w:pStyle w:val="TableBodyText"/>
              <w:spacing w:before="80"/>
              <w:ind w:left="57"/>
              <w:jc w:val="left"/>
            </w:pPr>
            <w:r>
              <w:t>Designing regulatory reform for a federal system</w:t>
            </w:r>
          </w:p>
        </w:tc>
        <w:tc>
          <w:tcPr>
            <w:tcW w:w="1286" w:type="dxa"/>
          </w:tcPr>
          <w:p w:rsidR="00056100" w:rsidRPr="00BB73F9" w:rsidRDefault="00CE6CA2" w:rsidP="00B65CBD">
            <w:pPr>
              <w:pStyle w:val="TableBodyText"/>
              <w:spacing w:before="80"/>
              <w:ind w:left="57"/>
            </w:pPr>
            <w:r>
              <w:t>Sept 2012</w:t>
            </w:r>
          </w:p>
        </w:tc>
      </w:tr>
      <w:tr w:rsidR="00BB73F9" w:rsidRPr="00BB73F9" w:rsidTr="00E85F55">
        <w:tc>
          <w:tcPr>
            <w:tcW w:w="6299" w:type="dxa"/>
          </w:tcPr>
          <w:p w:rsidR="00D71312" w:rsidRPr="00B3509B" w:rsidRDefault="00CE6CA2" w:rsidP="00DC51A8">
            <w:pPr>
              <w:pStyle w:val="TableBodyText"/>
              <w:tabs>
                <w:tab w:val="left" w:pos="1065"/>
              </w:tabs>
              <w:spacing w:before="80"/>
              <w:ind w:left="57"/>
              <w:jc w:val="left"/>
            </w:pPr>
            <w:r>
              <w:t xml:space="preserve">Department of Human Services Strategic Policy Seminar Series, </w:t>
            </w:r>
            <w:r w:rsidR="00DC51A8">
              <w:t>Canberra</w:t>
            </w:r>
          </w:p>
        </w:tc>
        <w:tc>
          <w:tcPr>
            <w:tcW w:w="172" w:type="dxa"/>
          </w:tcPr>
          <w:p w:rsidR="00D71312" w:rsidRPr="00BB73F9" w:rsidRDefault="00D71312" w:rsidP="00B65CBD">
            <w:pPr>
              <w:pStyle w:val="TableBodyText"/>
              <w:spacing w:before="80"/>
              <w:ind w:left="57"/>
              <w:jc w:val="left"/>
            </w:pPr>
          </w:p>
        </w:tc>
        <w:tc>
          <w:tcPr>
            <w:tcW w:w="5865" w:type="dxa"/>
          </w:tcPr>
          <w:p w:rsidR="00D71312" w:rsidRPr="00BB73F9" w:rsidRDefault="00CE6CA2" w:rsidP="00B65CBD">
            <w:pPr>
              <w:pStyle w:val="TableBodyText"/>
              <w:spacing w:before="80"/>
              <w:ind w:left="57"/>
              <w:jc w:val="left"/>
            </w:pPr>
            <w:r>
              <w:t>Public trust in Government</w:t>
            </w:r>
          </w:p>
        </w:tc>
        <w:tc>
          <w:tcPr>
            <w:tcW w:w="1286" w:type="dxa"/>
          </w:tcPr>
          <w:p w:rsidR="00D71312" w:rsidRPr="00BB73F9" w:rsidRDefault="00CE6CA2" w:rsidP="00B65CBD">
            <w:pPr>
              <w:pStyle w:val="TableBodyText"/>
              <w:spacing w:before="80"/>
              <w:ind w:left="57"/>
            </w:pPr>
            <w:r>
              <w:t>Sept 2012</w:t>
            </w:r>
          </w:p>
        </w:tc>
      </w:tr>
      <w:tr w:rsidR="00BB73F9" w:rsidRPr="00BB73F9" w:rsidTr="00E85F55">
        <w:tc>
          <w:tcPr>
            <w:tcW w:w="6299" w:type="dxa"/>
          </w:tcPr>
          <w:p w:rsidR="00D71312" w:rsidRPr="00BB73F9" w:rsidRDefault="0049590F" w:rsidP="00B3509B">
            <w:pPr>
              <w:pStyle w:val="TableBodyText"/>
              <w:tabs>
                <w:tab w:val="left" w:pos="1065"/>
              </w:tabs>
              <w:spacing w:before="80"/>
              <w:ind w:left="57"/>
              <w:jc w:val="left"/>
            </w:pPr>
            <w:r>
              <w:t>OECD Global Forum on Public Governance, Paris</w:t>
            </w:r>
          </w:p>
        </w:tc>
        <w:tc>
          <w:tcPr>
            <w:tcW w:w="172" w:type="dxa"/>
          </w:tcPr>
          <w:p w:rsidR="00D71312" w:rsidRPr="00BB73F9" w:rsidRDefault="00D71312" w:rsidP="00B65CBD">
            <w:pPr>
              <w:pStyle w:val="TableBodyText"/>
              <w:spacing w:before="80"/>
              <w:ind w:left="57"/>
              <w:jc w:val="left"/>
            </w:pPr>
          </w:p>
        </w:tc>
        <w:tc>
          <w:tcPr>
            <w:tcW w:w="5865" w:type="dxa"/>
          </w:tcPr>
          <w:p w:rsidR="00D71312" w:rsidRPr="00BB73F9" w:rsidRDefault="0049590F" w:rsidP="00B65CBD">
            <w:pPr>
              <w:pStyle w:val="TableBodyText"/>
              <w:spacing w:before="80"/>
              <w:ind w:left="57"/>
              <w:jc w:val="left"/>
            </w:pPr>
            <w:r w:rsidRPr="0049590F">
              <w:t>Towards New Economic Thinking: Role of governance in promoting inclusive growth</w:t>
            </w:r>
          </w:p>
        </w:tc>
        <w:tc>
          <w:tcPr>
            <w:tcW w:w="1286" w:type="dxa"/>
          </w:tcPr>
          <w:p w:rsidR="00D71312" w:rsidRPr="00BB73F9" w:rsidRDefault="0049590F" w:rsidP="00B65CBD">
            <w:pPr>
              <w:pStyle w:val="TableBodyText"/>
              <w:spacing w:before="80"/>
              <w:ind w:left="57"/>
            </w:pPr>
            <w:r>
              <w:t>Nov 2012</w:t>
            </w:r>
          </w:p>
        </w:tc>
      </w:tr>
      <w:tr w:rsidR="0049590F" w:rsidRPr="00BB73F9" w:rsidTr="0049590F">
        <w:tc>
          <w:tcPr>
            <w:tcW w:w="6299" w:type="dxa"/>
          </w:tcPr>
          <w:p w:rsidR="0049590F" w:rsidRPr="00BB73F9" w:rsidRDefault="0049590F" w:rsidP="00B3509B">
            <w:pPr>
              <w:pStyle w:val="TableBodyText"/>
              <w:tabs>
                <w:tab w:val="left" w:pos="1065"/>
              </w:tabs>
              <w:spacing w:before="80"/>
              <w:ind w:left="57"/>
              <w:jc w:val="left"/>
            </w:pPr>
            <w:r>
              <w:t>ACT Economic Society, Canberra</w:t>
            </w:r>
          </w:p>
        </w:tc>
        <w:tc>
          <w:tcPr>
            <w:tcW w:w="172" w:type="dxa"/>
          </w:tcPr>
          <w:p w:rsidR="0049590F" w:rsidRPr="00BB73F9" w:rsidRDefault="0049590F" w:rsidP="00B65CBD">
            <w:pPr>
              <w:pStyle w:val="TableBodyText"/>
              <w:spacing w:before="80"/>
              <w:ind w:left="57"/>
              <w:jc w:val="left"/>
            </w:pPr>
          </w:p>
        </w:tc>
        <w:tc>
          <w:tcPr>
            <w:tcW w:w="5865" w:type="dxa"/>
          </w:tcPr>
          <w:p w:rsidR="0049590F" w:rsidRPr="00BB73F9" w:rsidRDefault="0049590F" w:rsidP="00B65CBD">
            <w:pPr>
              <w:pStyle w:val="TableBodyText"/>
              <w:spacing w:before="80"/>
              <w:ind w:left="57"/>
              <w:jc w:val="left"/>
            </w:pPr>
            <w:r>
              <w:t>Tricks and Traps of the Inquiry Trade</w:t>
            </w:r>
          </w:p>
        </w:tc>
        <w:tc>
          <w:tcPr>
            <w:tcW w:w="1286" w:type="dxa"/>
          </w:tcPr>
          <w:p w:rsidR="0049590F" w:rsidRPr="00BB73F9" w:rsidRDefault="0049590F" w:rsidP="00B65CBD">
            <w:pPr>
              <w:pStyle w:val="TableBodyText"/>
              <w:spacing w:before="80"/>
              <w:ind w:left="57"/>
            </w:pPr>
            <w:r>
              <w:t>Nov 2012</w:t>
            </w:r>
          </w:p>
        </w:tc>
      </w:tr>
      <w:tr w:rsidR="008A774B" w:rsidRPr="00BB73F9" w:rsidTr="0049590F">
        <w:tc>
          <w:tcPr>
            <w:tcW w:w="6299" w:type="dxa"/>
          </w:tcPr>
          <w:p w:rsidR="008A774B" w:rsidRDefault="008A774B" w:rsidP="00DC51A8">
            <w:pPr>
              <w:pStyle w:val="TableBodyText"/>
              <w:tabs>
                <w:tab w:val="left" w:pos="1065"/>
              </w:tabs>
              <w:spacing w:before="80"/>
              <w:ind w:left="57"/>
              <w:jc w:val="left"/>
            </w:pPr>
            <w:r>
              <w:t>World Trade Organisation Senior Management Retreat, France</w:t>
            </w:r>
          </w:p>
        </w:tc>
        <w:tc>
          <w:tcPr>
            <w:tcW w:w="172" w:type="dxa"/>
          </w:tcPr>
          <w:p w:rsidR="008A774B" w:rsidRPr="00BB73F9" w:rsidRDefault="008A774B" w:rsidP="00B65CBD">
            <w:pPr>
              <w:pStyle w:val="TableBodyText"/>
              <w:spacing w:before="80"/>
              <w:ind w:left="57"/>
              <w:jc w:val="left"/>
            </w:pPr>
          </w:p>
        </w:tc>
        <w:tc>
          <w:tcPr>
            <w:tcW w:w="5865" w:type="dxa"/>
          </w:tcPr>
          <w:p w:rsidR="008A774B" w:rsidRDefault="008A774B" w:rsidP="00B65CBD">
            <w:pPr>
              <w:pStyle w:val="TableBodyText"/>
              <w:spacing w:before="80"/>
              <w:ind w:left="57"/>
              <w:jc w:val="left"/>
            </w:pPr>
            <w:r>
              <w:t>Measuring  performance and managing public resources</w:t>
            </w:r>
          </w:p>
        </w:tc>
        <w:tc>
          <w:tcPr>
            <w:tcW w:w="1286" w:type="dxa"/>
          </w:tcPr>
          <w:p w:rsidR="008A774B" w:rsidRDefault="008A774B" w:rsidP="00B65CBD">
            <w:pPr>
              <w:pStyle w:val="TableBodyText"/>
              <w:spacing w:before="80"/>
              <w:ind w:left="57"/>
            </w:pPr>
            <w:r>
              <w:t>Nov 2012</w:t>
            </w:r>
          </w:p>
        </w:tc>
      </w:tr>
      <w:tr w:rsidR="008A774B" w:rsidRPr="00BB73F9" w:rsidTr="0049590F">
        <w:tc>
          <w:tcPr>
            <w:tcW w:w="6299" w:type="dxa"/>
          </w:tcPr>
          <w:p w:rsidR="008A774B" w:rsidRDefault="008A774B" w:rsidP="008A774B">
            <w:pPr>
              <w:pStyle w:val="TableBodyText"/>
              <w:tabs>
                <w:tab w:val="left" w:pos="1065"/>
              </w:tabs>
              <w:spacing w:before="80"/>
              <w:ind w:left="57"/>
              <w:jc w:val="left"/>
            </w:pPr>
            <w:r>
              <w:t>Economic &amp; Social Outlook Conference 2012,, Melbourne</w:t>
            </w:r>
          </w:p>
        </w:tc>
        <w:tc>
          <w:tcPr>
            <w:tcW w:w="172" w:type="dxa"/>
          </w:tcPr>
          <w:p w:rsidR="008A774B" w:rsidRPr="00BB73F9" w:rsidRDefault="008A774B" w:rsidP="00B65CBD">
            <w:pPr>
              <w:pStyle w:val="TableBodyText"/>
              <w:spacing w:before="80"/>
              <w:ind w:left="57"/>
              <w:jc w:val="left"/>
            </w:pPr>
          </w:p>
        </w:tc>
        <w:tc>
          <w:tcPr>
            <w:tcW w:w="5865" w:type="dxa"/>
          </w:tcPr>
          <w:p w:rsidR="008A774B" w:rsidRDefault="008A774B" w:rsidP="00B65CBD">
            <w:pPr>
              <w:pStyle w:val="TableBodyText"/>
              <w:spacing w:before="80"/>
              <w:ind w:left="57"/>
              <w:jc w:val="left"/>
            </w:pPr>
            <w:r>
              <w:t>Productivity policies: the ‘to do list’</w:t>
            </w:r>
          </w:p>
        </w:tc>
        <w:tc>
          <w:tcPr>
            <w:tcW w:w="1286" w:type="dxa"/>
          </w:tcPr>
          <w:p w:rsidR="008A774B" w:rsidRDefault="008A774B" w:rsidP="00B65CBD">
            <w:pPr>
              <w:pStyle w:val="TableBodyText"/>
              <w:spacing w:before="80"/>
              <w:ind w:left="57"/>
            </w:pPr>
            <w:r>
              <w:t>Nov 2012</w:t>
            </w:r>
          </w:p>
        </w:tc>
      </w:tr>
      <w:tr w:rsidR="0049590F" w:rsidRPr="00BD0DF3" w:rsidTr="0049590F">
        <w:tc>
          <w:tcPr>
            <w:tcW w:w="6299" w:type="dxa"/>
          </w:tcPr>
          <w:p w:rsidR="0049590F" w:rsidRPr="00BD0DF3" w:rsidRDefault="0049590F" w:rsidP="00AF0FB2">
            <w:pPr>
              <w:pStyle w:val="TableBodyText"/>
              <w:spacing w:before="120"/>
              <w:ind w:left="57"/>
              <w:jc w:val="left"/>
              <w:rPr>
                <w:b/>
              </w:rPr>
            </w:pPr>
            <w:r w:rsidRPr="00BD0DF3">
              <w:rPr>
                <w:b/>
              </w:rPr>
              <w:t>Peter Harris</w:t>
            </w:r>
            <w:r w:rsidR="003D56E0" w:rsidRPr="00BD0DF3">
              <w:rPr>
                <w:b/>
              </w:rPr>
              <w:t xml:space="preserve"> AO</w:t>
            </w:r>
            <w:r w:rsidRPr="00BD0DF3">
              <w:rPr>
                <w:b/>
              </w:rPr>
              <w:t>, Chair</w:t>
            </w:r>
            <w:r w:rsidR="003D56E0" w:rsidRPr="00BD0DF3">
              <w:rPr>
                <w:b/>
              </w:rPr>
              <w:t xml:space="preserve"> </w:t>
            </w:r>
            <w:r w:rsidR="003D56E0" w:rsidRPr="00BD0DF3">
              <w:rPr>
                <w:sz w:val="18"/>
                <w:szCs w:val="18"/>
              </w:rPr>
              <w:t>(current)</w:t>
            </w:r>
          </w:p>
        </w:tc>
        <w:tc>
          <w:tcPr>
            <w:tcW w:w="172" w:type="dxa"/>
          </w:tcPr>
          <w:p w:rsidR="0049590F" w:rsidRPr="00056100" w:rsidRDefault="0049590F" w:rsidP="006F4979">
            <w:pPr>
              <w:pStyle w:val="TableBodyText"/>
              <w:spacing w:before="120"/>
              <w:ind w:left="57"/>
              <w:jc w:val="left"/>
              <w:rPr>
                <w:b/>
              </w:rPr>
            </w:pPr>
          </w:p>
        </w:tc>
        <w:tc>
          <w:tcPr>
            <w:tcW w:w="5865" w:type="dxa"/>
          </w:tcPr>
          <w:p w:rsidR="0049590F" w:rsidRPr="00056100" w:rsidRDefault="0049590F" w:rsidP="006F4979">
            <w:pPr>
              <w:pStyle w:val="TableBodyText"/>
              <w:spacing w:before="120"/>
              <w:ind w:left="57"/>
              <w:jc w:val="left"/>
              <w:rPr>
                <w:b/>
              </w:rPr>
            </w:pPr>
          </w:p>
        </w:tc>
        <w:tc>
          <w:tcPr>
            <w:tcW w:w="1286" w:type="dxa"/>
          </w:tcPr>
          <w:p w:rsidR="0049590F" w:rsidRPr="00056100" w:rsidRDefault="0049590F" w:rsidP="00BD0DF3">
            <w:pPr>
              <w:pStyle w:val="TableBodyText"/>
              <w:spacing w:before="120"/>
              <w:ind w:left="57"/>
              <w:jc w:val="left"/>
              <w:rPr>
                <w:b/>
              </w:rPr>
            </w:pPr>
          </w:p>
        </w:tc>
      </w:tr>
      <w:tr w:rsidR="0049590F" w:rsidRPr="00BB73F9" w:rsidTr="0049590F">
        <w:tc>
          <w:tcPr>
            <w:tcW w:w="6299" w:type="dxa"/>
          </w:tcPr>
          <w:p w:rsidR="0049590F" w:rsidRPr="00B3509B" w:rsidRDefault="0049590F" w:rsidP="00F36D42">
            <w:pPr>
              <w:pStyle w:val="TableBodyText"/>
              <w:tabs>
                <w:tab w:val="left" w:pos="1065"/>
              </w:tabs>
              <w:spacing w:before="80"/>
              <w:ind w:left="57"/>
              <w:jc w:val="left"/>
            </w:pPr>
            <w:proofErr w:type="spellStart"/>
            <w:r>
              <w:t>IPAA</w:t>
            </w:r>
            <w:proofErr w:type="spellEnd"/>
            <w:r>
              <w:t xml:space="preserve"> Regional Conference, </w:t>
            </w:r>
            <w:r w:rsidR="00F36D42">
              <w:t>Wagga Wagga</w:t>
            </w:r>
          </w:p>
        </w:tc>
        <w:tc>
          <w:tcPr>
            <w:tcW w:w="172" w:type="dxa"/>
          </w:tcPr>
          <w:p w:rsidR="0049590F" w:rsidRPr="00BB73F9" w:rsidRDefault="0049590F" w:rsidP="00B65CBD">
            <w:pPr>
              <w:pStyle w:val="TableBodyText"/>
              <w:spacing w:before="80"/>
              <w:ind w:left="57"/>
              <w:jc w:val="left"/>
            </w:pPr>
          </w:p>
        </w:tc>
        <w:tc>
          <w:tcPr>
            <w:tcW w:w="5865" w:type="dxa"/>
          </w:tcPr>
          <w:p w:rsidR="0049590F" w:rsidRPr="00BB73F9" w:rsidRDefault="0049590F" w:rsidP="00B65CBD">
            <w:pPr>
              <w:pStyle w:val="TableBodyText"/>
              <w:spacing w:before="80"/>
              <w:ind w:left="57"/>
              <w:jc w:val="left"/>
            </w:pPr>
            <w:r>
              <w:t>An overview on utilising technology to innovate the design and delivery of large projects</w:t>
            </w:r>
          </w:p>
        </w:tc>
        <w:tc>
          <w:tcPr>
            <w:tcW w:w="1286" w:type="dxa"/>
          </w:tcPr>
          <w:p w:rsidR="0049590F" w:rsidRPr="00BB73F9" w:rsidRDefault="0049590F" w:rsidP="00B65CBD">
            <w:pPr>
              <w:pStyle w:val="TableBodyText"/>
              <w:spacing w:before="80"/>
              <w:ind w:left="57"/>
            </w:pPr>
            <w:r>
              <w:t>March 2013</w:t>
            </w:r>
          </w:p>
        </w:tc>
      </w:tr>
      <w:tr w:rsidR="0049590F" w:rsidRPr="00BB73F9" w:rsidTr="006F4979">
        <w:tc>
          <w:tcPr>
            <w:tcW w:w="6299" w:type="dxa"/>
          </w:tcPr>
          <w:p w:rsidR="0049590F" w:rsidRPr="00BB73F9" w:rsidRDefault="0049590F" w:rsidP="00B3509B">
            <w:pPr>
              <w:pStyle w:val="TableBodyText"/>
              <w:tabs>
                <w:tab w:val="left" w:pos="1065"/>
              </w:tabs>
              <w:spacing w:before="80"/>
              <w:ind w:left="57"/>
              <w:jc w:val="left"/>
            </w:pPr>
            <w:r>
              <w:t>National Security College s</w:t>
            </w:r>
            <w:r w:rsidRPr="0049590F">
              <w:t>trategy planning and implementation in the National Security Community Session Plan</w:t>
            </w:r>
            <w:r>
              <w:t>, Canberra</w:t>
            </w:r>
          </w:p>
        </w:tc>
        <w:tc>
          <w:tcPr>
            <w:tcW w:w="172" w:type="dxa"/>
          </w:tcPr>
          <w:p w:rsidR="0049590F" w:rsidRPr="00BB73F9" w:rsidRDefault="0049590F" w:rsidP="00B65CBD">
            <w:pPr>
              <w:pStyle w:val="TableBodyText"/>
              <w:spacing w:before="80"/>
              <w:ind w:left="57"/>
              <w:jc w:val="left"/>
            </w:pPr>
          </w:p>
        </w:tc>
        <w:tc>
          <w:tcPr>
            <w:tcW w:w="5865" w:type="dxa"/>
          </w:tcPr>
          <w:p w:rsidR="0049590F" w:rsidRPr="00BB73F9" w:rsidRDefault="0049590F" w:rsidP="00B65CBD">
            <w:pPr>
              <w:pStyle w:val="TableBodyText"/>
              <w:spacing w:before="80"/>
              <w:ind w:left="57"/>
              <w:jc w:val="left"/>
            </w:pPr>
            <w:r>
              <w:t xml:space="preserve">Implementing Strategy: the </w:t>
            </w:r>
            <w:proofErr w:type="spellStart"/>
            <w:r>
              <w:t>NBN</w:t>
            </w:r>
            <w:proofErr w:type="spellEnd"/>
            <w:r>
              <w:t xml:space="preserve"> Network</w:t>
            </w:r>
          </w:p>
        </w:tc>
        <w:tc>
          <w:tcPr>
            <w:tcW w:w="1286" w:type="dxa"/>
          </w:tcPr>
          <w:p w:rsidR="0049590F" w:rsidRPr="00BB73F9" w:rsidRDefault="0049590F" w:rsidP="00B65CBD">
            <w:pPr>
              <w:pStyle w:val="TableBodyText"/>
              <w:spacing w:before="80"/>
              <w:ind w:left="57"/>
            </w:pPr>
            <w:r>
              <w:t>April 2013</w:t>
            </w:r>
          </w:p>
        </w:tc>
      </w:tr>
      <w:tr w:rsidR="0049590F" w:rsidRPr="00BB73F9" w:rsidTr="006F4979">
        <w:tc>
          <w:tcPr>
            <w:tcW w:w="6299" w:type="dxa"/>
          </w:tcPr>
          <w:p w:rsidR="0049590F" w:rsidRPr="00BB73F9" w:rsidRDefault="0049590F" w:rsidP="00B3509B">
            <w:pPr>
              <w:pStyle w:val="TableBodyText"/>
              <w:tabs>
                <w:tab w:val="left" w:pos="1065"/>
              </w:tabs>
              <w:spacing w:before="80"/>
              <w:ind w:left="57"/>
              <w:jc w:val="left"/>
            </w:pPr>
            <w:r>
              <w:t>The ‘Productivity Agenda’ Conference, Sydney</w:t>
            </w:r>
          </w:p>
        </w:tc>
        <w:tc>
          <w:tcPr>
            <w:tcW w:w="172" w:type="dxa"/>
          </w:tcPr>
          <w:p w:rsidR="0049590F" w:rsidRPr="00BB73F9" w:rsidRDefault="0049590F" w:rsidP="00B65CBD">
            <w:pPr>
              <w:pStyle w:val="TableBodyText"/>
              <w:spacing w:before="80"/>
              <w:ind w:left="57"/>
              <w:jc w:val="left"/>
            </w:pPr>
          </w:p>
        </w:tc>
        <w:tc>
          <w:tcPr>
            <w:tcW w:w="5865" w:type="dxa"/>
          </w:tcPr>
          <w:p w:rsidR="0049590F" w:rsidRPr="00BB73F9" w:rsidRDefault="0049590F" w:rsidP="00B65CBD">
            <w:pPr>
              <w:pStyle w:val="TableBodyText"/>
              <w:spacing w:before="80"/>
              <w:ind w:left="57"/>
              <w:jc w:val="left"/>
            </w:pPr>
            <w:r>
              <w:t>The Productivity Reform Outlook – creating an expectations effect in support of continuous reform</w:t>
            </w:r>
          </w:p>
        </w:tc>
        <w:tc>
          <w:tcPr>
            <w:tcW w:w="1286" w:type="dxa"/>
          </w:tcPr>
          <w:p w:rsidR="0049590F" w:rsidRPr="00BB73F9" w:rsidRDefault="0049590F" w:rsidP="00B65CBD">
            <w:pPr>
              <w:pStyle w:val="TableBodyText"/>
              <w:spacing w:before="80"/>
              <w:ind w:left="57"/>
            </w:pPr>
            <w:r>
              <w:t>May 2013</w:t>
            </w:r>
          </w:p>
        </w:tc>
      </w:tr>
      <w:tr w:rsidR="0049590F" w:rsidRPr="00BB73F9" w:rsidTr="006F4979">
        <w:tc>
          <w:tcPr>
            <w:tcW w:w="6299" w:type="dxa"/>
          </w:tcPr>
          <w:p w:rsidR="0049590F" w:rsidRPr="00BB73F9" w:rsidRDefault="0049590F" w:rsidP="00B3509B">
            <w:pPr>
              <w:pStyle w:val="TableBodyText"/>
              <w:tabs>
                <w:tab w:val="left" w:pos="1065"/>
              </w:tabs>
              <w:spacing w:before="80"/>
              <w:ind w:left="57"/>
              <w:jc w:val="left"/>
            </w:pPr>
            <w:proofErr w:type="spellStart"/>
            <w:r>
              <w:lastRenderedPageBreak/>
              <w:t>ACCC</w:t>
            </w:r>
            <w:proofErr w:type="spellEnd"/>
            <w:r>
              <w:t xml:space="preserve"> Senior Management Conference, Melbourne</w:t>
            </w:r>
          </w:p>
        </w:tc>
        <w:tc>
          <w:tcPr>
            <w:tcW w:w="172" w:type="dxa"/>
          </w:tcPr>
          <w:p w:rsidR="0049590F" w:rsidRPr="00BB73F9" w:rsidRDefault="0049590F" w:rsidP="00B65CBD">
            <w:pPr>
              <w:pStyle w:val="TableBodyText"/>
              <w:spacing w:before="80"/>
              <w:ind w:left="57"/>
              <w:jc w:val="left"/>
            </w:pPr>
          </w:p>
        </w:tc>
        <w:tc>
          <w:tcPr>
            <w:tcW w:w="5865" w:type="dxa"/>
          </w:tcPr>
          <w:p w:rsidR="0049590F" w:rsidRPr="00BB73F9" w:rsidRDefault="00F36D42" w:rsidP="00B65CBD">
            <w:pPr>
              <w:pStyle w:val="TableBodyText"/>
              <w:spacing w:before="80"/>
              <w:ind w:left="57"/>
              <w:jc w:val="left"/>
            </w:pPr>
            <w:r>
              <w:t>The next twenty years</w:t>
            </w:r>
          </w:p>
        </w:tc>
        <w:tc>
          <w:tcPr>
            <w:tcW w:w="1286" w:type="dxa"/>
          </w:tcPr>
          <w:p w:rsidR="0049590F" w:rsidRPr="00BB73F9" w:rsidRDefault="0049590F" w:rsidP="00B65CBD">
            <w:pPr>
              <w:pStyle w:val="TableBodyText"/>
              <w:spacing w:before="80"/>
              <w:ind w:left="57"/>
            </w:pPr>
            <w:r>
              <w:t>May 2013</w:t>
            </w:r>
          </w:p>
        </w:tc>
      </w:tr>
      <w:tr w:rsidR="0049590F" w:rsidRPr="00BB73F9" w:rsidTr="006F4979">
        <w:tc>
          <w:tcPr>
            <w:tcW w:w="6299" w:type="dxa"/>
          </w:tcPr>
          <w:p w:rsidR="0049590F" w:rsidRPr="00BB73F9" w:rsidRDefault="00302FD5" w:rsidP="00302FD5">
            <w:pPr>
              <w:pStyle w:val="TableBodyText"/>
              <w:tabs>
                <w:tab w:val="left" w:pos="1065"/>
              </w:tabs>
              <w:spacing w:before="80"/>
              <w:ind w:left="57"/>
              <w:jc w:val="left"/>
            </w:pPr>
            <w:r>
              <w:t>GAP/</w:t>
            </w:r>
            <w:proofErr w:type="spellStart"/>
            <w:r w:rsidR="00935997">
              <w:t>ACHR</w:t>
            </w:r>
            <w:proofErr w:type="spellEnd"/>
            <w:r w:rsidR="00935997">
              <w:t xml:space="preserve"> </w:t>
            </w:r>
            <w:r>
              <w:t xml:space="preserve">Conference on </w:t>
            </w:r>
            <w:r w:rsidR="00935997">
              <w:t>Productive Ageing, Sydney</w:t>
            </w:r>
          </w:p>
        </w:tc>
        <w:tc>
          <w:tcPr>
            <w:tcW w:w="172" w:type="dxa"/>
          </w:tcPr>
          <w:p w:rsidR="0049590F" w:rsidRPr="00BB73F9" w:rsidRDefault="0049590F" w:rsidP="00B65CBD">
            <w:pPr>
              <w:pStyle w:val="TableBodyText"/>
              <w:spacing w:before="80"/>
              <w:ind w:left="57"/>
              <w:jc w:val="left"/>
            </w:pPr>
          </w:p>
        </w:tc>
        <w:tc>
          <w:tcPr>
            <w:tcW w:w="5865" w:type="dxa"/>
          </w:tcPr>
          <w:p w:rsidR="0049590F" w:rsidRPr="00BB73F9" w:rsidRDefault="0058455F" w:rsidP="00B65CBD">
            <w:pPr>
              <w:pStyle w:val="TableBodyText"/>
              <w:spacing w:before="80"/>
              <w:ind w:left="57"/>
              <w:jc w:val="left"/>
            </w:pPr>
            <w:r>
              <w:t>Productive Ageing</w:t>
            </w:r>
          </w:p>
        </w:tc>
        <w:tc>
          <w:tcPr>
            <w:tcW w:w="1286" w:type="dxa"/>
          </w:tcPr>
          <w:p w:rsidR="0049590F" w:rsidRPr="00BB73F9" w:rsidRDefault="00935997" w:rsidP="00B65CBD">
            <w:pPr>
              <w:pStyle w:val="TableBodyText"/>
              <w:spacing w:before="80"/>
              <w:ind w:left="57"/>
            </w:pPr>
            <w:r>
              <w:t>May 2013</w:t>
            </w:r>
          </w:p>
        </w:tc>
      </w:tr>
      <w:tr w:rsidR="00F36D42" w:rsidRPr="00BB73F9" w:rsidTr="006F4979">
        <w:tc>
          <w:tcPr>
            <w:tcW w:w="6299" w:type="dxa"/>
          </w:tcPr>
          <w:p w:rsidR="00F36D42" w:rsidRDefault="00302FD5" w:rsidP="006F4979">
            <w:pPr>
              <w:pStyle w:val="TableBodyText"/>
              <w:tabs>
                <w:tab w:val="left" w:pos="1065"/>
              </w:tabs>
              <w:spacing w:before="80"/>
              <w:ind w:left="57"/>
              <w:jc w:val="left"/>
            </w:pPr>
            <w:proofErr w:type="spellStart"/>
            <w:r>
              <w:t>ACCI</w:t>
            </w:r>
            <w:proofErr w:type="spellEnd"/>
            <w:r>
              <w:t xml:space="preserve"> Productivity Leadership Forum, Canberra</w:t>
            </w:r>
          </w:p>
        </w:tc>
        <w:tc>
          <w:tcPr>
            <w:tcW w:w="172" w:type="dxa"/>
          </w:tcPr>
          <w:p w:rsidR="00F36D42" w:rsidRPr="00BB73F9" w:rsidRDefault="00F36D42" w:rsidP="006F4979">
            <w:pPr>
              <w:pStyle w:val="TableBodyText"/>
              <w:spacing w:before="80"/>
              <w:ind w:left="57"/>
              <w:jc w:val="left"/>
            </w:pPr>
          </w:p>
        </w:tc>
        <w:tc>
          <w:tcPr>
            <w:tcW w:w="5865" w:type="dxa"/>
          </w:tcPr>
          <w:p w:rsidR="00F36D42" w:rsidRDefault="00F36D42" w:rsidP="006F4979">
            <w:pPr>
              <w:pStyle w:val="TableBodyText"/>
              <w:spacing w:before="80"/>
              <w:ind w:left="57"/>
              <w:jc w:val="left"/>
            </w:pPr>
            <w:r>
              <w:t>The importance of key drivers of productivity</w:t>
            </w:r>
          </w:p>
        </w:tc>
        <w:tc>
          <w:tcPr>
            <w:tcW w:w="1286" w:type="dxa"/>
          </w:tcPr>
          <w:p w:rsidR="00F36D42" w:rsidRDefault="00F36D42" w:rsidP="006F4979">
            <w:pPr>
              <w:pStyle w:val="TableBodyText"/>
              <w:spacing w:before="80"/>
              <w:ind w:left="57"/>
            </w:pPr>
            <w:r>
              <w:t>June 2013</w:t>
            </w:r>
          </w:p>
        </w:tc>
      </w:tr>
      <w:tr w:rsidR="0049590F" w:rsidRPr="00BB73F9" w:rsidTr="006F4979">
        <w:tc>
          <w:tcPr>
            <w:tcW w:w="6299" w:type="dxa"/>
          </w:tcPr>
          <w:p w:rsidR="0049590F" w:rsidRPr="00BB73F9" w:rsidRDefault="00935997" w:rsidP="00B3509B">
            <w:pPr>
              <w:pStyle w:val="TableBodyText"/>
              <w:tabs>
                <w:tab w:val="left" w:pos="1065"/>
              </w:tabs>
              <w:spacing w:before="80"/>
              <w:ind w:left="57"/>
              <w:jc w:val="left"/>
            </w:pPr>
            <w:proofErr w:type="spellStart"/>
            <w:r>
              <w:t>CEDA</w:t>
            </w:r>
            <w:proofErr w:type="spellEnd"/>
            <w:r>
              <w:t xml:space="preserve"> State of the Nation Conference, Canberra</w:t>
            </w:r>
          </w:p>
        </w:tc>
        <w:tc>
          <w:tcPr>
            <w:tcW w:w="172" w:type="dxa"/>
          </w:tcPr>
          <w:p w:rsidR="0049590F" w:rsidRPr="00BB73F9" w:rsidRDefault="0049590F" w:rsidP="00B65CBD">
            <w:pPr>
              <w:pStyle w:val="TableBodyText"/>
              <w:spacing w:before="80"/>
              <w:ind w:left="57"/>
              <w:jc w:val="left"/>
            </w:pPr>
          </w:p>
        </w:tc>
        <w:tc>
          <w:tcPr>
            <w:tcW w:w="5865" w:type="dxa"/>
          </w:tcPr>
          <w:p w:rsidR="0049590F" w:rsidRPr="00BB73F9" w:rsidRDefault="00935997" w:rsidP="00B65CBD">
            <w:pPr>
              <w:pStyle w:val="TableBodyText"/>
              <w:spacing w:before="80"/>
              <w:ind w:left="57"/>
              <w:jc w:val="left"/>
            </w:pPr>
            <w:r>
              <w:t>Setting the scene: the economy, productivity and structural reform</w:t>
            </w:r>
          </w:p>
        </w:tc>
        <w:tc>
          <w:tcPr>
            <w:tcW w:w="1286" w:type="dxa"/>
          </w:tcPr>
          <w:p w:rsidR="0049590F" w:rsidRPr="00BB73F9" w:rsidRDefault="00935997" w:rsidP="00B65CBD">
            <w:pPr>
              <w:pStyle w:val="TableBodyText"/>
              <w:spacing w:before="80"/>
              <w:ind w:left="57"/>
            </w:pPr>
            <w:r>
              <w:t>June 2013</w:t>
            </w:r>
          </w:p>
        </w:tc>
      </w:tr>
      <w:tr w:rsidR="00BB73F9" w:rsidRPr="00BB73F9" w:rsidTr="00E85F55">
        <w:tc>
          <w:tcPr>
            <w:tcW w:w="6299" w:type="dxa"/>
          </w:tcPr>
          <w:p w:rsidR="00D71312" w:rsidRPr="00BB73F9" w:rsidRDefault="00D71312" w:rsidP="0058455F">
            <w:pPr>
              <w:pStyle w:val="TableBodyText"/>
              <w:spacing w:before="120"/>
              <w:ind w:left="57"/>
              <w:jc w:val="left"/>
              <w:rPr>
                <w:b/>
              </w:rPr>
            </w:pPr>
            <w:r w:rsidRPr="00BB73F9">
              <w:rPr>
                <w:b/>
              </w:rPr>
              <w:t>Commissioners:</w:t>
            </w:r>
          </w:p>
        </w:tc>
        <w:tc>
          <w:tcPr>
            <w:tcW w:w="172" w:type="dxa"/>
          </w:tcPr>
          <w:p w:rsidR="00D71312" w:rsidRPr="00BB73F9" w:rsidRDefault="00D71312" w:rsidP="0058455F">
            <w:pPr>
              <w:pStyle w:val="TableBodyText"/>
              <w:spacing w:before="120"/>
              <w:ind w:left="57"/>
              <w:jc w:val="left"/>
              <w:rPr>
                <w:b/>
              </w:rPr>
            </w:pPr>
          </w:p>
        </w:tc>
        <w:tc>
          <w:tcPr>
            <w:tcW w:w="5865" w:type="dxa"/>
          </w:tcPr>
          <w:p w:rsidR="00D71312" w:rsidRPr="00BB73F9" w:rsidRDefault="00D71312" w:rsidP="0058455F">
            <w:pPr>
              <w:pStyle w:val="TableBodyText"/>
              <w:spacing w:before="120"/>
              <w:ind w:left="57"/>
              <w:jc w:val="left"/>
              <w:rPr>
                <w:b/>
              </w:rPr>
            </w:pPr>
          </w:p>
        </w:tc>
        <w:tc>
          <w:tcPr>
            <w:tcW w:w="1286" w:type="dxa"/>
          </w:tcPr>
          <w:p w:rsidR="00D71312" w:rsidRPr="00BB73F9" w:rsidRDefault="00D71312" w:rsidP="0058455F">
            <w:pPr>
              <w:pStyle w:val="TableBodyText"/>
              <w:spacing w:before="120"/>
              <w:ind w:left="57"/>
              <w:rPr>
                <w:b/>
              </w:rPr>
            </w:pPr>
          </w:p>
        </w:tc>
      </w:tr>
      <w:tr w:rsidR="003D56E0" w:rsidRPr="00BB73F9" w:rsidTr="0020609B">
        <w:tc>
          <w:tcPr>
            <w:tcW w:w="6299" w:type="dxa"/>
          </w:tcPr>
          <w:p w:rsidR="003D56E0" w:rsidRPr="00BB73F9" w:rsidRDefault="003D56E0" w:rsidP="00B3509B">
            <w:pPr>
              <w:pStyle w:val="TableBodyText"/>
              <w:tabs>
                <w:tab w:val="left" w:pos="1065"/>
              </w:tabs>
              <w:spacing w:before="80"/>
              <w:ind w:left="57"/>
              <w:jc w:val="left"/>
            </w:pPr>
            <w:r>
              <w:t>Retail Council first meeting, Sydney (Philip Weickhardt)</w:t>
            </w:r>
          </w:p>
        </w:tc>
        <w:tc>
          <w:tcPr>
            <w:tcW w:w="172" w:type="dxa"/>
          </w:tcPr>
          <w:p w:rsidR="003D56E0" w:rsidRPr="00BB73F9" w:rsidRDefault="003D56E0" w:rsidP="00B65CBD">
            <w:pPr>
              <w:pStyle w:val="TableBodyText"/>
              <w:spacing w:before="80"/>
              <w:ind w:left="57"/>
              <w:jc w:val="left"/>
            </w:pPr>
          </w:p>
        </w:tc>
        <w:tc>
          <w:tcPr>
            <w:tcW w:w="5865" w:type="dxa"/>
          </w:tcPr>
          <w:p w:rsidR="003D56E0" w:rsidRPr="003D56E0" w:rsidRDefault="003D56E0" w:rsidP="00B3509B">
            <w:pPr>
              <w:pStyle w:val="TableBodyText"/>
              <w:spacing w:before="80"/>
              <w:ind w:left="57"/>
              <w:jc w:val="left"/>
            </w:pPr>
            <w:r w:rsidRPr="003D56E0">
              <w:t>Commission’s inquiry into the Economic Structure and Performance of the Australian Retail industry</w:t>
            </w:r>
          </w:p>
        </w:tc>
        <w:tc>
          <w:tcPr>
            <w:tcW w:w="1286" w:type="dxa"/>
          </w:tcPr>
          <w:p w:rsidR="003D56E0" w:rsidRPr="00BB73F9" w:rsidRDefault="003D56E0" w:rsidP="00B65CBD">
            <w:pPr>
              <w:pStyle w:val="TableBodyText"/>
              <w:spacing w:before="80"/>
              <w:ind w:left="57"/>
            </w:pPr>
            <w:r>
              <w:t>July 2012</w:t>
            </w:r>
          </w:p>
        </w:tc>
      </w:tr>
      <w:tr w:rsidR="003D56E0" w:rsidRPr="00BB73F9" w:rsidTr="0020609B">
        <w:tc>
          <w:tcPr>
            <w:tcW w:w="6299" w:type="dxa"/>
          </w:tcPr>
          <w:p w:rsidR="003D56E0" w:rsidRPr="00BB73F9" w:rsidRDefault="003D56E0" w:rsidP="00B3509B">
            <w:pPr>
              <w:pStyle w:val="TableBodyText"/>
              <w:tabs>
                <w:tab w:val="left" w:pos="1065"/>
              </w:tabs>
              <w:spacing w:before="80"/>
              <w:ind w:left="57"/>
              <w:jc w:val="left"/>
            </w:pPr>
            <w:r>
              <w:t>Australian Economic Forum, Sydney (Philip Weickhardt)</w:t>
            </w:r>
          </w:p>
        </w:tc>
        <w:tc>
          <w:tcPr>
            <w:tcW w:w="172" w:type="dxa"/>
          </w:tcPr>
          <w:p w:rsidR="003D56E0" w:rsidRPr="00BB73F9" w:rsidRDefault="003D56E0" w:rsidP="00B65CBD">
            <w:pPr>
              <w:pStyle w:val="TableBodyText"/>
              <w:spacing w:before="80"/>
              <w:ind w:left="57"/>
              <w:jc w:val="left"/>
            </w:pPr>
          </w:p>
        </w:tc>
        <w:tc>
          <w:tcPr>
            <w:tcW w:w="5865" w:type="dxa"/>
          </w:tcPr>
          <w:p w:rsidR="003D56E0" w:rsidRPr="003D56E0" w:rsidRDefault="003D56E0" w:rsidP="00B3509B">
            <w:pPr>
              <w:pStyle w:val="TableBodyText"/>
              <w:spacing w:before="80"/>
              <w:ind w:left="57"/>
              <w:jc w:val="left"/>
            </w:pPr>
            <w:r w:rsidRPr="003D56E0">
              <w:t>Energy Pricing Session</w:t>
            </w:r>
          </w:p>
        </w:tc>
        <w:tc>
          <w:tcPr>
            <w:tcW w:w="1286" w:type="dxa"/>
          </w:tcPr>
          <w:p w:rsidR="003D56E0" w:rsidRPr="00BB73F9" w:rsidRDefault="003D56E0" w:rsidP="00B65CBD">
            <w:pPr>
              <w:pStyle w:val="TableBodyText"/>
              <w:spacing w:before="80"/>
              <w:ind w:left="57"/>
            </w:pPr>
            <w:r>
              <w:t>July 2012</w:t>
            </w:r>
          </w:p>
        </w:tc>
      </w:tr>
      <w:tr w:rsidR="003D56E0" w:rsidRPr="00BB73F9" w:rsidTr="0020609B">
        <w:tc>
          <w:tcPr>
            <w:tcW w:w="6299" w:type="dxa"/>
          </w:tcPr>
          <w:p w:rsidR="003D56E0" w:rsidRPr="003D56E0" w:rsidRDefault="003D56E0" w:rsidP="006F4979">
            <w:pPr>
              <w:pStyle w:val="TableBodyText"/>
              <w:tabs>
                <w:tab w:val="left" w:pos="1065"/>
              </w:tabs>
              <w:spacing w:before="80"/>
              <w:ind w:left="57"/>
              <w:jc w:val="left"/>
            </w:pPr>
            <w:r>
              <w:t>15</w:t>
            </w:r>
            <w:r w:rsidRPr="00B3509B">
              <w:t>th</w:t>
            </w:r>
            <w:r>
              <w:t xml:space="preserve"> National Con</w:t>
            </w:r>
            <w:r w:rsidR="003B32BA">
              <w:t>ference on Generation Next 2012</w:t>
            </w:r>
            <w:r>
              <w:t>,</w:t>
            </w:r>
            <w:r w:rsidRPr="00B3509B">
              <w:t xml:space="preserve"> </w:t>
            </w:r>
            <w:r w:rsidR="006F4979">
              <w:t>Sydney</w:t>
            </w:r>
            <w:r>
              <w:t xml:space="preserve"> (Mike Woods)</w:t>
            </w:r>
          </w:p>
        </w:tc>
        <w:tc>
          <w:tcPr>
            <w:tcW w:w="172" w:type="dxa"/>
          </w:tcPr>
          <w:p w:rsidR="003D56E0" w:rsidRPr="00BB73F9" w:rsidRDefault="003D56E0" w:rsidP="00B65CBD">
            <w:pPr>
              <w:pStyle w:val="TableBodyText"/>
              <w:spacing w:before="80"/>
              <w:ind w:left="57"/>
              <w:jc w:val="left"/>
            </w:pPr>
          </w:p>
        </w:tc>
        <w:tc>
          <w:tcPr>
            <w:tcW w:w="5865" w:type="dxa"/>
          </w:tcPr>
          <w:p w:rsidR="003D56E0" w:rsidRPr="003D56E0" w:rsidRDefault="003D56E0" w:rsidP="00B3509B">
            <w:pPr>
              <w:pStyle w:val="TableBodyText"/>
              <w:spacing w:before="80"/>
              <w:ind w:left="57"/>
              <w:jc w:val="left"/>
            </w:pPr>
            <w:r w:rsidRPr="003D56E0">
              <w:t>Case management pursuant to the Caring for Older Australian’s Report</w:t>
            </w:r>
          </w:p>
        </w:tc>
        <w:tc>
          <w:tcPr>
            <w:tcW w:w="1286" w:type="dxa"/>
          </w:tcPr>
          <w:p w:rsidR="003D56E0" w:rsidRPr="00BB73F9" w:rsidRDefault="003D56E0" w:rsidP="00B65CBD">
            <w:pPr>
              <w:pStyle w:val="TableBodyText"/>
              <w:spacing w:before="80"/>
              <w:ind w:left="57"/>
            </w:pPr>
            <w:r>
              <w:t>July 2012</w:t>
            </w:r>
          </w:p>
        </w:tc>
      </w:tr>
      <w:tr w:rsidR="003D56E0" w:rsidRPr="003D56E0" w:rsidTr="0020609B">
        <w:tc>
          <w:tcPr>
            <w:tcW w:w="6299" w:type="dxa"/>
          </w:tcPr>
          <w:p w:rsidR="003D56E0" w:rsidRPr="003D56E0" w:rsidRDefault="003D56E0" w:rsidP="00B3509B">
            <w:pPr>
              <w:pStyle w:val="TableBodyText"/>
              <w:tabs>
                <w:tab w:val="left" w:pos="1065"/>
              </w:tabs>
              <w:spacing w:before="80"/>
              <w:ind w:left="57"/>
              <w:jc w:val="left"/>
            </w:pPr>
            <w:r w:rsidRPr="003D56E0">
              <w:t>Annual General Meeting of Australian Social Policy Association, Melbourne</w:t>
            </w:r>
            <w:r>
              <w:t xml:space="preserve"> (Alison McClelland)</w:t>
            </w:r>
          </w:p>
        </w:tc>
        <w:tc>
          <w:tcPr>
            <w:tcW w:w="172" w:type="dxa"/>
          </w:tcPr>
          <w:p w:rsidR="003D56E0" w:rsidRPr="00BB73F9" w:rsidRDefault="003D56E0" w:rsidP="00B65CBD">
            <w:pPr>
              <w:pStyle w:val="TableBodyText"/>
              <w:spacing w:before="80"/>
              <w:ind w:left="57"/>
              <w:jc w:val="left"/>
            </w:pPr>
          </w:p>
        </w:tc>
        <w:tc>
          <w:tcPr>
            <w:tcW w:w="5865" w:type="dxa"/>
          </w:tcPr>
          <w:p w:rsidR="003D56E0" w:rsidRPr="003D56E0" w:rsidRDefault="003D56E0" w:rsidP="00A8066F">
            <w:pPr>
              <w:pStyle w:val="TableBodyText"/>
              <w:spacing w:before="80"/>
              <w:ind w:left="57"/>
              <w:jc w:val="left"/>
            </w:pPr>
            <w:r w:rsidRPr="003D56E0">
              <w:t>Enhancing rights</w:t>
            </w:r>
            <w:r w:rsidR="001C07EE">
              <w:t xml:space="preserve"> </w:t>
            </w:r>
            <w:r w:rsidRPr="003D56E0">
              <w:t xml:space="preserve">and protections but what about capability? </w:t>
            </w:r>
          </w:p>
        </w:tc>
        <w:tc>
          <w:tcPr>
            <w:tcW w:w="1286" w:type="dxa"/>
          </w:tcPr>
          <w:p w:rsidR="003D56E0" w:rsidRPr="003D56E0" w:rsidRDefault="003D56E0" w:rsidP="00B65CBD">
            <w:pPr>
              <w:pStyle w:val="TableBodyText"/>
              <w:spacing w:before="80"/>
              <w:ind w:left="57"/>
            </w:pPr>
            <w:r w:rsidRPr="003D56E0">
              <w:t>July 2012</w:t>
            </w:r>
          </w:p>
        </w:tc>
      </w:tr>
      <w:tr w:rsidR="003D56E0" w:rsidRPr="003D56E0" w:rsidTr="0020609B">
        <w:tc>
          <w:tcPr>
            <w:tcW w:w="6299" w:type="dxa"/>
          </w:tcPr>
          <w:p w:rsidR="003D56E0" w:rsidRPr="003D56E0" w:rsidRDefault="003D56E0" w:rsidP="00B3509B">
            <w:pPr>
              <w:pStyle w:val="TableBodyText"/>
              <w:tabs>
                <w:tab w:val="left" w:pos="1065"/>
              </w:tabs>
              <w:spacing w:before="80"/>
              <w:ind w:left="57"/>
              <w:jc w:val="left"/>
            </w:pPr>
            <w:r w:rsidRPr="003D56E0">
              <w:t>Australian Better Boards Conference, Melbourne</w:t>
            </w:r>
            <w:r>
              <w:t xml:space="preserve"> (Robert Fitzgerald)</w:t>
            </w:r>
          </w:p>
        </w:tc>
        <w:tc>
          <w:tcPr>
            <w:tcW w:w="172" w:type="dxa"/>
          </w:tcPr>
          <w:p w:rsidR="003D56E0" w:rsidRPr="00BB73F9" w:rsidRDefault="003D56E0" w:rsidP="00B65CBD">
            <w:pPr>
              <w:pStyle w:val="TableBodyText"/>
              <w:spacing w:before="80"/>
              <w:ind w:left="57"/>
              <w:jc w:val="left"/>
            </w:pPr>
          </w:p>
        </w:tc>
        <w:tc>
          <w:tcPr>
            <w:tcW w:w="5865" w:type="dxa"/>
          </w:tcPr>
          <w:p w:rsidR="003D56E0" w:rsidRPr="003D56E0" w:rsidRDefault="003D56E0" w:rsidP="00B3509B">
            <w:pPr>
              <w:pStyle w:val="TableBodyText"/>
              <w:spacing w:before="80"/>
              <w:ind w:left="57"/>
              <w:jc w:val="left"/>
            </w:pPr>
            <w:r w:rsidRPr="003D56E0">
              <w:t>Not for profit reform</w:t>
            </w:r>
          </w:p>
        </w:tc>
        <w:tc>
          <w:tcPr>
            <w:tcW w:w="1286" w:type="dxa"/>
          </w:tcPr>
          <w:p w:rsidR="003D56E0" w:rsidRPr="003D56E0" w:rsidRDefault="003D56E0" w:rsidP="00B65CBD">
            <w:pPr>
              <w:pStyle w:val="TableBodyText"/>
              <w:spacing w:before="80"/>
              <w:ind w:left="57"/>
            </w:pPr>
            <w:r w:rsidRPr="003D56E0">
              <w:t>July 2012</w:t>
            </w:r>
          </w:p>
        </w:tc>
      </w:tr>
      <w:tr w:rsidR="003D56E0" w:rsidRPr="003D56E0" w:rsidTr="0020609B">
        <w:tc>
          <w:tcPr>
            <w:tcW w:w="6299" w:type="dxa"/>
          </w:tcPr>
          <w:p w:rsidR="003D56E0" w:rsidRPr="003D56E0" w:rsidRDefault="003D56E0" w:rsidP="00B3509B">
            <w:pPr>
              <w:pStyle w:val="TableBodyText"/>
              <w:tabs>
                <w:tab w:val="left" w:pos="1065"/>
              </w:tabs>
              <w:spacing w:before="80"/>
              <w:ind w:left="57"/>
              <w:jc w:val="left"/>
            </w:pPr>
            <w:r w:rsidRPr="003D56E0">
              <w:t>Australia Health</w:t>
            </w:r>
            <w:r>
              <w:t xml:space="preserve"> Informatics Conference, Sydney (Mike Woods)</w:t>
            </w:r>
          </w:p>
        </w:tc>
        <w:tc>
          <w:tcPr>
            <w:tcW w:w="172" w:type="dxa"/>
          </w:tcPr>
          <w:p w:rsidR="003D56E0" w:rsidRPr="00BB73F9" w:rsidRDefault="003D56E0" w:rsidP="00B65CBD">
            <w:pPr>
              <w:pStyle w:val="TableBodyText"/>
              <w:spacing w:before="80"/>
              <w:ind w:left="57"/>
              <w:jc w:val="left"/>
            </w:pPr>
          </w:p>
        </w:tc>
        <w:tc>
          <w:tcPr>
            <w:tcW w:w="5865" w:type="dxa"/>
          </w:tcPr>
          <w:p w:rsidR="003D56E0" w:rsidRPr="003D56E0" w:rsidRDefault="003D56E0" w:rsidP="00A8066F">
            <w:pPr>
              <w:pStyle w:val="TableBodyText"/>
              <w:spacing w:before="80"/>
              <w:ind w:left="57"/>
              <w:jc w:val="left"/>
            </w:pPr>
            <w:r w:rsidRPr="003D56E0">
              <w:t>Health care informatics: a productivity driver</w:t>
            </w:r>
          </w:p>
        </w:tc>
        <w:tc>
          <w:tcPr>
            <w:tcW w:w="1286" w:type="dxa"/>
          </w:tcPr>
          <w:p w:rsidR="003D56E0" w:rsidRPr="003D56E0" w:rsidRDefault="003D56E0" w:rsidP="00B65CBD">
            <w:pPr>
              <w:pStyle w:val="TableBodyText"/>
              <w:spacing w:before="80"/>
              <w:ind w:left="57"/>
            </w:pPr>
            <w:r w:rsidRPr="003D56E0">
              <w:t>July 2012</w:t>
            </w:r>
          </w:p>
        </w:tc>
      </w:tr>
      <w:tr w:rsidR="003D56E0" w:rsidRPr="003D56E0" w:rsidTr="0020609B">
        <w:tc>
          <w:tcPr>
            <w:tcW w:w="6299" w:type="dxa"/>
          </w:tcPr>
          <w:p w:rsidR="003D56E0" w:rsidRPr="003D56E0" w:rsidRDefault="003D56E0" w:rsidP="00B3509B">
            <w:pPr>
              <w:pStyle w:val="TableBodyText"/>
              <w:tabs>
                <w:tab w:val="left" w:pos="1065"/>
              </w:tabs>
              <w:spacing w:before="80"/>
              <w:ind w:left="57"/>
              <w:jc w:val="left"/>
            </w:pPr>
            <w:r w:rsidRPr="003D56E0">
              <w:t>Financial Services Council Annual Conference 2012, Gold Coast</w:t>
            </w:r>
            <w:r>
              <w:t xml:space="preserve"> (Mike Woods)</w:t>
            </w:r>
          </w:p>
        </w:tc>
        <w:tc>
          <w:tcPr>
            <w:tcW w:w="172" w:type="dxa"/>
          </w:tcPr>
          <w:p w:rsidR="003D56E0" w:rsidRPr="00BB73F9" w:rsidRDefault="003D56E0" w:rsidP="00B65CBD">
            <w:pPr>
              <w:pStyle w:val="TableBodyText"/>
              <w:spacing w:before="80"/>
              <w:ind w:left="57"/>
              <w:jc w:val="left"/>
            </w:pPr>
          </w:p>
        </w:tc>
        <w:tc>
          <w:tcPr>
            <w:tcW w:w="5865" w:type="dxa"/>
          </w:tcPr>
          <w:p w:rsidR="003D56E0" w:rsidRPr="003D56E0" w:rsidRDefault="003D56E0" w:rsidP="00B3509B">
            <w:pPr>
              <w:pStyle w:val="TableBodyText"/>
              <w:spacing w:before="80"/>
              <w:ind w:left="57"/>
              <w:jc w:val="left"/>
            </w:pPr>
            <w:r w:rsidRPr="003D56E0">
              <w:t>Default Superannuation funds in modern awards</w:t>
            </w:r>
          </w:p>
        </w:tc>
        <w:tc>
          <w:tcPr>
            <w:tcW w:w="1286" w:type="dxa"/>
          </w:tcPr>
          <w:p w:rsidR="003D56E0" w:rsidRPr="003D56E0" w:rsidRDefault="003D56E0" w:rsidP="00B65CBD">
            <w:pPr>
              <w:pStyle w:val="TableBodyText"/>
              <w:spacing w:before="80"/>
              <w:ind w:left="57"/>
            </w:pPr>
            <w:r w:rsidRPr="003D56E0">
              <w:t>Aug 2012</w:t>
            </w:r>
          </w:p>
        </w:tc>
      </w:tr>
      <w:tr w:rsidR="00B6585F" w:rsidRPr="00BB73F9" w:rsidTr="0020609B">
        <w:tc>
          <w:tcPr>
            <w:tcW w:w="6299" w:type="dxa"/>
          </w:tcPr>
          <w:p w:rsidR="00B6585F" w:rsidRPr="00B3509B" w:rsidRDefault="00B6585F" w:rsidP="0058455F">
            <w:pPr>
              <w:pStyle w:val="TableBodyText"/>
              <w:tabs>
                <w:tab w:val="left" w:pos="1065"/>
              </w:tabs>
              <w:spacing w:before="80"/>
              <w:ind w:left="57"/>
              <w:jc w:val="left"/>
            </w:pPr>
            <w:r w:rsidRPr="00B6585F">
              <w:t xml:space="preserve">Regulation </w:t>
            </w:r>
            <w:r w:rsidR="0058455F">
              <w:t>&amp;</w:t>
            </w:r>
            <w:r w:rsidRPr="00B6585F">
              <w:t xml:space="preserve"> Reform: IMPART after 20 years, Sydney (Wendy Craik</w:t>
            </w:r>
            <w:r>
              <w:t>)</w:t>
            </w:r>
          </w:p>
        </w:tc>
        <w:tc>
          <w:tcPr>
            <w:tcW w:w="172" w:type="dxa"/>
          </w:tcPr>
          <w:p w:rsidR="00B6585F" w:rsidRPr="00BB73F9" w:rsidRDefault="00B6585F" w:rsidP="00B65CBD">
            <w:pPr>
              <w:pStyle w:val="TableBodyText"/>
              <w:spacing w:before="80"/>
              <w:ind w:left="57"/>
              <w:jc w:val="left"/>
            </w:pPr>
          </w:p>
        </w:tc>
        <w:tc>
          <w:tcPr>
            <w:tcW w:w="5865" w:type="dxa"/>
          </w:tcPr>
          <w:p w:rsidR="00B6585F" w:rsidRPr="00BB73F9" w:rsidRDefault="00B6585F" w:rsidP="00B65CBD">
            <w:pPr>
              <w:pStyle w:val="TableBodyText"/>
              <w:spacing w:before="80"/>
              <w:ind w:left="57"/>
              <w:jc w:val="left"/>
            </w:pPr>
            <w:r>
              <w:t>Commission’s inquiry into Australia’s Urban Water Sector</w:t>
            </w:r>
          </w:p>
        </w:tc>
        <w:tc>
          <w:tcPr>
            <w:tcW w:w="1286" w:type="dxa"/>
          </w:tcPr>
          <w:p w:rsidR="00B6585F" w:rsidRPr="00BB73F9" w:rsidRDefault="00B6585F" w:rsidP="00B65CBD">
            <w:pPr>
              <w:pStyle w:val="TableBodyText"/>
              <w:spacing w:before="80"/>
              <w:ind w:left="57"/>
            </w:pPr>
            <w:r>
              <w:t>Aug 2012</w:t>
            </w:r>
          </w:p>
        </w:tc>
      </w:tr>
      <w:tr w:rsidR="00B6585F" w:rsidRPr="00BB73F9" w:rsidTr="0020609B">
        <w:tc>
          <w:tcPr>
            <w:tcW w:w="6299" w:type="dxa"/>
          </w:tcPr>
          <w:p w:rsidR="00B6585F" w:rsidRPr="00BB73F9" w:rsidRDefault="00B6585F" w:rsidP="00B3509B">
            <w:pPr>
              <w:pStyle w:val="TableBodyText"/>
              <w:tabs>
                <w:tab w:val="left" w:pos="1065"/>
              </w:tabs>
              <w:spacing w:before="80"/>
              <w:ind w:left="57"/>
              <w:jc w:val="left"/>
            </w:pPr>
            <w:r>
              <w:t>ACCORD, Canberra (Mike Woods)</w:t>
            </w:r>
          </w:p>
        </w:tc>
        <w:tc>
          <w:tcPr>
            <w:tcW w:w="172" w:type="dxa"/>
          </w:tcPr>
          <w:p w:rsidR="00B6585F" w:rsidRPr="00BB73F9" w:rsidRDefault="00B6585F" w:rsidP="00B65CBD">
            <w:pPr>
              <w:pStyle w:val="TableBodyText"/>
              <w:spacing w:before="80"/>
              <w:ind w:left="57"/>
              <w:jc w:val="left"/>
            </w:pPr>
          </w:p>
        </w:tc>
        <w:tc>
          <w:tcPr>
            <w:tcW w:w="5865" w:type="dxa"/>
          </w:tcPr>
          <w:p w:rsidR="00B6585F" w:rsidRPr="00B6585F" w:rsidRDefault="00B6585F" w:rsidP="00B3509B">
            <w:pPr>
              <w:pStyle w:val="TableBodyText"/>
              <w:spacing w:before="80"/>
              <w:ind w:left="57"/>
              <w:jc w:val="left"/>
            </w:pPr>
            <w:r w:rsidRPr="00B6585F">
              <w:t>Revisiting the 2008 Productivity Commission Report on chemicals and plastics regulation</w:t>
            </w:r>
          </w:p>
        </w:tc>
        <w:tc>
          <w:tcPr>
            <w:tcW w:w="1286" w:type="dxa"/>
          </w:tcPr>
          <w:p w:rsidR="00B6585F" w:rsidRPr="00B6585F" w:rsidRDefault="00B6585F" w:rsidP="00B65CBD">
            <w:pPr>
              <w:pStyle w:val="TableBodyText"/>
              <w:spacing w:before="80"/>
              <w:ind w:left="57"/>
            </w:pPr>
            <w:r w:rsidRPr="00B6585F">
              <w:t>Aug 2012</w:t>
            </w:r>
          </w:p>
        </w:tc>
      </w:tr>
      <w:tr w:rsidR="00B6585F" w:rsidRPr="00BB73F9" w:rsidTr="0058455F">
        <w:tc>
          <w:tcPr>
            <w:tcW w:w="6299" w:type="dxa"/>
          </w:tcPr>
          <w:p w:rsidR="00B6585F" w:rsidRPr="00BB73F9" w:rsidRDefault="00B6585F" w:rsidP="00B3509B">
            <w:pPr>
              <w:pStyle w:val="TableBodyText"/>
              <w:tabs>
                <w:tab w:val="left" w:pos="1065"/>
              </w:tabs>
              <w:spacing w:before="80"/>
              <w:ind w:left="57"/>
              <w:jc w:val="left"/>
            </w:pPr>
            <w:r>
              <w:t>Australia-Israel Chamber of Commerce (SA) Luncheon Seminar, Adelaide (Wendy Craik)</w:t>
            </w:r>
          </w:p>
        </w:tc>
        <w:tc>
          <w:tcPr>
            <w:tcW w:w="172" w:type="dxa"/>
          </w:tcPr>
          <w:p w:rsidR="00B6585F" w:rsidRPr="00BB73F9" w:rsidRDefault="00B6585F" w:rsidP="00B65CBD">
            <w:pPr>
              <w:pStyle w:val="TableBodyText"/>
              <w:spacing w:before="80"/>
              <w:ind w:left="57"/>
              <w:jc w:val="left"/>
            </w:pPr>
          </w:p>
        </w:tc>
        <w:tc>
          <w:tcPr>
            <w:tcW w:w="5865" w:type="dxa"/>
          </w:tcPr>
          <w:p w:rsidR="00B6585F" w:rsidRPr="00B6585F" w:rsidRDefault="003B32BA" w:rsidP="00B3509B">
            <w:pPr>
              <w:pStyle w:val="TableBodyText"/>
              <w:spacing w:before="80"/>
              <w:ind w:left="57"/>
              <w:jc w:val="left"/>
            </w:pPr>
            <w:r w:rsidRPr="003B32BA">
              <w:t>The Commission’s role and activities</w:t>
            </w:r>
          </w:p>
        </w:tc>
        <w:tc>
          <w:tcPr>
            <w:tcW w:w="1286" w:type="dxa"/>
          </w:tcPr>
          <w:p w:rsidR="00B6585F" w:rsidRPr="00B6585F" w:rsidRDefault="00B6585F" w:rsidP="00B65CBD">
            <w:pPr>
              <w:pStyle w:val="TableBodyText"/>
              <w:spacing w:before="80"/>
              <w:ind w:left="57"/>
            </w:pPr>
            <w:r w:rsidRPr="00B6585F">
              <w:t>Aug 2012</w:t>
            </w:r>
          </w:p>
        </w:tc>
      </w:tr>
      <w:tr w:rsidR="00B6585F" w:rsidRPr="00BB73F9" w:rsidTr="0058455F">
        <w:tc>
          <w:tcPr>
            <w:tcW w:w="6299" w:type="dxa"/>
          </w:tcPr>
          <w:p w:rsidR="00B6585F" w:rsidRPr="00BB73F9" w:rsidRDefault="00B6585F" w:rsidP="00B3509B">
            <w:pPr>
              <w:pStyle w:val="TableBodyText"/>
              <w:tabs>
                <w:tab w:val="left" w:pos="1065"/>
              </w:tabs>
              <w:spacing w:before="80"/>
              <w:ind w:left="57"/>
              <w:jc w:val="left"/>
            </w:pPr>
            <w:proofErr w:type="spellStart"/>
            <w:r>
              <w:t>CEDA’s</w:t>
            </w:r>
            <w:proofErr w:type="spellEnd"/>
            <w:r>
              <w:t xml:space="preserve"> the Aged Care continuum, Melbourne, (Mike Woods)</w:t>
            </w:r>
          </w:p>
        </w:tc>
        <w:tc>
          <w:tcPr>
            <w:tcW w:w="172" w:type="dxa"/>
          </w:tcPr>
          <w:p w:rsidR="00B6585F" w:rsidRPr="00BB73F9" w:rsidRDefault="00B6585F" w:rsidP="00B65CBD">
            <w:pPr>
              <w:pStyle w:val="TableBodyText"/>
              <w:spacing w:before="80"/>
              <w:ind w:left="57"/>
              <w:jc w:val="left"/>
            </w:pPr>
          </w:p>
        </w:tc>
        <w:tc>
          <w:tcPr>
            <w:tcW w:w="5865" w:type="dxa"/>
          </w:tcPr>
          <w:p w:rsidR="00B6585F" w:rsidRPr="00B6585F" w:rsidRDefault="00B6585F" w:rsidP="00B3509B">
            <w:pPr>
              <w:pStyle w:val="TableBodyText"/>
              <w:spacing w:before="80"/>
              <w:ind w:left="57"/>
              <w:jc w:val="left"/>
            </w:pPr>
            <w:r w:rsidRPr="00B6585F">
              <w:t>Aged Care Reform: unfinished business</w:t>
            </w:r>
          </w:p>
        </w:tc>
        <w:tc>
          <w:tcPr>
            <w:tcW w:w="1286" w:type="dxa"/>
          </w:tcPr>
          <w:p w:rsidR="00B6585F" w:rsidRPr="00B6585F" w:rsidRDefault="00B6585F" w:rsidP="00B65CBD">
            <w:pPr>
              <w:pStyle w:val="TableBodyText"/>
              <w:spacing w:before="80"/>
              <w:ind w:left="57"/>
            </w:pPr>
            <w:r w:rsidRPr="00B6585F">
              <w:t>Aug 2012</w:t>
            </w:r>
          </w:p>
        </w:tc>
      </w:tr>
      <w:tr w:rsidR="006F4979" w:rsidRPr="00BB73F9" w:rsidTr="0058455F">
        <w:tc>
          <w:tcPr>
            <w:tcW w:w="6299" w:type="dxa"/>
            <w:tcBorders>
              <w:bottom w:val="single" w:sz="4" w:space="0" w:color="auto"/>
            </w:tcBorders>
          </w:tcPr>
          <w:p w:rsidR="006F4979" w:rsidRPr="00BB73F9" w:rsidRDefault="006F4979" w:rsidP="006F4979">
            <w:pPr>
              <w:pStyle w:val="TableBodyText"/>
              <w:tabs>
                <w:tab w:val="left" w:pos="1065"/>
              </w:tabs>
              <w:spacing w:before="80"/>
              <w:ind w:left="57"/>
              <w:jc w:val="left"/>
            </w:pPr>
            <w:r>
              <w:t>The Hawke Centre Horizon SA Forum Series, Adelaide (Wendy Craik)</w:t>
            </w:r>
          </w:p>
        </w:tc>
        <w:tc>
          <w:tcPr>
            <w:tcW w:w="172" w:type="dxa"/>
            <w:tcBorders>
              <w:bottom w:val="single" w:sz="4" w:space="0" w:color="auto"/>
            </w:tcBorders>
          </w:tcPr>
          <w:p w:rsidR="006F4979" w:rsidRPr="00BB73F9" w:rsidRDefault="006F4979" w:rsidP="006F4979">
            <w:pPr>
              <w:pStyle w:val="TableBodyText"/>
              <w:spacing w:before="80"/>
              <w:ind w:left="57"/>
              <w:jc w:val="left"/>
            </w:pPr>
          </w:p>
        </w:tc>
        <w:tc>
          <w:tcPr>
            <w:tcW w:w="5865" w:type="dxa"/>
            <w:tcBorders>
              <w:bottom w:val="single" w:sz="4" w:space="0" w:color="auto"/>
            </w:tcBorders>
          </w:tcPr>
          <w:p w:rsidR="006F4979" w:rsidRPr="00BB73F9" w:rsidRDefault="006F4979" w:rsidP="006F4979">
            <w:pPr>
              <w:pStyle w:val="TableBodyText"/>
              <w:tabs>
                <w:tab w:val="left" w:pos="3405"/>
              </w:tabs>
              <w:spacing w:before="80"/>
              <w:ind w:left="57"/>
              <w:jc w:val="left"/>
            </w:pPr>
            <w:r w:rsidRPr="00B6585F">
              <w:t>Contemporary leadership in rural South Australia</w:t>
            </w:r>
          </w:p>
        </w:tc>
        <w:tc>
          <w:tcPr>
            <w:tcW w:w="1286" w:type="dxa"/>
            <w:tcBorders>
              <w:bottom w:val="single" w:sz="4" w:space="0" w:color="auto"/>
            </w:tcBorders>
          </w:tcPr>
          <w:p w:rsidR="006F4979" w:rsidRPr="00BB73F9" w:rsidRDefault="006F4979" w:rsidP="006F4979">
            <w:pPr>
              <w:pStyle w:val="TableBodyText"/>
              <w:spacing w:before="80"/>
              <w:ind w:left="57"/>
            </w:pPr>
            <w:r>
              <w:t>Aug 2012</w:t>
            </w:r>
          </w:p>
        </w:tc>
      </w:tr>
    </w:tbl>
    <w:p w:rsidR="0058455F" w:rsidRDefault="0058455F" w:rsidP="0058455F">
      <w:pPr>
        <w:pStyle w:val="Continued"/>
      </w:pPr>
      <w:r>
        <w:t>(Continued on next page)</w:t>
      </w:r>
    </w:p>
    <w:p w:rsidR="0058455F" w:rsidRDefault="0058455F" w:rsidP="0058455F">
      <w:pPr>
        <w:pStyle w:val="TableTitle"/>
        <w:spacing w:before="120"/>
      </w:pPr>
      <w:r>
        <w:rPr>
          <w:b w:val="0"/>
        </w:rPr>
        <w:lastRenderedPageBreak/>
        <w:t xml:space="preserve">Table </w:t>
      </w:r>
      <w:proofErr w:type="spellStart"/>
      <w:r>
        <w:rPr>
          <w:b w:val="0"/>
        </w:rPr>
        <w:t>E.</w:t>
      </w:r>
      <w:r>
        <w:rPr>
          <w:b w:val="0"/>
          <w:noProof/>
        </w:rPr>
        <w:t>1</w:t>
      </w:r>
      <w:proofErr w:type="spellEnd"/>
      <w:r>
        <w:tab/>
      </w:r>
      <w:r w:rsidRPr="00B61021">
        <w:rPr>
          <w:sz w:val="20"/>
        </w:rPr>
        <w:t>(continued)</w:t>
      </w:r>
      <w:r>
        <w:t xml:space="preserve"> </w:t>
      </w:r>
    </w:p>
    <w:tbl>
      <w:tblPr>
        <w:tblW w:w="13622" w:type="dxa"/>
        <w:tblInd w:w="-3" w:type="dxa"/>
        <w:tblLayout w:type="fixed"/>
        <w:tblCellMar>
          <w:left w:w="0" w:type="dxa"/>
          <w:right w:w="0" w:type="dxa"/>
        </w:tblCellMar>
        <w:tblLook w:val="0000" w:firstRow="0" w:lastRow="0" w:firstColumn="0" w:lastColumn="0" w:noHBand="0" w:noVBand="0"/>
      </w:tblPr>
      <w:tblGrid>
        <w:gridCol w:w="6299"/>
        <w:gridCol w:w="172"/>
        <w:gridCol w:w="5726"/>
        <w:gridCol w:w="139"/>
        <w:gridCol w:w="1286"/>
      </w:tblGrid>
      <w:tr w:rsidR="0058455F" w:rsidRPr="00D014A7" w:rsidTr="002536A7">
        <w:tc>
          <w:tcPr>
            <w:tcW w:w="6299" w:type="dxa"/>
            <w:tcBorders>
              <w:top w:val="single" w:sz="6" w:space="0" w:color="auto"/>
            </w:tcBorders>
            <w:shd w:val="clear" w:color="auto" w:fill="auto"/>
          </w:tcPr>
          <w:p w:rsidR="0058455F" w:rsidRDefault="0058455F" w:rsidP="002536A7">
            <w:pPr>
              <w:pStyle w:val="TableColumnHeading"/>
              <w:spacing w:before="100" w:after="40"/>
              <w:ind w:left="57"/>
              <w:jc w:val="left"/>
            </w:pPr>
            <w:r w:rsidRPr="00D014A7">
              <w:t>Organisation/event</w:t>
            </w:r>
          </w:p>
        </w:tc>
        <w:tc>
          <w:tcPr>
            <w:tcW w:w="172" w:type="dxa"/>
            <w:tcBorders>
              <w:top w:val="single" w:sz="6" w:space="0" w:color="auto"/>
            </w:tcBorders>
          </w:tcPr>
          <w:p w:rsidR="0058455F" w:rsidRPr="00D014A7" w:rsidRDefault="0058455F" w:rsidP="002536A7">
            <w:pPr>
              <w:pStyle w:val="TableColumnHeading"/>
              <w:spacing w:before="100" w:after="40"/>
              <w:ind w:left="57"/>
              <w:jc w:val="left"/>
            </w:pPr>
          </w:p>
        </w:tc>
        <w:tc>
          <w:tcPr>
            <w:tcW w:w="5726" w:type="dxa"/>
            <w:tcBorders>
              <w:top w:val="single" w:sz="6" w:space="0" w:color="auto"/>
            </w:tcBorders>
            <w:shd w:val="clear" w:color="auto" w:fill="auto"/>
          </w:tcPr>
          <w:p w:rsidR="0058455F" w:rsidRDefault="0058455F" w:rsidP="002536A7">
            <w:pPr>
              <w:pStyle w:val="TableColumnHeading"/>
              <w:spacing w:before="100" w:after="40"/>
              <w:ind w:left="57"/>
              <w:jc w:val="left"/>
            </w:pPr>
            <w:r w:rsidRPr="00D014A7">
              <w:t>Topic</w:t>
            </w:r>
          </w:p>
        </w:tc>
        <w:tc>
          <w:tcPr>
            <w:tcW w:w="1425" w:type="dxa"/>
            <w:gridSpan w:val="2"/>
            <w:tcBorders>
              <w:top w:val="single" w:sz="6" w:space="0" w:color="auto"/>
            </w:tcBorders>
            <w:shd w:val="clear" w:color="auto" w:fill="auto"/>
          </w:tcPr>
          <w:p w:rsidR="0058455F" w:rsidRDefault="0058455F" w:rsidP="002536A7">
            <w:pPr>
              <w:pStyle w:val="TableColumnHeading"/>
              <w:spacing w:before="100" w:after="40"/>
              <w:ind w:left="57"/>
            </w:pPr>
            <w:r w:rsidRPr="00D014A7">
              <w:t>Date</w:t>
            </w:r>
          </w:p>
        </w:tc>
      </w:tr>
      <w:tr w:rsidR="00B6585F" w:rsidRPr="00BB73F9" w:rsidTr="006F4979">
        <w:tc>
          <w:tcPr>
            <w:tcW w:w="6299" w:type="dxa"/>
          </w:tcPr>
          <w:p w:rsidR="00B6585F" w:rsidRPr="00BB73F9" w:rsidRDefault="00934166" w:rsidP="00B3509B">
            <w:pPr>
              <w:pStyle w:val="TableBodyText"/>
              <w:tabs>
                <w:tab w:val="left" w:pos="1065"/>
              </w:tabs>
              <w:spacing w:before="80"/>
              <w:ind w:left="57"/>
              <w:jc w:val="left"/>
            </w:pPr>
            <w:r w:rsidRPr="00934166">
              <w:t>The power to persuade: building knowledge and capacity for policy change, Melbourne (Alison McClelland)</w:t>
            </w:r>
          </w:p>
        </w:tc>
        <w:tc>
          <w:tcPr>
            <w:tcW w:w="172" w:type="dxa"/>
          </w:tcPr>
          <w:p w:rsidR="00B6585F" w:rsidRPr="00BB73F9" w:rsidRDefault="00B6585F" w:rsidP="00B65CBD">
            <w:pPr>
              <w:pStyle w:val="TableBodyText"/>
              <w:spacing w:before="80"/>
              <w:ind w:left="57"/>
              <w:jc w:val="left"/>
            </w:pPr>
          </w:p>
        </w:tc>
        <w:tc>
          <w:tcPr>
            <w:tcW w:w="5865" w:type="dxa"/>
            <w:gridSpan w:val="2"/>
          </w:tcPr>
          <w:p w:rsidR="00B6585F" w:rsidRPr="00BB73F9" w:rsidRDefault="00934166" w:rsidP="00B3509B">
            <w:pPr>
              <w:pStyle w:val="TableBodyText"/>
              <w:tabs>
                <w:tab w:val="left" w:pos="3405"/>
              </w:tabs>
              <w:spacing w:before="80"/>
              <w:ind w:left="57"/>
              <w:jc w:val="left"/>
            </w:pPr>
            <w:r>
              <w:t>Improving policy and research interface</w:t>
            </w:r>
          </w:p>
        </w:tc>
        <w:tc>
          <w:tcPr>
            <w:tcW w:w="1286" w:type="dxa"/>
          </w:tcPr>
          <w:p w:rsidR="00B6585F" w:rsidRPr="00BB73F9" w:rsidRDefault="00934166" w:rsidP="00B65CBD">
            <w:pPr>
              <w:pStyle w:val="TableBodyText"/>
              <w:spacing w:before="80"/>
              <w:ind w:left="57"/>
            </w:pPr>
            <w:r>
              <w:t>Sept 2012</w:t>
            </w:r>
          </w:p>
        </w:tc>
      </w:tr>
      <w:tr w:rsidR="00B6585F" w:rsidRPr="00BB73F9" w:rsidTr="0020609B">
        <w:tc>
          <w:tcPr>
            <w:tcW w:w="6299" w:type="dxa"/>
          </w:tcPr>
          <w:p w:rsidR="00B6585F" w:rsidRPr="00BB73F9" w:rsidRDefault="00934166" w:rsidP="00B3509B">
            <w:pPr>
              <w:pStyle w:val="TableBodyText"/>
              <w:tabs>
                <w:tab w:val="left" w:pos="1065"/>
              </w:tabs>
              <w:spacing w:before="80"/>
              <w:ind w:left="57"/>
              <w:jc w:val="left"/>
            </w:pPr>
            <w:r>
              <w:t>CPA Australian Boardroom Lunch Forum, Canberra (Robert Fitzgerald)</w:t>
            </w:r>
          </w:p>
        </w:tc>
        <w:tc>
          <w:tcPr>
            <w:tcW w:w="172" w:type="dxa"/>
          </w:tcPr>
          <w:p w:rsidR="00B6585F" w:rsidRPr="00BB73F9" w:rsidRDefault="00B6585F" w:rsidP="00B65CBD">
            <w:pPr>
              <w:pStyle w:val="TableBodyText"/>
              <w:spacing w:before="80"/>
              <w:ind w:left="57"/>
              <w:jc w:val="left"/>
            </w:pPr>
          </w:p>
        </w:tc>
        <w:tc>
          <w:tcPr>
            <w:tcW w:w="5865" w:type="dxa"/>
            <w:gridSpan w:val="2"/>
          </w:tcPr>
          <w:p w:rsidR="00B6585F" w:rsidRPr="00BB73F9" w:rsidRDefault="00934166" w:rsidP="00B3509B">
            <w:pPr>
              <w:pStyle w:val="TableBodyText"/>
              <w:tabs>
                <w:tab w:val="left" w:pos="3405"/>
              </w:tabs>
              <w:spacing w:before="80"/>
              <w:ind w:left="57"/>
              <w:jc w:val="left"/>
            </w:pPr>
            <w:r>
              <w:t>Assurance vs. Efficiency</w:t>
            </w:r>
          </w:p>
        </w:tc>
        <w:tc>
          <w:tcPr>
            <w:tcW w:w="1286" w:type="dxa"/>
          </w:tcPr>
          <w:p w:rsidR="00B6585F" w:rsidRPr="00BB73F9" w:rsidRDefault="00934166" w:rsidP="00B65CBD">
            <w:pPr>
              <w:pStyle w:val="TableBodyText"/>
              <w:spacing w:before="80"/>
              <w:ind w:left="57"/>
            </w:pPr>
            <w:r>
              <w:t>Sept 2012</w:t>
            </w:r>
          </w:p>
        </w:tc>
      </w:tr>
      <w:tr w:rsidR="00B6585F" w:rsidRPr="00BB73F9" w:rsidTr="0020609B">
        <w:tc>
          <w:tcPr>
            <w:tcW w:w="6299" w:type="dxa"/>
          </w:tcPr>
          <w:p w:rsidR="00B6585F" w:rsidRPr="00934166" w:rsidRDefault="00934166" w:rsidP="00B3509B">
            <w:pPr>
              <w:pStyle w:val="TableBodyText"/>
              <w:tabs>
                <w:tab w:val="left" w:pos="1065"/>
              </w:tabs>
              <w:spacing w:before="80"/>
              <w:ind w:left="57"/>
              <w:jc w:val="left"/>
            </w:pPr>
            <w:r>
              <w:t xml:space="preserve">Public Lecture: </w:t>
            </w:r>
            <w:r w:rsidRPr="00B3509B">
              <w:t>Climate, Sustainability and Society</w:t>
            </w:r>
            <w:r>
              <w:t>, Albury (Wendy Craik)</w:t>
            </w:r>
          </w:p>
        </w:tc>
        <w:tc>
          <w:tcPr>
            <w:tcW w:w="172" w:type="dxa"/>
          </w:tcPr>
          <w:p w:rsidR="00B6585F" w:rsidRPr="00BB73F9" w:rsidRDefault="00B6585F" w:rsidP="00B65CBD">
            <w:pPr>
              <w:pStyle w:val="TableBodyText"/>
              <w:spacing w:before="80"/>
              <w:ind w:left="57"/>
              <w:jc w:val="left"/>
            </w:pPr>
          </w:p>
        </w:tc>
        <w:tc>
          <w:tcPr>
            <w:tcW w:w="5865" w:type="dxa"/>
            <w:gridSpan w:val="2"/>
          </w:tcPr>
          <w:p w:rsidR="00B6585F" w:rsidRPr="00BB73F9" w:rsidRDefault="00934166" w:rsidP="00B3509B">
            <w:pPr>
              <w:pStyle w:val="TableBodyText"/>
              <w:tabs>
                <w:tab w:val="left" w:pos="3405"/>
              </w:tabs>
              <w:spacing w:before="80"/>
              <w:ind w:left="57"/>
              <w:jc w:val="left"/>
            </w:pPr>
            <w:r>
              <w:t xml:space="preserve">Commission’s inquiry into Barriers to effective </w:t>
            </w:r>
            <w:r w:rsidR="00E950A4">
              <w:t>climate change adaptation</w:t>
            </w:r>
          </w:p>
        </w:tc>
        <w:tc>
          <w:tcPr>
            <w:tcW w:w="1286" w:type="dxa"/>
          </w:tcPr>
          <w:p w:rsidR="00B6585F" w:rsidRPr="00BB73F9" w:rsidRDefault="00E950A4" w:rsidP="00B65CBD">
            <w:pPr>
              <w:pStyle w:val="TableBodyText"/>
              <w:spacing w:before="80"/>
              <w:ind w:left="57"/>
            </w:pPr>
            <w:r>
              <w:t>Sept 2012</w:t>
            </w:r>
          </w:p>
        </w:tc>
      </w:tr>
      <w:tr w:rsidR="00B6585F" w:rsidRPr="00BB73F9" w:rsidTr="0020609B">
        <w:tc>
          <w:tcPr>
            <w:tcW w:w="6299" w:type="dxa"/>
          </w:tcPr>
          <w:p w:rsidR="00B6585F" w:rsidRPr="00BB73F9" w:rsidRDefault="00E950A4" w:rsidP="00B3509B">
            <w:pPr>
              <w:pStyle w:val="TableBodyText"/>
              <w:tabs>
                <w:tab w:val="left" w:pos="1065"/>
              </w:tabs>
              <w:spacing w:before="80"/>
              <w:ind w:left="57"/>
              <w:jc w:val="left"/>
            </w:pPr>
            <w:r>
              <w:t>16</w:t>
            </w:r>
            <w:r w:rsidRPr="00B3509B">
              <w:t>th</w:t>
            </w:r>
            <w:r>
              <w:t xml:space="preserve"> International Congress of Dietetics, Sydney (Robert Fitzgerald)</w:t>
            </w:r>
          </w:p>
        </w:tc>
        <w:tc>
          <w:tcPr>
            <w:tcW w:w="172" w:type="dxa"/>
          </w:tcPr>
          <w:p w:rsidR="00B6585F" w:rsidRPr="00BB73F9" w:rsidRDefault="00B6585F" w:rsidP="00B65CBD">
            <w:pPr>
              <w:pStyle w:val="TableBodyText"/>
              <w:spacing w:before="80"/>
              <w:jc w:val="left"/>
            </w:pPr>
          </w:p>
        </w:tc>
        <w:tc>
          <w:tcPr>
            <w:tcW w:w="5865" w:type="dxa"/>
            <w:gridSpan w:val="2"/>
          </w:tcPr>
          <w:p w:rsidR="00B6585F" w:rsidRPr="00BB73F9" w:rsidRDefault="00E950A4" w:rsidP="00B3509B">
            <w:pPr>
              <w:pStyle w:val="TableBodyText"/>
              <w:tabs>
                <w:tab w:val="left" w:pos="3405"/>
              </w:tabs>
              <w:spacing w:before="80"/>
              <w:ind w:left="57"/>
              <w:jc w:val="left"/>
            </w:pPr>
            <w:r>
              <w:t>Closing the Gap — Indigenous Health and Nutrition</w:t>
            </w:r>
          </w:p>
        </w:tc>
        <w:tc>
          <w:tcPr>
            <w:tcW w:w="1286" w:type="dxa"/>
          </w:tcPr>
          <w:p w:rsidR="00B6585F" w:rsidRPr="00BB73F9" w:rsidRDefault="00E950A4" w:rsidP="00B65CBD">
            <w:pPr>
              <w:pStyle w:val="TableBodyText"/>
              <w:spacing w:before="80"/>
            </w:pPr>
            <w:r>
              <w:t>Sept 2012</w:t>
            </w:r>
          </w:p>
        </w:tc>
      </w:tr>
      <w:tr w:rsidR="001835ED" w:rsidRPr="00BB73F9" w:rsidTr="0020609B">
        <w:tc>
          <w:tcPr>
            <w:tcW w:w="6299" w:type="dxa"/>
          </w:tcPr>
          <w:p w:rsidR="001835ED" w:rsidRPr="00B65CBD" w:rsidRDefault="001835ED" w:rsidP="00B3509B">
            <w:pPr>
              <w:pStyle w:val="TableBodyText"/>
              <w:tabs>
                <w:tab w:val="left" w:pos="1065"/>
              </w:tabs>
              <w:spacing w:before="80"/>
              <w:ind w:left="57"/>
              <w:jc w:val="left"/>
            </w:pPr>
            <w:r w:rsidRPr="00B65CBD">
              <w:t>Energy Users Association of Australia Annual Conference, Sydney (Philip Weickhardt)</w:t>
            </w:r>
          </w:p>
        </w:tc>
        <w:tc>
          <w:tcPr>
            <w:tcW w:w="172" w:type="dxa"/>
          </w:tcPr>
          <w:p w:rsidR="001835ED" w:rsidRPr="00B65CBD" w:rsidRDefault="001835ED" w:rsidP="00B65CBD">
            <w:pPr>
              <w:keepNext/>
              <w:keepLines/>
              <w:spacing w:before="60" w:after="60"/>
              <w:rPr>
                <w:rFonts w:ascii="Arial" w:hAnsi="Arial"/>
                <w:sz w:val="20"/>
                <w:szCs w:val="20"/>
              </w:rPr>
            </w:pPr>
          </w:p>
        </w:tc>
        <w:tc>
          <w:tcPr>
            <w:tcW w:w="5865" w:type="dxa"/>
            <w:gridSpan w:val="2"/>
          </w:tcPr>
          <w:p w:rsidR="001835ED" w:rsidRPr="00B65CBD" w:rsidRDefault="001835ED" w:rsidP="00B3509B">
            <w:pPr>
              <w:pStyle w:val="TableBodyText"/>
              <w:tabs>
                <w:tab w:val="left" w:pos="3405"/>
              </w:tabs>
              <w:spacing w:before="80"/>
              <w:ind w:left="57"/>
              <w:jc w:val="left"/>
            </w:pPr>
            <w:r w:rsidRPr="00B65CBD">
              <w:t>Commission’s draft report on Electricity Regulation Network</w:t>
            </w:r>
          </w:p>
        </w:tc>
        <w:tc>
          <w:tcPr>
            <w:tcW w:w="1286" w:type="dxa"/>
          </w:tcPr>
          <w:p w:rsidR="001835ED" w:rsidRPr="00B65CBD" w:rsidRDefault="001835ED" w:rsidP="003B32BA">
            <w:pPr>
              <w:pStyle w:val="TableBodyText"/>
              <w:spacing w:before="80"/>
            </w:pPr>
            <w:r w:rsidRPr="00B65CBD">
              <w:t>Oct 2012</w:t>
            </w:r>
          </w:p>
        </w:tc>
      </w:tr>
      <w:tr w:rsidR="001835ED" w:rsidRPr="00BB73F9" w:rsidTr="0020609B">
        <w:tc>
          <w:tcPr>
            <w:tcW w:w="6299" w:type="dxa"/>
          </w:tcPr>
          <w:p w:rsidR="001835ED" w:rsidRPr="00B65CBD" w:rsidRDefault="001835ED" w:rsidP="00B3509B">
            <w:pPr>
              <w:pStyle w:val="TableBodyText"/>
              <w:tabs>
                <w:tab w:val="left" w:pos="1065"/>
              </w:tabs>
              <w:spacing w:before="80"/>
              <w:ind w:left="57"/>
              <w:jc w:val="left"/>
            </w:pPr>
            <w:proofErr w:type="spellStart"/>
            <w:r w:rsidRPr="00B65CBD">
              <w:t>CEDA</w:t>
            </w:r>
            <w:proofErr w:type="spellEnd"/>
            <w:r w:rsidRPr="00B65CBD">
              <w:t xml:space="preserve"> Lunch Meeting, Melbourne (Philip Weickhardt)</w:t>
            </w:r>
          </w:p>
        </w:tc>
        <w:tc>
          <w:tcPr>
            <w:tcW w:w="172" w:type="dxa"/>
          </w:tcPr>
          <w:p w:rsidR="001835ED" w:rsidRPr="00B65CBD" w:rsidRDefault="001835ED" w:rsidP="00B65CBD">
            <w:pPr>
              <w:keepNext/>
              <w:keepLines/>
              <w:spacing w:before="60" w:after="60"/>
              <w:rPr>
                <w:rFonts w:ascii="Arial" w:hAnsi="Arial"/>
                <w:sz w:val="20"/>
                <w:szCs w:val="20"/>
              </w:rPr>
            </w:pPr>
          </w:p>
        </w:tc>
        <w:tc>
          <w:tcPr>
            <w:tcW w:w="5865" w:type="dxa"/>
            <w:gridSpan w:val="2"/>
          </w:tcPr>
          <w:p w:rsidR="001835ED" w:rsidRPr="00B65CBD" w:rsidRDefault="001835ED" w:rsidP="00B3509B">
            <w:pPr>
              <w:pStyle w:val="TableBodyText"/>
              <w:tabs>
                <w:tab w:val="left" w:pos="3405"/>
              </w:tabs>
              <w:spacing w:before="80"/>
              <w:ind w:left="57"/>
              <w:jc w:val="left"/>
            </w:pPr>
            <w:r w:rsidRPr="00B65CBD">
              <w:t>Commission’s draft report on Electricity Regulation Network</w:t>
            </w:r>
          </w:p>
        </w:tc>
        <w:tc>
          <w:tcPr>
            <w:tcW w:w="1286" w:type="dxa"/>
          </w:tcPr>
          <w:p w:rsidR="001835ED" w:rsidRPr="00B65CBD" w:rsidRDefault="001835ED" w:rsidP="003B32BA">
            <w:pPr>
              <w:pStyle w:val="TableBodyText"/>
              <w:spacing w:before="80"/>
            </w:pPr>
            <w:r w:rsidRPr="00B65CBD">
              <w:t>Oct 2012</w:t>
            </w:r>
          </w:p>
        </w:tc>
      </w:tr>
      <w:tr w:rsidR="001835ED" w:rsidRPr="00BB73F9" w:rsidTr="0020609B">
        <w:tc>
          <w:tcPr>
            <w:tcW w:w="6299" w:type="dxa"/>
          </w:tcPr>
          <w:p w:rsidR="001835ED" w:rsidRPr="00B65CBD" w:rsidRDefault="001835ED" w:rsidP="00B3509B">
            <w:pPr>
              <w:pStyle w:val="TableBodyText"/>
              <w:tabs>
                <w:tab w:val="left" w:pos="1065"/>
              </w:tabs>
              <w:spacing w:before="80"/>
              <w:ind w:left="57"/>
              <w:jc w:val="left"/>
            </w:pPr>
            <w:r w:rsidRPr="00B65CBD">
              <w:t>Health Workforce Australia’s Inaugural conference – Inspire 2012: Reshaping Australia’s Health Workforce, Melbourne (Mike Woods)</w:t>
            </w:r>
          </w:p>
        </w:tc>
        <w:tc>
          <w:tcPr>
            <w:tcW w:w="172" w:type="dxa"/>
          </w:tcPr>
          <w:p w:rsidR="001835ED" w:rsidRPr="00B65CBD" w:rsidRDefault="001835ED" w:rsidP="00B65CBD">
            <w:pPr>
              <w:keepNext/>
              <w:keepLines/>
              <w:spacing w:before="60" w:after="60"/>
              <w:rPr>
                <w:rFonts w:ascii="Arial" w:hAnsi="Arial"/>
                <w:sz w:val="20"/>
                <w:szCs w:val="20"/>
              </w:rPr>
            </w:pPr>
          </w:p>
        </w:tc>
        <w:tc>
          <w:tcPr>
            <w:tcW w:w="5865" w:type="dxa"/>
            <w:gridSpan w:val="2"/>
          </w:tcPr>
          <w:p w:rsidR="001835ED" w:rsidRPr="00B65CBD" w:rsidRDefault="001835ED" w:rsidP="00B3509B">
            <w:pPr>
              <w:pStyle w:val="TableBodyText"/>
              <w:tabs>
                <w:tab w:val="left" w:pos="3405"/>
              </w:tabs>
              <w:spacing w:before="80"/>
              <w:ind w:left="57"/>
              <w:jc w:val="left"/>
            </w:pPr>
            <w:r w:rsidRPr="00B65CBD">
              <w:t>How to have the best workforce we can afford</w:t>
            </w:r>
          </w:p>
        </w:tc>
        <w:tc>
          <w:tcPr>
            <w:tcW w:w="1286" w:type="dxa"/>
          </w:tcPr>
          <w:p w:rsidR="001835ED" w:rsidRPr="00B65CBD" w:rsidRDefault="001835ED" w:rsidP="003B32BA">
            <w:pPr>
              <w:pStyle w:val="TableBodyText"/>
              <w:spacing w:before="80"/>
            </w:pPr>
            <w:r w:rsidRPr="00B65CBD">
              <w:t>Nov 2012</w:t>
            </w:r>
          </w:p>
        </w:tc>
      </w:tr>
      <w:tr w:rsidR="001835ED" w:rsidRPr="00BB73F9" w:rsidTr="0020609B">
        <w:tc>
          <w:tcPr>
            <w:tcW w:w="6299" w:type="dxa"/>
          </w:tcPr>
          <w:p w:rsidR="001835ED" w:rsidRPr="00B65CBD" w:rsidRDefault="001835ED" w:rsidP="00B3509B">
            <w:pPr>
              <w:pStyle w:val="TableBodyText"/>
              <w:tabs>
                <w:tab w:val="left" w:pos="1065"/>
              </w:tabs>
              <w:spacing w:before="80"/>
              <w:ind w:left="57"/>
              <w:jc w:val="left"/>
            </w:pPr>
            <w:r w:rsidRPr="00B65CBD">
              <w:t>Institute of Public Affairs Energy Forum Lunch,  Melbourne (Philip Weickhardt)`</w:t>
            </w:r>
          </w:p>
        </w:tc>
        <w:tc>
          <w:tcPr>
            <w:tcW w:w="172" w:type="dxa"/>
          </w:tcPr>
          <w:p w:rsidR="001835ED" w:rsidRPr="00B65CBD" w:rsidRDefault="001835ED" w:rsidP="00B65CBD">
            <w:pPr>
              <w:keepNext/>
              <w:keepLines/>
              <w:spacing w:before="60" w:after="60"/>
              <w:rPr>
                <w:rFonts w:ascii="Arial" w:hAnsi="Arial"/>
                <w:sz w:val="20"/>
                <w:szCs w:val="20"/>
              </w:rPr>
            </w:pPr>
          </w:p>
        </w:tc>
        <w:tc>
          <w:tcPr>
            <w:tcW w:w="5865" w:type="dxa"/>
            <w:gridSpan w:val="2"/>
          </w:tcPr>
          <w:p w:rsidR="001835ED" w:rsidRPr="00B65CBD" w:rsidRDefault="001835ED" w:rsidP="00B3509B">
            <w:pPr>
              <w:pStyle w:val="TableBodyText"/>
              <w:tabs>
                <w:tab w:val="left" w:pos="3405"/>
              </w:tabs>
              <w:spacing w:before="80"/>
              <w:ind w:left="57"/>
              <w:jc w:val="left"/>
            </w:pPr>
            <w:r w:rsidRPr="00B65CBD">
              <w:t>Commission’s draft report on Electricity Regulation Network</w:t>
            </w:r>
          </w:p>
        </w:tc>
        <w:tc>
          <w:tcPr>
            <w:tcW w:w="1286" w:type="dxa"/>
          </w:tcPr>
          <w:p w:rsidR="001835ED" w:rsidRPr="00B65CBD" w:rsidRDefault="001835ED" w:rsidP="003B32BA">
            <w:pPr>
              <w:pStyle w:val="TableBodyText"/>
              <w:spacing w:before="80"/>
            </w:pPr>
            <w:r w:rsidRPr="00B65CBD">
              <w:t>Nov 2012</w:t>
            </w:r>
          </w:p>
        </w:tc>
      </w:tr>
      <w:tr w:rsidR="00B65CBD" w:rsidRPr="00BB73F9" w:rsidTr="00B65CBD">
        <w:tc>
          <w:tcPr>
            <w:tcW w:w="6299" w:type="dxa"/>
          </w:tcPr>
          <w:p w:rsidR="00B65CBD" w:rsidRPr="00B65CBD" w:rsidRDefault="00B65CBD" w:rsidP="00B3509B">
            <w:pPr>
              <w:pStyle w:val="TableBodyText"/>
              <w:tabs>
                <w:tab w:val="left" w:pos="1065"/>
              </w:tabs>
              <w:spacing w:before="80"/>
              <w:ind w:left="57"/>
              <w:jc w:val="left"/>
            </w:pPr>
            <w:r w:rsidRPr="00B65CBD">
              <w:t>Children, Communities Connection Conference 2012, Adelaide (Robert Fitzgerald)</w:t>
            </w:r>
          </w:p>
        </w:tc>
        <w:tc>
          <w:tcPr>
            <w:tcW w:w="172" w:type="dxa"/>
          </w:tcPr>
          <w:p w:rsidR="00B65CBD" w:rsidRPr="00B65CBD" w:rsidRDefault="00B65CBD" w:rsidP="00B65CBD">
            <w:pPr>
              <w:keepNext/>
              <w:keepLines/>
              <w:spacing w:before="60" w:after="60"/>
              <w:rPr>
                <w:rFonts w:ascii="Arial" w:hAnsi="Arial"/>
                <w:sz w:val="20"/>
                <w:szCs w:val="20"/>
              </w:rPr>
            </w:pPr>
          </w:p>
        </w:tc>
        <w:tc>
          <w:tcPr>
            <w:tcW w:w="5865" w:type="dxa"/>
            <w:gridSpan w:val="2"/>
          </w:tcPr>
          <w:p w:rsidR="00B65CBD" w:rsidRPr="00B65CBD" w:rsidRDefault="00B65CBD" w:rsidP="00B3509B">
            <w:pPr>
              <w:pStyle w:val="TableBodyText"/>
              <w:tabs>
                <w:tab w:val="left" w:pos="3405"/>
              </w:tabs>
              <w:spacing w:before="80"/>
              <w:ind w:left="57"/>
              <w:jc w:val="left"/>
            </w:pPr>
            <w:r w:rsidRPr="00B65CBD">
              <w:t>Human services reforms strengthening communities</w:t>
            </w:r>
          </w:p>
        </w:tc>
        <w:tc>
          <w:tcPr>
            <w:tcW w:w="1286" w:type="dxa"/>
          </w:tcPr>
          <w:p w:rsidR="00B65CBD" w:rsidRPr="00B65CBD" w:rsidRDefault="00B65CBD" w:rsidP="003B32BA">
            <w:pPr>
              <w:pStyle w:val="TableBodyText"/>
              <w:spacing w:before="80"/>
            </w:pPr>
            <w:r w:rsidRPr="00B65CBD">
              <w:t>Nob 2012</w:t>
            </w:r>
          </w:p>
        </w:tc>
      </w:tr>
      <w:tr w:rsidR="00B65CBD" w:rsidRPr="00B65CBD" w:rsidTr="00B65CBD">
        <w:tc>
          <w:tcPr>
            <w:tcW w:w="6299" w:type="dxa"/>
          </w:tcPr>
          <w:p w:rsidR="00B65CBD" w:rsidRPr="00B65CBD" w:rsidRDefault="00B65CBD" w:rsidP="00B3509B">
            <w:pPr>
              <w:pStyle w:val="TableBodyText"/>
              <w:tabs>
                <w:tab w:val="left" w:pos="1065"/>
              </w:tabs>
              <w:spacing w:before="80"/>
              <w:ind w:left="57"/>
              <w:jc w:val="left"/>
            </w:pPr>
            <w:r w:rsidRPr="00B65CBD">
              <w:t>Australian Health Leaders Conference, Canberra (Mike Woods)</w:t>
            </w:r>
          </w:p>
        </w:tc>
        <w:tc>
          <w:tcPr>
            <w:tcW w:w="172" w:type="dxa"/>
          </w:tcPr>
          <w:p w:rsidR="00B65CBD" w:rsidRPr="00B65CBD" w:rsidRDefault="00B65CBD" w:rsidP="00B65CBD">
            <w:pPr>
              <w:keepNext/>
              <w:keepLines/>
              <w:spacing w:before="60" w:after="60"/>
              <w:rPr>
                <w:rFonts w:ascii="Arial" w:hAnsi="Arial"/>
                <w:sz w:val="20"/>
                <w:szCs w:val="20"/>
              </w:rPr>
            </w:pPr>
          </w:p>
        </w:tc>
        <w:tc>
          <w:tcPr>
            <w:tcW w:w="5865" w:type="dxa"/>
            <w:gridSpan w:val="2"/>
          </w:tcPr>
          <w:p w:rsidR="00B65CBD" w:rsidRPr="00B65CBD" w:rsidRDefault="00B65CBD" w:rsidP="00B3509B">
            <w:pPr>
              <w:pStyle w:val="TableBodyText"/>
              <w:tabs>
                <w:tab w:val="left" w:pos="3405"/>
              </w:tabs>
              <w:spacing w:before="80"/>
              <w:ind w:left="57"/>
              <w:jc w:val="left"/>
            </w:pPr>
            <w:r w:rsidRPr="00B65CBD">
              <w:t>Making the case for change in the Australian Health Workforce</w:t>
            </w:r>
          </w:p>
        </w:tc>
        <w:tc>
          <w:tcPr>
            <w:tcW w:w="1286" w:type="dxa"/>
          </w:tcPr>
          <w:p w:rsidR="00B65CBD" w:rsidRPr="00B65CBD" w:rsidRDefault="00B65CBD" w:rsidP="003B32BA">
            <w:pPr>
              <w:pStyle w:val="TableBodyText"/>
              <w:spacing w:before="80"/>
            </w:pPr>
            <w:r w:rsidRPr="00B65CBD">
              <w:t>Nov 2012</w:t>
            </w:r>
          </w:p>
        </w:tc>
      </w:tr>
      <w:tr w:rsidR="006F4979" w:rsidRPr="00B65CBD" w:rsidTr="00B65CBD">
        <w:tc>
          <w:tcPr>
            <w:tcW w:w="6299" w:type="dxa"/>
          </w:tcPr>
          <w:p w:rsidR="006F4979" w:rsidRPr="00B65CBD" w:rsidRDefault="006F4979" w:rsidP="00B3509B">
            <w:pPr>
              <w:pStyle w:val="TableBodyText"/>
              <w:tabs>
                <w:tab w:val="left" w:pos="1065"/>
              </w:tabs>
              <w:spacing w:before="80"/>
              <w:ind w:left="57"/>
              <w:jc w:val="left"/>
            </w:pPr>
            <w:r>
              <w:t xml:space="preserve">South Island Social Service Providers  Board, New Zealand (Robert  </w:t>
            </w:r>
            <w:proofErr w:type="spellStart"/>
            <w:r>
              <w:t>Fitztgerald</w:t>
            </w:r>
            <w:proofErr w:type="spellEnd"/>
            <w:r>
              <w:t>)</w:t>
            </w:r>
          </w:p>
        </w:tc>
        <w:tc>
          <w:tcPr>
            <w:tcW w:w="172" w:type="dxa"/>
          </w:tcPr>
          <w:p w:rsidR="006F4979" w:rsidRPr="00B65CBD" w:rsidRDefault="006F4979" w:rsidP="00B65CBD">
            <w:pPr>
              <w:keepNext/>
              <w:keepLines/>
              <w:spacing w:before="60" w:after="60"/>
              <w:rPr>
                <w:rFonts w:ascii="Arial" w:hAnsi="Arial"/>
                <w:sz w:val="20"/>
                <w:szCs w:val="20"/>
              </w:rPr>
            </w:pPr>
          </w:p>
        </w:tc>
        <w:tc>
          <w:tcPr>
            <w:tcW w:w="5865" w:type="dxa"/>
            <w:gridSpan w:val="2"/>
          </w:tcPr>
          <w:p w:rsidR="006F4979" w:rsidRPr="00B65CBD" w:rsidRDefault="006F4979" w:rsidP="00B3509B">
            <w:pPr>
              <w:pStyle w:val="TableBodyText"/>
              <w:tabs>
                <w:tab w:val="left" w:pos="3405"/>
              </w:tabs>
              <w:spacing w:before="80"/>
              <w:ind w:left="57"/>
              <w:jc w:val="left"/>
            </w:pPr>
            <w:r>
              <w:t>Improving productivity in NGOs and the sector: better values better outcomes</w:t>
            </w:r>
          </w:p>
        </w:tc>
        <w:tc>
          <w:tcPr>
            <w:tcW w:w="1286" w:type="dxa"/>
          </w:tcPr>
          <w:p w:rsidR="006F4979" w:rsidRPr="00B65CBD" w:rsidRDefault="006F4979" w:rsidP="003B32BA">
            <w:pPr>
              <w:pStyle w:val="TableBodyText"/>
              <w:spacing w:before="80"/>
            </w:pPr>
            <w:r>
              <w:t>Nov 2012</w:t>
            </w:r>
          </w:p>
        </w:tc>
      </w:tr>
      <w:tr w:rsidR="006F4979" w:rsidRPr="00B65CBD" w:rsidTr="006F4979">
        <w:tc>
          <w:tcPr>
            <w:tcW w:w="6299" w:type="dxa"/>
          </w:tcPr>
          <w:p w:rsidR="006F4979" w:rsidRPr="00B65CBD" w:rsidRDefault="006F4979" w:rsidP="006F4979">
            <w:pPr>
              <w:pStyle w:val="TableBodyText"/>
              <w:tabs>
                <w:tab w:val="left" w:pos="1065"/>
              </w:tabs>
              <w:spacing w:before="80"/>
              <w:ind w:left="57"/>
              <w:jc w:val="left"/>
            </w:pPr>
            <w:r>
              <w:t>Economic &amp; Social Outlook Conference, Melbourne (Patricia Scott)</w:t>
            </w:r>
          </w:p>
        </w:tc>
        <w:tc>
          <w:tcPr>
            <w:tcW w:w="172" w:type="dxa"/>
          </w:tcPr>
          <w:p w:rsidR="006F4979" w:rsidRPr="00B65CBD" w:rsidRDefault="006F4979" w:rsidP="006F4979">
            <w:pPr>
              <w:keepNext/>
              <w:keepLines/>
              <w:spacing w:before="60" w:after="60"/>
              <w:rPr>
                <w:rFonts w:ascii="Arial" w:hAnsi="Arial"/>
                <w:sz w:val="20"/>
                <w:szCs w:val="20"/>
              </w:rPr>
            </w:pPr>
          </w:p>
        </w:tc>
        <w:tc>
          <w:tcPr>
            <w:tcW w:w="5865" w:type="dxa"/>
            <w:gridSpan w:val="2"/>
          </w:tcPr>
          <w:p w:rsidR="006F4979" w:rsidRPr="00B65CBD" w:rsidRDefault="006F4979" w:rsidP="006F4979">
            <w:pPr>
              <w:pStyle w:val="TableBodyText"/>
              <w:tabs>
                <w:tab w:val="left" w:pos="3405"/>
              </w:tabs>
              <w:spacing w:before="80"/>
              <w:ind w:left="57"/>
              <w:jc w:val="left"/>
            </w:pPr>
            <w:r>
              <w:t>The Long Term View</w:t>
            </w:r>
          </w:p>
        </w:tc>
        <w:tc>
          <w:tcPr>
            <w:tcW w:w="1286" w:type="dxa"/>
          </w:tcPr>
          <w:p w:rsidR="006F4979" w:rsidRPr="00B65CBD" w:rsidRDefault="006F4979" w:rsidP="006F4979">
            <w:pPr>
              <w:pStyle w:val="TableBodyText"/>
              <w:spacing w:before="80"/>
            </w:pPr>
            <w:r>
              <w:t>Nov 2012</w:t>
            </w:r>
          </w:p>
        </w:tc>
      </w:tr>
      <w:tr w:rsidR="006F4979" w:rsidRPr="00B65CBD" w:rsidTr="006F4979">
        <w:tc>
          <w:tcPr>
            <w:tcW w:w="6299" w:type="dxa"/>
          </w:tcPr>
          <w:p w:rsidR="006F4979" w:rsidRPr="00B65CBD" w:rsidRDefault="006F4979" w:rsidP="006F4979">
            <w:pPr>
              <w:pStyle w:val="TableBodyText"/>
              <w:tabs>
                <w:tab w:val="left" w:pos="1065"/>
              </w:tabs>
              <w:spacing w:before="80"/>
              <w:ind w:left="57"/>
              <w:jc w:val="left"/>
            </w:pPr>
            <w:r>
              <w:t>National Disability Service CEO meeting, Sydney (Robert Fitzgerald)</w:t>
            </w:r>
          </w:p>
        </w:tc>
        <w:tc>
          <w:tcPr>
            <w:tcW w:w="172" w:type="dxa"/>
          </w:tcPr>
          <w:p w:rsidR="006F4979" w:rsidRPr="00B65CBD" w:rsidRDefault="006F4979" w:rsidP="006F4979">
            <w:pPr>
              <w:keepNext/>
              <w:keepLines/>
              <w:spacing w:before="60" w:after="60"/>
              <w:rPr>
                <w:rFonts w:ascii="Arial" w:hAnsi="Arial"/>
                <w:sz w:val="20"/>
                <w:szCs w:val="20"/>
              </w:rPr>
            </w:pPr>
          </w:p>
        </w:tc>
        <w:tc>
          <w:tcPr>
            <w:tcW w:w="5865" w:type="dxa"/>
            <w:gridSpan w:val="2"/>
          </w:tcPr>
          <w:p w:rsidR="006F4979" w:rsidRPr="00B65CBD" w:rsidRDefault="006F4979" w:rsidP="006F4979">
            <w:pPr>
              <w:pStyle w:val="TableBodyText"/>
              <w:tabs>
                <w:tab w:val="left" w:pos="3405"/>
              </w:tabs>
              <w:spacing w:before="80"/>
              <w:ind w:left="57"/>
              <w:jc w:val="left"/>
            </w:pPr>
            <w:r>
              <w:t>Reforming relationships with governments</w:t>
            </w:r>
          </w:p>
        </w:tc>
        <w:tc>
          <w:tcPr>
            <w:tcW w:w="1286" w:type="dxa"/>
          </w:tcPr>
          <w:p w:rsidR="006F4979" w:rsidRPr="00B65CBD" w:rsidRDefault="006F4979" w:rsidP="006F4979">
            <w:pPr>
              <w:pStyle w:val="TableBodyText"/>
              <w:spacing w:before="80"/>
            </w:pPr>
            <w:r>
              <w:t>Dec 2012</w:t>
            </w:r>
          </w:p>
        </w:tc>
      </w:tr>
      <w:tr w:rsidR="00B65CBD" w:rsidRPr="00B65CBD" w:rsidTr="00B65CBD">
        <w:tc>
          <w:tcPr>
            <w:tcW w:w="6299" w:type="dxa"/>
          </w:tcPr>
          <w:p w:rsidR="00B65CBD" w:rsidRPr="00B65CBD" w:rsidRDefault="00B65CBD" w:rsidP="00B3509B">
            <w:pPr>
              <w:pStyle w:val="TableBodyText"/>
              <w:tabs>
                <w:tab w:val="left" w:pos="1065"/>
              </w:tabs>
              <w:spacing w:before="80"/>
              <w:ind w:left="57"/>
              <w:jc w:val="left"/>
            </w:pPr>
            <w:proofErr w:type="spellStart"/>
            <w:r w:rsidRPr="00B65CBD">
              <w:t>CEPAR</w:t>
            </w:r>
            <w:proofErr w:type="spellEnd"/>
            <w:r w:rsidRPr="00B65CBD">
              <w:t xml:space="preserve"> Crawford Aged Care Policy Dialogue, Canberra (Mike Woods)</w:t>
            </w:r>
          </w:p>
        </w:tc>
        <w:tc>
          <w:tcPr>
            <w:tcW w:w="172" w:type="dxa"/>
          </w:tcPr>
          <w:p w:rsidR="00B65CBD" w:rsidRPr="00B65CBD" w:rsidRDefault="00B65CBD" w:rsidP="00B65CBD">
            <w:pPr>
              <w:keepNext/>
              <w:keepLines/>
              <w:spacing w:before="60" w:after="60"/>
              <w:rPr>
                <w:rFonts w:ascii="Arial" w:hAnsi="Arial"/>
                <w:sz w:val="20"/>
                <w:szCs w:val="20"/>
              </w:rPr>
            </w:pPr>
          </w:p>
        </w:tc>
        <w:tc>
          <w:tcPr>
            <w:tcW w:w="5865" w:type="dxa"/>
            <w:gridSpan w:val="2"/>
          </w:tcPr>
          <w:p w:rsidR="00B65CBD" w:rsidRPr="00B65CBD" w:rsidRDefault="00B65CBD" w:rsidP="00B3509B">
            <w:pPr>
              <w:pStyle w:val="TableBodyText"/>
              <w:tabs>
                <w:tab w:val="left" w:pos="3405"/>
              </w:tabs>
              <w:spacing w:before="80"/>
              <w:ind w:left="57"/>
              <w:jc w:val="left"/>
            </w:pPr>
            <w:r w:rsidRPr="00B65CBD">
              <w:t>Challenges for Australian Policy</w:t>
            </w:r>
          </w:p>
        </w:tc>
        <w:tc>
          <w:tcPr>
            <w:tcW w:w="1286" w:type="dxa"/>
          </w:tcPr>
          <w:p w:rsidR="00B65CBD" w:rsidRPr="00B65CBD" w:rsidRDefault="00B65CBD" w:rsidP="003B32BA">
            <w:pPr>
              <w:pStyle w:val="TableBodyText"/>
              <w:spacing w:before="80"/>
            </w:pPr>
            <w:r w:rsidRPr="00B65CBD">
              <w:t>Dec 2012</w:t>
            </w:r>
          </w:p>
        </w:tc>
      </w:tr>
      <w:tr w:rsidR="00B65CBD" w:rsidRPr="00B65CBD" w:rsidTr="00B65CBD">
        <w:tc>
          <w:tcPr>
            <w:tcW w:w="6299" w:type="dxa"/>
          </w:tcPr>
          <w:p w:rsidR="00B65CBD" w:rsidRPr="00B65CBD" w:rsidRDefault="00B65CBD" w:rsidP="00B3509B">
            <w:pPr>
              <w:pStyle w:val="TableBodyText"/>
              <w:tabs>
                <w:tab w:val="left" w:pos="1065"/>
              </w:tabs>
              <w:spacing w:before="80"/>
              <w:ind w:left="57"/>
              <w:jc w:val="left"/>
            </w:pPr>
            <w:r w:rsidRPr="00B65CBD">
              <w:t>NSW Public Sector Community of Interest on Behaviour Insights Breakfast Forum, Sydney (Mike Woods)</w:t>
            </w:r>
          </w:p>
        </w:tc>
        <w:tc>
          <w:tcPr>
            <w:tcW w:w="172" w:type="dxa"/>
          </w:tcPr>
          <w:p w:rsidR="00B65CBD" w:rsidRPr="00B65CBD" w:rsidRDefault="00B65CBD" w:rsidP="00B65CBD">
            <w:pPr>
              <w:keepNext/>
              <w:keepLines/>
              <w:spacing w:before="60" w:after="60"/>
              <w:rPr>
                <w:rFonts w:ascii="Arial" w:hAnsi="Arial"/>
                <w:sz w:val="20"/>
                <w:szCs w:val="20"/>
              </w:rPr>
            </w:pPr>
          </w:p>
        </w:tc>
        <w:tc>
          <w:tcPr>
            <w:tcW w:w="5865" w:type="dxa"/>
            <w:gridSpan w:val="2"/>
          </w:tcPr>
          <w:p w:rsidR="00B65CBD" w:rsidRPr="00B65CBD" w:rsidRDefault="00B65CBD" w:rsidP="00B3509B">
            <w:pPr>
              <w:pStyle w:val="TableBodyText"/>
              <w:tabs>
                <w:tab w:val="left" w:pos="3405"/>
              </w:tabs>
              <w:spacing w:before="80"/>
              <w:ind w:left="57"/>
              <w:jc w:val="left"/>
            </w:pPr>
            <w:r w:rsidRPr="00B65CBD">
              <w:t>Behaviour insights</w:t>
            </w:r>
          </w:p>
        </w:tc>
        <w:tc>
          <w:tcPr>
            <w:tcW w:w="1286" w:type="dxa"/>
          </w:tcPr>
          <w:p w:rsidR="00B65CBD" w:rsidRPr="00B65CBD" w:rsidRDefault="00B65CBD" w:rsidP="003B32BA">
            <w:pPr>
              <w:pStyle w:val="TableBodyText"/>
              <w:spacing w:before="80"/>
            </w:pPr>
            <w:r w:rsidRPr="00B65CBD">
              <w:t>Dec 2012</w:t>
            </w:r>
          </w:p>
        </w:tc>
      </w:tr>
    </w:tbl>
    <w:p w:rsidR="0058455F" w:rsidRDefault="0058455F">
      <w:r>
        <w:br w:type="page"/>
      </w:r>
    </w:p>
    <w:tbl>
      <w:tblPr>
        <w:tblW w:w="13622" w:type="dxa"/>
        <w:tblInd w:w="-3" w:type="dxa"/>
        <w:tblLayout w:type="fixed"/>
        <w:tblCellMar>
          <w:left w:w="0" w:type="dxa"/>
          <w:right w:w="0" w:type="dxa"/>
        </w:tblCellMar>
        <w:tblLook w:val="0000" w:firstRow="0" w:lastRow="0" w:firstColumn="0" w:lastColumn="0" w:noHBand="0" w:noVBand="0"/>
      </w:tblPr>
      <w:tblGrid>
        <w:gridCol w:w="6299"/>
        <w:gridCol w:w="172"/>
        <w:gridCol w:w="5865"/>
        <w:gridCol w:w="1286"/>
      </w:tblGrid>
      <w:tr w:rsidR="00B65CBD" w:rsidRPr="00B65CBD" w:rsidTr="00B65CBD">
        <w:tc>
          <w:tcPr>
            <w:tcW w:w="6299" w:type="dxa"/>
          </w:tcPr>
          <w:p w:rsidR="00B65CBD" w:rsidRPr="00B65CBD" w:rsidRDefault="00B65CBD" w:rsidP="00B3509B">
            <w:pPr>
              <w:pStyle w:val="TableBodyText"/>
              <w:tabs>
                <w:tab w:val="left" w:pos="1065"/>
              </w:tabs>
              <w:spacing w:before="80"/>
              <w:ind w:left="57"/>
              <w:jc w:val="left"/>
            </w:pPr>
            <w:r w:rsidRPr="00B65CBD">
              <w:lastRenderedPageBreak/>
              <w:t>2013 Supreme and Federal Courts Judges’ Conference, Sydney (Robert Fitzgerald)</w:t>
            </w:r>
          </w:p>
        </w:tc>
        <w:tc>
          <w:tcPr>
            <w:tcW w:w="172" w:type="dxa"/>
          </w:tcPr>
          <w:p w:rsidR="00B65CBD" w:rsidRPr="00B65CBD" w:rsidRDefault="00B65CBD" w:rsidP="00B65CBD">
            <w:pPr>
              <w:keepNext/>
              <w:keepLines/>
              <w:spacing w:before="60" w:after="60"/>
              <w:rPr>
                <w:rFonts w:ascii="Arial" w:hAnsi="Arial"/>
                <w:sz w:val="20"/>
                <w:szCs w:val="20"/>
              </w:rPr>
            </w:pPr>
          </w:p>
        </w:tc>
        <w:tc>
          <w:tcPr>
            <w:tcW w:w="5865" w:type="dxa"/>
          </w:tcPr>
          <w:p w:rsidR="00B65CBD" w:rsidRPr="00B65CBD" w:rsidRDefault="00B65CBD" w:rsidP="00B3509B">
            <w:pPr>
              <w:pStyle w:val="TableBodyText"/>
              <w:tabs>
                <w:tab w:val="left" w:pos="3405"/>
              </w:tabs>
              <w:spacing w:before="80"/>
              <w:ind w:left="57"/>
              <w:jc w:val="left"/>
            </w:pPr>
            <w:r w:rsidRPr="00B65CBD">
              <w:t>‘The push for productivity — what is to be the judicial contribution?</w:t>
            </w:r>
          </w:p>
        </w:tc>
        <w:tc>
          <w:tcPr>
            <w:tcW w:w="1286" w:type="dxa"/>
          </w:tcPr>
          <w:p w:rsidR="00B65CBD" w:rsidRPr="00B65CBD" w:rsidRDefault="00B65CBD" w:rsidP="003B32BA">
            <w:pPr>
              <w:pStyle w:val="TableBodyText"/>
              <w:spacing w:before="80"/>
            </w:pPr>
            <w:r w:rsidRPr="00B65CBD">
              <w:t>Jan 2013</w:t>
            </w:r>
          </w:p>
        </w:tc>
      </w:tr>
      <w:tr w:rsidR="00B65CBD" w:rsidRPr="00BB73F9" w:rsidTr="006F4979">
        <w:tc>
          <w:tcPr>
            <w:tcW w:w="6299" w:type="dxa"/>
          </w:tcPr>
          <w:p w:rsidR="00B65CBD" w:rsidRPr="00BB73F9" w:rsidRDefault="003B32BA" w:rsidP="00B3509B">
            <w:pPr>
              <w:pStyle w:val="TableBodyText"/>
              <w:tabs>
                <w:tab w:val="left" w:pos="1065"/>
              </w:tabs>
              <w:spacing w:before="80"/>
              <w:ind w:left="57"/>
              <w:jc w:val="left"/>
            </w:pPr>
            <w:proofErr w:type="spellStart"/>
            <w:r>
              <w:t>Probus</w:t>
            </w:r>
            <w:proofErr w:type="spellEnd"/>
            <w:r>
              <w:t>, Sydney (Philip Weickhardt)</w:t>
            </w:r>
          </w:p>
        </w:tc>
        <w:tc>
          <w:tcPr>
            <w:tcW w:w="172" w:type="dxa"/>
          </w:tcPr>
          <w:p w:rsidR="00B65CBD" w:rsidRPr="00BB73F9" w:rsidRDefault="00B65CBD" w:rsidP="00AF0B91">
            <w:pPr>
              <w:pStyle w:val="TableBodyText"/>
              <w:spacing w:before="60"/>
              <w:ind w:left="57"/>
              <w:jc w:val="left"/>
            </w:pPr>
          </w:p>
        </w:tc>
        <w:tc>
          <w:tcPr>
            <w:tcW w:w="5865" w:type="dxa"/>
          </w:tcPr>
          <w:p w:rsidR="00B65CBD" w:rsidRPr="00BB73F9" w:rsidRDefault="003B32BA" w:rsidP="00B3509B">
            <w:pPr>
              <w:pStyle w:val="TableBodyText"/>
              <w:tabs>
                <w:tab w:val="left" w:pos="3405"/>
              </w:tabs>
              <w:spacing w:before="80"/>
              <w:ind w:left="57"/>
              <w:jc w:val="left"/>
            </w:pPr>
            <w:r>
              <w:t>The Commission’s role and activities</w:t>
            </w:r>
          </w:p>
        </w:tc>
        <w:tc>
          <w:tcPr>
            <w:tcW w:w="1286" w:type="dxa"/>
          </w:tcPr>
          <w:p w:rsidR="00B65CBD" w:rsidRPr="00BB73F9" w:rsidRDefault="003B32BA" w:rsidP="003B32BA">
            <w:pPr>
              <w:pStyle w:val="TableBodyText"/>
              <w:spacing w:before="60"/>
              <w:ind w:left="57"/>
            </w:pPr>
            <w:r>
              <w:t>Feb 2013</w:t>
            </w:r>
          </w:p>
        </w:tc>
      </w:tr>
      <w:tr w:rsidR="00B65CBD" w:rsidRPr="00BB73F9" w:rsidTr="006F4979">
        <w:tc>
          <w:tcPr>
            <w:tcW w:w="6299" w:type="dxa"/>
          </w:tcPr>
          <w:p w:rsidR="00B65CBD" w:rsidRPr="00BB73F9" w:rsidRDefault="00F9302D" w:rsidP="00B3509B">
            <w:pPr>
              <w:pStyle w:val="TableBodyText"/>
              <w:tabs>
                <w:tab w:val="left" w:pos="1065"/>
              </w:tabs>
              <w:spacing w:before="80"/>
              <w:ind w:left="57"/>
              <w:jc w:val="left"/>
            </w:pPr>
            <w:proofErr w:type="spellStart"/>
            <w:r>
              <w:t>ANU</w:t>
            </w:r>
            <w:proofErr w:type="spellEnd"/>
            <w:r>
              <w:t xml:space="preserve"> Seminar</w:t>
            </w:r>
            <w:r w:rsidR="0031252F">
              <w:t xml:space="preserve"> – Social Policy Lecture</w:t>
            </w:r>
            <w:r>
              <w:t>, Canberra (Alison McClelland)</w:t>
            </w:r>
          </w:p>
        </w:tc>
        <w:tc>
          <w:tcPr>
            <w:tcW w:w="172" w:type="dxa"/>
          </w:tcPr>
          <w:p w:rsidR="00B65CBD" w:rsidRPr="00BB73F9" w:rsidRDefault="00B65CBD" w:rsidP="00AF0B91">
            <w:pPr>
              <w:pStyle w:val="TableBodyText"/>
              <w:spacing w:before="60"/>
              <w:ind w:left="57"/>
              <w:jc w:val="left"/>
            </w:pPr>
          </w:p>
        </w:tc>
        <w:tc>
          <w:tcPr>
            <w:tcW w:w="5865" w:type="dxa"/>
          </w:tcPr>
          <w:p w:rsidR="00B65CBD" w:rsidRPr="00BB73F9" w:rsidRDefault="00F9302D" w:rsidP="00B3509B">
            <w:pPr>
              <w:pStyle w:val="TableBodyText"/>
              <w:tabs>
                <w:tab w:val="left" w:pos="3405"/>
              </w:tabs>
              <w:spacing w:before="80"/>
              <w:ind w:left="57"/>
              <w:jc w:val="left"/>
            </w:pPr>
            <w:r>
              <w:t>Reflection on experiences in social policy over four decades</w:t>
            </w:r>
          </w:p>
        </w:tc>
        <w:tc>
          <w:tcPr>
            <w:tcW w:w="1286" w:type="dxa"/>
          </w:tcPr>
          <w:p w:rsidR="00B65CBD" w:rsidRPr="00BB73F9" w:rsidRDefault="00F9302D" w:rsidP="003B32BA">
            <w:pPr>
              <w:pStyle w:val="TableBodyText"/>
              <w:spacing w:before="60"/>
              <w:ind w:left="57"/>
            </w:pPr>
            <w:r>
              <w:t>March 2013</w:t>
            </w:r>
          </w:p>
        </w:tc>
      </w:tr>
      <w:tr w:rsidR="006F4979" w:rsidRPr="00BB73F9" w:rsidTr="006F4979">
        <w:tc>
          <w:tcPr>
            <w:tcW w:w="6299" w:type="dxa"/>
          </w:tcPr>
          <w:p w:rsidR="006F4979" w:rsidRDefault="006F4979" w:rsidP="00B3509B">
            <w:pPr>
              <w:pStyle w:val="TableBodyText"/>
              <w:tabs>
                <w:tab w:val="left" w:pos="1065"/>
              </w:tabs>
              <w:spacing w:before="80"/>
              <w:ind w:left="57"/>
              <w:jc w:val="left"/>
            </w:pPr>
            <w:r>
              <w:t>CPR Association Forum, Canberra (Daryl Quinlivan)</w:t>
            </w:r>
          </w:p>
        </w:tc>
        <w:tc>
          <w:tcPr>
            <w:tcW w:w="172" w:type="dxa"/>
          </w:tcPr>
          <w:p w:rsidR="006F4979" w:rsidRPr="00BB73F9" w:rsidRDefault="006F4979" w:rsidP="00AF0B91">
            <w:pPr>
              <w:pStyle w:val="TableBodyText"/>
              <w:spacing w:before="60"/>
              <w:ind w:left="57"/>
              <w:jc w:val="left"/>
            </w:pPr>
          </w:p>
        </w:tc>
        <w:tc>
          <w:tcPr>
            <w:tcW w:w="5865" w:type="dxa"/>
          </w:tcPr>
          <w:p w:rsidR="006F4979" w:rsidRDefault="006F4979" w:rsidP="00B3509B">
            <w:pPr>
              <w:pStyle w:val="TableBodyText"/>
              <w:tabs>
                <w:tab w:val="left" w:pos="3405"/>
              </w:tabs>
              <w:spacing w:before="80"/>
              <w:ind w:left="57"/>
              <w:jc w:val="left"/>
            </w:pPr>
            <w:r>
              <w:t>Recent productivity performance</w:t>
            </w:r>
          </w:p>
        </w:tc>
        <w:tc>
          <w:tcPr>
            <w:tcW w:w="1286" w:type="dxa"/>
          </w:tcPr>
          <w:p w:rsidR="006F4979" w:rsidRDefault="006F4979" w:rsidP="003B32BA">
            <w:pPr>
              <w:pStyle w:val="TableBodyText"/>
              <w:spacing w:before="60"/>
              <w:ind w:left="57"/>
            </w:pPr>
            <w:r>
              <w:t>March 2013</w:t>
            </w:r>
          </w:p>
        </w:tc>
      </w:tr>
      <w:tr w:rsidR="0031252F" w:rsidRPr="00BB73F9" w:rsidTr="006F4979">
        <w:tc>
          <w:tcPr>
            <w:tcW w:w="6299" w:type="dxa"/>
          </w:tcPr>
          <w:p w:rsidR="0031252F" w:rsidRPr="00BB73F9" w:rsidRDefault="0031252F" w:rsidP="00B3509B">
            <w:pPr>
              <w:pStyle w:val="TableBodyText"/>
              <w:tabs>
                <w:tab w:val="left" w:pos="1065"/>
              </w:tabs>
              <w:spacing w:before="80"/>
              <w:ind w:left="57"/>
              <w:jc w:val="left"/>
            </w:pPr>
            <w:r>
              <w:t>SA Premier’s Climate Change Council Meeting, Adelaide (Wendy Craik)</w:t>
            </w:r>
          </w:p>
        </w:tc>
        <w:tc>
          <w:tcPr>
            <w:tcW w:w="172" w:type="dxa"/>
          </w:tcPr>
          <w:p w:rsidR="0031252F" w:rsidRPr="00BB73F9" w:rsidRDefault="0031252F" w:rsidP="00AF0B91">
            <w:pPr>
              <w:pStyle w:val="TableBodyText"/>
              <w:spacing w:before="60"/>
              <w:ind w:left="57"/>
              <w:jc w:val="left"/>
            </w:pPr>
          </w:p>
        </w:tc>
        <w:tc>
          <w:tcPr>
            <w:tcW w:w="5865" w:type="dxa"/>
          </w:tcPr>
          <w:p w:rsidR="0031252F" w:rsidRPr="00BB73F9" w:rsidRDefault="0031252F" w:rsidP="00B3509B">
            <w:pPr>
              <w:pStyle w:val="TableBodyText"/>
              <w:tabs>
                <w:tab w:val="left" w:pos="3405"/>
              </w:tabs>
              <w:spacing w:before="80"/>
              <w:ind w:left="57"/>
              <w:jc w:val="left"/>
            </w:pPr>
            <w:r>
              <w:t>Commission’s inquiry into Barriers to effective climate change adaptation</w:t>
            </w:r>
          </w:p>
        </w:tc>
        <w:tc>
          <w:tcPr>
            <w:tcW w:w="1286" w:type="dxa"/>
          </w:tcPr>
          <w:p w:rsidR="0031252F" w:rsidRPr="00BB73F9" w:rsidRDefault="0031252F" w:rsidP="003B32BA">
            <w:pPr>
              <w:pStyle w:val="TableBodyText"/>
              <w:spacing w:before="60"/>
              <w:ind w:left="57"/>
            </w:pPr>
            <w:r>
              <w:t>April 2013</w:t>
            </w:r>
          </w:p>
        </w:tc>
      </w:tr>
      <w:tr w:rsidR="0031252F" w:rsidRPr="00BB73F9" w:rsidTr="006F4979">
        <w:tc>
          <w:tcPr>
            <w:tcW w:w="6299" w:type="dxa"/>
          </w:tcPr>
          <w:p w:rsidR="0031252F" w:rsidRPr="00BB73F9" w:rsidRDefault="0031252F" w:rsidP="00B3509B">
            <w:pPr>
              <w:pStyle w:val="TableBodyText"/>
              <w:tabs>
                <w:tab w:val="left" w:pos="1065"/>
              </w:tabs>
              <w:spacing w:before="80"/>
              <w:ind w:left="57"/>
              <w:jc w:val="left"/>
            </w:pPr>
            <w:r>
              <w:t>SA Department of Manufacturing, Innovation, Trade, Resources &amp; Energy, Adelaide (Wendy Craik)</w:t>
            </w:r>
          </w:p>
        </w:tc>
        <w:tc>
          <w:tcPr>
            <w:tcW w:w="172" w:type="dxa"/>
          </w:tcPr>
          <w:p w:rsidR="0031252F" w:rsidRPr="00BB73F9" w:rsidRDefault="0031252F" w:rsidP="00AF0B91">
            <w:pPr>
              <w:pStyle w:val="TableBodyText"/>
              <w:spacing w:before="60"/>
              <w:ind w:left="57"/>
              <w:jc w:val="left"/>
            </w:pPr>
          </w:p>
        </w:tc>
        <w:tc>
          <w:tcPr>
            <w:tcW w:w="5865" w:type="dxa"/>
          </w:tcPr>
          <w:p w:rsidR="0031252F" w:rsidRPr="00B65CBD" w:rsidRDefault="0031252F" w:rsidP="00B3509B">
            <w:pPr>
              <w:pStyle w:val="TableBodyText"/>
              <w:tabs>
                <w:tab w:val="left" w:pos="3405"/>
              </w:tabs>
              <w:spacing w:before="80"/>
              <w:ind w:left="57"/>
              <w:jc w:val="left"/>
            </w:pPr>
            <w:r w:rsidRPr="00B65CBD">
              <w:t>Commission’s draft report on Electricity Regulation Network</w:t>
            </w:r>
          </w:p>
        </w:tc>
        <w:tc>
          <w:tcPr>
            <w:tcW w:w="1286" w:type="dxa"/>
          </w:tcPr>
          <w:p w:rsidR="0031252F" w:rsidRPr="00BB73F9" w:rsidRDefault="0031252F" w:rsidP="003B32BA">
            <w:pPr>
              <w:pStyle w:val="TableBodyText"/>
              <w:spacing w:before="60"/>
              <w:ind w:left="57"/>
            </w:pPr>
            <w:r>
              <w:t>April 2013</w:t>
            </w:r>
          </w:p>
        </w:tc>
      </w:tr>
      <w:tr w:rsidR="0031252F" w:rsidRPr="00BB73F9" w:rsidTr="006F4979">
        <w:tc>
          <w:tcPr>
            <w:tcW w:w="6299" w:type="dxa"/>
          </w:tcPr>
          <w:p w:rsidR="0031252F" w:rsidRPr="00BB73F9" w:rsidRDefault="0031252F" w:rsidP="00B3509B">
            <w:pPr>
              <w:pStyle w:val="TableBodyText"/>
              <w:tabs>
                <w:tab w:val="left" w:pos="1065"/>
              </w:tabs>
              <w:spacing w:before="80"/>
              <w:ind w:left="57"/>
              <w:jc w:val="left"/>
            </w:pPr>
            <w:r>
              <w:t>Leaders for Leaders Forum, Adelaide (Wendy Craik)</w:t>
            </w:r>
          </w:p>
        </w:tc>
        <w:tc>
          <w:tcPr>
            <w:tcW w:w="172" w:type="dxa"/>
          </w:tcPr>
          <w:p w:rsidR="0031252F" w:rsidRPr="00BB73F9" w:rsidRDefault="0031252F" w:rsidP="00AF0B91">
            <w:pPr>
              <w:pStyle w:val="TableBodyText"/>
              <w:spacing w:before="60"/>
              <w:ind w:left="57"/>
              <w:jc w:val="left"/>
            </w:pPr>
          </w:p>
        </w:tc>
        <w:tc>
          <w:tcPr>
            <w:tcW w:w="5865" w:type="dxa"/>
          </w:tcPr>
          <w:p w:rsidR="0031252F" w:rsidRPr="00BB73F9" w:rsidRDefault="0031252F" w:rsidP="00B3509B">
            <w:pPr>
              <w:pStyle w:val="TableBodyText"/>
              <w:tabs>
                <w:tab w:val="left" w:pos="3405"/>
              </w:tabs>
              <w:spacing w:before="80"/>
              <w:ind w:left="57"/>
              <w:jc w:val="left"/>
            </w:pPr>
            <w:r>
              <w:t>Commission’s inquiry into Barriers to effective climate change adaptation</w:t>
            </w:r>
          </w:p>
        </w:tc>
        <w:tc>
          <w:tcPr>
            <w:tcW w:w="1286" w:type="dxa"/>
          </w:tcPr>
          <w:p w:rsidR="0031252F" w:rsidRPr="00BB73F9" w:rsidRDefault="0031252F" w:rsidP="003B32BA">
            <w:pPr>
              <w:pStyle w:val="TableBodyText"/>
              <w:spacing w:before="60"/>
              <w:ind w:left="57"/>
            </w:pPr>
            <w:r>
              <w:t>April 2013</w:t>
            </w:r>
          </w:p>
        </w:tc>
      </w:tr>
      <w:tr w:rsidR="0031252F" w:rsidRPr="00BB73F9" w:rsidTr="006F4979">
        <w:tc>
          <w:tcPr>
            <w:tcW w:w="6299" w:type="dxa"/>
          </w:tcPr>
          <w:p w:rsidR="0031252F" w:rsidRPr="00BB73F9" w:rsidRDefault="0031252F" w:rsidP="006F4979">
            <w:pPr>
              <w:pStyle w:val="TableBodyText"/>
              <w:spacing w:before="200"/>
              <w:ind w:left="57"/>
              <w:jc w:val="left"/>
              <w:rPr>
                <w:b/>
              </w:rPr>
            </w:pPr>
            <w:r w:rsidRPr="00BB73F9">
              <w:rPr>
                <w:b/>
              </w:rPr>
              <w:t>Staff:</w:t>
            </w:r>
          </w:p>
        </w:tc>
        <w:tc>
          <w:tcPr>
            <w:tcW w:w="172" w:type="dxa"/>
          </w:tcPr>
          <w:p w:rsidR="0031252F" w:rsidRPr="00BB73F9" w:rsidRDefault="0031252F" w:rsidP="006F4979">
            <w:pPr>
              <w:pStyle w:val="TableBodyText"/>
              <w:spacing w:before="200"/>
              <w:ind w:left="57"/>
              <w:jc w:val="left"/>
              <w:rPr>
                <w:b/>
              </w:rPr>
            </w:pPr>
          </w:p>
        </w:tc>
        <w:tc>
          <w:tcPr>
            <w:tcW w:w="5865" w:type="dxa"/>
          </w:tcPr>
          <w:p w:rsidR="0031252F" w:rsidRPr="00B3509B" w:rsidRDefault="0031252F" w:rsidP="00B3509B">
            <w:pPr>
              <w:pStyle w:val="TableBodyText"/>
              <w:tabs>
                <w:tab w:val="left" w:pos="3405"/>
              </w:tabs>
              <w:spacing w:before="80"/>
              <w:ind w:left="57"/>
              <w:jc w:val="left"/>
            </w:pPr>
          </w:p>
        </w:tc>
        <w:tc>
          <w:tcPr>
            <w:tcW w:w="1286" w:type="dxa"/>
          </w:tcPr>
          <w:p w:rsidR="0031252F" w:rsidRPr="00BB73F9" w:rsidRDefault="0031252F" w:rsidP="006F4979">
            <w:pPr>
              <w:pStyle w:val="TableBodyText"/>
              <w:spacing w:before="200"/>
              <w:ind w:left="57"/>
              <w:jc w:val="left"/>
              <w:rPr>
                <w:b/>
              </w:rPr>
            </w:pPr>
          </w:p>
        </w:tc>
      </w:tr>
      <w:tr w:rsidR="0031252F" w:rsidRPr="00BB73F9" w:rsidTr="006F4979">
        <w:tc>
          <w:tcPr>
            <w:tcW w:w="6299" w:type="dxa"/>
          </w:tcPr>
          <w:p w:rsidR="0031252F" w:rsidRPr="00BB73F9" w:rsidRDefault="0031252F" w:rsidP="00B3509B">
            <w:pPr>
              <w:pStyle w:val="TableBodyText"/>
              <w:tabs>
                <w:tab w:val="left" w:pos="1065"/>
              </w:tabs>
              <w:spacing w:before="80"/>
              <w:ind w:left="57"/>
              <w:jc w:val="left"/>
            </w:pPr>
            <w:r>
              <w:t>14</w:t>
            </w:r>
            <w:r w:rsidRPr="00B3509B">
              <w:t>th</w:t>
            </w:r>
            <w:r>
              <w:t xml:space="preserve"> International Schumpeter Society Conference, Brisbane (Leo Soames)</w:t>
            </w:r>
          </w:p>
        </w:tc>
        <w:tc>
          <w:tcPr>
            <w:tcW w:w="172" w:type="dxa"/>
          </w:tcPr>
          <w:p w:rsidR="0031252F" w:rsidRPr="00BB73F9" w:rsidRDefault="0031252F" w:rsidP="006F4979">
            <w:pPr>
              <w:pStyle w:val="TableBodyText"/>
              <w:spacing w:before="60"/>
              <w:ind w:left="57"/>
              <w:jc w:val="left"/>
            </w:pPr>
          </w:p>
        </w:tc>
        <w:tc>
          <w:tcPr>
            <w:tcW w:w="5865" w:type="dxa"/>
          </w:tcPr>
          <w:p w:rsidR="0031252F" w:rsidRPr="00BB73F9" w:rsidRDefault="0031252F" w:rsidP="00B3509B">
            <w:pPr>
              <w:pStyle w:val="TableBodyText"/>
              <w:tabs>
                <w:tab w:val="left" w:pos="3405"/>
              </w:tabs>
              <w:spacing w:before="80"/>
              <w:ind w:left="57"/>
              <w:jc w:val="left"/>
            </w:pPr>
            <w:r>
              <w:t>An analysis of competition, innovation and productivity in Australia</w:t>
            </w:r>
          </w:p>
        </w:tc>
        <w:tc>
          <w:tcPr>
            <w:tcW w:w="1286" w:type="dxa"/>
          </w:tcPr>
          <w:p w:rsidR="0031252F" w:rsidRPr="00BB73F9" w:rsidRDefault="0031252F" w:rsidP="006F4979">
            <w:pPr>
              <w:pStyle w:val="TableBodyText"/>
              <w:spacing w:before="60"/>
              <w:ind w:left="57"/>
            </w:pPr>
            <w:r>
              <w:t>July 2012</w:t>
            </w:r>
          </w:p>
        </w:tc>
      </w:tr>
      <w:tr w:rsidR="0031252F" w:rsidRPr="00BB73F9" w:rsidTr="006F4979">
        <w:trPr>
          <w:trHeight w:val="94"/>
        </w:trPr>
        <w:tc>
          <w:tcPr>
            <w:tcW w:w="6299" w:type="dxa"/>
          </w:tcPr>
          <w:p w:rsidR="0031252F" w:rsidRPr="00BB73F9" w:rsidRDefault="0031252F" w:rsidP="00B3509B">
            <w:pPr>
              <w:pStyle w:val="TableBodyText"/>
              <w:tabs>
                <w:tab w:val="left" w:pos="1065"/>
              </w:tabs>
              <w:spacing w:before="80"/>
              <w:ind w:left="57"/>
              <w:jc w:val="left"/>
            </w:pPr>
            <w:r>
              <w:t xml:space="preserve">APEC </w:t>
            </w:r>
            <w:proofErr w:type="spellStart"/>
            <w:r>
              <w:t>ANSSR</w:t>
            </w:r>
            <w:proofErr w:type="spellEnd"/>
            <w:r>
              <w:t xml:space="preserve"> project development training program, Indonesia (Catherine Costa</w:t>
            </w:r>
            <w:r w:rsidR="003E5A36">
              <w:t>, Rosalie McLachlan, Anthony Housego</w:t>
            </w:r>
            <w:r>
              <w:t>)</w:t>
            </w:r>
          </w:p>
        </w:tc>
        <w:tc>
          <w:tcPr>
            <w:tcW w:w="172" w:type="dxa"/>
          </w:tcPr>
          <w:p w:rsidR="0031252F" w:rsidRPr="00BB73F9" w:rsidRDefault="0031252F" w:rsidP="006F4979">
            <w:pPr>
              <w:pStyle w:val="TableBodyText"/>
              <w:spacing w:before="60"/>
              <w:ind w:left="57"/>
              <w:jc w:val="left"/>
            </w:pPr>
          </w:p>
        </w:tc>
        <w:tc>
          <w:tcPr>
            <w:tcW w:w="5865" w:type="dxa"/>
          </w:tcPr>
          <w:p w:rsidR="0031252F" w:rsidRPr="00BB73F9" w:rsidRDefault="0031252F" w:rsidP="00B3509B">
            <w:pPr>
              <w:pStyle w:val="TableBodyText"/>
              <w:tabs>
                <w:tab w:val="left" w:pos="3405"/>
              </w:tabs>
              <w:spacing w:before="80"/>
              <w:ind w:left="57"/>
              <w:jc w:val="left"/>
            </w:pPr>
            <w:r>
              <w:t>Residential training workshop for developing Asian APEC Economics</w:t>
            </w:r>
          </w:p>
        </w:tc>
        <w:tc>
          <w:tcPr>
            <w:tcW w:w="1286" w:type="dxa"/>
          </w:tcPr>
          <w:p w:rsidR="0031252F" w:rsidRPr="00BB73F9" w:rsidRDefault="0031252F" w:rsidP="003E5A36">
            <w:pPr>
              <w:pStyle w:val="TableBodyText"/>
              <w:spacing w:before="60"/>
              <w:ind w:left="57"/>
            </w:pPr>
            <w:r>
              <w:t>July 201</w:t>
            </w:r>
            <w:r w:rsidR="003E5A36">
              <w:t>2</w:t>
            </w:r>
          </w:p>
        </w:tc>
      </w:tr>
      <w:tr w:rsidR="0031252F" w:rsidRPr="00BB73F9" w:rsidTr="006F4979">
        <w:tc>
          <w:tcPr>
            <w:tcW w:w="6299" w:type="dxa"/>
          </w:tcPr>
          <w:p w:rsidR="0031252F" w:rsidRPr="00BB73F9" w:rsidRDefault="0031252F" w:rsidP="00B3509B">
            <w:pPr>
              <w:pStyle w:val="TableBodyText"/>
              <w:tabs>
                <w:tab w:val="left" w:pos="1065"/>
              </w:tabs>
              <w:spacing w:before="80"/>
              <w:ind w:left="57"/>
              <w:jc w:val="left"/>
            </w:pPr>
            <w:r>
              <w:t>Attorney-General Department Small Talks, Canberra (Jenny Gordon)</w:t>
            </w:r>
          </w:p>
        </w:tc>
        <w:tc>
          <w:tcPr>
            <w:tcW w:w="172" w:type="dxa"/>
          </w:tcPr>
          <w:p w:rsidR="0031252F" w:rsidRPr="00BB73F9" w:rsidRDefault="0031252F" w:rsidP="00AF0B91">
            <w:pPr>
              <w:pStyle w:val="TableBodyText"/>
              <w:spacing w:before="60"/>
              <w:ind w:left="57"/>
              <w:jc w:val="left"/>
            </w:pPr>
          </w:p>
        </w:tc>
        <w:tc>
          <w:tcPr>
            <w:tcW w:w="5865" w:type="dxa"/>
          </w:tcPr>
          <w:p w:rsidR="0031252F" w:rsidRPr="00BB73F9" w:rsidRDefault="0031252F" w:rsidP="00B3509B">
            <w:pPr>
              <w:pStyle w:val="TableBodyText"/>
              <w:tabs>
                <w:tab w:val="left" w:pos="3405"/>
              </w:tabs>
              <w:spacing w:before="80"/>
              <w:ind w:left="57"/>
              <w:jc w:val="left"/>
            </w:pPr>
            <w:r>
              <w:t>Lessons on engaging</w:t>
            </w:r>
            <w:r w:rsidR="00B3509B">
              <w:t xml:space="preserve"> </w:t>
            </w:r>
            <w:proofErr w:type="spellStart"/>
            <w:r w:rsidR="00B3509B">
              <w:t>NFPs</w:t>
            </w:r>
            <w:proofErr w:type="spellEnd"/>
            <w:r w:rsidR="00B3509B">
              <w:t xml:space="preserve"> in delivery of government funded services drawn from Commission’s research report Contribution of the Not-for-Profit Sector </w:t>
            </w:r>
          </w:p>
        </w:tc>
        <w:tc>
          <w:tcPr>
            <w:tcW w:w="1286" w:type="dxa"/>
          </w:tcPr>
          <w:p w:rsidR="0031252F" w:rsidRPr="00BB73F9" w:rsidRDefault="00B3509B" w:rsidP="003B32BA">
            <w:pPr>
              <w:pStyle w:val="TableBodyText"/>
              <w:spacing w:before="60"/>
              <w:ind w:left="57"/>
            </w:pPr>
            <w:r>
              <w:t>Aug 2012</w:t>
            </w:r>
          </w:p>
        </w:tc>
      </w:tr>
      <w:tr w:rsidR="00B3509B" w:rsidRPr="00B3509B" w:rsidTr="006F4979">
        <w:tc>
          <w:tcPr>
            <w:tcW w:w="6299" w:type="dxa"/>
          </w:tcPr>
          <w:p w:rsidR="00B3509B" w:rsidRDefault="00B3509B" w:rsidP="00B3509B">
            <w:pPr>
              <w:pStyle w:val="TableBodyText"/>
              <w:tabs>
                <w:tab w:val="left" w:pos="1065"/>
              </w:tabs>
              <w:spacing w:before="80"/>
              <w:ind w:left="57"/>
              <w:jc w:val="left"/>
            </w:pPr>
            <w:r>
              <w:t>Department of Finance, Canberra (Dean Parham)</w:t>
            </w:r>
          </w:p>
        </w:tc>
        <w:tc>
          <w:tcPr>
            <w:tcW w:w="172" w:type="dxa"/>
          </w:tcPr>
          <w:p w:rsidR="00B3509B" w:rsidRPr="00BB73F9" w:rsidRDefault="00B3509B" w:rsidP="00B3509B">
            <w:pPr>
              <w:pStyle w:val="TableBodyText"/>
              <w:tabs>
                <w:tab w:val="left" w:pos="1065"/>
              </w:tabs>
              <w:spacing w:before="80"/>
              <w:ind w:left="57"/>
              <w:jc w:val="left"/>
            </w:pPr>
          </w:p>
        </w:tc>
        <w:tc>
          <w:tcPr>
            <w:tcW w:w="5865" w:type="dxa"/>
          </w:tcPr>
          <w:p w:rsidR="00B3509B" w:rsidRDefault="00B3509B" w:rsidP="00B3509B">
            <w:pPr>
              <w:pStyle w:val="TableBodyText"/>
              <w:tabs>
                <w:tab w:val="left" w:pos="1065"/>
              </w:tabs>
              <w:spacing w:before="80"/>
              <w:ind w:left="57"/>
              <w:jc w:val="left"/>
            </w:pPr>
            <w:r>
              <w:t>Australia’s productivity performance</w:t>
            </w:r>
          </w:p>
        </w:tc>
        <w:tc>
          <w:tcPr>
            <w:tcW w:w="1286" w:type="dxa"/>
          </w:tcPr>
          <w:p w:rsidR="00B3509B" w:rsidRDefault="00B3509B" w:rsidP="00B3509B">
            <w:pPr>
              <w:pStyle w:val="TableBodyText"/>
              <w:spacing w:before="60"/>
              <w:ind w:left="57"/>
            </w:pPr>
            <w:r>
              <w:t>Nov 2012</w:t>
            </w:r>
          </w:p>
        </w:tc>
      </w:tr>
      <w:tr w:rsidR="00950F15" w:rsidRPr="00B3509B" w:rsidTr="006F4979">
        <w:tc>
          <w:tcPr>
            <w:tcW w:w="6299" w:type="dxa"/>
          </w:tcPr>
          <w:p w:rsidR="00950F15" w:rsidRDefault="0058455F" w:rsidP="00B3509B">
            <w:pPr>
              <w:pStyle w:val="TableBodyText"/>
              <w:tabs>
                <w:tab w:val="left" w:pos="1065"/>
              </w:tabs>
              <w:spacing w:before="80"/>
              <w:ind w:left="57"/>
              <w:jc w:val="left"/>
            </w:pPr>
            <w:r>
              <w:t>Productivity Commission &amp; Australian Bureau of Statistics jointed</w:t>
            </w:r>
            <w:r w:rsidR="00950F15">
              <w:t xml:space="preserve"> Productivity Perspective Conference, Canberra (Shiji Zhao)</w:t>
            </w:r>
          </w:p>
        </w:tc>
        <w:tc>
          <w:tcPr>
            <w:tcW w:w="172" w:type="dxa"/>
          </w:tcPr>
          <w:p w:rsidR="00950F15" w:rsidRPr="00BB73F9" w:rsidRDefault="00950F15" w:rsidP="00B3509B">
            <w:pPr>
              <w:pStyle w:val="TableBodyText"/>
              <w:tabs>
                <w:tab w:val="left" w:pos="1065"/>
              </w:tabs>
              <w:spacing w:before="80"/>
              <w:ind w:left="57"/>
              <w:jc w:val="left"/>
            </w:pPr>
          </w:p>
        </w:tc>
        <w:tc>
          <w:tcPr>
            <w:tcW w:w="5865" w:type="dxa"/>
          </w:tcPr>
          <w:p w:rsidR="00950F15" w:rsidRDefault="00950F15" w:rsidP="006F4979">
            <w:pPr>
              <w:pStyle w:val="TableBodyText"/>
              <w:tabs>
                <w:tab w:val="left" w:pos="1065"/>
              </w:tabs>
              <w:spacing w:before="80"/>
              <w:ind w:left="57"/>
              <w:jc w:val="left"/>
            </w:pPr>
            <w:r>
              <w:t>An overview of Australia’s productivity performance</w:t>
            </w:r>
          </w:p>
        </w:tc>
        <w:tc>
          <w:tcPr>
            <w:tcW w:w="1286" w:type="dxa"/>
          </w:tcPr>
          <w:p w:rsidR="00950F15" w:rsidRDefault="00950F15" w:rsidP="00B3509B">
            <w:pPr>
              <w:pStyle w:val="TableBodyText"/>
              <w:spacing w:before="60"/>
              <w:ind w:left="57"/>
            </w:pPr>
            <w:r>
              <w:t>Nov 2012</w:t>
            </w:r>
          </w:p>
        </w:tc>
      </w:tr>
      <w:tr w:rsidR="00950F15" w:rsidRPr="00B3509B" w:rsidTr="006F4979">
        <w:tc>
          <w:tcPr>
            <w:tcW w:w="6299" w:type="dxa"/>
          </w:tcPr>
          <w:p w:rsidR="00950F15" w:rsidRDefault="0058455F" w:rsidP="00950F15">
            <w:pPr>
              <w:pStyle w:val="TableBodyText"/>
              <w:tabs>
                <w:tab w:val="left" w:pos="1065"/>
              </w:tabs>
              <w:spacing w:before="80"/>
              <w:ind w:left="57"/>
              <w:jc w:val="left"/>
            </w:pPr>
            <w:r>
              <w:t>Productivity Commission &amp; Australian Bureau of Statistics jointed</w:t>
            </w:r>
            <w:r w:rsidR="00950F15">
              <w:t xml:space="preserve"> Productivity Perspective Conference, Canberra (Paula Barnes)</w:t>
            </w:r>
          </w:p>
        </w:tc>
        <w:tc>
          <w:tcPr>
            <w:tcW w:w="172" w:type="dxa"/>
          </w:tcPr>
          <w:p w:rsidR="00950F15" w:rsidRPr="00BB73F9" w:rsidRDefault="00950F15" w:rsidP="00B3509B">
            <w:pPr>
              <w:pStyle w:val="TableBodyText"/>
              <w:tabs>
                <w:tab w:val="left" w:pos="1065"/>
              </w:tabs>
              <w:spacing w:before="80"/>
              <w:ind w:left="57"/>
              <w:jc w:val="left"/>
            </w:pPr>
          </w:p>
        </w:tc>
        <w:tc>
          <w:tcPr>
            <w:tcW w:w="5865" w:type="dxa"/>
          </w:tcPr>
          <w:p w:rsidR="00950F15" w:rsidRDefault="00950F15" w:rsidP="00B3509B">
            <w:pPr>
              <w:pStyle w:val="TableBodyText"/>
              <w:tabs>
                <w:tab w:val="left" w:pos="1065"/>
              </w:tabs>
              <w:spacing w:before="80"/>
              <w:ind w:left="57"/>
              <w:jc w:val="left"/>
            </w:pPr>
            <w:r>
              <w:t>Productivity in Australian Manufacturing</w:t>
            </w:r>
          </w:p>
        </w:tc>
        <w:tc>
          <w:tcPr>
            <w:tcW w:w="1286" w:type="dxa"/>
          </w:tcPr>
          <w:p w:rsidR="00950F15" w:rsidRDefault="00950F15" w:rsidP="00B3509B">
            <w:pPr>
              <w:pStyle w:val="TableBodyText"/>
              <w:spacing w:before="60"/>
              <w:ind w:left="57"/>
            </w:pPr>
            <w:r>
              <w:t>Nov 2012</w:t>
            </w:r>
          </w:p>
        </w:tc>
      </w:tr>
      <w:tr w:rsidR="00950F15" w:rsidRPr="00B3509B" w:rsidTr="0058455F">
        <w:tc>
          <w:tcPr>
            <w:tcW w:w="6299" w:type="dxa"/>
          </w:tcPr>
          <w:p w:rsidR="00950F15" w:rsidRDefault="00950F15" w:rsidP="00950F15">
            <w:pPr>
              <w:pStyle w:val="TableBodyText"/>
              <w:tabs>
                <w:tab w:val="left" w:pos="1065"/>
              </w:tabs>
              <w:spacing w:before="80"/>
              <w:ind w:left="57"/>
              <w:jc w:val="left"/>
            </w:pPr>
            <w:proofErr w:type="spellStart"/>
            <w:r>
              <w:t>EMG</w:t>
            </w:r>
            <w:proofErr w:type="spellEnd"/>
            <w:r>
              <w:t xml:space="preserve"> Workshop 2012, Sydney (Shiji Zhao)</w:t>
            </w:r>
          </w:p>
        </w:tc>
        <w:tc>
          <w:tcPr>
            <w:tcW w:w="172" w:type="dxa"/>
          </w:tcPr>
          <w:p w:rsidR="00950F15" w:rsidRPr="00BB73F9" w:rsidRDefault="00950F15" w:rsidP="00B3509B">
            <w:pPr>
              <w:pStyle w:val="TableBodyText"/>
              <w:tabs>
                <w:tab w:val="left" w:pos="1065"/>
              </w:tabs>
              <w:spacing w:before="80"/>
              <w:ind w:left="57"/>
              <w:jc w:val="left"/>
            </w:pPr>
          </w:p>
        </w:tc>
        <w:tc>
          <w:tcPr>
            <w:tcW w:w="5865" w:type="dxa"/>
          </w:tcPr>
          <w:p w:rsidR="00950F15" w:rsidRDefault="00950F15" w:rsidP="006F4979">
            <w:pPr>
              <w:pStyle w:val="TableBodyText"/>
              <w:tabs>
                <w:tab w:val="left" w:pos="1065"/>
              </w:tabs>
              <w:spacing w:before="80"/>
              <w:ind w:left="57"/>
              <w:jc w:val="left"/>
            </w:pPr>
            <w:r>
              <w:t>An overview of Australia’s productivity performance</w:t>
            </w:r>
          </w:p>
        </w:tc>
        <w:tc>
          <w:tcPr>
            <w:tcW w:w="1286" w:type="dxa"/>
          </w:tcPr>
          <w:p w:rsidR="00950F15" w:rsidRDefault="00950F15" w:rsidP="00B3509B">
            <w:pPr>
              <w:pStyle w:val="TableBodyText"/>
              <w:spacing w:before="60"/>
              <w:ind w:left="57"/>
            </w:pPr>
            <w:r>
              <w:t>Nov 2012</w:t>
            </w:r>
          </w:p>
        </w:tc>
      </w:tr>
      <w:tr w:rsidR="00950F15" w:rsidRPr="00B3509B" w:rsidTr="0058455F">
        <w:tc>
          <w:tcPr>
            <w:tcW w:w="6299" w:type="dxa"/>
            <w:tcBorders>
              <w:bottom w:val="single" w:sz="4" w:space="0" w:color="auto"/>
            </w:tcBorders>
          </w:tcPr>
          <w:p w:rsidR="00950F15" w:rsidRDefault="00950F15" w:rsidP="00950F15">
            <w:pPr>
              <w:pStyle w:val="TableBodyText"/>
              <w:tabs>
                <w:tab w:val="left" w:pos="1065"/>
              </w:tabs>
              <w:spacing w:before="80"/>
              <w:ind w:left="57"/>
              <w:jc w:val="left"/>
            </w:pPr>
            <w:r>
              <w:t>AGM of Regulatory Reform Unit, Adelaide (Rosalyn Bell)</w:t>
            </w:r>
          </w:p>
        </w:tc>
        <w:tc>
          <w:tcPr>
            <w:tcW w:w="172" w:type="dxa"/>
            <w:tcBorders>
              <w:bottom w:val="single" w:sz="4" w:space="0" w:color="auto"/>
            </w:tcBorders>
          </w:tcPr>
          <w:p w:rsidR="00950F15" w:rsidRPr="00BB73F9" w:rsidRDefault="00950F15" w:rsidP="00B3509B">
            <w:pPr>
              <w:pStyle w:val="TableBodyText"/>
              <w:tabs>
                <w:tab w:val="left" w:pos="1065"/>
              </w:tabs>
              <w:spacing w:before="80"/>
              <w:ind w:left="57"/>
              <w:jc w:val="left"/>
            </w:pPr>
          </w:p>
        </w:tc>
        <w:tc>
          <w:tcPr>
            <w:tcW w:w="5865" w:type="dxa"/>
            <w:tcBorders>
              <w:bottom w:val="single" w:sz="4" w:space="0" w:color="auto"/>
            </w:tcBorders>
          </w:tcPr>
          <w:p w:rsidR="00950F15" w:rsidRDefault="00950F15" w:rsidP="006F4979">
            <w:pPr>
              <w:pStyle w:val="TableBodyText"/>
              <w:tabs>
                <w:tab w:val="left" w:pos="1065"/>
              </w:tabs>
              <w:spacing w:before="80"/>
              <w:ind w:left="57"/>
              <w:jc w:val="left"/>
            </w:pPr>
            <w:r>
              <w:t>Commission’s study into Regulatory Impact Analysis: Benchmarking</w:t>
            </w:r>
          </w:p>
        </w:tc>
        <w:tc>
          <w:tcPr>
            <w:tcW w:w="1286" w:type="dxa"/>
            <w:tcBorders>
              <w:bottom w:val="single" w:sz="4" w:space="0" w:color="auto"/>
            </w:tcBorders>
          </w:tcPr>
          <w:p w:rsidR="00950F15" w:rsidRDefault="00950F15" w:rsidP="00B3509B">
            <w:pPr>
              <w:pStyle w:val="TableBodyText"/>
              <w:spacing w:before="60"/>
              <w:ind w:left="57"/>
            </w:pPr>
            <w:r>
              <w:t>Feb 2013</w:t>
            </w:r>
          </w:p>
        </w:tc>
      </w:tr>
    </w:tbl>
    <w:p w:rsidR="006F4979" w:rsidRDefault="006F4979" w:rsidP="006F4979">
      <w:pPr>
        <w:pStyle w:val="Continued"/>
      </w:pPr>
      <w:r>
        <w:t>(Continued on next page)</w:t>
      </w:r>
    </w:p>
    <w:p w:rsidR="006F4979" w:rsidRDefault="006F4979" w:rsidP="006F4979">
      <w:pPr>
        <w:pStyle w:val="TableTitle"/>
        <w:spacing w:before="120"/>
      </w:pPr>
      <w:r>
        <w:rPr>
          <w:b w:val="0"/>
        </w:rPr>
        <w:lastRenderedPageBreak/>
        <w:t xml:space="preserve">Table </w:t>
      </w:r>
      <w:proofErr w:type="spellStart"/>
      <w:r>
        <w:rPr>
          <w:b w:val="0"/>
        </w:rPr>
        <w:t>E.</w:t>
      </w:r>
      <w:r>
        <w:rPr>
          <w:b w:val="0"/>
          <w:noProof/>
        </w:rPr>
        <w:t>1</w:t>
      </w:r>
      <w:proofErr w:type="spellEnd"/>
      <w:r>
        <w:tab/>
      </w:r>
      <w:r w:rsidRPr="00B61021">
        <w:rPr>
          <w:sz w:val="20"/>
        </w:rPr>
        <w:t>(continued)</w:t>
      </w:r>
      <w:r>
        <w:t xml:space="preserve"> </w:t>
      </w:r>
    </w:p>
    <w:tbl>
      <w:tblPr>
        <w:tblW w:w="13622" w:type="dxa"/>
        <w:tblInd w:w="-3" w:type="dxa"/>
        <w:tblLayout w:type="fixed"/>
        <w:tblCellMar>
          <w:left w:w="0" w:type="dxa"/>
          <w:right w:w="0" w:type="dxa"/>
        </w:tblCellMar>
        <w:tblLook w:val="0000" w:firstRow="0" w:lastRow="0" w:firstColumn="0" w:lastColumn="0" w:noHBand="0" w:noVBand="0"/>
      </w:tblPr>
      <w:tblGrid>
        <w:gridCol w:w="6297"/>
        <w:gridCol w:w="172"/>
        <w:gridCol w:w="5725"/>
        <w:gridCol w:w="1428"/>
      </w:tblGrid>
      <w:tr w:rsidR="006F4979" w:rsidRPr="00D014A7" w:rsidTr="006F4979">
        <w:tc>
          <w:tcPr>
            <w:tcW w:w="6299" w:type="dxa"/>
            <w:tcBorders>
              <w:top w:val="single" w:sz="6" w:space="0" w:color="auto"/>
              <w:bottom w:val="single" w:sz="4" w:space="0" w:color="auto"/>
            </w:tcBorders>
            <w:shd w:val="clear" w:color="auto" w:fill="auto"/>
          </w:tcPr>
          <w:p w:rsidR="006F4979" w:rsidRDefault="006F4979" w:rsidP="006F4979">
            <w:pPr>
              <w:pStyle w:val="TableColumnHeading"/>
              <w:spacing w:before="100" w:after="40"/>
              <w:ind w:left="57"/>
              <w:jc w:val="left"/>
            </w:pPr>
            <w:r w:rsidRPr="00D014A7">
              <w:t>Organisation/event</w:t>
            </w:r>
          </w:p>
        </w:tc>
        <w:tc>
          <w:tcPr>
            <w:tcW w:w="172" w:type="dxa"/>
            <w:tcBorders>
              <w:top w:val="single" w:sz="6" w:space="0" w:color="auto"/>
              <w:bottom w:val="single" w:sz="4" w:space="0" w:color="auto"/>
            </w:tcBorders>
          </w:tcPr>
          <w:p w:rsidR="006F4979" w:rsidRPr="00D014A7" w:rsidRDefault="006F4979" w:rsidP="006F4979">
            <w:pPr>
              <w:pStyle w:val="TableColumnHeading"/>
              <w:spacing w:before="100" w:after="40"/>
              <w:ind w:left="57"/>
              <w:jc w:val="left"/>
            </w:pPr>
          </w:p>
        </w:tc>
        <w:tc>
          <w:tcPr>
            <w:tcW w:w="5726" w:type="dxa"/>
            <w:tcBorders>
              <w:top w:val="single" w:sz="6" w:space="0" w:color="auto"/>
              <w:bottom w:val="single" w:sz="4" w:space="0" w:color="auto"/>
            </w:tcBorders>
            <w:shd w:val="clear" w:color="auto" w:fill="auto"/>
          </w:tcPr>
          <w:p w:rsidR="006F4979" w:rsidRDefault="006F4979" w:rsidP="006F4979">
            <w:pPr>
              <w:pStyle w:val="TableColumnHeading"/>
              <w:spacing w:before="100" w:after="40"/>
              <w:ind w:left="57"/>
              <w:jc w:val="left"/>
            </w:pPr>
            <w:r w:rsidRPr="00D014A7">
              <w:t>Topic</w:t>
            </w:r>
          </w:p>
        </w:tc>
        <w:tc>
          <w:tcPr>
            <w:tcW w:w="1425" w:type="dxa"/>
            <w:tcBorders>
              <w:top w:val="single" w:sz="6" w:space="0" w:color="auto"/>
              <w:bottom w:val="single" w:sz="4" w:space="0" w:color="auto"/>
            </w:tcBorders>
            <w:shd w:val="clear" w:color="auto" w:fill="auto"/>
          </w:tcPr>
          <w:p w:rsidR="006F4979" w:rsidRDefault="006F4979" w:rsidP="006F4979">
            <w:pPr>
              <w:pStyle w:val="TableColumnHeading"/>
              <w:spacing w:before="100" w:after="40"/>
              <w:ind w:left="57"/>
            </w:pPr>
            <w:r w:rsidRPr="00D014A7">
              <w:t>Date</w:t>
            </w:r>
          </w:p>
        </w:tc>
      </w:tr>
      <w:tr w:rsidR="006F4979" w:rsidRPr="00B3509B" w:rsidTr="006F4979">
        <w:tc>
          <w:tcPr>
            <w:tcW w:w="6299" w:type="dxa"/>
            <w:tcBorders>
              <w:top w:val="single" w:sz="4" w:space="0" w:color="auto"/>
            </w:tcBorders>
          </w:tcPr>
          <w:p w:rsidR="006F4979" w:rsidRDefault="006F4979" w:rsidP="006F4979">
            <w:pPr>
              <w:pStyle w:val="TableBodyText"/>
              <w:tabs>
                <w:tab w:val="left" w:pos="1065"/>
              </w:tabs>
              <w:spacing w:before="80"/>
              <w:ind w:left="57"/>
              <w:jc w:val="left"/>
            </w:pPr>
            <w:r>
              <w:t>The Productivity Agenda Conference, Sydney (Dean Parham)</w:t>
            </w:r>
          </w:p>
        </w:tc>
        <w:tc>
          <w:tcPr>
            <w:tcW w:w="172" w:type="dxa"/>
            <w:tcBorders>
              <w:top w:val="single" w:sz="4" w:space="0" w:color="auto"/>
            </w:tcBorders>
          </w:tcPr>
          <w:p w:rsidR="006F4979" w:rsidRPr="00BB73F9" w:rsidRDefault="006F4979" w:rsidP="006F4979">
            <w:pPr>
              <w:pStyle w:val="TableBodyText"/>
              <w:tabs>
                <w:tab w:val="left" w:pos="1065"/>
              </w:tabs>
              <w:spacing w:before="80"/>
              <w:ind w:left="57"/>
              <w:jc w:val="left"/>
            </w:pPr>
          </w:p>
        </w:tc>
        <w:tc>
          <w:tcPr>
            <w:tcW w:w="5723" w:type="dxa"/>
            <w:tcBorders>
              <w:top w:val="single" w:sz="4" w:space="0" w:color="auto"/>
            </w:tcBorders>
          </w:tcPr>
          <w:p w:rsidR="006F4979" w:rsidRDefault="006F4979" w:rsidP="006F4979">
            <w:pPr>
              <w:pStyle w:val="TableBodyText"/>
              <w:tabs>
                <w:tab w:val="left" w:pos="1065"/>
              </w:tabs>
              <w:spacing w:before="80"/>
              <w:ind w:left="57"/>
              <w:jc w:val="left"/>
            </w:pPr>
            <w:r>
              <w:t>Productivity, Prosperity and Labour’s share</w:t>
            </w:r>
          </w:p>
        </w:tc>
        <w:tc>
          <w:tcPr>
            <w:tcW w:w="1428" w:type="dxa"/>
            <w:tcBorders>
              <w:top w:val="single" w:sz="4" w:space="0" w:color="auto"/>
            </w:tcBorders>
          </w:tcPr>
          <w:p w:rsidR="006F4979" w:rsidRDefault="006F4979" w:rsidP="006F4979">
            <w:pPr>
              <w:pStyle w:val="TableBodyText"/>
              <w:spacing w:before="60"/>
              <w:ind w:left="57"/>
            </w:pPr>
            <w:r>
              <w:t>May 2013</w:t>
            </w:r>
          </w:p>
        </w:tc>
      </w:tr>
      <w:tr w:rsidR="00950F15" w:rsidRPr="00B3509B" w:rsidTr="006F4979">
        <w:tc>
          <w:tcPr>
            <w:tcW w:w="6299" w:type="dxa"/>
          </w:tcPr>
          <w:p w:rsidR="00950F15" w:rsidRDefault="00950F15" w:rsidP="00950F15">
            <w:pPr>
              <w:pStyle w:val="TableBodyText"/>
              <w:tabs>
                <w:tab w:val="left" w:pos="1065"/>
              </w:tabs>
              <w:spacing w:before="80"/>
              <w:ind w:left="57"/>
              <w:jc w:val="left"/>
            </w:pPr>
            <w:r>
              <w:t>OECD Measuring Regulatory Performance Workshop, Stockholm (Rosalyn Bell)</w:t>
            </w:r>
          </w:p>
        </w:tc>
        <w:tc>
          <w:tcPr>
            <w:tcW w:w="172" w:type="dxa"/>
          </w:tcPr>
          <w:p w:rsidR="00950F15" w:rsidRPr="00BB73F9" w:rsidRDefault="00950F15" w:rsidP="00B3509B">
            <w:pPr>
              <w:pStyle w:val="TableBodyText"/>
              <w:tabs>
                <w:tab w:val="left" w:pos="1065"/>
              </w:tabs>
              <w:spacing w:before="80"/>
              <w:ind w:left="57"/>
              <w:jc w:val="left"/>
            </w:pPr>
          </w:p>
        </w:tc>
        <w:tc>
          <w:tcPr>
            <w:tcW w:w="5723" w:type="dxa"/>
          </w:tcPr>
          <w:p w:rsidR="00950F15" w:rsidRDefault="00950F15" w:rsidP="00950F15">
            <w:pPr>
              <w:pStyle w:val="TableBodyText"/>
              <w:tabs>
                <w:tab w:val="left" w:pos="1065"/>
              </w:tabs>
              <w:spacing w:before="80"/>
              <w:ind w:left="57"/>
              <w:jc w:val="left"/>
            </w:pPr>
            <w:r w:rsidRPr="00950F15">
              <w:t>Australia’s experience with regulatory impact analysis and with regulators in delivering regulatory outcomes</w:t>
            </w:r>
          </w:p>
        </w:tc>
        <w:tc>
          <w:tcPr>
            <w:tcW w:w="1428" w:type="dxa"/>
          </w:tcPr>
          <w:p w:rsidR="00950F15" w:rsidRDefault="00950F15" w:rsidP="00B3509B">
            <w:pPr>
              <w:pStyle w:val="TableBodyText"/>
              <w:spacing w:before="60"/>
              <w:ind w:left="57"/>
            </w:pPr>
            <w:r>
              <w:t>June 2013</w:t>
            </w:r>
          </w:p>
        </w:tc>
      </w:tr>
      <w:tr w:rsidR="006D40A3" w:rsidRPr="006D40A3" w:rsidTr="006F4979">
        <w:tc>
          <w:tcPr>
            <w:tcW w:w="6299" w:type="dxa"/>
          </w:tcPr>
          <w:p w:rsidR="006D40A3" w:rsidRPr="006D40A3" w:rsidRDefault="006D40A3" w:rsidP="006D40A3">
            <w:pPr>
              <w:pStyle w:val="TableBodyText"/>
              <w:tabs>
                <w:tab w:val="left" w:pos="1065"/>
              </w:tabs>
              <w:spacing w:before="80"/>
              <w:ind w:left="57"/>
              <w:jc w:val="left"/>
            </w:pPr>
            <w:r w:rsidRPr="006D40A3">
              <w:t>16th Annual Conferen</w:t>
            </w:r>
            <w:r>
              <w:t>ce on Global Economic Analysis,</w:t>
            </w:r>
            <w:r w:rsidRPr="006D40A3">
              <w:t xml:space="preserve"> China</w:t>
            </w:r>
            <w:r>
              <w:t xml:space="preserve"> (Xiao-Guang Zhang)</w:t>
            </w:r>
          </w:p>
        </w:tc>
        <w:tc>
          <w:tcPr>
            <w:tcW w:w="172" w:type="dxa"/>
          </w:tcPr>
          <w:p w:rsidR="006D40A3" w:rsidRPr="00BB73F9" w:rsidRDefault="006D40A3" w:rsidP="00B3509B">
            <w:pPr>
              <w:pStyle w:val="TableBodyText"/>
              <w:tabs>
                <w:tab w:val="left" w:pos="1065"/>
              </w:tabs>
              <w:spacing w:before="80"/>
              <w:ind w:left="57"/>
              <w:jc w:val="left"/>
            </w:pPr>
          </w:p>
        </w:tc>
        <w:tc>
          <w:tcPr>
            <w:tcW w:w="5723" w:type="dxa"/>
          </w:tcPr>
          <w:p w:rsidR="006D40A3" w:rsidRPr="00950F15" w:rsidRDefault="004803A3" w:rsidP="00950F15">
            <w:pPr>
              <w:pStyle w:val="TableBodyText"/>
              <w:tabs>
                <w:tab w:val="left" w:pos="1065"/>
              </w:tabs>
              <w:spacing w:before="80"/>
              <w:ind w:left="57"/>
              <w:jc w:val="left"/>
            </w:pPr>
            <w:r>
              <w:t xml:space="preserve">A simple structure for </w:t>
            </w:r>
            <w:proofErr w:type="spellStart"/>
            <w:r>
              <w:t>CGE</w:t>
            </w:r>
            <w:proofErr w:type="spellEnd"/>
            <w:r>
              <w:t xml:space="preserve"> models</w:t>
            </w:r>
          </w:p>
        </w:tc>
        <w:tc>
          <w:tcPr>
            <w:tcW w:w="1428" w:type="dxa"/>
          </w:tcPr>
          <w:p w:rsidR="006D40A3" w:rsidRDefault="004803A3" w:rsidP="004803A3">
            <w:pPr>
              <w:pStyle w:val="TableBodyText"/>
              <w:spacing w:before="60"/>
              <w:ind w:left="57"/>
            </w:pPr>
            <w:r>
              <w:t>June 2013</w:t>
            </w:r>
          </w:p>
        </w:tc>
      </w:tr>
      <w:tr w:rsidR="006D40A3" w:rsidRPr="00B3509B" w:rsidTr="006F4979">
        <w:tc>
          <w:tcPr>
            <w:tcW w:w="6299" w:type="dxa"/>
            <w:tcBorders>
              <w:bottom w:val="single" w:sz="4" w:space="0" w:color="auto"/>
            </w:tcBorders>
          </w:tcPr>
          <w:p w:rsidR="006D40A3" w:rsidRDefault="004803A3" w:rsidP="00950F15">
            <w:pPr>
              <w:pStyle w:val="TableBodyText"/>
              <w:tabs>
                <w:tab w:val="left" w:pos="1065"/>
              </w:tabs>
              <w:spacing w:before="80"/>
              <w:ind w:left="57"/>
              <w:jc w:val="left"/>
            </w:pPr>
            <w:r>
              <w:t>3</w:t>
            </w:r>
            <w:r w:rsidRPr="004803A3">
              <w:rPr>
                <w:vertAlign w:val="superscript"/>
              </w:rPr>
              <w:t>rd</w:t>
            </w:r>
            <w:r>
              <w:t xml:space="preserve"> ASEA-CER integration Partnership Forum, Cairns (Paul Gretton)</w:t>
            </w:r>
          </w:p>
        </w:tc>
        <w:tc>
          <w:tcPr>
            <w:tcW w:w="172" w:type="dxa"/>
            <w:tcBorders>
              <w:bottom w:val="single" w:sz="4" w:space="0" w:color="auto"/>
            </w:tcBorders>
          </w:tcPr>
          <w:p w:rsidR="006D40A3" w:rsidRPr="00BB73F9" w:rsidRDefault="006D40A3" w:rsidP="00B3509B">
            <w:pPr>
              <w:pStyle w:val="TableBodyText"/>
              <w:tabs>
                <w:tab w:val="left" w:pos="1065"/>
              </w:tabs>
              <w:spacing w:before="80"/>
              <w:ind w:left="57"/>
              <w:jc w:val="left"/>
            </w:pPr>
          </w:p>
        </w:tc>
        <w:tc>
          <w:tcPr>
            <w:tcW w:w="5723" w:type="dxa"/>
            <w:tcBorders>
              <w:bottom w:val="single" w:sz="4" w:space="0" w:color="auto"/>
            </w:tcBorders>
          </w:tcPr>
          <w:p w:rsidR="006D40A3" w:rsidRPr="00950F15" w:rsidRDefault="004803A3" w:rsidP="00950F15">
            <w:pPr>
              <w:pStyle w:val="TableBodyText"/>
              <w:tabs>
                <w:tab w:val="left" w:pos="1065"/>
              </w:tabs>
              <w:spacing w:before="80"/>
              <w:ind w:left="57"/>
              <w:jc w:val="left"/>
            </w:pPr>
            <w:r>
              <w:t>Development of completion policy, economic benefits and reform processes: Australia’s experience</w:t>
            </w:r>
          </w:p>
        </w:tc>
        <w:tc>
          <w:tcPr>
            <w:tcW w:w="1428" w:type="dxa"/>
            <w:tcBorders>
              <w:bottom w:val="single" w:sz="4" w:space="0" w:color="auto"/>
            </w:tcBorders>
          </w:tcPr>
          <w:p w:rsidR="006D40A3" w:rsidRDefault="004803A3" w:rsidP="00B3509B">
            <w:pPr>
              <w:pStyle w:val="TableBodyText"/>
              <w:spacing w:before="60"/>
              <w:ind w:left="57"/>
            </w:pPr>
            <w:r>
              <w:t>June 2013</w:t>
            </w:r>
          </w:p>
        </w:tc>
      </w:tr>
    </w:tbl>
    <w:p w:rsidR="006F4979" w:rsidRDefault="006F4979" w:rsidP="00C74582">
      <w:pPr>
        <w:pStyle w:val="TableTitle"/>
        <w:spacing w:before="120"/>
        <w:rPr>
          <w:b w:val="0"/>
        </w:rPr>
      </w:pPr>
    </w:p>
    <w:p w:rsidR="006F4979" w:rsidRDefault="006F4979">
      <w:pPr>
        <w:rPr>
          <w:rFonts w:ascii="Arial" w:hAnsi="Arial"/>
          <w:sz w:val="24"/>
        </w:rPr>
      </w:pPr>
      <w:r>
        <w:rPr>
          <w:b/>
        </w:rPr>
        <w:br w:type="page"/>
      </w:r>
    </w:p>
    <w:p w:rsidR="00F12AC0" w:rsidRPr="00286CD8" w:rsidRDefault="00F12AC0" w:rsidP="00C74582">
      <w:pPr>
        <w:pStyle w:val="TableTitle"/>
        <w:spacing w:before="120"/>
      </w:pPr>
      <w:r>
        <w:rPr>
          <w:b w:val="0"/>
        </w:rPr>
        <w:lastRenderedPageBreak/>
        <w:t xml:space="preserve">Table </w:t>
      </w:r>
      <w:proofErr w:type="spellStart"/>
      <w:r w:rsidR="00D629A1">
        <w:rPr>
          <w:b w:val="0"/>
        </w:rPr>
        <w:t>E.</w:t>
      </w:r>
      <w:r w:rsidR="00D629A1">
        <w:rPr>
          <w:b w:val="0"/>
          <w:noProof/>
        </w:rPr>
        <w:t>2</w:t>
      </w:r>
      <w:proofErr w:type="spellEnd"/>
      <w:r w:rsidRPr="00C74582">
        <w:rPr>
          <w:b w:val="0"/>
        </w:rPr>
        <w:tab/>
      </w:r>
      <w:r w:rsidRPr="00286CD8">
        <w:t>International delegations and visitors, 20</w:t>
      </w:r>
      <w:r w:rsidR="000C76B4" w:rsidRPr="00286CD8">
        <w:t>1</w:t>
      </w:r>
      <w:r w:rsidR="00185076" w:rsidRPr="00286CD8">
        <w:t>2</w:t>
      </w:r>
      <w:r w:rsidRPr="00286CD8">
        <w:t>-</w:t>
      </w:r>
      <w:r w:rsidR="009D7078" w:rsidRPr="00286CD8">
        <w:t>1</w:t>
      </w:r>
      <w:r w:rsidR="00185076" w:rsidRPr="00286CD8">
        <w:t>3</w:t>
      </w:r>
    </w:p>
    <w:tbl>
      <w:tblPr>
        <w:tblW w:w="13357" w:type="dxa"/>
        <w:tblInd w:w="-3" w:type="dxa"/>
        <w:tblLayout w:type="fixed"/>
        <w:tblCellMar>
          <w:left w:w="0" w:type="dxa"/>
          <w:right w:w="0" w:type="dxa"/>
        </w:tblCellMar>
        <w:tblLook w:val="0000" w:firstRow="0" w:lastRow="0" w:firstColumn="0" w:lastColumn="0" w:noHBand="0" w:noVBand="0"/>
      </w:tblPr>
      <w:tblGrid>
        <w:gridCol w:w="5100"/>
        <w:gridCol w:w="6"/>
        <w:gridCol w:w="142"/>
        <w:gridCol w:w="6"/>
        <w:gridCol w:w="6654"/>
        <w:gridCol w:w="1420"/>
        <w:gridCol w:w="29"/>
      </w:tblGrid>
      <w:tr w:rsidR="00185076" w:rsidRPr="00D23929" w:rsidTr="00185076">
        <w:trPr>
          <w:gridAfter w:val="1"/>
          <w:wAfter w:w="29" w:type="dxa"/>
        </w:trPr>
        <w:tc>
          <w:tcPr>
            <w:tcW w:w="5100" w:type="dxa"/>
            <w:tcBorders>
              <w:top w:val="single" w:sz="6" w:space="0" w:color="auto"/>
              <w:bottom w:val="single" w:sz="4" w:space="0" w:color="auto"/>
            </w:tcBorders>
            <w:shd w:val="clear" w:color="auto" w:fill="auto"/>
          </w:tcPr>
          <w:p w:rsidR="00185076" w:rsidRPr="00D23929" w:rsidRDefault="00185076" w:rsidP="00D24DBD">
            <w:pPr>
              <w:pStyle w:val="TableColumnHeading"/>
              <w:spacing w:before="60" w:after="40" w:line="220" w:lineRule="exact"/>
              <w:ind w:left="57"/>
              <w:jc w:val="left"/>
            </w:pPr>
            <w:r w:rsidRPr="00D23929">
              <w:t>Organisation/delegation</w:t>
            </w:r>
          </w:p>
        </w:tc>
        <w:tc>
          <w:tcPr>
            <w:tcW w:w="154" w:type="dxa"/>
            <w:gridSpan w:val="3"/>
            <w:tcBorders>
              <w:top w:val="single" w:sz="6" w:space="0" w:color="auto"/>
              <w:bottom w:val="single" w:sz="4" w:space="0" w:color="auto"/>
            </w:tcBorders>
            <w:shd w:val="clear" w:color="auto" w:fill="auto"/>
          </w:tcPr>
          <w:p w:rsidR="00185076" w:rsidRPr="00D23929" w:rsidRDefault="00185076" w:rsidP="00D24DBD">
            <w:pPr>
              <w:pStyle w:val="TableColumnHeading"/>
              <w:spacing w:before="60"/>
            </w:pPr>
          </w:p>
        </w:tc>
        <w:tc>
          <w:tcPr>
            <w:tcW w:w="6654" w:type="dxa"/>
            <w:tcBorders>
              <w:top w:val="single" w:sz="6" w:space="0" w:color="auto"/>
              <w:bottom w:val="single" w:sz="4" w:space="0" w:color="auto"/>
            </w:tcBorders>
            <w:shd w:val="clear" w:color="auto" w:fill="auto"/>
          </w:tcPr>
          <w:p w:rsidR="00185076" w:rsidRPr="00D23929" w:rsidRDefault="00185076" w:rsidP="00D24DBD">
            <w:pPr>
              <w:pStyle w:val="TableColumnHeading"/>
              <w:spacing w:before="60" w:after="40" w:line="220" w:lineRule="exact"/>
              <w:ind w:left="57"/>
              <w:jc w:val="left"/>
            </w:pPr>
            <w:r w:rsidRPr="00D23929">
              <w:t>Briefing/discussion purpose of visit</w:t>
            </w:r>
          </w:p>
        </w:tc>
        <w:tc>
          <w:tcPr>
            <w:tcW w:w="1420" w:type="dxa"/>
            <w:tcBorders>
              <w:top w:val="single" w:sz="6" w:space="0" w:color="auto"/>
              <w:bottom w:val="single" w:sz="4" w:space="0" w:color="auto"/>
            </w:tcBorders>
            <w:shd w:val="clear" w:color="auto" w:fill="auto"/>
          </w:tcPr>
          <w:p w:rsidR="00185076" w:rsidRPr="00D23929" w:rsidRDefault="00185076" w:rsidP="00185076">
            <w:pPr>
              <w:pStyle w:val="TableColumnHeading"/>
              <w:spacing w:before="60"/>
              <w:ind w:left="0" w:right="0"/>
            </w:pPr>
            <w:r w:rsidRPr="00D23929">
              <w:t>Date/location</w:t>
            </w:r>
          </w:p>
        </w:tc>
      </w:tr>
      <w:tr w:rsidR="00185076" w:rsidRPr="00433DC3" w:rsidTr="00185076">
        <w:tblPrEx>
          <w:tblLook w:val="04A0" w:firstRow="1" w:lastRow="0" w:firstColumn="1" w:lastColumn="0" w:noHBand="0" w:noVBand="1"/>
        </w:tblPrEx>
        <w:trPr>
          <w:gridAfter w:val="1"/>
          <w:wAfter w:w="29" w:type="dxa"/>
        </w:trPr>
        <w:tc>
          <w:tcPr>
            <w:tcW w:w="5106" w:type="dxa"/>
            <w:gridSpan w:val="2"/>
            <w:shd w:val="clear" w:color="auto" w:fill="auto"/>
          </w:tcPr>
          <w:p w:rsidR="00185076" w:rsidRPr="00433DC3" w:rsidRDefault="00185076" w:rsidP="006F4979">
            <w:pPr>
              <w:pStyle w:val="TableBodyText"/>
              <w:spacing w:before="60"/>
              <w:jc w:val="left"/>
            </w:pPr>
            <w:r w:rsidRPr="00433DC3">
              <w:t>Sheila Swan, Principal Analyst and Yvonne Lucas, Chief Negotiator, Australian New Zealand Therapeutic Products Authority.</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Seminar to the Commission on setting up a joint trans-Tasman Regulatory Agency</w:t>
            </w:r>
          </w:p>
        </w:tc>
        <w:tc>
          <w:tcPr>
            <w:tcW w:w="1420" w:type="dxa"/>
            <w:shd w:val="clear" w:color="auto" w:fill="auto"/>
          </w:tcPr>
          <w:p w:rsidR="00185076" w:rsidRPr="00433DC3" w:rsidRDefault="00185076" w:rsidP="00185076">
            <w:pPr>
              <w:pStyle w:val="TableBodyText"/>
              <w:spacing w:before="60"/>
            </w:pPr>
            <w:r w:rsidRPr="00433DC3">
              <w:t>July 2012 (C)</w:t>
            </w:r>
          </w:p>
        </w:tc>
      </w:tr>
      <w:tr w:rsidR="00185076" w:rsidRPr="00433DC3" w:rsidTr="00185076">
        <w:tblPrEx>
          <w:tblLook w:val="04A0" w:firstRow="1" w:lastRow="0" w:firstColumn="1" w:lastColumn="0" w:noHBand="0" w:noVBand="1"/>
        </w:tblPrEx>
        <w:trPr>
          <w:gridAfter w:val="1"/>
          <w:wAfter w:w="29" w:type="dxa"/>
        </w:trPr>
        <w:tc>
          <w:tcPr>
            <w:tcW w:w="5106" w:type="dxa"/>
            <w:gridSpan w:val="2"/>
            <w:shd w:val="clear" w:color="auto" w:fill="auto"/>
          </w:tcPr>
          <w:p w:rsidR="00185076" w:rsidRPr="00433DC3" w:rsidRDefault="00185076" w:rsidP="006F4979">
            <w:pPr>
              <w:pStyle w:val="TableBodyText"/>
              <w:spacing w:before="60"/>
              <w:jc w:val="left"/>
            </w:pPr>
            <w:r w:rsidRPr="00433DC3">
              <w:t>Professor Jonathan Wiener, Duke University</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Seminar to the Commission on The Reality of Precaution, and the Diffusion of Regulatory Oversight</w:t>
            </w:r>
          </w:p>
        </w:tc>
        <w:tc>
          <w:tcPr>
            <w:tcW w:w="1420" w:type="dxa"/>
            <w:shd w:val="clear" w:color="auto" w:fill="auto"/>
          </w:tcPr>
          <w:p w:rsidR="00185076" w:rsidRPr="00433DC3" w:rsidRDefault="00185076" w:rsidP="00185076">
            <w:pPr>
              <w:pStyle w:val="TableBodyText"/>
              <w:spacing w:before="60"/>
            </w:pPr>
            <w:r w:rsidRPr="00433DC3">
              <w:t>July 2012 (C)</w:t>
            </w:r>
          </w:p>
        </w:tc>
      </w:tr>
      <w:tr w:rsidR="00185076" w:rsidRPr="00433DC3" w:rsidTr="00185076">
        <w:tblPrEx>
          <w:tblLook w:val="04A0" w:firstRow="1" w:lastRow="0" w:firstColumn="1" w:lastColumn="0" w:noHBand="0" w:noVBand="1"/>
        </w:tblPrEx>
        <w:trPr>
          <w:gridAfter w:val="1"/>
          <w:wAfter w:w="29" w:type="dxa"/>
        </w:trPr>
        <w:tc>
          <w:tcPr>
            <w:tcW w:w="5106" w:type="dxa"/>
            <w:gridSpan w:val="2"/>
            <w:shd w:val="clear" w:color="auto" w:fill="auto"/>
          </w:tcPr>
          <w:p w:rsidR="00185076" w:rsidRPr="00433DC3" w:rsidRDefault="00185076" w:rsidP="006F4979">
            <w:pPr>
              <w:pStyle w:val="TableBodyText"/>
              <w:spacing w:before="60"/>
              <w:jc w:val="left"/>
            </w:pPr>
            <w:r w:rsidRPr="00433DC3">
              <w:t xml:space="preserve">Dr Robert </w:t>
            </w:r>
            <w:proofErr w:type="spellStart"/>
            <w:r w:rsidRPr="00433DC3">
              <w:t>Koopman</w:t>
            </w:r>
            <w:proofErr w:type="spellEnd"/>
            <w:r w:rsidRPr="00433DC3">
              <w:t>, Chief Economist, Director of the Office of Economics at US International Trade Commission</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Seminar to the Commission – US–Asia trade: Dynamic General Equilibrium Linkages</w:t>
            </w:r>
          </w:p>
        </w:tc>
        <w:tc>
          <w:tcPr>
            <w:tcW w:w="1420" w:type="dxa"/>
            <w:shd w:val="clear" w:color="auto" w:fill="auto"/>
          </w:tcPr>
          <w:p w:rsidR="00185076" w:rsidRPr="00433DC3" w:rsidRDefault="00185076" w:rsidP="00185076">
            <w:pPr>
              <w:pStyle w:val="TableBodyText"/>
              <w:spacing w:before="60"/>
            </w:pPr>
            <w:r w:rsidRPr="00433DC3">
              <w:t>Aug 2012 (C)</w:t>
            </w:r>
          </w:p>
        </w:tc>
      </w:tr>
      <w:tr w:rsidR="00185076" w:rsidRPr="00433DC3" w:rsidTr="00185076">
        <w:tblPrEx>
          <w:tblLook w:val="04A0" w:firstRow="1" w:lastRow="0" w:firstColumn="1" w:lastColumn="0" w:noHBand="0" w:noVBand="1"/>
        </w:tblPrEx>
        <w:trPr>
          <w:gridAfter w:val="1"/>
          <w:wAfter w:w="29" w:type="dxa"/>
        </w:trPr>
        <w:tc>
          <w:tcPr>
            <w:tcW w:w="5106" w:type="dxa"/>
            <w:gridSpan w:val="2"/>
            <w:shd w:val="clear" w:color="auto" w:fill="auto"/>
          </w:tcPr>
          <w:p w:rsidR="00185076" w:rsidRPr="00433DC3" w:rsidRDefault="00185076" w:rsidP="006F4979">
            <w:pPr>
              <w:pStyle w:val="TableBodyText"/>
              <w:spacing w:before="60"/>
              <w:jc w:val="left"/>
            </w:pPr>
            <w:r w:rsidRPr="00433DC3">
              <w:t xml:space="preserve">Minister Amy Adams, NZ Minister for the Environment; Guy </w:t>
            </w:r>
            <w:proofErr w:type="spellStart"/>
            <w:r w:rsidRPr="00433DC3">
              <w:t>Beatson</w:t>
            </w:r>
            <w:proofErr w:type="spellEnd"/>
            <w:r w:rsidRPr="00433DC3">
              <w:t xml:space="preserve">, Deputy Secretary; Nathan Beaumont, Press Secretary and Alex </w:t>
            </w:r>
            <w:proofErr w:type="spellStart"/>
            <w:r w:rsidRPr="00433DC3">
              <w:t>Smithyman</w:t>
            </w:r>
            <w:proofErr w:type="spellEnd"/>
            <w:r w:rsidRPr="00433DC3">
              <w:t>, NZ High Commission Canberra, Trade and Environment</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The Commission’s role and activities</w:t>
            </w:r>
          </w:p>
        </w:tc>
        <w:tc>
          <w:tcPr>
            <w:tcW w:w="1420" w:type="dxa"/>
            <w:shd w:val="clear" w:color="auto" w:fill="auto"/>
          </w:tcPr>
          <w:p w:rsidR="00185076" w:rsidRPr="00433DC3" w:rsidRDefault="00185076" w:rsidP="00185076">
            <w:pPr>
              <w:pStyle w:val="TableBodyText"/>
              <w:spacing w:before="60"/>
            </w:pPr>
            <w:r w:rsidRPr="00433DC3">
              <w:t>Aug 2012 (C)</w:t>
            </w:r>
          </w:p>
        </w:tc>
      </w:tr>
      <w:tr w:rsidR="00185076" w:rsidRPr="00433DC3" w:rsidTr="00185076">
        <w:tblPrEx>
          <w:tblLook w:val="04A0" w:firstRow="1" w:lastRow="0" w:firstColumn="1" w:lastColumn="0" w:noHBand="0" w:noVBand="1"/>
        </w:tblPrEx>
        <w:tc>
          <w:tcPr>
            <w:tcW w:w="5106" w:type="dxa"/>
            <w:gridSpan w:val="2"/>
            <w:shd w:val="clear" w:color="auto" w:fill="auto"/>
          </w:tcPr>
          <w:p w:rsidR="00185076" w:rsidRPr="00433DC3" w:rsidRDefault="00185076" w:rsidP="006F4979">
            <w:pPr>
              <w:pStyle w:val="TableBodyText"/>
              <w:spacing w:before="60"/>
              <w:jc w:val="left"/>
            </w:pPr>
            <w:r w:rsidRPr="00433DC3">
              <w:t>IMF Delegation – 2012 Article IV Consultation</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The Commission’s role and activities</w:t>
            </w:r>
          </w:p>
        </w:tc>
        <w:tc>
          <w:tcPr>
            <w:tcW w:w="1420" w:type="dxa"/>
            <w:shd w:val="clear" w:color="auto" w:fill="auto"/>
          </w:tcPr>
          <w:p w:rsidR="00185076" w:rsidRPr="00433DC3" w:rsidRDefault="00185076" w:rsidP="00185076">
            <w:pPr>
              <w:pStyle w:val="TableBodyText"/>
              <w:spacing w:before="60"/>
            </w:pPr>
            <w:r w:rsidRPr="00433DC3">
              <w:t>Sept 2012 (C)</w:t>
            </w:r>
          </w:p>
        </w:tc>
        <w:tc>
          <w:tcPr>
            <w:tcW w:w="29" w:type="dxa"/>
            <w:shd w:val="clear" w:color="auto" w:fill="auto"/>
          </w:tcPr>
          <w:p w:rsidR="00185076" w:rsidRPr="00433DC3" w:rsidRDefault="00185076" w:rsidP="006F4979">
            <w:pPr>
              <w:pStyle w:val="TableBodyText"/>
              <w:spacing w:before="60"/>
              <w:jc w:val="left"/>
            </w:pPr>
          </w:p>
        </w:tc>
      </w:tr>
      <w:tr w:rsidR="00185076" w:rsidRPr="00433DC3" w:rsidTr="00185076">
        <w:tblPrEx>
          <w:tblLook w:val="04A0" w:firstRow="1" w:lastRow="0" w:firstColumn="1" w:lastColumn="0" w:noHBand="0" w:noVBand="1"/>
        </w:tblPrEx>
        <w:trPr>
          <w:gridAfter w:val="1"/>
          <w:wAfter w:w="29" w:type="dxa"/>
        </w:trPr>
        <w:tc>
          <w:tcPr>
            <w:tcW w:w="5106" w:type="dxa"/>
            <w:gridSpan w:val="2"/>
            <w:shd w:val="clear" w:color="auto" w:fill="auto"/>
          </w:tcPr>
          <w:p w:rsidR="00185076" w:rsidRPr="00433DC3" w:rsidRDefault="00185076" w:rsidP="006F4979">
            <w:pPr>
              <w:pStyle w:val="TableBodyText"/>
              <w:spacing w:before="60"/>
              <w:jc w:val="left"/>
            </w:pPr>
            <w:r w:rsidRPr="00433DC3">
              <w:t xml:space="preserve">Professor </w:t>
            </w:r>
            <w:proofErr w:type="spellStart"/>
            <w:r w:rsidRPr="00433DC3">
              <w:t>Avner</w:t>
            </w:r>
            <w:proofErr w:type="spellEnd"/>
            <w:r w:rsidRPr="00433DC3">
              <w:t xml:space="preserve"> Offer, University of London</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286CD8">
            <w:pPr>
              <w:pStyle w:val="TableBodyText"/>
              <w:spacing w:before="60"/>
              <w:jc w:val="left"/>
            </w:pPr>
            <w:r w:rsidRPr="00433DC3">
              <w:t>Seminar to the Commission – A Warrant for Pain: Market liberalism 1970-2010</w:t>
            </w:r>
          </w:p>
        </w:tc>
        <w:tc>
          <w:tcPr>
            <w:tcW w:w="1420" w:type="dxa"/>
            <w:shd w:val="clear" w:color="auto" w:fill="auto"/>
          </w:tcPr>
          <w:p w:rsidR="00185076" w:rsidRPr="00433DC3" w:rsidRDefault="00185076" w:rsidP="00185076">
            <w:pPr>
              <w:pStyle w:val="TableBodyText"/>
              <w:spacing w:before="60"/>
            </w:pPr>
            <w:r w:rsidRPr="00433DC3">
              <w:t>Sept 2012 (M)</w:t>
            </w:r>
          </w:p>
        </w:tc>
      </w:tr>
      <w:tr w:rsidR="00185076" w:rsidRPr="00433DC3" w:rsidTr="00185076">
        <w:tblPrEx>
          <w:tblLook w:val="04A0" w:firstRow="1" w:lastRow="0" w:firstColumn="1" w:lastColumn="0" w:noHBand="0" w:noVBand="1"/>
        </w:tblPrEx>
        <w:trPr>
          <w:gridAfter w:val="1"/>
          <w:wAfter w:w="29" w:type="dxa"/>
        </w:trPr>
        <w:tc>
          <w:tcPr>
            <w:tcW w:w="5106" w:type="dxa"/>
            <w:gridSpan w:val="2"/>
            <w:shd w:val="clear" w:color="auto" w:fill="auto"/>
          </w:tcPr>
          <w:p w:rsidR="00185076" w:rsidRPr="00433DC3" w:rsidRDefault="00185076" w:rsidP="006F4979">
            <w:pPr>
              <w:pStyle w:val="TableBodyText"/>
              <w:spacing w:before="60"/>
              <w:jc w:val="left"/>
            </w:pPr>
            <w:r w:rsidRPr="00433DC3">
              <w:t>Argentine Political Action Network Delegation</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Discuss best practice and good governance</w:t>
            </w:r>
          </w:p>
        </w:tc>
        <w:tc>
          <w:tcPr>
            <w:tcW w:w="1420" w:type="dxa"/>
            <w:shd w:val="clear" w:color="auto" w:fill="auto"/>
          </w:tcPr>
          <w:p w:rsidR="00185076" w:rsidRPr="00433DC3" w:rsidRDefault="00185076" w:rsidP="00185076">
            <w:pPr>
              <w:pStyle w:val="TableBodyText"/>
              <w:spacing w:before="60"/>
            </w:pPr>
            <w:r w:rsidRPr="00433DC3">
              <w:t>Sept</w:t>
            </w:r>
            <w:r>
              <w:t xml:space="preserve"> </w:t>
            </w:r>
            <w:r w:rsidRPr="00433DC3">
              <w:t>2012 (C)</w:t>
            </w:r>
          </w:p>
        </w:tc>
      </w:tr>
      <w:tr w:rsidR="00185076" w:rsidRPr="00433DC3" w:rsidTr="00185076">
        <w:tblPrEx>
          <w:tblLook w:val="04A0" w:firstRow="1" w:lastRow="0" w:firstColumn="1" w:lastColumn="0" w:noHBand="0" w:noVBand="1"/>
        </w:tblPrEx>
        <w:tc>
          <w:tcPr>
            <w:tcW w:w="5106" w:type="dxa"/>
            <w:gridSpan w:val="2"/>
            <w:shd w:val="clear" w:color="auto" w:fill="auto"/>
          </w:tcPr>
          <w:p w:rsidR="00185076" w:rsidRPr="00433DC3" w:rsidRDefault="00185076" w:rsidP="00286CD8">
            <w:pPr>
              <w:pStyle w:val="TableBodyText"/>
              <w:spacing w:before="60"/>
              <w:jc w:val="left"/>
            </w:pPr>
            <w:r w:rsidRPr="00433DC3">
              <w:t xml:space="preserve">Mr </w:t>
            </w:r>
            <w:r w:rsidR="00286CD8">
              <w:t xml:space="preserve">Nguyen </w:t>
            </w:r>
            <w:proofErr w:type="spellStart"/>
            <w:r w:rsidR="00286CD8">
              <w:t>Anh</w:t>
            </w:r>
            <w:proofErr w:type="spellEnd"/>
            <w:r w:rsidR="00286CD8">
              <w:t xml:space="preserve"> </w:t>
            </w:r>
            <w:r w:rsidRPr="00433DC3">
              <w:t>Duong, Central Institute for Economic Management of Vietnam</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Seminar on Economic reform in Vietnam</w:t>
            </w:r>
            <w:r w:rsidRPr="00433DC3">
              <w:br/>
            </w:r>
          </w:p>
        </w:tc>
        <w:tc>
          <w:tcPr>
            <w:tcW w:w="1420" w:type="dxa"/>
            <w:shd w:val="clear" w:color="auto" w:fill="auto"/>
          </w:tcPr>
          <w:p w:rsidR="00185076" w:rsidRPr="00433DC3" w:rsidRDefault="00185076" w:rsidP="00185076">
            <w:pPr>
              <w:pStyle w:val="TableBodyText"/>
              <w:spacing w:before="60"/>
            </w:pPr>
            <w:r w:rsidRPr="00433DC3">
              <w:t>Oct 2012 (C)</w:t>
            </w:r>
          </w:p>
        </w:tc>
        <w:tc>
          <w:tcPr>
            <w:tcW w:w="29" w:type="dxa"/>
            <w:shd w:val="clear" w:color="auto" w:fill="auto"/>
          </w:tcPr>
          <w:p w:rsidR="00185076" w:rsidRPr="00433DC3" w:rsidRDefault="00185076" w:rsidP="006F4979">
            <w:pPr>
              <w:pStyle w:val="TableBodyText"/>
              <w:spacing w:before="60"/>
              <w:jc w:val="left"/>
            </w:pPr>
          </w:p>
        </w:tc>
      </w:tr>
      <w:tr w:rsidR="00185076" w:rsidRPr="00433DC3" w:rsidTr="00185076">
        <w:tblPrEx>
          <w:tblLook w:val="04A0" w:firstRow="1" w:lastRow="0" w:firstColumn="1" w:lastColumn="0" w:noHBand="0" w:noVBand="1"/>
        </w:tblPrEx>
        <w:trPr>
          <w:gridAfter w:val="1"/>
          <w:wAfter w:w="29" w:type="dxa"/>
        </w:trPr>
        <w:tc>
          <w:tcPr>
            <w:tcW w:w="5106" w:type="dxa"/>
            <w:gridSpan w:val="2"/>
            <w:shd w:val="clear" w:color="auto" w:fill="auto"/>
          </w:tcPr>
          <w:p w:rsidR="00185076" w:rsidRPr="00433DC3" w:rsidRDefault="00185076" w:rsidP="00286CD8">
            <w:pPr>
              <w:pStyle w:val="TableBodyText"/>
              <w:spacing w:before="60"/>
              <w:jc w:val="left"/>
            </w:pPr>
            <w:r w:rsidRPr="00433DC3">
              <w:t>Iraqi Delegation – Ministry of Finance</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The Commission’s role and activities and public infrastructure financing including trends in government investment.</w:t>
            </w:r>
          </w:p>
        </w:tc>
        <w:tc>
          <w:tcPr>
            <w:tcW w:w="1420" w:type="dxa"/>
            <w:shd w:val="clear" w:color="auto" w:fill="auto"/>
          </w:tcPr>
          <w:p w:rsidR="00185076" w:rsidRPr="00433DC3" w:rsidRDefault="00185076" w:rsidP="00185076">
            <w:pPr>
              <w:pStyle w:val="TableBodyText"/>
              <w:spacing w:before="60"/>
            </w:pPr>
            <w:r w:rsidRPr="00433DC3">
              <w:t>Oct 2012 (C)</w:t>
            </w:r>
          </w:p>
        </w:tc>
      </w:tr>
      <w:tr w:rsidR="00185076" w:rsidRPr="00433DC3" w:rsidTr="00185076">
        <w:tblPrEx>
          <w:tblLook w:val="04A0" w:firstRow="1" w:lastRow="0" w:firstColumn="1" w:lastColumn="0" w:noHBand="0" w:noVBand="1"/>
        </w:tblPrEx>
        <w:trPr>
          <w:gridAfter w:val="1"/>
          <w:wAfter w:w="29" w:type="dxa"/>
        </w:trPr>
        <w:tc>
          <w:tcPr>
            <w:tcW w:w="5106" w:type="dxa"/>
            <w:gridSpan w:val="2"/>
            <w:shd w:val="clear" w:color="auto" w:fill="auto"/>
          </w:tcPr>
          <w:p w:rsidR="00185076" w:rsidRPr="00433DC3" w:rsidRDefault="00185076" w:rsidP="006F4979">
            <w:pPr>
              <w:pStyle w:val="TableBodyText"/>
              <w:spacing w:before="60"/>
              <w:jc w:val="left"/>
            </w:pPr>
            <w:r w:rsidRPr="00433DC3">
              <w:t xml:space="preserve">Professor </w:t>
            </w:r>
            <w:proofErr w:type="spellStart"/>
            <w:r w:rsidRPr="00433DC3">
              <w:t>Ila</w:t>
            </w:r>
            <w:proofErr w:type="spellEnd"/>
            <w:r w:rsidRPr="00433DC3">
              <w:t xml:space="preserve"> </w:t>
            </w:r>
            <w:proofErr w:type="spellStart"/>
            <w:r w:rsidRPr="00433DC3">
              <w:t>Patnaik</w:t>
            </w:r>
            <w:proofErr w:type="spellEnd"/>
            <w:r w:rsidRPr="00433DC3">
              <w:t>, National Institute of Public Finance and Policy, India</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The Commission’s role and activities</w:t>
            </w:r>
          </w:p>
        </w:tc>
        <w:tc>
          <w:tcPr>
            <w:tcW w:w="1420" w:type="dxa"/>
            <w:shd w:val="clear" w:color="auto" w:fill="auto"/>
          </w:tcPr>
          <w:p w:rsidR="00185076" w:rsidRPr="00433DC3" w:rsidRDefault="00185076" w:rsidP="00185076">
            <w:pPr>
              <w:pStyle w:val="TableBodyText"/>
              <w:spacing w:before="60"/>
            </w:pPr>
            <w:r w:rsidRPr="00433DC3">
              <w:t>Oct</w:t>
            </w:r>
            <w:r>
              <w:t xml:space="preserve"> </w:t>
            </w:r>
            <w:r w:rsidRPr="00433DC3">
              <w:t>2012 (M)</w:t>
            </w:r>
          </w:p>
        </w:tc>
      </w:tr>
      <w:tr w:rsidR="00185076" w:rsidRPr="00433DC3" w:rsidTr="0058455F">
        <w:tblPrEx>
          <w:tblLook w:val="04A0" w:firstRow="1" w:lastRow="0" w:firstColumn="1" w:lastColumn="0" w:noHBand="0" w:noVBand="1"/>
        </w:tblPrEx>
        <w:trPr>
          <w:gridAfter w:val="1"/>
          <w:wAfter w:w="29" w:type="dxa"/>
        </w:trPr>
        <w:tc>
          <w:tcPr>
            <w:tcW w:w="5106" w:type="dxa"/>
            <w:gridSpan w:val="2"/>
            <w:shd w:val="clear" w:color="auto" w:fill="auto"/>
          </w:tcPr>
          <w:p w:rsidR="00185076" w:rsidRPr="00433DC3" w:rsidRDefault="00185076" w:rsidP="006F4979">
            <w:pPr>
              <w:pStyle w:val="TableBodyText"/>
              <w:spacing w:before="60"/>
              <w:jc w:val="left"/>
            </w:pPr>
            <w:r w:rsidRPr="00433DC3">
              <w:t>Colombian Delegation (Video Conference)</w:t>
            </w:r>
          </w:p>
        </w:tc>
        <w:tc>
          <w:tcPr>
            <w:tcW w:w="142" w:type="dxa"/>
            <w:shd w:val="clear" w:color="auto" w:fill="auto"/>
          </w:tcPr>
          <w:p w:rsidR="00185076" w:rsidRPr="00433DC3" w:rsidRDefault="00185076" w:rsidP="006F4979">
            <w:pPr>
              <w:pStyle w:val="TableBodyText"/>
              <w:spacing w:before="60"/>
              <w:jc w:val="left"/>
            </w:pPr>
          </w:p>
        </w:tc>
        <w:tc>
          <w:tcPr>
            <w:tcW w:w="6660" w:type="dxa"/>
            <w:gridSpan w:val="2"/>
            <w:shd w:val="clear" w:color="auto" w:fill="auto"/>
          </w:tcPr>
          <w:p w:rsidR="00185076" w:rsidRPr="00433DC3" w:rsidRDefault="00185076" w:rsidP="006F4979">
            <w:pPr>
              <w:pStyle w:val="TableBodyText"/>
              <w:spacing w:before="60"/>
              <w:jc w:val="left"/>
            </w:pPr>
            <w:r w:rsidRPr="00433DC3">
              <w:t>The Commission’s role and activities and the Report on Government Services</w:t>
            </w:r>
          </w:p>
        </w:tc>
        <w:tc>
          <w:tcPr>
            <w:tcW w:w="1420" w:type="dxa"/>
            <w:shd w:val="clear" w:color="auto" w:fill="auto"/>
          </w:tcPr>
          <w:p w:rsidR="00185076" w:rsidRPr="00433DC3" w:rsidRDefault="00185076" w:rsidP="00185076">
            <w:pPr>
              <w:pStyle w:val="TableBodyText"/>
              <w:spacing w:before="60"/>
            </w:pPr>
            <w:r>
              <w:t>Nov</w:t>
            </w:r>
            <w:r w:rsidRPr="00433DC3">
              <w:t xml:space="preserve"> 2012 (C)</w:t>
            </w:r>
          </w:p>
        </w:tc>
      </w:tr>
      <w:tr w:rsidR="00185076" w:rsidRPr="00433DC3" w:rsidTr="0058455F">
        <w:tblPrEx>
          <w:tblLook w:val="04A0" w:firstRow="1" w:lastRow="0" w:firstColumn="1" w:lastColumn="0" w:noHBand="0" w:noVBand="1"/>
        </w:tblPrEx>
        <w:trPr>
          <w:gridAfter w:val="1"/>
          <w:wAfter w:w="29" w:type="dxa"/>
        </w:trPr>
        <w:tc>
          <w:tcPr>
            <w:tcW w:w="5106" w:type="dxa"/>
            <w:gridSpan w:val="2"/>
            <w:tcBorders>
              <w:bottom w:val="single" w:sz="4" w:space="0" w:color="auto"/>
            </w:tcBorders>
            <w:shd w:val="clear" w:color="auto" w:fill="auto"/>
          </w:tcPr>
          <w:p w:rsidR="00185076" w:rsidRPr="00433DC3" w:rsidRDefault="00185076" w:rsidP="00570C28">
            <w:pPr>
              <w:pStyle w:val="TableBodyText"/>
              <w:spacing w:before="60"/>
              <w:jc w:val="left"/>
            </w:pPr>
            <w:r w:rsidRPr="00433DC3">
              <w:t xml:space="preserve">Pascal </w:t>
            </w:r>
            <w:proofErr w:type="spellStart"/>
            <w:r w:rsidRPr="00433DC3">
              <w:t>Lamy</w:t>
            </w:r>
            <w:proofErr w:type="spellEnd"/>
            <w:r w:rsidRPr="00433DC3">
              <w:t>, Director-General, World Trade Organi</w:t>
            </w:r>
            <w:r w:rsidR="00570C28">
              <w:t>z</w:t>
            </w:r>
            <w:r w:rsidRPr="00433DC3">
              <w:t>ation</w:t>
            </w:r>
          </w:p>
        </w:tc>
        <w:tc>
          <w:tcPr>
            <w:tcW w:w="142" w:type="dxa"/>
            <w:tcBorders>
              <w:bottom w:val="single" w:sz="4" w:space="0" w:color="auto"/>
            </w:tcBorders>
            <w:shd w:val="clear" w:color="auto" w:fill="auto"/>
          </w:tcPr>
          <w:p w:rsidR="00185076" w:rsidRPr="00433DC3" w:rsidRDefault="00185076" w:rsidP="006F4979">
            <w:pPr>
              <w:pStyle w:val="TableBodyText"/>
              <w:spacing w:before="60"/>
              <w:jc w:val="left"/>
            </w:pPr>
          </w:p>
        </w:tc>
        <w:tc>
          <w:tcPr>
            <w:tcW w:w="6660" w:type="dxa"/>
            <w:gridSpan w:val="2"/>
            <w:tcBorders>
              <w:bottom w:val="single" w:sz="4" w:space="0" w:color="auto"/>
            </w:tcBorders>
            <w:shd w:val="clear" w:color="auto" w:fill="auto"/>
          </w:tcPr>
          <w:p w:rsidR="00185076" w:rsidRPr="00433DC3" w:rsidRDefault="00185076" w:rsidP="006F4979">
            <w:pPr>
              <w:pStyle w:val="TableBodyText"/>
              <w:spacing w:before="60"/>
              <w:jc w:val="left"/>
            </w:pPr>
            <w:r w:rsidRPr="00433DC3">
              <w:t>Richard Snape Lecture 2012: The Future of the Multilateral Trading System</w:t>
            </w:r>
          </w:p>
        </w:tc>
        <w:tc>
          <w:tcPr>
            <w:tcW w:w="1420" w:type="dxa"/>
            <w:tcBorders>
              <w:bottom w:val="single" w:sz="4" w:space="0" w:color="auto"/>
            </w:tcBorders>
            <w:shd w:val="clear" w:color="auto" w:fill="auto"/>
          </w:tcPr>
          <w:p w:rsidR="00185076" w:rsidRPr="00433DC3" w:rsidRDefault="00185076" w:rsidP="00185076">
            <w:pPr>
              <w:pStyle w:val="TableBodyText"/>
              <w:spacing w:before="60"/>
            </w:pPr>
            <w:r w:rsidRPr="00433DC3">
              <w:t>Nov 2012 (M)</w:t>
            </w:r>
          </w:p>
        </w:tc>
      </w:tr>
    </w:tbl>
    <w:p w:rsidR="0058455F" w:rsidRDefault="0058455F" w:rsidP="0058455F">
      <w:pPr>
        <w:pStyle w:val="Continued"/>
      </w:pPr>
      <w:r>
        <w:t>(Continued on next page)</w:t>
      </w:r>
    </w:p>
    <w:p w:rsidR="0058455F" w:rsidRDefault="0058455F" w:rsidP="0058455F">
      <w:pPr>
        <w:pStyle w:val="TableTitle"/>
        <w:spacing w:before="120"/>
      </w:pPr>
      <w:r>
        <w:rPr>
          <w:b w:val="0"/>
        </w:rPr>
        <w:lastRenderedPageBreak/>
        <w:t>Table E.</w:t>
      </w:r>
      <w:r w:rsidR="00684CDA">
        <w:rPr>
          <w:b w:val="0"/>
        </w:rPr>
        <w:t>2</w:t>
      </w:r>
      <w:r>
        <w:tab/>
      </w:r>
      <w:r w:rsidRPr="00B61021">
        <w:rPr>
          <w:sz w:val="20"/>
        </w:rPr>
        <w:t>(continued)</w:t>
      </w:r>
      <w:r>
        <w:t xml:space="preserve"> </w:t>
      </w:r>
    </w:p>
    <w:tbl>
      <w:tblPr>
        <w:tblW w:w="13622" w:type="dxa"/>
        <w:tblInd w:w="-3" w:type="dxa"/>
        <w:tblLayout w:type="fixed"/>
        <w:tblCellMar>
          <w:left w:w="0" w:type="dxa"/>
          <w:right w:w="0" w:type="dxa"/>
        </w:tblCellMar>
        <w:tblLook w:val="0000" w:firstRow="0" w:lastRow="0" w:firstColumn="0" w:lastColumn="0" w:noHBand="0" w:noVBand="0"/>
      </w:tblPr>
      <w:tblGrid>
        <w:gridCol w:w="5105"/>
        <w:gridCol w:w="142"/>
        <w:gridCol w:w="6661"/>
        <w:gridCol w:w="1420"/>
        <w:gridCol w:w="29"/>
        <w:gridCol w:w="265"/>
      </w:tblGrid>
      <w:tr w:rsidR="0058455F" w:rsidRPr="00D014A7" w:rsidTr="0058455F">
        <w:tc>
          <w:tcPr>
            <w:tcW w:w="5106" w:type="dxa"/>
            <w:tcBorders>
              <w:top w:val="single" w:sz="6" w:space="0" w:color="auto"/>
              <w:bottom w:val="single" w:sz="4" w:space="0" w:color="auto"/>
            </w:tcBorders>
            <w:shd w:val="clear" w:color="auto" w:fill="auto"/>
          </w:tcPr>
          <w:p w:rsidR="0058455F" w:rsidRDefault="0058455F" w:rsidP="002536A7">
            <w:pPr>
              <w:pStyle w:val="TableColumnHeading"/>
              <w:spacing w:before="100" w:after="40"/>
              <w:ind w:left="57"/>
              <w:jc w:val="left"/>
            </w:pPr>
            <w:r w:rsidRPr="00D014A7">
              <w:t>Organisation/event</w:t>
            </w:r>
          </w:p>
        </w:tc>
        <w:tc>
          <w:tcPr>
            <w:tcW w:w="142" w:type="dxa"/>
            <w:tcBorders>
              <w:top w:val="single" w:sz="6" w:space="0" w:color="auto"/>
              <w:bottom w:val="single" w:sz="4" w:space="0" w:color="auto"/>
            </w:tcBorders>
          </w:tcPr>
          <w:p w:rsidR="0058455F" w:rsidRPr="00D014A7" w:rsidRDefault="0058455F" w:rsidP="002536A7">
            <w:pPr>
              <w:pStyle w:val="TableColumnHeading"/>
              <w:spacing w:before="100" w:after="40"/>
              <w:ind w:left="57"/>
              <w:jc w:val="left"/>
            </w:pPr>
          </w:p>
        </w:tc>
        <w:tc>
          <w:tcPr>
            <w:tcW w:w="6662" w:type="dxa"/>
            <w:tcBorders>
              <w:top w:val="single" w:sz="6" w:space="0" w:color="auto"/>
              <w:bottom w:val="single" w:sz="4" w:space="0" w:color="auto"/>
            </w:tcBorders>
            <w:shd w:val="clear" w:color="auto" w:fill="auto"/>
          </w:tcPr>
          <w:p w:rsidR="0058455F" w:rsidRDefault="0058455F" w:rsidP="002536A7">
            <w:pPr>
              <w:pStyle w:val="TableColumnHeading"/>
              <w:spacing w:before="100" w:after="40"/>
              <w:ind w:left="57"/>
              <w:jc w:val="left"/>
            </w:pPr>
            <w:r w:rsidRPr="00D014A7">
              <w:t>Topic</w:t>
            </w:r>
          </w:p>
        </w:tc>
        <w:tc>
          <w:tcPr>
            <w:tcW w:w="1712" w:type="dxa"/>
            <w:gridSpan w:val="3"/>
            <w:tcBorders>
              <w:top w:val="single" w:sz="6" w:space="0" w:color="auto"/>
              <w:bottom w:val="single" w:sz="4" w:space="0" w:color="auto"/>
            </w:tcBorders>
            <w:shd w:val="clear" w:color="auto" w:fill="auto"/>
          </w:tcPr>
          <w:p w:rsidR="0058455F" w:rsidRDefault="0058455F" w:rsidP="002536A7">
            <w:pPr>
              <w:pStyle w:val="TableColumnHeading"/>
              <w:spacing w:before="100" w:after="40"/>
              <w:ind w:left="57"/>
            </w:pPr>
            <w:r w:rsidRPr="00D014A7">
              <w:t>Date</w:t>
            </w:r>
          </w:p>
        </w:tc>
      </w:tr>
      <w:tr w:rsidR="0058455F" w:rsidRPr="00433DC3" w:rsidTr="0058455F">
        <w:tblPrEx>
          <w:tblLook w:val="04A0" w:firstRow="1" w:lastRow="0" w:firstColumn="1" w:lastColumn="0" w:noHBand="0" w:noVBand="1"/>
        </w:tblPrEx>
        <w:trPr>
          <w:gridAfter w:val="2"/>
          <w:wAfter w:w="294" w:type="dxa"/>
        </w:trPr>
        <w:tc>
          <w:tcPr>
            <w:tcW w:w="5106" w:type="dxa"/>
            <w:shd w:val="clear" w:color="auto" w:fill="auto"/>
          </w:tcPr>
          <w:p w:rsidR="0058455F" w:rsidRPr="00433DC3" w:rsidRDefault="0058455F" w:rsidP="002536A7">
            <w:pPr>
              <w:pStyle w:val="TableBodyText"/>
              <w:spacing w:before="60"/>
              <w:jc w:val="left"/>
            </w:pPr>
            <w:r w:rsidRPr="00433DC3">
              <w:t xml:space="preserve">South Korean Delegation led by Mr </w:t>
            </w:r>
            <w:proofErr w:type="spellStart"/>
            <w:r w:rsidRPr="00433DC3">
              <w:t>Hyung</w:t>
            </w:r>
            <w:proofErr w:type="spellEnd"/>
            <w:r w:rsidRPr="00433DC3">
              <w:t xml:space="preserve">-Hwan </w:t>
            </w:r>
            <w:proofErr w:type="spellStart"/>
            <w:r w:rsidRPr="00433DC3">
              <w:t>Joo</w:t>
            </w:r>
            <w:proofErr w:type="spellEnd"/>
            <w:r w:rsidRPr="00433DC3">
              <w:t>, Deputy Minister of Strategy and Finance</w:t>
            </w:r>
          </w:p>
        </w:tc>
        <w:tc>
          <w:tcPr>
            <w:tcW w:w="142" w:type="dxa"/>
            <w:shd w:val="clear" w:color="auto" w:fill="auto"/>
          </w:tcPr>
          <w:p w:rsidR="0058455F" w:rsidRPr="00433DC3" w:rsidRDefault="0058455F" w:rsidP="002536A7">
            <w:pPr>
              <w:pStyle w:val="TableBodyText"/>
              <w:spacing w:before="60"/>
              <w:jc w:val="left"/>
            </w:pPr>
          </w:p>
        </w:tc>
        <w:tc>
          <w:tcPr>
            <w:tcW w:w="6660" w:type="dxa"/>
            <w:shd w:val="clear" w:color="auto" w:fill="auto"/>
          </w:tcPr>
          <w:p w:rsidR="0058455F" w:rsidRPr="00433DC3" w:rsidRDefault="0058455F" w:rsidP="002536A7">
            <w:pPr>
              <w:pStyle w:val="TableBodyText"/>
              <w:spacing w:before="60"/>
              <w:jc w:val="left"/>
            </w:pPr>
            <w:r w:rsidRPr="00433DC3">
              <w:t>Structure Reform in Australia</w:t>
            </w:r>
          </w:p>
        </w:tc>
        <w:tc>
          <w:tcPr>
            <w:tcW w:w="1420" w:type="dxa"/>
            <w:shd w:val="clear" w:color="auto" w:fill="auto"/>
          </w:tcPr>
          <w:p w:rsidR="0058455F" w:rsidRPr="00433DC3" w:rsidRDefault="0058455F" w:rsidP="002536A7">
            <w:pPr>
              <w:pStyle w:val="TableBodyText"/>
              <w:spacing w:before="60"/>
            </w:pPr>
            <w:r w:rsidRPr="00433DC3">
              <w:t>Nov</w:t>
            </w:r>
            <w:r>
              <w:t xml:space="preserve"> </w:t>
            </w:r>
            <w:r w:rsidRPr="00433DC3">
              <w:t>2012 (C)</w:t>
            </w:r>
          </w:p>
        </w:tc>
      </w:tr>
      <w:tr w:rsidR="00185076" w:rsidRPr="00433DC3" w:rsidTr="0058455F">
        <w:tblPrEx>
          <w:tblLook w:val="04A0" w:firstRow="1" w:lastRow="0" w:firstColumn="1" w:lastColumn="0" w:noHBand="0" w:noVBand="1"/>
        </w:tblPrEx>
        <w:trPr>
          <w:gridAfter w:val="2"/>
          <w:wAfter w:w="294" w:type="dxa"/>
        </w:trPr>
        <w:tc>
          <w:tcPr>
            <w:tcW w:w="5106" w:type="dxa"/>
          </w:tcPr>
          <w:p w:rsidR="00185076" w:rsidRPr="00433DC3" w:rsidRDefault="00185076" w:rsidP="006F4979">
            <w:pPr>
              <w:pStyle w:val="TableBodyText"/>
              <w:spacing w:before="60"/>
              <w:jc w:val="left"/>
            </w:pPr>
            <w:r w:rsidRPr="00433DC3">
              <w:t xml:space="preserve">Mr </w:t>
            </w:r>
            <w:proofErr w:type="spellStart"/>
            <w:r w:rsidRPr="00433DC3">
              <w:t>Megat</w:t>
            </w:r>
            <w:proofErr w:type="spellEnd"/>
            <w:r w:rsidRPr="00433DC3">
              <w:t xml:space="preserve"> </w:t>
            </w:r>
            <w:proofErr w:type="spellStart"/>
            <w:r w:rsidRPr="00433DC3">
              <w:t>Iskandar</w:t>
            </w:r>
            <w:proofErr w:type="spellEnd"/>
            <w:r w:rsidRPr="00433DC3">
              <w:t xml:space="preserve"> Shah </w:t>
            </w:r>
            <w:proofErr w:type="spellStart"/>
            <w:r w:rsidRPr="00433DC3">
              <w:t>Jamil</w:t>
            </w:r>
            <w:proofErr w:type="spellEnd"/>
            <w:r w:rsidRPr="00433DC3">
              <w:t xml:space="preserve"> </w:t>
            </w:r>
            <w:proofErr w:type="spellStart"/>
            <w:r w:rsidRPr="00433DC3">
              <w:t>Rais</w:t>
            </w:r>
            <w:proofErr w:type="spellEnd"/>
            <w:r w:rsidRPr="00433DC3">
              <w:t>, Economics and International Division of the Ministry of Finance (</w:t>
            </w:r>
            <w:proofErr w:type="spellStart"/>
            <w:r w:rsidRPr="00433DC3">
              <w:t>MOF</w:t>
            </w:r>
            <w:proofErr w:type="spellEnd"/>
            <w:r w:rsidRPr="00433DC3">
              <w:t>), Malaysia</w:t>
            </w:r>
          </w:p>
        </w:tc>
        <w:tc>
          <w:tcPr>
            <w:tcW w:w="142" w:type="dxa"/>
          </w:tcPr>
          <w:p w:rsidR="00185076" w:rsidRPr="00433DC3" w:rsidRDefault="00185076" w:rsidP="006F4979">
            <w:pPr>
              <w:pStyle w:val="TableBodyText"/>
              <w:spacing w:before="60"/>
              <w:jc w:val="left"/>
            </w:pPr>
          </w:p>
        </w:tc>
        <w:tc>
          <w:tcPr>
            <w:tcW w:w="6660" w:type="dxa"/>
          </w:tcPr>
          <w:p w:rsidR="00185076" w:rsidRPr="00433DC3" w:rsidRDefault="00185076" w:rsidP="006F4979">
            <w:pPr>
              <w:pStyle w:val="TableBodyText"/>
              <w:spacing w:before="60"/>
              <w:jc w:val="left"/>
            </w:pPr>
            <w:r>
              <w:t>T</w:t>
            </w:r>
            <w:r w:rsidRPr="00433DC3">
              <w:t xml:space="preserve">he role of the </w:t>
            </w:r>
            <w:proofErr w:type="spellStart"/>
            <w:r w:rsidRPr="00433DC3">
              <w:t>MOF</w:t>
            </w:r>
            <w:proofErr w:type="spellEnd"/>
            <w:r w:rsidRPr="00433DC3">
              <w:t>, the annual budget and Economic Report processes.</w:t>
            </w:r>
          </w:p>
        </w:tc>
        <w:tc>
          <w:tcPr>
            <w:tcW w:w="1420" w:type="dxa"/>
          </w:tcPr>
          <w:p w:rsidR="00185076" w:rsidRPr="00433DC3" w:rsidRDefault="00185076" w:rsidP="00185076">
            <w:pPr>
              <w:pStyle w:val="TableBodyText"/>
              <w:spacing w:before="60"/>
            </w:pPr>
            <w:r w:rsidRPr="00433DC3">
              <w:t>Dec 2012 (C)</w:t>
            </w:r>
          </w:p>
        </w:tc>
      </w:tr>
      <w:tr w:rsidR="00185076" w:rsidRPr="00433DC3" w:rsidTr="0058455F">
        <w:tblPrEx>
          <w:tblLook w:val="04A0" w:firstRow="1" w:lastRow="0" w:firstColumn="1" w:lastColumn="0" w:noHBand="0" w:noVBand="1"/>
        </w:tblPrEx>
        <w:trPr>
          <w:gridAfter w:val="2"/>
          <w:wAfter w:w="294" w:type="dxa"/>
        </w:trPr>
        <w:tc>
          <w:tcPr>
            <w:tcW w:w="5106" w:type="dxa"/>
            <w:shd w:val="clear" w:color="auto" w:fill="auto"/>
          </w:tcPr>
          <w:p w:rsidR="00185076" w:rsidRPr="00433DC3" w:rsidRDefault="00185076" w:rsidP="006F4979">
            <w:pPr>
              <w:pStyle w:val="TableBodyText"/>
              <w:spacing w:before="60"/>
              <w:jc w:val="left"/>
            </w:pPr>
            <w:r w:rsidRPr="00433DC3">
              <w:t>H.E. Mrs Jenny Bloomfield, Athens Head of Mission (accredited to Greece, Albania and Bulgaria)</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Discuss mid-term consultations</w:t>
            </w:r>
          </w:p>
        </w:tc>
        <w:tc>
          <w:tcPr>
            <w:tcW w:w="1420" w:type="dxa"/>
            <w:shd w:val="clear" w:color="auto" w:fill="auto"/>
          </w:tcPr>
          <w:p w:rsidR="00185076" w:rsidRPr="00433DC3" w:rsidRDefault="00185076" w:rsidP="00185076">
            <w:pPr>
              <w:pStyle w:val="TableBodyText"/>
              <w:spacing w:before="60"/>
            </w:pPr>
            <w:r w:rsidRPr="00433DC3">
              <w:t>Dec 2012 (M)</w:t>
            </w:r>
          </w:p>
        </w:tc>
      </w:tr>
      <w:tr w:rsidR="00185076" w:rsidRPr="00433DC3" w:rsidTr="0058455F">
        <w:tblPrEx>
          <w:tblLook w:val="04A0" w:firstRow="1" w:lastRow="0" w:firstColumn="1" w:lastColumn="0" w:noHBand="0" w:noVBand="1"/>
        </w:tblPrEx>
        <w:trPr>
          <w:gridAfter w:val="1"/>
          <w:wAfter w:w="265" w:type="dxa"/>
        </w:trPr>
        <w:tc>
          <w:tcPr>
            <w:tcW w:w="5106" w:type="dxa"/>
            <w:shd w:val="clear" w:color="auto" w:fill="auto"/>
          </w:tcPr>
          <w:p w:rsidR="00185076" w:rsidRPr="00433DC3" w:rsidRDefault="00185076" w:rsidP="006F4979">
            <w:pPr>
              <w:pStyle w:val="TableBodyText"/>
              <w:spacing w:before="60"/>
              <w:jc w:val="left"/>
            </w:pPr>
            <w:r w:rsidRPr="00433DC3">
              <w:t xml:space="preserve">Mrs Agnes </w:t>
            </w:r>
            <w:proofErr w:type="spellStart"/>
            <w:r w:rsidRPr="00433DC3">
              <w:t>Espagne</w:t>
            </w:r>
            <w:proofErr w:type="spellEnd"/>
            <w:r w:rsidRPr="00433DC3">
              <w:t>, Economic Counsel</w:t>
            </w:r>
            <w:r w:rsidR="00507F95">
              <w:t>l</w:t>
            </w:r>
            <w:r w:rsidRPr="00433DC3">
              <w:t>or of the French Embassy</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The Commission’s role and activities</w:t>
            </w:r>
          </w:p>
        </w:tc>
        <w:tc>
          <w:tcPr>
            <w:tcW w:w="1420" w:type="dxa"/>
            <w:shd w:val="clear" w:color="auto" w:fill="auto"/>
          </w:tcPr>
          <w:p w:rsidR="00185076" w:rsidRPr="00433DC3" w:rsidRDefault="00185076" w:rsidP="00185076">
            <w:pPr>
              <w:pStyle w:val="TableBodyText"/>
              <w:spacing w:before="60"/>
            </w:pPr>
            <w:r w:rsidRPr="00433DC3">
              <w:t>Dec 2012 (M)</w:t>
            </w:r>
          </w:p>
        </w:tc>
        <w:tc>
          <w:tcPr>
            <w:tcW w:w="29" w:type="dxa"/>
            <w:shd w:val="clear" w:color="auto" w:fill="auto"/>
          </w:tcPr>
          <w:p w:rsidR="00185076" w:rsidRPr="00433DC3" w:rsidRDefault="00185076" w:rsidP="006F4979">
            <w:pPr>
              <w:pStyle w:val="TableBodyText"/>
              <w:spacing w:before="60"/>
              <w:jc w:val="left"/>
            </w:pPr>
          </w:p>
        </w:tc>
      </w:tr>
      <w:tr w:rsidR="00185076" w:rsidRPr="00433DC3" w:rsidTr="0058455F">
        <w:tblPrEx>
          <w:tblLook w:val="04A0" w:firstRow="1" w:lastRow="0" w:firstColumn="1" w:lastColumn="0" w:noHBand="0" w:noVBand="1"/>
        </w:tblPrEx>
        <w:trPr>
          <w:gridAfter w:val="2"/>
          <w:wAfter w:w="294" w:type="dxa"/>
        </w:trPr>
        <w:tc>
          <w:tcPr>
            <w:tcW w:w="5106" w:type="dxa"/>
            <w:shd w:val="clear" w:color="auto" w:fill="auto"/>
          </w:tcPr>
          <w:p w:rsidR="00185076" w:rsidRPr="00433DC3" w:rsidRDefault="00185076" w:rsidP="006F4979">
            <w:pPr>
              <w:pStyle w:val="TableBodyText"/>
              <w:spacing w:before="60"/>
              <w:jc w:val="left"/>
            </w:pPr>
            <w:r w:rsidRPr="00433DC3">
              <w:t>Vietnam Delegation – Ministry of Planning and Investment</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The Commission’s role and activities and Structural reform in Australia</w:t>
            </w:r>
          </w:p>
          <w:p w:rsidR="00185076" w:rsidRPr="00433DC3" w:rsidRDefault="00185076" w:rsidP="006F4979">
            <w:pPr>
              <w:pStyle w:val="TableBodyText"/>
              <w:spacing w:before="60"/>
              <w:jc w:val="left"/>
            </w:pPr>
          </w:p>
        </w:tc>
        <w:tc>
          <w:tcPr>
            <w:tcW w:w="1420" w:type="dxa"/>
            <w:shd w:val="clear" w:color="auto" w:fill="auto"/>
          </w:tcPr>
          <w:p w:rsidR="00185076" w:rsidRPr="00433DC3" w:rsidRDefault="00185076" w:rsidP="00185076">
            <w:pPr>
              <w:pStyle w:val="TableBodyText"/>
              <w:spacing w:before="60"/>
            </w:pPr>
            <w:r w:rsidRPr="00433DC3">
              <w:t>Jan 2013 (C)</w:t>
            </w:r>
          </w:p>
        </w:tc>
      </w:tr>
      <w:tr w:rsidR="00185076" w:rsidRPr="00433DC3" w:rsidTr="0058455F">
        <w:tblPrEx>
          <w:tblLook w:val="04A0" w:firstRow="1" w:lastRow="0" w:firstColumn="1" w:lastColumn="0" w:noHBand="0" w:noVBand="1"/>
        </w:tblPrEx>
        <w:trPr>
          <w:gridAfter w:val="2"/>
          <w:wAfter w:w="294" w:type="dxa"/>
        </w:trPr>
        <w:tc>
          <w:tcPr>
            <w:tcW w:w="5106" w:type="dxa"/>
            <w:shd w:val="clear" w:color="auto" w:fill="auto"/>
          </w:tcPr>
          <w:p w:rsidR="00185076" w:rsidRPr="00433DC3" w:rsidRDefault="00185076" w:rsidP="006F4979">
            <w:pPr>
              <w:pStyle w:val="TableBodyText"/>
              <w:spacing w:before="60"/>
              <w:jc w:val="left"/>
            </w:pPr>
            <w:r w:rsidRPr="00433DC3">
              <w:t xml:space="preserve">Indonesian Delegation </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Commission’s Reforms Agenda.</w:t>
            </w:r>
          </w:p>
        </w:tc>
        <w:tc>
          <w:tcPr>
            <w:tcW w:w="1420" w:type="dxa"/>
            <w:shd w:val="clear" w:color="auto" w:fill="auto"/>
          </w:tcPr>
          <w:p w:rsidR="00185076" w:rsidRPr="00433DC3" w:rsidRDefault="00185076" w:rsidP="00185076">
            <w:pPr>
              <w:pStyle w:val="TableBodyText"/>
              <w:spacing w:before="60"/>
            </w:pPr>
            <w:r w:rsidRPr="00433DC3">
              <w:t>Feb 2013 (C)</w:t>
            </w:r>
          </w:p>
        </w:tc>
      </w:tr>
      <w:tr w:rsidR="00185076" w:rsidRPr="00433DC3" w:rsidTr="0058455F">
        <w:tblPrEx>
          <w:tblLook w:val="04A0" w:firstRow="1" w:lastRow="0" w:firstColumn="1" w:lastColumn="0" w:noHBand="0" w:noVBand="1"/>
        </w:tblPrEx>
        <w:trPr>
          <w:gridAfter w:val="2"/>
          <w:wAfter w:w="294" w:type="dxa"/>
        </w:trPr>
        <w:tc>
          <w:tcPr>
            <w:tcW w:w="5106" w:type="dxa"/>
            <w:shd w:val="clear" w:color="auto" w:fill="auto"/>
          </w:tcPr>
          <w:p w:rsidR="00185076" w:rsidRPr="00433DC3" w:rsidRDefault="00185076" w:rsidP="006F4979">
            <w:pPr>
              <w:pStyle w:val="TableBodyText"/>
              <w:spacing w:before="60"/>
              <w:jc w:val="left"/>
            </w:pPr>
            <w:r w:rsidRPr="00433DC3">
              <w:t>Cambodia Delegation</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The Commission’s role and activities and Regulation Impact Assessment</w:t>
            </w:r>
          </w:p>
        </w:tc>
        <w:tc>
          <w:tcPr>
            <w:tcW w:w="1420" w:type="dxa"/>
            <w:shd w:val="clear" w:color="auto" w:fill="auto"/>
          </w:tcPr>
          <w:p w:rsidR="00185076" w:rsidRPr="00433DC3" w:rsidRDefault="00185076" w:rsidP="00185076">
            <w:pPr>
              <w:pStyle w:val="TableBodyText"/>
              <w:spacing w:before="60"/>
            </w:pPr>
            <w:r w:rsidRPr="00433DC3">
              <w:t>March 2013 (C)</w:t>
            </w:r>
          </w:p>
        </w:tc>
      </w:tr>
      <w:tr w:rsidR="00185076" w:rsidRPr="00433DC3" w:rsidTr="0058455F">
        <w:tblPrEx>
          <w:tblLook w:val="04A0" w:firstRow="1" w:lastRow="0" w:firstColumn="1" w:lastColumn="0" w:noHBand="0" w:noVBand="1"/>
        </w:tblPrEx>
        <w:trPr>
          <w:gridAfter w:val="2"/>
          <w:wAfter w:w="294" w:type="dxa"/>
        </w:trPr>
        <w:tc>
          <w:tcPr>
            <w:tcW w:w="5106" w:type="dxa"/>
            <w:shd w:val="clear" w:color="auto" w:fill="auto"/>
          </w:tcPr>
          <w:p w:rsidR="00185076" w:rsidRPr="00433DC3" w:rsidRDefault="00185076" w:rsidP="006F4979">
            <w:pPr>
              <w:pStyle w:val="TableBodyText"/>
              <w:spacing w:before="60"/>
              <w:jc w:val="left"/>
            </w:pPr>
            <w:proofErr w:type="spellStart"/>
            <w:r w:rsidRPr="00433DC3">
              <w:t>Mahpud</w:t>
            </w:r>
            <w:proofErr w:type="spellEnd"/>
            <w:r w:rsidRPr="00433DC3">
              <w:t xml:space="preserve"> </w:t>
            </w:r>
            <w:proofErr w:type="spellStart"/>
            <w:r w:rsidRPr="00433DC3">
              <w:t>Sujai</w:t>
            </w:r>
            <w:proofErr w:type="spellEnd"/>
            <w:r w:rsidRPr="00433DC3">
              <w:t>, Fiscal Policy Office of the Ministry of Finance, Indonesia</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Indonesian health insurance reforms: what lessons can we learn from Australia</w:t>
            </w:r>
          </w:p>
        </w:tc>
        <w:tc>
          <w:tcPr>
            <w:tcW w:w="1420" w:type="dxa"/>
            <w:shd w:val="clear" w:color="auto" w:fill="auto"/>
          </w:tcPr>
          <w:p w:rsidR="00185076" w:rsidRPr="00433DC3" w:rsidRDefault="00185076" w:rsidP="00185076">
            <w:pPr>
              <w:pStyle w:val="TableBodyText"/>
              <w:spacing w:before="60"/>
            </w:pPr>
            <w:r w:rsidRPr="00433DC3">
              <w:t>April 2013 (C)</w:t>
            </w:r>
          </w:p>
        </w:tc>
      </w:tr>
      <w:tr w:rsidR="00185076" w:rsidRPr="00433DC3" w:rsidTr="0058455F">
        <w:tblPrEx>
          <w:tblLook w:val="04A0" w:firstRow="1" w:lastRow="0" w:firstColumn="1" w:lastColumn="0" w:noHBand="0" w:noVBand="1"/>
        </w:tblPrEx>
        <w:trPr>
          <w:gridAfter w:val="2"/>
          <w:wAfter w:w="294" w:type="dxa"/>
        </w:trPr>
        <w:tc>
          <w:tcPr>
            <w:tcW w:w="5106" w:type="dxa"/>
            <w:shd w:val="clear" w:color="auto" w:fill="auto"/>
          </w:tcPr>
          <w:p w:rsidR="00185076" w:rsidRPr="00433DC3" w:rsidRDefault="00185076" w:rsidP="006F4979">
            <w:pPr>
              <w:pStyle w:val="TableBodyText"/>
              <w:spacing w:before="60"/>
              <w:jc w:val="left"/>
            </w:pPr>
            <w:r w:rsidRPr="00433DC3">
              <w:t>Kenichi Kawasaki, Japan Cabinet Secretariat</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 xml:space="preserve">Discuss Productivity Commission </w:t>
            </w:r>
            <w:r w:rsidR="00C7001D">
              <w:t xml:space="preserve">and </w:t>
            </w:r>
            <w:r w:rsidRPr="00433DC3">
              <w:t>domestic reform.</w:t>
            </w:r>
          </w:p>
        </w:tc>
        <w:tc>
          <w:tcPr>
            <w:tcW w:w="1420" w:type="dxa"/>
            <w:shd w:val="clear" w:color="auto" w:fill="auto"/>
          </w:tcPr>
          <w:p w:rsidR="00185076" w:rsidRPr="00433DC3" w:rsidRDefault="00185076" w:rsidP="00185076">
            <w:pPr>
              <w:pStyle w:val="TableBodyText"/>
              <w:spacing w:before="60"/>
            </w:pPr>
            <w:r w:rsidRPr="00433DC3">
              <w:t>April 2013 (C)</w:t>
            </w:r>
          </w:p>
        </w:tc>
      </w:tr>
      <w:tr w:rsidR="00185076" w:rsidRPr="00433DC3" w:rsidTr="0058455F">
        <w:tblPrEx>
          <w:tblLook w:val="04A0" w:firstRow="1" w:lastRow="0" w:firstColumn="1" w:lastColumn="0" w:noHBand="0" w:noVBand="1"/>
        </w:tblPrEx>
        <w:trPr>
          <w:gridAfter w:val="2"/>
          <w:wAfter w:w="294" w:type="dxa"/>
        </w:trPr>
        <w:tc>
          <w:tcPr>
            <w:tcW w:w="5106" w:type="dxa"/>
            <w:shd w:val="clear" w:color="auto" w:fill="auto"/>
          </w:tcPr>
          <w:p w:rsidR="00185076" w:rsidRPr="00433DC3" w:rsidRDefault="00185076" w:rsidP="006F4979">
            <w:pPr>
              <w:pStyle w:val="TableBodyText"/>
              <w:spacing w:before="60"/>
              <w:jc w:val="left"/>
            </w:pPr>
            <w:r w:rsidRPr="00433DC3">
              <w:t>China Central Party School Delegation</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Discuss role of the Productivity Commission and past work on the environment and population ageing.</w:t>
            </w:r>
          </w:p>
        </w:tc>
        <w:tc>
          <w:tcPr>
            <w:tcW w:w="1420" w:type="dxa"/>
            <w:shd w:val="clear" w:color="auto" w:fill="auto"/>
          </w:tcPr>
          <w:p w:rsidR="00185076" w:rsidRPr="00433DC3" w:rsidRDefault="00185076" w:rsidP="00185076">
            <w:pPr>
              <w:pStyle w:val="TableBodyText"/>
              <w:spacing w:before="60"/>
            </w:pPr>
            <w:r w:rsidRPr="00433DC3">
              <w:t>April 2013 (C)</w:t>
            </w:r>
          </w:p>
        </w:tc>
      </w:tr>
      <w:tr w:rsidR="00185076" w:rsidRPr="00433DC3" w:rsidTr="0058455F">
        <w:tblPrEx>
          <w:tblLook w:val="04A0" w:firstRow="1" w:lastRow="0" w:firstColumn="1" w:lastColumn="0" w:noHBand="0" w:noVBand="1"/>
        </w:tblPrEx>
        <w:trPr>
          <w:gridAfter w:val="2"/>
          <w:wAfter w:w="294" w:type="dxa"/>
        </w:trPr>
        <w:tc>
          <w:tcPr>
            <w:tcW w:w="5106" w:type="dxa"/>
            <w:shd w:val="clear" w:color="auto" w:fill="auto"/>
          </w:tcPr>
          <w:p w:rsidR="00185076" w:rsidRPr="00433DC3" w:rsidRDefault="00185076" w:rsidP="00C7001D">
            <w:pPr>
              <w:pStyle w:val="TableBodyText"/>
              <w:spacing w:before="60"/>
              <w:jc w:val="left"/>
            </w:pPr>
            <w:r w:rsidRPr="00433DC3">
              <w:t>Ms Zhang Qi, Research Department of Foreign Economic Relations of Development Research Cent</w:t>
            </w:r>
            <w:r w:rsidR="00C7001D">
              <w:t>re</w:t>
            </w:r>
            <w:r w:rsidRPr="00433DC3">
              <w:t xml:space="preserve"> (DRC) of the State Council, China.</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China’s economic reform and opening up</w:t>
            </w:r>
          </w:p>
        </w:tc>
        <w:tc>
          <w:tcPr>
            <w:tcW w:w="1420" w:type="dxa"/>
            <w:shd w:val="clear" w:color="auto" w:fill="auto"/>
          </w:tcPr>
          <w:p w:rsidR="00185076" w:rsidRPr="00433DC3" w:rsidRDefault="00185076" w:rsidP="00185076">
            <w:pPr>
              <w:pStyle w:val="TableBodyText"/>
              <w:spacing w:before="60"/>
            </w:pPr>
            <w:r w:rsidRPr="00433DC3">
              <w:t>May 2013 (C)</w:t>
            </w:r>
          </w:p>
        </w:tc>
      </w:tr>
      <w:tr w:rsidR="00185076" w:rsidRPr="00433DC3" w:rsidTr="0058455F">
        <w:tblPrEx>
          <w:tblLook w:val="04A0" w:firstRow="1" w:lastRow="0" w:firstColumn="1" w:lastColumn="0" w:noHBand="0" w:noVBand="1"/>
        </w:tblPrEx>
        <w:trPr>
          <w:gridAfter w:val="2"/>
          <w:wAfter w:w="294" w:type="dxa"/>
        </w:trPr>
        <w:tc>
          <w:tcPr>
            <w:tcW w:w="5106" w:type="dxa"/>
            <w:shd w:val="clear" w:color="auto" w:fill="auto"/>
          </w:tcPr>
          <w:p w:rsidR="00185076" w:rsidRPr="00433DC3" w:rsidRDefault="00185076" w:rsidP="00C7001D">
            <w:pPr>
              <w:pStyle w:val="TableBodyText"/>
              <w:spacing w:before="60"/>
              <w:jc w:val="left"/>
            </w:pPr>
            <w:r w:rsidRPr="00433DC3">
              <w:t>Philip</w:t>
            </w:r>
            <w:r w:rsidR="00C7001D">
              <w:t>p</w:t>
            </w:r>
            <w:r w:rsidRPr="00433DC3">
              <w:t>ine Regulatory Impact Analysis Delegation Study Tour</w:t>
            </w:r>
          </w:p>
        </w:tc>
        <w:tc>
          <w:tcPr>
            <w:tcW w:w="142" w:type="dxa"/>
            <w:shd w:val="clear" w:color="auto" w:fill="auto"/>
          </w:tcPr>
          <w:p w:rsidR="00185076" w:rsidRPr="00433DC3" w:rsidRDefault="00185076" w:rsidP="006F4979">
            <w:pPr>
              <w:pStyle w:val="TableBodyText"/>
              <w:spacing w:before="60"/>
              <w:jc w:val="left"/>
            </w:pPr>
          </w:p>
        </w:tc>
        <w:tc>
          <w:tcPr>
            <w:tcW w:w="6660" w:type="dxa"/>
            <w:shd w:val="clear" w:color="auto" w:fill="auto"/>
          </w:tcPr>
          <w:p w:rsidR="00185076" w:rsidRPr="00433DC3" w:rsidRDefault="00185076" w:rsidP="006F4979">
            <w:pPr>
              <w:pStyle w:val="TableBodyText"/>
              <w:spacing w:before="60"/>
              <w:jc w:val="left"/>
            </w:pPr>
            <w:r w:rsidRPr="00433DC3">
              <w:t>Discuss Regulatory Impact Analysis implementation in Australia</w:t>
            </w:r>
          </w:p>
        </w:tc>
        <w:tc>
          <w:tcPr>
            <w:tcW w:w="1420" w:type="dxa"/>
            <w:shd w:val="clear" w:color="auto" w:fill="auto"/>
          </w:tcPr>
          <w:p w:rsidR="00185076" w:rsidRPr="00433DC3" w:rsidRDefault="00185076" w:rsidP="00185076">
            <w:pPr>
              <w:pStyle w:val="TableBodyText"/>
              <w:spacing w:before="60"/>
            </w:pPr>
            <w:r w:rsidRPr="00433DC3">
              <w:t>May 2013 (C)</w:t>
            </w:r>
          </w:p>
        </w:tc>
      </w:tr>
      <w:tr w:rsidR="00185076" w:rsidRPr="00433DC3" w:rsidTr="0058455F">
        <w:tblPrEx>
          <w:tblLook w:val="04A0" w:firstRow="1" w:lastRow="0" w:firstColumn="1" w:lastColumn="0" w:noHBand="0" w:noVBand="1"/>
        </w:tblPrEx>
        <w:trPr>
          <w:gridAfter w:val="2"/>
          <w:wAfter w:w="294" w:type="dxa"/>
        </w:trPr>
        <w:tc>
          <w:tcPr>
            <w:tcW w:w="5106" w:type="dxa"/>
            <w:tcBorders>
              <w:bottom w:val="single" w:sz="4" w:space="0" w:color="auto"/>
            </w:tcBorders>
            <w:shd w:val="clear" w:color="auto" w:fill="auto"/>
          </w:tcPr>
          <w:p w:rsidR="00185076" w:rsidRPr="00433DC3" w:rsidRDefault="00185076" w:rsidP="006F4979">
            <w:pPr>
              <w:pStyle w:val="TableBodyText"/>
              <w:spacing w:before="60"/>
              <w:jc w:val="left"/>
            </w:pPr>
            <w:r w:rsidRPr="00433DC3">
              <w:t xml:space="preserve">Ashok </w:t>
            </w:r>
            <w:proofErr w:type="spellStart"/>
            <w:r w:rsidRPr="00433DC3">
              <w:t>Chawla</w:t>
            </w:r>
            <w:proofErr w:type="spellEnd"/>
            <w:r w:rsidRPr="00433DC3">
              <w:t>, Chair of Competition Commission of Indian and Sachin Pilot, Minister of State of the Ministry of Corporate Affairs, Indian</w:t>
            </w:r>
          </w:p>
        </w:tc>
        <w:tc>
          <w:tcPr>
            <w:tcW w:w="142" w:type="dxa"/>
            <w:tcBorders>
              <w:bottom w:val="single" w:sz="4" w:space="0" w:color="auto"/>
            </w:tcBorders>
            <w:shd w:val="clear" w:color="auto" w:fill="auto"/>
          </w:tcPr>
          <w:p w:rsidR="00185076" w:rsidRPr="00433DC3" w:rsidRDefault="00185076" w:rsidP="006F4979">
            <w:pPr>
              <w:pStyle w:val="TableBodyText"/>
              <w:spacing w:before="60"/>
              <w:jc w:val="left"/>
            </w:pPr>
          </w:p>
        </w:tc>
        <w:tc>
          <w:tcPr>
            <w:tcW w:w="6660" w:type="dxa"/>
            <w:tcBorders>
              <w:bottom w:val="single" w:sz="4" w:space="0" w:color="auto"/>
            </w:tcBorders>
            <w:shd w:val="clear" w:color="auto" w:fill="auto"/>
          </w:tcPr>
          <w:p w:rsidR="00185076" w:rsidRPr="00433DC3" w:rsidRDefault="00185076" w:rsidP="006F4979">
            <w:pPr>
              <w:pStyle w:val="TableBodyText"/>
              <w:spacing w:before="60"/>
              <w:jc w:val="left"/>
            </w:pPr>
            <w:r w:rsidRPr="00433DC3">
              <w:t>The Commission’s role and activities</w:t>
            </w:r>
          </w:p>
        </w:tc>
        <w:tc>
          <w:tcPr>
            <w:tcW w:w="1420" w:type="dxa"/>
            <w:tcBorders>
              <w:bottom w:val="single" w:sz="4" w:space="0" w:color="auto"/>
            </w:tcBorders>
            <w:shd w:val="clear" w:color="auto" w:fill="auto"/>
          </w:tcPr>
          <w:p w:rsidR="00185076" w:rsidRPr="00433DC3" w:rsidRDefault="00185076" w:rsidP="00185076">
            <w:pPr>
              <w:pStyle w:val="TableBodyText"/>
              <w:spacing w:before="60"/>
            </w:pPr>
            <w:r w:rsidRPr="00433DC3">
              <w:t>June 2013 (C)</w:t>
            </w:r>
          </w:p>
        </w:tc>
      </w:tr>
    </w:tbl>
    <w:p w:rsidR="00421480" w:rsidRPr="0043517C" w:rsidRDefault="00C74582" w:rsidP="00A10DA2">
      <w:pPr>
        <w:pStyle w:val="Note"/>
      </w:pPr>
      <w:r>
        <w:t xml:space="preserve"> </w:t>
      </w:r>
      <w:r w:rsidR="00F12AC0">
        <w:t>(C)   Canberra    (M)   Melbourne</w:t>
      </w:r>
    </w:p>
    <w:sectPr w:rsidR="00421480" w:rsidRPr="0043517C" w:rsidSect="00850BB7">
      <w:headerReference w:type="even" r:id="rId13"/>
      <w:headerReference w:type="default" r:id="rId14"/>
      <w:footerReference w:type="even" r:id="rId15"/>
      <w:footerReference w:type="default" r:id="rId16"/>
      <w:headerReference w:type="first" r:id="rId17"/>
      <w:footerReference w:type="first" r:id="rId18"/>
      <w:type w:val="evenPage"/>
      <w:pgSz w:w="16840" w:h="11907" w:orient="landscape" w:code="9"/>
      <w:pgMar w:top="1814" w:right="1985" w:bottom="1304" w:left="1418"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979" w:rsidRDefault="006F4979">
      <w:r>
        <w:separator/>
      </w:r>
    </w:p>
  </w:endnote>
  <w:endnote w:type="continuationSeparator" w:id="0">
    <w:p w:rsidR="006F4979" w:rsidRDefault="006F4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oudyOlSt BT">
    <w:altName w:val="Georgia"/>
    <w:charset w:val="00"/>
    <w:family w:val="roman"/>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F4979">
      <w:trPr>
        <w:trHeight w:hRule="exact" w:val="740"/>
      </w:trPr>
      <w:tc>
        <w:tcPr>
          <w:tcW w:w="510" w:type="dxa"/>
          <w:tcBorders>
            <w:top w:val="single" w:sz="6" w:space="0" w:color="auto"/>
          </w:tcBorders>
        </w:tcPr>
        <w:p w:rsidR="006F4979" w:rsidRDefault="006F4979">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C16278">
            <w:rPr>
              <w:rStyle w:val="PageNumber"/>
              <w:noProof/>
            </w:rPr>
            <w:t>148</w:t>
          </w:r>
          <w:r>
            <w:rPr>
              <w:rStyle w:val="PageNumber"/>
            </w:rPr>
            <w:fldChar w:fldCharType="end"/>
          </w:r>
        </w:p>
      </w:tc>
      <w:tc>
        <w:tcPr>
          <w:tcW w:w="1644" w:type="dxa"/>
          <w:tcBorders>
            <w:top w:val="single" w:sz="6" w:space="0" w:color="auto"/>
          </w:tcBorders>
        </w:tcPr>
        <w:p w:rsidR="006F4979" w:rsidRDefault="00F31E51">
          <w:pPr>
            <w:pStyle w:val="Footer"/>
          </w:pPr>
          <w:fldSimple w:instr=" SUBJECT  \* MERGEFORMAT ">
            <w:r w:rsidR="00D629A1">
              <w:t>Annual Report 2012-13</w:t>
            </w:r>
          </w:fldSimple>
        </w:p>
      </w:tc>
      <w:tc>
        <w:tcPr>
          <w:tcW w:w="6634" w:type="dxa"/>
        </w:tcPr>
        <w:p w:rsidR="006F4979" w:rsidRDefault="006F4979">
          <w:pPr>
            <w:pStyle w:val="Footer"/>
          </w:pPr>
        </w:p>
      </w:tc>
    </w:tr>
  </w:tbl>
  <w:p w:rsidR="006F4979" w:rsidRDefault="006F497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F4979">
      <w:trPr>
        <w:trHeight w:hRule="exact" w:val="740"/>
      </w:trPr>
      <w:tc>
        <w:tcPr>
          <w:tcW w:w="6634" w:type="dxa"/>
        </w:tcPr>
        <w:p w:rsidR="006F4979" w:rsidRDefault="006F4979">
          <w:pPr>
            <w:pStyle w:val="Footer"/>
            <w:ind w:right="360" w:firstLine="360"/>
          </w:pPr>
        </w:p>
      </w:tc>
      <w:tc>
        <w:tcPr>
          <w:tcW w:w="1644" w:type="dxa"/>
          <w:tcBorders>
            <w:top w:val="single" w:sz="6" w:space="0" w:color="auto"/>
          </w:tcBorders>
        </w:tcPr>
        <w:p w:rsidR="006F4979" w:rsidRDefault="00F31E51">
          <w:pPr>
            <w:pStyle w:val="Footer"/>
          </w:pPr>
          <w:fldSimple w:instr=" TITLE  \* MERGEFORMAT ">
            <w:r w:rsidR="00D629A1">
              <w:t>Supporting research and related activities</w:t>
            </w:r>
          </w:fldSimple>
        </w:p>
      </w:tc>
      <w:tc>
        <w:tcPr>
          <w:tcW w:w="510" w:type="dxa"/>
          <w:tcBorders>
            <w:top w:val="single" w:sz="6" w:space="0" w:color="auto"/>
          </w:tcBorders>
        </w:tcPr>
        <w:p w:rsidR="006F4979" w:rsidRDefault="006F4979">
          <w:pPr>
            <w:pStyle w:val="Footer"/>
            <w:jc w:val="right"/>
          </w:pPr>
          <w:r>
            <w:rPr>
              <w:rStyle w:val="PageNumber"/>
            </w:rPr>
            <w:fldChar w:fldCharType="begin"/>
          </w:r>
          <w:r>
            <w:rPr>
              <w:rStyle w:val="PageNumber"/>
            </w:rPr>
            <w:instrText xml:space="preserve"> PAGE </w:instrText>
          </w:r>
          <w:r>
            <w:rPr>
              <w:rStyle w:val="PageNumber"/>
            </w:rPr>
            <w:fldChar w:fldCharType="separate"/>
          </w:r>
          <w:r w:rsidR="00C16278">
            <w:rPr>
              <w:rStyle w:val="PageNumber"/>
              <w:noProof/>
            </w:rPr>
            <w:t>145</w:t>
          </w:r>
          <w:r>
            <w:rPr>
              <w:rStyle w:val="PageNumber"/>
            </w:rPr>
            <w:fldChar w:fldCharType="end"/>
          </w:r>
        </w:p>
      </w:tc>
    </w:tr>
  </w:tbl>
  <w:p w:rsidR="006F4979" w:rsidRDefault="006F4979">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79" w:rsidRDefault="006F4979">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79" w:rsidRDefault="006F497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79" w:rsidRDefault="006F49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979" w:rsidRDefault="006F4979">
      <w:r>
        <w:separator/>
      </w:r>
    </w:p>
  </w:footnote>
  <w:footnote w:type="continuationSeparator" w:id="0">
    <w:p w:rsidR="006F4979" w:rsidRDefault="006F4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F4979">
      <w:tc>
        <w:tcPr>
          <w:tcW w:w="2155" w:type="dxa"/>
          <w:tcBorders>
            <w:top w:val="single" w:sz="24" w:space="0" w:color="auto"/>
          </w:tcBorders>
        </w:tcPr>
        <w:p w:rsidR="006F4979" w:rsidRDefault="006F4979">
          <w:pPr>
            <w:pStyle w:val="HeaderEven"/>
          </w:pPr>
        </w:p>
      </w:tc>
      <w:tc>
        <w:tcPr>
          <w:tcW w:w="6634" w:type="dxa"/>
          <w:tcBorders>
            <w:top w:val="single" w:sz="6" w:space="0" w:color="auto"/>
          </w:tcBorders>
        </w:tcPr>
        <w:p w:rsidR="006F4979" w:rsidRDefault="006F4979">
          <w:pPr>
            <w:pStyle w:val="HeaderEven"/>
          </w:pPr>
        </w:p>
      </w:tc>
    </w:tr>
  </w:tbl>
  <w:p w:rsidR="006F4979" w:rsidRDefault="006F497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F4979">
      <w:tc>
        <w:tcPr>
          <w:tcW w:w="6634" w:type="dxa"/>
          <w:tcBorders>
            <w:top w:val="single" w:sz="6" w:space="0" w:color="auto"/>
          </w:tcBorders>
        </w:tcPr>
        <w:p w:rsidR="006F4979" w:rsidRDefault="006F4979">
          <w:pPr>
            <w:pStyle w:val="HeaderOdd"/>
          </w:pPr>
        </w:p>
      </w:tc>
      <w:tc>
        <w:tcPr>
          <w:tcW w:w="2155" w:type="dxa"/>
          <w:tcBorders>
            <w:top w:val="single" w:sz="24" w:space="0" w:color="auto"/>
          </w:tcBorders>
        </w:tcPr>
        <w:p w:rsidR="006F4979" w:rsidRDefault="006F4979">
          <w:pPr>
            <w:pStyle w:val="HeaderOdd"/>
          </w:pPr>
        </w:p>
      </w:tc>
    </w:tr>
  </w:tbl>
  <w:p w:rsidR="006F4979" w:rsidRDefault="006F4979">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79" w:rsidRDefault="006F4979">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79" w:rsidRDefault="006F497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979" w:rsidRDefault="006F49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2221B3E"/>
    <w:multiLevelType w:val="singleLevel"/>
    <w:tmpl w:val="80C453A6"/>
    <w:lvl w:ilvl="0">
      <w:start w:val="1"/>
      <w:numFmt w:val="bullet"/>
      <w:lvlText w:val=""/>
      <w:lvlJc w:val="left"/>
      <w:pPr>
        <w:tabs>
          <w:tab w:val="num" w:pos="360"/>
        </w:tabs>
        <w:ind w:left="284" w:hanging="284"/>
      </w:pPr>
      <w:rPr>
        <w:rFonts w:ascii="Symbol" w:hAnsi="Symbol" w:hint="default"/>
        <w:sz w:val="18"/>
      </w:r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10"/>
  </w:num>
  <w:num w:numId="3">
    <w:abstractNumId w:val="16"/>
  </w:num>
  <w:num w:numId="4">
    <w:abstractNumId w:val="26"/>
  </w:num>
  <w:num w:numId="5">
    <w:abstractNumId w:val="20"/>
  </w:num>
  <w:num w:numId="6">
    <w:abstractNumId w:val="43"/>
  </w:num>
  <w:num w:numId="7">
    <w:abstractNumId w:val="44"/>
  </w:num>
  <w:num w:numId="8">
    <w:abstractNumId w:val="17"/>
  </w:num>
  <w:num w:numId="9">
    <w:abstractNumId w:val="27"/>
  </w:num>
  <w:num w:numId="10">
    <w:abstractNumId w:val="9"/>
  </w:num>
  <w:num w:numId="11">
    <w:abstractNumId w:val="29"/>
  </w:num>
  <w:num w:numId="12">
    <w:abstractNumId w:val="7"/>
  </w:num>
  <w:num w:numId="13">
    <w:abstractNumId w:val="15"/>
  </w:num>
  <w:num w:numId="14">
    <w:abstractNumId w:val="14"/>
  </w:num>
  <w:num w:numId="15">
    <w:abstractNumId w:val="19"/>
  </w:num>
  <w:num w:numId="16">
    <w:abstractNumId w:val="22"/>
  </w:num>
  <w:num w:numId="17">
    <w:abstractNumId w:val="31"/>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5"/>
  </w:num>
  <w:num w:numId="26">
    <w:abstractNumId w:val="37"/>
  </w:num>
  <w:num w:numId="27">
    <w:abstractNumId w:val="24"/>
  </w:num>
  <w:num w:numId="28">
    <w:abstractNumId w:val="28"/>
  </w:num>
  <w:num w:numId="29">
    <w:abstractNumId w:val="30"/>
  </w:num>
  <w:num w:numId="30">
    <w:abstractNumId w:val="42"/>
  </w:num>
  <w:num w:numId="31">
    <w:abstractNumId w:val="34"/>
  </w:num>
  <w:num w:numId="32">
    <w:abstractNumId w:val="39"/>
  </w:num>
  <w:num w:numId="33">
    <w:abstractNumId w:val="40"/>
  </w:num>
  <w:num w:numId="34">
    <w:abstractNumId w:val="32"/>
  </w:num>
  <w:num w:numId="35">
    <w:abstractNumId w:val="21"/>
  </w:num>
  <w:num w:numId="36">
    <w:abstractNumId w:val="45"/>
  </w:num>
  <w:num w:numId="37">
    <w:abstractNumId w:val="8"/>
  </w:num>
  <w:num w:numId="38">
    <w:abstractNumId w:val="18"/>
  </w:num>
  <w:num w:numId="39">
    <w:abstractNumId w:val="41"/>
  </w:num>
  <w:num w:numId="40">
    <w:abstractNumId w:val="33"/>
  </w:num>
  <w:num w:numId="41">
    <w:abstractNumId w:val="13"/>
  </w:num>
  <w:num w:numId="42">
    <w:abstractNumId w:val="36"/>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 w:numId="46">
    <w:abstractNumId w:val="25"/>
  </w:num>
  <w:num w:numId="4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activeWritingStyle w:appName="MSWord" w:lang="en-AU"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E"/>
    <w:docVar w:name="DocType" w:val="0"/>
    <w:docVar w:name="FindingOptions" w:val="1"/>
    <w:docVar w:name="LongChapterTitle" w:val="Chapter"/>
    <w:docVar w:name="LongReportTitle" w:val="Report title"/>
    <w:docVar w:name="RecOptions" w:val="111"/>
    <w:docVar w:name="ShortChapterTitle" w:val="Supporting research and related activities"/>
    <w:docVar w:name="ShortReportTitle" w:val="Annual Report 2012-13"/>
    <w:docVar w:name="SideNote" w:val="1"/>
    <w:docVar w:name="UseShortChapter" w:val="0"/>
    <w:docVar w:name="UseShortReport" w:val="0"/>
  </w:docVars>
  <w:rsids>
    <w:rsidRoot w:val="00EF2271"/>
    <w:rsid w:val="00000768"/>
    <w:rsid w:val="000019DA"/>
    <w:rsid w:val="00004A34"/>
    <w:rsid w:val="00005CCD"/>
    <w:rsid w:val="000065E4"/>
    <w:rsid w:val="000168CF"/>
    <w:rsid w:val="00025212"/>
    <w:rsid w:val="0003066F"/>
    <w:rsid w:val="00034028"/>
    <w:rsid w:val="000345D3"/>
    <w:rsid w:val="000372D9"/>
    <w:rsid w:val="000510A6"/>
    <w:rsid w:val="00052315"/>
    <w:rsid w:val="00056100"/>
    <w:rsid w:val="00063C5E"/>
    <w:rsid w:val="000742F3"/>
    <w:rsid w:val="00076511"/>
    <w:rsid w:val="00080E73"/>
    <w:rsid w:val="00081263"/>
    <w:rsid w:val="000960CB"/>
    <w:rsid w:val="000A2684"/>
    <w:rsid w:val="000A6BD9"/>
    <w:rsid w:val="000B7764"/>
    <w:rsid w:val="000C76B4"/>
    <w:rsid w:val="000D2909"/>
    <w:rsid w:val="000D46B7"/>
    <w:rsid w:val="000E2D49"/>
    <w:rsid w:val="000F0CB5"/>
    <w:rsid w:val="000F4CF8"/>
    <w:rsid w:val="00100811"/>
    <w:rsid w:val="001017DB"/>
    <w:rsid w:val="00107453"/>
    <w:rsid w:val="001100B9"/>
    <w:rsid w:val="001170CF"/>
    <w:rsid w:val="001332A8"/>
    <w:rsid w:val="001353C7"/>
    <w:rsid w:val="00144688"/>
    <w:rsid w:val="00144BF7"/>
    <w:rsid w:val="00160594"/>
    <w:rsid w:val="00163035"/>
    <w:rsid w:val="00165381"/>
    <w:rsid w:val="00165A15"/>
    <w:rsid w:val="00170E77"/>
    <w:rsid w:val="00170ECD"/>
    <w:rsid w:val="0017186D"/>
    <w:rsid w:val="00181A1C"/>
    <w:rsid w:val="001835ED"/>
    <w:rsid w:val="0018376E"/>
    <w:rsid w:val="001838A3"/>
    <w:rsid w:val="00184D8E"/>
    <w:rsid w:val="00185076"/>
    <w:rsid w:val="001854D6"/>
    <w:rsid w:val="00192322"/>
    <w:rsid w:val="0019240D"/>
    <w:rsid w:val="00193F16"/>
    <w:rsid w:val="00195FFA"/>
    <w:rsid w:val="00196EE2"/>
    <w:rsid w:val="001A455F"/>
    <w:rsid w:val="001A5C54"/>
    <w:rsid w:val="001A5E9F"/>
    <w:rsid w:val="001B7778"/>
    <w:rsid w:val="001C07EE"/>
    <w:rsid w:val="001D0529"/>
    <w:rsid w:val="001D2594"/>
    <w:rsid w:val="001D3DD9"/>
    <w:rsid w:val="001D4889"/>
    <w:rsid w:val="001D767C"/>
    <w:rsid w:val="001E3D2C"/>
    <w:rsid w:val="001F3CC5"/>
    <w:rsid w:val="00202AA1"/>
    <w:rsid w:val="002031DC"/>
    <w:rsid w:val="00204544"/>
    <w:rsid w:val="00204CEE"/>
    <w:rsid w:val="0020609B"/>
    <w:rsid w:val="00206B81"/>
    <w:rsid w:val="00207B53"/>
    <w:rsid w:val="00207C7D"/>
    <w:rsid w:val="002104E1"/>
    <w:rsid w:val="0021619E"/>
    <w:rsid w:val="002176F2"/>
    <w:rsid w:val="00222DAE"/>
    <w:rsid w:val="002238E1"/>
    <w:rsid w:val="00227576"/>
    <w:rsid w:val="00235EA1"/>
    <w:rsid w:val="00243287"/>
    <w:rsid w:val="00250662"/>
    <w:rsid w:val="00250C9E"/>
    <w:rsid w:val="00251E8B"/>
    <w:rsid w:val="00252AD8"/>
    <w:rsid w:val="00254365"/>
    <w:rsid w:val="00255914"/>
    <w:rsid w:val="0026119D"/>
    <w:rsid w:val="00263F5E"/>
    <w:rsid w:val="0027035D"/>
    <w:rsid w:val="0028327A"/>
    <w:rsid w:val="00286CD8"/>
    <w:rsid w:val="00287BA5"/>
    <w:rsid w:val="0029586A"/>
    <w:rsid w:val="00297891"/>
    <w:rsid w:val="002A759E"/>
    <w:rsid w:val="002B60DB"/>
    <w:rsid w:val="002B6F0B"/>
    <w:rsid w:val="002C4249"/>
    <w:rsid w:val="002D7BC1"/>
    <w:rsid w:val="002F3099"/>
    <w:rsid w:val="00302CDA"/>
    <w:rsid w:val="00302FD5"/>
    <w:rsid w:val="00304BF8"/>
    <w:rsid w:val="003070AA"/>
    <w:rsid w:val="0031252F"/>
    <w:rsid w:val="00323833"/>
    <w:rsid w:val="00327310"/>
    <w:rsid w:val="003336B7"/>
    <w:rsid w:val="00337C94"/>
    <w:rsid w:val="00342560"/>
    <w:rsid w:val="00344245"/>
    <w:rsid w:val="00350F3A"/>
    <w:rsid w:val="00351334"/>
    <w:rsid w:val="003535A7"/>
    <w:rsid w:val="003628AB"/>
    <w:rsid w:val="003742CE"/>
    <w:rsid w:val="00375A6F"/>
    <w:rsid w:val="003772E9"/>
    <w:rsid w:val="00380897"/>
    <w:rsid w:val="00382935"/>
    <w:rsid w:val="00384C78"/>
    <w:rsid w:val="003900DB"/>
    <w:rsid w:val="00392798"/>
    <w:rsid w:val="003A5D48"/>
    <w:rsid w:val="003B09D4"/>
    <w:rsid w:val="003B165A"/>
    <w:rsid w:val="003B32BA"/>
    <w:rsid w:val="003B3419"/>
    <w:rsid w:val="003D5608"/>
    <w:rsid w:val="003D56E0"/>
    <w:rsid w:val="003D7082"/>
    <w:rsid w:val="003E5A36"/>
    <w:rsid w:val="00401B03"/>
    <w:rsid w:val="004042FD"/>
    <w:rsid w:val="00405AB9"/>
    <w:rsid w:val="00410266"/>
    <w:rsid w:val="0041598E"/>
    <w:rsid w:val="00417245"/>
    <w:rsid w:val="00421480"/>
    <w:rsid w:val="00427B01"/>
    <w:rsid w:val="00430C1F"/>
    <w:rsid w:val="00431483"/>
    <w:rsid w:val="00432EFB"/>
    <w:rsid w:val="0043517C"/>
    <w:rsid w:val="00442032"/>
    <w:rsid w:val="00463565"/>
    <w:rsid w:val="00471E07"/>
    <w:rsid w:val="004721C8"/>
    <w:rsid w:val="00474617"/>
    <w:rsid w:val="004754E5"/>
    <w:rsid w:val="004803A3"/>
    <w:rsid w:val="004843B6"/>
    <w:rsid w:val="00491FA0"/>
    <w:rsid w:val="0049590F"/>
    <w:rsid w:val="00496D01"/>
    <w:rsid w:val="0049737F"/>
    <w:rsid w:val="004A55E7"/>
    <w:rsid w:val="004B52D0"/>
    <w:rsid w:val="004B5E60"/>
    <w:rsid w:val="004B73DF"/>
    <w:rsid w:val="004C212E"/>
    <w:rsid w:val="004C239F"/>
    <w:rsid w:val="004C6ADD"/>
    <w:rsid w:val="004C6DD1"/>
    <w:rsid w:val="004D2DCB"/>
    <w:rsid w:val="004D6726"/>
    <w:rsid w:val="004D6784"/>
    <w:rsid w:val="004D68C8"/>
    <w:rsid w:val="004D798C"/>
    <w:rsid w:val="004E142C"/>
    <w:rsid w:val="004F14C4"/>
    <w:rsid w:val="004F237E"/>
    <w:rsid w:val="004F6369"/>
    <w:rsid w:val="004F7A58"/>
    <w:rsid w:val="005013B5"/>
    <w:rsid w:val="005013C6"/>
    <w:rsid w:val="00507F95"/>
    <w:rsid w:val="00507FB4"/>
    <w:rsid w:val="00515EC3"/>
    <w:rsid w:val="005174B1"/>
    <w:rsid w:val="0052295B"/>
    <w:rsid w:val="00525983"/>
    <w:rsid w:val="005278C9"/>
    <w:rsid w:val="00530752"/>
    <w:rsid w:val="00536DE5"/>
    <w:rsid w:val="005413D5"/>
    <w:rsid w:val="0054236F"/>
    <w:rsid w:val="005432B7"/>
    <w:rsid w:val="0055035A"/>
    <w:rsid w:val="00554439"/>
    <w:rsid w:val="005618C7"/>
    <w:rsid w:val="005648CF"/>
    <w:rsid w:val="00570BE8"/>
    <w:rsid w:val="00570C28"/>
    <w:rsid w:val="00570E92"/>
    <w:rsid w:val="00571CE0"/>
    <w:rsid w:val="00577FEF"/>
    <w:rsid w:val="0058455F"/>
    <w:rsid w:val="00584AD0"/>
    <w:rsid w:val="005916E1"/>
    <w:rsid w:val="00592159"/>
    <w:rsid w:val="00594F2D"/>
    <w:rsid w:val="005A0C65"/>
    <w:rsid w:val="005A0D3A"/>
    <w:rsid w:val="005A49E1"/>
    <w:rsid w:val="005B0091"/>
    <w:rsid w:val="005B24E1"/>
    <w:rsid w:val="005D7E27"/>
    <w:rsid w:val="005E0AF2"/>
    <w:rsid w:val="005E4D1F"/>
    <w:rsid w:val="005F0B2A"/>
    <w:rsid w:val="005F50E5"/>
    <w:rsid w:val="00603652"/>
    <w:rsid w:val="00612F6D"/>
    <w:rsid w:val="00615624"/>
    <w:rsid w:val="00616B1B"/>
    <w:rsid w:val="0062143D"/>
    <w:rsid w:val="00621663"/>
    <w:rsid w:val="0062677F"/>
    <w:rsid w:val="00633411"/>
    <w:rsid w:val="0063784B"/>
    <w:rsid w:val="00643D06"/>
    <w:rsid w:val="00646F7C"/>
    <w:rsid w:val="00647157"/>
    <w:rsid w:val="00650A05"/>
    <w:rsid w:val="0065148F"/>
    <w:rsid w:val="00651589"/>
    <w:rsid w:val="006608D1"/>
    <w:rsid w:val="00661509"/>
    <w:rsid w:val="0066156F"/>
    <w:rsid w:val="006616E0"/>
    <w:rsid w:val="00661BA0"/>
    <w:rsid w:val="00670EB0"/>
    <w:rsid w:val="00671F1C"/>
    <w:rsid w:val="00672838"/>
    <w:rsid w:val="006737F9"/>
    <w:rsid w:val="0067603D"/>
    <w:rsid w:val="006807B3"/>
    <w:rsid w:val="00684ABA"/>
    <w:rsid w:val="00684CDA"/>
    <w:rsid w:val="006850A0"/>
    <w:rsid w:val="00685C2D"/>
    <w:rsid w:val="00686957"/>
    <w:rsid w:val="006920E6"/>
    <w:rsid w:val="00692C8D"/>
    <w:rsid w:val="006A4876"/>
    <w:rsid w:val="006A63AA"/>
    <w:rsid w:val="006A69EC"/>
    <w:rsid w:val="006A75BE"/>
    <w:rsid w:val="006C2C28"/>
    <w:rsid w:val="006C512D"/>
    <w:rsid w:val="006D088C"/>
    <w:rsid w:val="006D2F0A"/>
    <w:rsid w:val="006D3849"/>
    <w:rsid w:val="006D3BD8"/>
    <w:rsid w:val="006D40A3"/>
    <w:rsid w:val="006D7423"/>
    <w:rsid w:val="006E168D"/>
    <w:rsid w:val="006E2C6A"/>
    <w:rsid w:val="006F4979"/>
    <w:rsid w:val="00704569"/>
    <w:rsid w:val="0073060E"/>
    <w:rsid w:val="00734A2B"/>
    <w:rsid w:val="00735A0E"/>
    <w:rsid w:val="00735F78"/>
    <w:rsid w:val="0075051C"/>
    <w:rsid w:val="0075147C"/>
    <w:rsid w:val="00752574"/>
    <w:rsid w:val="0075397E"/>
    <w:rsid w:val="007548BA"/>
    <w:rsid w:val="00755744"/>
    <w:rsid w:val="007558CD"/>
    <w:rsid w:val="00762D5B"/>
    <w:rsid w:val="00766F0F"/>
    <w:rsid w:val="00770840"/>
    <w:rsid w:val="00782381"/>
    <w:rsid w:val="007850FD"/>
    <w:rsid w:val="0079125A"/>
    <w:rsid w:val="007A1317"/>
    <w:rsid w:val="007A533C"/>
    <w:rsid w:val="007A7B54"/>
    <w:rsid w:val="007B6EF4"/>
    <w:rsid w:val="007C669F"/>
    <w:rsid w:val="007C70D7"/>
    <w:rsid w:val="007E1CFB"/>
    <w:rsid w:val="007E212D"/>
    <w:rsid w:val="007E25AB"/>
    <w:rsid w:val="007E4F0A"/>
    <w:rsid w:val="008052EE"/>
    <w:rsid w:val="00807379"/>
    <w:rsid w:val="00807BDF"/>
    <w:rsid w:val="00813AF2"/>
    <w:rsid w:val="00814771"/>
    <w:rsid w:val="00815211"/>
    <w:rsid w:val="00821CA4"/>
    <w:rsid w:val="00825645"/>
    <w:rsid w:val="00832EC9"/>
    <w:rsid w:val="00850BB7"/>
    <w:rsid w:val="008518DF"/>
    <w:rsid w:val="0085640E"/>
    <w:rsid w:val="00857FC4"/>
    <w:rsid w:val="00864770"/>
    <w:rsid w:val="0086684A"/>
    <w:rsid w:val="0087133D"/>
    <w:rsid w:val="00872A5E"/>
    <w:rsid w:val="00882DF8"/>
    <w:rsid w:val="00884467"/>
    <w:rsid w:val="00887A97"/>
    <w:rsid w:val="00893535"/>
    <w:rsid w:val="0089563C"/>
    <w:rsid w:val="00895895"/>
    <w:rsid w:val="008A774B"/>
    <w:rsid w:val="008B5398"/>
    <w:rsid w:val="008C46E0"/>
    <w:rsid w:val="008C70F0"/>
    <w:rsid w:val="008C7EFE"/>
    <w:rsid w:val="008D0F1A"/>
    <w:rsid w:val="008D12BF"/>
    <w:rsid w:val="008D3F68"/>
    <w:rsid w:val="008E360E"/>
    <w:rsid w:val="008F1148"/>
    <w:rsid w:val="008F5516"/>
    <w:rsid w:val="0090487E"/>
    <w:rsid w:val="009201CE"/>
    <w:rsid w:val="009217B8"/>
    <w:rsid w:val="00926A1D"/>
    <w:rsid w:val="00934166"/>
    <w:rsid w:val="00935997"/>
    <w:rsid w:val="00944AD7"/>
    <w:rsid w:val="0094559B"/>
    <w:rsid w:val="00950F15"/>
    <w:rsid w:val="00955C1F"/>
    <w:rsid w:val="00960587"/>
    <w:rsid w:val="00961064"/>
    <w:rsid w:val="00961B44"/>
    <w:rsid w:val="0096405F"/>
    <w:rsid w:val="00972179"/>
    <w:rsid w:val="009750B2"/>
    <w:rsid w:val="00983DE7"/>
    <w:rsid w:val="00990EB7"/>
    <w:rsid w:val="0099299A"/>
    <w:rsid w:val="00997AF3"/>
    <w:rsid w:val="009A342D"/>
    <w:rsid w:val="009A344B"/>
    <w:rsid w:val="009A3584"/>
    <w:rsid w:val="009B0533"/>
    <w:rsid w:val="009B072A"/>
    <w:rsid w:val="009B2878"/>
    <w:rsid w:val="009B7CB7"/>
    <w:rsid w:val="009C4444"/>
    <w:rsid w:val="009C4595"/>
    <w:rsid w:val="009C7729"/>
    <w:rsid w:val="009D2238"/>
    <w:rsid w:val="009D5AAC"/>
    <w:rsid w:val="009D7078"/>
    <w:rsid w:val="009D7D73"/>
    <w:rsid w:val="009E1ED1"/>
    <w:rsid w:val="009E2B55"/>
    <w:rsid w:val="009F7B9B"/>
    <w:rsid w:val="00A02B1D"/>
    <w:rsid w:val="00A10DA2"/>
    <w:rsid w:val="00A125F7"/>
    <w:rsid w:val="00A1450D"/>
    <w:rsid w:val="00A204AB"/>
    <w:rsid w:val="00A26188"/>
    <w:rsid w:val="00A272D8"/>
    <w:rsid w:val="00A33B72"/>
    <w:rsid w:val="00A41FE4"/>
    <w:rsid w:val="00A44535"/>
    <w:rsid w:val="00A46873"/>
    <w:rsid w:val="00A4771D"/>
    <w:rsid w:val="00A5303A"/>
    <w:rsid w:val="00A57DAC"/>
    <w:rsid w:val="00A65E52"/>
    <w:rsid w:val="00A717B9"/>
    <w:rsid w:val="00A77525"/>
    <w:rsid w:val="00A8066F"/>
    <w:rsid w:val="00A9102B"/>
    <w:rsid w:val="00A935DE"/>
    <w:rsid w:val="00A9712A"/>
    <w:rsid w:val="00AA512B"/>
    <w:rsid w:val="00AB492C"/>
    <w:rsid w:val="00AB5CDE"/>
    <w:rsid w:val="00AB65DD"/>
    <w:rsid w:val="00AC31D8"/>
    <w:rsid w:val="00AC65E6"/>
    <w:rsid w:val="00AD259B"/>
    <w:rsid w:val="00AD5182"/>
    <w:rsid w:val="00AE0BCE"/>
    <w:rsid w:val="00AE4A0B"/>
    <w:rsid w:val="00AE7381"/>
    <w:rsid w:val="00AE770E"/>
    <w:rsid w:val="00AF0B15"/>
    <w:rsid w:val="00AF0B91"/>
    <w:rsid w:val="00AF0FB2"/>
    <w:rsid w:val="00AF61C5"/>
    <w:rsid w:val="00B104C2"/>
    <w:rsid w:val="00B162A6"/>
    <w:rsid w:val="00B3105A"/>
    <w:rsid w:val="00B338AD"/>
    <w:rsid w:val="00B34333"/>
    <w:rsid w:val="00B34907"/>
    <w:rsid w:val="00B34E16"/>
    <w:rsid w:val="00B3509B"/>
    <w:rsid w:val="00B364C7"/>
    <w:rsid w:val="00B3715D"/>
    <w:rsid w:val="00B45C9C"/>
    <w:rsid w:val="00B4666D"/>
    <w:rsid w:val="00B46FFE"/>
    <w:rsid w:val="00B5521E"/>
    <w:rsid w:val="00B61021"/>
    <w:rsid w:val="00B6585F"/>
    <w:rsid w:val="00B65CBD"/>
    <w:rsid w:val="00B70300"/>
    <w:rsid w:val="00B72D76"/>
    <w:rsid w:val="00B75C06"/>
    <w:rsid w:val="00B90759"/>
    <w:rsid w:val="00BB3CF6"/>
    <w:rsid w:val="00BB73F9"/>
    <w:rsid w:val="00BC2B3D"/>
    <w:rsid w:val="00BC5558"/>
    <w:rsid w:val="00BC595B"/>
    <w:rsid w:val="00BC74B9"/>
    <w:rsid w:val="00BD0DF3"/>
    <w:rsid w:val="00BD24E8"/>
    <w:rsid w:val="00BD43F2"/>
    <w:rsid w:val="00BE4A9A"/>
    <w:rsid w:val="00BF399F"/>
    <w:rsid w:val="00BF68FB"/>
    <w:rsid w:val="00C045F3"/>
    <w:rsid w:val="00C05C0E"/>
    <w:rsid w:val="00C078C9"/>
    <w:rsid w:val="00C13722"/>
    <w:rsid w:val="00C161D2"/>
    <w:rsid w:val="00C16278"/>
    <w:rsid w:val="00C30C5A"/>
    <w:rsid w:val="00C34BAA"/>
    <w:rsid w:val="00C458A2"/>
    <w:rsid w:val="00C53A0E"/>
    <w:rsid w:val="00C55611"/>
    <w:rsid w:val="00C607C4"/>
    <w:rsid w:val="00C7001D"/>
    <w:rsid w:val="00C713EE"/>
    <w:rsid w:val="00C73363"/>
    <w:rsid w:val="00C74582"/>
    <w:rsid w:val="00C75E8C"/>
    <w:rsid w:val="00C80782"/>
    <w:rsid w:val="00C95EAA"/>
    <w:rsid w:val="00CA29C6"/>
    <w:rsid w:val="00CA6BC6"/>
    <w:rsid w:val="00CB0438"/>
    <w:rsid w:val="00CB0D1E"/>
    <w:rsid w:val="00CB53B7"/>
    <w:rsid w:val="00CB56BC"/>
    <w:rsid w:val="00CB6AAB"/>
    <w:rsid w:val="00CB6BBB"/>
    <w:rsid w:val="00CB711A"/>
    <w:rsid w:val="00CB7549"/>
    <w:rsid w:val="00CC0C2A"/>
    <w:rsid w:val="00CC4254"/>
    <w:rsid w:val="00CC654E"/>
    <w:rsid w:val="00CD3971"/>
    <w:rsid w:val="00CE6CA2"/>
    <w:rsid w:val="00D02361"/>
    <w:rsid w:val="00D064D8"/>
    <w:rsid w:val="00D17F88"/>
    <w:rsid w:val="00D22F4B"/>
    <w:rsid w:val="00D23929"/>
    <w:rsid w:val="00D24DBD"/>
    <w:rsid w:val="00D324C0"/>
    <w:rsid w:val="00D360C8"/>
    <w:rsid w:val="00D425B2"/>
    <w:rsid w:val="00D46EC1"/>
    <w:rsid w:val="00D54617"/>
    <w:rsid w:val="00D55FF0"/>
    <w:rsid w:val="00D614AF"/>
    <w:rsid w:val="00D629A1"/>
    <w:rsid w:val="00D645EB"/>
    <w:rsid w:val="00D6604F"/>
    <w:rsid w:val="00D671CD"/>
    <w:rsid w:val="00D71312"/>
    <w:rsid w:val="00D83729"/>
    <w:rsid w:val="00D8401B"/>
    <w:rsid w:val="00D96EE7"/>
    <w:rsid w:val="00D978F8"/>
    <w:rsid w:val="00DA2EA5"/>
    <w:rsid w:val="00DA4125"/>
    <w:rsid w:val="00DA68A5"/>
    <w:rsid w:val="00DB2EB8"/>
    <w:rsid w:val="00DB58CC"/>
    <w:rsid w:val="00DC0F7E"/>
    <w:rsid w:val="00DC27A2"/>
    <w:rsid w:val="00DC51A8"/>
    <w:rsid w:val="00DE0678"/>
    <w:rsid w:val="00DF1186"/>
    <w:rsid w:val="00DF1DB5"/>
    <w:rsid w:val="00DF3935"/>
    <w:rsid w:val="00E161EF"/>
    <w:rsid w:val="00E221B2"/>
    <w:rsid w:val="00E2364D"/>
    <w:rsid w:val="00E3222C"/>
    <w:rsid w:val="00E33BBA"/>
    <w:rsid w:val="00E352CA"/>
    <w:rsid w:val="00E3570A"/>
    <w:rsid w:val="00E36335"/>
    <w:rsid w:val="00E43CB8"/>
    <w:rsid w:val="00E446C8"/>
    <w:rsid w:val="00E515EA"/>
    <w:rsid w:val="00E52F0A"/>
    <w:rsid w:val="00E557C5"/>
    <w:rsid w:val="00E57898"/>
    <w:rsid w:val="00E67E6E"/>
    <w:rsid w:val="00E71198"/>
    <w:rsid w:val="00E72746"/>
    <w:rsid w:val="00E756BE"/>
    <w:rsid w:val="00E763AB"/>
    <w:rsid w:val="00E85F55"/>
    <w:rsid w:val="00E8785D"/>
    <w:rsid w:val="00E9479B"/>
    <w:rsid w:val="00E950A4"/>
    <w:rsid w:val="00E9675A"/>
    <w:rsid w:val="00EB48CA"/>
    <w:rsid w:val="00EB77D1"/>
    <w:rsid w:val="00EC35D4"/>
    <w:rsid w:val="00EC4D5E"/>
    <w:rsid w:val="00EC6674"/>
    <w:rsid w:val="00ED1208"/>
    <w:rsid w:val="00ED25EA"/>
    <w:rsid w:val="00ED3226"/>
    <w:rsid w:val="00EF2271"/>
    <w:rsid w:val="00F12AC0"/>
    <w:rsid w:val="00F14978"/>
    <w:rsid w:val="00F20581"/>
    <w:rsid w:val="00F25D09"/>
    <w:rsid w:val="00F3046F"/>
    <w:rsid w:val="00F3115A"/>
    <w:rsid w:val="00F31E51"/>
    <w:rsid w:val="00F32A4A"/>
    <w:rsid w:val="00F36632"/>
    <w:rsid w:val="00F36D42"/>
    <w:rsid w:val="00F37A5D"/>
    <w:rsid w:val="00F40928"/>
    <w:rsid w:val="00F67C7C"/>
    <w:rsid w:val="00F71830"/>
    <w:rsid w:val="00F73E48"/>
    <w:rsid w:val="00F75302"/>
    <w:rsid w:val="00F75D59"/>
    <w:rsid w:val="00F76101"/>
    <w:rsid w:val="00F761B9"/>
    <w:rsid w:val="00F85DE0"/>
    <w:rsid w:val="00F9262C"/>
    <w:rsid w:val="00F9302D"/>
    <w:rsid w:val="00F951C4"/>
    <w:rsid w:val="00F97639"/>
    <w:rsid w:val="00F97B14"/>
    <w:rsid w:val="00FA1638"/>
    <w:rsid w:val="00FA4A18"/>
    <w:rsid w:val="00FA4E64"/>
    <w:rsid w:val="00FB2072"/>
    <w:rsid w:val="00FB47E9"/>
    <w:rsid w:val="00FC4E9F"/>
    <w:rsid w:val="00FC65BC"/>
    <w:rsid w:val="00FD2F57"/>
    <w:rsid w:val="00FD37D4"/>
    <w:rsid w:val="00FD721C"/>
    <w:rsid w:val="00FD72CD"/>
    <w:rsid w:val="00FD783E"/>
    <w:rsid w:val="00FF3C35"/>
    <w:rsid w:val="00FF53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16278"/>
    <w:rPr>
      <w:sz w:val="26"/>
      <w:szCs w:val="24"/>
    </w:rPr>
  </w:style>
  <w:style w:type="paragraph" w:styleId="Heading1">
    <w:name w:val="heading 1"/>
    <w:basedOn w:val="BodyText"/>
    <w:next w:val="BodyText"/>
    <w:rsid w:val="00C1627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1627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16278"/>
    <w:pPr>
      <w:spacing w:before="560" w:line="320" w:lineRule="exact"/>
      <w:ind w:left="0" w:firstLine="0"/>
      <w:outlineLvl w:val="2"/>
    </w:pPr>
    <w:rPr>
      <w:sz w:val="26"/>
    </w:rPr>
  </w:style>
  <w:style w:type="paragraph" w:styleId="Heading4">
    <w:name w:val="heading 4"/>
    <w:basedOn w:val="Heading3"/>
    <w:next w:val="BodyText"/>
    <w:qFormat/>
    <w:rsid w:val="00C16278"/>
    <w:pPr>
      <w:spacing w:before="480"/>
      <w:outlineLvl w:val="3"/>
    </w:pPr>
    <w:rPr>
      <w:b w:val="0"/>
      <w:i/>
      <w:sz w:val="24"/>
    </w:rPr>
  </w:style>
  <w:style w:type="paragraph" w:styleId="Heading5">
    <w:name w:val="heading 5"/>
    <w:basedOn w:val="Heading4"/>
    <w:next w:val="BodyText"/>
    <w:qFormat/>
    <w:rsid w:val="00C16278"/>
    <w:pPr>
      <w:outlineLvl w:val="4"/>
    </w:pPr>
    <w:rPr>
      <w:rFonts w:ascii="Times New Roman" w:hAnsi="Times New Roman"/>
      <w:sz w:val="26"/>
    </w:rPr>
  </w:style>
  <w:style w:type="paragraph" w:styleId="Heading6">
    <w:name w:val="heading 6"/>
    <w:basedOn w:val="BodyText"/>
    <w:next w:val="BodyText"/>
    <w:rsid w:val="00C16278"/>
    <w:pPr>
      <w:spacing w:after="60"/>
      <w:jc w:val="left"/>
      <w:outlineLvl w:val="5"/>
    </w:pPr>
    <w:rPr>
      <w:i/>
      <w:sz w:val="22"/>
    </w:rPr>
  </w:style>
  <w:style w:type="paragraph" w:styleId="Heading7">
    <w:name w:val="heading 7"/>
    <w:basedOn w:val="BodyText"/>
    <w:next w:val="BodyText"/>
    <w:rsid w:val="00C16278"/>
    <w:pPr>
      <w:spacing w:after="60" w:line="240" w:lineRule="auto"/>
      <w:jc w:val="left"/>
      <w:outlineLvl w:val="6"/>
    </w:pPr>
    <w:rPr>
      <w:rFonts w:ascii="Arial" w:hAnsi="Arial"/>
      <w:sz w:val="20"/>
    </w:rPr>
  </w:style>
  <w:style w:type="paragraph" w:styleId="Heading8">
    <w:name w:val="heading 8"/>
    <w:basedOn w:val="BodyText"/>
    <w:next w:val="BodyText"/>
    <w:rsid w:val="00C16278"/>
    <w:pPr>
      <w:spacing w:after="60" w:line="240" w:lineRule="auto"/>
      <w:jc w:val="left"/>
      <w:outlineLvl w:val="7"/>
    </w:pPr>
    <w:rPr>
      <w:rFonts w:ascii="Arial" w:hAnsi="Arial"/>
      <w:i/>
      <w:sz w:val="20"/>
    </w:rPr>
  </w:style>
  <w:style w:type="paragraph" w:styleId="Heading9">
    <w:name w:val="heading 9"/>
    <w:basedOn w:val="BodyText"/>
    <w:next w:val="BodyText"/>
    <w:rsid w:val="00C1627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162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6278"/>
  </w:style>
  <w:style w:type="paragraph" w:styleId="BodyText">
    <w:name w:val="Body Text"/>
    <w:link w:val="BodyTextChar"/>
    <w:qFormat/>
    <w:rsid w:val="00C16278"/>
    <w:pPr>
      <w:spacing w:before="240" w:line="320" w:lineRule="atLeast"/>
      <w:jc w:val="both"/>
    </w:pPr>
    <w:rPr>
      <w:sz w:val="26"/>
    </w:rPr>
  </w:style>
  <w:style w:type="paragraph" w:customStyle="1" w:styleId="Chapter">
    <w:name w:val="Chapter"/>
    <w:basedOn w:val="Heading1"/>
    <w:next w:val="BodyText"/>
    <w:rsid w:val="00C16278"/>
    <w:pPr>
      <w:ind w:left="0" w:firstLine="0"/>
      <w:outlineLvl w:val="9"/>
    </w:pPr>
  </w:style>
  <w:style w:type="paragraph" w:customStyle="1" w:styleId="SequenceInfo">
    <w:name w:val="Sequence Info"/>
    <w:basedOn w:val="BodyText"/>
    <w:rsid w:val="00C16278"/>
    <w:rPr>
      <w:vanish/>
      <w:sz w:val="16"/>
    </w:rPr>
  </w:style>
  <w:style w:type="character" w:styleId="CommentReference">
    <w:name w:val="annotation reference"/>
    <w:basedOn w:val="DefaultParagraphFont"/>
    <w:semiHidden/>
    <w:rsid w:val="00C16278"/>
    <w:rPr>
      <w:b/>
      <w:vanish/>
      <w:color w:val="FF00FF"/>
      <w:sz w:val="20"/>
    </w:rPr>
  </w:style>
  <w:style w:type="paragraph" w:styleId="CommentText">
    <w:name w:val="annotation text"/>
    <w:basedOn w:val="Normal"/>
    <w:semiHidden/>
    <w:rsid w:val="00C16278"/>
    <w:pPr>
      <w:spacing w:before="120" w:line="240" w:lineRule="atLeast"/>
      <w:ind w:left="567" w:hanging="567"/>
    </w:pPr>
    <w:rPr>
      <w:sz w:val="20"/>
    </w:rPr>
  </w:style>
  <w:style w:type="paragraph" w:customStyle="1" w:styleId="Abbreviation">
    <w:name w:val="Abbreviation"/>
    <w:basedOn w:val="BodyText"/>
    <w:rsid w:val="00C16278"/>
    <w:pPr>
      <w:spacing w:before="120"/>
      <w:ind w:left="2381" w:hanging="2381"/>
      <w:jc w:val="left"/>
    </w:pPr>
  </w:style>
  <w:style w:type="paragraph" w:customStyle="1" w:styleId="Box">
    <w:name w:val="Box"/>
    <w:basedOn w:val="BodyText"/>
    <w:qFormat/>
    <w:rsid w:val="00C16278"/>
    <w:pPr>
      <w:keepNext/>
      <w:spacing w:before="120" w:line="280" w:lineRule="atLeast"/>
    </w:pPr>
    <w:rPr>
      <w:rFonts w:ascii="Arial" w:hAnsi="Arial"/>
      <w:sz w:val="22"/>
    </w:rPr>
  </w:style>
  <w:style w:type="paragraph" w:customStyle="1" w:styleId="QuoteBullet">
    <w:name w:val="Quote Bullet"/>
    <w:basedOn w:val="Quote"/>
    <w:rsid w:val="00C16278"/>
    <w:pPr>
      <w:numPr>
        <w:numId w:val="11"/>
      </w:numPr>
    </w:pPr>
  </w:style>
  <w:style w:type="paragraph" w:customStyle="1" w:styleId="BoxListBullet">
    <w:name w:val="Box List Bullet"/>
    <w:basedOn w:val="BodyText"/>
    <w:link w:val="BoxListBulletChar"/>
    <w:rsid w:val="00C16278"/>
    <w:pPr>
      <w:keepNext/>
      <w:numPr>
        <w:numId w:val="5"/>
      </w:numPr>
      <w:spacing w:before="60" w:line="280" w:lineRule="atLeast"/>
    </w:pPr>
    <w:rPr>
      <w:rFonts w:ascii="Arial" w:hAnsi="Arial"/>
      <w:sz w:val="22"/>
    </w:rPr>
  </w:style>
  <w:style w:type="paragraph" w:customStyle="1" w:styleId="BoxListBullet2">
    <w:name w:val="Box List Bullet 2"/>
    <w:basedOn w:val="BodyText"/>
    <w:link w:val="BoxListBullet2Char"/>
    <w:rsid w:val="00C16278"/>
    <w:pPr>
      <w:keepNext/>
      <w:numPr>
        <w:numId w:val="2"/>
      </w:numPr>
      <w:spacing w:before="60" w:line="280" w:lineRule="atLeast"/>
    </w:pPr>
    <w:rPr>
      <w:rFonts w:ascii="Arial" w:hAnsi="Arial"/>
      <w:sz w:val="22"/>
    </w:rPr>
  </w:style>
  <w:style w:type="paragraph" w:customStyle="1" w:styleId="BoxListNumber">
    <w:name w:val="Box List Number"/>
    <w:basedOn w:val="BodyText"/>
    <w:rsid w:val="00C16278"/>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C16278"/>
    <w:pPr>
      <w:numPr>
        <w:ilvl w:val="1"/>
      </w:numPr>
    </w:pPr>
  </w:style>
  <w:style w:type="paragraph" w:customStyle="1" w:styleId="BoxQuote">
    <w:name w:val="Box Quote"/>
    <w:basedOn w:val="BodyText"/>
    <w:next w:val="Box"/>
    <w:rsid w:val="00C16278"/>
    <w:pPr>
      <w:keepNext/>
      <w:spacing w:before="60" w:line="260" w:lineRule="exact"/>
      <w:ind w:left="284"/>
    </w:pPr>
    <w:rPr>
      <w:rFonts w:ascii="Arial" w:hAnsi="Arial"/>
      <w:sz w:val="20"/>
    </w:rPr>
  </w:style>
  <w:style w:type="paragraph" w:customStyle="1" w:styleId="BoxSource">
    <w:name w:val="Box Source"/>
    <w:basedOn w:val="Source"/>
    <w:next w:val="BodyText"/>
    <w:rsid w:val="00C16278"/>
    <w:pPr>
      <w:spacing w:before="180" w:after="0"/>
    </w:pPr>
  </w:style>
  <w:style w:type="paragraph" w:customStyle="1" w:styleId="BoxSpace">
    <w:name w:val="Box Space"/>
    <w:basedOn w:val="BodyText"/>
    <w:rsid w:val="002176F2"/>
    <w:pPr>
      <w:keepNext/>
      <w:spacing w:before="360" w:line="80" w:lineRule="exact"/>
      <w:jc w:val="left"/>
    </w:pPr>
  </w:style>
  <w:style w:type="paragraph" w:customStyle="1" w:styleId="BoxSubtitle">
    <w:name w:val="Box Subtitle"/>
    <w:basedOn w:val="BoxTitle"/>
    <w:next w:val="Normal"/>
    <w:rsid w:val="00C16278"/>
    <w:pPr>
      <w:spacing w:after="80" w:line="200" w:lineRule="exact"/>
      <w:ind w:firstLine="0"/>
    </w:pPr>
    <w:rPr>
      <w:b w:val="0"/>
      <w:sz w:val="20"/>
    </w:rPr>
  </w:style>
  <w:style w:type="paragraph" w:customStyle="1" w:styleId="BoxTitle">
    <w:name w:val="Box Title"/>
    <w:basedOn w:val="Caption"/>
    <w:next w:val="BoxSubtitle"/>
    <w:rsid w:val="00C16278"/>
    <w:pPr>
      <w:spacing w:before="120" w:after="0"/>
      <w:ind w:left="1304" w:hanging="1304"/>
    </w:pPr>
    <w:rPr>
      <w:sz w:val="24"/>
    </w:rPr>
  </w:style>
  <w:style w:type="paragraph" w:styleId="Caption">
    <w:name w:val="caption"/>
    <w:basedOn w:val="Normal"/>
    <w:next w:val="BodyText"/>
    <w:rsid w:val="00C1627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C16278"/>
    <w:pPr>
      <w:ind w:left="907"/>
    </w:pPr>
    <w:rPr>
      <w:rFonts w:ascii="Arial" w:hAnsi="Arial"/>
      <w:b/>
      <w:sz w:val="22"/>
    </w:rPr>
  </w:style>
  <w:style w:type="character" w:customStyle="1" w:styleId="DocumentInfo">
    <w:name w:val="Document Info"/>
    <w:basedOn w:val="DefaultParagraphFont"/>
    <w:rsid w:val="00C16278"/>
    <w:rPr>
      <w:rFonts w:ascii="Arial" w:hAnsi="Arial"/>
      <w:sz w:val="14"/>
    </w:rPr>
  </w:style>
  <w:style w:type="paragraph" w:styleId="Footer">
    <w:name w:val="footer"/>
    <w:basedOn w:val="BodyText"/>
    <w:rsid w:val="00C16278"/>
    <w:pPr>
      <w:spacing w:before="80" w:line="200" w:lineRule="exact"/>
      <w:ind w:right="6"/>
      <w:jc w:val="left"/>
    </w:pPr>
    <w:rPr>
      <w:caps/>
      <w:spacing w:val="-4"/>
      <w:sz w:val="16"/>
    </w:rPr>
  </w:style>
  <w:style w:type="character" w:customStyle="1" w:styleId="DraftingNote">
    <w:name w:val="Drafting Note"/>
    <w:basedOn w:val="DefaultParagraphFont"/>
    <w:rsid w:val="00C16278"/>
    <w:rPr>
      <w:b/>
      <w:color w:val="FF0000"/>
      <w:sz w:val="24"/>
      <w:u w:val="dotted"/>
    </w:rPr>
  </w:style>
  <w:style w:type="paragraph" w:customStyle="1" w:styleId="Default">
    <w:name w:val="Default"/>
    <w:rsid w:val="00BB3CF6"/>
    <w:pPr>
      <w:autoSpaceDE w:val="0"/>
      <w:autoSpaceDN w:val="0"/>
      <w:adjustRightInd w:val="0"/>
    </w:pPr>
    <w:rPr>
      <w:rFonts w:ascii="GoudyOlSt BT" w:hAnsi="GoudyOlSt BT" w:cs="GoudyOlSt BT"/>
      <w:color w:val="000000"/>
      <w:sz w:val="24"/>
      <w:szCs w:val="24"/>
      <w:lang w:val="en-US" w:eastAsia="en-US"/>
    </w:rPr>
  </w:style>
  <w:style w:type="paragraph" w:customStyle="1" w:styleId="Figure">
    <w:name w:val="Figure"/>
    <w:basedOn w:val="BodyText"/>
    <w:rsid w:val="00C16278"/>
    <w:pPr>
      <w:keepNext/>
      <w:spacing w:before="120" w:after="120" w:line="240" w:lineRule="atLeast"/>
      <w:jc w:val="center"/>
    </w:pPr>
  </w:style>
  <w:style w:type="paragraph" w:customStyle="1" w:styleId="FigureTitle">
    <w:name w:val="Figure Title"/>
    <w:basedOn w:val="Caption"/>
    <w:next w:val="Subtitle"/>
    <w:rsid w:val="00C16278"/>
    <w:rPr>
      <w:sz w:val="24"/>
    </w:rPr>
  </w:style>
  <w:style w:type="paragraph" w:styleId="Subtitle">
    <w:name w:val="Subtitle"/>
    <w:basedOn w:val="Caption"/>
    <w:link w:val="SubtitleChar"/>
    <w:rsid w:val="00C16278"/>
    <w:pPr>
      <w:spacing w:before="0" w:line="200" w:lineRule="exact"/>
      <w:ind w:firstLine="0"/>
    </w:pPr>
    <w:rPr>
      <w:b w:val="0"/>
      <w:sz w:val="20"/>
    </w:rPr>
  </w:style>
  <w:style w:type="paragraph" w:customStyle="1" w:styleId="Finding">
    <w:name w:val="Finding"/>
    <w:basedOn w:val="BodyText"/>
    <w:rsid w:val="00C16278"/>
    <w:pPr>
      <w:keepLines/>
      <w:spacing w:before="180"/>
    </w:pPr>
    <w:rPr>
      <w:i/>
    </w:rPr>
  </w:style>
  <w:style w:type="paragraph" w:customStyle="1" w:styleId="FindingBullet">
    <w:name w:val="Finding Bullet"/>
    <w:basedOn w:val="Finding"/>
    <w:rsid w:val="00C16278"/>
    <w:pPr>
      <w:numPr>
        <w:numId w:val="6"/>
      </w:numPr>
      <w:spacing w:before="80"/>
    </w:pPr>
  </w:style>
  <w:style w:type="paragraph" w:customStyle="1" w:styleId="FindingNoTitle">
    <w:name w:val="Finding NoTitle"/>
    <w:basedOn w:val="Finding"/>
    <w:rsid w:val="00C16278"/>
    <w:pPr>
      <w:spacing w:before="240"/>
    </w:pPr>
  </w:style>
  <w:style w:type="paragraph" w:customStyle="1" w:styleId="FindingTitle">
    <w:name w:val="Finding Title"/>
    <w:basedOn w:val="RecTitle"/>
    <w:next w:val="Finding"/>
    <w:rsid w:val="00C16278"/>
    <w:pPr>
      <w:framePr w:wrap="notBeside" w:hAnchor="text"/>
    </w:pPr>
  </w:style>
  <w:style w:type="paragraph" w:customStyle="1" w:styleId="FooterEnd">
    <w:name w:val="Footer End"/>
    <w:basedOn w:val="Footer"/>
    <w:rsid w:val="00C16278"/>
    <w:pPr>
      <w:spacing w:before="0" w:line="20" w:lineRule="exact"/>
    </w:pPr>
  </w:style>
  <w:style w:type="character" w:styleId="FootnoteReference">
    <w:name w:val="footnote reference"/>
    <w:basedOn w:val="DefaultParagraphFont"/>
    <w:semiHidden/>
    <w:rsid w:val="00C16278"/>
    <w:rPr>
      <w:rFonts w:ascii="Times New Roman" w:hAnsi="Times New Roman"/>
      <w:position w:val="6"/>
      <w:sz w:val="22"/>
      <w:vertAlign w:val="baseline"/>
    </w:rPr>
  </w:style>
  <w:style w:type="paragraph" w:styleId="FootnoteText">
    <w:name w:val="footnote text"/>
    <w:basedOn w:val="BodyText"/>
    <w:rsid w:val="00C16278"/>
    <w:pPr>
      <w:tabs>
        <w:tab w:val="left" w:pos="284"/>
      </w:tabs>
      <w:spacing w:before="80" w:line="260" w:lineRule="exact"/>
      <w:ind w:left="284" w:hanging="284"/>
    </w:pPr>
    <w:rPr>
      <w:sz w:val="22"/>
    </w:rPr>
  </w:style>
  <w:style w:type="paragraph" w:styleId="Header">
    <w:name w:val="header"/>
    <w:basedOn w:val="BodyText"/>
    <w:rsid w:val="00C1627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16278"/>
    <w:pPr>
      <w:spacing w:line="20" w:lineRule="exact"/>
    </w:pPr>
    <w:rPr>
      <w:sz w:val="16"/>
    </w:rPr>
  </w:style>
  <w:style w:type="paragraph" w:customStyle="1" w:styleId="HeaderEven">
    <w:name w:val="Header Even"/>
    <w:basedOn w:val="Header"/>
    <w:rsid w:val="00C16278"/>
  </w:style>
  <w:style w:type="paragraph" w:customStyle="1" w:styleId="HeaderOdd">
    <w:name w:val="Header Odd"/>
    <w:basedOn w:val="Header"/>
    <w:rsid w:val="00C16278"/>
  </w:style>
  <w:style w:type="paragraph" w:customStyle="1" w:styleId="InformationRequest">
    <w:name w:val="Information Request"/>
    <w:basedOn w:val="Finding"/>
    <w:next w:val="BodyText"/>
    <w:rsid w:val="00C16278"/>
    <w:pPr>
      <w:spacing w:before="360" w:after="120"/>
    </w:pPr>
    <w:rPr>
      <w:rFonts w:ascii="Arial" w:hAnsi="Arial"/>
      <w:sz w:val="24"/>
    </w:rPr>
  </w:style>
  <w:style w:type="paragraph" w:styleId="ListBullet">
    <w:name w:val="List Bullet"/>
    <w:basedOn w:val="BodyText"/>
    <w:rsid w:val="00C16278"/>
    <w:pPr>
      <w:numPr>
        <w:numId w:val="4"/>
      </w:numPr>
      <w:spacing w:before="120"/>
    </w:pPr>
  </w:style>
  <w:style w:type="paragraph" w:styleId="ListBullet2">
    <w:name w:val="List Bullet 2"/>
    <w:basedOn w:val="BodyText"/>
    <w:link w:val="ListBullet2Char"/>
    <w:rsid w:val="00C16278"/>
    <w:pPr>
      <w:numPr>
        <w:numId w:val="10"/>
      </w:numPr>
      <w:spacing w:before="120"/>
    </w:pPr>
  </w:style>
  <w:style w:type="paragraph" w:styleId="ListBullet3">
    <w:name w:val="List Bullet 3"/>
    <w:basedOn w:val="BodyText"/>
    <w:rsid w:val="00C16278"/>
    <w:pPr>
      <w:numPr>
        <w:numId w:val="1"/>
      </w:numPr>
      <w:spacing w:before="120"/>
    </w:pPr>
  </w:style>
  <w:style w:type="paragraph" w:styleId="ListNumber">
    <w:name w:val="List Number"/>
    <w:basedOn w:val="BodyText"/>
    <w:rsid w:val="00C16278"/>
    <w:pPr>
      <w:numPr>
        <w:numId w:val="13"/>
      </w:numPr>
      <w:spacing w:before="120"/>
    </w:pPr>
  </w:style>
  <w:style w:type="paragraph" w:styleId="ListNumber2">
    <w:name w:val="List Number 2"/>
    <w:basedOn w:val="ListNumber"/>
    <w:rsid w:val="00C16278"/>
    <w:pPr>
      <w:numPr>
        <w:ilvl w:val="1"/>
      </w:numPr>
    </w:pPr>
  </w:style>
  <w:style w:type="paragraph" w:styleId="ListNumber3">
    <w:name w:val="List Number 3"/>
    <w:basedOn w:val="ListNumber2"/>
    <w:rsid w:val="00C16278"/>
    <w:pPr>
      <w:numPr>
        <w:ilvl w:val="2"/>
      </w:numPr>
    </w:pPr>
  </w:style>
  <w:style w:type="paragraph" w:customStyle="1" w:styleId="Note">
    <w:name w:val="Note"/>
    <w:basedOn w:val="BodyText"/>
    <w:next w:val="BodyText"/>
    <w:rsid w:val="00C16278"/>
    <w:pPr>
      <w:keepLines/>
      <w:spacing w:before="80" w:line="220" w:lineRule="exact"/>
    </w:pPr>
    <w:rPr>
      <w:rFonts w:ascii="Arial" w:hAnsi="Arial"/>
      <w:sz w:val="18"/>
    </w:rPr>
  </w:style>
  <w:style w:type="character" w:customStyle="1" w:styleId="NoteLabel">
    <w:name w:val="Note Label"/>
    <w:basedOn w:val="DefaultParagraphFont"/>
    <w:rsid w:val="00C16278"/>
    <w:rPr>
      <w:rFonts w:ascii="Arial" w:hAnsi="Arial"/>
      <w:b/>
      <w:position w:val="6"/>
      <w:sz w:val="18"/>
    </w:rPr>
  </w:style>
  <w:style w:type="character" w:styleId="PageNumber">
    <w:name w:val="page number"/>
    <w:basedOn w:val="DefaultParagraphFont"/>
    <w:rsid w:val="00C16278"/>
    <w:rPr>
      <w:rFonts w:ascii="Arial" w:hAnsi="Arial"/>
      <w:b/>
      <w:sz w:val="16"/>
    </w:rPr>
  </w:style>
  <w:style w:type="paragraph" w:customStyle="1" w:styleId="PartDivider">
    <w:name w:val="Part Divider"/>
    <w:basedOn w:val="BodyText"/>
    <w:next w:val="BodyText"/>
    <w:rsid w:val="00C16278"/>
    <w:pPr>
      <w:spacing w:before="0" w:line="40" w:lineRule="exact"/>
      <w:jc w:val="right"/>
    </w:pPr>
    <w:rPr>
      <w:smallCaps/>
      <w:sz w:val="16"/>
    </w:rPr>
  </w:style>
  <w:style w:type="paragraph" w:customStyle="1" w:styleId="PartNumber">
    <w:name w:val="Part Number"/>
    <w:basedOn w:val="BodyText"/>
    <w:next w:val="BodyText"/>
    <w:rsid w:val="00C16278"/>
    <w:pPr>
      <w:spacing w:before="4000" w:line="320" w:lineRule="exact"/>
      <w:ind w:left="6634"/>
      <w:jc w:val="right"/>
    </w:pPr>
    <w:rPr>
      <w:smallCaps/>
      <w:spacing w:val="60"/>
      <w:sz w:val="32"/>
    </w:rPr>
  </w:style>
  <w:style w:type="paragraph" w:customStyle="1" w:styleId="PartTitle">
    <w:name w:val="Part Title"/>
    <w:basedOn w:val="BodyText"/>
    <w:rsid w:val="00C16278"/>
    <w:pPr>
      <w:spacing w:before="160" w:after="1360" w:line="520" w:lineRule="exact"/>
      <w:ind w:right="2381"/>
      <w:jc w:val="right"/>
    </w:pPr>
    <w:rPr>
      <w:smallCaps/>
      <w:sz w:val="52"/>
    </w:rPr>
  </w:style>
  <w:style w:type="paragraph" w:styleId="Quote">
    <w:name w:val="Quote"/>
    <w:basedOn w:val="BodyText"/>
    <w:next w:val="BodyText"/>
    <w:qFormat/>
    <w:rsid w:val="00C16278"/>
    <w:pPr>
      <w:spacing w:before="120" w:line="280" w:lineRule="exact"/>
      <w:ind w:left="340"/>
    </w:pPr>
    <w:rPr>
      <w:sz w:val="24"/>
    </w:rPr>
  </w:style>
  <w:style w:type="paragraph" w:customStyle="1" w:styleId="Rec">
    <w:name w:val="Rec"/>
    <w:basedOn w:val="BodyText"/>
    <w:rsid w:val="00C16278"/>
    <w:pPr>
      <w:keepLines/>
      <w:spacing w:before="180"/>
    </w:pPr>
    <w:rPr>
      <w:b/>
      <w:i/>
    </w:rPr>
  </w:style>
  <w:style w:type="paragraph" w:customStyle="1" w:styleId="RecBullet">
    <w:name w:val="Rec Bullet"/>
    <w:basedOn w:val="Rec"/>
    <w:rsid w:val="00C16278"/>
    <w:pPr>
      <w:numPr>
        <w:numId w:val="7"/>
      </w:numPr>
      <w:spacing w:before="80"/>
    </w:pPr>
  </w:style>
  <w:style w:type="paragraph" w:customStyle="1" w:styleId="RecTitle">
    <w:name w:val="Rec Title"/>
    <w:basedOn w:val="BodyText"/>
    <w:next w:val="Normal"/>
    <w:rsid w:val="00C16278"/>
    <w:pPr>
      <w:keepNext/>
      <w:keepLines/>
    </w:pPr>
    <w:rPr>
      <w:caps/>
      <w:sz w:val="20"/>
    </w:rPr>
  </w:style>
  <w:style w:type="paragraph" w:customStyle="1" w:styleId="RecB">
    <w:name w:val="RecB"/>
    <w:basedOn w:val="Normal"/>
    <w:rsid w:val="00C1627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16278"/>
    <w:pPr>
      <w:numPr>
        <w:numId w:val="8"/>
      </w:numPr>
      <w:spacing w:before="80"/>
    </w:pPr>
  </w:style>
  <w:style w:type="paragraph" w:customStyle="1" w:styleId="RecBNoTitle">
    <w:name w:val="RecB NoTitle"/>
    <w:basedOn w:val="RecB"/>
    <w:rsid w:val="00C16278"/>
    <w:pPr>
      <w:spacing w:before="240"/>
    </w:pPr>
  </w:style>
  <w:style w:type="paragraph" w:customStyle="1" w:styleId="Reference">
    <w:name w:val="Reference"/>
    <w:basedOn w:val="BodyText"/>
    <w:rsid w:val="00C16278"/>
    <w:pPr>
      <w:spacing w:before="120"/>
      <w:ind w:left="340" w:hanging="340"/>
    </w:pPr>
  </w:style>
  <w:style w:type="paragraph" w:customStyle="1" w:styleId="SideNote">
    <w:name w:val="Side Note"/>
    <w:basedOn w:val="BodyText"/>
    <w:next w:val="BodyText"/>
    <w:rsid w:val="00C1627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C16278"/>
    <w:pPr>
      <w:framePr w:wrap="around"/>
      <w:numPr>
        <w:numId w:val="3"/>
      </w:numPr>
      <w:tabs>
        <w:tab w:val="left" w:pos="227"/>
      </w:tabs>
    </w:pPr>
  </w:style>
  <w:style w:type="paragraph" w:customStyle="1" w:styleId="SideNoteGraphic">
    <w:name w:val="Side Note Graphic"/>
    <w:basedOn w:val="SideNote"/>
    <w:next w:val="BodyText"/>
    <w:rsid w:val="00C16278"/>
    <w:pPr>
      <w:framePr w:wrap="around"/>
    </w:pPr>
  </w:style>
  <w:style w:type="paragraph" w:customStyle="1" w:styleId="Source">
    <w:name w:val="Source"/>
    <w:basedOn w:val="Note"/>
    <w:next w:val="BodyText"/>
    <w:rsid w:val="00C16278"/>
    <w:pPr>
      <w:spacing w:after="120"/>
    </w:pPr>
  </w:style>
  <w:style w:type="paragraph" w:customStyle="1" w:styleId="TableBodyText">
    <w:name w:val="Table Body Text"/>
    <w:basedOn w:val="BodyText"/>
    <w:rsid w:val="00C1627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16278"/>
    <w:pPr>
      <w:numPr>
        <w:numId w:val="9"/>
      </w:numPr>
      <w:jc w:val="left"/>
    </w:pPr>
  </w:style>
  <w:style w:type="paragraph" w:customStyle="1" w:styleId="TableColumnHeading">
    <w:name w:val="Table Column Heading"/>
    <w:basedOn w:val="TableBodyText"/>
    <w:rsid w:val="00C16278"/>
    <w:pPr>
      <w:spacing w:before="80" w:after="80"/>
    </w:pPr>
    <w:rPr>
      <w:i/>
    </w:rPr>
  </w:style>
  <w:style w:type="paragraph" w:styleId="TableofFigures">
    <w:name w:val="table of figures"/>
    <w:basedOn w:val="TOC3"/>
    <w:next w:val="BodyText"/>
    <w:semiHidden/>
    <w:rsid w:val="00C16278"/>
    <w:pPr>
      <w:ind w:left="737" w:hanging="737"/>
    </w:pPr>
  </w:style>
  <w:style w:type="paragraph" w:styleId="TOC3">
    <w:name w:val="toc 3"/>
    <w:basedOn w:val="TOC2"/>
    <w:semiHidden/>
    <w:rsid w:val="00C16278"/>
    <w:pPr>
      <w:spacing w:before="60"/>
      <w:ind w:left="1190" w:hanging="680"/>
    </w:pPr>
    <w:rPr>
      <w:b w:val="0"/>
    </w:rPr>
  </w:style>
  <w:style w:type="paragraph" w:customStyle="1" w:styleId="TableTitle">
    <w:name w:val="Table Title"/>
    <w:basedOn w:val="Caption"/>
    <w:next w:val="Subtitle"/>
    <w:rsid w:val="00C16278"/>
    <w:rPr>
      <w:sz w:val="24"/>
    </w:rPr>
  </w:style>
  <w:style w:type="paragraph" w:customStyle="1" w:styleId="TableUnitsRow">
    <w:name w:val="Table Units Row"/>
    <w:basedOn w:val="TableBodyText"/>
    <w:rsid w:val="00C16278"/>
    <w:pPr>
      <w:spacing w:before="80" w:after="80"/>
    </w:pPr>
  </w:style>
  <w:style w:type="paragraph" w:styleId="TOC1">
    <w:name w:val="toc 1"/>
    <w:basedOn w:val="Normal"/>
    <w:next w:val="TOC2"/>
    <w:semiHidden/>
    <w:rsid w:val="00C16278"/>
    <w:pPr>
      <w:tabs>
        <w:tab w:val="right" w:pos="8789"/>
      </w:tabs>
      <w:spacing w:before="480" w:after="60" w:line="320" w:lineRule="exact"/>
      <w:ind w:left="1191" w:right="851" w:hanging="1191"/>
    </w:pPr>
    <w:rPr>
      <w:b/>
      <w:caps/>
    </w:rPr>
  </w:style>
  <w:style w:type="paragraph" w:styleId="TOC2">
    <w:name w:val="toc 2"/>
    <w:basedOn w:val="BodyText"/>
    <w:semiHidden/>
    <w:rsid w:val="00C16278"/>
    <w:pPr>
      <w:tabs>
        <w:tab w:val="right" w:pos="8789"/>
      </w:tabs>
      <w:ind w:left="510" w:right="851" w:hanging="510"/>
      <w:jc w:val="left"/>
    </w:pPr>
    <w:rPr>
      <w:b/>
    </w:rPr>
  </w:style>
  <w:style w:type="paragraph" w:styleId="TOC4">
    <w:name w:val="toc 4"/>
    <w:basedOn w:val="TOC3"/>
    <w:semiHidden/>
    <w:rsid w:val="00C16278"/>
    <w:pPr>
      <w:ind w:left="1191" w:firstLine="0"/>
    </w:pPr>
  </w:style>
  <w:style w:type="paragraph" w:customStyle="1" w:styleId="BoxContinued">
    <w:name w:val="Box Continued"/>
    <w:basedOn w:val="BodyText"/>
    <w:next w:val="BodyText"/>
    <w:rsid w:val="00C16278"/>
    <w:pPr>
      <w:spacing w:before="180" w:line="220" w:lineRule="exact"/>
      <w:jc w:val="right"/>
    </w:pPr>
    <w:rPr>
      <w:rFonts w:ascii="Arial" w:hAnsi="Arial"/>
      <w:sz w:val="18"/>
    </w:rPr>
  </w:style>
  <w:style w:type="paragraph" w:customStyle="1" w:styleId="Continued">
    <w:name w:val="Continued"/>
    <w:basedOn w:val="BoxContinued"/>
    <w:next w:val="BodyText"/>
    <w:rsid w:val="00C16278"/>
  </w:style>
  <w:style w:type="paragraph" w:customStyle="1" w:styleId="BoxHeading1">
    <w:name w:val="Box Heading 1"/>
    <w:basedOn w:val="BodyText"/>
    <w:next w:val="Box"/>
    <w:rsid w:val="00C16278"/>
    <w:pPr>
      <w:keepNext/>
      <w:spacing w:before="200" w:line="280" w:lineRule="atLeast"/>
    </w:pPr>
    <w:rPr>
      <w:rFonts w:ascii="Arial" w:hAnsi="Arial"/>
      <w:b/>
      <w:sz w:val="22"/>
    </w:rPr>
  </w:style>
  <w:style w:type="paragraph" w:customStyle="1" w:styleId="BoxHeading2">
    <w:name w:val="Box Heading 2"/>
    <w:basedOn w:val="BoxHeading1"/>
    <w:next w:val="Normal"/>
    <w:rsid w:val="00C16278"/>
    <w:rPr>
      <w:b w:val="0"/>
      <w:i/>
    </w:rPr>
  </w:style>
  <w:style w:type="character" w:styleId="Hyperlink">
    <w:name w:val="Hyperlink"/>
    <w:rsid w:val="00A33B72"/>
    <w:rPr>
      <w:color w:val="0000FF"/>
      <w:u w:val="single"/>
    </w:rPr>
  </w:style>
  <w:style w:type="paragraph" w:styleId="NormalWeb">
    <w:name w:val="Normal (Web)"/>
    <w:basedOn w:val="Normal"/>
    <w:uiPriority w:val="99"/>
    <w:rsid w:val="00DF1186"/>
    <w:pPr>
      <w:spacing w:before="100" w:beforeAutospacing="1" w:after="100" w:afterAutospacing="1"/>
    </w:pPr>
    <w:rPr>
      <w:rFonts w:ascii="Arial" w:hAnsi="Arial" w:cs="Arial"/>
      <w:color w:val="000000"/>
      <w:sz w:val="24"/>
      <w:lang w:eastAsia="ko-KR"/>
    </w:rPr>
  </w:style>
  <w:style w:type="paragraph" w:styleId="Date">
    <w:name w:val="Date"/>
    <w:basedOn w:val="Normal"/>
    <w:next w:val="Normal"/>
    <w:rsid w:val="007C70D7"/>
  </w:style>
  <w:style w:type="character" w:customStyle="1" w:styleId="BodyTextChar">
    <w:name w:val="Body Text Char"/>
    <w:link w:val="BodyText"/>
    <w:rsid w:val="00263F5E"/>
    <w:rPr>
      <w:sz w:val="26"/>
    </w:rPr>
  </w:style>
  <w:style w:type="character" w:customStyle="1" w:styleId="ListBullet2Char">
    <w:name w:val="List Bullet 2 Char"/>
    <w:basedOn w:val="BodyTextChar"/>
    <w:link w:val="ListBullet2"/>
    <w:rsid w:val="00263F5E"/>
    <w:rPr>
      <w:sz w:val="26"/>
    </w:rPr>
  </w:style>
  <w:style w:type="character" w:customStyle="1" w:styleId="BoxListBulletChar">
    <w:name w:val="Box List Bullet Char"/>
    <w:link w:val="BoxListBullet"/>
    <w:rsid w:val="00243287"/>
    <w:rPr>
      <w:rFonts w:ascii="Arial" w:hAnsi="Arial"/>
      <w:sz w:val="22"/>
    </w:rPr>
  </w:style>
  <w:style w:type="character" w:customStyle="1" w:styleId="BoxListBullet2Char">
    <w:name w:val="Box List Bullet 2 Char"/>
    <w:link w:val="BoxListBullet2"/>
    <w:rsid w:val="00243287"/>
    <w:rPr>
      <w:rFonts w:ascii="Arial" w:hAnsi="Arial"/>
      <w:sz w:val="22"/>
    </w:rPr>
  </w:style>
  <w:style w:type="paragraph" w:styleId="BalloonText">
    <w:name w:val="Balloon Text"/>
    <w:basedOn w:val="Normal"/>
    <w:link w:val="BalloonTextChar"/>
    <w:rsid w:val="00C16278"/>
    <w:rPr>
      <w:rFonts w:ascii="Tahoma" w:hAnsi="Tahoma" w:cs="Tahoma"/>
      <w:sz w:val="16"/>
      <w:szCs w:val="16"/>
    </w:rPr>
  </w:style>
  <w:style w:type="character" w:customStyle="1" w:styleId="CharChar">
    <w:name w:val="Char Char"/>
    <w:rsid w:val="00144BF7"/>
    <w:rPr>
      <w:color w:val="000000"/>
      <w:sz w:val="26"/>
      <w:lang w:val="en-AU" w:eastAsia="en-US" w:bidi="ar-SA"/>
    </w:rPr>
  </w:style>
  <w:style w:type="paragraph" w:customStyle="1" w:styleId="Jurisdictioncommentsbodytext">
    <w:name w:val="Jurisdiction comments body text"/>
    <w:rsid w:val="00C16278"/>
    <w:pPr>
      <w:spacing w:after="140"/>
      <w:jc w:val="both"/>
    </w:pPr>
    <w:rPr>
      <w:rFonts w:ascii="Arial" w:hAnsi="Arial"/>
      <w:sz w:val="24"/>
      <w:lang w:eastAsia="en-US"/>
    </w:rPr>
  </w:style>
  <w:style w:type="paragraph" w:customStyle="1" w:styleId="Jurisdictioncommentsheading">
    <w:name w:val="Jurisdiction comments heading"/>
    <w:rsid w:val="00C1627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16278"/>
    <w:pPr>
      <w:numPr>
        <w:numId w:val="12"/>
      </w:numPr>
      <w:spacing w:after="140"/>
      <w:jc w:val="both"/>
    </w:pPr>
    <w:rPr>
      <w:rFonts w:ascii="Arial" w:hAnsi="Arial"/>
      <w:sz w:val="24"/>
      <w:lang w:eastAsia="en-US"/>
    </w:rPr>
  </w:style>
  <w:style w:type="character" w:styleId="Emphasis">
    <w:name w:val="Emphasis"/>
    <w:basedOn w:val="DefaultParagraphFont"/>
    <w:rsid w:val="00C16278"/>
    <w:rPr>
      <w:i/>
      <w:iCs/>
    </w:rPr>
  </w:style>
  <w:style w:type="paragraph" w:styleId="Title">
    <w:name w:val="Title"/>
    <w:basedOn w:val="Normal"/>
    <w:qFormat/>
    <w:rsid w:val="006C2C28"/>
    <w:pPr>
      <w:spacing w:after="120"/>
      <w:jc w:val="center"/>
    </w:pPr>
    <w:rPr>
      <w:b/>
      <w:bCs/>
      <w:sz w:val="20"/>
    </w:rPr>
  </w:style>
  <w:style w:type="character" w:customStyle="1" w:styleId="searchword">
    <w:name w:val="searchword"/>
    <w:basedOn w:val="DefaultParagraphFont"/>
    <w:rsid w:val="00432EFB"/>
  </w:style>
  <w:style w:type="paragraph" w:customStyle="1" w:styleId="RecBBullet2">
    <w:name w:val="RecB Bullet 2"/>
    <w:basedOn w:val="ListBullet2"/>
    <w:semiHidden/>
    <w:rsid w:val="00C16278"/>
    <w:pPr>
      <w:pBdr>
        <w:left w:val="single" w:sz="24" w:space="29" w:color="C0C0C0"/>
      </w:pBdr>
    </w:pPr>
    <w:rPr>
      <w:b/>
      <w:i/>
    </w:rPr>
  </w:style>
  <w:style w:type="character" w:customStyle="1" w:styleId="BalloonTextChar">
    <w:name w:val="Balloon Text Char"/>
    <w:basedOn w:val="DefaultParagraphFont"/>
    <w:link w:val="BalloonText"/>
    <w:rsid w:val="00C16278"/>
    <w:rPr>
      <w:rFonts w:ascii="Tahoma" w:hAnsi="Tahoma" w:cs="Tahoma"/>
      <w:sz w:val="16"/>
      <w:szCs w:val="16"/>
    </w:rPr>
  </w:style>
  <w:style w:type="character" w:customStyle="1" w:styleId="SubtitleChar">
    <w:name w:val="Subtitle Char"/>
    <w:basedOn w:val="DefaultParagraphFont"/>
    <w:link w:val="Subtitle"/>
    <w:rsid w:val="00C16278"/>
    <w:rPr>
      <w:rFonts w:ascii="Arial" w:hAnsi="Arial"/>
      <w:szCs w:val="24"/>
    </w:rPr>
  </w:style>
  <w:style w:type="paragraph" w:customStyle="1" w:styleId="BoxListBullet3">
    <w:name w:val="Box List Bullet 3"/>
    <w:basedOn w:val="ListBullet3"/>
    <w:rsid w:val="00C16278"/>
    <w:pPr>
      <w:numPr>
        <w:numId w:val="17"/>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C16278"/>
    <w:pPr>
      <w:numPr>
        <w:numId w:val="15"/>
      </w:numPr>
      <w:ind w:left="568" w:hanging="284"/>
    </w:pPr>
  </w:style>
  <w:style w:type="paragraph" w:customStyle="1" w:styleId="InformationRequestBullet">
    <w:name w:val="Information Request Bullet"/>
    <w:basedOn w:val="ListBullet"/>
    <w:next w:val="BodyText"/>
    <w:rsid w:val="00C16278"/>
    <w:pPr>
      <w:numPr>
        <w:numId w:val="16"/>
      </w:numPr>
      <w:ind w:left="340" w:hanging="340"/>
    </w:pPr>
    <w:rPr>
      <w:rFonts w:ascii="Arial" w:hAnsi="Arial"/>
      <w:i/>
      <w:sz w:val="24"/>
    </w:rPr>
  </w:style>
  <w:style w:type="paragraph" w:customStyle="1" w:styleId="BoxSpaceAbove">
    <w:name w:val="Box Space Above"/>
    <w:basedOn w:val="BodyText"/>
    <w:rsid w:val="00C16278"/>
    <w:pPr>
      <w:keepNext/>
      <w:spacing w:before="360" w:line="80" w:lineRule="exact"/>
      <w:jc w:val="left"/>
    </w:pPr>
  </w:style>
  <w:style w:type="paragraph" w:customStyle="1" w:styleId="BoxSpaceBelow">
    <w:name w:val="Box Space Below"/>
    <w:basedOn w:val="Box"/>
    <w:rsid w:val="00C16278"/>
    <w:pPr>
      <w:keepNext w:val="0"/>
      <w:spacing w:before="60" w:after="60" w:line="80" w:lineRule="exact"/>
    </w:pPr>
    <w:rPr>
      <w:sz w:val="14"/>
    </w:rPr>
  </w:style>
  <w:style w:type="paragraph" w:customStyle="1" w:styleId="keypointboxlistbullet">
    <w:name w:val="key point box list bullet"/>
    <w:basedOn w:val="BoxListBullet"/>
    <w:qFormat/>
    <w:rsid w:val="00C078C9"/>
    <w:pPr>
      <w:tabs>
        <w:tab w:val="left" w:pos="284"/>
      </w:tabs>
      <w:spacing w:before="120"/>
    </w:pPr>
    <w:rPr>
      <w:rFonts w:ascii="Goudy Old Style" w:hAnsi="Goudy Old Style"/>
      <w:sz w:val="20"/>
    </w:rPr>
  </w:style>
  <w:style w:type="paragraph" w:customStyle="1" w:styleId="keypointboxlistbullet2">
    <w:name w:val="key point box list bullet 2"/>
    <w:basedOn w:val="BoxListBullet2"/>
    <w:qFormat/>
    <w:rsid w:val="00C078C9"/>
    <w:pPr>
      <w:tabs>
        <w:tab w:val="left" w:pos="284"/>
      </w:tabs>
    </w:pPr>
    <w:rPr>
      <w:rFonts w:ascii="Goudy Old Style" w:hAnsi="Goudy Old Style"/>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C16278"/>
    <w:rPr>
      <w:sz w:val="26"/>
      <w:szCs w:val="24"/>
    </w:rPr>
  </w:style>
  <w:style w:type="paragraph" w:styleId="Heading1">
    <w:name w:val="heading 1"/>
    <w:basedOn w:val="BodyText"/>
    <w:next w:val="BodyText"/>
    <w:rsid w:val="00C1627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1627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16278"/>
    <w:pPr>
      <w:spacing w:before="560" w:line="320" w:lineRule="exact"/>
      <w:ind w:left="0" w:firstLine="0"/>
      <w:outlineLvl w:val="2"/>
    </w:pPr>
    <w:rPr>
      <w:sz w:val="26"/>
    </w:rPr>
  </w:style>
  <w:style w:type="paragraph" w:styleId="Heading4">
    <w:name w:val="heading 4"/>
    <w:basedOn w:val="Heading3"/>
    <w:next w:val="BodyText"/>
    <w:qFormat/>
    <w:rsid w:val="00C16278"/>
    <w:pPr>
      <w:spacing w:before="480"/>
      <w:outlineLvl w:val="3"/>
    </w:pPr>
    <w:rPr>
      <w:b w:val="0"/>
      <w:i/>
      <w:sz w:val="24"/>
    </w:rPr>
  </w:style>
  <w:style w:type="paragraph" w:styleId="Heading5">
    <w:name w:val="heading 5"/>
    <w:basedOn w:val="Heading4"/>
    <w:next w:val="BodyText"/>
    <w:qFormat/>
    <w:rsid w:val="00C16278"/>
    <w:pPr>
      <w:outlineLvl w:val="4"/>
    </w:pPr>
    <w:rPr>
      <w:rFonts w:ascii="Times New Roman" w:hAnsi="Times New Roman"/>
      <w:sz w:val="26"/>
    </w:rPr>
  </w:style>
  <w:style w:type="paragraph" w:styleId="Heading6">
    <w:name w:val="heading 6"/>
    <w:basedOn w:val="BodyText"/>
    <w:next w:val="BodyText"/>
    <w:rsid w:val="00C16278"/>
    <w:pPr>
      <w:spacing w:after="60"/>
      <w:jc w:val="left"/>
      <w:outlineLvl w:val="5"/>
    </w:pPr>
    <w:rPr>
      <w:i/>
      <w:sz w:val="22"/>
    </w:rPr>
  </w:style>
  <w:style w:type="paragraph" w:styleId="Heading7">
    <w:name w:val="heading 7"/>
    <w:basedOn w:val="BodyText"/>
    <w:next w:val="BodyText"/>
    <w:rsid w:val="00C16278"/>
    <w:pPr>
      <w:spacing w:after="60" w:line="240" w:lineRule="auto"/>
      <w:jc w:val="left"/>
      <w:outlineLvl w:val="6"/>
    </w:pPr>
    <w:rPr>
      <w:rFonts w:ascii="Arial" w:hAnsi="Arial"/>
      <w:sz w:val="20"/>
    </w:rPr>
  </w:style>
  <w:style w:type="paragraph" w:styleId="Heading8">
    <w:name w:val="heading 8"/>
    <w:basedOn w:val="BodyText"/>
    <w:next w:val="BodyText"/>
    <w:rsid w:val="00C16278"/>
    <w:pPr>
      <w:spacing w:after="60" w:line="240" w:lineRule="auto"/>
      <w:jc w:val="left"/>
      <w:outlineLvl w:val="7"/>
    </w:pPr>
    <w:rPr>
      <w:rFonts w:ascii="Arial" w:hAnsi="Arial"/>
      <w:i/>
      <w:sz w:val="20"/>
    </w:rPr>
  </w:style>
  <w:style w:type="paragraph" w:styleId="Heading9">
    <w:name w:val="heading 9"/>
    <w:basedOn w:val="BodyText"/>
    <w:next w:val="BodyText"/>
    <w:rsid w:val="00C1627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162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6278"/>
  </w:style>
  <w:style w:type="paragraph" w:styleId="BodyText">
    <w:name w:val="Body Text"/>
    <w:link w:val="BodyTextChar"/>
    <w:qFormat/>
    <w:rsid w:val="00C16278"/>
    <w:pPr>
      <w:spacing w:before="240" w:line="320" w:lineRule="atLeast"/>
      <w:jc w:val="both"/>
    </w:pPr>
    <w:rPr>
      <w:sz w:val="26"/>
    </w:rPr>
  </w:style>
  <w:style w:type="paragraph" w:customStyle="1" w:styleId="Chapter">
    <w:name w:val="Chapter"/>
    <w:basedOn w:val="Heading1"/>
    <w:next w:val="BodyText"/>
    <w:rsid w:val="00C16278"/>
    <w:pPr>
      <w:ind w:left="0" w:firstLine="0"/>
      <w:outlineLvl w:val="9"/>
    </w:pPr>
  </w:style>
  <w:style w:type="paragraph" w:customStyle="1" w:styleId="SequenceInfo">
    <w:name w:val="Sequence Info"/>
    <w:basedOn w:val="BodyText"/>
    <w:rsid w:val="00C16278"/>
    <w:rPr>
      <w:vanish/>
      <w:sz w:val="16"/>
    </w:rPr>
  </w:style>
  <w:style w:type="character" w:styleId="CommentReference">
    <w:name w:val="annotation reference"/>
    <w:basedOn w:val="DefaultParagraphFont"/>
    <w:semiHidden/>
    <w:rsid w:val="00C16278"/>
    <w:rPr>
      <w:b/>
      <w:vanish/>
      <w:color w:val="FF00FF"/>
      <w:sz w:val="20"/>
    </w:rPr>
  </w:style>
  <w:style w:type="paragraph" w:styleId="CommentText">
    <w:name w:val="annotation text"/>
    <w:basedOn w:val="Normal"/>
    <w:semiHidden/>
    <w:rsid w:val="00C16278"/>
    <w:pPr>
      <w:spacing w:before="120" w:line="240" w:lineRule="atLeast"/>
      <w:ind w:left="567" w:hanging="567"/>
    </w:pPr>
    <w:rPr>
      <w:sz w:val="20"/>
    </w:rPr>
  </w:style>
  <w:style w:type="paragraph" w:customStyle="1" w:styleId="Abbreviation">
    <w:name w:val="Abbreviation"/>
    <w:basedOn w:val="BodyText"/>
    <w:rsid w:val="00C16278"/>
    <w:pPr>
      <w:spacing w:before="120"/>
      <w:ind w:left="2381" w:hanging="2381"/>
      <w:jc w:val="left"/>
    </w:pPr>
  </w:style>
  <w:style w:type="paragraph" w:customStyle="1" w:styleId="Box">
    <w:name w:val="Box"/>
    <w:basedOn w:val="BodyText"/>
    <w:qFormat/>
    <w:rsid w:val="00C16278"/>
    <w:pPr>
      <w:keepNext/>
      <w:spacing w:before="120" w:line="280" w:lineRule="atLeast"/>
    </w:pPr>
    <w:rPr>
      <w:rFonts w:ascii="Arial" w:hAnsi="Arial"/>
      <w:sz w:val="22"/>
    </w:rPr>
  </w:style>
  <w:style w:type="paragraph" w:customStyle="1" w:styleId="QuoteBullet">
    <w:name w:val="Quote Bullet"/>
    <w:basedOn w:val="Quote"/>
    <w:rsid w:val="00C16278"/>
    <w:pPr>
      <w:numPr>
        <w:numId w:val="11"/>
      </w:numPr>
    </w:pPr>
  </w:style>
  <w:style w:type="paragraph" w:customStyle="1" w:styleId="BoxListBullet">
    <w:name w:val="Box List Bullet"/>
    <w:basedOn w:val="BodyText"/>
    <w:link w:val="BoxListBulletChar"/>
    <w:rsid w:val="00C16278"/>
    <w:pPr>
      <w:keepNext/>
      <w:numPr>
        <w:numId w:val="5"/>
      </w:numPr>
      <w:spacing w:before="60" w:line="280" w:lineRule="atLeast"/>
    </w:pPr>
    <w:rPr>
      <w:rFonts w:ascii="Arial" w:hAnsi="Arial"/>
      <w:sz w:val="22"/>
    </w:rPr>
  </w:style>
  <w:style w:type="paragraph" w:customStyle="1" w:styleId="BoxListBullet2">
    <w:name w:val="Box List Bullet 2"/>
    <w:basedOn w:val="BodyText"/>
    <w:link w:val="BoxListBullet2Char"/>
    <w:rsid w:val="00C16278"/>
    <w:pPr>
      <w:keepNext/>
      <w:numPr>
        <w:numId w:val="2"/>
      </w:numPr>
      <w:spacing w:before="60" w:line="280" w:lineRule="atLeast"/>
    </w:pPr>
    <w:rPr>
      <w:rFonts w:ascii="Arial" w:hAnsi="Arial"/>
      <w:sz w:val="22"/>
    </w:rPr>
  </w:style>
  <w:style w:type="paragraph" w:customStyle="1" w:styleId="BoxListNumber">
    <w:name w:val="Box List Number"/>
    <w:basedOn w:val="BodyText"/>
    <w:rsid w:val="00C16278"/>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C16278"/>
    <w:pPr>
      <w:numPr>
        <w:ilvl w:val="1"/>
      </w:numPr>
    </w:pPr>
  </w:style>
  <w:style w:type="paragraph" w:customStyle="1" w:styleId="BoxQuote">
    <w:name w:val="Box Quote"/>
    <w:basedOn w:val="BodyText"/>
    <w:next w:val="Box"/>
    <w:rsid w:val="00C16278"/>
    <w:pPr>
      <w:keepNext/>
      <w:spacing w:before="60" w:line="260" w:lineRule="exact"/>
      <w:ind w:left="284"/>
    </w:pPr>
    <w:rPr>
      <w:rFonts w:ascii="Arial" w:hAnsi="Arial"/>
      <w:sz w:val="20"/>
    </w:rPr>
  </w:style>
  <w:style w:type="paragraph" w:customStyle="1" w:styleId="BoxSource">
    <w:name w:val="Box Source"/>
    <w:basedOn w:val="Source"/>
    <w:next w:val="BodyText"/>
    <w:rsid w:val="00C16278"/>
    <w:pPr>
      <w:spacing w:before="180" w:after="0"/>
    </w:pPr>
  </w:style>
  <w:style w:type="paragraph" w:customStyle="1" w:styleId="BoxSpace">
    <w:name w:val="Box Space"/>
    <w:basedOn w:val="BodyText"/>
    <w:rsid w:val="002176F2"/>
    <w:pPr>
      <w:keepNext/>
      <w:spacing w:before="360" w:line="80" w:lineRule="exact"/>
      <w:jc w:val="left"/>
    </w:pPr>
  </w:style>
  <w:style w:type="paragraph" w:customStyle="1" w:styleId="BoxSubtitle">
    <w:name w:val="Box Subtitle"/>
    <w:basedOn w:val="BoxTitle"/>
    <w:next w:val="Normal"/>
    <w:rsid w:val="00C16278"/>
    <w:pPr>
      <w:spacing w:after="80" w:line="200" w:lineRule="exact"/>
      <w:ind w:firstLine="0"/>
    </w:pPr>
    <w:rPr>
      <w:b w:val="0"/>
      <w:sz w:val="20"/>
    </w:rPr>
  </w:style>
  <w:style w:type="paragraph" w:customStyle="1" w:styleId="BoxTitle">
    <w:name w:val="Box Title"/>
    <w:basedOn w:val="Caption"/>
    <w:next w:val="BoxSubtitle"/>
    <w:rsid w:val="00C16278"/>
    <w:pPr>
      <w:spacing w:before="120" w:after="0"/>
      <w:ind w:left="1304" w:hanging="1304"/>
    </w:pPr>
    <w:rPr>
      <w:sz w:val="24"/>
    </w:rPr>
  </w:style>
  <w:style w:type="paragraph" w:styleId="Caption">
    <w:name w:val="caption"/>
    <w:basedOn w:val="Normal"/>
    <w:next w:val="BodyText"/>
    <w:rsid w:val="00C16278"/>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C16278"/>
    <w:pPr>
      <w:ind w:left="907"/>
    </w:pPr>
    <w:rPr>
      <w:rFonts w:ascii="Arial" w:hAnsi="Arial"/>
      <w:b/>
      <w:sz w:val="22"/>
    </w:rPr>
  </w:style>
  <w:style w:type="character" w:customStyle="1" w:styleId="DocumentInfo">
    <w:name w:val="Document Info"/>
    <w:basedOn w:val="DefaultParagraphFont"/>
    <w:rsid w:val="00C16278"/>
    <w:rPr>
      <w:rFonts w:ascii="Arial" w:hAnsi="Arial"/>
      <w:sz w:val="14"/>
    </w:rPr>
  </w:style>
  <w:style w:type="paragraph" w:styleId="Footer">
    <w:name w:val="footer"/>
    <w:basedOn w:val="BodyText"/>
    <w:rsid w:val="00C16278"/>
    <w:pPr>
      <w:spacing w:before="80" w:line="200" w:lineRule="exact"/>
      <w:ind w:right="6"/>
      <w:jc w:val="left"/>
    </w:pPr>
    <w:rPr>
      <w:caps/>
      <w:spacing w:val="-4"/>
      <w:sz w:val="16"/>
    </w:rPr>
  </w:style>
  <w:style w:type="character" w:customStyle="1" w:styleId="DraftingNote">
    <w:name w:val="Drafting Note"/>
    <w:basedOn w:val="DefaultParagraphFont"/>
    <w:rsid w:val="00C16278"/>
    <w:rPr>
      <w:b/>
      <w:color w:val="FF0000"/>
      <w:sz w:val="24"/>
      <w:u w:val="dotted"/>
    </w:rPr>
  </w:style>
  <w:style w:type="paragraph" w:customStyle="1" w:styleId="Default">
    <w:name w:val="Default"/>
    <w:rsid w:val="00BB3CF6"/>
    <w:pPr>
      <w:autoSpaceDE w:val="0"/>
      <w:autoSpaceDN w:val="0"/>
      <w:adjustRightInd w:val="0"/>
    </w:pPr>
    <w:rPr>
      <w:rFonts w:ascii="GoudyOlSt BT" w:hAnsi="GoudyOlSt BT" w:cs="GoudyOlSt BT"/>
      <w:color w:val="000000"/>
      <w:sz w:val="24"/>
      <w:szCs w:val="24"/>
      <w:lang w:val="en-US" w:eastAsia="en-US"/>
    </w:rPr>
  </w:style>
  <w:style w:type="paragraph" w:customStyle="1" w:styleId="Figure">
    <w:name w:val="Figure"/>
    <w:basedOn w:val="BodyText"/>
    <w:rsid w:val="00C16278"/>
    <w:pPr>
      <w:keepNext/>
      <w:spacing w:before="120" w:after="120" w:line="240" w:lineRule="atLeast"/>
      <w:jc w:val="center"/>
    </w:pPr>
  </w:style>
  <w:style w:type="paragraph" w:customStyle="1" w:styleId="FigureTitle">
    <w:name w:val="Figure Title"/>
    <w:basedOn w:val="Caption"/>
    <w:next w:val="Subtitle"/>
    <w:rsid w:val="00C16278"/>
    <w:rPr>
      <w:sz w:val="24"/>
    </w:rPr>
  </w:style>
  <w:style w:type="paragraph" w:styleId="Subtitle">
    <w:name w:val="Subtitle"/>
    <w:basedOn w:val="Caption"/>
    <w:link w:val="SubtitleChar"/>
    <w:rsid w:val="00C16278"/>
    <w:pPr>
      <w:spacing w:before="0" w:line="200" w:lineRule="exact"/>
      <w:ind w:firstLine="0"/>
    </w:pPr>
    <w:rPr>
      <w:b w:val="0"/>
      <w:sz w:val="20"/>
    </w:rPr>
  </w:style>
  <w:style w:type="paragraph" w:customStyle="1" w:styleId="Finding">
    <w:name w:val="Finding"/>
    <w:basedOn w:val="BodyText"/>
    <w:rsid w:val="00C16278"/>
    <w:pPr>
      <w:keepLines/>
      <w:spacing w:before="180"/>
    </w:pPr>
    <w:rPr>
      <w:i/>
    </w:rPr>
  </w:style>
  <w:style w:type="paragraph" w:customStyle="1" w:styleId="FindingBullet">
    <w:name w:val="Finding Bullet"/>
    <w:basedOn w:val="Finding"/>
    <w:rsid w:val="00C16278"/>
    <w:pPr>
      <w:numPr>
        <w:numId w:val="6"/>
      </w:numPr>
      <w:spacing w:before="80"/>
    </w:pPr>
  </w:style>
  <w:style w:type="paragraph" w:customStyle="1" w:styleId="FindingNoTitle">
    <w:name w:val="Finding NoTitle"/>
    <w:basedOn w:val="Finding"/>
    <w:rsid w:val="00C16278"/>
    <w:pPr>
      <w:spacing w:before="240"/>
    </w:pPr>
  </w:style>
  <w:style w:type="paragraph" w:customStyle="1" w:styleId="FindingTitle">
    <w:name w:val="Finding Title"/>
    <w:basedOn w:val="RecTitle"/>
    <w:next w:val="Finding"/>
    <w:rsid w:val="00C16278"/>
    <w:pPr>
      <w:framePr w:wrap="notBeside" w:hAnchor="text"/>
    </w:pPr>
  </w:style>
  <w:style w:type="paragraph" w:customStyle="1" w:styleId="FooterEnd">
    <w:name w:val="Footer End"/>
    <w:basedOn w:val="Footer"/>
    <w:rsid w:val="00C16278"/>
    <w:pPr>
      <w:spacing w:before="0" w:line="20" w:lineRule="exact"/>
    </w:pPr>
  </w:style>
  <w:style w:type="character" w:styleId="FootnoteReference">
    <w:name w:val="footnote reference"/>
    <w:basedOn w:val="DefaultParagraphFont"/>
    <w:semiHidden/>
    <w:rsid w:val="00C16278"/>
    <w:rPr>
      <w:rFonts w:ascii="Times New Roman" w:hAnsi="Times New Roman"/>
      <w:position w:val="6"/>
      <w:sz w:val="22"/>
      <w:vertAlign w:val="baseline"/>
    </w:rPr>
  </w:style>
  <w:style w:type="paragraph" w:styleId="FootnoteText">
    <w:name w:val="footnote text"/>
    <w:basedOn w:val="BodyText"/>
    <w:rsid w:val="00C16278"/>
    <w:pPr>
      <w:tabs>
        <w:tab w:val="left" w:pos="284"/>
      </w:tabs>
      <w:spacing w:before="80" w:line="260" w:lineRule="exact"/>
      <w:ind w:left="284" w:hanging="284"/>
    </w:pPr>
    <w:rPr>
      <w:sz w:val="22"/>
    </w:rPr>
  </w:style>
  <w:style w:type="paragraph" w:styleId="Header">
    <w:name w:val="header"/>
    <w:basedOn w:val="BodyText"/>
    <w:rsid w:val="00C1627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16278"/>
    <w:pPr>
      <w:spacing w:line="20" w:lineRule="exact"/>
    </w:pPr>
    <w:rPr>
      <w:sz w:val="16"/>
    </w:rPr>
  </w:style>
  <w:style w:type="paragraph" w:customStyle="1" w:styleId="HeaderEven">
    <w:name w:val="Header Even"/>
    <w:basedOn w:val="Header"/>
    <w:rsid w:val="00C16278"/>
  </w:style>
  <w:style w:type="paragraph" w:customStyle="1" w:styleId="HeaderOdd">
    <w:name w:val="Header Odd"/>
    <w:basedOn w:val="Header"/>
    <w:rsid w:val="00C16278"/>
  </w:style>
  <w:style w:type="paragraph" w:customStyle="1" w:styleId="InformationRequest">
    <w:name w:val="Information Request"/>
    <w:basedOn w:val="Finding"/>
    <w:next w:val="BodyText"/>
    <w:rsid w:val="00C16278"/>
    <w:pPr>
      <w:spacing w:before="360" w:after="120"/>
    </w:pPr>
    <w:rPr>
      <w:rFonts w:ascii="Arial" w:hAnsi="Arial"/>
      <w:sz w:val="24"/>
    </w:rPr>
  </w:style>
  <w:style w:type="paragraph" w:styleId="ListBullet">
    <w:name w:val="List Bullet"/>
    <w:basedOn w:val="BodyText"/>
    <w:rsid w:val="00C16278"/>
    <w:pPr>
      <w:numPr>
        <w:numId w:val="4"/>
      </w:numPr>
      <w:spacing w:before="120"/>
    </w:pPr>
  </w:style>
  <w:style w:type="paragraph" w:styleId="ListBullet2">
    <w:name w:val="List Bullet 2"/>
    <w:basedOn w:val="BodyText"/>
    <w:link w:val="ListBullet2Char"/>
    <w:rsid w:val="00C16278"/>
    <w:pPr>
      <w:numPr>
        <w:numId w:val="10"/>
      </w:numPr>
      <w:spacing w:before="120"/>
    </w:pPr>
  </w:style>
  <w:style w:type="paragraph" w:styleId="ListBullet3">
    <w:name w:val="List Bullet 3"/>
    <w:basedOn w:val="BodyText"/>
    <w:rsid w:val="00C16278"/>
    <w:pPr>
      <w:numPr>
        <w:numId w:val="1"/>
      </w:numPr>
      <w:spacing w:before="120"/>
    </w:pPr>
  </w:style>
  <w:style w:type="paragraph" w:styleId="ListNumber">
    <w:name w:val="List Number"/>
    <w:basedOn w:val="BodyText"/>
    <w:rsid w:val="00C16278"/>
    <w:pPr>
      <w:numPr>
        <w:numId w:val="13"/>
      </w:numPr>
      <w:spacing w:before="120"/>
    </w:pPr>
  </w:style>
  <w:style w:type="paragraph" w:styleId="ListNumber2">
    <w:name w:val="List Number 2"/>
    <w:basedOn w:val="ListNumber"/>
    <w:rsid w:val="00C16278"/>
    <w:pPr>
      <w:numPr>
        <w:ilvl w:val="1"/>
      </w:numPr>
    </w:pPr>
  </w:style>
  <w:style w:type="paragraph" w:styleId="ListNumber3">
    <w:name w:val="List Number 3"/>
    <w:basedOn w:val="ListNumber2"/>
    <w:rsid w:val="00C16278"/>
    <w:pPr>
      <w:numPr>
        <w:ilvl w:val="2"/>
      </w:numPr>
    </w:pPr>
  </w:style>
  <w:style w:type="paragraph" w:customStyle="1" w:styleId="Note">
    <w:name w:val="Note"/>
    <w:basedOn w:val="BodyText"/>
    <w:next w:val="BodyText"/>
    <w:rsid w:val="00C16278"/>
    <w:pPr>
      <w:keepLines/>
      <w:spacing w:before="80" w:line="220" w:lineRule="exact"/>
    </w:pPr>
    <w:rPr>
      <w:rFonts w:ascii="Arial" w:hAnsi="Arial"/>
      <w:sz w:val="18"/>
    </w:rPr>
  </w:style>
  <w:style w:type="character" w:customStyle="1" w:styleId="NoteLabel">
    <w:name w:val="Note Label"/>
    <w:basedOn w:val="DefaultParagraphFont"/>
    <w:rsid w:val="00C16278"/>
    <w:rPr>
      <w:rFonts w:ascii="Arial" w:hAnsi="Arial"/>
      <w:b/>
      <w:position w:val="6"/>
      <w:sz w:val="18"/>
    </w:rPr>
  </w:style>
  <w:style w:type="character" w:styleId="PageNumber">
    <w:name w:val="page number"/>
    <w:basedOn w:val="DefaultParagraphFont"/>
    <w:rsid w:val="00C16278"/>
    <w:rPr>
      <w:rFonts w:ascii="Arial" w:hAnsi="Arial"/>
      <w:b/>
      <w:sz w:val="16"/>
    </w:rPr>
  </w:style>
  <w:style w:type="paragraph" w:customStyle="1" w:styleId="PartDivider">
    <w:name w:val="Part Divider"/>
    <w:basedOn w:val="BodyText"/>
    <w:next w:val="BodyText"/>
    <w:rsid w:val="00C16278"/>
    <w:pPr>
      <w:spacing w:before="0" w:line="40" w:lineRule="exact"/>
      <w:jc w:val="right"/>
    </w:pPr>
    <w:rPr>
      <w:smallCaps/>
      <w:sz w:val="16"/>
    </w:rPr>
  </w:style>
  <w:style w:type="paragraph" w:customStyle="1" w:styleId="PartNumber">
    <w:name w:val="Part Number"/>
    <w:basedOn w:val="BodyText"/>
    <w:next w:val="BodyText"/>
    <w:rsid w:val="00C16278"/>
    <w:pPr>
      <w:spacing w:before="4000" w:line="320" w:lineRule="exact"/>
      <w:ind w:left="6634"/>
      <w:jc w:val="right"/>
    </w:pPr>
    <w:rPr>
      <w:smallCaps/>
      <w:spacing w:val="60"/>
      <w:sz w:val="32"/>
    </w:rPr>
  </w:style>
  <w:style w:type="paragraph" w:customStyle="1" w:styleId="PartTitle">
    <w:name w:val="Part Title"/>
    <w:basedOn w:val="BodyText"/>
    <w:rsid w:val="00C16278"/>
    <w:pPr>
      <w:spacing w:before="160" w:after="1360" w:line="520" w:lineRule="exact"/>
      <w:ind w:right="2381"/>
      <w:jc w:val="right"/>
    </w:pPr>
    <w:rPr>
      <w:smallCaps/>
      <w:sz w:val="52"/>
    </w:rPr>
  </w:style>
  <w:style w:type="paragraph" w:styleId="Quote">
    <w:name w:val="Quote"/>
    <w:basedOn w:val="BodyText"/>
    <w:next w:val="BodyText"/>
    <w:qFormat/>
    <w:rsid w:val="00C16278"/>
    <w:pPr>
      <w:spacing w:before="120" w:line="280" w:lineRule="exact"/>
      <w:ind w:left="340"/>
    </w:pPr>
    <w:rPr>
      <w:sz w:val="24"/>
    </w:rPr>
  </w:style>
  <w:style w:type="paragraph" w:customStyle="1" w:styleId="Rec">
    <w:name w:val="Rec"/>
    <w:basedOn w:val="BodyText"/>
    <w:rsid w:val="00C16278"/>
    <w:pPr>
      <w:keepLines/>
      <w:spacing w:before="180"/>
    </w:pPr>
    <w:rPr>
      <w:b/>
      <w:i/>
    </w:rPr>
  </w:style>
  <w:style w:type="paragraph" w:customStyle="1" w:styleId="RecBullet">
    <w:name w:val="Rec Bullet"/>
    <w:basedOn w:val="Rec"/>
    <w:rsid w:val="00C16278"/>
    <w:pPr>
      <w:numPr>
        <w:numId w:val="7"/>
      </w:numPr>
      <w:spacing w:before="80"/>
    </w:pPr>
  </w:style>
  <w:style w:type="paragraph" w:customStyle="1" w:styleId="RecTitle">
    <w:name w:val="Rec Title"/>
    <w:basedOn w:val="BodyText"/>
    <w:next w:val="Normal"/>
    <w:rsid w:val="00C16278"/>
    <w:pPr>
      <w:keepNext/>
      <w:keepLines/>
    </w:pPr>
    <w:rPr>
      <w:caps/>
      <w:sz w:val="20"/>
    </w:rPr>
  </w:style>
  <w:style w:type="paragraph" w:customStyle="1" w:styleId="RecB">
    <w:name w:val="RecB"/>
    <w:basedOn w:val="Normal"/>
    <w:rsid w:val="00C16278"/>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16278"/>
    <w:pPr>
      <w:numPr>
        <w:numId w:val="8"/>
      </w:numPr>
      <w:spacing w:before="80"/>
    </w:pPr>
  </w:style>
  <w:style w:type="paragraph" w:customStyle="1" w:styleId="RecBNoTitle">
    <w:name w:val="RecB NoTitle"/>
    <w:basedOn w:val="RecB"/>
    <w:rsid w:val="00C16278"/>
    <w:pPr>
      <w:spacing w:before="240"/>
    </w:pPr>
  </w:style>
  <w:style w:type="paragraph" w:customStyle="1" w:styleId="Reference">
    <w:name w:val="Reference"/>
    <w:basedOn w:val="BodyText"/>
    <w:rsid w:val="00C16278"/>
    <w:pPr>
      <w:spacing w:before="120"/>
      <w:ind w:left="340" w:hanging="340"/>
    </w:pPr>
  </w:style>
  <w:style w:type="paragraph" w:customStyle="1" w:styleId="SideNote">
    <w:name w:val="Side Note"/>
    <w:basedOn w:val="BodyText"/>
    <w:next w:val="BodyText"/>
    <w:rsid w:val="00C1627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C16278"/>
    <w:pPr>
      <w:framePr w:wrap="around"/>
      <w:numPr>
        <w:numId w:val="3"/>
      </w:numPr>
      <w:tabs>
        <w:tab w:val="left" w:pos="227"/>
      </w:tabs>
    </w:pPr>
  </w:style>
  <w:style w:type="paragraph" w:customStyle="1" w:styleId="SideNoteGraphic">
    <w:name w:val="Side Note Graphic"/>
    <w:basedOn w:val="SideNote"/>
    <w:next w:val="BodyText"/>
    <w:rsid w:val="00C16278"/>
    <w:pPr>
      <w:framePr w:wrap="around"/>
    </w:pPr>
  </w:style>
  <w:style w:type="paragraph" w:customStyle="1" w:styleId="Source">
    <w:name w:val="Source"/>
    <w:basedOn w:val="Note"/>
    <w:next w:val="BodyText"/>
    <w:rsid w:val="00C16278"/>
    <w:pPr>
      <w:spacing w:after="120"/>
    </w:pPr>
  </w:style>
  <w:style w:type="paragraph" w:customStyle="1" w:styleId="TableBodyText">
    <w:name w:val="Table Body Text"/>
    <w:basedOn w:val="BodyText"/>
    <w:rsid w:val="00C1627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16278"/>
    <w:pPr>
      <w:numPr>
        <w:numId w:val="9"/>
      </w:numPr>
      <w:jc w:val="left"/>
    </w:pPr>
  </w:style>
  <w:style w:type="paragraph" w:customStyle="1" w:styleId="TableColumnHeading">
    <w:name w:val="Table Column Heading"/>
    <w:basedOn w:val="TableBodyText"/>
    <w:rsid w:val="00C16278"/>
    <w:pPr>
      <w:spacing w:before="80" w:after="80"/>
    </w:pPr>
    <w:rPr>
      <w:i/>
    </w:rPr>
  </w:style>
  <w:style w:type="paragraph" w:styleId="TableofFigures">
    <w:name w:val="table of figures"/>
    <w:basedOn w:val="TOC3"/>
    <w:next w:val="BodyText"/>
    <w:semiHidden/>
    <w:rsid w:val="00C16278"/>
    <w:pPr>
      <w:ind w:left="737" w:hanging="737"/>
    </w:pPr>
  </w:style>
  <w:style w:type="paragraph" w:styleId="TOC3">
    <w:name w:val="toc 3"/>
    <w:basedOn w:val="TOC2"/>
    <w:semiHidden/>
    <w:rsid w:val="00C16278"/>
    <w:pPr>
      <w:spacing w:before="60"/>
      <w:ind w:left="1190" w:hanging="680"/>
    </w:pPr>
    <w:rPr>
      <w:b w:val="0"/>
    </w:rPr>
  </w:style>
  <w:style w:type="paragraph" w:customStyle="1" w:styleId="TableTitle">
    <w:name w:val="Table Title"/>
    <w:basedOn w:val="Caption"/>
    <w:next w:val="Subtitle"/>
    <w:rsid w:val="00C16278"/>
    <w:rPr>
      <w:sz w:val="24"/>
    </w:rPr>
  </w:style>
  <w:style w:type="paragraph" w:customStyle="1" w:styleId="TableUnitsRow">
    <w:name w:val="Table Units Row"/>
    <w:basedOn w:val="TableBodyText"/>
    <w:rsid w:val="00C16278"/>
    <w:pPr>
      <w:spacing w:before="80" w:after="80"/>
    </w:pPr>
  </w:style>
  <w:style w:type="paragraph" w:styleId="TOC1">
    <w:name w:val="toc 1"/>
    <w:basedOn w:val="Normal"/>
    <w:next w:val="TOC2"/>
    <w:semiHidden/>
    <w:rsid w:val="00C16278"/>
    <w:pPr>
      <w:tabs>
        <w:tab w:val="right" w:pos="8789"/>
      </w:tabs>
      <w:spacing w:before="480" w:after="60" w:line="320" w:lineRule="exact"/>
      <w:ind w:left="1191" w:right="851" w:hanging="1191"/>
    </w:pPr>
    <w:rPr>
      <w:b/>
      <w:caps/>
    </w:rPr>
  </w:style>
  <w:style w:type="paragraph" w:styleId="TOC2">
    <w:name w:val="toc 2"/>
    <w:basedOn w:val="BodyText"/>
    <w:semiHidden/>
    <w:rsid w:val="00C16278"/>
    <w:pPr>
      <w:tabs>
        <w:tab w:val="right" w:pos="8789"/>
      </w:tabs>
      <w:ind w:left="510" w:right="851" w:hanging="510"/>
      <w:jc w:val="left"/>
    </w:pPr>
    <w:rPr>
      <w:b/>
    </w:rPr>
  </w:style>
  <w:style w:type="paragraph" w:styleId="TOC4">
    <w:name w:val="toc 4"/>
    <w:basedOn w:val="TOC3"/>
    <w:semiHidden/>
    <w:rsid w:val="00C16278"/>
    <w:pPr>
      <w:ind w:left="1191" w:firstLine="0"/>
    </w:pPr>
  </w:style>
  <w:style w:type="paragraph" w:customStyle="1" w:styleId="BoxContinued">
    <w:name w:val="Box Continued"/>
    <w:basedOn w:val="BodyText"/>
    <w:next w:val="BodyText"/>
    <w:rsid w:val="00C16278"/>
    <w:pPr>
      <w:spacing w:before="180" w:line="220" w:lineRule="exact"/>
      <w:jc w:val="right"/>
    </w:pPr>
    <w:rPr>
      <w:rFonts w:ascii="Arial" w:hAnsi="Arial"/>
      <w:sz w:val="18"/>
    </w:rPr>
  </w:style>
  <w:style w:type="paragraph" w:customStyle="1" w:styleId="Continued">
    <w:name w:val="Continued"/>
    <w:basedOn w:val="BoxContinued"/>
    <w:next w:val="BodyText"/>
    <w:rsid w:val="00C16278"/>
  </w:style>
  <w:style w:type="paragraph" w:customStyle="1" w:styleId="BoxHeading1">
    <w:name w:val="Box Heading 1"/>
    <w:basedOn w:val="BodyText"/>
    <w:next w:val="Box"/>
    <w:rsid w:val="00C16278"/>
    <w:pPr>
      <w:keepNext/>
      <w:spacing w:before="200" w:line="280" w:lineRule="atLeast"/>
    </w:pPr>
    <w:rPr>
      <w:rFonts w:ascii="Arial" w:hAnsi="Arial"/>
      <w:b/>
      <w:sz w:val="22"/>
    </w:rPr>
  </w:style>
  <w:style w:type="paragraph" w:customStyle="1" w:styleId="BoxHeading2">
    <w:name w:val="Box Heading 2"/>
    <w:basedOn w:val="BoxHeading1"/>
    <w:next w:val="Normal"/>
    <w:rsid w:val="00C16278"/>
    <w:rPr>
      <w:b w:val="0"/>
      <w:i/>
    </w:rPr>
  </w:style>
  <w:style w:type="character" w:styleId="Hyperlink">
    <w:name w:val="Hyperlink"/>
    <w:rsid w:val="00A33B72"/>
    <w:rPr>
      <w:color w:val="0000FF"/>
      <w:u w:val="single"/>
    </w:rPr>
  </w:style>
  <w:style w:type="paragraph" w:styleId="NormalWeb">
    <w:name w:val="Normal (Web)"/>
    <w:basedOn w:val="Normal"/>
    <w:uiPriority w:val="99"/>
    <w:rsid w:val="00DF1186"/>
    <w:pPr>
      <w:spacing w:before="100" w:beforeAutospacing="1" w:after="100" w:afterAutospacing="1"/>
    </w:pPr>
    <w:rPr>
      <w:rFonts w:ascii="Arial" w:hAnsi="Arial" w:cs="Arial"/>
      <w:color w:val="000000"/>
      <w:sz w:val="24"/>
      <w:lang w:eastAsia="ko-KR"/>
    </w:rPr>
  </w:style>
  <w:style w:type="paragraph" w:styleId="Date">
    <w:name w:val="Date"/>
    <w:basedOn w:val="Normal"/>
    <w:next w:val="Normal"/>
    <w:rsid w:val="007C70D7"/>
  </w:style>
  <w:style w:type="character" w:customStyle="1" w:styleId="BodyTextChar">
    <w:name w:val="Body Text Char"/>
    <w:link w:val="BodyText"/>
    <w:rsid w:val="00263F5E"/>
    <w:rPr>
      <w:sz w:val="26"/>
    </w:rPr>
  </w:style>
  <w:style w:type="character" w:customStyle="1" w:styleId="ListBullet2Char">
    <w:name w:val="List Bullet 2 Char"/>
    <w:basedOn w:val="BodyTextChar"/>
    <w:link w:val="ListBullet2"/>
    <w:rsid w:val="00263F5E"/>
    <w:rPr>
      <w:sz w:val="26"/>
    </w:rPr>
  </w:style>
  <w:style w:type="character" w:customStyle="1" w:styleId="BoxListBulletChar">
    <w:name w:val="Box List Bullet Char"/>
    <w:link w:val="BoxListBullet"/>
    <w:rsid w:val="00243287"/>
    <w:rPr>
      <w:rFonts w:ascii="Arial" w:hAnsi="Arial"/>
      <w:sz w:val="22"/>
    </w:rPr>
  </w:style>
  <w:style w:type="character" w:customStyle="1" w:styleId="BoxListBullet2Char">
    <w:name w:val="Box List Bullet 2 Char"/>
    <w:link w:val="BoxListBullet2"/>
    <w:rsid w:val="00243287"/>
    <w:rPr>
      <w:rFonts w:ascii="Arial" w:hAnsi="Arial"/>
      <w:sz w:val="22"/>
    </w:rPr>
  </w:style>
  <w:style w:type="paragraph" w:styleId="BalloonText">
    <w:name w:val="Balloon Text"/>
    <w:basedOn w:val="Normal"/>
    <w:link w:val="BalloonTextChar"/>
    <w:rsid w:val="00C16278"/>
    <w:rPr>
      <w:rFonts w:ascii="Tahoma" w:hAnsi="Tahoma" w:cs="Tahoma"/>
      <w:sz w:val="16"/>
      <w:szCs w:val="16"/>
    </w:rPr>
  </w:style>
  <w:style w:type="character" w:customStyle="1" w:styleId="CharChar">
    <w:name w:val="Char Char"/>
    <w:rsid w:val="00144BF7"/>
    <w:rPr>
      <w:color w:val="000000"/>
      <w:sz w:val="26"/>
      <w:lang w:val="en-AU" w:eastAsia="en-US" w:bidi="ar-SA"/>
    </w:rPr>
  </w:style>
  <w:style w:type="paragraph" w:customStyle="1" w:styleId="Jurisdictioncommentsbodytext">
    <w:name w:val="Jurisdiction comments body text"/>
    <w:rsid w:val="00C16278"/>
    <w:pPr>
      <w:spacing w:after="140"/>
      <w:jc w:val="both"/>
    </w:pPr>
    <w:rPr>
      <w:rFonts w:ascii="Arial" w:hAnsi="Arial"/>
      <w:sz w:val="24"/>
      <w:lang w:eastAsia="en-US"/>
    </w:rPr>
  </w:style>
  <w:style w:type="paragraph" w:customStyle="1" w:styleId="Jurisdictioncommentsheading">
    <w:name w:val="Jurisdiction comments heading"/>
    <w:rsid w:val="00C1627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16278"/>
    <w:pPr>
      <w:numPr>
        <w:numId w:val="12"/>
      </w:numPr>
      <w:spacing w:after="140"/>
      <w:jc w:val="both"/>
    </w:pPr>
    <w:rPr>
      <w:rFonts w:ascii="Arial" w:hAnsi="Arial"/>
      <w:sz w:val="24"/>
      <w:lang w:eastAsia="en-US"/>
    </w:rPr>
  </w:style>
  <w:style w:type="character" w:styleId="Emphasis">
    <w:name w:val="Emphasis"/>
    <w:basedOn w:val="DefaultParagraphFont"/>
    <w:rsid w:val="00C16278"/>
    <w:rPr>
      <w:i/>
      <w:iCs/>
    </w:rPr>
  </w:style>
  <w:style w:type="paragraph" w:styleId="Title">
    <w:name w:val="Title"/>
    <w:basedOn w:val="Normal"/>
    <w:qFormat/>
    <w:rsid w:val="006C2C28"/>
    <w:pPr>
      <w:spacing w:after="120"/>
      <w:jc w:val="center"/>
    </w:pPr>
    <w:rPr>
      <w:b/>
      <w:bCs/>
      <w:sz w:val="20"/>
    </w:rPr>
  </w:style>
  <w:style w:type="character" w:customStyle="1" w:styleId="searchword">
    <w:name w:val="searchword"/>
    <w:basedOn w:val="DefaultParagraphFont"/>
    <w:rsid w:val="00432EFB"/>
  </w:style>
  <w:style w:type="paragraph" w:customStyle="1" w:styleId="RecBBullet2">
    <w:name w:val="RecB Bullet 2"/>
    <w:basedOn w:val="ListBullet2"/>
    <w:semiHidden/>
    <w:rsid w:val="00C16278"/>
    <w:pPr>
      <w:pBdr>
        <w:left w:val="single" w:sz="24" w:space="29" w:color="C0C0C0"/>
      </w:pBdr>
    </w:pPr>
    <w:rPr>
      <w:b/>
      <w:i/>
    </w:rPr>
  </w:style>
  <w:style w:type="character" w:customStyle="1" w:styleId="BalloonTextChar">
    <w:name w:val="Balloon Text Char"/>
    <w:basedOn w:val="DefaultParagraphFont"/>
    <w:link w:val="BalloonText"/>
    <w:rsid w:val="00C16278"/>
    <w:rPr>
      <w:rFonts w:ascii="Tahoma" w:hAnsi="Tahoma" w:cs="Tahoma"/>
      <w:sz w:val="16"/>
      <w:szCs w:val="16"/>
    </w:rPr>
  </w:style>
  <w:style w:type="character" w:customStyle="1" w:styleId="SubtitleChar">
    <w:name w:val="Subtitle Char"/>
    <w:basedOn w:val="DefaultParagraphFont"/>
    <w:link w:val="Subtitle"/>
    <w:rsid w:val="00C16278"/>
    <w:rPr>
      <w:rFonts w:ascii="Arial" w:hAnsi="Arial"/>
      <w:szCs w:val="24"/>
    </w:rPr>
  </w:style>
  <w:style w:type="paragraph" w:customStyle="1" w:styleId="BoxListBullet3">
    <w:name w:val="Box List Bullet 3"/>
    <w:basedOn w:val="ListBullet3"/>
    <w:rsid w:val="00C16278"/>
    <w:pPr>
      <w:numPr>
        <w:numId w:val="17"/>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C16278"/>
    <w:pPr>
      <w:numPr>
        <w:numId w:val="15"/>
      </w:numPr>
      <w:ind w:left="568" w:hanging="284"/>
    </w:pPr>
  </w:style>
  <w:style w:type="paragraph" w:customStyle="1" w:styleId="InformationRequestBullet">
    <w:name w:val="Information Request Bullet"/>
    <w:basedOn w:val="ListBullet"/>
    <w:next w:val="BodyText"/>
    <w:rsid w:val="00C16278"/>
    <w:pPr>
      <w:numPr>
        <w:numId w:val="16"/>
      </w:numPr>
      <w:ind w:left="340" w:hanging="340"/>
    </w:pPr>
    <w:rPr>
      <w:rFonts w:ascii="Arial" w:hAnsi="Arial"/>
      <w:i/>
      <w:sz w:val="24"/>
    </w:rPr>
  </w:style>
  <w:style w:type="paragraph" w:customStyle="1" w:styleId="BoxSpaceAbove">
    <w:name w:val="Box Space Above"/>
    <w:basedOn w:val="BodyText"/>
    <w:rsid w:val="00C16278"/>
    <w:pPr>
      <w:keepNext/>
      <w:spacing w:before="360" w:line="80" w:lineRule="exact"/>
      <w:jc w:val="left"/>
    </w:pPr>
  </w:style>
  <w:style w:type="paragraph" w:customStyle="1" w:styleId="BoxSpaceBelow">
    <w:name w:val="Box Space Below"/>
    <w:basedOn w:val="Box"/>
    <w:rsid w:val="00C16278"/>
    <w:pPr>
      <w:keepNext w:val="0"/>
      <w:spacing w:before="60" w:after="60" w:line="80" w:lineRule="exact"/>
    </w:pPr>
    <w:rPr>
      <w:sz w:val="14"/>
    </w:rPr>
  </w:style>
  <w:style w:type="paragraph" w:customStyle="1" w:styleId="keypointboxlistbullet">
    <w:name w:val="key point box list bullet"/>
    <w:basedOn w:val="BoxListBullet"/>
    <w:qFormat/>
    <w:rsid w:val="00C078C9"/>
    <w:pPr>
      <w:tabs>
        <w:tab w:val="left" w:pos="284"/>
      </w:tabs>
      <w:spacing w:before="120"/>
    </w:pPr>
    <w:rPr>
      <w:rFonts w:ascii="Goudy Old Style" w:hAnsi="Goudy Old Style"/>
      <w:sz w:val="20"/>
    </w:rPr>
  </w:style>
  <w:style w:type="paragraph" w:customStyle="1" w:styleId="keypointboxlistbullet2">
    <w:name w:val="key point box list bullet 2"/>
    <w:basedOn w:val="BoxListBullet2"/>
    <w:qFormat/>
    <w:rsid w:val="00C078C9"/>
    <w:pPr>
      <w:tabs>
        <w:tab w:val="left" w:pos="284"/>
      </w:tabs>
    </w:pPr>
    <w:rPr>
      <w:rFonts w:ascii="Goudy Old Style" w:hAnsi="Goudy Old Styl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5123">
      <w:bodyDiv w:val="1"/>
      <w:marLeft w:val="0"/>
      <w:marRight w:val="0"/>
      <w:marTop w:val="0"/>
      <w:marBottom w:val="0"/>
      <w:divBdr>
        <w:top w:val="none" w:sz="0" w:space="0" w:color="auto"/>
        <w:left w:val="none" w:sz="0" w:space="0" w:color="auto"/>
        <w:bottom w:val="none" w:sz="0" w:space="0" w:color="auto"/>
        <w:right w:val="none" w:sz="0" w:space="0" w:color="auto"/>
      </w:divBdr>
      <w:divsChild>
        <w:div w:id="513689121">
          <w:marLeft w:val="2925"/>
          <w:marRight w:val="0"/>
          <w:marTop w:val="0"/>
          <w:marBottom w:val="0"/>
          <w:divBdr>
            <w:top w:val="none" w:sz="0" w:space="0" w:color="auto"/>
            <w:left w:val="none" w:sz="0" w:space="0" w:color="auto"/>
            <w:bottom w:val="none" w:sz="0" w:space="0" w:color="auto"/>
            <w:right w:val="none" w:sz="0" w:space="0" w:color="auto"/>
          </w:divBdr>
          <w:divsChild>
            <w:div w:id="1618104033">
              <w:marLeft w:val="0"/>
              <w:marRight w:val="0"/>
              <w:marTop w:val="0"/>
              <w:marBottom w:val="0"/>
              <w:divBdr>
                <w:top w:val="none" w:sz="0" w:space="0" w:color="auto"/>
                <w:left w:val="none" w:sz="0" w:space="0" w:color="auto"/>
                <w:bottom w:val="none" w:sz="0" w:space="0" w:color="auto"/>
                <w:right w:val="none" w:sz="0" w:space="0" w:color="auto"/>
              </w:divBdr>
              <w:divsChild>
                <w:div w:id="1011100334">
                  <w:marLeft w:val="0"/>
                  <w:marRight w:val="0"/>
                  <w:marTop w:val="0"/>
                  <w:marBottom w:val="0"/>
                  <w:divBdr>
                    <w:top w:val="none" w:sz="0" w:space="0" w:color="auto"/>
                    <w:left w:val="none" w:sz="0" w:space="0" w:color="auto"/>
                    <w:bottom w:val="none" w:sz="0" w:space="0" w:color="auto"/>
                    <w:right w:val="none" w:sz="0" w:space="0" w:color="auto"/>
                  </w:divBdr>
                  <w:divsChild>
                    <w:div w:id="143085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13320">
      <w:bodyDiv w:val="1"/>
      <w:marLeft w:val="0"/>
      <w:marRight w:val="0"/>
      <w:marTop w:val="0"/>
      <w:marBottom w:val="0"/>
      <w:divBdr>
        <w:top w:val="none" w:sz="0" w:space="0" w:color="auto"/>
        <w:left w:val="none" w:sz="0" w:space="0" w:color="auto"/>
        <w:bottom w:val="none" w:sz="0" w:space="0" w:color="auto"/>
        <w:right w:val="none" w:sz="0" w:space="0" w:color="auto"/>
      </w:divBdr>
    </w:div>
    <w:div w:id="218248851">
      <w:bodyDiv w:val="1"/>
      <w:marLeft w:val="0"/>
      <w:marRight w:val="0"/>
      <w:marTop w:val="0"/>
      <w:marBottom w:val="0"/>
      <w:divBdr>
        <w:top w:val="none" w:sz="0" w:space="0" w:color="auto"/>
        <w:left w:val="none" w:sz="0" w:space="0" w:color="auto"/>
        <w:bottom w:val="none" w:sz="0" w:space="0" w:color="auto"/>
        <w:right w:val="none" w:sz="0" w:space="0" w:color="auto"/>
      </w:divBdr>
      <w:divsChild>
        <w:div w:id="476268873">
          <w:marLeft w:val="2925"/>
          <w:marRight w:val="0"/>
          <w:marTop w:val="0"/>
          <w:marBottom w:val="0"/>
          <w:divBdr>
            <w:top w:val="none" w:sz="0" w:space="0" w:color="auto"/>
            <w:left w:val="none" w:sz="0" w:space="0" w:color="auto"/>
            <w:bottom w:val="none" w:sz="0" w:space="0" w:color="auto"/>
            <w:right w:val="none" w:sz="0" w:space="0" w:color="auto"/>
          </w:divBdr>
          <w:divsChild>
            <w:div w:id="82344289">
              <w:marLeft w:val="0"/>
              <w:marRight w:val="0"/>
              <w:marTop w:val="0"/>
              <w:marBottom w:val="0"/>
              <w:divBdr>
                <w:top w:val="none" w:sz="0" w:space="0" w:color="auto"/>
                <w:left w:val="none" w:sz="0" w:space="0" w:color="auto"/>
                <w:bottom w:val="none" w:sz="0" w:space="0" w:color="auto"/>
                <w:right w:val="none" w:sz="0" w:space="0" w:color="auto"/>
              </w:divBdr>
              <w:divsChild>
                <w:div w:id="1928809074">
                  <w:marLeft w:val="0"/>
                  <w:marRight w:val="0"/>
                  <w:marTop w:val="0"/>
                  <w:marBottom w:val="0"/>
                  <w:divBdr>
                    <w:top w:val="none" w:sz="0" w:space="0" w:color="auto"/>
                    <w:left w:val="none" w:sz="0" w:space="0" w:color="auto"/>
                    <w:bottom w:val="none" w:sz="0" w:space="0" w:color="auto"/>
                    <w:right w:val="none" w:sz="0" w:space="0" w:color="auto"/>
                  </w:divBdr>
                  <w:divsChild>
                    <w:div w:id="1189955075">
                      <w:marLeft w:val="0"/>
                      <w:marRight w:val="0"/>
                      <w:marTop w:val="0"/>
                      <w:marBottom w:val="0"/>
                      <w:divBdr>
                        <w:top w:val="none" w:sz="0" w:space="0" w:color="auto"/>
                        <w:left w:val="none" w:sz="0" w:space="0" w:color="auto"/>
                        <w:bottom w:val="none" w:sz="0" w:space="0" w:color="auto"/>
                        <w:right w:val="none" w:sz="0" w:space="0" w:color="auto"/>
                      </w:divBdr>
                      <w:divsChild>
                        <w:div w:id="1477382781">
                          <w:marLeft w:val="0"/>
                          <w:marRight w:val="0"/>
                          <w:marTop w:val="0"/>
                          <w:marBottom w:val="0"/>
                          <w:divBdr>
                            <w:top w:val="none" w:sz="0" w:space="0" w:color="auto"/>
                            <w:left w:val="none" w:sz="0" w:space="0" w:color="auto"/>
                            <w:bottom w:val="none" w:sz="0" w:space="0" w:color="auto"/>
                            <w:right w:val="none" w:sz="0" w:space="0" w:color="auto"/>
                          </w:divBdr>
                          <w:divsChild>
                            <w:div w:id="37496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2574166">
      <w:bodyDiv w:val="1"/>
      <w:marLeft w:val="0"/>
      <w:marRight w:val="0"/>
      <w:marTop w:val="0"/>
      <w:marBottom w:val="0"/>
      <w:divBdr>
        <w:top w:val="none" w:sz="0" w:space="0" w:color="auto"/>
        <w:left w:val="none" w:sz="0" w:space="0" w:color="auto"/>
        <w:bottom w:val="none" w:sz="0" w:space="0" w:color="auto"/>
        <w:right w:val="none" w:sz="0" w:space="0" w:color="auto"/>
      </w:divBdr>
      <w:divsChild>
        <w:div w:id="1244799209">
          <w:marLeft w:val="2925"/>
          <w:marRight w:val="0"/>
          <w:marTop w:val="0"/>
          <w:marBottom w:val="0"/>
          <w:divBdr>
            <w:top w:val="none" w:sz="0" w:space="0" w:color="auto"/>
            <w:left w:val="none" w:sz="0" w:space="0" w:color="auto"/>
            <w:bottom w:val="none" w:sz="0" w:space="0" w:color="auto"/>
            <w:right w:val="none" w:sz="0" w:space="0" w:color="auto"/>
          </w:divBdr>
          <w:divsChild>
            <w:div w:id="1848713821">
              <w:marLeft w:val="0"/>
              <w:marRight w:val="0"/>
              <w:marTop w:val="0"/>
              <w:marBottom w:val="0"/>
              <w:divBdr>
                <w:top w:val="none" w:sz="0" w:space="0" w:color="auto"/>
                <w:left w:val="none" w:sz="0" w:space="0" w:color="auto"/>
                <w:bottom w:val="none" w:sz="0" w:space="0" w:color="auto"/>
                <w:right w:val="none" w:sz="0" w:space="0" w:color="auto"/>
              </w:divBdr>
              <w:divsChild>
                <w:div w:id="1144156744">
                  <w:marLeft w:val="0"/>
                  <w:marRight w:val="0"/>
                  <w:marTop w:val="0"/>
                  <w:marBottom w:val="0"/>
                  <w:divBdr>
                    <w:top w:val="none" w:sz="0" w:space="0" w:color="auto"/>
                    <w:left w:val="none" w:sz="0" w:space="0" w:color="auto"/>
                    <w:bottom w:val="none" w:sz="0" w:space="0" w:color="auto"/>
                    <w:right w:val="none" w:sz="0" w:space="0" w:color="auto"/>
                  </w:divBdr>
                  <w:divsChild>
                    <w:div w:id="761102240">
                      <w:marLeft w:val="0"/>
                      <w:marRight w:val="0"/>
                      <w:marTop w:val="0"/>
                      <w:marBottom w:val="0"/>
                      <w:divBdr>
                        <w:top w:val="none" w:sz="0" w:space="0" w:color="auto"/>
                        <w:left w:val="none" w:sz="0" w:space="0" w:color="auto"/>
                        <w:bottom w:val="none" w:sz="0" w:space="0" w:color="auto"/>
                        <w:right w:val="none" w:sz="0" w:space="0" w:color="auto"/>
                      </w:divBdr>
                      <w:divsChild>
                        <w:div w:id="1593850545">
                          <w:marLeft w:val="0"/>
                          <w:marRight w:val="0"/>
                          <w:marTop w:val="0"/>
                          <w:marBottom w:val="0"/>
                          <w:divBdr>
                            <w:top w:val="none" w:sz="0" w:space="0" w:color="auto"/>
                            <w:left w:val="none" w:sz="0" w:space="0" w:color="auto"/>
                            <w:bottom w:val="none" w:sz="0" w:space="0" w:color="auto"/>
                            <w:right w:val="none" w:sz="0" w:space="0" w:color="auto"/>
                          </w:divBdr>
                          <w:divsChild>
                            <w:div w:id="66728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0267828">
      <w:bodyDiv w:val="1"/>
      <w:marLeft w:val="0"/>
      <w:marRight w:val="0"/>
      <w:marTop w:val="0"/>
      <w:marBottom w:val="0"/>
      <w:divBdr>
        <w:top w:val="none" w:sz="0" w:space="0" w:color="auto"/>
        <w:left w:val="none" w:sz="0" w:space="0" w:color="auto"/>
        <w:bottom w:val="none" w:sz="0" w:space="0" w:color="auto"/>
        <w:right w:val="none" w:sz="0" w:space="0" w:color="auto"/>
      </w:divBdr>
      <w:divsChild>
        <w:div w:id="148716602">
          <w:marLeft w:val="2925"/>
          <w:marRight w:val="0"/>
          <w:marTop w:val="0"/>
          <w:marBottom w:val="0"/>
          <w:divBdr>
            <w:top w:val="none" w:sz="0" w:space="0" w:color="auto"/>
            <w:left w:val="none" w:sz="0" w:space="0" w:color="auto"/>
            <w:bottom w:val="none" w:sz="0" w:space="0" w:color="auto"/>
            <w:right w:val="none" w:sz="0" w:space="0" w:color="auto"/>
          </w:divBdr>
          <w:divsChild>
            <w:div w:id="1837648391">
              <w:marLeft w:val="0"/>
              <w:marRight w:val="0"/>
              <w:marTop w:val="0"/>
              <w:marBottom w:val="0"/>
              <w:divBdr>
                <w:top w:val="none" w:sz="0" w:space="0" w:color="auto"/>
                <w:left w:val="none" w:sz="0" w:space="0" w:color="auto"/>
                <w:bottom w:val="none" w:sz="0" w:space="0" w:color="auto"/>
                <w:right w:val="none" w:sz="0" w:space="0" w:color="auto"/>
              </w:divBdr>
              <w:divsChild>
                <w:div w:id="842403113">
                  <w:marLeft w:val="0"/>
                  <w:marRight w:val="0"/>
                  <w:marTop w:val="0"/>
                  <w:marBottom w:val="0"/>
                  <w:divBdr>
                    <w:top w:val="none" w:sz="0" w:space="0" w:color="auto"/>
                    <w:left w:val="none" w:sz="0" w:space="0" w:color="auto"/>
                    <w:bottom w:val="none" w:sz="0" w:space="0" w:color="auto"/>
                    <w:right w:val="none" w:sz="0" w:space="0" w:color="auto"/>
                  </w:divBdr>
                  <w:divsChild>
                    <w:div w:id="1412384841">
                      <w:marLeft w:val="0"/>
                      <w:marRight w:val="0"/>
                      <w:marTop w:val="0"/>
                      <w:marBottom w:val="0"/>
                      <w:divBdr>
                        <w:top w:val="none" w:sz="0" w:space="0" w:color="auto"/>
                        <w:left w:val="none" w:sz="0" w:space="0" w:color="auto"/>
                        <w:bottom w:val="none" w:sz="0" w:space="0" w:color="auto"/>
                        <w:right w:val="none" w:sz="0" w:space="0" w:color="auto"/>
                      </w:divBdr>
                      <w:divsChild>
                        <w:div w:id="934021133">
                          <w:marLeft w:val="0"/>
                          <w:marRight w:val="0"/>
                          <w:marTop w:val="0"/>
                          <w:marBottom w:val="0"/>
                          <w:divBdr>
                            <w:top w:val="none" w:sz="0" w:space="0" w:color="auto"/>
                            <w:left w:val="none" w:sz="0" w:space="0" w:color="auto"/>
                            <w:bottom w:val="none" w:sz="0" w:space="0" w:color="auto"/>
                            <w:right w:val="none" w:sz="0" w:space="0" w:color="auto"/>
                          </w:divBdr>
                          <w:divsChild>
                            <w:div w:id="113587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415160">
      <w:bodyDiv w:val="1"/>
      <w:marLeft w:val="0"/>
      <w:marRight w:val="0"/>
      <w:marTop w:val="0"/>
      <w:marBottom w:val="0"/>
      <w:divBdr>
        <w:top w:val="none" w:sz="0" w:space="0" w:color="auto"/>
        <w:left w:val="none" w:sz="0" w:space="0" w:color="auto"/>
        <w:bottom w:val="none" w:sz="0" w:space="0" w:color="auto"/>
        <w:right w:val="none" w:sz="0" w:space="0" w:color="auto"/>
      </w:divBdr>
      <w:divsChild>
        <w:div w:id="890730095">
          <w:marLeft w:val="0"/>
          <w:marRight w:val="0"/>
          <w:marTop w:val="0"/>
          <w:marBottom w:val="0"/>
          <w:divBdr>
            <w:top w:val="none" w:sz="0" w:space="0" w:color="auto"/>
            <w:left w:val="none" w:sz="0" w:space="0" w:color="auto"/>
            <w:bottom w:val="none" w:sz="0" w:space="0" w:color="auto"/>
            <w:right w:val="none" w:sz="0" w:space="0" w:color="auto"/>
          </w:divBdr>
        </w:div>
      </w:divsChild>
    </w:div>
    <w:div w:id="689840656">
      <w:bodyDiv w:val="1"/>
      <w:marLeft w:val="0"/>
      <w:marRight w:val="0"/>
      <w:marTop w:val="0"/>
      <w:marBottom w:val="0"/>
      <w:divBdr>
        <w:top w:val="none" w:sz="0" w:space="0" w:color="auto"/>
        <w:left w:val="none" w:sz="0" w:space="0" w:color="auto"/>
        <w:bottom w:val="none" w:sz="0" w:space="0" w:color="auto"/>
        <w:right w:val="none" w:sz="0" w:space="0" w:color="auto"/>
      </w:divBdr>
      <w:divsChild>
        <w:div w:id="1931812253">
          <w:marLeft w:val="2925"/>
          <w:marRight w:val="0"/>
          <w:marTop w:val="0"/>
          <w:marBottom w:val="0"/>
          <w:divBdr>
            <w:top w:val="none" w:sz="0" w:space="0" w:color="auto"/>
            <w:left w:val="none" w:sz="0" w:space="0" w:color="auto"/>
            <w:bottom w:val="none" w:sz="0" w:space="0" w:color="auto"/>
            <w:right w:val="none" w:sz="0" w:space="0" w:color="auto"/>
          </w:divBdr>
          <w:divsChild>
            <w:div w:id="1402096001">
              <w:marLeft w:val="0"/>
              <w:marRight w:val="0"/>
              <w:marTop w:val="0"/>
              <w:marBottom w:val="0"/>
              <w:divBdr>
                <w:top w:val="none" w:sz="0" w:space="0" w:color="auto"/>
                <w:left w:val="none" w:sz="0" w:space="0" w:color="auto"/>
                <w:bottom w:val="none" w:sz="0" w:space="0" w:color="auto"/>
                <w:right w:val="none" w:sz="0" w:space="0" w:color="auto"/>
              </w:divBdr>
              <w:divsChild>
                <w:div w:id="1475247021">
                  <w:marLeft w:val="0"/>
                  <w:marRight w:val="0"/>
                  <w:marTop w:val="0"/>
                  <w:marBottom w:val="0"/>
                  <w:divBdr>
                    <w:top w:val="none" w:sz="0" w:space="0" w:color="auto"/>
                    <w:left w:val="none" w:sz="0" w:space="0" w:color="auto"/>
                    <w:bottom w:val="none" w:sz="0" w:space="0" w:color="auto"/>
                    <w:right w:val="none" w:sz="0" w:space="0" w:color="auto"/>
                  </w:divBdr>
                  <w:divsChild>
                    <w:div w:id="930046041">
                      <w:marLeft w:val="0"/>
                      <w:marRight w:val="0"/>
                      <w:marTop w:val="0"/>
                      <w:marBottom w:val="0"/>
                      <w:divBdr>
                        <w:top w:val="none" w:sz="0" w:space="0" w:color="auto"/>
                        <w:left w:val="none" w:sz="0" w:space="0" w:color="auto"/>
                        <w:bottom w:val="none" w:sz="0" w:space="0" w:color="auto"/>
                        <w:right w:val="none" w:sz="0" w:space="0" w:color="auto"/>
                      </w:divBdr>
                      <w:divsChild>
                        <w:div w:id="1442918645">
                          <w:marLeft w:val="0"/>
                          <w:marRight w:val="0"/>
                          <w:marTop w:val="0"/>
                          <w:marBottom w:val="0"/>
                          <w:divBdr>
                            <w:top w:val="none" w:sz="0" w:space="0" w:color="auto"/>
                            <w:left w:val="none" w:sz="0" w:space="0" w:color="auto"/>
                            <w:bottom w:val="none" w:sz="0" w:space="0" w:color="auto"/>
                            <w:right w:val="none" w:sz="0" w:space="0" w:color="auto"/>
                          </w:divBdr>
                          <w:divsChild>
                            <w:div w:id="44034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0396927">
      <w:bodyDiv w:val="1"/>
      <w:marLeft w:val="0"/>
      <w:marRight w:val="0"/>
      <w:marTop w:val="0"/>
      <w:marBottom w:val="0"/>
      <w:divBdr>
        <w:top w:val="none" w:sz="0" w:space="0" w:color="auto"/>
        <w:left w:val="none" w:sz="0" w:space="0" w:color="auto"/>
        <w:bottom w:val="none" w:sz="0" w:space="0" w:color="auto"/>
        <w:right w:val="none" w:sz="0" w:space="0" w:color="auto"/>
      </w:divBdr>
      <w:divsChild>
        <w:div w:id="918708065">
          <w:marLeft w:val="2442"/>
          <w:marRight w:val="0"/>
          <w:marTop w:val="0"/>
          <w:marBottom w:val="0"/>
          <w:divBdr>
            <w:top w:val="none" w:sz="0" w:space="0" w:color="auto"/>
            <w:left w:val="none" w:sz="0" w:space="0" w:color="auto"/>
            <w:bottom w:val="none" w:sz="0" w:space="0" w:color="auto"/>
            <w:right w:val="none" w:sz="0" w:space="0" w:color="auto"/>
          </w:divBdr>
          <w:divsChild>
            <w:div w:id="1378163265">
              <w:marLeft w:val="0"/>
              <w:marRight w:val="0"/>
              <w:marTop w:val="0"/>
              <w:marBottom w:val="0"/>
              <w:divBdr>
                <w:top w:val="none" w:sz="0" w:space="0" w:color="auto"/>
                <w:left w:val="none" w:sz="0" w:space="0" w:color="auto"/>
                <w:bottom w:val="none" w:sz="0" w:space="0" w:color="auto"/>
                <w:right w:val="none" w:sz="0" w:space="0" w:color="auto"/>
              </w:divBdr>
              <w:divsChild>
                <w:div w:id="1929582566">
                  <w:marLeft w:val="0"/>
                  <w:marRight w:val="0"/>
                  <w:marTop w:val="0"/>
                  <w:marBottom w:val="0"/>
                  <w:divBdr>
                    <w:top w:val="none" w:sz="0" w:space="0" w:color="auto"/>
                    <w:left w:val="none" w:sz="0" w:space="0" w:color="auto"/>
                    <w:bottom w:val="none" w:sz="0" w:space="0" w:color="auto"/>
                    <w:right w:val="none" w:sz="0" w:space="0" w:color="auto"/>
                  </w:divBdr>
                  <w:divsChild>
                    <w:div w:id="2132897699">
                      <w:marLeft w:val="0"/>
                      <w:marRight w:val="0"/>
                      <w:marTop w:val="0"/>
                      <w:marBottom w:val="0"/>
                      <w:divBdr>
                        <w:top w:val="none" w:sz="0" w:space="0" w:color="auto"/>
                        <w:left w:val="none" w:sz="0" w:space="0" w:color="auto"/>
                        <w:bottom w:val="none" w:sz="0" w:space="0" w:color="auto"/>
                        <w:right w:val="none" w:sz="0" w:space="0" w:color="auto"/>
                      </w:divBdr>
                      <w:divsChild>
                        <w:div w:id="3068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979981">
      <w:bodyDiv w:val="1"/>
      <w:marLeft w:val="0"/>
      <w:marRight w:val="0"/>
      <w:marTop w:val="0"/>
      <w:marBottom w:val="0"/>
      <w:divBdr>
        <w:top w:val="none" w:sz="0" w:space="0" w:color="auto"/>
        <w:left w:val="none" w:sz="0" w:space="0" w:color="auto"/>
        <w:bottom w:val="none" w:sz="0" w:space="0" w:color="auto"/>
        <w:right w:val="none" w:sz="0" w:space="0" w:color="auto"/>
      </w:divBdr>
      <w:divsChild>
        <w:div w:id="1176576277">
          <w:marLeft w:val="2925"/>
          <w:marRight w:val="0"/>
          <w:marTop w:val="0"/>
          <w:marBottom w:val="0"/>
          <w:divBdr>
            <w:top w:val="none" w:sz="0" w:space="0" w:color="auto"/>
            <w:left w:val="none" w:sz="0" w:space="0" w:color="auto"/>
            <w:bottom w:val="none" w:sz="0" w:space="0" w:color="auto"/>
            <w:right w:val="none" w:sz="0" w:space="0" w:color="auto"/>
          </w:divBdr>
          <w:divsChild>
            <w:div w:id="1099258264">
              <w:marLeft w:val="0"/>
              <w:marRight w:val="0"/>
              <w:marTop w:val="0"/>
              <w:marBottom w:val="0"/>
              <w:divBdr>
                <w:top w:val="none" w:sz="0" w:space="0" w:color="auto"/>
                <w:left w:val="none" w:sz="0" w:space="0" w:color="auto"/>
                <w:bottom w:val="none" w:sz="0" w:space="0" w:color="auto"/>
                <w:right w:val="none" w:sz="0" w:space="0" w:color="auto"/>
              </w:divBdr>
              <w:divsChild>
                <w:div w:id="82532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899238">
      <w:bodyDiv w:val="1"/>
      <w:marLeft w:val="0"/>
      <w:marRight w:val="0"/>
      <w:marTop w:val="0"/>
      <w:marBottom w:val="0"/>
      <w:divBdr>
        <w:top w:val="none" w:sz="0" w:space="0" w:color="auto"/>
        <w:left w:val="none" w:sz="0" w:space="0" w:color="auto"/>
        <w:bottom w:val="none" w:sz="0" w:space="0" w:color="auto"/>
        <w:right w:val="none" w:sz="0" w:space="0" w:color="auto"/>
      </w:divBdr>
      <w:divsChild>
        <w:div w:id="1333876566">
          <w:marLeft w:val="2925"/>
          <w:marRight w:val="0"/>
          <w:marTop w:val="0"/>
          <w:marBottom w:val="0"/>
          <w:divBdr>
            <w:top w:val="none" w:sz="0" w:space="0" w:color="auto"/>
            <w:left w:val="none" w:sz="0" w:space="0" w:color="auto"/>
            <w:bottom w:val="none" w:sz="0" w:space="0" w:color="auto"/>
            <w:right w:val="none" w:sz="0" w:space="0" w:color="auto"/>
          </w:divBdr>
          <w:divsChild>
            <w:div w:id="1537884493">
              <w:marLeft w:val="0"/>
              <w:marRight w:val="0"/>
              <w:marTop w:val="0"/>
              <w:marBottom w:val="0"/>
              <w:divBdr>
                <w:top w:val="none" w:sz="0" w:space="0" w:color="auto"/>
                <w:left w:val="none" w:sz="0" w:space="0" w:color="auto"/>
                <w:bottom w:val="none" w:sz="0" w:space="0" w:color="auto"/>
                <w:right w:val="none" w:sz="0" w:space="0" w:color="auto"/>
              </w:divBdr>
              <w:divsChild>
                <w:div w:id="832644084">
                  <w:marLeft w:val="0"/>
                  <w:marRight w:val="0"/>
                  <w:marTop w:val="0"/>
                  <w:marBottom w:val="0"/>
                  <w:divBdr>
                    <w:top w:val="none" w:sz="0" w:space="0" w:color="auto"/>
                    <w:left w:val="none" w:sz="0" w:space="0" w:color="auto"/>
                    <w:bottom w:val="none" w:sz="0" w:space="0" w:color="auto"/>
                    <w:right w:val="none" w:sz="0" w:space="0" w:color="auto"/>
                  </w:divBdr>
                  <w:divsChild>
                    <w:div w:id="210522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351302">
      <w:bodyDiv w:val="1"/>
      <w:marLeft w:val="0"/>
      <w:marRight w:val="0"/>
      <w:marTop w:val="0"/>
      <w:marBottom w:val="0"/>
      <w:divBdr>
        <w:top w:val="none" w:sz="0" w:space="0" w:color="auto"/>
        <w:left w:val="none" w:sz="0" w:space="0" w:color="auto"/>
        <w:bottom w:val="none" w:sz="0" w:space="0" w:color="auto"/>
        <w:right w:val="none" w:sz="0" w:space="0" w:color="auto"/>
      </w:divBdr>
      <w:divsChild>
        <w:div w:id="2108193375">
          <w:marLeft w:val="2925"/>
          <w:marRight w:val="0"/>
          <w:marTop w:val="0"/>
          <w:marBottom w:val="0"/>
          <w:divBdr>
            <w:top w:val="none" w:sz="0" w:space="0" w:color="auto"/>
            <w:left w:val="none" w:sz="0" w:space="0" w:color="auto"/>
            <w:bottom w:val="none" w:sz="0" w:space="0" w:color="auto"/>
            <w:right w:val="none" w:sz="0" w:space="0" w:color="auto"/>
          </w:divBdr>
          <w:divsChild>
            <w:div w:id="2116166398">
              <w:marLeft w:val="0"/>
              <w:marRight w:val="0"/>
              <w:marTop w:val="0"/>
              <w:marBottom w:val="0"/>
              <w:divBdr>
                <w:top w:val="none" w:sz="0" w:space="0" w:color="auto"/>
                <w:left w:val="none" w:sz="0" w:space="0" w:color="auto"/>
                <w:bottom w:val="none" w:sz="0" w:space="0" w:color="auto"/>
                <w:right w:val="none" w:sz="0" w:space="0" w:color="auto"/>
              </w:divBdr>
              <w:divsChild>
                <w:div w:id="683093926">
                  <w:marLeft w:val="0"/>
                  <w:marRight w:val="0"/>
                  <w:marTop w:val="0"/>
                  <w:marBottom w:val="0"/>
                  <w:divBdr>
                    <w:top w:val="none" w:sz="0" w:space="0" w:color="auto"/>
                    <w:left w:val="none" w:sz="0" w:space="0" w:color="auto"/>
                    <w:bottom w:val="none" w:sz="0" w:space="0" w:color="auto"/>
                    <w:right w:val="none" w:sz="0" w:space="0" w:color="auto"/>
                  </w:divBdr>
                  <w:divsChild>
                    <w:div w:id="1841773400">
                      <w:marLeft w:val="0"/>
                      <w:marRight w:val="0"/>
                      <w:marTop w:val="0"/>
                      <w:marBottom w:val="0"/>
                      <w:divBdr>
                        <w:top w:val="none" w:sz="0" w:space="0" w:color="auto"/>
                        <w:left w:val="none" w:sz="0" w:space="0" w:color="auto"/>
                        <w:bottom w:val="none" w:sz="0" w:space="0" w:color="auto"/>
                        <w:right w:val="none" w:sz="0" w:space="0" w:color="auto"/>
                      </w:divBdr>
                      <w:divsChild>
                        <w:div w:id="1546873136">
                          <w:marLeft w:val="0"/>
                          <w:marRight w:val="0"/>
                          <w:marTop w:val="0"/>
                          <w:marBottom w:val="0"/>
                          <w:divBdr>
                            <w:top w:val="none" w:sz="0" w:space="0" w:color="auto"/>
                            <w:left w:val="none" w:sz="0" w:space="0" w:color="auto"/>
                            <w:bottom w:val="none" w:sz="0" w:space="0" w:color="auto"/>
                            <w:right w:val="none" w:sz="0" w:space="0" w:color="auto"/>
                          </w:divBdr>
                          <w:divsChild>
                            <w:div w:id="112184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019483">
      <w:bodyDiv w:val="1"/>
      <w:marLeft w:val="0"/>
      <w:marRight w:val="0"/>
      <w:marTop w:val="0"/>
      <w:marBottom w:val="0"/>
      <w:divBdr>
        <w:top w:val="none" w:sz="0" w:space="0" w:color="auto"/>
        <w:left w:val="none" w:sz="0" w:space="0" w:color="auto"/>
        <w:bottom w:val="none" w:sz="0" w:space="0" w:color="auto"/>
        <w:right w:val="none" w:sz="0" w:space="0" w:color="auto"/>
      </w:divBdr>
      <w:divsChild>
        <w:div w:id="945818489">
          <w:marLeft w:val="2925"/>
          <w:marRight w:val="0"/>
          <w:marTop w:val="0"/>
          <w:marBottom w:val="0"/>
          <w:divBdr>
            <w:top w:val="none" w:sz="0" w:space="0" w:color="auto"/>
            <w:left w:val="none" w:sz="0" w:space="0" w:color="auto"/>
            <w:bottom w:val="none" w:sz="0" w:space="0" w:color="auto"/>
            <w:right w:val="none" w:sz="0" w:space="0" w:color="auto"/>
          </w:divBdr>
          <w:divsChild>
            <w:div w:id="1956523293">
              <w:marLeft w:val="0"/>
              <w:marRight w:val="0"/>
              <w:marTop w:val="0"/>
              <w:marBottom w:val="0"/>
              <w:divBdr>
                <w:top w:val="none" w:sz="0" w:space="0" w:color="auto"/>
                <w:left w:val="none" w:sz="0" w:space="0" w:color="auto"/>
                <w:bottom w:val="none" w:sz="0" w:space="0" w:color="auto"/>
                <w:right w:val="none" w:sz="0" w:space="0" w:color="auto"/>
              </w:divBdr>
              <w:divsChild>
                <w:div w:id="153183912">
                  <w:marLeft w:val="0"/>
                  <w:marRight w:val="0"/>
                  <w:marTop w:val="0"/>
                  <w:marBottom w:val="0"/>
                  <w:divBdr>
                    <w:top w:val="none" w:sz="0" w:space="0" w:color="auto"/>
                    <w:left w:val="none" w:sz="0" w:space="0" w:color="auto"/>
                    <w:bottom w:val="none" w:sz="0" w:space="0" w:color="auto"/>
                    <w:right w:val="none" w:sz="0" w:space="0" w:color="auto"/>
                  </w:divBdr>
                  <w:divsChild>
                    <w:div w:id="25875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732691">
      <w:bodyDiv w:val="1"/>
      <w:marLeft w:val="0"/>
      <w:marRight w:val="0"/>
      <w:marTop w:val="0"/>
      <w:marBottom w:val="0"/>
      <w:divBdr>
        <w:top w:val="none" w:sz="0" w:space="0" w:color="auto"/>
        <w:left w:val="none" w:sz="0" w:space="0" w:color="auto"/>
        <w:bottom w:val="none" w:sz="0" w:space="0" w:color="auto"/>
        <w:right w:val="none" w:sz="0" w:space="0" w:color="auto"/>
      </w:divBdr>
      <w:divsChild>
        <w:div w:id="759763621">
          <w:marLeft w:val="2925"/>
          <w:marRight w:val="0"/>
          <w:marTop w:val="0"/>
          <w:marBottom w:val="0"/>
          <w:divBdr>
            <w:top w:val="none" w:sz="0" w:space="0" w:color="auto"/>
            <w:left w:val="none" w:sz="0" w:space="0" w:color="auto"/>
            <w:bottom w:val="none" w:sz="0" w:space="0" w:color="auto"/>
            <w:right w:val="none" w:sz="0" w:space="0" w:color="auto"/>
          </w:divBdr>
          <w:divsChild>
            <w:div w:id="1818493419">
              <w:marLeft w:val="0"/>
              <w:marRight w:val="0"/>
              <w:marTop w:val="0"/>
              <w:marBottom w:val="0"/>
              <w:divBdr>
                <w:top w:val="none" w:sz="0" w:space="0" w:color="auto"/>
                <w:left w:val="none" w:sz="0" w:space="0" w:color="auto"/>
                <w:bottom w:val="none" w:sz="0" w:space="0" w:color="auto"/>
                <w:right w:val="none" w:sz="0" w:space="0" w:color="auto"/>
              </w:divBdr>
              <w:divsChild>
                <w:div w:id="491484177">
                  <w:marLeft w:val="0"/>
                  <w:marRight w:val="0"/>
                  <w:marTop w:val="0"/>
                  <w:marBottom w:val="0"/>
                  <w:divBdr>
                    <w:top w:val="none" w:sz="0" w:space="0" w:color="auto"/>
                    <w:left w:val="none" w:sz="0" w:space="0" w:color="auto"/>
                    <w:bottom w:val="none" w:sz="0" w:space="0" w:color="auto"/>
                    <w:right w:val="none" w:sz="0" w:space="0" w:color="auto"/>
                  </w:divBdr>
                  <w:divsChild>
                    <w:div w:id="2107800539">
                      <w:marLeft w:val="0"/>
                      <w:marRight w:val="0"/>
                      <w:marTop w:val="0"/>
                      <w:marBottom w:val="0"/>
                      <w:divBdr>
                        <w:top w:val="none" w:sz="0" w:space="0" w:color="auto"/>
                        <w:left w:val="none" w:sz="0" w:space="0" w:color="auto"/>
                        <w:bottom w:val="none" w:sz="0" w:space="0" w:color="auto"/>
                        <w:right w:val="none" w:sz="0" w:space="0" w:color="auto"/>
                      </w:divBdr>
                      <w:divsChild>
                        <w:div w:id="18238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072259">
      <w:bodyDiv w:val="1"/>
      <w:marLeft w:val="0"/>
      <w:marRight w:val="0"/>
      <w:marTop w:val="0"/>
      <w:marBottom w:val="0"/>
      <w:divBdr>
        <w:top w:val="none" w:sz="0" w:space="0" w:color="auto"/>
        <w:left w:val="none" w:sz="0" w:space="0" w:color="auto"/>
        <w:bottom w:val="none" w:sz="0" w:space="0" w:color="auto"/>
        <w:right w:val="none" w:sz="0" w:space="0" w:color="auto"/>
      </w:divBdr>
      <w:divsChild>
        <w:div w:id="653146381">
          <w:marLeft w:val="2925"/>
          <w:marRight w:val="0"/>
          <w:marTop w:val="0"/>
          <w:marBottom w:val="0"/>
          <w:divBdr>
            <w:top w:val="none" w:sz="0" w:space="0" w:color="auto"/>
            <w:left w:val="none" w:sz="0" w:space="0" w:color="auto"/>
            <w:bottom w:val="none" w:sz="0" w:space="0" w:color="auto"/>
            <w:right w:val="none" w:sz="0" w:space="0" w:color="auto"/>
          </w:divBdr>
          <w:divsChild>
            <w:div w:id="1293905522">
              <w:marLeft w:val="0"/>
              <w:marRight w:val="0"/>
              <w:marTop w:val="0"/>
              <w:marBottom w:val="0"/>
              <w:divBdr>
                <w:top w:val="none" w:sz="0" w:space="0" w:color="auto"/>
                <w:left w:val="none" w:sz="0" w:space="0" w:color="auto"/>
                <w:bottom w:val="none" w:sz="0" w:space="0" w:color="auto"/>
                <w:right w:val="none" w:sz="0" w:space="0" w:color="auto"/>
              </w:divBdr>
              <w:divsChild>
                <w:div w:id="8376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566036">
      <w:bodyDiv w:val="1"/>
      <w:marLeft w:val="0"/>
      <w:marRight w:val="0"/>
      <w:marTop w:val="0"/>
      <w:marBottom w:val="0"/>
      <w:divBdr>
        <w:top w:val="none" w:sz="0" w:space="0" w:color="auto"/>
        <w:left w:val="none" w:sz="0" w:space="0" w:color="auto"/>
        <w:bottom w:val="none" w:sz="0" w:space="0" w:color="auto"/>
        <w:right w:val="none" w:sz="0" w:space="0" w:color="auto"/>
      </w:divBdr>
    </w:div>
    <w:div w:id="1639726092">
      <w:bodyDiv w:val="1"/>
      <w:marLeft w:val="0"/>
      <w:marRight w:val="0"/>
      <w:marTop w:val="0"/>
      <w:marBottom w:val="0"/>
      <w:divBdr>
        <w:top w:val="none" w:sz="0" w:space="0" w:color="auto"/>
        <w:left w:val="none" w:sz="0" w:space="0" w:color="auto"/>
        <w:bottom w:val="none" w:sz="0" w:space="0" w:color="auto"/>
        <w:right w:val="none" w:sz="0" w:space="0" w:color="auto"/>
      </w:divBdr>
    </w:div>
    <w:div w:id="1704869046">
      <w:bodyDiv w:val="1"/>
      <w:marLeft w:val="0"/>
      <w:marRight w:val="0"/>
      <w:marTop w:val="0"/>
      <w:marBottom w:val="0"/>
      <w:divBdr>
        <w:top w:val="none" w:sz="0" w:space="0" w:color="auto"/>
        <w:left w:val="none" w:sz="0" w:space="0" w:color="auto"/>
        <w:bottom w:val="none" w:sz="0" w:space="0" w:color="auto"/>
        <w:right w:val="none" w:sz="0" w:space="0" w:color="auto"/>
      </w:divBdr>
      <w:divsChild>
        <w:div w:id="1510099125">
          <w:marLeft w:val="0"/>
          <w:marRight w:val="0"/>
          <w:marTop w:val="0"/>
          <w:marBottom w:val="0"/>
          <w:divBdr>
            <w:top w:val="none" w:sz="0" w:space="0" w:color="auto"/>
            <w:left w:val="none" w:sz="0" w:space="0" w:color="auto"/>
            <w:bottom w:val="none" w:sz="0" w:space="0" w:color="auto"/>
            <w:right w:val="none" w:sz="0" w:space="0" w:color="auto"/>
          </w:divBdr>
          <w:divsChild>
            <w:div w:id="1762531048">
              <w:marLeft w:val="0"/>
              <w:marRight w:val="0"/>
              <w:marTop w:val="0"/>
              <w:marBottom w:val="0"/>
              <w:divBdr>
                <w:top w:val="none" w:sz="0" w:space="0" w:color="auto"/>
                <w:left w:val="none" w:sz="0" w:space="0" w:color="auto"/>
                <w:bottom w:val="none" w:sz="0" w:space="0" w:color="auto"/>
                <w:right w:val="none" w:sz="0" w:space="0" w:color="auto"/>
              </w:divBdr>
              <w:divsChild>
                <w:div w:id="1508599317">
                  <w:marLeft w:val="0"/>
                  <w:marRight w:val="0"/>
                  <w:marTop w:val="0"/>
                  <w:marBottom w:val="0"/>
                  <w:divBdr>
                    <w:top w:val="none" w:sz="0" w:space="0" w:color="auto"/>
                    <w:left w:val="none" w:sz="0" w:space="0" w:color="auto"/>
                    <w:bottom w:val="none" w:sz="0" w:space="0" w:color="auto"/>
                    <w:right w:val="none" w:sz="0" w:space="0" w:color="auto"/>
                  </w:divBdr>
                  <w:divsChild>
                    <w:div w:id="17391872">
                      <w:marLeft w:val="0"/>
                      <w:marRight w:val="0"/>
                      <w:marTop w:val="0"/>
                      <w:marBottom w:val="0"/>
                      <w:divBdr>
                        <w:top w:val="none" w:sz="0" w:space="0" w:color="auto"/>
                        <w:left w:val="none" w:sz="0" w:space="0" w:color="auto"/>
                        <w:bottom w:val="none" w:sz="0" w:space="0" w:color="auto"/>
                        <w:right w:val="none" w:sz="0" w:space="0" w:color="auto"/>
                      </w:divBdr>
                      <w:divsChild>
                        <w:div w:id="34282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36F97-D7DA-4A98-B1B8-A8A39686E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12</Pages>
  <Words>2937</Words>
  <Characters>17755</Characters>
  <Application>Microsoft Office Word</Application>
  <DocSecurity>0</DocSecurity>
  <Lines>621</Lines>
  <Paragraphs>345</Paragraphs>
  <ScaleCrop>false</ScaleCrop>
  <HeadingPairs>
    <vt:vector size="2" baseType="variant">
      <vt:variant>
        <vt:lpstr>Title</vt:lpstr>
      </vt:variant>
      <vt:variant>
        <vt:i4>1</vt:i4>
      </vt:variant>
    </vt:vector>
  </HeadingPairs>
  <TitlesOfParts>
    <vt:vector size="1" baseType="lpstr">
      <vt:lpstr>Supporting research and related activities</vt:lpstr>
    </vt:vector>
  </TitlesOfParts>
  <Company>Productivity Commission</Company>
  <LinksUpToDate>false</LinksUpToDate>
  <CharactersWithSpaces>20409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research and related activities</dc:title>
  <dc:subject>Annual Report 2012-13</dc:subject>
  <dc:creator>Productivity Commission</dc:creator>
  <dc:description>E.</dc:description>
  <cp:lastModifiedBy>Productivity Commission</cp:lastModifiedBy>
  <cp:revision>2</cp:revision>
  <cp:lastPrinted>2013-09-16T01:50:00Z</cp:lastPrinted>
  <dcterms:created xsi:type="dcterms:W3CDTF">2013-10-10T00:14:00Z</dcterms:created>
  <dcterms:modified xsi:type="dcterms:W3CDTF">2013-10-10T00:14:00Z</dcterms:modified>
</cp:coreProperties>
</file>