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391" w:rsidRPr="00F57A6E" w:rsidRDefault="00A75BC5" w:rsidP="00A75BC5">
      <w:pPr>
        <w:pStyle w:val="Chapter"/>
        <w:ind w:left="907" w:hanging="907"/>
      </w:pPr>
      <w:bookmarkStart w:id="0" w:name="_AppendixNotByChapter"/>
      <w:bookmarkStart w:id="1" w:name="ChapterNumber"/>
      <w:bookmarkEnd w:id="0"/>
      <w:r>
        <w:t>A</w:t>
      </w:r>
      <w:bookmarkEnd w:id="1"/>
      <w:r>
        <w:tab/>
      </w:r>
      <w:bookmarkStart w:id="2" w:name="ChapterTitle"/>
      <w:r>
        <w:t>Management and accountability</w:t>
      </w:r>
      <w:bookmarkEnd w:id="2"/>
    </w:p>
    <w:p w:rsidR="00CE62EE" w:rsidRPr="00F57A6E" w:rsidRDefault="00CE62EE" w:rsidP="00CE62EE">
      <w:pPr>
        <w:pStyle w:val="ChapterSummary"/>
      </w:pPr>
      <w:bookmarkStart w:id="3" w:name="begin"/>
      <w:bookmarkEnd w:id="3"/>
      <w:r w:rsidRPr="00F57A6E">
        <w:t>This appendix provides information on the management and accountability of the Commission, as well as additional information in accordance with parliamentary requirements for departmental annual reports.</w:t>
      </w:r>
    </w:p>
    <w:p w:rsidR="00CE62EE" w:rsidRPr="00F57A6E" w:rsidRDefault="00CE62EE" w:rsidP="00CE62EE">
      <w:pPr>
        <w:pStyle w:val="Heading2"/>
      </w:pPr>
      <w:r w:rsidRPr="00F57A6E">
        <w:t>Overview</w:t>
      </w:r>
    </w:p>
    <w:p w:rsidR="00CE62EE" w:rsidRPr="00F57A6E" w:rsidRDefault="00CE62EE" w:rsidP="00CE62EE">
      <w:pPr>
        <w:pStyle w:val="Heading3"/>
      </w:pPr>
      <w:r w:rsidRPr="00F57A6E">
        <w:t>Role and structure</w:t>
      </w:r>
    </w:p>
    <w:p w:rsidR="00CE62EE" w:rsidRPr="00F57A6E" w:rsidRDefault="00CE62EE" w:rsidP="00CE62EE">
      <w:pPr>
        <w:pStyle w:val="BodyText"/>
      </w:pPr>
      <w:r w:rsidRPr="00F57A6E">
        <w:t xml:space="preserve">The Commission — established under the </w:t>
      </w:r>
      <w:r w:rsidRPr="00F57A6E">
        <w:rPr>
          <w:i/>
        </w:rPr>
        <w:t xml:space="preserve">Productivity Commission Act 1998 — </w:t>
      </w:r>
      <w:r w:rsidRPr="00F57A6E">
        <w:t xml:space="preserve">is the Australian Government’s </w:t>
      </w:r>
      <w:r w:rsidR="00915CC2" w:rsidRPr="00F57A6E">
        <w:t>independent research</w:t>
      </w:r>
      <w:r w:rsidRPr="00F57A6E">
        <w:t xml:space="preserve"> and advisory body on </w:t>
      </w:r>
      <w:r w:rsidR="00915CC2" w:rsidRPr="00F57A6E">
        <w:t>a range of economic, social and environmental issues affecting the welfare of Australians</w:t>
      </w:r>
      <w:r w:rsidRPr="00F57A6E">
        <w:t>. Information about the Commission’s objectives is contained in the overview to chapter 2. Further information on the Commission’s role is available on its website and in its first annual report (PC 1998</w:t>
      </w:r>
      <w:r w:rsidR="00451091" w:rsidRPr="00F57A6E">
        <w:t>a</w:t>
      </w:r>
      <w:r w:rsidRPr="00F57A6E">
        <w:t>, pp. 25–36).</w:t>
      </w:r>
    </w:p>
    <w:p w:rsidR="00CE62EE" w:rsidRPr="00F57A6E" w:rsidRDefault="00CE62EE" w:rsidP="00CE62EE">
      <w:pPr>
        <w:pStyle w:val="BodyText"/>
      </w:pPr>
      <w:r w:rsidRPr="00F57A6E">
        <w:t>The Commission comprises its Chair</w:t>
      </w:r>
      <w:r w:rsidR="001E3C5E">
        <w:t>man</w:t>
      </w:r>
      <w:r w:rsidRPr="00F57A6E">
        <w:t xml:space="preserve"> and between four and 11 other Commissioners, appointed by the Governor-General for periods of up to five years. Associate Commissioners can be appointed by the Treasurer for terms of up to five years or for the duration of specific inquiries. The work of the Commission is assisted by employees who are employed under the </w:t>
      </w:r>
      <w:r w:rsidRPr="00F57A6E">
        <w:rPr>
          <w:i/>
        </w:rPr>
        <w:t>Public Service Act 1999</w:t>
      </w:r>
      <w:r w:rsidRPr="00F57A6E">
        <w:t>.</w:t>
      </w:r>
    </w:p>
    <w:p w:rsidR="00CE62EE" w:rsidRDefault="00CE62EE" w:rsidP="00CE62EE">
      <w:pPr>
        <w:pStyle w:val="BodyText"/>
        <w:rPr>
          <w:spacing w:val="-2"/>
        </w:rPr>
      </w:pPr>
      <w:r w:rsidRPr="00F57A6E">
        <w:rPr>
          <w:spacing w:val="-2"/>
        </w:rPr>
        <w:t>The Commission’s structure and senior staff at 30 June 20</w:t>
      </w:r>
      <w:r w:rsidR="008A5F4B">
        <w:rPr>
          <w:spacing w:val="-2"/>
        </w:rPr>
        <w:t>1</w:t>
      </w:r>
      <w:r w:rsidR="00844AC1">
        <w:rPr>
          <w:spacing w:val="-2"/>
        </w:rPr>
        <w:t>4</w:t>
      </w:r>
      <w:r w:rsidR="00F74EB3" w:rsidRPr="00F57A6E">
        <w:rPr>
          <w:spacing w:val="-2"/>
        </w:rPr>
        <w:t xml:space="preserve"> </w:t>
      </w:r>
      <w:r w:rsidRPr="00F57A6E">
        <w:rPr>
          <w:spacing w:val="-2"/>
        </w:rPr>
        <w:t xml:space="preserve">are shown in figure </w:t>
      </w:r>
      <w:r w:rsidR="00EF3F41">
        <w:rPr>
          <w:spacing w:val="-2"/>
        </w:rPr>
        <w:t>A</w:t>
      </w:r>
      <w:r w:rsidRPr="00F57A6E">
        <w:rPr>
          <w:spacing w:val="-2"/>
        </w:rPr>
        <w:t>.1.</w:t>
      </w:r>
    </w:p>
    <w:p w:rsidR="00D41EC6" w:rsidRDefault="00D41EC6" w:rsidP="00CE62EE">
      <w:pPr>
        <w:pStyle w:val="BodyText"/>
        <w:rPr>
          <w:spacing w:val="-2"/>
        </w:rPr>
      </w:pPr>
    </w:p>
    <w:p w:rsidR="00D41EC6" w:rsidRDefault="00D41EC6" w:rsidP="00D41EC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41EC6" w:rsidTr="00D41EC6">
        <w:tc>
          <w:tcPr>
            <w:tcW w:w="8771" w:type="dxa"/>
            <w:tcBorders>
              <w:top w:val="single" w:sz="6" w:space="0" w:color="78A22F"/>
              <w:left w:val="nil"/>
              <w:bottom w:val="nil"/>
              <w:right w:val="nil"/>
            </w:tcBorders>
            <w:shd w:val="clear" w:color="auto" w:fill="auto"/>
          </w:tcPr>
          <w:p w:rsidR="00D41EC6" w:rsidRPr="00176D3F" w:rsidRDefault="00D41EC6" w:rsidP="00D41EC6">
            <w:pPr>
              <w:pStyle w:val="FigureTitle"/>
            </w:pPr>
            <w:r w:rsidRPr="00784A05">
              <w:rPr>
                <w:b w:val="0"/>
              </w:rPr>
              <w:t xml:space="preserve">Figure </w:t>
            </w:r>
            <w:r w:rsidRPr="00784A05">
              <w:rPr>
                <w:b w:val="0"/>
              </w:rPr>
              <w:fldChar w:fldCharType="begin"/>
            </w:r>
            <w:r w:rsidRPr="00784A05">
              <w:rPr>
                <w:b w:val="0"/>
              </w:rPr>
              <w:instrText xml:space="preserve"> COMMENTS  \* MERGEFORMAT </w:instrText>
            </w:r>
            <w:r w:rsidRPr="00784A05">
              <w:rPr>
                <w:b w:val="0"/>
              </w:rPr>
              <w:fldChar w:fldCharType="separate"/>
            </w:r>
            <w:r w:rsidR="00A75BC5">
              <w:rPr>
                <w:b w:val="0"/>
              </w:rPr>
              <w:t>A.</w:t>
            </w:r>
            <w:r w:rsidRPr="00784A05">
              <w:rPr>
                <w:b w:val="0"/>
              </w:rPr>
              <w:fldChar w:fldCharType="end"/>
            </w:r>
            <w:r w:rsidRPr="00784A05">
              <w:rPr>
                <w:b w:val="0"/>
              </w:rPr>
              <w:fldChar w:fldCharType="begin"/>
            </w:r>
            <w:r w:rsidRPr="00784A05">
              <w:rPr>
                <w:b w:val="0"/>
              </w:rPr>
              <w:instrText xml:space="preserve"> SEQ Figure \* ARABIC </w:instrText>
            </w:r>
            <w:r w:rsidRPr="00784A05">
              <w:rPr>
                <w:b w:val="0"/>
              </w:rPr>
              <w:fldChar w:fldCharType="separate"/>
            </w:r>
            <w:r w:rsidR="00380FE3">
              <w:rPr>
                <w:b w:val="0"/>
                <w:noProof/>
              </w:rPr>
              <w:t>1</w:t>
            </w:r>
            <w:r w:rsidRPr="00784A05">
              <w:rPr>
                <w:b w:val="0"/>
              </w:rPr>
              <w:fldChar w:fldCharType="end"/>
            </w:r>
            <w:r>
              <w:tab/>
            </w:r>
            <w:r w:rsidRPr="00F57A6E">
              <w:t>Productivity Commission structure and senior staff, 30 June 201</w:t>
            </w:r>
            <w:r>
              <w:t>4</w:t>
            </w:r>
          </w:p>
        </w:tc>
      </w:tr>
      <w:tr w:rsidR="00D41EC6" w:rsidTr="00D41EC6">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487"/>
            </w:tblGrid>
            <w:tr w:rsidR="00D41EC6" w:rsidTr="00D41EC6">
              <w:tc>
                <w:tcPr>
                  <w:tcW w:w="5000" w:type="pct"/>
                  <w:tcBorders>
                    <w:top w:val="nil"/>
                    <w:bottom w:val="nil"/>
                  </w:tcBorders>
                </w:tcPr>
                <w:p w:rsidR="00D41EC6" w:rsidRDefault="009744A3" w:rsidP="00D41EC6">
                  <w:pPr>
                    <w:pStyle w:val="Figure"/>
                    <w:spacing w:before="60" w:after="60"/>
                  </w:pPr>
                  <w:r>
                    <w:rPr>
                      <w:noProof/>
                    </w:rPr>
                    <w:drawing>
                      <wp:inline distT="0" distB="0" distL="0" distR="0">
                        <wp:extent cx="5391150" cy="4210050"/>
                        <wp:effectExtent l="0" t="0" r="0" b="0"/>
                        <wp:docPr id="1" name="Picture 1" descr="Productivity Organisation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1150" cy="4210050"/>
                                </a:xfrm>
                                <a:prstGeom prst="rect">
                                  <a:avLst/>
                                </a:prstGeom>
                                <a:noFill/>
                                <a:ln>
                                  <a:noFill/>
                                </a:ln>
                              </pic:spPr>
                            </pic:pic>
                          </a:graphicData>
                        </a:graphic>
                      </wp:inline>
                    </w:drawing>
                  </w:r>
                </w:p>
              </w:tc>
            </w:tr>
          </w:tbl>
          <w:p w:rsidR="00D41EC6" w:rsidRDefault="00D41EC6" w:rsidP="00D41EC6">
            <w:pPr>
              <w:pStyle w:val="Figure"/>
            </w:pPr>
          </w:p>
        </w:tc>
      </w:tr>
      <w:tr w:rsidR="00D41EC6" w:rsidTr="00D41EC6">
        <w:tc>
          <w:tcPr>
            <w:tcW w:w="8771" w:type="dxa"/>
            <w:tcBorders>
              <w:top w:val="nil"/>
              <w:left w:val="nil"/>
              <w:bottom w:val="single" w:sz="6" w:space="0" w:color="78A22F"/>
              <w:right w:val="nil"/>
            </w:tcBorders>
            <w:shd w:val="clear" w:color="auto" w:fill="auto"/>
          </w:tcPr>
          <w:p w:rsidR="00D41EC6" w:rsidRDefault="00D41EC6" w:rsidP="00D41EC6">
            <w:pPr>
              <w:pStyle w:val="Figurespace"/>
            </w:pPr>
          </w:p>
        </w:tc>
      </w:tr>
      <w:tr w:rsidR="00D41EC6" w:rsidRPr="000863A5" w:rsidTr="00D41EC6">
        <w:tc>
          <w:tcPr>
            <w:tcW w:w="8771" w:type="dxa"/>
            <w:tcBorders>
              <w:top w:val="single" w:sz="6" w:space="0" w:color="78A22F"/>
              <w:left w:val="nil"/>
              <w:bottom w:val="nil"/>
              <w:right w:val="nil"/>
            </w:tcBorders>
          </w:tcPr>
          <w:p w:rsidR="00D41EC6" w:rsidRPr="00626D32" w:rsidRDefault="00D41EC6" w:rsidP="00D41EC6">
            <w:pPr>
              <w:pStyle w:val="BoxSpaceBelow"/>
            </w:pPr>
          </w:p>
        </w:tc>
      </w:tr>
    </w:tbl>
    <w:p w:rsidR="0064146D" w:rsidRPr="00F57A6E" w:rsidRDefault="0064146D" w:rsidP="0064146D">
      <w:pPr>
        <w:pStyle w:val="Heading3"/>
      </w:pPr>
      <w:r w:rsidRPr="00F57A6E">
        <w:t>Commissioners</w:t>
      </w:r>
    </w:p>
    <w:p w:rsidR="00850758" w:rsidRDefault="00850758" w:rsidP="00850758">
      <w:pPr>
        <w:pStyle w:val="BodyText"/>
      </w:pPr>
      <w:r w:rsidRPr="00F57A6E">
        <w:t>At 30 June 201</w:t>
      </w:r>
      <w:r w:rsidR="00AC61B4">
        <w:t>4</w:t>
      </w:r>
      <w:r w:rsidRPr="00F57A6E">
        <w:t xml:space="preserve"> there were eleven members of the Commission, including the Chair</w:t>
      </w:r>
      <w:r w:rsidR="001E3C5E">
        <w:t>man</w:t>
      </w:r>
      <w:r w:rsidRPr="00F57A6E">
        <w:t xml:space="preserve">. </w:t>
      </w:r>
      <w:r w:rsidR="003A698D">
        <w:t xml:space="preserve">Five </w:t>
      </w:r>
      <w:r w:rsidRPr="00F57A6E">
        <w:t>Commissioners held part-time appointments</w:t>
      </w:r>
      <w:r w:rsidR="00C04D09">
        <w:t xml:space="preserve">. </w:t>
      </w:r>
      <w:r w:rsidR="00AC61B4">
        <w:t xml:space="preserve">One </w:t>
      </w:r>
      <w:r w:rsidR="00C04D09">
        <w:t xml:space="preserve">Commissioner </w:t>
      </w:r>
      <w:r w:rsidR="00844AC1">
        <w:t>was</w:t>
      </w:r>
      <w:r w:rsidR="00AC61B4">
        <w:t xml:space="preserve"> </w:t>
      </w:r>
      <w:r w:rsidRPr="00F57A6E">
        <w:t>on long</w:t>
      </w:r>
      <w:r w:rsidR="00C40540">
        <w:t>-</w:t>
      </w:r>
      <w:r w:rsidRPr="00F57A6E">
        <w:t>te</w:t>
      </w:r>
      <w:r w:rsidR="00C40540">
        <w:t>r</w:t>
      </w:r>
      <w:r w:rsidRPr="00F57A6E">
        <w:t xml:space="preserve">m leave </w:t>
      </w:r>
      <w:r w:rsidR="00C04D09">
        <w:t xml:space="preserve">of absence to undertake </w:t>
      </w:r>
      <w:r w:rsidR="00AC61B4">
        <w:t>an</w:t>
      </w:r>
      <w:r w:rsidR="00C04D09">
        <w:t>other senior appointment</w:t>
      </w:r>
      <w:r w:rsidRPr="00F57A6E">
        <w:t>.</w:t>
      </w:r>
    </w:p>
    <w:p w:rsidR="00AC61B4" w:rsidRDefault="00AC61B4" w:rsidP="00AC61B4">
      <w:pPr>
        <w:pStyle w:val="BodyText"/>
      </w:pPr>
      <w:r>
        <w:t>Ms Karen Chester was appointed as a full-time Commissioner on 12 December 2013 for a period of five years. Prior to her appointment, Ms Chester was a Partner in Mercer's Investments business and Global Head of Infrastructure. Before joining Mercer, she was a Partner at Access Capital Advisers</w:t>
      </w:r>
      <w:r w:rsidR="00927E0E">
        <w:t xml:space="preserve"> (and</w:t>
      </w:r>
      <w:r w:rsidR="00927E0E" w:rsidRPr="00927E0E">
        <w:t xml:space="preserve"> CEO of its predecessor, Access Economics</w:t>
      </w:r>
      <w:r w:rsidR="00927E0E">
        <w:t>)</w:t>
      </w:r>
      <w:r>
        <w:t xml:space="preserve"> and held directorships on several Australian infrastructure company boards. Before her move to the private sector, </w:t>
      </w:r>
      <w:r w:rsidR="00927E0E">
        <w:t>Ms Chester</w:t>
      </w:r>
      <w:r>
        <w:t xml:space="preserve"> held senior roles in key economic policy areas of the Commonwealth Treasury and the Department of P</w:t>
      </w:r>
      <w:r w:rsidR="00927E0E">
        <w:t>rime Minister and Cabinet.  Ms Chester</w:t>
      </w:r>
      <w:r>
        <w:t xml:space="preserve"> has a first class honours degree in economics from the University of Queensland and is a graduate of the Australian Institute of Company Directors.</w:t>
      </w:r>
    </w:p>
    <w:p w:rsidR="00AC61B4" w:rsidRDefault="00AC61B4" w:rsidP="0091509A">
      <w:pPr>
        <w:pStyle w:val="BodyText"/>
      </w:pPr>
      <w:r>
        <w:lastRenderedPageBreak/>
        <w:t xml:space="preserve">Mr Philip Weickhardt was re-appointed as a part-time Commissioner for a period of one year from 12 December 2013.  </w:t>
      </w:r>
    </w:p>
    <w:p w:rsidR="00337181" w:rsidRDefault="00337181" w:rsidP="0091509A">
      <w:pPr>
        <w:pStyle w:val="BodyText"/>
      </w:pPr>
      <w:r>
        <w:t xml:space="preserve">Mr Robert Fitzgerald AM was re-appointed as a full-time Commissioner for a period of five years from 26 January 2014.  </w:t>
      </w:r>
      <w:r w:rsidRPr="00337181">
        <w:t>He is currently on leave from the Commission, pending the completion of his appointment as a Commissioner on the Royal Commission into Institutional Responses to Child Sexual Abuse.</w:t>
      </w:r>
    </w:p>
    <w:p w:rsidR="00462B90" w:rsidRPr="00AD7445" w:rsidRDefault="00462B90" w:rsidP="0091509A">
      <w:pPr>
        <w:pStyle w:val="BodyText"/>
      </w:pPr>
      <w:r>
        <w:t xml:space="preserve">Ms Wendy </w:t>
      </w:r>
      <w:proofErr w:type="spellStart"/>
      <w:r>
        <w:t>Craik</w:t>
      </w:r>
      <w:proofErr w:type="spellEnd"/>
      <w:r>
        <w:t xml:space="preserve"> </w:t>
      </w:r>
      <w:r w:rsidR="00337181">
        <w:t xml:space="preserve">AM </w:t>
      </w:r>
      <w:r>
        <w:t>was re-appointed as a part-time Commissioner from 4 June 2014 to 31 December 2014.</w:t>
      </w:r>
    </w:p>
    <w:p w:rsidR="00AD7445" w:rsidRDefault="00AD7445" w:rsidP="00B4343F">
      <w:pPr>
        <w:pStyle w:val="BodyText"/>
      </w:pPr>
      <w:r w:rsidRPr="00AD7445">
        <w:t>Biographical information on all Commissioners is available on the Commission’s website and their terms of appointment are listed in table A1.1 of Attachment A1.</w:t>
      </w:r>
    </w:p>
    <w:p w:rsidR="004C26E0" w:rsidRPr="00F57A6E" w:rsidRDefault="004C26E0" w:rsidP="004C26E0">
      <w:pPr>
        <w:pStyle w:val="Heading3"/>
      </w:pPr>
      <w:r w:rsidRPr="00F57A6E">
        <w:t>Associate Commissioners</w:t>
      </w:r>
    </w:p>
    <w:p w:rsidR="004C26E0" w:rsidRDefault="004C26E0" w:rsidP="004C26E0">
      <w:pPr>
        <w:pStyle w:val="BodyText"/>
      </w:pPr>
      <w:r w:rsidRPr="00F57A6E">
        <w:t>At 30 June 201</w:t>
      </w:r>
      <w:r w:rsidR="003F40A5">
        <w:t>4</w:t>
      </w:r>
      <w:r w:rsidRPr="00F57A6E">
        <w:t xml:space="preserve">, </w:t>
      </w:r>
      <w:r w:rsidR="003F40A5">
        <w:t xml:space="preserve">there were no current </w:t>
      </w:r>
      <w:r w:rsidRPr="00F57A6E">
        <w:t>Associate Commissioner ap</w:t>
      </w:r>
      <w:r>
        <w:t>pointment</w:t>
      </w:r>
      <w:r w:rsidR="003F40A5">
        <w:t>s.</w:t>
      </w:r>
      <w:r w:rsidRPr="008844C4">
        <w:t xml:space="preserve"> </w:t>
      </w:r>
    </w:p>
    <w:p w:rsidR="004C26E0" w:rsidRDefault="003F40A5" w:rsidP="00B46530">
      <w:pPr>
        <w:pStyle w:val="BodyText"/>
      </w:pPr>
      <w:r>
        <w:t xml:space="preserve">During 2013-14, </w:t>
      </w:r>
      <w:r w:rsidR="004C26E0">
        <w:t xml:space="preserve">Mr Paul </w:t>
      </w:r>
      <w:proofErr w:type="spellStart"/>
      <w:r>
        <w:t>Lindwall</w:t>
      </w:r>
      <w:proofErr w:type="spellEnd"/>
      <w:r w:rsidR="004C26E0">
        <w:t xml:space="preserve"> was appointed </w:t>
      </w:r>
      <w:r w:rsidR="00844AC1">
        <w:t xml:space="preserve">as an Associate Commissioner </w:t>
      </w:r>
      <w:r w:rsidR="004C26E0">
        <w:t xml:space="preserve">on a </w:t>
      </w:r>
      <w:r>
        <w:t>full</w:t>
      </w:r>
      <w:r w:rsidR="004C26E0">
        <w:t>-time basis for the duration of the inquir</w:t>
      </w:r>
      <w:r>
        <w:t>y</w:t>
      </w:r>
      <w:r w:rsidR="004C26E0" w:rsidRPr="008844C4">
        <w:t xml:space="preserve"> into </w:t>
      </w:r>
      <w:r w:rsidR="00473531">
        <w:t xml:space="preserve">public </w:t>
      </w:r>
      <w:r>
        <w:t>infrastructure.</w:t>
      </w:r>
      <w:r w:rsidR="00B46530">
        <w:t xml:space="preserve"> Mr </w:t>
      </w:r>
      <w:proofErr w:type="spellStart"/>
      <w:r w:rsidR="00B46530">
        <w:t>Lindwall</w:t>
      </w:r>
      <w:proofErr w:type="spellEnd"/>
      <w:r w:rsidR="0008057C">
        <w:t xml:space="preserve"> had</w:t>
      </w:r>
      <w:r w:rsidR="00B46530">
        <w:t xml:space="preserve"> previously served as a senior official with the Australian Treasury, the Department of Finance and the Productivity Commission</w:t>
      </w:r>
      <w:r w:rsidR="003F2A70">
        <w:t>, with his work</w:t>
      </w:r>
      <w:r w:rsidR="00844AC1">
        <w:t xml:space="preserve"> </w:t>
      </w:r>
      <w:r w:rsidR="00B46530">
        <w:t>focus</w:t>
      </w:r>
      <w:r w:rsidR="003F2A70">
        <w:t>sing</w:t>
      </w:r>
      <w:r w:rsidR="00B46530">
        <w:t xml:space="preserve"> on macroeconomic policy, financial markets and social policy. He has represented Australia at the Organisation for Economic Co-operation and Development (OECD) and the European Union and worked as a senior adviser to then Treasurer and Leader of the Opposition. Most recently he has been a consultant at the OECD in Paris. At the Productivity Commission, Mr </w:t>
      </w:r>
      <w:proofErr w:type="spellStart"/>
      <w:r w:rsidR="00B46530">
        <w:t>Lindwall</w:t>
      </w:r>
      <w:proofErr w:type="spellEnd"/>
      <w:r w:rsidR="00B46530">
        <w:t xml:space="preserve"> worked on the </w:t>
      </w:r>
      <w:r w:rsidR="00B46530" w:rsidRPr="00E611D5">
        <w:rPr>
          <w:i/>
        </w:rPr>
        <w:t>Caring for Older Australians</w:t>
      </w:r>
      <w:r w:rsidR="00B46530">
        <w:t xml:space="preserve"> inquiry and the </w:t>
      </w:r>
      <w:r w:rsidR="00B46530" w:rsidRPr="00E611D5">
        <w:rPr>
          <w:i/>
        </w:rPr>
        <w:t>Contribution of the Not-for-Profit Sector</w:t>
      </w:r>
      <w:r w:rsidR="00B46530">
        <w:t xml:space="preserve"> study.</w:t>
      </w:r>
    </w:p>
    <w:p w:rsidR="004C26E0" w:rsidRPr="00F57A6E" w:rsidRDefault="003F40A5" w:rsidP="004C26E0">
      <w:pPr>
        <w:pStyle w:val="BodyText"/>
      </w:pPr>
      <w:r>
        <w:t>Other</w:t>
      </w:r>
      <w:r w:rsidR="00B46530">
        <w:t xml:space="preserve"> </w:t>
      </w:r>
      <w:r w:rsidR="004C26E0" w:rsidRPr="00F57A6E">
        <w:t>Associate Commissioner appointments completed during 201</w:t>
      </w:r>
      <w:r w:rsidR="002361B9">
        <w:t>3</w:t>
      </w:r>
      <w:r w:rsidR="004C26E0">
        <w:t>-1</w:t>
      </w:r>
      <w:r w:rsidR="002361B9">
        <w:t>4</w:t>
      </w:r>
      <w:r w:rsidR="004C26E0">
        <w:t xml:space="preserve"> are listed in table A1.3 of Attachment A</w:t>
      </w:r>
      <w:r w:rsidR="004C26E0" w:rsidRPr="00F57A6E">
        <w:t>1.</w:t>
      </w:r>
    </w:p>
    <w:p w:rsidR="00CE62EE" w:rsidRPr="00F57A6E" w:rsidRDefault="00CE62EE" w:rsidP="005E1E6B">
      <w:pPr>
        <w:pStyle w:val="Heading3"/>
      </w:pPr>
      <w:r w:rsidRPr="00F57A6E">
        <w:t>Staff</w:t>
      </w:r>
    </w:p>
    <w:p w:rsidR="00850758" w:rsidRPr="00F57A6E" w:rsidRDefault="00850758" w:rsidP="00850758">
      <w:pPr>
        <w:pStyle w:val="BodyText"/>
      </w:pPr>
      <w:r w:rsidRPr="00F57A6E">
        <w:t>The average staffing level during 201</w:t>
      </w:r>
      <w:r w:rsidR="00B715E6">
        <w:t>3</w:t>
      </w:r>
      <w:r w:rsidRPr="00F57A6E">
        <w:t>-1</w:t>
      </w:r>
      <w:r w:rsidR="00B715E6">
        <w:t>4</w:t>
      </w:r>
      <w:r w:rsidRPr="00F57A6E">
        <w:t xml:space="preserve"> was </w:t>
      </w:r>
      <w:r w:rsidR="00462B90">
        <w:t xml:space="preserve">185 </w:t>
      </w:r>
      <w:r w:rsidRPr="00F57A6E">
        <w:t xml:space="preserve">compared to </w:t>
      </w:r>
      <w:r w:rsidR="00927E0E">
        <w:t>199</w:t>
      </w:r>
      <w:r w:rsidR="00927E0E" w:rsidRPr="00F57A6E">
        <w:t xml:space="preserve"> </w:t>
      </w:r>
      <w:r w:rsidRPr="00F57A6E">
        <w:t>in 20</w:t>
      </w:r>
      <w:r w:rsidR="0081571A">
        <w:t>1</w:t>
      </w:r>
      <w:r w:rsidR="00927E0E">
        <w:t>2</w:t>
      </w:r>
      <w:r w:rsidR="0081571A">
        <w:t>-1</w:t>
      </w:r>
      <w:r w:rsidR="00927E0E">
        <w:t>3</w:t>
      </w:r>
      <w:r w:rsidRPr="00F57A6E">
        <w:t>.</w:t>
      </w:r>
    </w:p>
    <w:p w:rsidR="00850758" w:rsidRPr="00F57A6E" w:rsidRDefault="00850758" w:rsidP="00850758">
      <w:pPr>
        <w:pStyle w:val="BodyText"/>
      </w:pPr>
      <w:r w:rsidRPr="00F57A6E">
        <w:t xml:space="preserve">The Commission recruited </w:t>
      </w:r>
      <w:r w:rsidR="00462B90">
        <w:t>11</w:t>
      </w:r>
      <w:r w:rsidR="00927E0E">
        <w:t xml:space="preserve"> </w:t>
      </w:r>
      <w:r w:rsidRPr="00F57A6E">
        <w:t xml:space="preserve">staff during the year, including </w:t>
      </w:r>
      <w:r w:rsidR="00462B90">
        <w:t xml:space="preserve">seven </w:t>
      </w:r>
      <w:r w:rsidRPr="00F57A6E">
        <w:t>through its graduate recruitment program. St</w:t>
      </w:r>
      <w:r w:rsidR="00F22EF6">
        <w:t xml:space="preserve">aff turnover was approximately </w:t>
      </w:r>
      <w:r w:rsidR="008236C8">
        <w:t>1</w:t>
      </w:r>
      <w:r w:rsidR="00462B90">
        <w:t>8</w:t>
      </w:r>
      <w:r w:rsidR="00DE2245">
        <w:t xml:space="preserve"> </w:t>
      </w:r>
      <w:r w:rsidRPr="00F57A6E">
        <w:t xml:space="preserve">per cent. </w:t>
      </w:r>
    </w:p>
    <w:p w:rsidR="00CE62EE" w:rsidRPr="00F57A6E" w:rsidRDefault="00CE62EE" w:rsidP="005E1E6B">
      <w:pPr>
        <w:pStyle w:val="BodyText"/>
      </w:pPr>
      <w:r w:rsidRPr="00F57A6E">
        <w:t xml:space="preserve">Statistical information on staffing is provided in tables </w:t>
      </w:r>
      <w:r w:rsidR="00F22EF6">
        <w:t>A</w:t>
      </w:r>
      <w:r w:rsidRPr="00F57A6E">
        <w:t>1.</w:t>
      </w:r>
      <w:r w:rsidR="00FA296B">
        <w:t>3</w:t>
      </w:r>
      <w:r w:rsidRPr="00F57A6E">
        <w:t xml:space="preserve"> to </w:t>
      </w:r>
      <w:r w:rsidR="00F22EF6">
        <w:t>A</w:t>
      </w:r>
      <w:r w:rsidR="00F451D7">
        <w:t>1.</w:t>
      </w:r>
      <w:r w:rsidR="00FA296B">
        <w:t>5</w:t>
      </w:r>
      <w:r w:rsidR="00F451D7">
        <w:t xml:space="preserve"> of A</w:t>
      </w:r>
      <w:r w:rsidRPr="00F57A6E">
        <w:t>ttachment</w:t>
      </w:r>
      <w:r w:rsidR="00EC5F73" w:rsidRPr="00F57A6E">
        <w:t> </w:t>
      </w:r>
      <w:r w:rsidR="00F22EF6">
        <w:t>A</w:t>
      </w:r>
      <w:r w:rsidRPr="00F57A6E">
        <w:t xml:space="preserve">1. </w:t>
      </w:r>
    </w:p>
    <w:p w:rsidR="00CE62EE" w:rsidRPr="00F57A6E" w:rsidRDefault="0089461F" w:rsidP="005E1E6B">
      <w:pPr>
        <w:pStyle w:val="Heading3"/>
      </w:pPr>
      <w:r w:rsidRPr="00F57A6E">
        <w:lastRenderedPageBreak/>
        <w:t>Outcome objective and r</w:t>
      </w:r>
      <w:r w:rsidR="00CE62EE" w:rsidRPr="00F57A6E">
        <w:t xml:space="preserve">esources </w:t>
      </w:r>
    </w:p>
    <w:p w:rsidR="00732908" w:rsidRDefault="00CE62EE" w:rsidP="005E1E6B">
      <w:pPr>
        <w:pStyle w:val="BodyText"/>
      </w:pPr>
      <w:r w:rsidRPr="00F57A6E">
        <w:t xml:space="preserve">The financial and staffing resources devoted to the achievement of the Government’s </w:t>
      </w:r>
      <w:r w:rsidRPr="00F57A6E">
        <w:rPr>
          <w:spacing w:val="-2"/>
          <w:szCs w:val="26"/>
        </w:rPr>
        <w:t>desired outcome objective for the Commission — outlined on</w:t>
      </w:r>
      <w:r w:rsidR="00E12643" w:rsidRPr="00F57A6E">
        <w:rPr>
          <w:spacing w:val="-2"/>
          <w:szCs w:val="26"/>
        </w:rPr>
        <w:t xml:space="preserve"> page</w:t>
      </w:r>
      <w:r w:rsidR="006D22A4">
        <w:rPr>
          <w:spacing w:val="-2"/>
          <w:szCs w:val="26"/>
        </w:rPr>
        <w:t> </w:t>
      </w:r>
      <w:r w:rsidR="00B83863">
        <w:rPr>
          <w:spacing w:val="-2"/>
          <w:szCs w:val="26"/>
        </w:rPr>
        <w:t>44</w:t>
      </w:r>
      <w:r w:rsidR="00927E0E">
        <w:rPr>
          <w:spacing w:val="-2"/>
          <w:szCs w:val="26"/>
        </w:rPr>
        <w:t xml:space="preserve"> </w:t>
      </w:r>
      <w:r w:rsidR="007B638F" w:rsidRPr="00F57A6E">
        <w:rPr>
          <w:spacing w:val="-2"/>
          <w:szCs w:val="26"/>
        </w:rPr>
        <w:t>—</w:t>
      </w:r>
      <w:r w:rsidR="0089461F" w:rsidRPr="00F57A6E">
        <w:rPr>
          <w:spacing w:val="-2"/>
          <w:szCs w:val="26"/>
        </w:rPr>
        <w:t xml:space="preserve"> </w:t>
      </w:r>
      <w:r w:rsidRPr="00F57A6E">
        <w:t>are summarised in table</w:t>
      </w:r>
      <w:r w:rsidR="007B65FE">
        <w:t xml:space="preserve"> A</w:t>
      </w:r>
      <w:r w:rsidR="006161EB">
        <w:t>.1</w:t>
      </w:r>
      <w:r w:rsidRPr="00F57A6E">
        <w:t xml:space="preserve">. </w:t>
      </w:r>
      <w:r w:rsidR="00174A5C" w:rsidRPr="00F57A6E">
        <w:t>An agency resource stat</w:t>
      </w:r>
      <w:r w:rsidR="00F37B4D">
        <w:t>ement for 20</w:t>
      </w:r>
      <w:r w:rsidR="00F8321F" w:rsidRPr="00F57A6E">
        <w:t>1</w:t>
      </w:r>
      <w:r w:rsidR="00927E0E">
        <w:t>3</w:t>
      </w:r>
      <w:r w:rsidR="00F37B4D">
        <w:t>-</w:t>
      </w:r>
      <w:r w:rsidR="002A57F9" w:rsidRPr="00F57A6E">
        <w:t>1</w:t>
      </w:r>
      <w:r w:rsidR="00927E0E">
        <w:t>4</w:t>
      </w:r>
      <w:r w:rsidR="00CF26BC" w:rsidRPr="00F57A6E">
        <w:t xml:space="preserve"> is included at Attachment </w:t>
      </w:r>
      <w:r w:rsidR="007B65FE">
        <w:t>A</w:t>
      </w:r>
      <w:r w:rsidR="00CF26BC" w:rsidRPr="00F57A6E">
        <w:t>2</w:t>
      </w:r>
      <w:r w:rsidR="00174A5C" w:rsidRPr="00F57A6E">
        <w:t xml:space="preserve">. </w:t>
      </w:r>
      <w:r w:rsidR="00791301" w:rsidRPr="00F57A6E">
        <w:t xml:space="preserve">Performance </w:t>
      </w:r>
      <w:r w:rsidRPr="00F57A6E">
        <w:t xml:space="preserve">information </w:t>
      </w:r>
      <w:r w:rsidR="00791301" w:rsidRPr="00F57A6E">
        <w:t xml:space="preserve">in respect of </w:t>
      </w:r>
      <w:r w:rsidR="0089461F" w:rsidRPr="00F57A6E">
        <w:t>this outcome</w:t>
      </w:r>
      <w:r w:rsidRPr="00F57A6E">
        <w:t xml:space="preserve"> is provided in appendix </w:t>
      </w:r>
      <w:r w:rsidR="00CD58AD">
        <w:t>B</w:t>
      </w:r>
      <w:r w:rsidRPr="00F57A6E">
        <w:t>.</w:t>
      </w:r>
      <w:r w:rsidR="00174A5C" w:rsidRPr="00F57A6E">
        <w:t xml:space="preserve">  </w:t>
      </w:r>
    </w:p>
    <w:p w:rsidR="00EF271B" w:rsidRDefault="00EF271B" w:rsidP="00FB78C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F271B" w:rsidTr="00E33C0E">
        <w:tc>
          <w:tcPr>
            <w:tcW w:w="8771" w:type="dxa"/>
            <w:tcBorders>
              <w:top w:val="single" w:sz="4" w:space="0" w:color="78A22F"/>
              <w:left w:val="nil"/>
              <w:bottom w:val="single" w:sz="4" w:space="0" w:color="BFBFBF"/>
              <w:right w:val="nil"/>
            </w:tcBorders>
            <w:shd w:val="clear" w:color="auto" w:fill="auto"/>
          </w:tcPr>
          <w:p w:rsidR="00EF271B" w:rsidRPr="00784A05" w:rsidRDefault="00EF271B" w:rsidP="00EF271B">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r w:rsidR="00A75BC5">
              <w:rPr>
                <w:b w:val="0"/>
              </w:rPr>
              <w:t>A.</w:t>
            </w:r>
            <w:r>
              <w:rPr>
                <w:b w:val="0"/>
              </w:rPr>
              <w:fldChar w:fldCharType="end"/>
            </w:r>
            <w:r>
              <w:rPr>
                <w:b w:val="0"/>
              </w:rPr>
              <w:fldChar w:fldCharType="begin"/>
            </w:r>
            <w:r>
              <w:rPr>
                <w:b w:val="0"/>
              </w:rPr>
              <w:instrText xml:space="preserve"> SEQ Table \* ARABIC </w:instrText>
            </w:r>
            <w:r>
              <w:rPr>
                <w:b w:val="0"/>
              </w:rPr>
              <w:fldChar w:fldCharType="separate"/>
            </w:r>
            <w:r w:rsidR="00380FE3">
              <w:rPr>
                <w:b w:val="0"/>
                <w:noProof/>
              </w:rPr>
              <w:t>1</w:t>
            </w:r>
            <w:r>
              <w:rPr>
                <w:b w:val="0"/>
              </w:rPr>
              <w:fldChar w:fldCharType="end"/>
            </w:r>
            <w:r>
              <w:tab/>
            </w:r>
            <w:r w:rsidRPr="00E611D5">
              <w:t>Financial and staffing resources summary</w:t>
            </w:r>
            <w:r>
              <w:t xml:space="preserve"> </w:t>
            </w:r>
          </w:p>
        </w:tc>
      </w:tr>
      <w:tr w:rsidR="00EF271B" w:rsidTr="00E33C0E">
        <w:trPr>
          <w:cantSplit/>
        </w:trPr>
        <w:tc>
          <w:tcPr>
            <w:tcW w:w="8771" w:type="dxa"/>
            <w:tcBorders>
              <w:top w:val="single" w:sz="4" w:space="0" w:color="BFBFBF"/>
              <w:left w:val="nil"/>
              <w:bottom w:val="nil"/>
              <w:right w:val="nil"/>
            </w:tcBorders>
            <w:shd w:val="clear" w:color="auto" w:fill="auto"/>
          </w:tcPr>
          <w:tbl>
            <w:tblPr>
              <w:tblW w:w="8562" w:type="dxa"/>
              <w:tblLayout w:type="fixed"/>
              <w:tblCellMar>
                <w:top w:w="28" w:type="dxa"/>
                <w:left w:w="0" w:type="dxa"/>
                <w:right w:w="0" w:type="dxa"/>
              </w:tblCellMar>
              <w:tblLook w:val="0000" w:firstRow="0" w:lastRow="0" w:firstColumn="0" w:lastColumn="0" w:noHBand="0" w:noVBand="0"/>
            </w:tblPr>
            <w:tblGrid>
              <w:gridCol w:w="4366"/>
              <w:gridCol w:w="1531"/>
              <w:gridCol w:w="1531"/>
              <w:gridCol w:w="1134"/>
            </w:tblGrid>
            <w:tr w:rsidR="00E33C0E" w:rsidTr="00E33C0E">
              <w:tc>
                <w:tcPr>
                  <w:tcW w:w="4366" w:type="dxa"/>
                  <w:tcBorders>
                    <w:top w:val="single" w:sz="6" w:space="0" w:color="EEECE1" w:themeColor="background2"/>
                    <w:bottom w:val="single" w:sz="6" w:space="0" w:color="BFBFBF"/>
                  </w:tcBorders>
                  <w:shd w:val="clear" w:color="auto" w:fill="auto"/>
                  <w:tcMar>
                    <w:top w:w="28" w:type="dxa"/>
                  </w:tcMar>
                </w:tcPr>
                <w:p w:rsidR="00E33C0E" w:rsidRDefault="00E33C0E" w:rsidP="00FB78C9">
                  <w:pPr>
                    <w:pStyle w:val="TableColumnHeading"/>
                    <w:jc w:val="left"/>
                  </w:pPr>
                </w:p>
              </w:tc>
              <w:tc>
                <w:tcPr>
                  <w:tcW w:w="1531" w:type="dxa"/>
                  <w:tcBorders>
                    <w:top w:val="single" w:sz="6" w:space="0" w:color="EEECE1" w:themeColor="background2"/>
                    <w:bottom w:val="single" w:sz="6" w:space="0" w:color="BFBFBF"/>
                  </w:tcBorders>
                  <w:shd w:val="clear" w:color="auto" w:fill="auto"/>
                  <w:tcMar>
                    <w:top w:w="28" w:type="dxa"/>
                  </w:tcMar>
                </w:tcPr>
                <w:p w:rsidR="00E33C0E" w:rsidRPr="000025BD" w:rsidRDefault="00E33C0E" w:rsidP="00E33C0E">
                  <w:pPr>
                    <w:pStyle w:val="TableColumnHeading"/>
                  </w:pPr>
                  <w:r w:rsidRPr="000025BD">
                    <w:t xml:space="preserve">Budget * 2013-14 </w:t>
                  </w:r>
                </w:p>
              </w:tc>
              <w:tc>
                <w:tcPr>
                  <w:tcW w:w="1531" w:type="dxa"/>
                  <w:tcBorders>
                    <w:top w:val="single" w:sz="6" w:space="0" w:color="EEECE1" w:themeColor="background2"/>
                    <w:bottom w:val="single" w:sz="6" w:space="0" w:color="BFBFBF"/>
                  </w:tcBorders>
                  <w:shd w:val="clear" w:color="auto" w:fill="auto"/>
                </w:tcPr>
                <w:p w:rsidR="00E33C0E" w:rsidRPr="000025BD" w:rsidRDefault="00E33C0E" w:rsidP="00E33C0E">
                  <w:pPr>
                    <w:pStyle w:val="TableColumnHeading"/>
                  </w:pPr>
                  <w:r w:rsidRPr="000025BD">
                    <w:t xml:space="preserve">Actual 2013-14 </w:t>
                  </w:r>
                </w:p>
              </w:tc>
              <w:tc>
                <w:tcPr>
                  <w:tcW w:w="1134" w:type="dxa"/>
                  <w:tcBorders>
                    <w:top w:val="single" w:sz="6" w:space="0" w:color="EEECE1" w:themeColor="background2"/>
                    <w:bottom w:val="single" w:sz="6" w:space="0" w:color="BFBFBF"/>
                  </w:tcBorders>
                  <w:shd w:val="clear" w:color="auto" w:fill="auto"/>
                  <w:tcMar>
                    <w:top w:w="28" w:type="dxa"/>
                  </w:tcMar>
                </w:tcPr>
                <w:p w:rsidR="00E33C0E" w:rsidRPr="000025BD" w:rsidRDefault="006E6EF7" w:rsidP="006E6EF7">
                  <w:pPr>
                    <w:pStyle w:val="TableColumnHeading"/>
                  </w:pPr>
                  <w:r>
                    <w:t>Variation</w:t>
                  </w:r>
                </w:p>
              </w:tc>
            </w:tr>
            <w:tr w:rsidR="00E33C0E" w:rsidTr="00E33C0E">
              <w:tc>
                <w:tcPr>
                  <w:tcW w:w="4366" w:type="dxa"/>
                  <w:tcBorders>
                    <w:top w:val="single" w:sz="6" w:space="0" w:color="BFBFBF"/>
                  </w:tcBorders>
                </w:tcPr>
                <w:p w:rsidR="00E33C0E" w:rsidRDefault="00E33C0E" w:rsidP="00FB78C9">
                  <w:pPr>
                    <w:pStyle w:val="TableUnitsRow"/>
                    <w:jc w:val="left"/>
                  </w:pPr>
                </w:p>
              </w:tc>
              <w:tc>
                <w:tcPr>
                  <w:tcW w:w="1531" w:type="dxa"/>
                  <w:tcBorders>
                    <w:top w:val="single" w:sz="6" w:space="0" w:color="BFBFBF"/>
                  </w:tcBorders>
                  <w:shd w:val="clear" w:color="auto" w:fill="auto"/>
                </w:tcPr>
                <w:p w:rsidR="00E33C0E" w:rsidRDefault="00E33C0E" w:rsidP="00FB78C9">
                  <w:pPr>
                    <w:pStyle w:val="TableUnitsRow"/>
                  </w:pPr>
                  <w:r w:rsidRPr="000025BD">
                    <w:t>$'000</w:t>
                  </w:r>
                </w:p>
              </w:tc>
              <w:tc>
                <w:tcPr>
                  <w:tcW w:w="1531" w:type="dxa"/>
                  <w:tcBorders>
                    <w:top w:val="single" w:sz="6" w:space="0" w:color="BFBFBF"/>
                  </w:tcBorders>
                  <w:shd w:val="clear" w:color="auto" w:fill="auto"/>
                </w:tcPr>
                <w:p w:rsidR="00E33C0E" w:rsidRDefault="00E33C0E" w:rsidP="00FB78C9">
                  <w:pPr>
                    <w:pStyle w:val="TableUnitsRow"/>
                  </w:pPr>
                  <w:r w:rsidRPr="000025BD">
                    <w:t>$'000</w:t>
                  </w:r>
                </w:p>
              </w:tc>
              <w:tc>
                <w:tcPr>
                  <w:tcW w:w="1134" w:type="dxa"/>
                  <w:tcBorders>
                    <w:top w:val="single" w:sz="6" w:space="0" w:color="BFBFBF"/>
                  </w:tcBorders>
                </w:tcPr>
                <w:p w:rsidR="00E33C0E" w:rsidRDefault="00E33C0E" w:rsidP="00FB78C9">
                  <w:pPr>
                    <w:pStyle w:val="TableUnitsRow"/>
                    <w:ind w:right="28"/>
                  </w:pPr>
                  <w:r w:rsidRPr="000025BD">
                    <w:t>$'000</w:t>
                  </w:r>
                </w:p>
              </w:tc>
            </w:tr>
            <w:tr w:rsidR="00E33C0E" w:rsidTr="00E33C0E">
              <w:tc>
                <w:tcPr>
                  <w:tcW w:w="8562" w:type="dxa"/>
                  <w:gridSpan w:val="4"/>
                </w:tcPr>
                <w:p w:rsidR="00E33C0E" w:rsidRDefault="00E33C0E" w:rsidP="00E33C0E">
                  <w:pPr>
                    <w:pStyle w:val="TableBodyText"/>
                    <w:tabs>
                      <w:tab w:val="left" w:pos="1112"/>
                    </w:tabs>
                    <w:ind w:left="1112" w:right="28" w:hanging="1106"/>
                    <w:jc w:val="left"/>
                  </w:pPr>
                  <w:r w:rsidRPr="000025BD">
                    <w:rPr>
                      <w:b/>
                    </w:rPr>
                    <w:t>Outcome 1:</w:t>
                  </w:r>
                  <w:r w:rsidRPr="000025BD">
                    <w:rPr>
                      <w:b/>
                    </w:rPr>
                    <w:tab/>
                    <w:t>Well-informed policy decision-making and public understanding on matters relating to Australia's productivity and living standards, based on independent and transparent analysis from a community-wide perspective</w:t>
                  </w:r>
                </w:p>
              </w:tc>
            </w:tr>
            <w:tr w:rsidR="00E33C0E" w:rsidTr="00E33C0E">
              <w:tc>
                <w:tcPr>
                  <w:tcW w:w="4366" w:type="dxa"/>
                </w:tcPr>
                <w:p w:rsidR="00E33C0E" w:rsidRDefault="00E33C0E" w:rsidP="00FB78C9">
                  <w:pPr>
                    <w:pStyle w:val="TableBodyText"/>
                    <w:jc w:val="left"/>
                  </w:pPr>
                </w:p>
              </w:tc>
              <w:tc>
                <w:tcPr>
                  <w:tcW w:w="1531" w:type="dxa"/>
                  <w:shd w:val="clear" w:color="auto" w:fill="auto"/>
                </w:tcPr>
                <w:p w:rsidR="00E33C0E" w:rsidRPr="000025BD" w:rsidRDefault="00E33C0E" w:rsidP="00FB78C9">
                  <w:pPr>
                    <w:pStyle w:val="TableBodyText"/>
                    <w:tabs>
                      <w:tab w:val="right" w:pos="8789"/>
                    </w:tabs>
                    <w:ind w:hanging="737"/>
                  </w:pPr>
                  <w:r w:rsidRPr="000025BD">
                    <w:t>(a)</w:t>
                  </w:r>
                </w:p>
              </w:tc>
              <w:tc>
                <w:tcPr>
                  <w:tcW w:w="1531" w:type="dxa"/>
                  <w:shd w:val="clear" w:color="auto" w:fill="auto"/>
                </w:tcPr>
                <w:p w:rsidR="00E33C0E" w:rsidRPr="000025BD" w:rsidRDefault="00E33C0E" w:rsidP="00FB78C9">
                  <w:pPr>
                    <w:pStyle w:val="TableBodyText"/>
                    <w:tabs>
                      <w:tab w:val="right" w:pos="8789"/>
                    </w:tabs>
                    <w:ind w:hanging="737"/>
                  </w:pPr>
                  <w:r w:rsidRPr="000025BD">
                    <w:t>(b)</w:t>
                  </w:r>
                </w:p>
              </w:tc>
              <w:tc>
                <w:tcPr>
                  <w:tcW w:w="1134" w:type="dxa"/>
                </w:tcPr>
                <w:p w:rsidR="00E33C0E" w:rsidRPr="000025BD" w:rsidRDefault="00E33C0E" w:rsidP="00FB78C9">
                  <w:pPr>
                    <w:pStyle w:val="TableBodyText"/>
                    <w:tabs>
                      <w:tab w:val="right" w:pos="8789"/>
                    </w:tabs>
                    <w:ind w:hanging="737"/>
                  </w:pPr>
                  <w:r w:rsidRPr="000025BD">
                    <w:t>(a-b)</w:t>
                  </w:r>
                </w:p>
              </w:tc>
            </w:tr>
            <w:tr w:rsidR="00E33C0E" w:rsidTr="00E33C0E">
              <w:tc>
                <w:tcPr>
                  <w:tcW w:w="4366" w:type="dxa"/>
                </w:tcPr>
                <w:p w:rsidR="00E33C0E" w:rsidRPr="000025BD" w:rsidRDefault="00E33C0E" w:rsidP="00FB78C9">
                  <w:pPr>
                    <w:pStyle w:val="TableBodyText"/>
                    <w:tabs>
                      <w:tab w:val="right" w:pos="8789"/>
                    </w:tabs>
                    <w:ind w:left="142" w:hanging="142"/>
                    <w:jc w:val="left"/>
                    <w:rPr>
                      <w:b/>
                    </w:rPr>
                  </w:pPr>
                  <w:r w:rsidRPr="000025BD">
                    <w:rPr>
                      <w:b/>
                    </w:rPr>
                    <w:t>Program 1.1</w:t>
                  </w:r>
                  <w:r w:rsidRPr="000025BD">
                    <w:rPr>
                      <w:b/>
                    </w:rPr>
                    <w:tab/>
                    <w:t>Productivity Commission</w:t>
                  </w:r>
                </w:p>
              </w:tc>
              <w:tc>
                <w:tcPr>
                  <w:tcW w:w="1531" w:type="dxa"/>
                  <w:shd w:val="clear" w:color="auto" w:fill="auto"/>
                </w:tcPr>
                <w:p w:rsidR="00E33C0E" w:rsidRDefault="00E33C0E" w:rsidP="00FB78C9">
                  <w:pPr>
                    <w:pStyle w:val="TableBodyText"/>
                  </w:pPr>
                </w:p>
              </w:tc>
              <w:tc>
                <w:tcPr>
                  <w:tcW w:w="1531" w:type="dxa"/>
                  <w:shd w:val="clear" w:color="auto" w:fill="auto"/>
                </w:tcPr>
                <w:p w:rsidR="00E33C0E" w:rsidRDefault="00E33C0E" w:rsidP="00FB78C9">
                  <w:pPr>
                    <w:pStyle w:val="TableBodyText"/>
                  </w:pPr>
                </w:p>
              </w:tc>
              <w:tc>
                <w:tcPr>
                  <w:tcW w:w="1134" w:type="dxa"/>
                </w:tcPr>
                <w:p w:rsidR="00E33C0E" w:rsidRDefault="00E33C0E" w:rsidP="00FB78C9">
                  <w:pPr>
                    <w:pStyle w:val="TableBodyText"/>
                    <w:ind w:right="28"/>
                  </w:pPr>
                </w:p>
              </w:tc>
            </w:tr>
            <w:tr w:rsidR="00E33C0E" w:rsidTr="00A75BC5">
              <w:trPr>
                <w:trHeight w:val="52"/>
              </w:trPr>
              <w:tc>
                <w:tcPr>
                  <w:tcW w:w="4366" w:type="dxa"/>
                </w:tcPr>
                <w:p w:rsidR="00E33C0E" w:rsidRPr="000025BD" w:rsidRDefault="00E33C0E" w:rsidP="00FB78C9">
                  <w:pPr>
                    <w:pStyle w:val="TableBodyText"/>
                    <w:tabs>
                      <w:tab w:val="left" w:pos="142"/>
                      <w:tab w:val="right" w:pos="8789"/>
                    </w:tabs>
                    <w:ind w:left="284" w:hanging="284"/>
                    <w:jc w:val="left"/>
                  </w:pPr>
                  <w:r w:rsidRPr="000025BD">
                    <w:tab/>
                    <w:t>Departmental Expenses</w:t>
                  </w:r>
                </w:p>
              </w:tc>
              <w:tc>
                <w:tcPr>
                  <w:tcW w:w="1531" w:type="dxa"/>
                  <w:shd w:val="clear" w:color="auto" w:fill="auto"/>
                </w:tcPr>
                <w:p w:rsidR="00E33C0E" w:rsidRDefault="00E33C0E" w:rsidP="00FB78C9">
                  <w:pPr>
                    <w:pStyle w:val="TableBodyText"/>
                  </w:pPr>
                </w:p>
              </w:tc>
              <w:tc>
                <w:tcPr>
                  <w:tcW w:w="1531" w:type="dxa"/>
                  <w:shd w:val="clear" w:color="auto" w:fill="auto"/>
                </w:tcPr>
                <w:p w:rsidR="00E33C0E" w:rsidRDefault="00E33C0E" w:rsidP="00FB78C9">
                  <w:pPr>
                    <w:pStyle w:val="TableBodyText"/>
                  </w:pPr>
                </w:p>
              </w:tc>
              <w:tc>
                <w:tcPr>
                  <w:tcW w:w="1134" w:type="dxa"/>
                </w:tcPr>
                <w:p w:rsidR="00E33C0E" w:rsidRDefault="00E33C0E" w:rsidP="00FB78C9">
                  <w:pPr>
                    <w:pStyle w:val="TableBodyText"/>
                    <w:ind w:right="28"/>
                  </w:pPr>
                </w:p>
              </w:tc>
            </w:tr>
            <w:tr w:rsidR="00E33C0E" w:rsidTr="00E33C0E">
              <w:tc>
                <w:tcPr>
                  <w:tcW w:w="4366" w:type="dxa"/>
                </w:tcPr>
                <w:p w:rsidR="00E33C0E" w:rsidRPr="000025BD" w:rsidRDefault="00E33C0E" w:rsidP="00FB78C9">
                  <w:pPr>
                    <w:pStyle w:val="TableBodyText"/>
                    <w:tabs>
                      <w:tab w:val="left" w:pos="142"/>
                      <w:tab w:val="right" w:pos="8789"/>
                    </w:tabs>
                    <w:ind w:left="284" w:hanging="284"/>
                    <w:jc w:val="left"/>
                  </w:pPr>
                  <w:r w:rsidRPr="000025BD">
                    <w:tab/>
                    <w:t>Ordinary annual services (Appropriation Bill No. 1)</w:t>
                  </w:r>
                </w:p>
              </w:tc>
              <w:tc>
                <w:tcPr>
                  <w:tcW w:w="1531" w:type="dxa"/>
                  <w:shd w:val="clear" w:color="auto" w:fill="auto"/>
                </w:tcPr>
                <w:p w:rsidR="00E33C0E" w:rsidRPr="000025BD" w:rsidRDefault="00E33C0E" w:rsidP="00FB78C9">
                  <w:pPr>
                    <w:pStyle w:val="TableBodyText"/>
                    <w:tabs>
                      <w:tab w:val="right" w:pos="8789"/>
                    </w:tabs>
                    <w:ind w:hanging="737"/>
                  </w:pPr>
                  <w:r w:rsidRPr="000025BD">
                    <w:t>3</w:t>
                  </w:r>
                  <w:r>
                    <w:t>6</w:t>
                  </w:r>
                  <w:r w:rsidRPr="000025BD">
                    <w:t> </w:t>
                  </w:r>
                  <w:r>
                    <w:t>359</w:t>
                  </w:r>
                </w:p>
              </w:tc>
              <w:tc>
                <w:tcPr>
                  <w:tcW w:w="1531" w:type="dxa"/>
                  <w:shd w:val="clear" w:color="auto" w:fill="auto"/>
                </w:tcPr>
                <w:p w:rsidR="00E33C0E" w:rsidRPr="000025BD" w:rsidRDefault="00E33C0E" w:rsidP="00FB78C9">
                  <w:pPr>
                    <w:pStyle w:val="TableBodyText"/>
                    <w:tabs>
                      <w:tab w:val="right" w:pos="8789"/>
                    </w:tabs>
                    <w:ind w:hanging="737"/>
                  </w:pPr>
                  <w:r w:rsidRPr="000025BD">
                    <w:t>3</w:t>
                  </w:r>
                  <w:r>
                    <w:t>5</w:t>
                  </w:r>
                  <w:r w:rsidRPr="000025BD">
                    <w:t> </w:t>
                  </w:r>
                  <w:r>
                    <w:t>293</w:t>
                  </w:r>
                </w:p>
              </w:tc>
              <w:tc>
                <w:tcPr>
                  <w:tcW w:w="1134" w:type="dxa"/>
                </w:tcPr>
                <w:p w:rsidR="00E33C0E" w:rsidRPr="000025BD" w:rsidRDefault="00E33C0E" w:rsidP="00FB78C9">
                  <w:pPr>
                    <w:pStyle w:val="TableBodyText"/>
                    <w:tabs>
                      <w:tab w:val="right" w:pos="8789"/>
                    </w:tabs>
                    <w:ind w:hanging="737"/>
                  </w:pPr>
                  <w:r>
                    <w:t>1</w:t>
                  </w:r>
                  <w:r w:rsidRPr="000025BD">
                    <w:t> </w:t>
                  </w:r>
                  <w:r>
                    <w:t>066</w:t>
                  </w:r>
                </w:p>
              </w:tc>
            </w:tr>
            <w:tr w:rsidR="00E33C0E" w:rsidTr="00E33C0E">
              <w:tc>
                <w:tcPr>
                  <w:tcW w:w="4366" w:type="dxa"/>
                </w:tcPr>
                <w:p w:rsidR="00E33C0E" w:rsidRPr="000025BD" w:rsidRDefault="00E33C0E" w:rsidP="00FB78C9">
                  <w:pPr>
                    <w:pStyle w:val="TableBodyText"/>
                    <w:tabs>
                      <w:tab w:val="left" w:pos="142"/>
                      <w:tab w:val="right" w:pos="8789"/>
                    </w:tabs>
                    <w:ind w:left="284" w:hanging="284"/>
                    <w:jc w:val="left"/>
                  </w:pPr>
                  <w:r w:rsidRPr="000025BD">
                    <w:tab/>
                    <w:t>Revenues from independent sources (Section 31)</w:t>
                  </w:r>
                </w:p>
              </w:tc>
              <w:tc>
                <w:tcPr>
                  <w:tcW w:w="1531" w:type="dxa"/>
                  <w:shd w:val="clear" w:color="auto" w:fill="auto"/>
                </w:tcPr>
                <w:p w:rsidR="00E33C0E" w:rsidRPr="000025BD" w:rsidRDefault="00E33C0E" w:rsidP="00FB78C9">
                  <w:pPr>
                    <w:pStyle w:val="TableBodyText"/>
                    <w:tabs>
                      <w:tab w:val="right" w:pos="8789"/>
                    </w:tabs>
                    <w:ind w:hanging="737"/>
                  </w:pPr>
                  <w:r w:rsidRPr="000025BD">
                    <w:t>885</w:t>
                  </w:r>
                </w:p>
              </w:tc>
              <w:tc>
                <w:tcPr>
                  <w:tcW w:w="1531" w:type="dxa"/>
                  <w:shd w:val="clear" w:color="auto" w:fill="auto"/>
                </w:tcPr>
                <w:p w:rsidR="00E33C0E" w:rsidRPr="000025BD" w:rsidRDefault="00E33C0E" w:rsidP="00FB78C9">
                  <w:pPr>
                    <w:pStyle w:val="TableBodyText"/>
                    <w:tabs>
                      <w:tab w:val="right" w:pos="8789"/>
                    </w:tabs>
                    <w:ind w:hanging="737"/>
                  </w:pPr>
                  <w:r w:rsidRPr="000025BD">
                    <w:t>885</w:t>
                  </w:r>
                </w:p>
              </w:tc>
              <w:tc>
                <w:tcPr>
                  <w:tcW w:w="1134" w:type="dxa"/>
                </w:tcPr>
                <w:p w:rsidR="00E33C0E" w:rsidRPr="000025BD" w:rsidRDefault="00E33C0E" w:rsidP="00FB78C9">
                  <w:pPr>
                    <w:pStyle w:val="TableBodyText"/>
                    <w:tabs>
                      <w:tab w:val="right" w:pos="8789"/>
                    </w:tabs>
                    <w:ind w:hanging="737"/>
                  </w:pPr>
                  <w:r w:rsidRPr="000025BD">
                    <w:t>–</w:t>
                  </w:r>
                </w:p>
              </w:tc>
            </w:tr>
            <w:tr w:rsidR="00E33C0E" w:rsidTr="0079213A">
              <w:tc>
                <w:tcPr>
                  <w:tcW w:w="4366" w:type="dxa"/>
                </w:tcPr>
                <w:p w:rsidR="00E33C0E" w:rsidRPr="000025BD" w:rsidRDefault="00E33C0E" w:rsidP="00FB78C9">
                  <w:pPr>
                    <w:pStyle w:val="TableBodyText"/>
                    <w:tabs>
                      <w:tab w:val="left" w:pos="142"/>
                      <w:tab w:val="right" w:pos="8789"/>
                    </w:tabs>
                    <w:ind w:left="284" w:hanging="284"/>
                    <w:jc w:val="left"/>
                  </w:pPr>
                  <w:r w:rsidRPr="000025BD">
                    <w:tab/>
                    <w:t>Expenses not requiring appropriation in the Budget year</w:t>
                  </w:r>
                </w:p>
              </w:tc>
              <w:tc>
                <w:tcPr>
                  <w:tcW w:w="1531" w:type="dxa"/>
                  <w:shd w:val="clear" w:color="auto" w:fill="auto"/>
                </w:tcPr>
                <w:p w:rsidR="00E33C0E" w:rsidRPr="000025BD" w:rsidRDefault="00E33C0E" w:rsidP="00FB78C9">
                  <w:pPr>
                    <w:pStyle w:val="TableBodyText"/>
                    <w:tabs>
                      <w:tab w:val="right" w:pos="8789"/>
                    </w:tabs>
                    <w:ind w:hanging="737"/>
                  </w:pPr>
                  <w:r w:rsidRPr="000025BD">
                    <w:t>1 121</w:t>
                  </w:r>
                </w:p>
              </w:tc>
              <w:tc>
                <w:tcPr>
                  <w:tcW w:w="1531" w:type="dxa"/>
                  <w:shd w:val="clear" w:color="auto" w:fill="auto"/>
                </w:tcPr>
                <w:p w:rsidR="00E33C0E" w:rsidRPr="000025BD" w:rsidRDefault="00E33C0E" w:rsidP="00FB78C9">
                  <w:pPr>
                    <w:pStyle w:val="TableBodyText"/>
                    <w:tabs>
                      <w:tab w:val="right" w:pos="8789"/>
                    </w:tabs>
                    <w:ind w:hanging="737"/>
                  </w:pPr>
                  <w:r w:rsidRPr="000025BD">
                    <w:t>1 121</w:t>
                  </w:r>
                </w:p>
              </w:tc>
              <w:tc>
                <w:tcPr>
                  <w:tcW w:w="1134" w:type="dxa"/>
                </w:tcPr>
                <w:p w:rsidR="00E33C0E" w:rsidRPr="000025BD" w:rsidRDefault="00E33C0E" w:rsidP="00FB78C9">
                  <w:pPr>
                    <w:pStyle w:val="TableBodyText"/>
                    <w:tabs>
                      <w:tab w:val="right" w:pos="8789"/>
                    </w:tabs>
                    <w:ind w:hanging="737"/>
                  </w:pPr>
                  <w:r w:rsidRPr="000025BD">
                    <w:t>–</w:t>
                  </w:r>
                </w:p>
              </w:tc>
            </w:tr>
            <w:tr w:rsidR="00E33C0E" w:rsidTr="0079213A">
              <w:tc>
                <w:tcPr>
                  <w:tcW w:w="4366" w:type="dxa"/>
                  <w:tcBorders>
                    <w:bottom w:val="single" w:sz="6" w:space="0" w:color="BFBFBF"/>
                  </w:tcBorders>
                  <w:shd w:val="clear" w:color="auto" w:fill="auto"/>
                </w:tcPr>
                <w:p w:rsidR="00E33C0E" w:rsidRDefault="00E33C0E" w:rsidP="0079213A">
                  <w:pPr>
                    <w:pStyle w:val="TableBodyText"/>
                    <w:spacing w:before="160"/>
                    <w:jc w:val="left"/>
                  </w:pPr>
                  <w:r w:rsidRPr="000025BD">
                    <w:rPr>
                      <w:b/>
                    </w:rPr>
                    <w:t>Total for Outcome 1</w:t>
                  </w:r>
                </w:p>
              </w:tc>
              <w:tc>
                <w:tcPr>
                  <w:tcW w:w="1531" w:type="dxa"/>
                  <w:tcBorders>
                    <w:bottom w:val="single" w:sz="6" w:space="0" w:color="BFBFBF"/>
                  </w:tcBorders>
                  <w:shd w:val="clear" w:color="auto" w:fill="auto"/>
                </w:tcPr>
                <w:p w:rsidR="00E33C0E" w:rsidRPr="000025BD" w:rsidRDefault="00E33C0E" w:rsidP="0079213A">
                  <w:pPr>
                    <w:pStyle w:val="TableBodyText"/>
                    <w:tabs>
                      <w:tab w:val="right" w:pos="8789"/>
                    </w:tabs>
                    <w:spacing w:before="160"/>
                    <w:ind w:hanging="737"/>
                  </w:pPr>
                  <w:r w:rsidRPr="000025BD">
                    <w:t>3</w:t>
                  </w:r>
                  <w:r>
                    <w:t>8</w:t>
                  </w:r>
                  <w:r w:rsidRPr="000025BD">
                    <w:t> </w:t>
                  </w:r>
                  <w:r>
                    <w:t>365</w:t>
                  </w:r>
                </w:p>
              </w:tc>
              <w:tc>
                <w:tcPr>
                  <w:tcW w:w="1531" w:type="dxa"/>
                  <w:tcBorders>
                    <w:bottom w:val="single" w:sz="6" w:space="0" w:color="BFBFBF"/>
                  </w:tcBorders>
                  <w:shd w:val="clear" w:color="auto" w:fill="auto"/>
                </w:tcPr>
                <w:p w:rsidR="00E33C0E" w:rsidRPr="000025BD" w:rsidRDefault="00E33C0E" w:rsidP="0079213A">
                  <w:pPr>
                    <w:pStyle w:val="TableBodyText"/>
                    <w:tabs>
                      <w:tab w:val="right" w:pos="8789"/>
                    </w:tabs>
                    <w:spacing w:before="160"/>
                    <w:ind w:hanging="737"/>
                  </w:pPr>
                  <w:r>
                    <w:t>37</w:t>
                  </w:r>
                  <w:r w:rsidRPr="000025BD">
                    <w:t> </w:t>
                  </w:r>
                  <w:r>
                    <w:t>299</w:t>
                  </w:r>
                </w:p>
              </w:tc>
              <w:tc>
                <w:tcPr>
                  <w:tcW w:w="1134" w:type="dxa"/>
                  <w:tcBorders>
                    <w:bottom w:val="single" w:sz="6" w:space="0" w:color="BFBFBF"/>
                  </w:tcBorders>
                  <w:shd w:val="clear" w:color="auto" w:fill="auto"/>
                </w:tcPr>
                <w:p w:rsidR="00E33C0E" w:rsidRPr="000025BD" w:rsidRDefault="00E33C0E" w:rsidP="0079213A">
                  <w:pPr>
                    <w:pStyle w:val="TableBodyText"/>
                    <w:tabs>
                      <w:tab w:val="right" w:pos="8789"/>
                    </w:tabs>
                    <w:spacing w:before="160"/>
                    <w:ind w:hanging="737"/>
                  </w:pPr>
                  <w:r>
                    <w:t>1</w:t>
                  </w:r>
                  <w:r w:rsidRPr="000025BD">
                    <w:t> </w:t>
                  </w:r>
                  <w:r>
                    <w:t>066</w:t>
                  </w:r>
                </w:p>
              </w:tc>
            </w:tr>
            <w:tr w:rsidR="0079213A" w:rsidTr="0079213A">
              <w:tc>
                <w:tcPr>
                  <w:tcW w:w="4366" w:type="dxa"/>
                  <w:tcBorders>
                    <w:top w:val="single" w:sz="6" w:space="0" w:color="BFBFBF"/>
                  </w:tcBorders>
                  <w:shd w:val="clear" w:color="auto" w:fill="auto"/>
                </w:tcPr>
                <w:p w:rsidR="0079213A" w:rsidRPr="000025BD" w:rsidRDefault="0079213A" w:rsidP="0079213A">
                  <w:pPr>
                    <w:pStyle w:val="TableBodyText"/>
                    <w:spacing w:before="120" w:after="0"/>
                    <w:jc w:val="left"/>
                    <w:rPr>
                      <w:b/>
                    </w:rPr>
                  </w:pPr>
                </w:p>
              </w:tc>
              <w:tc>
                <w:tcPr>
                  <w:tcW w:w="1531" w:type="dxa"/>
                  <w:tcBorders>
                    <w:top w:val="single" w:sz="6" w:space="0" w:color="BFBFBF"/>
                    <w:bottom w:val="single" w:sz="6" w:space="0" w:color="BFBFBF"/>
                  </w:tcBorders>
                  <w:shd w:val="clear" w:color="auto" w:fill="auto"/>
                </w:tcPr>
                <w:p w:rsidR="0079213A" w:rsidRPr="000025BD" w:rsidRDefault="0079213A" w:rsidP="0079213A">
                  <w:pPr>
                    <w:pStyle w:val="TableBodyText"/>
                    <w:tabs>
                      <w:tab w:val="right" w:pos="8789"/>
                    </w:tabs>
                    <w:spacing w:before="120" w:after="0"/>
                    <w:ind w:hanging="737"/>
                  </w:pPr>
                  <w:r w:rsidRPr="000025BD">
                    <w:t>2012-13</w:t>
                  </w:r>
                </w:p>
              </w:tc>
              <w:tc>
                <w:tcPr>
                  <w:tcW w:w="1531" w:type="dxa"/>
                  <w:tcBorders>
                    <w:top w:val="single" w:sz="6" w:space="0" w:color="BFBFBF"/>
                    <w:bottom w:val="single" w:sz="6" w:space="0" w:color="BFBFBF"/>
                  </w:tcBorders>
                  <w:shd w:val="clear" w:color="auto" w:fill="auto"/>
                </w:tcPr>
                <w:p w:rsidR="0079213A" w:rsidRPr="000025BD" w:rsidRDefault="0079213A" w:rsidP="0079213A">
                  <w:pPr>
                    <w:pStyle w:val="TableBodyText"/>
                    <w:tabs>
                      <w:tab w:val="right" w:pos="8789"/>
                    </w:tabs>
                    <w:spacing w:before="120" w:after="0"/>
                    <w:ind w:hanging="737"/>
                  </w:pPr>
                  <w:r w:rsidRPr="000025BD">
                    <w:t>2013-14</w:t>
                  </w:r>
                </w:p>
              </w:tc>
              <w:tc>
                <w:tcPr>
                  <w:tcW w:w="1134" w:type="dxa"/>
                  <w:tcBorders>
                    <w:top w:val="single" w:sz="6" w:space="0" w:color="BFBFBF"/>
                    <w:bottom w:val="single" w:sz="6" w:space="0" w:color="BFBFBF"/>
                  </w:tcBorders>
                  <w:shd w:val="clear" w:color="auto" w:fill="auto"/>
                </w:tcPr>
                <w:p w:rsidR="0079213A" w:rsidRDefault="0079213A" w:rsidP="0079213A">
                  <w:pPr>
                    <w:pStyle w:val="TableBodyText"/>
                    <w:tabs>
                      <w:tab w:val="right" w:pos="8789"/>
                    </w:tabs>
                    <w:spacing w:before="120" w:after="0"/>
                    <w:ind w:hanging="737"/>
                  </w:pPr>
                </w:p>
              </w:tc>
            </w:tr>
            <w:tr w:rsidR="0079213A" w:rsidTr="0079213A">
              <w:tc>
                <w:tcPr>
                  <w:tcW w:w="4366" w:type="dxa"/>
                  <w:tcBorders>
                    <w:bottom w:val="single" w:sz="6" w:space="0" w:color="C8C8C8"/>
                  </w:tcBorders>
                  <w:shd w:val="clear" w:color="auto" w:fill="auto"/>
                </w:tcPr>
                <w:p w:rsidR="0079213A" w:rsidRPr="000025BD" w:rsidRDefault="0079213A" w:rsidP="0079213A">
                  <w:pPr>
                    <w:pStyle w:val="TableBodyText"/>
                    <w:spacing w:before="120" w:after="0"/>
                    <w:jc w:val="left"/>
                    <w:rPr>
                      <w:b/>
                    </w:rPr>
                  </w:pPr>
                  <w:r w:rsidRPr="000025BD">
                    <w:t>Average Staffing Level (number)</w:t>
                  </w:r>
                </w:p>
              </w:tc>
              <w:tc>
                <w:tcPr>
                  <w:tcW w:w="1531" w:type="dxa"/>
                  <w:tcBorders>
                    <w:top w:val="single" w:sz="6" w:space="0" w:color="BFBFBF"/>
                    <w:bottom w:val="single" w:sz="6" w:space="0" w:color="C8C8C8"/>
                  </w:tcBorders>
                  <w:shd w:val="clear" w:color="auto" w:fill="auto"/>
                </w:tcPr>
                <w:p w:rsidR="0079213A" w:rsidRPr="000025BD" w:rsidRDefault="0079213A" w:rsidP="0079213A">
                  <w:pPr>
                    <w:pStyle w:val="TableBodyText"/>
                    <w:tabs>
                      <w:tab w:val="right" w:pos="8789"/>
                    </w:tabs>
                    <w:spacing w:before="120" w:after="0"/>
                    <w:ind w:hanging="737"/>
                  </w:pPr>
                  <w:r w:rsidRPr="000025BD">
                    <w:t>199</w:t>
                  </w:r>
                </w:p>
              </w:tc>
              <w:tc>
                <w:tcPr>
                  <w:tcW w:w="1531" w:type="dxa"/>
                  <w:tcBorders>
                    <w:top w:val="single" w:sz="6" w:space="0" w:color="BFBFBF"/>
                    <w:bottom w:val="single" w:sz="6" w:space="0" w:color="C8C8C8"/>
                  </w:tcBorders>
                  <w:shd w:val="clear" w:color="auto" w:fill="auto"/>
                </w:tcPr>
                <w:p w:rsidR="0079213A" w:rsidRPr="000025BD" w:rsidRDefault="0079213A" w:rsidP="0079213A">
                  <w:pPr>
                    <w:pStyle w:val="TableBodyText"/>
                    <w:tabs>
                      <w:tab w:val="right" w:pos="8789"/>
                    </w:tabs>
                    <w:spacing w:before="120" w:after="0"/>
                    <w:ind w:hanging="737"/>
                  </w:pPr>
                  <w:r w:rsidRPr="000025BD">
                    <w:t>185</w:t>
                  </w:r>
                </w:p>
              </w:tc>
              <w:tc>
                <w:tcPr>
                  <w:tcW w:w="1134" w:type="dxa"/>
                  <w:tcBorders>
                    <w:top w:val="single" w:sz="6" w:space="0" w:color="BFBFBF"/>
                    <w:bottom w:val="single" w:sz="6" w:space="0" w:color="C8C8C8"/>
                  </w:tcBorders>
                  <w:shd w:val="clear" w:color="auto" w:fill="auto"/>
                </w:tcPr>
                <w:p w:rsidR="0079213A" w:rsidRDefault="0079213A" w:rsidP="0079213A">
                  <w:pPr>
                    <w:pStyle w:val="TableBodyText"/>
                    <w:tabs>
                      <w:tab w:val="right" w:pos="8789"/>
                    </w:tabs>
                    <w:spacing w:before="120" w:after="0"/>
                    <w:ind w:hanging="737"/>
                  </w:pPr>
                </w:p>
              </w:tc>
            </w:tr>
          </w:tbl>
          <w:p w:rsidR="00EF271B" w:rsidRDefault="00EF271B" w:rsidP="00FB78C9">
            <w:pPr>
              <w:pStyle w:val="Box"/>
            </w:pPr>
          </w:p>
        </w:tc>
      </w:tr>
      <w:tr w:rsidR="00EF271B" w:rsidTr="00E33C0E">
        <w:trPr>
          <w:cantSplit/>
        </w:trPr>
        <w:tc>
          <w:tcPr>
            <w:tcW w:w="8771" w:type="dxa"/>
            <w:tcBorders>
              <w:top w:val="nil"/>
              <w:left w:val="nil"/>
              <w:bottom w:val="nil"/>
              <w:right w:val="nil"/>
            </w:tcBorders>
            <w:shd w:val="clear" w:color="auto" w:fill="auto"/>
          </w:tcPr>
          <w:p w:rsidR="00EF271B" w:rsidRDefault="00E33C0E" w:rsidP="00E33C0E">
            <w:pPr>
              <w:pStyle w:val="Note"/>
              <w:rPr>
                <w:i/>
              </w:rPr>
            </w:pPr>
            <w:r>
              <w:rPr>
                <w:rStyle w:val="NoteLabel"/>
              </w:rPr>
              <w:t>*</w:t>
            </w:r>
            <w:r w:rsidR="00EF271B">
              <w:t xml:space="preserve"> </w:t>
            </w:r>
            <w:r w:rsidRPr="000025BD">
              <w:t>Full-year budget, including any subsequent adjustment made to the 2013-14 Budget</w:t>
            </w:r>
            <w:proofErr w:type="gramStart"/>
            <w:r w:rsidRPr="000025BD">
              <w:t>.</w:t>
            </w:r>
            <w:r w:rsidR="00EF271B">
              <w:t>.</w:t>
            </w:r>
            <w:proofErr w:type="gramEnd"/>
            <w:r w:rsidR="00EF271B">
              <w:t xml:space="preserve"> </w:t>
            </w:r>
          </w:p>
        </w:tc>
      </w:tr>
      <w:tr w:rsidR="00EF271B" w:rsidTr="00E33C0E">
        <w:trPr>
          <w:cantSplit/>
        </w:trPr>
        <w:tc>
          <w:tcPr>
            <w:tcW w:w="8771" w:type="dxa"/>
            <w:tcBorders>
              <w:top w:val="nil"/>
              <w:left w:val="nil"/>
              <w:bottom w:val="single" w:sz="6" w:space="0" w:color="78A22F"/>
              <w:right w:val="nil"/>
            </w:tcBorders>
            <w:shd w:val="clear" w:color="auto" w:fill="auto"/>
          </w:tcPr>
          <w:p w:rsidR="00EF271B" w:rsidRDefault="00EF271B" w:rsidP="00FB78C9">
            <w:pPr>
              <w:pStyle w:val="Box"/>
              <w:spacing w:before="0" w:line="120" w:lineRule="exact"/>
            </w:pPr>
          </w:p>
        </w:tc>
      </w:tr>
      <w:tr w:rsidR="00EF271B" w:rsidRPr="000863A5" w:rsidTr="00E33C0E">
        <w:tc>
          <w:tcPr>
            <w:tcW w:w="8771" w:type="dxa"/>
            <w:tcBorders>
              <w:top w:val="single" w:sz="6" w:space="0" w:color="78A22F"/>
              <w:left w:val="nil"/>
              <w:bottom w:val="nil"/>
              <w:right w:val="nil"/>
            </w:tcBorders>
          </w:tcPr>
          <w:p w:rsidR="00EF271B" w:rsidRPr="00626D32" w:rsidRDefault="00EF271B" w:rsidP="00FB78C9">
            <w:pPr>
              <w:pStyle w:val="BoxSpaceBelow"/>
            </w:pPr>
          </w:p>
        </w:tc>
      </w:tr>
    </w:tbl>
    <w:p w:rsidR="005E1E6B" w:rsidRPr="00106677" w:rsidRDefault="004F1E85" w:rsidP="00106677">
      <w:pPr>
        <w:pStyle w:val="Heading2"/>
      </w:pPr>
      <w:r w:rsidRPr="00106677">
        <w:t>G</w:t>
      </w:r>
      <w:r w:rsidR="005E1E6B" w:rsidRPr="00106677">
        <w:t>overnance</w:t>
      </w:r>
    </w:p>
    <w:p w:rsidR="00CE62EE" w:rsidRPr="00F57A6E" w:rsidRDefault="00CE62EE" w:rsidP="00232CE9">
      <w:pPr>
        <w:pStyle w:val="BodyText"/>
      </w:pPr>
      <w:r w:rsidRPr="00F57A6E">
        <w:t>The Commission’s governance arrangements are designed to achieve efficient, effective and ethical use of resources in the delivery of the Commission’s mandated out</w:t>
      </w:r>
      <w:r w:rsidR="00DF0127" w:rsidRPr="00F57A6E">
        <w:t>come objective</w:t>
      </w:r>
      <w:r w:rsidRPr="00F57A6E">
        <w:t>. The arrangements are also designed to ensure compliance with legislative and other external requirements in regard to administrative and financial management practices.</w:t>
      </w:r>
    </w:p>
    <w:p w:rsidR="00CE62EE" w:rsidRPr="00F57A6E" w:rsidRDefault="00CE62EE" w:rsidP="00232CE9">
      <w:pPr>
        <w:pStyle w:val="BodyText"/>
      </w:pPr>
      <w:r w:rsidRPr="00F57A6E">
        <w:t>In keeping with good governance principles, the Commission’s governance arrangements encompass:</w:t>
      </w:r>
    </w:p>
    <w:p w:rsidR="00CE62EE" w:rsidRPr="00F57A6E" w:rsidRDefault="00CE62EE" w:rsidP="00232CE9">
      <w:pPr>
        <w:pStyle w:val="ListBullet"/>
      </w:pPr>
      <w:r w:rsidRPr="00F57A6E">
        <w:t>establishing clea</w:t>
      </w:r>
      <w:r w:rsidR="00F451D7">
        <w:t>r responsibilities for decision-</w:t>
      </w:r>
      <w:r w:rsidRPr="00F57A6E">
        <w:t>making and the undertaking of mandated activities</w:t>
      </w:r>
    </w:p>
    <w:p w:rsidR="00CE62EE" w:rsidRPr="00F57A6E" w:rsidRDefault="00CE62EE" w:rsidP="00232CE9">
      <w:pPr>
        <w:pStyle w:val="ListBullet"/>
      </w:pPr>
      <w:r w:rsidRPr="00F57A6E">
        <w:t>ensuring accountability through the monitoring of progress, and compliance with legislative and other requirements, o</w:t>
      </w:r>
      <w:bookmarkStart w:id="4" w:name="_GoBack"/>
      <w:bookmarkEnd w:id="4"/>
      <w:r w:rsidRPr="00F57A6E">
        <w:t>f mandated activities</w:t>
      </w:r>
    </w:p>
    <w:p w:rsidR="00CE62EE" w:rsidRPr="00F57A6E" w:rsidRDefault="00CE62EE" w:rsidP="00232CE9">
      <w:pPr>
        <w:pStyle w:val="ListBullet"/>
      </w:pPr>
      <w:proofErr w:type="gramStart"/>
      <w:r w:rsidRPr="00F57A6E">
        <w:lastRenderedPageBreak/>
        <w:t>underpinning</w:t>
      </w:r>
      <w:proofErr w:type="gramEnd"/>
      <w:r w:rsidRPr="00F57A6E">
        <w:t xml:space="preserve"> these arrangements through the promotion of a risk management and ethical behaviour culture.</w:t>
      </w:r>
    </w:p>
    <w:p w:rsidR="00CE62EE" w:rsidRPr="00F57A6E" w:rsidRDefault="00CE62EE" w:rsidP="00232CE9">
      <w:pPr>
        <w:pStyle w:val="Heading3"/>
      </w:pPr>
      <w:r w:rsidRPr="00F57A6E">
        <w:t>Key responsibilities</w:t>
      </w:r>
    </w:p>
    <w:p w:rsidR="00CE62EE" w:rsidRPr="00F57A6E" w:rsidRDefault="00CE62EE" w:rsidP="00232CE9">
      <w:pPr>
        <w:pStyle w:val="BodyText"/>
      </w:pPr>
      <w:r w:rsidRPr="00F57A6E">
        <w:t>The Commission’s Chair</w:t>
      </w:r>
      <w:r w:rsidR="001E3C5E">
        <w:t>man</w:t>
      </w:r>
      <w:r w:rsidRPr="00F57A6E">
        <w:t xml:space="preserve"> is responsible for the overall management and governance of the Commission.</w:t>
      </w:r>
    </w:p>
    <w:p w:rsidR="00CE62EE" w:rsidRPr="00F57A6E" w:rsidRDefault="00CE62EE" w:rsidP="00232CE9">
      <w:pPr>
        <w:pStyle w:val="BodyText"/>
      </w:pPr>
      <w:r w:rsidRPr="00F57A6E">
        <w:t xml:space="preserve">He is assisted in these tasks by the Head of Office and a Management Committee which </w:t>
      </w:r>
      <w:r w:rsidR="003D5BB3" w:rsidRPr="00F57A6E">
        <w:t>addresses</w:t>
      </w:r>
      <w:r w:rsidRPr="00F57A6E">
        <w:t xml:space="preserve"> matters of strategic direction, organisational development, policies and practices, monitoring of performance and resource allocation. Management Committee comprises the Chair</w:t>
      </w:r>
      <w:r w:rsidR="001E3C5E">
        <w:t>man</w:t>
      </w:r>
      <w:r w:rsidRPr="00F57A6E">
        <w:t xml:space="preserve"> (as chair), </w:t>
      </w:r>
      <w:r w:rsidR="005B71C7" w:rsidRPr="00F57A6E">
        <w:t>Deputy Chair</w:t>
      </w:r>
      <w:r w:rsidR="001E3C5E">
        <w:t>man</w:t>
      </w:r>
      <w:r w:rsidR="005B71C7" w:rsidRPr="00F57A6E">
        <w:t xml:space="preserve">, </w:t>
      </w:r>
      <w:r w:rsidRPr="00F57A6E">
        <w:t>the Head of Office, the First Assistant Commissioner</w:t>
      </w:r>
      <w:r w:rsidR="00927E0E">
        <w:t>/</w:t>
      </w:r>
      <w:r w:rsidRPr="00F57A6E">
        <w:t>s and the Assistant Commissioner, Corporate Services. It meets monthly</w:t>
      </w:r>
      <w:r w:rsidR="003D5BB3" w:rsidRPr="00F57A6E">
        <w:t>,</w:t>
      </w:r>
      <w:r w:rsidRPr="00F57A6E">
        <w:t xml:space="preserve"> or more frequently as necessary.</w:t>
      </w:r>
    </w:p>
    <w:p w:rsidR="00CE62EE" w:rsidRPr="00F57A6E" w:rsidRDefault="00CE62EE" w:rsidP="00162D0D">
      <w:pPr>
        <w:pStyle w:val="BodyText"/>
        <w:spacing w:before="200"/>
      </w:pPr>
      <w:r w:rsidRPr="00F57A6E">
        <w:t xml:space="preserve">The Research Committee is responsible for approving research proposals and ensuring that these are consistent with the Commission’s objectives and current research themes. More generally, it also promotes the effectiveness and efficiency of the Commission’s research program. It meets monthly and comprises the </w:t>
      </w:r>
      <w:r w:rsidR="00D11614" w:rsidRPr="00F57A6E">
        <w:t>Chair</w:t>
      </w:r>
      <w:r w:rsidR="001E3C5E">
        <w:t>man</w:t>
      </w:r>
      <w:r w:rsidR="00D11614">
        <w:t xml:space="preserve"> (as chair),</w:t>
      </w:r>
      <w:r w:rsidR="00D11614" w:rsidRPr="00F57A6E">
        <w:t xml:space="preserve"> </w:t>
      </w:r>
      <w:r w:rsidR="00D11614" w:rsidRPr="00D11614">
        <w:t>the Deputy Chair</w:t>
      </w:r>
      <w:r w:rsidR="001E3C5E">
        <w:t>man</w:t>
      </w:r>
      <w:r w:rsidR="00D11614" w:rsidRPr="00D11614">
        <w:t>, the Head of Office</w:t>
      </w:r>
      <w:r w:rsidR="00D11614">
        <w:t>,</w:t>
      </w:r>
      <w:r w:rsidR="00D11614" w:rsidRPr="00D11614">
        <w:t xml:space="preserve"> </w:t>
      </w:r>
      <w:proofErr w:type="gramStart"/>
      <w:r w:rsidR="00927E0E">
        <w:t xml:space="preserve">the </w:t>
      </w:r>
      <w:r w:rsidRPr="00F57A6E">
        <w:t>Principal Adviser Research, the First Assistant Commissioner</w:t>
      </w:r>
      <w:r w:rsidR="00927E0E">
        <w:t>/</w:t>
      </w:r>
      <w:r w:rsidRPr="00F57A6E">
        <w:t>s</w:t>
      </w:r>
      <w:proofErr w:type="gramEnd"/>
      <w:r w:rsidR="008509E3">
        <w:t xml:space="preserve"> and</w:t>
      </w:r>
      <w:r w:rsidRPr="00F57A6E">
        <w:t xml:space="preserve"> two Assistant Commissioners.</w:t>
      </w:r>
    </w:p>
    <w:p w:rsidR="00CE62EE" w:rsidRPr="00F57A6E" w:rsidRDefault="00CE62EE" w:rsidP="00162D0D">
      <w:pPr>
        <w:pStyle w:val="BodyText"/>
        <w:spacing w:before="200"/>
        <w:rPr>
          <w:i/>
        </w:rPr>
      </w:pPr>
      <w:r w:rsidRPr="00F57A6E">
        <w:t>Commissioners have a role in strategic coordination and are responsible for the conduct of the individual inquiries, studies or other activities to which they are assigned by the Chair</w:t>
      </w:r>
      <w:r w:rsidR="008F3C28">
        <w:t>man</w:t>
      </w:r>
      <w:r w:rsidRPr="00F57A6E">
        <w:t>. Responsibility extends to the quality</w:t>
      </w:r>
      <w:r w:rsidR="00882D5A">
        <w:t xml:space="preserve"> and</w:t>
      </w:r>
      <w:r w:rsidRPr="00F57A6E">
        <w:t xml:space="preserve"> timeliness aspects of the assigned project or activity. </w:t>
      </w:r>
    </w:p>
    <w:p w:rsidR="00CE62EE" w:rsidRPr="00F57A6E" w:rsidRDefault="00CE62EE" w:rsidP="00232CE9">
      <w:pPr>
        <w:pStyle w:val="Heading3"/>
      </w:pPr>
      <w:r w:rsidRPr="00F57A6E">
        <w:t>Accountability</w:t>
      </w:r>
    </w:p>
    <w:p w:rsidR="00CE62EE" w:rsidRPr="00F57A6E" w:rsidRDefault="00CE62EE" w:rsidP="00162D0D">
      <w:pPr>
        <w:pStyle w:val="BodyText"/>
        <w:spacing w:before="200"/>
      </w:pPr>
      <w:r w:rsidRPr="00F57A6E">
        <w:t>Management Committee</w:t>
      </w:r>
      <w:r w:rsidR="003D5BB3" w:rsidRPr="00F57A6E">
        <w:t>’s</w:t>
      </w:r>
      <w:r w:rsidRPr="00F57A6E">
        <w:t xml:space="preserve"> monitor</w:t>
      </w:r>
      <w:r w:rsidR="003D5BB3" w:rsidRPr="00F57A6E">
        <w:t xml:space="preserve">ing </w:t>
      </w:r>
      <w:r w:rsidRPr="00F57A6E">
        <w:t>of the Commission is aided through the provision of regular reports covering staffing, expenditure, staff development and other operational matters.</w:t>
      </w:r>
    </w:p>
    <w:p w:rsidR="00CE62EE" w:rsidRPr="00F57A6E" w:rsidRDefault="00CE62EE" w:rsidP="00162D0D">
      <w:pPr>
        <w:pStyle w:val="BodyText"/>
        <w:spacing w:before="200"/>
      </w:pPr>
      <w:r w:rsidRPr="00F57A6E">
        <w:t xml:space="preserve">Monthly </w:t>
      </w:r>
      <w:r w:rsidR="003D5BB3" w:rsidRPr="00F57A6E">
        <w:t xml:space="preserve">Commission </w:t>
      </w:r>
      <w:r w:rsidRPr="00F57A6E">
        <w:t>meetings</w:t>
      </w:r>
      <w:r w:rsidR="003D5BB3" w:rsidRPr="00F57A6E">
        <w:t xml:space="preserve"> </w:t>
      </w:r>
      <w:r w:rsidRPr="00F57A6E">
        <w:t xml:space="preserve">— also attended by senior staff — are used to discuss and monitor progress </w:t>
      </w:r>
      <w:r w:rsidR="003D5BB3" w:rsidRPr="00F57A6E">
        <w:t xml:space="preserve">across </w:t>
      </w:r>
      <w:r w:rsidRPr="00F57A6E">
        <w:t xml:space="preserve">the Commission’s </w:t>
      </w:r>
      <w:r w:rsidR="009F0C9C" w:rsidRPr="00F57A6E">
        <w:t xml:space="preserve">four </w:t>
      </w:r>
      <w:r w:rsidRPr="00F57A6E">
        <w:t>mandated outputs. Specifically:</w:t>
      </w:r>
    </w:p>
    <w:p w:rsidR="00CE62EE" w:rsidRPr="00F57A6E" w:rsidRDefault="00CE62EE" w:rsidP="00162D0D">
      <w:pPr>
        <w:pStyle w:val="ListBullet"/>
        <w:spacing w:before="100"/>
      </w:pPr>
      <w:r w:rsidRPr="00F57A6E">
        <w:t>presiding Commissioners on government-commissioned projects report monthly on significant issues and progress against key milestones</w:t>
      </w:r>
    </w:p>
    <w:p w:rsidR="00CE62EE" w:rsidRPr="00F57A6E" w:rsidRDefault="00CE62EE" w:rsidP="00162D0D">
      <w:pPr>
        <w:pStyle w:val="ListBullet"/>
        <w:spacing w:before="100"/>
      </w:pPr>
      <w:r w:rsidRPr="00F57A6E">
        <w:t>the Research Committee reports on a quarterly basis on the status and future directions of the research program</w:t>
      </w:r>
    </w:p>
    <w:p w:rsidR="00CE62EE" w:rsidRPr="00F57A6E" w:rsidRDefault="00CE62EE" w:rsidP="00162D0D">
      <w:pPr>
        <w:pStyle w:val="ListBullet"/>
        <w:spacing w:before="100"/>
      </w:pPr>
      <w:r w:rsidRPr="00F57A6E">
        <w:t>the activities of the Steering Committee for the Review of Government Service Provision, chaired by the Chair</w:t>
      </w:r>
      <w:r w:rsidR="0087075D">
        <w:t>man</w:t>
      </w:r>
      <w:r w:rsidRPr="00F57A6E">
        <w:t xml:space="preserve"> of the Commission, are reported on a quarterly basis</w:t>
      </w:r>
    </w:p>
    <w:p w:rsidR="00CE62EE" w:rsidRPr="00F57A6E" w:rsidRDefault="006C62AE" w:rsidP="00162D0D">
      <w:pPr>
        <w:pStyle w:val="ListBullet"/>
        <w:spacing w:before="100"/>
      </w:pPr>
      <w:r w:rsidRPr="00F57A6E">
        <w:lastRenderedPageBreak/>
        <w:t xml:space="preserve">a </w:t>
      </w:r>
      <w:r w:rsidR="00CE62EE" w:rsidRPr="00F57A6E">
        <w:t>Commissioner designated with responsibility for competitive neutrality issues</w:t>
      </w:r>
      <w:r w:rsidRPr="00F57A6E">
        <w:t xml:space="preserve"> </w:t>
      </w:r>
      <w:r w:rsidR="00CE62EE" w:rsidRPr="00F57A6E">
        <w:t>reports to the Commission on a quarterly basis</w:t>
      </w:r>
    </w:p>
    <w:p w:rsidR="00CE62EE" w:rsidRPr="00F57A6E" w:rsidRDefault="00CE62EE" w:rsidP="00162D0D">
      <w:pPr>
        <w:pStyle w:val="ListBullet"/>
        <w:spacing w:before="100"/>
      </w:pPr>
      <w:proofErr w:type="gramStart"/>
      <w:r w:rsidRPr="00F57A6E">
        <w:t>the</w:t>
      </w:r>
      <w:proofErr w:type="gramEnd"/>
      <w:r w:rsidRPr="00F57A6E">
        <w:t xml:space="preserve"> Head of Office provides Commissioners with a monthly update on key management issues.</w:t>
      </w:r>
    </w:p>
    <w:p w:rsidR="00CE62EE" w:rsidRPr="00F57A6E" w:rsidRDefault="00CE62EE" w:rsidP="00232CE9">
      <w:pPr>
        <w:pStyle w:val="BodyText"/>
      </w:pPr>
      <w:r w:rsidRPr="00F57A6E">
        <w:t>The Audit Committee is a further source of accountability through its periodic review of particular aspects of the Commission’s operations. Its membership comprises a chairperson (currently a Commissioner)</w:t>
      </w:r>
      <w:r w:rsidR="0079321A">
        <w:t>,</w:t>
      </w:r>
      <w:r w:rsidR="007B65FE">
        <w:t xml:space="preserve"> </w:t>
      </w:r>
      <w:r w:rsidRPr="00F57A6E">
        <w:t>two senior members of staff</w:t>
      </w:r>
      <w:r w:rsidR="0079321A">
        <w:t xml:space="preserve"> and an external member</w:t>
      </w:r>
      <w:r w:rsidRPr="00F57A6E">
        <w:t xml:space="preserve">. The Commission’s </w:t>
      </w:r>
      <w:r w:rsidR="008943C2" w:rsidRPr="00F57A6E">
        <w:t xml:space="preserve">contracted </w:t>
      </w:r>
      <w:r w:rsidR="00E1204E" w:rsidRPr="00F57A6E">
        <w:t xml:space="preserve">internal </w:t>
      </w:r>
      <w:r w:rsidRPr="00F57A6E">
        <w:t xml:space="preserve">auditors generally attend meetings, as does a representative of the Australian National Audit Office on an ‘as required’ basis. The Audit Committee meets at least </w:t>
      </w:r>
      <w:r w:rsidR="008943C2" w:rsidRPr="00F57A6E">
        <w:t xml:space="preserve">four </w:t>
      </w:r>
      <w:r w:rsidRPr="00F57A6E">
        <w:t xml:space="preserve">times a year. </w:t>
      </w:r>
    </w:p>
    <w:p w:rsidR="004F1E85" w:rsidRPr="00F37B4D" w:rsidRDefault="004F1E85" w:rsidP="004F1E85">
      <w:pPr>
        <w:pStyle w:val="Heading3"/>
      </w:pPr>
      <w:r w:rsidRPr="00F37B4D">
        <w:t xml:space="preserve">Risk management and fraud control </w:t>
      </w:r>
    </w:p>
    <w:p w:rsidR="004F1E85" w:rsidRPr="00F37B4D" w:rsidRDefault="004F1E85" w:rsidP="004F1E85">
      <w:pPr>
        <w:pStyle w:val="BodyText"/>
      </w:pPr>
      <w:r w:rsidRPr="00F37B4D">
        <w:t>Risk assessments are undertaken within a formal risk management model specified in the Commission’s risk management plan. The plan is reviewed annually by senior management and the Audit Committee.</w:t>
      </w:r>
    </w:p>
    <w:p w:rsidR="004F1E85" w:rsidRPr="00F37B4D" w:rsidRDefault="004F1E85" w:rsidP="004F1E85">
      <w:pPr>
        <w:pStyle w:val="BodyText"/>
      </w:pPr>
      <w:r w:rsidRPr="00F37B4D">
        <w:t xml:space="preserve">The Commission has prepared a fraud risk assessment and fraud control plan and has in place appropriate fraud prevention, detection, investigation reporting and data collection procedures and processes that meet the specific needs of the Commission and comply with the Commonwealth Fraud Control Guidelines. The Chair’s certification in respect of fraud control is at Attachment </w:t>
      </w:r>
      <w:r w:rsidR="00044C66">
        <w:t>A</w:t>
      </w:r>
      <w:r w:rsidRPr="00F37B4D">
        <w:t>3.</w:t>
      </w:r>
    </w:p>
    <w:p w:rsidR="004F1E85" w:rsidRPr="00F57A6E" w:rsidRDefault="004F1E85" w:rsidP="004F1E85">
      <w:pPr>
        <w:pStyle w:val="BodyText"/>
      </w:pPr>
      <w:r w:rsidRPr="00F37B4D">
        <w:t xml:space="preserve">Information about the Commission’s risk management procedures is available to all employees. It is brought to the attention of new employees on commencement, and awareness </w:t>
      </w:r>
      <w:proofErr w:type="gramStart"/>
      <w:r w:rsidRPr="00F37B4D">
        <w:t>raising</w:t>
      </w:r>
      <w:proofErr w:type="gramEnd"/>
      <w:r w:rsidRPr="00F37B4D">
        <w:t xml:space="preserve"> for existing employees is undertaken periodically.</w:t>
      </w:r>
    </w:p>
    <w:p w:rsidR="00CE62EE" w:rsidRPr="00F57A6E" w:rsidRDefault="00CE62EE" w:rsidP="00232CE9">
      <w:pPr>
        <w:pStyle w:val="Heading3"/>
      </w:pPr>
      <w:r w:rsidRPr="00F57A6E">
        <w:t>Ethical standards</w:t>
      </w:r>
    </w:p>
    <w:p w:rsidR="00CE62EE" w:rsidRPr="00F57A6E" w:rsidRDefault="00CE62EE" w:rsidP="00232CE9">
      <w:pPr>
        <w:pStyle w:val="BodyText"/>
      </w:pPr>
      <w:r w:rsidRPr="00F57A6E">
        <w:t>The Commission has adopted a range of measures to promote ethical standards.</w:t>
      </w:r>
    </w:p>
    <w:p w:rsidR="00CE62EE" w:rsidRPr="00F57A6E" w:rsidRDefault="00CE62EE" w:rsidP="00232CE9">
      <w:pPr>
        <w:pStyle w:val="ListBullet"/>
      </w:pPr>
      <w:r w:rsidRPr="00F57A6E">
        <w:t xml:space="preserve">It has embraced the Australian Public Service (APS) Values and Code of Conduct. The Commission’s various employment agreements contain a commitment from employees to at all </w:t>
      </w:r>
      <w:proofErr w:type="gramStart"/>
      <w:r w:rsidRPr="00F57A6E">
        <w:t>times</w:t>
      </w:r>
      <w:proofErr w:type="gramEnd"/>
      <w:r w:rsidRPr="00F57A6E">
        <w:t xml:space="preserve"> conduct themselves in a manner consistent with the Values and Code.</w:t>
      </w:r>
    </w:p>
    <w:p w:rsidR="00CE62EE" w:rsidRPr="00F57A6E" w:rsidRDefault="00CE62EE" w:rsidP="00232CE9">
      <w:pPr>
        <w:pStyle w:val="ListBullet"/>
      </w:pPr>
      <w:r w:rsidRPr="00F57A6E">
        <w:t>All employees have been provided with a copy of the Values and Code, while new employees receive a copy as part of their induction.</w:t>
      </w:r>
    </w:p>
    <w:p w:rsidR="00CE62EE" w:rsidRPr="00F57A6E" w:rsidRDefault="00CE62EE" w:rsidP="00232CE9">
      <w:pPr>
        <w:pStyle w:val="ListBullet"/>
      </w:pPr>
      <w:r w:rsidRPr="00F57A6E">
        <w:t>Senior managers in particular are encouraged to set an example through the ethical and prudent use of Commonwealth resources.</w:t>
      </w:r>
    </w:p>
    <w:p w:rsidR="00CE62EE" w:rsidRPr="00F57A6E" w:rsidRDefault="00CE62EE" w:rsidP="00232CE9">
      <w:pPr>
        <w:pStyle w:val="BodyText"/>
      </w:pPr>
      <w:r w:rsidRPr="00F57A6E">
        <w:t xml:space="preserve">The Commission has developed a number of specific policies relating to ethical standards which have regard to its own operational context. These deal with matters such as email and </w:t>
      </w:r>
      <w:proofErr w:type="spellStart"/>
      <w:r w:rsidRPr="00F57A6E">
        <w:t>internet</w:t>
      </w:r>
      <w:proofErr w:type="spellEnd"/>
      <w:r w:rsidRPr="00F57A6E">
        <w:t xml:space="preserve"> use, harassment and bullying, discrimination, fraud, disclosure of information, </w:t>
      </w:r>
      <w:r w:rsidRPr="00F57A6E">
        <w:lastRenderedPageBreak/>
        <w:t xml:space="preserve">and managing conflicts of interest. The policies are readily available to all employees. Staff awareness and training sessions are offered </w:t>
      </w:r>
      <w:r w:rsidR="004B2EB1">
        <w:t xml:space="preserve">periodically </w:t>
      </w:r>
      <w:r w:rsidR="00F451D7">
        <w:t>on</w:t>
      </w:r>
      <w:r w:rsidRPr="00F57A6E">
        <w:t xml:space="preserve"> these topics.</w:t>
      </w:r>
    </w:p>
    <w:p w:rsidR="00CE62EE" w:rsidRPr="00F57A6E" w:rsidRDefault="00CE62EE" w:rsidP="00232CE9">
      <w:pPr>
        <w:pStyle w:val="Heading2"/>
      </w:pPr>
      <w:r w:rsidRPr="00F57A6E">
        <w:t>External and internal scrutiny</w:t>
      </w:r>
    </w:p>
    <w:p w:rsidR="00CE62EE" w:rsidRPr="00F57A6E" w:rsidRDefault="00CE62EE" w:rsidP="00232CE9">
      <w:pPr>
        <w:pStyle w:val="BodyText"/>
      </w:pPr>
      <w:r w:rsidRPr="00F57A6E">
        <w:t xml:space="preserve">The Commission’s processes, which provide for </w:t>
      </w:r>
      <w:r w:rsidR="009B463F">
        <w:t xml:space="preserve">transparency and </w:t>
      </w:r>
      <w:r w:rsidRPr="00F57A6E">
        <w:t xml:space="preserve">community participation </w:t>
      </w:r>
      <w:r w:rsidR="009B463F">
        <w:t xml:space="preserve">in </w:t>
      </w:r>
      <w:r w:rsidRPr="00F57A6E">
        <w:t xml:space="preserve">its work, are a key means of promoting external scrutiny. These processes are outlined in some detail in the corporate chapters of the Commission’s annual reports. </w:t>
      </w:r>
    </w:p>
    <w:p w:rsidR="00CE62EE" w:rsidRPr="00F57A6E" w:rsidRDefault="00CE62EE" w:rsidP="00232CE9">
      <w:pPr>
        <w:pStyle w:val="BodyText"/>
      </w:pPr>
      <w:r w:rsidRPr="00F57A6E">
        <w:t xml:space="preserve">External scrutiny is also promoted through the Commission’s extensive reporting, in various publications, of different aspects of its work. This annual report is an example and, in particular, appendix </w:t>
      </w:r>
      <w:r w:rsidR="004B210E">
        <w:t>B</w:t>
      </w:r>
      <w:r w:rsidRPr="00F57A6E">
        <w:t xml:space="preserve"> provides an account of the Commission’s performance.</w:t>
      </w:r>
    </w:p>
    <w:p w:rsidR="00CE62EE" w:rsidRPr="00F57A6E" w:rsidRDefault="00CE62EE" w:rsidP="00232CE9">
      <w:pPr>
        <w:pStyle w:val="BodyText"/>
      </w:pPr>
      <w:r w:rsidRPr="00F57A6E">
        <w:t>Both the Commission and the Australian Government Competitive Neutrality Complaints Office (which has separate functions although located within the Commission) have service charters.</w:t>
      </w:r>
    </w:p>
    <w:p w:rsidR="00CE62EE" w:rsidRPr="00F57A6E" w:rsidRDefault="00CE62EE" w:rsidP="00232CE9">
      <w:pPr>
        <w:pStyle w:val="BodyText"/>
      </w:pPr>
      <w:r w:rsidRPr="00F57A6E">
        <w:t>Performance against the charters is monitored on an exceptions basis — that is, by complaints to designated senior managers. No com</w:t>
      </w:r>
      <w:r w:rsidR="00F37B4D">
        <w:t>plaints were received during 20</w:t>
      </w:r>
      <w:r w:rsidR="00DE79B0" w:rsidRPr="00F57A6E">
        <w:t>1</w:t>
      </w:r>
      <w:r w:rsidR="00A550DC">
        <w:t>3</w:t>
      </w:r>
      <w:r w:rsidR="00DE79B0" w:rsidRPr="00F57A6E">
        <w:t>-1</w:t>
      </w:r>
      <w:r w:rsidR="00A550DC">
        <w:t>4</w:t>
      </w:r>
      <w:r w:rsidR="00F37B4D">
        <w:t xml:space="preserve"> </w:t>
      </w:r>
      <w:r w:rsidRPr="00F57A6E">
        <w:t>in respect of either charter.</w:t>
      </w:r>
    </w:p>
    <w:p w:rsidR="00CE62EE" w:rsidRPr="00F57A6E" w:rsidRDefault="00CE62EE" w:rsidP="00232CE9">
      <w:pPr>
        <w:pStyle w:val="BodyText"/>
      </w:pPr>
      <w:r w:rsidRPr="00F57A6E">
        <w:t xml:space="preserve">The Auditor-General issued an unqualified independent audit report on the Commission’s </w:t>
      </w:r>
      <w:r w:rsidRPr="00F57A6E">
        <w:rPr>
          <w:spacing w:val="-2"/>
          <w:szCs w:val="26"/>
        </w:rPr>
        <w:t>20</w:t>
      </w:r>
      <w:r w:rsidR="004F1E85" w:rsidRPr="00F57A6E">
        <w:rPr>
          <w:spacing w:val="-2"/>
          <w:szCs w:val="26"/>
        </w:rPr>
        <w:t>1</w:t>
      </w:r>
      <w:r w:rsidR="00A550DC">
        <w:rPr>
          <w:spacing w:val="-2"/>
          <w:szCs w:val="26"/>
        </w:rPr>
        <w:t>3</w:t>
      </w:r>
      <w:r w:rsidR="004F1E85" w:rsidRPr="00F57A6E">
        <w:rPr>
          <w:spacing w:val="-2"/>
          <w:szCs w:val="26"/>
        </w:rPr>
        <w:t>-1</w:t>
      </w:r>
      <w:r w:rsidR="00A550DC">
        <w:rPr>
          <w:spacing w:val="-2"/>
          <w:szCs w:val="26"/>
        </w:rPr>
        <w:t>4</w:t>
      </w:r>
      <w:r w:rsidRPr="00F57A6E">
        <w:t xml:space="preserve"> financial statements.  </w:t>
      </w:r>
    </w:p>
    <w:p w:rsidR="009541B9" w:rsidRPr="00F57A6E" w:rsidRDefault="00CE62EE" w:rsidP="00232CE9">
      <w:pPr>
        <w:pStyle w:val="BodyText"/>
      </w:pPr>
      <w:r w:rsidRPr="00F57A6E">
        <w:t xml:space="preserve">References to particular reports of the Commission made by federal parliamentary committees during the year are detailed in appendix </w:t>
      </w:r>
      <w:r w:rsidR="00355169">
        <w:t>B</w:t>
      </w:r>
      <w:r w:rsidRPr="00F57A6E">
        <w:t xml:space="preserve">. </w:t>
      </w:r>
      <w:r w:rsidR="00EC5F73" w:rsidRPr="00F57A6E">
        <w:t>Details of the Commission’s appearances at Senate Estimates hearings in 20</w:t>
      </w:r>
      <w:r w:rsidR="00F8321F" w:rsidRPr="00F57A6E">
        <w:t>1</w:t>
      </w:r>
      <w:r w:rsidR="00A550DC">
        <w:t>3</w:t>
      </w:r>
      <w:r w:rsidR="00EC5F73" w:rsidRPr="00F57A6E">
        <w:t>-</w:t>
      </w:r>
      <w:r w:rsidR="009B7D0D" w:rsidRPr="00F57A6E">
        <w:t>1</w:t>
      </w:r>
      <w:r w:rsidR="00A550DC">
        <w:t>4</w:t>
      </w:r>
      <w:r w:rsidR="00EC5F73" w:rsidRPr="00F57A6E">
        <w:t xml:space="preserve"> are included in appendix </w:t>
      </w:r>
      <w:r w:rsidR="004B210E">
        <w:t>B</w:t>
      </w:r>
      <w:r w:rsidR="00F37B4D">
        <w:t>.</w:t>
      </w:r>
    </w:p>
    <w:p w:rsidR="00CE62EE" w:rsidRPr="00F57A6E" w:rsidRDefault="00CE62EE" w:rsidP="00232CE9">
      <w:pPr>
        <w:pStyle w:val="BodyText"/>
      </w:pPr>
      <w:r w:rsidRPr="00F57A6E">
        <w:t>Internal scrutiny occurs through an ongoing review program of policies, procedures and activities for effectiveness, efficiency and public accountability. Particular matters addressed during the year included</w:t>
      </w:r>
      <w:r w:rsidR="005F1FE3" w:rsidRPr="00F57A6E">
        <w:t xml:space="preserve"> the following.</w:t>
      </w:r>
    </w:p>
    <w:p w:rsidR="006703E6" w:rsidRPr="00F57A6E" w:rsidRDefault="00CE62EE" w:rsidP="00232CE9">
      <w:pPr>
        <w:pStyle w:val="BodyText"/>
        <w:rPr>
          <w:i/>
          <w:spacing w:val="-2"/>
        </w:rPr>
      </w:pPr>
      <w:r w:rsidRPr="00F57A6E">
        <w:rPr>
          <w:i/>
        </w:rPr>
        <w:t>Website</w:t>
      </w:r>
      <w:r w:rsidR="006703E6" w:rsidRPr="00F57A6E">
        <w:rPr>
          <w:i/>
        </w:rPr>
        <w:t xml:space="preserve"> and publications</w:t>
      </w:r>
      <w:r w:rsidRPr="00F57A6E">
        <w:t xml:space="preserve">: </w:t>
      </w:r>
      <w:r w:rsidR="007954FB" w:rsidRPr="00F57A6E">
        <w:t>The Commission’s website continues to provide a valuable source of information about the current work of the Commission, its publications and other activities.</w:t>
      </w:r>
      <w:r w:rsidRPr="00F57A6E">
        <w:t xml:space="preserve"> During </w:t>
      </w:r>
      <w:r w:rsidR="0041108D" w:rsidRPr="00F57A6E">
        <w:t>20</w:t>
      </w:r>
      <w:r w:rsidR="00DE79B0" w:rsidRPr="00F57A6E">
        <w:t>1</w:t>
      </w:r>
      <w:r w:rsidR="00F646FA">
        <w:t>3</w:t>
      </w:r>
      <w:r w:rsidR="00DE79B0" w:rsidRPr="00F57A6E">
        <w:t>-1</w:t>
      </w:r>
      <w:r w:rsidR="00F646FA">
        <w:t>4</w:t>
      </w:r>
      <w:r w:rsidR="009B7D0D" w:rsidRPr="00F57A6E">
        <w:t xml:space="preserve"> </w:t>
      </w:r>
      <w:r w:rsidRPr="00F57A6E">
        <w:t xml:space="preserve">the Commission </w:t>
      </w:r>
      <w:r w:rsidR="00F646FA">
        <w:t xml:space="preserve">undertook a </w:t>
      </w:r>
      <w:r w:rsidR="003A698D">
        <w:t>review</w:t>
      </w:r>
      <w:r w:rsidR="00F646FA">
        <w:t xml:space="preserve"> of </w:t>
      </w:r>
      <w:r w:rsidR="00B715E6">
        <w:t>its</w:t>
      </w:r>
      <w:r w:rsidR="00F646FA">
        <w:t xml:space="preserve"> website </w:t>
      </w:r>
      <w:r w:rsidR="0041108D" w:rsidRPr="00F57A6E">
        <w:t>structure</w:t>
      </w:r>
      <w:r w:rsidR="003B3150">
        <w:t>,</w:t>
      </w:r>
      <w:r w:rsidR="000E1484">
        <w:t xml:space="preserve"> </w:t>
      </w:r>
      <w:r w:rsidR="0078072A" w:rsidRPr="00F57A6E">
        <w:t>presentation</w:t>
      </w:r>
      <w:r w:rsidR="003B3150">
        <w:t xml:space="preserve"> and accessibility</w:t>
      </w:r>
      <w:r w:rsidR="0078072A" w:rsidRPr="00F57A6E">
        <w:t xml:space="preserve"> </w:t>
      </w:r>
      <w:r w:rsidR="0041108D" w:rsidRPr="00F57A6E">
        <w:t xml:space="preserve">of </w:t>
      </w:r>
      <w:r w:rsidR="003A698D">
        <w:t>content</w:t>
      </w:r>
      <w:r w:rsidR="00284B6D">
        <w:t>.</w:t>
      </w:r>
      <w:r w:rsidR="00844AC1">
        <w:t xml:space="preserve">  A redeveloped </w:t>
      </w:r>
      <w:r w:rsidR="00B715E6">
        <w:t xml:space="preserve">website </w:t>
      </w:r>
      <w:r w:rsidR="00844AC1">
        <w:t xml:space="preserve">resulting from that work </w:t>
      </w:r>
      <w:r w:rsidR="00B715E6">
        <w:t xml:space="preserve">will be available in </w:t>
      </w:r>
      <w:r w:rsidR="00844AC1">
        <w:t xml:space="preserve">the first half of </w:t>
      </w:r>
      <w:r w:rsidR="00B715E6">
        <w:t>2014-15.</w:t>
      </w:r>
    </w:p>
    <w:p w:rsidR="00715D36" w:rsidRPr="00F57A6E" w:rsidRDefault="00CE62EE" w:rsidP="00232CE9">
      <w:pPr>
        <w:pStyle w:val="BodyText"/>
      </w:pPr>
      <w:r w:rsidRPr="00F57A6E">
        <w:rPr>
          <w:i/>
          <w:spacing w:val="-2"/>
        </w:rPr>
        <w:t>Information technology</w:t>
      </w:r>
      <w:r w:rsidRPr="00F57A6E">
        <w:rPr>
          <w:spacing w:val="-2"/>
        </w:rPr>
        <w:t>: Maintenance</w:t>
      </w:r>
      <w:r w:rsidR="0041108D" w:rsidRPr="00F57A6E">
        <w:rPr>
          <w:spacing w:val="-2"/>
        </w:rPr>
        <w:t>, review</w:t>
      </w:r>
      <w:r w:rsidRPr="00F57A6E">
        <w:rPr>
          <w:spacing w:val="-2"/>
        </w:rPr>
        <w:t xml:space="preserve"> and upgrade of Commission ICT infrastructure</w:t>
      </w:r>
      <w:r w:rsidRPr="00F57A6E">
        <w:t xml:space="preserve"> has continued</w:t>
      </w:r>
      <w:r w:rsidR="00DE79B0" w:rsidRPr="00F57A6E">
        <w:t xml:space="preserve">. </w:t>
      </w:r>
      <w:r w:rsidR="00CF31B2">
        <w:t xml:space="preserve"> </w:t>
      </w:r>
      <w:r w:rsidR="00DE79B0" w:rsidRPr="00F57A6E">
        <w:t>In 201</w:t>
      </w:r>
      <w:r w:rsidR="00F646FA">
        <w:t>3</w:t>
      </w:r>
      <w:r w:rsidR="00DE79B0" w:rsidRPr="00F57A6E">
        <w:t>-1</w:t>
      </w:r>
      <w:r w:rsidR="00F646FA">
        <w:t>4</w:t>
      </w:r>
      <w:r w:rsidR="00DE79B0" w:rsidRPr="00F57A6E">
        <w:t xml:space="preserve">, </w:t>
      </w:r>
      <w:r w:rsidR="00844AC1">
        <w:t>this included commencement of a phased rollout of electronic records management software</w:t>
      </w:r>
      <w:r w:rsidR="00F5197A">
        <w:t xml:space="preserve">; upgrade of </w:t>
      </w:r>
      <w:r w:rsidR="00D62C15">
        <w:t xml:space="preserve">the </w:t>
      </w:r>
      <w:r w:rsidR="00844AC1">
        <w:t>virtual hardware environment and storage area network</w:t>
      </w:r>
      <w:r w:rsidR="00F5197A">
        <w:t>;</w:t>
      </w:r>
      <w:r w:rsidR="00B147F4">
        <w:t xml:space="preserve"> and </w:t>
      </w:r>
      <w:r w:rsidR="00844AC1">
        <w:t xml:space="preserve">ongoing </w:t>
      </w:r>
      <w:r w:rsidR="00D62C15">
        <w:t xml:space="preserve">work on </w:t>
      </w:r>
      <w:r w:rsidR="00B147F4">
        <w:t xml:space="preserve">disaster recovery </w:t>
      </w:r>
      <w:r w:rsidR="00D62C15">
        <w:t>preparedness</w:t>
      </w:r>
      <w:r w:rsidR="00B147F4">
        <w:t>.</w:t>
      </w:r>
      <w:r w:rsidR="00DE79B0" w:rsidRPr="00F57A6E">
        <w:t xml:space="preserve"> </w:t>
      </w:r>
    </w:p>
    <w:p w:rsidR="00715D36" w:rsidRDefault="00150C66" w:rsidP="00661A82">
      <w:pPr>
        <w:pStyle w:val="BodyText"/>
      </w:pPr>
      <w:r w:rsidRPr="00F57A6E">
        <w:rPr>
          <w:i/>
        </w:rPr>
        <w:t>Human Resources</w:t>
      </w:r>
      <w:r w:rsidR="003045F8" w:rsidRPr="00F57A6E">
        <w:t>:</w:t>
      </w:r>
      <w:r w:rsidR="00AE3A9A" w:rsidRPr="00F57A6E">
        <w:t xml:space="preserve"> </w:t>
      </w:r>
      <w:r w:rsidR="00850758" w:rsidRPr="00F57A6E">
        <w:t>During 201</w:t>
      </w:r>
      <w:r w:rsidR="00F646FA">
        <w:t>3</w:t>
      </w:r>
      <w:r w:rsidR="00850758" w:rsidRPr="00F57A6E">
        <w:t>-1</w:t>
      </w:r>
      <w:r w:rsidR="00F646FA">
        <w:t>4</w:t>
      </w:r>
      <w:r w:rsidR="00850758" w:rsidRPr="00F57A6E">
        <w:t xml:space="preserve">, the Commission continued a system of performance appraisal for staff and senior executives, intended to enhance individual development and </w:t>
      </w:r>
      <w:r w:rsidR="00850758" w:rsidRPr="00F57A6E">
        <w:lastRenderedPageBreak/>
        <w:t xml:space="preserve">improve organisational performance. </w:t>
      </w:r>
      <w:r w:rsidR="004A477B">
        <w:t xml:space="preserve">The </w:t>
      </w:r>
      <w:r w:rsidR="00EC2583">
        <w:t>program of internal seminars on a range of topical economic, social</w:t>
      </w:r>
      <w:r w:rsidR="004A477B">
        <w:t xml:space="preserve"> </w:t>
      </w:r>
      <w:r w:rsidR="00EC2583">
        <w:t>and environmental issues</w:t>
      </w:r>
      <w:r w:rsidR="004A477B">
        <w:t xml:space="preserve"> continued, </w:t>
      </w:r>
      <w:r w:rsidR="00A30A83">
        <w:t>as did a</w:t>
      </w:r>
      <w:r w:rsidR="00E9783D">
        <w:t xml:space="preserve"> </w:t>
      </w:r>
      <w:r w:rsidR="00D62C15">
        <w:t xml:space="preserve">mentoring program for </w:t>
      </w:r>
      <w:r w:rsidR="00EC2583">
        <w:t>Executive Level staff</w:t>
      </w:r>
      <w:r w:rsidR="00A30A83">
        <w:t>.</w:t>
      </w:r>
    </w:p>
    <w:p w:rsidR="00850758" w:rsidRPr="00F57A6E" w:rsidRDefault="00715D36" w:rsidP="00661A82">
      <w:pPr>
        <w:pStyle w:val="BodyText"/>
      </w:pPr>
      <w:r w:rsidRPr="00661A82">
        <w:rPr>
          <w:i/>
        </w:rPr>
        <w:t>Shared services</w:t>
      </w:r>
      <w:r>
        <w:t>: During 201</w:t>
      </w:r>
      <w:r w:rsidR="00F646FA">
        <w:t>3</w:t>
      </w:r>
      <w:r>
        <w:t>-1</w:t>
      </w:r>
      <w:r w:rsidR="00F646FA">
        <w:t>4</w:t>
      </w:r>
      <w:r>
        <w:t>,</w:t>
      </w:r>
      <w:r w:rsidRPr="00715D36">
        <w:t xml:space="preserve"> </w:t>
      </w:r>
      <w:r>
        <w:t>the Commission provided</w:t>
      </w:r>
      <w:r w:rsidRPr="00715D36">
        <w:t xml:space="preserve"> ICT infrastructure and support, an</w:t>
      </w:r>
      <w:r>
        <w:t xml:space="preserve">d payroll system and services, </w:t>
      </w:r>
      <w:r w:rsidRPr="00715D36">
        <w:t>to another small co-located Commonwealth agency in Melbourne, the Tertiary Education Quality and Standards Agency</w:t>
      </w:r>
      <w:r>
        <w:t>, on a cost recovery basis.</w:t>
      </w:r>
    </w:p>
    <w:p w:rsidR="004F1E85" w:rsidRPr="00F57A6E" w:rsidRDefault="00CE62EE" w:rsidP="004F1E85">
      <w:pPr>
        <w:pStyle w:val="BodyText"/>
        <w:rPr>
          <w:i/>
        </w:rPr>
      </w:pPr>
      <w:r w:rsidRPr="00F57A6E">
        <w:rPr>
          <w:i/>
        </w:rPr>
        <w:t>Internal Audit</w:t>
      </w:r>
      <w:r w:rsidRPr="00F57A6E">
        <w:t xml:space="preserve">: </w:t>
      </w:r>
      <w:r w:rsidR="008512FA" w:rsidRPr="00F57A6E">
        <w:t>The Commissio</w:t>
      </w:r>
      <w:r w:rsidR="00D066DC">
        <w:t xml:space="preserve">n </w:t>
      </w:r>
      <w:r w:rsidR="00763B8A">
        <w:t xml:space="preserve">engages </w:t>
      </w:r>
      <w:r w:rsidR="00D066DC">
        <w:t xml:space="preserve">an accounting firm </w:t>
      </w:r>
      <w:r w:rsidR="008512FA" w:rsidRPr="00F57A6E">
        <w:t xml:space="preserve">to </w:t>
      </w:r>
      <w:r w:rsidR="00715D36">
        <w:t>undertake</w:t>
      </w:r>
      <w:r w:rsidR="00715D36" w:rsidRPr="00F57A6E">
        <w:t xml:space="preserve"> </w:t>
      </w:r>
      <w:r w:rsidR="008512FA" w:rsidRPr="00F57A6E">
        <w:t>a program of internal audit</w:t>
      </w:r>
      <w:r w:rsidR="00170115">
        <w:t xml:space="preserve"> reviews</w:t>
      </w:r>
      <w:r w:rsidR="00763B8A">
        <w:t>.</w:t>
      </w:r>
      <w:r w:rsidR="00715D36">
        <w:t xml:space="preserve"> </w:t>
      </w:r>
      <w:r w:rsidR="008512FA" w:rsidRPr="00F57A6E">
        <w:t xml:space="preserve"> </w:t>
      </w:r>
      <w:r w:rsidR="004F1E85" w:rsidRPr="00CF31B2">
        <w:t>Internal audit</w:t>
      </w:r>
      <w:r w:rsidR="00170115">
        <w:t xml:space="preserve"> reviews</w:t>
      </w:r>
      <w:r w:rsidR="004F1E85" w:rsidRPr="00CF31B2">
        <w:t xml:space="preserve"> conducted in 201</w:t>
      </w:r>
      <w:r w:rsidR="00F646FA">
        <w:t>3</w:t>
      </w:r>
      <w:r w:rsidR="004F1E85" w:rsidRPr="00CF31B2">
        <w:t>-1</w:t>
      </w:r>
      <w:r w:rsidR="00F646FA">
        <w:t>4</w:t>
      </w:r>
      <w:r w:rsidR="004F1E85" w:rsidRPr="00CF31B2">
        <w:t xml:space="preserve"> focused on </w:t>
      </w:r>
      <w:r w:rsidR="005A3B35">
        <w:t>payroll and fraud risk assessment</w:t>
      </w:r>
      <w:r w:rsidR="00F5197A">
        <w:t>.</w:t>
      </w:r>
      <w:r w:rsidR="004F1E85" w:rsidRPr="00CF31B2">
        <w:t xml:space="preserve"> No control or compliance deficiencies involving unacceptable risk were identified.</w:t>
      </w:r>
    </w:p>
    <w:p w:rsidR="00CE62EE" w:rsidRPr="00F57A6E" w:rsidRDefault="00CE62EE" w:rsidP="00232CE9">
      <w:pPr>
        <w:pStyle w:val="BodyText"/>
      </w:pPr>
      <w:r w:rsidRPr="00F57A6E">
        <w:rPr>
          <w:i/>
        </w:rPr>
        <w:t>Audit Committee</w:t>
      </w:r>
      <w:r w:rsidRPr="00F57A6E">
        <w:t>: The Audit Committee also plays an important internal scrutiny role. The Committee’s efforts during the year related mainly to:</w:t>
      </w:r>
    </w:p>
    <w:p w:rsidR="00CE62EE" w:rsidRPr="00F57A6E" w:rsidRDefault="00CE62EE" w:rsidP="00232CE9">
      <w:pPr>
        <w:pStyle w:val="ListBullet"/>
      </w:pPr>
      <w:r w:rsidRPr="00F57A6E">
        <w:t>oversight of the Commission’s internal audit program</w:t>
      </w:r>
    </w:p>
    <w:p w:rsidR="00CE62EE" w:rsidRPr="00F57A6E" w:rsidRDefault="00CE62EE" w:rsidP="00232CE9">
      <w:pPr>
        <w:pStyle w:val="ListBullet"/>
      </w:pPr>
      <w:r w:rsidRPr="00F57A6E">
        <w:t>consideration of the annual financial statements and associated issues</w:t>
      </w:r>
    </w:p>
    <w:p w:rsidR="00CE62EE" w:rsidRPr="00F57A6E" w:rsidRDefault="00CE62EE" w:rsidP="00232CE9">
      <w:pPr>
        <w:pStyle w:val="ListBullet"/>
      </w:pPr>
      <w:r w:rsidRPr="00F57A6E">
        <w:t xml:space="preserve">scrutiny of the Commission’s risk management, fraud control and </w:t>
      </w:r>
      <w:r w:rsidR="00E1204E" w:rsidRPr="00F57A6E">
        <w:t>business continuity</w:t>
      </w:r>
      <w:r w:rsidRPr="00F57A6E">
        <w:t xml:space="preserve"> plans</w:t>
      </w:r>
    </w:p>
    <w:p w:rsidR="00CE62EE" w:rsidRPr="00F57A6E" w:rsidRDefault="00CE62EE" w:rsidP="00232CE9">
      <w:pPr>
        <w:pStyle w:val="ListBullet"/>
      </w:pPr>
      <w:proofErr w:type="gramStart"/>
      <w:r w:rsidRPr="00F57A6E">
        <w:t>reviews</w:t>
      </w:r>
      <w:proofErr w:type="gramEnd"/>
      <w:r w:rsidRPr="00F57A6E">
        <w:t xml:space="preserve"> of relevant ANAO reports</w:t>
      </w:r>
      <w:r w:rsidR="00B70232" w:rsidRPr="00F57A6E">
        <w:t>.</w:t>
      </w:r>
    </w:p>
    <w:p w:rsidR="00CE62EE" w:rsidRPr="00F57A6E" w:rsidRDefault="00CE62EE" w:rsidP="00232CE9">
      <w:pPr>
        <w:pStyle w:val="Heading2"/>
      </w:pPr>
      <w:r w:rsidRPr="00F57A6E">
        <w:t>Management of human resources</w:t>
      </w:r>
    </w:p>
    <w:p w:rsidR="004C7795" w:rsidRPr="00F57A6E" w:rsidRDefault="00CE62EE" w:rsidP="005150C6">
      <w:pPr>
        <w:pStyle w:val="BodyText"/>
      </w:pPr>
      <w:r w:rsidRPr="00F57A6E">
        <w:t>The Commission’s human resources management operates within the context of relevant legislation, government policy and Commission-developed policy. Day-to-day management is devolved to senior managers within a broad framework agreed by Management Committee. The Committee routinely monitors the performance of people management functions through a range of feedback mechanisms, including through standing reports to its monthly meetings.</w:t>
      </w:r>
    </w:p>
    <w:p w:rsidR="00CE62EE" w:rsidRPr="00F57A6E" w:rsidRDefault="00CE62EE" w:rsidP="00232CE9">
      <w:pPr>
        <w:pStyle w:val="Heading3"/>
      </w:pPr>
      <w:r w:rsidRPr="00F57A6E">
        <w:t>Workforce planning</w:t>
      </w:r>
    </w:p>
    <w:p w:rsidR="00CE62EE" w:rsidRPr="00F57A6E" w:rsidRDefault="00CE62EE" w:rsidP="00232CE9">
      <w:pPr>
        <w:pStyle w:val="BodyText"/>
      </w:pPr>
      <w:r w:rsidRPr="00F57A6E">
        <w:t>Management Committee plays the key role for ensuring alignment between the Commission’s resources and its future capability requirements.</w:t>
      </w:r>
      <w:r w:rsidR="005A3B35">
        <w:t xml:space="preserve">  During 2013-14, the Commission undertook a</w:t>
      </w:r>
      <w:r w:rsidR="00796376">
        <w:t xml:space="preserve">n organisational </w:t>
      </w:r>
      <w:r w:rsidR="005A3B35">
        <w:t>restructure to adjust to a lower funding base in 2014-15 and subsequent years</w:t>
      </w:r>
      <w:r w:rsidR="00D4566A">
        <w:t>.</w:t>
      </w:r>
    </w:p>
    <w:p w:rsidR="00CE62EE" w:rsidRPr="00F57A6E" w:rsidRDefault="00CE62EE" w:rsidP="00232CE9">
      <w:pPr>
        <w:pStyle w:val="BodyText"/>
      </w:pPr>
      <w:r w:rsidRPr="00F57A6E">
        <w:t xml:space="preserve">The Commission regularly considers a range of workforce planning issues associated with the attraction, retention and development of staff. The Commission </w:t>
      </w:r>
      <w:r w:rsidR="00911DF8">
        <w:t xml:space="preserve">also </w:t>
      </w:r>
      <w:r w:rsidRPr="00F57A6E">
        <w:t xml:space="preserve">reviews its graduate recruitment process annually with a view to increasing the awareness of graduating university students of the Commission as a potential employer. </w:t>
      </w:r>
      <w:r w:rsidR="00796376">
        <w:t>Seven</w:t>
      </w:r>
      <w:r w:rsidR="00796376" w:rsidRPr="00F57A6E">
        <w:t xml:space="preserve"> </w:t>
      </w:r>
      <w:r w:rsidRPr="00F57A6E">
        <w:t xml:space="preserve">new </w:t>
      </w:r>
      <w:r w:rsidRPr="00F57A6E">
        <w:lastRenderedPageBreak/>
        <w:t>e</w:t>
      </w:r>
      <w:r w:rsidR="004C7795" w:rsidRPr="00F57A6E">
        <w:t>mployees were engaged during 201</w:t>
      </w:r>
      <w:r w:rsidR="00911DF8">
        <w:t>3</w:t>
      </w:r>
      <w:r w:rsidRPr="00F57A6E">
        <w:t>-</w:t>
      </w:r>
      <w:r w:rsidR="004C7795" w:rsidRPr="00F57A6E">
        <w:t>1</w:t>
      </w:r>
      <w:r w:rsidR="00911DF8">
        <w:t>4</w:t>
      </w:r>
      <w:r w:rsidRPr="00F57A6E">
        <w:t xml:space="preserve"> through the Commission’s graduate recruitment program.</w:t>
      </w:r>
    </w:p>
    <w:p w:rsidR="00CE62EE" w:rsidRPr="00F57A6E" w:rsidRDefault="00CE62EE" w:rsidP="00232CE9">
      <w:pPr>
        <w:pStyle w:val="BodyText"/>
      </w:pPr>
      <w:r w:rsidRPr="00F57A6E">
        <w:t xml:space="preserve">An important input to workforce planning is the information obtained from departing employees through exit questionnaires and, in many cases, personal interviews on exit. Such information is considered regularly by Management Committee and applied to a variety of initiatives including conditions of service, developing </w:t>
      </w:r>
      <w:r w:rsidR="0070771B" w:rsidRPr="00F57A6E">
        <w:t xml:space="preserve">employment </w:t>
      </w:r>
      <w:r w:rsidRPr="00F57A6E">
        <w:t>agreements, and employee retention strategies.</w:t>
      </w:r>
    </w:p>
    <w:p w:rsidR="00CE62EE" w:rsidRPr="00F57A6E" w:rsidRDefault="00CE62EE" w:rsidP="00232CE9">
      <w:pPr>
        <w:pStyle w:val="Heading3"/>
      </w:pPr>
      <w:r w:rsidRPr="00F57A6E">
        <w:t>Remuneration and employment conditions</w:t>
      </w:r>
    </w:p>
    <w:p w:rsidR="00CE62EE" w:rsidRPr="00F57A6E" w:rsidRDefault="00284B6D" w:rsidP="00232CE9">
      <w:pPr>
        <w:pStyle w:val="BodyText"/>
      </w:pPr>
      <w:r>
        <w:t>R</w:t>
      </w:r>
      <w:r w:rsidRPr="00284B6D">
        <w:t xml:space="preserve">emuneration </w:t>
      </w:r>
      <w:r>
        <w:t>for the Chair</w:t>
      </w:r>
      <w:r w:rsidR="0087075D">
        <w:t>man</w:t>
      </w:r>
      <w:r>
        <w:t xml:space="preserve"> and Commissioners is set directly by the Remuneration Tribunal in determinations that </w:t>
      </w:r>
      <w:r w:rsidR="00715D36">
        <w:t xml:space="preserve">are </w:t>
      </w:r>
      <w:r>
        <w:t>publicly available on the Tribunal’s website.</w:t>
      </w:r>
    </w:p>
    <w:p w:rsidR="00CE62EE" w:rsidRPr="00F57A6E" w:rsidRDefault="00CE62EE" w:rsidP="00232CE9">
      <w:pPr>
        <w:pStyle w:val="BodyText"/>
        <w:rPr>
          <w:spacing w:val="-2"/>
          <w:szCs w:val="26"/>
        </w:rPr>
      </w:pPr>
      <w:r w:rsidRPr="00F57A6E">
        <w:t xml:space="preserve">The Commission’s </w:t>
      </w:r>
      <w:r w:rsidR="00796376">
        <w:t>15</w:t>
      </w:r>
      <w:r w:rsidR="00796376" w:rsidRPr="00F57A6E">
        <w:t xml:space="preserve"> </w:t>
      </w:r>
      <w:r w:rsidRPr="00F57A6E">
        <w:t>Senior Executive Service (SES) employees are employed under</w:t>
      </w:r>
      <w:r w:rsidR="00124219" w:rsidRPr="00F57A6E">
        <w:t xml:space="preserve"> </w:t>
      </w:r>
      <w:r w:rsidR="00B70232" w:rsidRPr="00F57A6E">
        <w:t>individual determinations under the</w:t>
      </w:r>
      <w:r w:rsidR="0070771B" w:rsidRPr="00F57A6E">
        <w:t xml:space="preserve"> </w:t>
      </w:r>
      <w:r w:rsidR="00B70232" w:rsidRPr="00F57A6E">
        <w:rPr>
          <w:i/>
        </w:rPr>
        <w:t>Public Service Act 1999</w:t>
      </w:r>
      <w:r w:rsidR="00B70232" w:rsidRPr="00F57A6E">
        <w:t>.</w:t>
      </w:r>
      <w:r w:rsidRPr="00F57A6E">
        <w:t xml:space="preserve"> SES remuneration is set in the context of public and private sector benchmarks, including those contained in the APS Remuneration </w:t>
      </w:r>
      <w:r w:rsidR="00715D36">
        <w:t>Report</w:t>
      </w:r>
      <w:r w:rsidR="00715D36" w:rsidRPr="00F57A6E">
        <w:t xml:space="preserve"> </w:t>
      </w:r>
      <w:r w:rsidR="00715D36">
        <w:t>published by</w:t>
      </w:r>
      <w:r w:rsidRPr="00F57A6E">
        <w:t xml:space="preserve"> the </w:t>
      </w:r>
      <w:r w:rsidR="00CF31B2">
        <w:t>Australian Public Service Commission</w:t>
      </w:r>
      <w:r w:rsidRPr="00F57A6E">
        <w:rPr>
          <w:spacing w:val="-2"/>
          <w:szCs w:val="26"/>
        </w:rPr>
        <w:t xml:space="preserve">. </w:t>
      </w:r>
    </w:p>
    <w:p w:rsidR="004C7795" w:rsidRPr="00F57A6E" w:rsidRDefault="00CE62EE" w:rsidP="00232CE9">
      <w:pPr>
        <w:pStyle w:val="BodyText"/>
      </w:pPr>
      <w:r w:rsidRPr="00F57A6E">
        <w:rPr>
          <w:spacing w:val="-2"/>
          <w:szCs w:val="26"/>
        </w:rPr>
        <w:t xml:space="preserve">Information on Commissioners and SES </w:t>
      </w:r>
      <w:proofErr w:type="gramStart"/>
      <w:r w:rsidRPr="00F57A6E">
        <w:rPr>
          <w:spacing w:val="-2"/>
          <w:szCs w:val="26"/>
        </w:rPr>
        <w:t>employees</w:t>
      </w:r>
      <w:proofErr w:type="gramEnd"/>
      <w:r w:rsidRPr="00F57A6E">
        <w:rPr>
          <w:spacing w:val="-2"/>
          <w:szCs w:val="26"/>
        </w:rPr>
        <w:t xml:space="preserve"> total remuneration</w:t>
      </w:r>
      <w:r w:rsidRPr="00F57A6E">
        <w:t xml:space="preserve"> is set out in Note 1</w:t>
      </w:r>
      <w:r w:rsidR="00454458" w:rsidRPr="00F57A6E">
        <w:t>2</w:t>
      </w:r>
      <w:r w:rsidRPr="00F57A6E">
        <w:t xml:space="preserve"> to the Financial Statements (appendix </w:t>
      </w:r>
      <w:r w:rsidR="0010496C">
        <w:t>G</w:t>
      </w:r>
      <w:r w:rsidRPr="00F57A6E">
        <w:t xml:space="preserve">). </w:t>
      </w:r>
    </w:p>
    <w:p w:rsidR="004C7795" w:rsidRDefault="004C7795" w:rsidP="004C7795">
      <w:pPr>
        <w:pStyle w:val="BodyText"/>
      </w:pPr>
      <w:r w:rsidRPr="00F57A6E">
        <w:rPr>
          <w:spacing w:val="-2"/>
          <w:szCs w:val="26"/>
        </w:rPr>
        <w:t xml:space="preserve">APS salary ranges for non-SES </w:t>
      </w:r>
      <w:proofErr w:type="gramStart"/>
      <w:r w:rsidRPr="00F57A6E">
        <w:rPr>
          <w:spacing w:val="-2"/>
          <w:szCs w:val="26"/>
        </w:rPr>
        <w:t>staff</w:t>
      </w:r>
      <w:proofErr w:type="gramEnd"/>
      <w:r w:rsidRPr="00F57A6E">
        <w:rPr>
          <w:spacing w:val="-2"/>
          <w:szCs w:val="26"/>
        </w:rPr>
        <w:t xml:space="preserve"> which correspond to the Commission’s </w:t>
      </w:r>
      <w:proofErr w:type="spellStart"/>
      <w:r w:rsidRPr="00F57A6E">
        <w:rPr>
          <w:spacing w:val="-2"/>
          <w:szCs w:val="26"/>
        </w:rPr>
        <w:t>broadbanded</w:t>
      </w:r>
      <w:proofErr w:type="spellEnd"/>
      <w:r w:rsidRPr="00F57A6E">
        <w:rPr>
          <w:spacing w:val="-2"/>
          <w:szCs w:val="26"/>
        </w:rPr>
        <w:t xml:space="preserve"> classifications</w:t>
      </w:r>
      <w:r w:rsidRPr="00F57A6E">
        <w:t xml:space="preserve"> are shown in the enterprise agreement which is available on the Commission’s website.</w:t>
      </w:r>
    </w:p>
    <w:p w:rsidR="00534887" w:rsidRPr="00F57A6E" w:rsidRDefault="00534887" w:rsidP="004C7795">
      <w:pPr>
        <w:pStyle w:val="BodyText"/>
      </w:pPr>
      <w:r>
        <w:t>Table A1.6 provides details of salary ranges at 30 June 201</w:t>
      </w:r>
      <w:r w:rsidR="00796376">
        <w:t>4</w:t>
      </w:r>
      <w:r>
        <w:t>.</w:t>
      </w:r>
    </w:p>
    <w:p w:rsidR="004C7795" w:rsidRPr="00F57A6E" w:rsidRDefault="004A477B" w:rsidP="004C7795">
      <w:pPr>
        <w:pStyle w:val="BodyText"/>
      </w:pPr>
      <w:r>
        <w:t>The Commission’s non-SES employees are covered by an enterprise agreement</w:t>
      </w:r>
      <w:r w:rsidR="00246FA7">
        <w:t>.</w:t>
      </w:r>
      <w:r w:rsidR="00844AC1">
        <w:t xml:space="preserve"> </w:t>
      </w:r>
      <w:r w:rsidR="00F8321F" w:rsidRPr="00F57A6E">
        <w:t>The levels of remuneration and terms and conditions o</w:t>
      </w:r>
      <w:r w:rsidR="000422A4">
        <w:t xml:space="preserve">f employment of approximately </w:t>
      </w:r>
      <w:r>
        <w:t>1</w:t>
      </w:r>
      <w:r w:rsidR="00246FA7">
        <w:t>45</w:t>
      </w:r>
      <w:r w:rsidRPr="00F57A6E">
        <w:t xml:space="preserve"> </w:t>
      </w:r>
      <w:r w:rsidR="00F8321F" w:rsidRPr="00F57A6E">
        <w:t>employees are covered by this agreement.</w:t>
      </w:r>
      <w:r w:rsidR="00A77F23">
        <w:t xml:space="preserve"> </w:t>
      </w:r>
      <w:r w:rsidR="00A77F23" w:rsidRPr="00693EAB">
        <w:t>Six</w:t>
      </w:r>
      <w:r w:rsidR="00A77F23">
        <w:t xml:space="preserve"> individual flexibility agreements are in place</w:t>
      </w:r>
      <w:r w:rsidR="00693EAB">
        <w:t>, mainly addressing allowances and working hour arrangements</w:t>
      </w:r>
      <w:r w:rsidR="00246FA7">
        <w:t>.</w:t>
      </w:r>
    </w:p>
    <w:p w:rsidR="006C0A14" w:rsidRDefault="006C0A14" w:rsidP="004C7795">
      <w:pPr>
        <w:pStyle w:val="BodyText"/>
      </w:pPr>
      <w:r w:rsidRPr="00F57A6E">
        <w:t xml:space="preserve">The enterprise agreement provides </w:t>
      </w:r>
      <w:r w:rsidR="00FE44E7">
        <w:t xml:space="preserve">for </w:t>
      </w:r>
      <w:r w:rsidRPr="00F57A6E">
        <w:t>improvements in remuneration and other conditions, while also providing a basis for productivity improvements.  The agreement includes a number of provisions aimed at providing work/life balance and a satisfying and rewarding environment for employees.</w:t>
      </w:r>
      <w:r w:rsidR="00CB7C2B">
        <w:t xml:space="preserve"> </w:t>
      </w:r>
    </w:p>
    <w:p w:rsidR="00246FA7" w:rsidRPr="00F57A6E" w:rsidRDefault="00246FA7" w:rsidP="004C7795">
      <w:pPr>
        <w:pStyle w:val="BodyText"/>
      </w:pPr>
      <w:r>
        <w:t>The enterprise agreement has</w:t>
      </w:r>
      <w:r w:rsidRPr="00246FA7">
        <w:t xml:space="preserve"> a nominal expiry date of 30 June 2014 and bargaining has commenced for a replacement agreement.</w:t>
      </w:r>
    </w:p>
    <w:p w:rsidR="00CE62EE" w:rsidRPr="00F57A6E" w:rsidRDefault="00CE62EE" w:rsidP="00232CE9">
      <w:pPr>
        <w:pStyle w:val="Heading3"/>
      </w:pPr>
      <w:r w:rsidRPr="00F57A6E">
        <w:t>Performance management and pay</w:t>
      </w:r>
    </w:p>
    <w:p w:rsidR="00CE62EE" w:rsidRPr="00F57A6E" w:rsidRDefault="00CE62EE" w:rsidP="00106970">
      <w:pPr>
        <w:pStyle w:val="BodyText"/>
      </w:pPr>
      <w:r w:rsidRPr="00F57A6E">
        <w:t>All employees participate in the Commission’s performance management scheme. The scheme seeks to:</w:t>
      </w:r>
    </w:p>
    <w:p w:rsidR="00CE62EE" w:rsidRPr="00F57A6E" w:rsidRDefault="00CE62EE" w:rsidP="00232CE9">
      <w:pPr>
        <w:pStyle w:val="ListBullet"/>
      </w:pPr>
      <w:r w:rsidRPr="00F57A6E">
        <w:lastRenderedPageBreak/>
        <w:t>clarify the understanding by individual employees of their work tasks, their responsibilities and the performance standards expected (through performance agreements)</w:t>
      </w:r>
    </w:p>
    <w:p w:rsidR="00CE62EE" w:rsidRPr="00F57A6E" w:rsidRDefault="00CE62EE" w:rsidP="00232CE9">
      <w:pPr>
        <w:pStyle w:val="ListBullet"/>
      </w:pPr>
      <w:r w:rsidRPr="00F57A6E">
        <w:t>provide feedback on performance and improve communication between supervisors and their staff (through performance appraisals)</w:t>
      </w:r>
    </w:p>
    <w:p w:rsidR="00CE62EE" w:rsidRPr="00F57A6E" w:rsidRDefault="00CE62EE" w:rsidP="00232CE9">
      <w:pPr>
        <w:pStyle w:val="ListBullet"/>
      </w:pPr>
      <w:r w:rsidRPr="00F57A6E">
        <w:t xml:space="preserve">provide a basis for determining salary advancement </w:t>
      </w:r>
    </w:p>
    <w:p w:rsidR="00CE62EE" w:rsidRPr="00F57A6E" w:rsidRDefault="00CE62EE" w:rsidP="00232CE9">
      <w:pPr>
        <w:pStyle w:val="ListBullet"/>
      </w:pPr>
      <w:r w:rsidRPr="00F57A6E">
        <w:t>identify learning and development needs</w:t>
      </w:r>
    </w:p>
    <w:p w:rsidR="00CE62EE" w:rsidRPr="00F57A6E" w:rsidRDefault="00CE62EE" w:rsidP="00232CE9">
      <w:pPr>
        <w:pStyle w:val="ListBullet"/>
      </w:pPr>
      <w:proofErr w:type="gramStart"/>
      <w:r w:rsidRPr="00F57A6E">
        <w:t>assist</w:t>
      </w:r>
      <w:proofErr w:type="gramEnd"/>
      <w:r w:rsidRPr="00F57A6E">
        <w:t xml:space="preserve"> in identifying and managing underperformance.</w:t>
      </w:r>
    </w:p>
    <w:p w:rsidR="00CE62EE" w:rsidRPr="00F57A6E" w:rsidRDefault="00CE62EE" w:rsidP="00CF26BC">
      <w:pPr>
        <w:pStyle w:val="BodyText"/>
      </w:pPr>
      <w:r w:rsidRPr="00F57A6E">
        <w:t>Ahead of each appraisal round — which occurs at six</w:t>
      </w:r>
      <w:r w:rsidR="000F09D1" w:rsidRPr="00F57A6E">
        <w:t>-</w:t>
      </w:r>
      <w:r w:rsidRPr="00F57A6E">
        <w:t>monthly intervals —</w:t>
      </w:r>
      <w:r w:rsidR="00FE44E7">
        <w:t>t</w:t>
      </w:r>
      <w:r w:rsidRPr="00F57A6E">
        <w:t xml:space="preserve">raining is conducted for new employees and new managers to ensure employee readiness for the appraisal round. </w:t>
      </w:r>
    </w:p>
    <w:p w:rsidR="00CF26BC" w:rsidRPr="00F57A6E" w:rsidRDefault="00CE62EE" w:rsidP="00106970">
      <w:pPr>
        <w:pStyle w:val="BodyText"/>
      </w:pPr>
      <w:r w:rsidRPr="00F57A6E">
        <w:t xml:space="preserve">Under the </w:t>
      </w:r>
      <w:r w:rsidR="00F97233" w:rsidRPr="00F57A6E">
        <w:t xml:space="preserve">Commission’s enterprise </w:t>
      </w:r>
      <w:r w:rsidRPr="00F57A6E">
        <w:t xml:space="preserve">agreement, </w:t>
      </w:r>
      <w:r w:rsidR="00F97233" w:rsidRPr="00F57A6E">
        <w:t>all salary increases are conditional upon employees being rated fully effective in their performance appraisal</w:t>
      </w:r>
      <w:r w:rsidRPr="00F57A6E">
        <w:t xml:space="preserve">. Performance bonuses </w:t>
      </w:r>
      <w:r w:rsidR="00FE44E7">
        <w:t>are no longer a feature of remuneration for Commission employees</w:t>
      </w:r>
      <w:r w:rsidRPr="00F57A6E">
        <w:t>.</w:t>
      </w:r>
      <w:r w:rsidR="00CF26BC" w:rsidRPr="00F57A6E" w:rsidDel="00CF26BC">
        <w:t xml:space="preserve"> </w:t>
      </w:r>
    </w:p>
    <w:p w:rsidR="00CE62EE" w:rsidRPr="00F57A6E" w:rsidRDefault="00CE62EE" w:rsidP="00F30561">
      <w:pPr>
        <w:pStyle w:val="Heading3"/>
        <w:spacing w:before="520"/>
        <w:rPr>
          <w:lang w:val="en-US"/>
        </w:rPr>
      </w:pPr>
      <w:r w:rsidRPr="00F57A6E">
        <w:rPr>
          <w:lang w:val="en-US"/>
        </w:rPr>
        <w:t>Consultative arrangements</w:t>
      </w:r>
    </w:p>
    <w:p w:rsidR="004C7795" w:rsidRPr="00F57A6E" w:rsidRDefault="004C7795" w:rsidP="00162D0D">
      <w:pPr>
        <w:pStyle w:val="BodyText"/>
      </w:pPr>
      <w:r w:rsidRPr="00F57A6E">
        <w:rPr>
          <w:lang w:val="en-US"/>
        </w:rPr>
        <w:t>The key employee consultative mechanism is the Productivity Commission Consultative Committee (PCCC). The PCCC comprises five elected employee representatives, a CPSU representative, and four management representatives. The PCCC met on several occasions during the year to discuss a range of workplace issues.</w:t>
      </w:r>
    </w:p>
    <w:p w:rsidR="004C7795" w:rsidRPr="00F57A6E" w:rsidRDefault="004C7795" w:rsidP="00162D0D">
      <w:pPr>
        <w:pStyle w:val="BodyText"/>
        <w:rPr>
          <w:lang w:val="en-US"/>
        </w:rPr>
      </w:pPr>
      <w:r w:rsidRPr="00F57A6E">
        <w:rPr>
          <w:lang w:val="en-US"/>
        </w:rPr>
        <w:t>In addition, direct consultation between management and employees occurs on a regular basis, including through regular team and branch meetings.</w:t>
      </w:r>
    </w:p>
    <w:p w:rsidR="00CE62EE" w:rsidRPr="00F57A6E" w:rsidRDefault="00CE62EE" w:rsidP="00232CE9">
      <w:pPr>
        <w:pStyle w:val="Heading3"/>
        <w:rPr>
          <w:lang w:val="en-US"/>
        </w:rPr>
      </w:pPr>
      <w:r w:rsidRPr="00F57A6E">
        <w:rPr>
          <w:lang w:val="en-US"/>
        </w:rPr>
        <w:t>Learning and development</w:t>
      </w:r>
    </w:p>
    <w:p w:rsidR="00CE62EE" w:rsidRPr="00F57A6E" w:rsidRDefault="00CE62EE" w:rsidP="00162D0D">
      <w:pPr>
        <w:pStyle w:val="BodyText"/>
      </w:pPr>
      <w:r w:rsidRPr="00F57A6E">
        <w:t>The Commission encourages employees to undertake learning and development in an appropriate mix of four core competencies:</w:t>
      </w:r>
    </w:p>
    <w:p w:rsidR="00CE62EE" w:rsidRPr="00F57A6E" w:rsidRDefault="00CE62EE" w:rsidP="00162D0D">
      <w:pPr>
        <w:pStyle w:val="ListBullet"/>
      </w:pPr>
      <w:r w:rsidRPr="00F57A6E">
        <w:t>management and leadership</w:t>
      </w:r>
    </w:p>
    <w:p w:rsidR="00CE62EE" w:rsidRPr="00F57A6E" w:rsidRDefault="00CE62EE" w:rsidP="00162D0D">
      <w:pPr>
        <w:pStyle w:val="ListBullet"/>
      </w:pPr>
      <w:r w:rsidRPr="00F57A6E">
        <w:t>conceptual and analytical skills</w:t>
      </w:r>
    </w:p>
    <w:p w:rsidR="00CE62EE" w:rsidRPr="00F57A6E" w:rsidRDefault="00CE62EE" w:rsidP="00162D0D">
      <w:pPr>
        <w:pStyle w:val="ListBullet"/>
      </w:pPr>
      <w:r w:rsidRPr="00F57A6E">
        <w:t>time and work management</w:t>
      </w:r>
    </w:p>
    <w:p w:rsidR="00CE62EE" w:rsidRPr="00F57A6E" w:rsidRDefault="00CE62EE" w:rsidP="00162D0D">
      <w:pPr>
        <w:pStyle w:val="ListBullet"/>
      </w:pPr>
      <w:proofErr w:type="gramStart"/>
      <w:r w:rsidRPr="00F57A6E">
        <w:t>oral</w:t>
      </w:r>
      <w:proofErr w:type="gramEnd"/>
      <w:r w:rsidRPr="00F57A6E">
        <w:t xml:space="preserve"> and written communication.</w:t>
      </w:r>
    </w:p>
    <w:p w:rsidR="00CE62EE" w:rsidRPr="00F57A6E" w:rsidRDefault="00CE62EE" w:rsidP="00162D0D">
      <w:pPr>
        <w:pStyle w:val="BodyText"/>
      </w:pPr>
      <w:r w:rsidRPr="00F57A6E">
        <w:t>The need for learning and development can be employee identified (</w:t>
      </w:r>
      <w:r w:rsidR="00A7290B" w:rsidRPr="00F57A6E">
        <w:t xml:space="preserve">including </w:t>
      </w:r>
      <w:r w:rsidRPr="00F57A6E">
        <w:t>through individual development plans settled with supervisors as part of perform</w:t>
      </w:r>
      <w:r w:rsidR="00F451D7">
        <w:t>ance appraisals), be supervisor-</w:t>
      </w:r>
      <w:r w:rsidRPr="00F57A6E">
        <w:t>encouraged or directed, or reflect organisation-wide initiatives.</w:t>
      </w:r>
    </w:p>
    <w:p w:rsidR="00DA684C" w:rsidRPr="00F57A6E" w:rsidRDefault="00DA684C" w:rsidP="00661A82">
      <w:pPr>
        <w:pStyle w:val="BodyText"/>
      </w:pPr>
      <w:r w:rsidRPr="00661A82">
        <w:lastRenderedPageBreak/>
        <w:t>R</w:t>
      </w:r>
      <w:r w:rsidRPr="00F57A6E">
        <w:t>ecorded expenditure on learning and development in 201</w:t>
      </w:r>
      <w:r w:rsidR="00911DF8">
        <w:t>3</w:t>
      </w:r>
      <w:r w:rsidR="00534887">
        <w:t>-1</w:t>
      </w:r>
      <w:r w:rsidR="00911DF8">
        <w:t>4</w:t>
      </w:r>
      <w:r w:rsidRPr="00F57A6E">
        <w:t xml:space="preserve"> was </w:t>
      </w:r>
      <w:r w:rsidR="00911DF8">
        <w:t xml:space="preserve">1 </w:t>
      </w:r>
      <w:r w:rsidRPr="00F57A6E">
        <w:t xml:space="preserve">per cent of the annual salary budget. This expenditure related to:  </w:t>
      </w:r>
    </w:p>
    <w:p w:rsidR="00DA684C" w:rsidRPr="00F57A6E" w:rsidRDefault="00911DF8" w:rsidP="00162D0D">
      <w:pPr>
        <w:pStyle w:val="ListBullet"/>
      </w:pPr>
      <w:r>
        <w:t xml:space="preserve">81 </w:t>
      </w:r>
      <w:r w:rsidR="00DA684C" w:rsidRPr="00F57A6E">
        <w:t xml:space="preserve">employees who undertook a total of </w:t>
      </w:r>
      <w:r>
        <w:t xml:space="preserve">224 </w:t>
      </w:r>
      <w:r w:rsidR="00DA684C" w:rsidRPr="00F57A6E">
        <w:t xml:space="preserve">days of specific training and development </w:t>
      </w:r>
    </w:p>
    <w:p w:rsidR="00DA684C" w:rsidRPr="00F57A6E" w:rsidRDefault="00911DF8" w:rsidP="00162D0D">
      <w:pPr>
        <w:pStyle w:val="ListBullet"/>
      </w:pPr>
      <w:r>
        <w:t xml:space="preserve">13 </w:t>
      </w:r>
      <w:r w:rsidR="00DA684C" w:rsidRPr="00F57A6E">
        <w:t>employees who received studies assistance in the form of paid leave and assistance with fees in the pursuit of tertiary qualifications</w:t>
      </w:r>
      <w:r w:rsidR="00783967">
        <w:t>.</w:t>
      </w:r>
    </w:p>
    <w:p w:rsidR="00CE62EE" w:rsidRPr="00F57A6E" w:rsidRDefault="00CE62EE" w:rsidP="00232CE9">
      <w:pPr>
        <w:pStyle w:val="BodyText"/>
      </w:pPr>
      <w:r w:rsidRPr="00F57A6E">
        <w:t>The above activities are in addition to one-on-one coaching to addre</w:t>
      </w:r>
      <w:r w:rsidR="00A7290B" w:rsidRPr="00F57A6E">
        <w:t>ss particular development needs</w:t>
      </w:r>
      <w:r w:rsidRPr="00F57A6E">
        <w:t xml:space="preserve"> and extensive on-the-job training within the Commission.</w:t>
      </w:r>
      <w:r w:rsidR="00737423" w:rsidRPr="00F57A6E">
        <w:t xml:space="preserve"> </w:t>
      </w:r>
      <w:r w:rsidR="000422A4">
        <w:t xml:space="preserve"> A program of internal seminars on a range of topical economic, social and environmental issues also contributes to staff development.</w:t>
      </w:r>
    </w:p>
    <w:p w:rsidR="00CE62EE" w:rsidRPr="00F57A6E" w:rsidRDefault="000F10A7" w:rsidP="00576893">
      <w:pPr>
        <w:pStyle w:val="Heading3"/>
        <w:spacing w:before="480"/>
        <w:rPr>
          <w:lang w:val="en-US"/>
        </w:rPr>
      </w:pPr>
      <w:r>
        <w:rPr>
          <w:lang w:val="en-US"/>
        </w:rPr>
        <w:t>Workplace</w:t>
      </w:r>
      <w:r w:rsidRPr="00F57A6E">
        <w:rPr>
          <w:lang w:val="en-US"/>
        </w:rPr>
        <w:t xml:space="preserve"> </w:t>
      </w:r>
      <w:r w:rsidR="00CE62EE" w:rsidRPr="00F57A6E">
        <w:rPr>
          <w:lang w:val="en-US"/>
        </w:rPr>
        <w:t xml:space="preserve">health &amp; safety </w:t>
      </w:r>
    </w:p>
    <w:p w:rsidR="00CE62EE" w:rsidRPr="00F57A6E" w:rsidRDefault="00CE62EE" w:rsidP="00162D0D">
      <w:pPr>
        <w:pStyle w:val="BodyText"/>
        <w:spacing w:before="200"/>
      </w:pPr>
      <w:r w:rsidRPr="00F57A6E">
        <w:t xml:space="preserve">A </w:t>
      </w:r>
      <w:r w:rsidR="008236C8">
        <w:t>Workplace Health and Safety</w:t>
      </w:r>
      <w:r w:rsidR="008236C8" w:rsidRPr="00F57A6E">
        <w:t xml:space="preserve"> </w:t>
      </w:r>
      <w:r w:rsidR="008236C8">
        <w:t xml:space="preserve">(WHS) </w:t>
      </w:r>
      <w:r w:rsidRPr="00F57A6E">
        <w:t xml:space="preserve">Committee oversees the Commission’s </w:t>
      </w:r>
      <w:r w:rsidR="004147A1">
        <w:t xml:space="preserve">workplace </w:t>
      </w:r>
      <w:r w:rsidRPr="00F57A6E">
        <w:t xml:space="preserve">health and safety program. Committee membership includes health and safety representatives and staff observers from both offices. The Committee met </w:t>
      </w:r>
      <w:r w:rsidR="008236C8">
        <w:t>three</w:t>
      </w:r>
      <w:r w:rsidR="008236C8" w:rsidRPr="00F57A6E">
        <w:t xml:space="preserve"> </w:t>
      </w:r>
      <w:r w:rsidR="00DA684C" w:rsidRPr="00F57A6E">
        <w:t>times during 201</w:t>
      </w:r>
      <w:r w:rsidR="00911DF8">
        <w:t>3</w:t>
      </w:r>
      <w:r w:rsidRPr="00F57A6E">
        <w:t>-</w:t>
      </w:r>
      <w:r w:rsidR="001D04C7" w:rsidRPr="00F57A6E">
        <w:t>1</w:t>
      </w:r>
      <w:r w:rsidR="00911DF8">
        <w:t>4</w:t>
      </w:r>
      <w:r w:rsidRPr="00F57A6E">
        <w:t xml:space="preserve">. </w:t>
      </w:r>
    </w:p>
    <w:p w:rsidR="00CF55F3" w:rsidRPr="00F57A6E" w:rsidRDefault="009F5AF9" w:rsidP="00162D0D">
      <w:pPr>
        <w:pStyle w:val="BodyText"/>
        <w:spacing w:before="200"/>
      </w:pPr>
      <w:r w:rsidRPr="00F57A6E">
        <w:t xml:space="preserve">No </w:t>
      </w:r>
      <w:r w:rsidR="004A4188" w:rsidRPr="00F57A6E">
        <w:t xml:space="preserve">formal </w:t>
      </w:r>
      <w:r w:rsidR="00DF0448">
        <w:t>W</w:t>
      </w:r>
      <w:r w:rsidR="004A4188" w:rsidRPr="00F57A6E">
        <w:t>HS investigations were conducted during the year and the</w:t>
      </w:r>
      <w:r w:rsidR="00CF55F3">
        <w:t xml:space="preserve">re </w:t>
      </w:r>
      <w:proofErr w:type="gramStart"/>
      <w:r w:rsidR="00CF55F3">
        <w:t xml:space="preserve">were </w:t>
      </w:r>
      <w:r w:rsidR="004A4188" w:rsidRPr="00F57A6E">
        <w:t xml:space="preserve"> </w:t>
      </w:r>
      <w:r w:rsidR="00CF55F3">
        <w:t>no</w:t>
      </w:r>
      <w:proofErr w:type="gramEnd"/>
      <w:r w:rsidR="00CF55F3">
        <w:t xml:space="preserve"> notifiable incidents</w:t>
      </w:r>
      <w:r w:rsidR="004A4188" w:rsidRPr="00F57A6E">
        <w:t xml:space="preserve">. No notices under </w:t>
      </w:r>
      <w:r w:rsidR="00CF55F3">
        <w:t xml:space="preserve">Part 10 of the </w:t>
      </w:r>
      <w:r w:rsidR="00CF55F3" w:rsidRPr="001F15F1">
        <w:rPr>
          <w:i/>
        </w:rPr>
        <w:t>Work Health Safety Act 2011</w:t>
      </w:r>
      <w:r w:rsidR="004A4188" w:rsidRPr="00F57A6E">
        <w:t xml:space="preserve"> were giv</w:t>
      </w:r>
      <w:r w:rsidRPr="00F57A6E">
        <w:t>en to the Commission during 201</w:t>
      </w:r>
      <w:r w:rsidR="00911DF8">
        <w:t>3</w:t>
      </w:r>
      <w:r w:rsidRPr="00F57A6E">
        <w:t>-1</w:t>
      </w:r>
      <w:r w:rsidR="00911DF8">
        <w:t>4</w:t>
      </w:r>
      <w:r w:rsidRPr="00F57A6E">
        <w:t>.</w:t>
      </w:r>
    </w:p>
    <w:p w:rsidR="00D33E45" w:rsidRPr="00F57A6E" w:rsidRDefault="00D33E45" w:rsidP="00162D0D">
      <w:pPr>
        <w:pStyle w:val="ListBullet"/>
        <w:numPr>
          <w:ilvl w:val="0"/>
          <w:numId w:val="0"/>
        </w:numPr>
        <w:spacing w:before="200"/>
      </w:pPr>
      <w:r w:rsidRPr="00F57A6E">
        <w:t xml:space="preserve">Training is provided for employees who have specific </w:t>
      </w:r>
      <w:r w:rsidR="008236C8">
        <w:t>WHS</w:t>
      </w:r>
      <w:r w:rsidR="008236C8" w:rsidRPr="00F57A6E">
        <w:t xml:space="preserve"> </w:t>
      </w:r>
      <w:r w:rsidRPr="00F57A6E">
        <w:t>related responsibilities.</w:t>
      </w:r>
    </w:p>
    <w:p w:rsidR="009F5AF9" w:rsidRPr="00F57A6E" w:rsidRDefault="006A2A4C" w:rsidP="009F5AF9">
      <w:pPr>
        <w:pStyle w:val="BodyText"/>
      </w:pPr>
      <w:r>
        <w:t>W</w:t>
      </w:r>
      <w:r w:rsidR="009F5AF9" w:rsidRPr="00F57A6E">
        <w:t>HS activities during the year included:</w:t>
      </w:r>
    </w:p>
    <w:p w:rsidR="009F5AF9" w:rsidRPr="00F57A6E" w:rsidRDefault="009F5AF9" w:rsidP="009F5AF9">
      <w:pPr>
        <w:pStyle w:val="ListBullet"/>
        <w:spacing w:before="100"/>
      </w:pPr>
      <w:r w:rsidRPr="00F57A6E">
        <w:t>Commission-funded flu vaccinations (take up rate in 201</w:t>
      </w:r>
      <w:r w:rsidR="00911DF8">
        <w:t>3</w:t>
      </w:r>
      <w:r w:rsidRPr="00F57A6E">
        <w:t>-1</w:t>
      </w:r>
      <w:r w:rsidR="00911DF8">
        <w:t>4</w:t>
      </w:r>
      <w:r w:rsidRPr="00F57A6E">
        <w:t xml:space="preserve"> was around </w:t>
      </w:r>
      <w:r w:rsidR="00DF0448">
        <w:t>5</w:t>
      </w:r>
      <w:r w:rsidR="00911DF8">
        <w:t>8</w:t>
      </w:r>
      <w:r w:rsidR="007051D2" w:rsidRPr="00F57A6E">
        <w:t xml:space="preserve"> </w:t>
      </w:r>
      <w:r w:rsidRPr="00F57A6E">
        <w:t>per cent)</w:t>
      </w:r>
    </w:p>
    <w:p w:rsidR="009F5AF9" w:rsidRPr="00F57A6E" w:rsidRDefault="009F5AF9" w:rsidP="009F5AF9">
      <w:pPr>
        <w:pStyle w:val="ListBullet"/>
        <w:spacing w:before="100"/>
      </w:pPr>
      <w:proofErr w:type="gramStart"/>
      <w:r w:rsidRPr="00F57A6E">
        <w:t>ergonomic</w:t>
      </w:r>
      <w:proofErr w:type="gramEnd"/>
      <w:r w:rsidRPr="00F57A6E">
        <w:t xml:space="preserve"> work station assessments (</w:t>
      </w:r>
      <w:r w:rsidR="00911DF8">
        <w:t>42</w:t>
      </w:r>
      <w:r w:rsidR="00911DF8" w:rsidRPr="00F57A6E">
        <w:t xml:space="preserve"> </w:t>
      </w:r>
      <w:r w:rsidRPr="00F57A6E">
        <w:t xml:space="preserve">were completed, including </w:t>
      </w:r>
      <w:r w:rsidR="00911DF8">
        <w:t>15</w:t>
      </w:r>
      <w:r w:rsidR="00911DF8" w:rsidRPr="00F57A6E">
        <w:t xml:space="preserve"> </w:t>
      </w:r>
      <w:r w:rsidRPr="00F57A6E">
        <w:t>as part of the induction program</w:t>
      </w:r>
      <w:r w:rsidR="003A24DB">
        <w:t>).</w:t>
      </w:r>
    </w:p>
    <w:p w:rsidR="009F5AF9" w:rsidRPr="00F57A6E" w:rsidRDefault="009F5AF9" w:rsidP="009F5AF9">
      <w:pPr>
        <w:pStyle w:val="ListBullet"/>
        <w:spacing w:before="100"/>
      </w:pPr>
      <w:r w:rsidRPr="00F57A6E">
        <w:t xml:space="preserve">regular workplace hazard inspections conducted by members of the </w:t>
      </w:r>
      <w:r w:rsidR="00DF0448">
        <w:t>W</w:t>
      </w:r>
      <w:r w:rsidRPr="00F57A6E">
        <w:t>HS Committee</w:t>
      </w:r>
    </w:p>
    <w:p w:rsidR="009F5AF9" w:rsidRPr="00F57A6E" w:rsidRDefault="009F5AF9" w:rsidP="009F5AF9">
      <w:pPr>
        <w:pStyle w:val="ListBullet"/>
        <w:spacing w:before="100"/>
      </w:pPr>
      <w:r w:rsidRPr="00F57A6E">
        <w:t>the opportunity for employees to complete working hours questionnaires</w:t>
      </w:r>
    </w:p>
    <w:p w:rsidR="009F5AF9" w:rsidRDefault="009F5AF9" w:rsidP="009F5AF9">
      <w:pPr>
        <w:pStyle w:val="ListBullet"/>
        <w:spacing w:before="100"/>
      </w:pPr>
      <w:proofErr w:type="gramStart"/>
      <w:r w:rsidRPr="00F57A6E">
        <w:t>workplace</w:t>
      </w:r>
      <w:proofErr w:type="gramEnd"/>
      <w:r w:rsidRPr="00F57A6E">
        <w:t xml:space="preserve"> health-related </w:t>
      </w:r>
      <w:r w:rsidR="00911DF8">
        <w:t>promotions</w:t>
      </w:r>
      <w:r w:rsidRPr="00F57A6E">
        <w:t>.</w:t>
      </w:r>
    </w:p>
    <w:p w:rsidR="00CF55F3" w:rsidRPr="00F57A6E" w:rsidRDefault="00CF55F3" w:rsidP="001F15F1">
      <w:pPr>
        <w:pStyle w:val="ListBullet"/>
        <w:numPr>
          <w:ilvl w:val="0"/>
          <w:numId w:val="0"/>
        </w:numPr>
        <w:spacing w:before="100"/>
      </w:pPr>
      <w:r>
        <w:br/>
        <w:t>An indicator of the effectiveness of the Commission</w:t>
      </w:r>
      <w:r w:rsidR="00DF0448">
        <w:t>’s W</w:t>
      </w:r>
      <w:r>
        <w:t xml:space="preserve">HS programs is </w:t>
      </w:r>
      <w:proofErr w:type="spellStart"/>
      <w:r>
        <w:t>Comcare’s</w:t>
      </w:r>
      <w:proofErr w:type="spellEnd"/>
      <w:r>
        <w:t xml:space="preserve"> workers’ compensation rate. The Commission’s rate for </w:t>
      </w:r>
      <w:r w:rsidR="00DF0448">
        <w:t>201</w:t>
      </w:r>
      <w:r w:rsidR="00911DF8">
        <w:t>3</w:t>
      </w:r>
      <w:r w:rsidR="00DF0448">
        <w:t>-1</w:t>
      </w:r>
      <w:r w:rsidR="00911DF8">
        <w:t>4</w:t>
      </w:r>
      <w:r w:rsidR="00DF0448">
        <w:t xml:space="preserve"> was </w:t>
      </w:r>
      <w:r w:rsidR="0007768F">
        <w:t>0.08</w:t>
      </w:r>
      <w:r w:rsidR="0091509A">
        <w:t xml:space="preserve"> per cent of payroll</w:t>
      </w:r>
      <w:r w:rsidR="00911DF8">
        <w:t>. The premium rate was the second lowest of al Commonwealth agencies</w:t>
      </w:r>
      <w:r w:rsidR="00241EC2">
        <w:t xml:space="preserve">. </w:t>
      </w:r>
      <w:r w:rsidR="007801CF">
        <w:t xml:space="preserve">There </w:t>
      </w:r>
      <w:r w:rsidR="0007768F">
        <w:t>was one</w:t>
      </w:r>
      <w:r w:rsidR="007801CF">
        <w:t xml:space="preserve"> claim for injury in 201</w:t>
      </w:r>
      <w:r w:rsidR="00911DF8">
        <w:t>3</w:t>
      </w:r>
      <w:r w:rsidR="007801CF">
        <w:t>-1</w:t>
      </w:r>
      <w:r w:rsidR="00911DF8">
        <w:t>4</w:t>
      </w:r>
      <w:r w:rsidR="007801CF">
        <w:t>.</w:t>
      </w:r>
    </w:p>
    <w:p w:rsidR="00CE62EE" w:rsidRPr="00F57A6E" w:rsidRDefault="00CE62EE" w:rsidP="00232CE9">
      <w:pPr>
        <w:pStyle w:val="Heading3"/>
      </w:pPr>
      <w:r w:rsidRPr="00F57A6E">
        <w:t>Employee Assistance Program</w:t>
      </w:r>
    </w:p>
    <w:p w:rsidR="00CE62EE" w:rsidRPr="00F57A6E" w:rsidRDefault="00CE62EE" w:rsidP="00232CE9">
      <w:pPr>
        <w:pStyle w:val="BodyText"/>
      </w:pPr>
      <w:r w:rsidRPr="00F57A6E">
        <w:t xml:space="preserve">The Commission offers its employees independent, confidential and professional counselling, consultation and training assistance for work-related or personal issues. </w:t>
      </w:r>
      <w:r w:rsidR="00911DF8">
        <w:t xml:space="preserve">Sixteen </w:t>
      </w:r>
      <w:r w:rsidR="009E569D" w:rsidRPr="00F57A6E">
        <w:t>employees or their fami</w:t>
      </w:r>
      <w:r w:rsidR="009F5AF9" w:rsidRPr="00F57A6E">
        <w:t>lies utilised the service in 20</w:t>
      </w:r>
      <w:r w:rsidR="005451BA" w:rsidRPr="00F57A6E">
        <w:t>1</w:t>
      </w:r>
      <w:r w:rsidR="00911DF8">
        <w:t>3</w:t>
      </w:r>
      <w:r w:rsidR="009F5AF9" w:rsidRPr="00F57A6E">
        <w:t>-1</w:t>
      </w:r>
      <w:r w:rsidR="00911DF8">
        <w:t>4</w:t>
      </w:r>
      <w:r w:rsidR="0043095F" w:rsidRPr="00F57A6E">
        <w:t>.</w:t>
      </w:r>
    </w:p>
    <w:p w:rsidR="00CE62EE" w:rsidRPr="00F57A6E" w:rsidRDefault="00CE62EE" w:rsidP="00232CE9">
      <w:pPr>
        <w:pStyle w:val="Heading3"/>
      </w:pPr>
      <w:r w:rsidRPr="00F57A6E">
        <w:lastRenderedPageBreak/>
        <w:t>Workplace diversity</w:t>
      </w:r>
    </w:p>
    <w:p w:rsidR="00CE62EE" w:rsidRPr="00F57A6E" w:rsidRDefault="00CE62EE" w:rsidP="00232CE9">
      <w:pPr>
        <w:pStyle w:val="BodyText"/>
      </w:pPr>
      <w:r w:rsidRPr="00F57A6E">
        <w:t xml:space="preserve">The Commission continues to foster a culture that is supportive of employees achieving their potential and which values employee diversity. This is facilitated through the commitment — in the Commission’s </w:t>
      </w:r>
      <w:r w:rsidR="005451BA" w:rsidRPr="00F57A6E">
        <w:t xml:space="preserve">enterprise </w:t>
      </w:r>
      <w:r w:rsidRPr="00F57A6E">
        <w:t>agreement, equity and diversity plan and related policies — to promote workplace diversity.</w:t>
      </w:r>
      <w:r w:rsidR="00A346B6" w:rsidRPr="00F57A6E">
        <w:t xml:space="preserve"> </w:t>
      </w:r>
    </w:p>
    <w:p w:rsidR="00CE62EE" w:rsidRPr="00F57A6E" w:rsidRDefault="008B6921" w:rsidP="00232CE9">
      <w:pPr>
        <w:pStyle w:val="Heading3"/>
      </w:pPr>
      <w:r w:rsidRPr="00F57A6E">
        <w:t xml:space="preserve">National </w:t>
      </w:r>
      <w:r w:rsidR="00CE62EE" w:rsidRPr="00F57A6E">
        <w:t>Disability Strategy</w:t>
      </w:r>
    </w:p>
    <w:p w:rsidR="00080D7C" w:rsidRPr="00E611D5" w:rsidRDefault="00080D7C" w:rsidP="00E611D5">
      <w:pPr>
        <w:pStyle w:val="Heading3"/>
        <w:spacing w:before="240"/>
        <w:jc w:val="both"/>
        <w:rPr>
          <w:rFonts w:ascii="Times New Roman" w:hAnsi="Times New Roman"/>
          <w:b w:val="0"/>
          <w:sz w:val="24"/>
          <w:szCs w:val="24"/>
        </w:rPr>
      </w:pPr>
      <w:r w:rsidRPr="00E611D5">
        <w:rPr>
          <w:rFonts w:ascii="Times New Roman" w:hAnsi="Times New Roman"/>
          <w:b w:val="0"/>
          <w:sz w:val="24"/>
          <w:szCs w:val="24"/>
        </w:rPr>
        <w:t xml:space="preserve">Since 1994, Commonwealth departments and agencies have reported on their performance as policy adviser, purchaser, employer, regulator and provider under the Commonwealth Disability Strategy.  In 2007-08, reporting on the employer role was transferred to the Australian Public Service Commission’s </w:t>
      </w:r>
      <w:r w:rsidRPr="00E611D5">
        <w:rPr>
          <w:rFonts w:ascii="Times New Roman" w:hAnsi="Times New Roman"/>
          <w:b w:val="0"/>
          <w:i/>
          <w:sz w:val="24"/>
          <w:szCs w:val="24"/>
        </w:rPr>
        <w:t>State of the Service Report</w:t>
      </w:r>
      <w:r w:rsidRPr="00E611D5">
        <w:rPr>
          <w:rFonts w:ascii="Times New Roman" w:hAnsi="Times New Roman"/>
          <w:b w:val="0"/>
          <w:sz w:val="24"/>
          <w:szCs w:val="24"/>
        </w:rPr>
        <w:t xml:space="preserve"> and the </w:t>
      </w:r>
      <w:r w:rsidRPr="00E611D5">
        <w:rPr>
          <w:rFonts w:ascii="Times New Roman" w:hAnsi="Times New Roman"/>
          <w:b w:val="0"/>
          <w:i/>
          <w:sz w:val="24"/>
          <w:szCs w:val="24"/>
        </w:rPr>
        <w:t>APS Statistical Bulletin</w:t>
      </w:r>
      <w:r w:rsidRPr="00E611D5">
        <w:rPr>
          <w:rFonts w:ascii="Times New Roman" w:hAnsi="Times New Roman"/>
          <w:b w:val="0"/>
          <w:sz w:val="24"/>
          <w:szCs w:val="24"/>
        </w:rPr>
        <w:t xml:space="preserve">.  These reports are available at </w:t>
      </w:r>
      <w:hyperlink r:id="rId10" w:tooltip="a.p.s.c. dot gov dot a.u." w:history="1">
        <w:r w:rsidRPr="00E611D5">
          <w:rPr>
            <w:rStyle w:val="Hyperlink"/>
            <w:rFonts w:ascii="Times New Roman" w:hAnsi="Times New Roman"/>
            <w:color w:val="auto"/>
            <w:sz w:val="24"/>
            <w:szCs w:val="24"/>
          </w:rPr>
          <w:t>www.apsc.gov.au</w:t>
        </w:r>
      </w:hyperlink>
      <w:r w:rsidRPr="00E611D5">
        <w:rPr>
          <w:rFonts w:ascii="Times New Roman" w:hAnsi="Times New Roman"/>
          <w:b w:val="0"/>
          <w:sz w:val="24"/>
          <w:szCs w:val="24"/>
        </w:rPr>
        <w:t>.  From 2010</w:t>
      </w:r>
      <w:r w:rsidRPr="00E611D5">
        <w:rPr>
          <w:rFonts w:ascii="Times New Roman" w:hAnsi="Times New Roman"/>
          <w:b w:val="0"/>
          <w:sz w:val="24"/>
          <w:szCs w:val="24"/>
        </w:rPr>
        <w:noBreakHyphen/>
        <w:t>11, departments and agencies have no longer been required to report on these functions.</w:t>
      </w:r>
    </w:p>
    <w:p w:rsidR="00080D7C" w:rsidRPr="00E611D5" w:rsidRDefault="00080D7C" w:rsidP="00E611D5">
      <w:pPr>
        <w:pStyle w:val="Heading3"/>
        <w:spacing w:before="120"/>
        <w:jc w:val="both"/>
        <w:rPr>
          <w:rFonts w:ascii="Times New Roman" w:hAnsi="Times New Roman"/>
          <w:b w:val="0"/>
          <w:sz w:val="24"/>
          <w:szCs w:val="24"/>
        </w:rPr>
      </w:pPr>
      <w:r w:rsidRPr="00E611D5">
        <w:rPr>
          <w:rFonts w:ascii="Times New Roman" w:hAnsi="Times New Roman"/>
          <w:b w:val="0"/>
          <w:sz w:val="24"/>
          <w:szCs w:val="24"/>
        </w:rPr>
        <w:t xml:space="preserve">The Commonwealth Disability Strategy has been overtaken by the National Disability Strategy 2010-2020, which sets out a ten year national policy framework to improve the lives of people with disability, promote participation and create a more inclusive society. A high level two-yearly report will track progress against each of the six outcome areas of the Strategy and present a picture of how people with disability are faring. The first of these reports will be available in late 2014, and can be found at </w:t>
      </w:r>
      <w:hyperlink r:id="rId11" w:history="1">
        <w:r w:rsidRPr="00E611D5">
          <w:rPr>
            <w:rStyle w:val="Hyperlink"/>
            <w:rFonts w:ascii="Times New Roman" w:hAnsi="Times New Roman"/>
            <w:color w:val="auto"/>
            <w:sz w:val="24"/>
            <w:szCs w:val="24"/>
          </w:rPr>
          <w:t>www.dss.gov.au</w:t>
        </w:r>
      </w:hyperlink>
      <w:r w:rsidRPr="00E611D5">
        <w:rPr>
          <w:rFonts w:ascii="Times New Roman" w:hAnsi="Times New Roman"/>
          <w:b w:val="0"/>
          <w:sz w:val="24"/>
          <w:szCs w:val="24"/>
        </w:rPr>
        <w:t>.</w:t>
      </w:r>
    </w:p>
    <w:p w:rsidR="00CE62EE" w:rsidRPr="00F57A6E" w:rsidRDefault="00CE62EE" w:rsidP="00232CE9">
      <w:pPr>
        <w:pStyle w:val="Heading2"/>
      </w:pPr>
      <w:r w:rsidRPr="00F57A6E">
        <w:t>Financial performance</w:t>
      </w:r>
    </w:p>
    <w:p w:rsidR="00673A0E" w:rsidRPr="003A29E6" w:rsidRDefault="00673A0E" w:rsidP="00673A0E">
      <w:pPr>
        <w:pStyle w:val="BodyText"/>
      </w:pPr>
      <w:r w:rsidRPr="003A29E6">
        <w:t xml:space="preserve">The Productivity Commission is a prescribed agency under the </w:t>
      </w:r>
      <w:r w:rsidRPr="003A29E6">
        <w:rPr>
          <w:i/>
        </w:rPr>
        <w:t>Financial Management and Accountability Act 1997</w:t>
      </w:r>
      <w:r w:rsidRPr="003A29E6">
        <w:t xml:space="preserve">. </w:t>
      </w:r>
    </w:p>
    <w:p w:rsidR="00673A0E" w:rsidRPr="003A29E6" w:rsidRDefault="00673A0E" w:rsidP="00673A0E">
      <w:pPr>
        <w:pStyle w:val="BodyText"/>
      </w:pPr>
      <w:r w:rsidRPr="003A29E6">
        <w:rPr>
          <w:szCs w:val="26"/>
        </w:rPr>
        <w:t>Revenue from government decreased in 2013-14 to $3</w:t>
      </w:r>
      <w:r>
        <w:rPr>
          <w:szCs w:val="26"/>
        </w:rPr>
        <w:t>6</w:t>
      </w:r>
      <w:r w:rsidRPr="003A29E6">
        <w:rPr>
          <w:szCs w:val="26"/>
        </w:rPr>
        <w:t>.</w:t>
      </w:r>
      <w:r>
        <w:rPr>
          <w:szCs w:val="26"/>
        </w:rPr>
        <w:t>4</w:t>
      </w:r>
      <w:r w:rsidR="00FB78C9">
        <w:rPr>
          <w:szCs w:val="26"/>
        </w:rPr>
        <w:t xml:space="preserve"> million ($37.4 million in 2012</w:t>
      </w:r>
      <w:r w:rsidR="00FB78C9">
        <w:rPr>
          <w:szCs w:val="26"/>
        </w:rPr>
        <w:noBreakHyphen/>
      </w:r>
      <w:r w:rsidRPr="003A29E6">
        <w:rPr>
          <w:szCs w:val="26"/>
        </w:rPr>
        <w:t>1</w:t>
      </w:r>
      <w:r>
        <w:rPr>
          <w:szCs w:val="26"/>
        </w:rPr>
        <w:t>3</w:t>
      </w:r>
      <w:r w:rsidRPr="003A29E6">
        <w:rPr>
          <w:szCs w:val="26"/>
        </w:rPr>
        <w:t>).</w:t>
      </w:r>
      <w:r>
        <w:t xml:space="preserve"> Revenue from other sources </w:t>
      </w:r>
      <w:r w:rsidRPr="003A29E6">
        <w:t>de</w:t>
      </w:r>
      <w:r>
        <w:t xml:space="preserve">creased </w:t>
      </w:r>
      <w:r w:rsidRPr="003A29E6">
        <w:t>in 2013-14 to $0.9 million ($1.1 million in 2012-13).</w:t>
      </w:r>
    </w:p>
    <w:p w:rsidR="00673A0E" w:rsidRPr="003A29E6" w:rsidRDefault="00673A0E" w:rsidP="00673A0E">
      <w:pPr>
        <w:pStyle w:val="BodyText"/>
        <w:rPr>
          <w:szCs w:val="26"/>
        </w:rPr>
      </w:pPr>
      <w:r w:rsidRPr="003A29E6">
        <w:rPr>
          <w:szCs w:val="26"/>
        </w:rPr>
        <w:t>Operating expenses decreased in 2013-14 to $37.</w:t>
      </w:r>
      <w:r>
        <w:rPr>
          <w:szCs w:val="26"/>
        </w:rPr>
        <w:t>3</w:t>
      </w:r>
      <w:r w:rsidRPr="003A29E6">
        <w:rPr>
          <w:szCs w:val="26"/>
        </w:rPr>
        <w:t xml:space="preserve"> million ($37.4 million in 2012</w:t>
      </w:r>
      <w:r w:rsidRPr="003A29E6">
        <w:rPr>
          <w:szCs w:val="26"/>
        </w:rPr>
        <w:noBreakHyphen/>
        <w:t>13). The major expenses in 2013-14 were $29.5 million in respect of employee expenses, $6.</w:t>
      </w:r>
      <w:r>
        <w:rPr>
          <w:szCs w:val="26"/>
        </w:rPr>
        <w:t>7</w:t>
      </w:r>
      <w:r w:rsidR="00FB78C9">
        <w:rPr>
          <w:szCs w:val="26"/>
        </w:rPr>
        <w:t> </w:t>
      </w:r>
      <w:r w:rsidRPr="003A29E6">
        <w:rPr>
          <w:szCs w:val="26"/>
        </w:rPr>
        <w:t xml:space="preserve">million relating to supplier payments, and $1.1 million in asset depreciation, amortisation and related expenses. </w:t>
      </w:r>
    </w:p>
    <w:p w:rsidR="00673A0E" w:rsidRPr="003A29E6" w:rsidRDefault="00673A0E" w:rsidP="00673A0E">
      <w:pPr>
        <w:pStyle w:val="BodyText"/>
      </w:pPr>
      <w:r>
        <w:t>Under the Australian Government’s net cash appropriation arrangements, individual agencies are not funded for depreciation or amortisation expenses through appropriation revenue. T</w:t>
      </w:r>
      <w:r w:rsidRPr="003A29E6">
        <w:t xml:space="preserve">he operating result for 2013-14 was </w:t>
      </w:r>
      <w:r>
        <w:t>a $1.1</w:t>
      </w:r>
      <w:r w:rsidRPr="003A29E6">
        <w:t xml:space="preserve"> million </w:t>
      </w:r>
      <w:r>
        <w:t>surplus, after excluding those depreciation and amortisation expenses (or broadly ‘</w:t>
      </w:r>
      <w:proofErr w:type="spellStart"/>
      <w:r>
        <w:t>break-even</w:t>
      </w:r>
      <w:proofErr w:type="spellEnd"/>
      <w:r>
        <w:t xml:space="preserve">’ if those expenses were included). </w:t>
      </w:r>
    </w:p>
    <w:p w:rsidR="00682BD3" w:rsidRPr="001F15F1" w:rsidRDefault="00673A0E" w:rsidP="00682BD3">
      <w:pPr>
        <w:pStyle w:val="BodyText"/>
      </w:pPr>
      <w:r w:rsidRPr="003A29E6">
        <w:lastRenderedPageBreak/>
        <w:t>Table A.1 provides a summary of financial and staffing resources. The agency resource statement is provided at Attachment A2. The audited financial statements for 2013-14 are shown in appendix G</w:t>
      </w:r>
      <w:r w:rsidR="00682BD3" w:rsidRPr="00E611D5">
        <w:t>.</w:t>
      </w:r>
    </w:p>
    <w:p w:rsidR="008512FA" w:rsidRPr="00F57A6E" w:rsidRDefault="008512FA" w:rsidP="008512FA">
      <w:pPr>
        <w:pStyle w:val="Heading3"/>
        <w:jc w:val="both"/>
      </w:pPr>
      <w:r w:rsidRPr="00F57A6E">
        <w:t>Purchasing</w:t>
      </w:r>
    </w:p>
    <w:p w:rsidR="00673A0E" w:rsidRPr="00D038D5" w:rsidRDefault="00673A0E" w:rsidP="00673A0E">
      <w:pPr>
        <w:pStyle w:val="BodyText"/>
      </w:pPr>
      <w:r w:rsidRPr="00D038D5">
        <w:t xml:space="preserve">The Commission applies the Commonwealth Procurement Rules. The Commission’s purchases of goods and services during 2013-14 were consistent with the ‘value-for-money’ principle underpinning those rules. </w:t>
      </w:r>
    </w:p>
    <w:p w:rsidR="00673A0E" w:rsidRPr="00776E25" w:rsidRDefault="00673A0E" w:rsidP="00673A0E">
      <w:pPr>
        <w:pStyle w:val="BodyText"/>
      </w:pPr>
      <w:r w:rsidRPr="00D038D5">
        <w:t xml:space="preserve">The Commission did not enter into any contracts or standing offers that were exempt from being published on </w:t>
      </w:r>
      <w:proofErr w:type="spellStart"/>
      <w:r w:rsidRPr="00D038D5">
        <w:t>AusTender</w:t>
      </w:r>
      <w:proofErr w:type="spellEnd"/>
      <w:r w:rsidRPr="00D038D5">
        <w:t xml:space="preserve">. Contracts of $100 000 or more </w:t>
      </w:r>
      <w:r>
        <w:t xml:space="preserve">(inclusive of GST) </w:t>
      </w:r>
      <w:r w:rsidRPr="00D038D5">
        <w:t>let during 2013-</w:t>
      </w:r>
      <w:r w:rsidRPr="00CF65C8">
        <w:t>14 included a provision for the ANAO to have access to the contractor’s premises if required.</w:t>
      </w:r>
    </w:p>
    <w:p w:rsidR="004F1E85" w:rsidRPr="00E611D5" w:rsidRDefault="004F1E85" w:rsidP="004F1E85">
      <w:pPr>
        <w:pStyle w:val="Heading3"/>
        <w:jc w:val="both"/>
      </w:pPr>
      <w:r w:rsidRPr="00E611D5">
        <w:t>Consultancies</w:t>
      </w:r>
    </w:p>
    <w:p w:rsidR="00673A0E" w:rsidRPr="00081F20" w:rsidRDefault="00673A0E" w:rsidP="00673A0E">
      <w:pPr>
        <w:pStyle w:val="BodyText"/>
      </w:pPr>
      <w:r w:rsidRPr="00081F20">
        <w:t>The Commission continued to utilise the services of a range of consultants during the year where it was cost-effective to do so. Many of the consultancies are for the purpose of refereeing particular pieces of work and are generally of relatively low cost.</w:t>
      </w:r>
    </w:p>
    <w:p w:rsidR="00673A0E" w:rsidRPr="00081F20" w:rsidRDefault="00673A0E" w:rsidP="00673A0E">
      <w:pPr>
        <w:pStyle w:val="BodyText"/>
      </w:pPr>
      <w:r w:rsidRPr="00081F20">
        <w:t xml:space="preserve">During 2013-14, eleven new consultancy contracts were entered into involving total actual expenditure of $28 575. There were no ongoing consultancy contracts active during the 2013-14 year. </w:t>
      </w:r>
    </w:p>
    <w:p w:rsidR="00673A0E" w:rsidRPr="00081F20" w:rsidRDefault="00673A0E" w:rsidP="00673A0E">
      <w:pPr>
        <w:pStyle w:val="BodyText"/>
      </w:pPr>
      <w:r w:rsidRPr="00081F20">
        <w:t>Table A.2 provides information on expenditure on consultants in the five years to 2013-14.</w:t>
      </w:r>
    </w:p>
    <w:p w:rsidR="00673A0E" w:rsidRDefault="00673A0E" w:rsidP="00673A0E">
      <w:pPr>
        <w:pStyle w:val="BodyText"/>
      </w:pPr>
      <w:r w:rsidRPr="00081F20">
        <w:t xml:space="preserve">Annual reports contain information about actual expenditure on contracts for consultancies. Information on the value of contracts and consultancies is available on the </w:t>
      </w:r>
      <w:proofErr w:type="spellStart"/>
      <w:r w:rsidRPr="00081F20">
        <w:t>AusTender</w:t>
      </w:r>
      <w:proofErr w:type="spellEnd"/>
      <w:r w:rsidRPr="00081F20">
        <w:t xml:space="preserve"> website </w:t>
      </w:r>
      <w:r w:rsidRPr="00081F20">
        <w:rPr>
          <w:bCs/>
        </w:rPr>
        <w:t>www.tenders.gov.au</w:t>
      </w:r>
      <w:r w:rsidRPr="00081F20">
        <w:t xml:space="preserve">. </w:t>
      </w:r>
    </w:p>
    <w:p w:rsidR="00120E5B" w:rsidRDefault="00120E5B" w:rsidP="00FB78C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120E5B" w:rsidTr="00120E5B">
        <w:tc>
          <w:tcPr>
            <w:tcW w:w="8771" w:type="dxa"/>
            <w:tcBorders>
              <w:top w:val="single" w:sz="6" w:space="0" w:color="78A22F"/>
              <w:left w:val="nil"/>
              <w:bottom w:val="single" w:sz="6" w:space="0" w:color="BFBFBF"/>
              <w:right w:val="nil"/>
            </w:tcBorders>
            <w:shd w:val="clear" w:color="auto" w:fill="auto"/>
          </w:tcPr>
          <w:p w:rsidR="00120E5B" w:rsidRPr="00784A05" w:rsidRDefault="00120E5B" w:rsidP="00120E5B">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r w:rsidR="00A75BC5">
              <w:rPr>
                <w:b w:val="0"/>
              </w:rPr>
              <w:t>A.</w:t>
            </w:r>
            <w:r>
              <w:rPr>
                <w:b w:val="0"/>
              </w:rPr>
              <w:fldChar w:fldCharType="end"/>
            </w:r>
            <w:r>
              <w:rPr>
                <w:b w:val="0"/>
              </w:rPr>
              <w:fldChar w:fldCharType="begin"/>
            </w:r>
            <w:r>
              <w:rPr>
                <w:b w:val="0"/>
              </w:rPr>
              <w:instrText xml:space="preserve"> SEQ Table \* ARABIC </w:instrText>
            </w:r>
            <w:r>
              <w:rPr>
                <w:b w:val="0"/>
              </w:rPr>
              <w:fldChar w:fldCharType="separate"/>
            </w:r>
            <w:r w:rsidR="00380FE3">
              <w:rPr>
                <w:b w:val="0"/>
                <w:noProof/>
              </w:rPr>
              <w:t>2</w:t>
            </w:r>
            <w:r>
              <w:rPr>
                <w:b w:val="0"/>
              </w:rPr>
              <w:fldChar w:fldCharType="end"/>
            </w:r>
            <w:r>
              <w:tab/>
            </w:r>
            <w:r w:rsidRPr="00E611D5">
              <w:t>Expenditure on consultancies, 2009-10 to 2013-14</w:t>
            </w:r>
            <w:r>
              <w:t xml:space="preserve"> </w:t>
            </w:r>
          </w:p>
        </w:tc>
      </w:tr>
      <w:tr w:rsidR="00120E5B" w:rsidTr="00120E5B">
        <w:trPr>
          <w:cantSplit/>
        </w:trPr>
        <w:tc>
          <w:tcPr>
            <w:tcW w:w="8771" w:type="dxa"/>
            <w:tcBorders>
              <w:top w:val="single" w:sz="6" w:space="0" w:color="BFBFBF"/>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415"/>
              <w:gridCol w:w="1416"/>
              <w:gridCol w:w="1416"/>
              <w:gridCol w:w="1416"/>
              <w:gridCol w:w="1412"/>
              <w:gridCol w:w="1412"/>
            </w:tblGrid>
            <w:tr w:rsidR="00120E5B" w:rsidTr="00120E5B">
              <w:tc>
                <w:tcPr>
                  <w:tcW w:w="834" w:type="pct"/>
                  <w:tcBorders>
                    <w:top w:val="single" w:sz="6" w:space="0" w:color="EEECE1" w:themeColor="background2"/>
                    <w:bottom w:val="single" w:sz="6" w:space="0" w:color="BFBFBF"/>
                  </w:tcBorders>
                  <w:shd w:val="clear" w:color="auto" w:fill="auto"/>
                  <w:tcMar>
                    <w:top w:w="28" w:type="dxa"/>
                  </w:tcMar>
                </w:tcPr>
                <w:p w:rsidR="00120E5B" w:rsidRDefault="00120E5B" w:rsidP="00FB78C9">
                  <w:pPr>
                    <w:pStyle w:val="TableColumnHeading"/>
                    <w:jc w:val="left"/>
                  </w:pPr>
                </w:p>
              </w:tc>
              <w:tc>
                <w:tcPr>
                  <w:tcW w:w="834" w:type="pct"/>
                  <w:tcBorders>
                    <w:top w:val="single" w:sz="6" w:space="0" w:color="EEECE1" w:themeColor="background2"/>
                    <w:bottom w:val="single" w:sz="6" w:space="0" w:color="BFBFBF"/>
                  </w:tcBorders>
                  <w:shd w:val="clear" w:color="auto" w:fill="auto"/>
                </w:tcPr>
                <w:p w:rsidR="00120E5B" w:rsidRPr="00081F20" w:rsidRDefault="00120E5B" w:rsidP="00FB78C9">
                  <w:pPr>
                    <w:pStyle w:val="TableColumnHeading"/>
                  </w:pPr>
                  <w:r w:rsidRPr="00081F20">
                    <w:t>2009-10</w:t>
                  </w:r>
                </w:p>
              </w:tc>
              <w:tc>
                <w:tcPr>
                  <w:tcW w:w="834" w:type="pct"/>
                  <w:tcBorders>
                    <w:top w:val="single" w:sz="6" w:space="0" w:color="EEECE1" w:themeColor="background2"/>
                    <w:bottom w:val="single" w:sz="6" w:space="0" w:color="BFBFBF"/>
                  </w:tcBorders>
                  <w:shd w:val="clear" w:color="auto" w:fill="auto"/>
                  <w:tcMar>
                    <w:top w:w="28" w:type="dxa"/>
                  </w:tcMar>
                </w:tcPr>
                <w:p w:rsidR="00120E5B" w:rsidRPr="00081F20" w:rsidRDefault="00120E5B" w:rsidP="00FB78C9">
                  <w:pPr>
                    <w:pStyle w:val="TableColumnHeading"/>
                  </w:pPr>
                  <w:r w:rsidRPr="00081F20">
                    <w:t>2010-11</w:t>
                  </w:r>
                </w:p>
              </w:tc>
              <w:tc>
                <w:tcPr>
                  <w:tcW w:w="834" w:type="pct"/>
                  <w:tcBorders>
                    <w:top w:val="single" w:sz="6" w:space="0" w:color="EEECE1" w:themeColor="background2"/>
                    <w:bottom w:val="single" w:sz="6" w:space="0" w:color="BFBFBF"/>
                  </w:tcBorders>
                  <w:shd w:val="clear" w:color="auto" w:fill="auto"/>
                </w:tcPr>
                <w:p w:rsidR="00120E5B" w:rsidRPr="00081F20" w:rsidRDefault="00120E5B" w:rsidP="00FB78C9">
                  <w:pPr>
                    <w:pStyle w:val="TableColumnHeading"/>
                  </w:pPr>
                  <w:r w:rsidRPr="00081F20">
                    <w:t>2011-12</w:t>
                  </w:r>
                </w:p>
              </w:tc>
              <w:tc>
                <w:tcPr>
                  <w:tcW w:w="832" w:type="pct"/>
                  <w:tcBorders>
                    <w:top w:val="single" w:sz="6" w:space="0" w:color="EEECE1" w:themeColor="background2"/>
                    <w:bottom w:val="single" w:sz="6" w:space="0" w:color="BFBFBF"/>
                  </w:tcBorders>
                  <w:shd w:val="clear" w:color="auto" w:fill="auto"/>
                  <w:tcMar>
                    <w:top w:w="28" w:type="dxa"/>
                  </w:tcMar>
                </w:tcPr>
                <w:p w:rsidR="00120E5B" w:rsidRPr="00081F20" w:rsidRDefault="00120E5B" w:rsidP="00FB78C9">
                  <w:pPr>
                    <w:pStyle w:val="TableColumnHeading"/>
                  </w:pPr>
                  <w:r w:rsidRPr="00081F20">
                    <w:t>2012-13</w:t>
                  </w:r>
                </w:p>
              </w:tc>
              <w:tc>
                <w:tcPr>
                  <w:tcW w:w="832" w:type="pct"/>
                  <w:tcBorders>
                    <w:top w:val="single" w:sz="6" w:space="0" w:color="EEECE1" w:themeColor="background2"/>
                    <w:bottom w:val="single" w:sz="6" w:space="0" w:color="BFBFBF"/>
                  </w:tcBorders>
                  <w:shd w:val="clear" w:color="auto" w:fill="auto"/>
                </w:tcPr>
                <w:p w:rsidR="00120E5B" w:rsidRPr="00081F20" w:rsidRDefault="00120E5B" w:rsidP="00FB78C9">
                  <w:pPr>
                    <w:pStyle w:val="TableColumnHeading"/>
                  </w:pPr>
                  <w:r w:rsidRPr="00081F20">
                    <w:t>2013-14</w:t>
                  </w:r>
                </w:p>
              </w:tc>
            </w:tr>
            <w:tr w:rsidR="00120E5B" w:rsidTr="00120E5B">
              <w:tc>
                <w:tcPr>
                  <w:tcW w:w="834" w:type="pct"/>
                  <w:tcBorders>
                    <w:top w:val="single" w:sz="6" w:space="0" w:color="BFBFBF"/>
                  </w:tcBorders>
                  <w:shd w:val="clear" w:color="auto" w:fill="auto"/>
                </w:tcPr>
                <w:p w:rsidR="00120E5B" w:rsidRDefault="00120E5B" w:rsidP="00FB78C9">
                  <w:pPr>
                    <w:pStyle w:val="TableUnitsRow"/>
                    <w:jc w:val="left"/>
                  </w:pPr>
                </w:p>
              </w:tc>
              <w:tc>
                <w:tcPr>
                  <w:tcW w:w="834" w:type="pct"/>
                  <w:tcBorders>
                    <w:top w:val="single" w:sz="6" w:space="0" w:color="BFBFBF"/>
                  </w:tcBorders>
                  <w:shd w:val="clear" w:color="auto" w:fill="auto"/>
                </w:tcPr>
                <w:p w:rsidR="00120E5B" w:rsidRPr="00081F20" w:rsidRDefault="00120E5B" w:rsidP="00FB78C9">
                  <w:pPr>
                    <w:pStyle w:val="TableUnitsRow"/>
                  </w:pPr>
                  <w:r w:rsidRPr="00081F20">
                    <w:t>$’000</w:t>
                  </w:r>
                </w:p>
              </w:tc>
              <w:tc>
                <w:tcPr>
                  <w:tcW w:w="834" w:type="pct"/>
                  <w:tcBorders>
                    <w:top w:val="single" w:sz="6" w:space="0" w:color="BFBFBF"/>
                  </w:tcBorders>
                  <w:shd w:val="clear" w:color="auto" w:fill="auto"/>
                </w:tcPr>
                <w:p w:rsidR="00120E5B" w:rsidRPr="00081F20" w:rsidRDefault="00120E5B" w:rsidP="00FB78C9">
                  <w:pPr>
                    <w:pStyle w:val="TableUnitsRow"/>
                  </w:pPr>
                  <w:r w:rsidRPr="00081F20">
                    <w:t>$’000</w:t>
                  </w:r>
                </w:p>
              </w:tc>
              <w:tc>
                <w:tcPr>
                  <w:tcW w:w="834" w:type="pct"/>
                  <w:tcBorders>
                    <w:top w:val="single" w:sz="6" w:space="0" w:color="BFBFBF"/>
                  </w:tcBorders>
                  <w:shd w:val="clear" w:color="auto" w:fill="auto"/>
                </w:tcPr>
                <w:p w:rsidR="00120E5B" w:rsidRPr="00081F20" w:rsidRDefault="00120E5B" w:rsidP="00FB78C9">
                  <w:pPr>
                    <w:pStyle w:val="TableUnitsRow"/>
                  </w:pPr>
                  <w:r w:rsidRPr="00081F20">
                    <w:t>$’000</w:t>
                  </w:r>
                </w:p>
              </w:tc>
              <w:tc>
                <w:tcPr>
                  <w:tcW w:w="832" w:type="pct"/>
                  <w:tcBorders>
                    <w:top w:val="single" w:sz="6" w:space="0" w:color="BFBFBF"/>
                  </w:tcBorders>
                  <w:shd w:val="clear" w:color="auto" w:fill="auto"/>
                </w:tcPr>
                <w:p w:rsidR="00120E5B" w:rsidRPr="00081F20" w:rsidRDefault="00120E5B" w:rsidP="00FB78C9">
                  <w:pPr>
                    <w:pStyle w:val="TableUnitsRow"/>
                  </w:pPr>
                  <w:r w:rsidRPr="00081F20">
                    <w:t>$’000</w:t>
                  </w:r>
                </w:p>
              </w:tc>
              <w:tc>
                <w:tcPr>
                  <w:tcW w:w="832" w:type="pct"/>
                  <w:tcBorders>
                    <w:top w:val="single" w:sz="6" w:space="0" w:color="BFBFBF"/>
                  </w:tcBorders>
                  <w:shd w:val="clear" w:color="auto" w:fill="auto"/>
                </w:tcPr>
                <w:p w:rsidR="00120E5B" w:rsidRPr="00081F20" w:rsidRDefault="00120E5B" w:rsidP="00FB78C9">
                  <w:pPr>
                    <w:pStyle w:val="TableUnitsRow"/>
                  </w:pPr>
                  <w:r w:rsidRPr="00081F20">
                    <w:t>$’000</w:t>
                  </w:r>
                </w:p>
              </w:tc>
            </w:tr>
            <w:tr w:rsidR="00120E5B" w:rsidTr="00120E5B">
              <w:tc>
                <w:tcPr>
                  <w:tcW w:w="834" w:type="pct"/>
                  <w:shd w:val="clear" w:color="auto" w:fill="auto"/>
                </w:tcPr>
                <w:p w:rsidR="00120E5B" w:rsidRPr="00081F20" w:rsidRDefault="00120E5B" w:rsidP="00FB78C9">
                  <w:pPr>
                    <w:pStyle w:val="TableBodyText"/>
                    <w:spacing w:before="120"/>
                    <w:jc w:val="left"/>
                  </w:pPr>
                  <w:r w:rsidRPr="00081F20">
                    <w:t xml:space="preserve">Expenditure </w:t>
                  </w:r>
                </w:p>
              </w:tc>
              <w:tc>
                <w:tcPr>
                  <w:tcW w:w="834" w:type="pct"/>
                  <w:shd w:val="clear" w:color="auto" w:fill="auto"/>
                </w:tcPr>
                <w:p w:rsidR="00120E5B" w:rsidRPr="00081F20" w:rsidRDefault="00120E5B" w:rsidP="00FB78C9">
                  <w:pPr>
                    <w:pStyle w:val="TableBodyText"/>
                    <w:spacing w:before="120"/>
                  </w:pPr>
                  <w:r w:rsidRPr="00081F20">
                    <w:t>49</w:t>
                  </w:r>
                </w:p>
              </w:tc>
              <w:tc>
                <w:tcPr>
                  <w:tcW w:w="834" w:type="pct"/>
                  <w:shd w:val="clear" w:color="auto" w:fill="auto"/>
                </w:tcPr>
                <w:p w:rsidR="00120E5B" w:rsidRPr="00081F20" w:rsidRDefault="00120E5B" w:rsidP="00FB78C9">
                  <w:pPr>
                    <w:pStyle w:val="TableBodyText"/>
                    <w:spacing w:before="120"/>
                  </w:pPr>
                  <w:r w:rsidRPr="00081F20">
                    <w:t>36</w:t>
                  </w:r>
                </w:p>
              </w:tc>
              <w:tc>
                <w:tcPr>
                  <w:tcW w:w="834" w:type="pct"/>
                  <w:shd w:val="clear" w:color="auto" w:fill="auto"/>
                </w:tcPr>
                <w:p w:rsidR="00120E5B" w:rsidRPr="00081F20" w:rsidRDefault="00120E5B" w:rsidP="00FB78C9">
                  <w:pPr>
                    <w:pStyle w:val="TableBodyText"/>
                    <w:spacing w:before="120"/>
                  </w:pPr>
                  <w:r w:rsidRPr="00081F20">
                    <w:t>153</w:t>
                  </w:r>
                </w:p>
              </w:tc>
              <w:tc>
                <w:tcPr>
                  <w:tcW w:w="832" w:type="pct"/>
                  <w:shd w:val="clear" w:color="auto" w:fill="auto"/>
                </w:tcPr>
                <w:p w:rsidR="00120E5B" w:rsidRPr="00081F20" w:rsidRDefault="00120E5B" w:rsidP="00FB78C9">
                  <w:pPr>
                    <w:pStyle w:val="TableBodyText"/>
                    <w:spacing w:before="120"/>
                  </w:pPr>
                  <w:r w:rsidRPr="00081F20">
                    <w:t>40</w:t>
                  </w:r>
                </w:p>
              </w:tc>
              <w:tc>
                <w:tcPr>
                  <w:tcW w:w="832" w:type="pct"/>
                  <w:shd w:val="clear" w:color="auto" w:fill="auto"/>
                </w:tcPr>
                <w:p w:rsidR="00120E5B" w:rsidRPr="00081F20" w:rsidRDefault="00120E5B" w:rsidP="00FB78C9">
                  <w:pPr>
                    <w:pStyle w:val="TableBodyText"/>
                    <w:spacing w:before="120"/>
                  </w:pPr>
                  <w:r w:rsidRPr="00081F20">
                    <w:t>29</w:t>
                  </w:r>
                </w:p>
              </w:tc>
            </w:tr>
          </w:tbl>
          <w:p w:rsidR="00120E5B" w:rsidRDefault="00120E5B" w:rsidP="00FB78C9">
            <w:pPr>
              <w:pStyle w:val="Box"/>
            </w:pPr>
          </w:p>
        </w:tc>
      </w:tr>
      <w:tr w:rsidR="00120E5B" w:rsidTr="00120E5B">
        <w:trPr>
          <w:cantSplit/>
        </w:trPr>
        <w:tc>
          <w:tcPr>
            <w:tcW w:w="8771" w:type="dxa"/>
            <w:tcBorders>
              <w:top w:val="nil"/>
              <w:left w:val="nil"/>
              <w:bottom w:val="single" w:sz="6" w:space="0" w:color="78A22F"/>
              <w:right w:val="nil"/>
            </w:tcBorders>
            <w:shd w:val="clear" w:color="auto" w:fill="auto"/>
          </w:tcPr>
          <w:p w:rsidR="00120E5B" w:rsidRDefault="00120E5B" w:rsidP="00FB78C9">
            <w:pPr>
              <w:pStyle w:val="Box"/>
              <w:spacing w:before="0" w:line="120" w:lineRule="exact"/>
            </w:pPr>
          </w:p>
        </w:tc>
      </w:tr>
      <w:tr w:rsidR="00120E5B" w:rsidRPr="000863A5" w:rsidTr="00120E5B">
        <w:tc>
          <w:tcPr>
            <w:tcW w:w="8771" w:type="dxa"/>
            <w:tcBorders>
              <w:top w:val="single" w:sz="6" w:space="0" w:color="78A22F"/>
              <w:left w:val="nil"/>
              <w:bottom w:val="nil"/>
              <w:right w:val="nil"/>
            </w:tcBorders>
          </w:tcPr>
          <w:p w:rsidR="00120E5B" w:rsidRPr="00626D32" w:rsidRDefault="00120E5B" w:rsidP="00FB78C9">
            <w:pPr>
              <w:pStyle w:val="BoxSpaceBelow"/>
            </w:pPr>
          </w:p>
        </w:tc>
      </w:tr>
    </w:tbl>
    <w:p w:rsidR="004F1E85" w:rsidRPr="00776E25" w:rsidRDefault="004F1E85" w:rsidP="004F1E85">
      <w:pPr>
        <w:pStyle w:val="Heading3"/>
        <w:spacing w:before="480"/>
      </w:pPr>
      <w:r w:rsidRPr="00776E25">
        <w:lastRenderedPageBreak/>
        <w:t>Legal services</w:t>
      </w:r>
    </w:p>
    <w:p w:rsidR="00673A0E" w:rsidRPr="00776E25" w:rsidRDefault="00673A0E" w:rsidP="00673A0E">
      <w:pPr>
        <w:pStyle w:val="BodyText"/>
      </w:pPr>
      <w:r w:rsidRPr="004504FF">
        <w:t>Total expenditure on legal services in 201</w:t>
      </w:r>
      <w:r>
        <w:t>3</w:t>
      </w:r>
      <w:r w:rsidRPr="004504FF">
        <w:t>-1</w:t>
      </w:r>
      <w:r>
        <w:t>4</w:t>
      </w:r>
      <w:r w:rsidRPr="004504FF">
        <w:t xml:space="preserve"> was $</w:t>
      </w:r>
      <w:r>
        <w:t>3</w:t>
      </w:r>
      <w:r w:rsidRPr="004504FF">
        <w:t xml:space="preserve"> </w:t>
      </w:r>
      <w:r>
        <w:t>167 (GST exclusive)</w:t>
      </w:r>
      <w:r w:rsidRPr="004504FF">
        <w:t xml:space="preserve">. Further details are published on the Commission’s website, in accordance with </w:t>
      </w:r>
      <w:r w:rsidRPr="004504FF">
        <w:rPr>
          <w:i/>
          <w:iCs/>
        </w:rPr>
        <w:t xml:space="preserve">Legal Services Directions 2005 </w:t>
      </w:r>
      <w:r w:rsidRPr="004504FF">
        <w:t>issued by the Attorney-General.</w:t>
      </w:r>
    </w:p>
    <w:p w:rsidR="00CE62EE" w:rsidRPr="00776E25" w:rsidRDefault="00CE62EE" w:rsidP="00C56BE9">
      <w:pPr>
        <w:pStyle w:val="Heading3"/>
        <w:spacing w:before="480"/>
      </w:pPr>
      <w:r w:rsidRPr="00776E25">
        <w:t xml:space="preserve">Ecologically sustainable development (ESD) </w:t>
      </w:r>
    </w:p>
    <w:p w:rsidR="00CE62EE" w:rsidRPr="00776E25" w:rsidRDefault="00CE62EE" w:rsidP="00C56BE9">
      <w:pPr>
        <w:pStyle w:val="BodyText"/>
      </w:pPr>
      <w:r w:rsidRPr="00776E25">
        <w:t xml:space="preserve">Under the </w:t>
      </w:r>
      <w:r w:rsidRPr="00776E25">
        <w:rPr>
          <w:i/>
          <w:iCs/>
        </w:rPr>
        <w:t>Environment Protection and Biodiversity Conservation Act 1999</w:t>
      </w:r>
      <w:r w:rsidRPr="00776E25">
        <w:t>, agencies are required — through their annual reports — to report on ESD and environmental matters. This requirement is part of the Government’s program to improve progress in implementing ESD.</w:t>
      </w:r>
    </w:p>
    <w:p w:rsidR="00CE62EE" w:rsidRPr="00776E25" w:rsidRDefault="00CE62EE" w:rsidP="00C56BE9">
      <w:pPr>
        <w:pStyle w:val="BodyText"/>
      </w:pPr>
      <w:r w:rsidRPr="00776E25">
        <w:t>The Commission operates under statutory guidelines, one of which is to have regard to the need ‘to ensure that industry develops in a way that is ecologically sustainable’ (section 8(1</w:t>
      </w:r>
      <w:proofErr w:type="gramStart"/>
      <w:r w:rsidRPr="00776E25">
        <w:t>)(</w:t>
      </w:r>
      <w:proofErr w:type="spellStart"/>
      <w:proofErr w:type="gramEnd"/>
      <w:r w:rsidRPr="00776E25">
        <w:t>i</w:t>
      </w:r>
      <w:proofErr w:type="spellEnd"/>
      <w:r w:rsidRPr="00776E25">
        <w:t xml:space="preserve">) of the </w:t>
      </w:r>
      <w:r w:rsidRPr="00776E25">
        <w:rPr>
          <w:i/>
          <w:iCs/>
        </w:rPr>
        <w:t>Productivity Commission Act 1998</w:t>
      </w:r>
      <w:r w:rsidRPr="00776E25">
        <w:t>). This legislation also prescribes that at least one member of the Commission ‘must have extensive skills and experience in matters relating to the principles of ecologically sustainable development and environmental conservation’ (section 26(3)).</w:t>
      </w:r>
    </w:p>
    <w:p w:rsidR="00CE62EE" w:rsidRPr="00776E25" w:rsidRDefault="00CE62EE" w:rsidP="00C56BE9">
      <w:pPr>
        <w:pStyle w:val="BodyText"/>
      </w:pPr>
      <w:r w:rsidRPr="00776E25">
        <w:t>There are five aspects against which agencies are required to report.</w:t>
      </w:r>
    </w:p>
    <w:p w:rsidR="00CB7A1E" w:rsidRDefault="00CE62EE" w:rsidP="00661A82">
      <w:pPr>
        <w:pStyle w:val="BodyText"/>
      </w:pPr>
      <w:r w:rsidRPr="00776E25">
        <w:t>The first relates to how an agency’s actions during the reporting period accorded with the principles of ESD.</w:t>
      </w:r>
    </w:p>
    <w:p w:rsidR="00E45A79" w:rsidRPr="00776E25" w:rsidRDefault="00CE62EE" w:rsidP="00E45A79">
      <w:pPr>
        <w:pStyle w:val="BodyText"/>
      </w:pPr>
      <w:r w:rsidRPr="00776E25">
        <w:t xml:space="preserve">Reflecting its statutory guidelines, ESD principles are integral to the Commission’s analytical frameworks, their weighting depending on the particular inquiry or research topic. Examples of Commission projects where different aspects of ESD have arisen have been provided in past annual reports. </w:t>
      </w:r>
      <w:r w:rsidR="00E45A79" w:rsidRPr="00776E25">
        <w:t xml:space="preserve">Recent Commission reports </w:t>
      </w:r>
      <w:r w:rsidR="00E45A79" w:rsidRPr="006221EF">
        <w:t xml:space="preserve">on </w:t>
      </w:r>
      <w:r w:rsidR="00950268" w:rsidRPr="001F15F1">
        <w:rPr>
          <w:i/>
        </w:rPr>
        <w:t>Barriers to effective climate c</w:t>
      </w:r>
      <w:r w:rsidR="00511555" w:rsidRPr="001F15F1">
        <w:rPr>
          <w:i/>
        </w:rPr>
        <w:t xml:space="preserve">hange </w:t>
      </w:r>
      <w:r w:rsidR="00950268" w:rsidRPr="001F15F1">
        <w:rPr>
          <w:i/>
        </w:rPr>
        <w:t>a</w:t>
      </w:r>
      <w:r w:rsidR="00511555" w:rsidRPr="001F15F1">
        <w:rPr>
          <w:i/>
        </w:rPr>
        <w:t>daptation</w:t>
      </w:r>
      <w:r w:rsidR="00950268">
        <w:t xml:space="preserve"> and </w:t>
      </w:r>
      <w:r w:rsidR="00CB4FCE">
        <w:rPr>
          <w:bCs/>
          <w:i/>
          <w:lang w:val="en"/>
        </w:rPr>
        <w:t>Mineral and energy resource e</w:t>
      </w:r>
      <w:r w:rsidR="00390871" w:rsidRPr="00390871">
        <w:rPr>
          <w:bCs/>
          <w:i/>
          <w:lang w:val="en"/>
        </w:rPr>
        <w:t>xploration</w:t>
      </w:r>
      <w:r w:rsidR="00390871" w:rsidRPr="00390871" w:rsidDel="00390871">
        <w:rPr>
          <w:bCs/>
          <w:i/>
          <w:lang w:val="en"/>
        </w:rPr>
        <w:t xml:space="preserve"> </w:t>
      </w:r>
      <w:r w:rsidR="00E45A79" w:rsidRPr="006221EF">
        <w:t>are further</w:t>
      </w:r>
      <w:r w:rsidR="00E45A79" w:rsidRPr="00776E25">
        <w:t xml:space="preserve"> examples of work undertaken </w:t>
      </w:r>
      <w:r w:rsidR="00E45A79" w:rsidRPr="00776E25">
        <w:rPr>
          <w:spacing w:val="-2"/>
        </w:rPr>
        <w:t>requiring integration of complex economic, social and environmental considerations.</w:t>
      </w:r>
    </w:p>
    <w:p w:rsidR="00CE62EE" w:rsidRPr="00776E25" w:rsidRDefault="00CE62EE" w:rsidP="00E45A79">
      <w:pPr>
        <w:pStyle w:val="BodyText"/>
      </w:pPr>
      <w:r w:rsidRPr="00776E25">
        <w:t>The second reporting requirement asks how the Government’s outcome for the Commission contributes to ESD. As stated elsewhere in this report, the outcome nominated for the Commission is:</w:t>
      </w:r>
    </w:p>
    <w:p w:rsidR="00CE62EE" w:rsidRPr="00776E25" w:rsidRDefault="00CE62EE" w:rsidP="00232CE9">
      <w:pPr>
        <w:pStyle w:val="Quote"/>
      </w:pPr>
      <w:proofErr w:type="gramStart"/>
      <w:r w:rsidRPr="00776E25">
        <w:t>Well-informed policy decision making and public understanding on matters relating to Australia’s productivity and living standards, based on independent and transparent analysis from a community-wide perspective.</w:t>
      </w:r>
      <w:proofErr w:type="gramEnd"/>
    </w:p>
    <w:p w:rsidR="00CE62EE" w:rsidRPr="00776E25" w:rsidRDefault="00CE62EE" w:rsidP="00106970">
      <w:pPr>
        <w:pStyle w:val="BodyText"/>
        <w:spacing w:before="200"/>
      </w:pPr>
      <w:r w:rsidRPr="00776E25">
        <w:t xml:space="preserve">In pursuing this outcome, the Commission is required to take into account impacts on the community as a whole — these may be economic, </w:t>
      </w:r>
      <w:r w:rsidR="00FB4B8C" w:rsidRPr="00776E25">
        <w:t xml:space="preserve">social and/or </w:t>
      </w:r>
      <w:r w:rsidRPr="00776E25">
        <w:t xml:space="preserve">environmental. The transparency of its processes provides the opportunity for anyone with an interest in an inquiry to make their views known and to have these considered. Consequently, a broad range of views and circumstances </w:t>
      </w:r>
      <w:r w:rsidR="007E2060" w:rsidRPr="00776E25">
        <w:t>are</w:t>
      </w:r>
      <w:r w:rsidRPr="00776E25">
        <w:t xml:space="preserve"> taken into account, in keeping with the ESD </w:t>
      </w:r>
      <w:r w:rsidRPr="00776E25">
        <w:lastRenderedPageBreak/>
        <w:t>principle that ‘decision-making processes should effectively integrate both long-term and short-term economic, environmental, social and equity considerations’.</w:t>
      </w:r>
    </w:p>
    <w:p w:rsidR="00CE62EE" w:rsidRDefault="00CE62EE" w:rsidP="00106970">
      <w:pPr>
        <w:pStyle w:val="BodyText"/>
        <w:spacing w:before="200"/>
      </w:pPr>
      <w:r w:rsidRPr="00776E25">
        <w:t>The third to fifth reporting requirements relate to the impact of the Commission’s internal operations on the environment. The Commission is a relatively small, largely office-based, organisation in rented accommodation, and the actions able to be taken are somewhat limited. However, the Commission adopts measures aimed at the efficient management of waste and minimising energy consumption.</w:t>
      </w:r>
    </w:p>
    <w:p w:rsidR="00CE62EE" w:rsidRDefault="00CE62EE" w:rsidP="00BA5EFB">
      <w:pPr>
        <w:pStyle w:val="BodyText"/>
        <w:spacing w:before="200"/>
      </w:pPr>
      <w:r w:rsidRPr="00776E25">
        <w:t>In order to manage its impacts on the environment in a systematic and ongoing way, the Commission maintains an Environmental Management System. The Environmental Management System contains the Commission’s environmental policy, an environmental management program to address identified impacts, and</w:t>
      </w:r>
      <w:r w:rsidR="00BA5EFB" w:rsidRPr="00776E25">
        <w:t xml:space="preserve"> </w:t>
      </w:r>
      <w:r w:rsidRPr="00776E25">
        <w:t>provision for monitoring and reporting on performance.</w:t>
      </w:r>
    </w:p>
    <w:p w:rsidR="00E744EA" w:rsidRPr="00E611D5" w:rsidRDefault="00E744EA" w:rsidP="00E744EA">
      <w:pPr>
        <w:pStyle w:val="BodyText"/>
        <w:spacing w:before="200"/>
      </w:pPr>
      <w:r w:rsidRPr="00E611D5">
        <w:t>During 201</w:t>
      </w:r>
      <w:r w:rsidR="008A7A0B" w:rsidRPr="00E611D5">
        <w:t>3</w:t>
      </w:r>
      <w:r w:rsidRPr="00E611D5">
        <w:t>-1</w:t>
      </w:r>
      <w:r w:rsidR="008A7A0B" w:rsidRPr="00E611D5">
        <w:t>4</w:t>
      </w:r>
      <w:r w:rsidRPr="00E611D5">
        <w:t xml:space="preserve">, the Commission recorded energy usage of </w:t>
      </w:r>
      <w:r w:rsidR="008A7A0B" w:rsidRPr="00E611D5">
        <w:t>8</w:t>
      </w:r>
      <w:r w:rsidR="0091509A" w:rsidRPr="00E611D5">
        <w:t> </w:t>
      </w:r>
      <w:r w:rsidR="008A7A0B" w:rsidRPr="00E611D5">
        <w:t>103</w:t>
      </w:r>
      <w:r w:rsidR="0091509A" w:rsidRPr="00E611D5">
        <w:t xml:space="preserve"> MJ/person/annum (201</w:t>
      </w:r>
      <w:r w:rsidR="008A7A0B" w:rsidRPr="00E611D5">
        <w:t>2</w:t>
      </w:r>
      <w:r w:rsidR="0091509A" w:rsidRPr="00E611D5">
        <w:t>-1</w:t>
      </w:r>
      <w:r w:rsidR="008A7A0B" w:rsidRPr="00E611D5">
        <w:t>3</w:t>
      </w:r>
      <w:r w:rsidR="0091509A" w:rsidRPr="00E611D5">
        <w:t>: 7 </w:t>
      </w:r>
      <w:r w:rsidRPr="00E611D5">
        <w:t>2</w:t>
      </w:r>
      <w:r w:rsidR="008A7A0B" w:rsidRPr="00E611D5">
        <w:t>37</w:t>
      </w:r>
      <w:r w:rsidRPr="00E611D5">
        <w:t xml:space="preserve"> MJ/person/annum) against the Gove</w:t>
      </w:r>
      <w:r w:rsidR="0091509A" w:rsidRPr="00E611D5">
        <w:t>rnment’s energy target of 7 </w:t>
      </w:r>
      <w:r w:rsidRPr="00E611D5">
        <w:t xml:space="preserve">500 MJ/person/annum for tenant light and power usage in office buildings.  </w:t>
      </w:r>
    </w:p>
    <w:p w:rsidR="00E744EA" w:rsidRPr="00E611D5" w:rsidRDefault="00E744EA" w:rsidP="00E744EA">
      <w:pPr>
        <w:pStyle w:val="BodyText"/>
        <w:spacing w:before="200"/>
      </w:pPr>
      <w:r w:rsidRPr="00E611D5">
        <w:t>The Commission did not enter into any new lease agreements for office accommodation during 201</w:t>
      </w:r>
      <w:r w:rsidR="0014794A" w:rsidRPr="00E611D5">
        <w:t>3</w:t>
      </w:r>
      <w:r w:rsidRPr="00E611D5">
        <w:t>-1</w:t>
      </w:r>
      <w:r w:rsidR="0014794A" w:rsidRPr="00E611D5">
        <w:t>4</w:t>
      </w:r>
      <w:r w:rsidRPr="00E611D5">
        <w:t xml:space="preserve">. The building in which the Commission has its Melbourne office has </w:t>
      </w:r>
      <w:r w:rsidR="00EA158C" w:rsidRPr="00E611D5">
        <w:t xml:space="preserve">a 5 star NABERS Energy rating. </w:t>
      </w:r>
      <w:r w:rsidRPr="00E611D5">
        <w:t>In Canberra, the Commission’s lease contains a Green Lease Schedule targeting a 4.5 star NABERS Energy tenancy rating.</w:t>
      </w:r>
    </w:p>
    <w:p w:rsidR="00E744EA" w:rsidRDefault="00E744EA" w:rsidP="00E744EA">
      <w:pPr>
        <w:pStyle w:val="BodyText"/>
        <w:spacing w:before="200"/>
      </w:pPr>
      <w:r w:rsidRPr="00E611D5">
        <w:t>The Commission provides a small number of vehicles under the Executive Vehicle Scheme. The average Green Vehicle Guide rating for these vehicles is 12.</w:t>
      </w:r>
      <w:r w:rsidR="008A7A0B" w:rsidRPr="00E611D5">
        <w:t>5</w:t>
      </w:r>
      <w:r w:rsidRPr="00E611D5">
        <w:t>.</w:t>
      </w:r>
    </w:p>
    <w:p w:rsidR="00D33E45" w:rsidRPr="00776E25" w:rsidRDefault="00D33E45" w:rsidP="00D33E45">
      <w:pPr>
        <w:pStyle w:val="Heading3"/>
        <w:spacing w:before="360"/>
      </w:pPr>
      <w:r w:rsidRPr="00776E25">
        <w:t>Publications and submissions</w:t>
      </w:r>
    </w:p>
    <w:p w:rsidR="00D33E45" w:rsidRPr="00776E25" w:rsidRDefault="00D33E45" w:rsidP="00D33E45">
      <w:pPr>
        <w:pStyle w:val="BodyText"/>
      </w:pPr>
      <w:r w:rsidRPr="00776E25">
        <w:t xml:space="preserve">Appendix </w:t>
      </w:r>
      <w:r w:rsidR="005E3D3F">
        <w:t>F</w:t>
      </w:r>
      <w:r w:rsidRPr="00776E25">
        <w:t xml:space="preserve"> lists all the Comm</w:t>
      </w:r>
      <w:r>
        <w:t>ission’s publications in 20</w:t>
      </w:r>
      <w:r w:rsidRPr="00776E25">
        <w:t>1</w:t>
      </w:r>
      <w:r w:rsidR="0014794A">
        <w:t>3</w:t>
      </w:r>
      <w:r w:rsidRPr="00776E25">
        <w:t>-1</w:t>
      </w:r>
      <w:r w:rsidR="0014794A">
        <w:t>4</w:t>
      </w:r>
      <w:r w:rsidRPr="00776E25">
        <w:t>.</w:t>
      </w:r>
    </w:p>
    <w:p w:rsidR="00CE62EE" w:rsidRPr="00776E25" w:rsidRDefault="00EE6E55" w:rsidP="00C56BE9">
      <w:pPr>
        <w:pStyle w:val="Heading3"/>
        <w:spacing w:before="480"/>
      </w:pPr>
      <w:r w:rsidRPr="00776E25">
        <w:t>Freedom of i</w:t>
      </w:r>
      <w:r w:rsidR="00CE62EE" w:rsidRPr="00776E25">
        <w:t>nformation</w:t>
      </w:r>
    </w:p>
    <w:p w:rsidR="00A74D64" w:rsidRPr="00776E25" w:rsidRDefault="00A74D64" w:rsidP="00232CE9">
      <w:pPr>
        <w:pStyle w:val="BodyText"/>
      </w:pPr>
      <w:r w:rsidRPr="001F15F1">
        <w:t xml:space="preserve">Agencies subject to the </w:t>
      </w:r>
      <w:r w:rsidRPr="001F15F1">
        <w:rPr>
          <w:i/>
        </w:rPr>
        <w:t>Freedom of Information Act 1982</w:t>
      </w:r>
      <w:r w:rsidRPr="001F15F1">
        <w:t xml:space="preserve"> (FOI Act) are required to publish information to the public as part of the Information Publication Scheme (IPS).  This requirement is in Part II of the FOI Act and has replaced the former requirement to publish a section 8 statement in an annual report.  Each agency must display on its website a plan showing what information it publishes in accordance with the IPS requirements.</w:t>
      </w:r>
    </w:p>
    <w:p w:rsidR="004F1E85" w:rsidRPr="00776E25" w:rsidRDefault="004F1E85" w:rsidP="004F1E85">
      <w:pPr>
        <w:pStyle w:val="Heading3"/>
        <w:spacing w:before="480"/>
      </w:pPr>
      <w:r w:rsidRPr="00776E25">
        <w:t xml:space="preserve">Advertising and market research </w:t>
      </w:r>
    </w:p>
    <w:p w:rsidR="004F1E85" w:rsidRPr="00776E25" w:rsidRDefault="004F1E85" w:rsidP="004F1E85">
      <w:pPr>
        <w:pStyle w:val="BodyText"/>
        <w:spacing w:before="200"/>
      </w:pPr>
      <w:r w:rsidRPr="00776E25">
        <w:t xml:space="preserve">The Commission does not undertake ‘advertising campaigns’. However, the Commission publicises its government-commissioned inquiries and studies so that any individual, firm or organisation with an interest has an opportunity to present their views. Publicity takes the form of newspaper advertisements, regular distribution of </w:t>
      </w:r>
      <w:r w:rsidR="00C37EB1">
        <w:rPr>
          <w:i/>
          <w:iCs/>
        </w:rPr>
        <w:t>PC U</w:t>
      </w:r>
      <w:r w:rsidRPr="00776E25">
        <w:rPr>
          <w:i/>
          <w:iCs/>
        </w:rPr>
        <w:t>pdate</w:t>
      </w:r>
      <w:r w:rsidRPr="00776E25">
        <w:t>, press releases, a</w:t>
      </w:r>
      <w:r w:rsidR="008D05F0">
        <w:t xml:space="preserve"> </w:t>
      </w:r>
      <w:r w:rsidR="004A5DEE">
        <w:lastRenderedPageBreak/>
        <w:t>T</w:t>
      </w:r>
      <w:r w:rsidR="008D05F0">
        <w:t>witter and</w:t>
      </w:r>
      <w:r w:rsidRPr="00776E25">
        <w:t xml:space="preserve"> email alert service, notification on the Commission’s website and distribution of Commission circulars.</w:t>
      </w:r>
    </w:p>
    <w:p w:rsidR="00673A0E" w:rsidRPr="00776E25" w:rsidRDefault="00673A0E" w:rsidP="00673A0E">
      <w:pPr>
        <w:pStyle w:val="BodyText"/>
      </w:pPr>
      <w:r w:rsidRPr="00944F10">
        <w:t xml:space="preserve">A total of $55 389 was paid for advertising (including recruitment advertising) in 2013-14 to </w:t>
      </w:r>
      <w:proofErr w:type="spellStart"/>
      <w:r w:rsidRPr="00944F10">
        <w:t>Adcorp</w:t>
      </w:r>
      <w:proofErr w:type="spellEnd"/>
      <w:r w:rsidRPr="00944F10">
        <w:t xml:space="preserve"> Australia Ltd.</w:t>
      </w:r>
    </w:p>
    <w:p w:rsidR="00CE62EE" w:rsidRPr="00776E25" w:rsidRDefault="00CE62EE" w:rsidP="00C56BE9">
      <w:pPr>
        <w:pStyle w:val="Heading2"/>
        <w:spacing w:before="360"/>
      </w:pPr>
      <w:r w:rsidRPr="00776E25">
        <w:t>Annual reporting requirements and aids to access</w:t>
      </w:r>
    </w:p>
    <w:p w:rsidR="00CE62EE" w:rsidRPr="00776E25" w:rsidRDefault="00CE62EE" w:rsidP="00C56BE9">
      <w:pPr>
        <w:pStyle w:val="BodyText"/>
        <w:spacing w:before="200"/>
      </w:pPr>
      <w:r w:rsidRPr="00776E25">
        <w:t xml:space="preserve">Information contained in this annual report is provided in accordance with </w:t>
      </w:r>
      <w:r w:rsidR="00167333">
        <w:t>Schedule</w:t>
      </w:r>
      <w:r w:rsidR="00C37EB1">
        <w:t> </w:t>
      </w:r>
      <w:r w:rsidR="00167333">
        <w:t xml:space="preserve">2 Part 4 </w:t>
      </w:r>
      <w:r w:rsidRPr="00776E25">
        <w:t>of the</w:t>
      </w:r>
      <w:r w:rsidRPr="00776E25">
        <w:rPr>
          <w:i/>
        </w:rPr>
        <w:t xml:space="preserve"> </w:t>
      </w:r>
      <w:r w:rsidR="00167333">
        <w:rPr>
          <w:i/>
        </w:rPr>
        <w:t xml:space="preserve">Work Health and Safety </w:t>
      </w:r>
      <w:r w:rsidRPr="00776E25">
        <w:rPr>
          <w:i/>
        </w:rPr>
        <w:t xml:space="preserve">Act </w:t>
      </w:r>
      <w:r w:rsidR="00167333">
        <w:rPr>
          <w:i/>
        </w:rPr>
        <w:t>2001</w:t>
      </w:r>
      <w:r w:rsidRPr="00776E25">
        <w:rPr>
          <w:i/>
        </w:rPr>
        <w:t xml:space="preserve">, </w:t>
      </w:r>
      <w:r w:rsidRPr="00776E25">
        <w:t>section 49 of the</w:t>
      </w:r>
      <w:r w:rsidRPr="00776E25">
        <w:rPr>
          <w:i/>
        </w:rPr>
        <w:t xml:space="preserve"> Financial Management and Accountability Act 1997 </w:t>
      </w:r>
      <w:r w:rsidRPr="00776E25">
        <w:t xml:space="preserve">and </w:t>
      </w:r>
      <w:r w:rsidR="00D6037B">
        <w:t>Part II</w:t>
      </w:r>
      <w:r w:rsidRPr="00776E25">
        <w:t xml:space="preserve"> of the</w:t>
      </w:r>
      <w:r w:rsidRPr="00776E25">
        <w:rPr>
          <w:i/>
        </w:rPr>
        <w:t xml:space="preserve"> Freedom of Information Act 1982</w:t>
      </w:r>
      <w:r w:rsidRPr="00776E25">
        <w:t>.</w:t>
      </w:r>
    </w:p>
    <w:p w:rsidR="00CE62EE" w:rsidRPr="00776E25" w:rsidRDefault="00CE62EE" w:rsidP="00C56BE9">
      <w:pPr>
        <w:pStyle w:val="BodyText"/>
        <w:spacing w:before="200"/>
      </w:pPr>
      <w:r w:rsidRPr="00776E25">
        <w:t xml:space="preserve">The entire report is provided in accordance with section 10 of the </w:t>
      </w:r>
      <w:r w:rsidRPr="00776E25">
        <w:rPr>
          <w:i/>
        </w:rPr>
        <w:t>Productivity Commission Act 1998</w:t>
      </w:r>
      <w:r w:rsidRPr="00776E25">
        <w:t>.</w:t>
      </w:r>
    </w:p>
    <w:p w:rsidR="00CE62EE" w:rsidRPr="00776E25" w:rsidRDefault="00CE62EE" w:rsidP="00C56BE9">
      <w:pPr>
        <w:pStyle w:val="BodyText"/>
        <w:spacing w:before="200"/>
      </w:pPr>
      <w:r w:rsidRPr="00776E25">
        <w:t>The annual report has also been prepared in accordance with parliamentary requirements for departmental annual reports issued by the Department of the Prime Minister and Cabinet. A c</w:t>
      </w:r>
      <w:r w:rsidR="00F451D7">
        <w:t>ompliance index is provided in A</w:t>
      </w:r>
      <w:r w:rsidRPr="00776E25">
        <w:t xml:space="preserve">ttachment </w:t>
      </w:r>
      <w:r w:rsidR="000E1484">
        <w:t>A4</w:t>
      </w:r>
      <w:r w:rsidRPr="00776E25">
        <w:t>.</w:t>
      </w:r>
    </w:p>
    <w:p w:rsidR="00CE62EE" w:rsidRPr="00776E25" w:rsidRDefault="00CE62EE" w:rsidP="00C56BE9">
      <w:pPr>
        <w:pStyle w:val="BodyText"/>
        <w:spacing w:before="200"/>
      </w:pPr>
      <w:r w:rsidRPr="00776E25">
        <w:t>The contact officer for inquiries or comments concerning this report is:</w:t>
      </w:r>
    </w:p>
    <w:p w:rsidR="00CE62EE" w:rsidRPr="00776E25" w:rsidRDefault="00CE62EE" w:rsidP="00C56BE9">
      <w:pPr>
        <w:pStyle w:val="BodyText"/>
        <w:spacing w:before="200"/>
        <w:ind w:left="425"/>
      </w:pPr>
      <w:r w:rsidRPr="00776E25">
        <w:t>Assistant Commissioner</w:t>
      </w:r>
    </w:p>
    <w:p w:rsidR="00CE62EE" w:rsidRPr="00776E25" w:rsidRDefault="00CE62EE" w:rsidP="00232CE9">
      <w:pPr>
        <w:pStyle w:val="BodyText"/>
        <w:spacing w:before="0"/>
        <w:ind w:left="425"/>
      </w:pPr>
      <w:r w:rsidRPr="00776E25">
        <w:t>Corporate Services Branch</w:t>
      </w:r>
    </w:p>
    <w:p w:rsidR="00CE62EE" w:rsidRPr="00776E25" w:rsidRDefault="00CE62EE" w:rsidP="00232CE9">
      <w:pPr>
        <w:pStyle w:val="BodyText"/>
        <w:spacing w:before="0"/>
        <w:ind w:left="425"/>
      </w:pPr>
      <w:r w:rsidRPr="00776E25">
        <w:t>Productivity Commission</w:t>
      </w:r>
    </w:p>
    <w:p w:rsidR="00CE62EE" w:rsidRPr="00776E25" w:rsidRDefault="00CE62EE" w:rsidP="00232CE9">
      <w:pPr>
        <w:pStyle w:val="BodyText"/>
        <w:spacing w:before="0"/>
        <w:ind w:left="425"/>
      </w:pPr>
      <w:r w:rsidRPr="00776E25">
        <w:t xml:space="preserve">Locked Bag 2 </w:t>
      </w:r>
    </w:p>
    <w:p w:rsidR="00CE62EE" w:rsidRPr="00776E25" w:rsidRDefault="00CE62EE" w:rsidP="00232CE9">
      <w:pPr>
        <w:pStyle w:val="BodyText"/>
        <w:spacing w:before="0"/>
        <w:ind w:left="425"/>
      </w:pPr>
      <w:r w:rsidRPr="00776E25">
        <w:t>Collins Street East Post Office</w:t>
      </w:r>
    </w:p>
    <w:p w:rsidR="00CE62EE" w:rsidRPr="00776E25" w:rsidRDefault="00CE62EE" w:rsidP="00232CE9">
      <w:pPr>
        <w:pStyle w:val="BodyText"/>
        <w:spacing w:before="0"/>
        <w:ind w:left="425"/>
      </w:pPr>
      <w:proofErr w:type="gramStart"/>
      <w:r w:rsidRPr="00776E25">
        <w:t>MELBOURNE  VIC</w:t>
      </w:r>
      <w:proofErr w:type="gramEnd"/>
      <w:r w:rsidRPr="00776E25">
        <w:t xml:space="preserve">  8003</w:t>
      </w:r>
    </w:p>
    <w:p w:rsidR="00CE62EE" w:rsidRPr="00776E25" w:rsidRDefault="00CE62EE" w:rsidP="00232CE9">
      <w:pPr>
        <w:pStyle w:val="BodyText"/>
        <w:spacing w:before="0"/>
        <w:ind w:left="425"/>
      </w:pPr>
      <w:r w:rsidRPr="00776E25">
        <w:t>Telephone:</w:t>
      </w:r>
      <w:r w:rsidRPr="00776E25">
        <w:tab/>
        <w:t>(03) 9653 2251</w:t>
      </w:r>
    </w:p>
    <w:p w:rsidR="00CE62EE" w:rsidRPr="00776E25" w:rsidRDefault="00CE62EE" w:rsidP="00232CE9">
      <w:pPr>
        <w:pStyle w:val="BodyText"/>
        <w:spacing w:before="0"/>
        <w:ind w:left="425"/>
      </w:pPr>
      <w:r w:rsidRPr="00776E25">
        <w:t>Facsimile:</w:t>
      </w:r>
      <w:r w:rsidRPr="00776E25">
        <w:tab/>
        <w:t>(03) 9653 2304</w:t>
      </w:r>
    </w:p>
    <w:p w:rsidR="00CE62EE" w:rsidRPr="00776E25" w:rsidRDefault="00CE62EE" w:rsidP="00C56BE9">
      <w:pPr>
        <w:pStyle w:val="BodyText"/>
        <w:spacing w:before="200"/>
      </w:pPr>
      <w:r w:rsidRPr="00776E25">
        <w:t xml:space="preserve">The Commission’s </w:t>
      </w:r>
      <w:proofErr w:type="spellStart"/>
      <w:r w:rsidRPr="00776E25">
        <w:t>internet</w:t>
      </w:r>
      <w:proofErr w:type="spellEnd"/>
      <w:r w:rsidRPr="00776E25">
        <w:t xml:space="preserve"> home page is at http://www.pc.gov.au</w:t>
      </w:r>
    </w:p>
    <w:p w:rsidR="00CE62EE" w:rsidRPr="00776E25" w:rsidRDefault="00CE62EE" w:rsidP="00C56BE9">
      <w:pPr>
        <w:pStyle w:val="BodyText"/>
        <w:spacing w:before="200"/>
      </w:pPr>
      <w:r w:rsidRPr="00776E25">
        <w:t xml:space="preserve">This annual report can be found at the above </w:t>
      </w:r>
      <w:proofErr w:type="spellStart"/>
      <w:r w:rsidRPr="00776E25">
        <w:t>internet</w:t>
      </w:r>
      <w:proofErr w:type="spellEnd"/>
      <w:r w:rsidRPr="00776E25">
        <w:t xml:space="preserve"> address.</w:t>
      </w:r>
      <w:r w:rsidR="00C56BE9" w:rsidRPr="00776E25">
        <w:t xml:space="preserve"> </w:t>
      </w:r>
      <w:r w:rsidRPr="00776E25">
        <w:t>Inquiries about any Commission publication can be made to:</w:t>
      </w:r>
    </w:p>
    <w:p w:rsidR="00CE62EE" w:rsidRPr="00776E25" w:rsidRDefault="00CE62EE" w:rsidP="00C56BE9">
      <w:pPr>
        <w:pStyle w:val="BodyText"/>
        <w:spacing w:before="200"/>
        <w:ind w:left="425"/>
      </w:pPr>
      <w:r w:rsidRPr="00776E25">
        <w:t>Director</w:t>
      </w:r>
    </w:p>
    <w:p w:rsidR="00CE62EE" w:rsidRPr="00776E25" w:rsidRDefault="00CE62EE" w:rsidP="00232CE9">
      <w:pPr>
        <w:pStyle w:val="BodyText"/>
        <w:spacing w:before="0"/>
        <w:ind w:left="425"/>
      </w:pPr>
      <w:r w:rsidRPr="00776E25">
        <w:t>Media and Publications</w:t>
      </w:r>
    </w:p>
    <w:p w:rsidR="00CE62EE" w:rsidRPr="00776E25" w:rsidRDefault="00CE62EE" w:rsidP="00232CE9">
      <w:pPr>
        <w:pStyle w:val="BodyText"/>
        <w:spacing w:before="0"/>
        <w:ind w:left="425"/>
      </w:pPr>
      <w:r w:rsidRPr="00776E25">
        <w:t>Productivity Commission</w:t>
      </w:r>
    </w:p>
    <w:p w:rsidR="00CE62EE" w:rsidRPr="00776E25" w:rsidRDefault="006D4766" w:rsidP="00232CE9">
      <w:pPr>
        <w:pStyle w:val="BodyText"/>
        <w:spacing w:before="0"/>
        <w:ind w:left="425"/>
      </w:pPr>
      <w:r w:rsidRPr="00776E25">
        <w:t>G</w:t>
      </w:r>
      <w:r w:rsidR="00CE62EE" w:rsidRPr="00776E25">
        <w:t xml:space="preserve">PO Box </w:t>
      </w:r>
      <w:r w:rsidR="004D4D45" w:rsidRPr="00776E25">
        <w:t>1428</w:t>
      </w:r>
    </w:p>
    <w:p w:rsidR="00CE62EE" w:rsidRPr="00776E25" w:rsidRDefault="004D4D45" w:rsidP="00232CE9">
      <w:pPr>
        <w:pStyle w:val="BodyText"/>
        <w:spacing w:before="0"/>
        <w:ind w:left="425"/>
      </w:pPr>
      <w:r w:rsidRPr="00776E25">
        <w:t xml:space="preserve">CANBERRA </w:t>
      </w:r>
      <w:proofErr w:type="gramStart"/>
      <w:r w:rsidRPr="00776E25">
        <w:t xml:space="preserve">CITY  </w:t>
      </w:r>
      <w:r w:rsidR="00CE62EE" w:rsidRPr="00776E25">
        <w:t>ACT</w:t>
      </w:r>
      <w:proofErr w:type="gramEnd"/>
      <w:r w:rsidR="00CE62EE" w:rsidRPr="00776E25">
        <w:t xml:space="preserve">  26</w:t>
      </w:r>
      <w:r w:rsidRPr="00776E25">
        <w:t>01</w:t>
      </w:r>
    </w:p>
    <w:p w:rsidR="00CE62EE" w:rsidRPr="00776E25" w:rsidRDefault="00CE62EE" w:rsidP="00232CE9">
      <w:pPr>
        <w:pStyle w:val="BodyText"/>
        <w:spacing w:before="0"/>
        <w:ind w:left="425"/>
      </w:pPr>
      <w:r w:rsidRPr="00776E25">
        <w:t>Telephone:</w:t>
      </w:r>
      <w:r w:rsidRPr="00776E25">
        <w:tab/>
        <w:t>(02) 6240 3239</w:t>
      </w:r>
    </w:p>
    <w:p w:rsidR="00CE62EE" w:rsidRPr="00776E25" w:rsidRDefault="00CE62EE" w:rsidP="00232CE9">
      <w:pPr>
        <w:pStyle w:val="BodyText"/>
        <w:spacing w:before="0"/>
        <w:ind w:left="425"/>
      </w:pPr>
      <w:r w:rsidRPr="00776E25">
        <w:t>Facsimile:</w:t>
      </w:r>
      <w:r w:rsidRPr="00776E25">
        <w:tab/>
        <w:t>(02) 6240 3300</w:t>
      </w:r>
    </w:p>
    <w:p w:rsidR="00CE62EE" w:rsidRPr="00776E25" w:rsidRDefault="00CE62EE" w:rsidP="00CB7A1E">
      <w:pPr>
        <w:pStyle w:val="Heading2"/>
        <w:spacing w:before="240"/>
      </w:pPr>
      <w:r w:rsidRPr="00776E25">
        <w:br w:type="page"/>
      </w:r>
      <w:r w:rsidRPr="00776E25">
        <w:lastRenderedPageBreak/>
        <w:t xml:space="preserve">Attachment </w:t>
      </w:r>
      <w:r w:rsidR="00357BE4">
        <w:t>A</w:t>
      </w:r>
      <w:r w:rsidRPr="00776E25">
        <w:t>1</w:t>
      </w:r>
    </w:p>
    <w:p w:rsidR="00CE62EE" w:rsidRDefault="00CE62EE" w:rsidP="00CD60E8">
      <w:pPr>
        <w:pStyle w:val="Heading3"/>
      </w:pPr>
      <w:r w:rsidRPr="00776E25">
        <w:t>Commissioner and employee statistics</w:t>
      </w:r>
    </w:p>
    <w:p w:rsidR="00120E5B" w:rsidRDefault="00120E5B" w:rsidP="00FB78C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20E5B" w:rsidTr="001B114C">
        <w:tc>
          <w:tcPr>
            <w:tcW w:w="8771" w:type="dxa"/>
            <w:tcBorders>
              <w:top w:val="single" w:sz="6" w:space="0" w:color="78A22F"/>
              <w:left w:val="nil"/>
              <w:bottom w:val="single" w:sz="6" w:space="0" w:color="BFBFBF"/>
              <w:right w:val="nil"/>
            </w:tcBorders>
            <w:shd w:val="clear" w:color="auto" w:fill="auto"/>
          </w:tcPr>
          <w:p w:rsidR="00120E5B" w:rsidRPr="00784A05" w:rsidRDefault="00120E5B" w:rsidP="00120E5B">
            <w:pPr>
              <w:pStyle w:val="TableTitle"/>
            </w:pPr>
            <w:r>
              <w:rPr>
                <w:b w:val="0"/>
              </w:rPr>
              <w:t>Table A1.1</w:t>
            </w:r>
            <w:r>
              <w:tab/>
            </w:r>
            <w:r w:rsidRPr="00E611D5">
              <w:t>Chair and Commissioners, 30 June 2014</w:t>
            </w:r>
          </w:p>
        </w:tc>
      </w:tr>
      <w:tr w:rsidR="00120E5B" w:rsidTr="001B114C">
        <w:trPr>
          <w:cantSplit/>
        </w:trPr>
        <w:tc>
          <w:tcPr>
            <w:tcW w:w="8771" w:type="dxa"/>
            <w:tcBorders>
              <w:top w:val="single" w:sz="6" w:space="0" w:color="BFBFBF"/>
              <w:left w:val="nil"/>
              <w:bottom w:val="nil"/>
              <w:right w:val="nil"/>
            </w:tcBorders>
            <w:shd w:val="clear" w:color="auto" w:fill="auto"/>
          </w:tcPr>
          <w:tbl>
            <w:tblPr>
              <w:tblW w:w="0" w:type="auto"/>
              <w:tblLayout w:type="fixed"/>
              <w:tblCellMar>
                <w:top w:w="28" w:type="dxa"/>
                <w:left w:w="0" w:type="dxa"/>
                <w:right w:w="0" w:type="dxa"/>
              </w:tblCellMar>
              <w:tblLook w:val="0000" w:firstRow="0" w:lastRow="0" w:firstColumn="0" w:lastColumn="0" w:noHBand="0" w:noVBand="0"/>
            </w:tblPr>
            <w:tblGrid>
              <w:gridCol w:w="4939"/>
              <w:gridCol w:w="1985"/>
              <w:gridCol w:w="1563"/>
            </w:tblGrid>
            <w:tr w:rsidR="001B114C" w:rsidTr="001B114C">
              <w:tc>
                <w:tcPr>
                  <w:tcW w:w="4939" w:type="dxa"/>
                  <w:tcBorders>
                    <w:top w:val="single" w:sz="6" w:space="0" w:color="EEECE1" w:themeColor="background2"/>
                  </w:tcBorders>
                  <w:shd w:val="clear" w:color="auto" w:fill="auto"/>
                  <w:tcMar>
                    <w:top w:w="28" w:type="dxa"/>
                  </w:tcMar>
                </w:tcPr>
                <w:p w:rsidR="001B114C" w:rsidRDefault="001B114C" w:rsidP="00FB78C9">
                  <w:pPr>
                    <w:pStyle w:val="TableColumnHeading"/>
                    <w:jc w:val="left"/>
                  </w:pPr>
                </w:p>
              </w:tc>
              <w:tc>
                <w:tcPr>
                  <w:tcW w:w="3548" w:type="dxa"/>
                  <w:gridSpan w:val="2"/>
                  <w:tcBorders>
                    <w:top w:val="single" w:sz="6" w:space="0" w:color="EEECE1" w:themeColor="background2"/>
                    <w:bottom w:val="single" w:sz="6" w:space="0" w:color="BFBFBF"/>
                  </w:tcBorders>
                  <w:shd w:val="clear" w:color="auto" w:fill="auto"/>
                  <w:tcMar>
                    <w:top w:w="28" w:type="dxa"/>
                  </w:tcMar>
                </w:tcPr>
                <w:p w:rsidR="001B114C" w:rsidRDefault="001B114C" w:rsidP="001B114C">
                  <w:pPr>
                    <w:pStyle w:val="TableColumnHeading"/>
                    <w:ind w:right="28"/>
                    <w:jc w:val="center"/>
                  </w:pPr>
                  <w:r w:rsidRPr="00E611D5">
                    <w:t>Current period of appointment</w:t>
                  </w:r>
                </w:p>
              </w:tc>
            </w:tr>
            <w:tr w:rsidR="00120E5B" w:rsidTr="001B114C">
              <w:tc>
                <w:tcPr>
                  <w:tcW w:w="4939" w:type="dxa"/>
                  <w:tcBorders>
                    <w:bottom w:val="single" w:sz="6" w:space="0" w:color="BFBFBF"/>
                  </w:tcBorders>
                  <w:shd w:val="clear" w:color="auto" w:fill="auto"/>
                  <w:tcMar>
                    <w:top w:w="28" w:type="dxa"/>
                  </w:tcMar>
                </w:tcPr>
                <w:p w:rsidR="00120E5B" w:rsidRDefault="00120E5B" w:rsidP="00FB78C9">
                  <w:pPr>
                    <w:pStyle w:val="TableColumnHeading"/>
                    <w:jc w:val="left"/>
                  </w:pPr>
                </w:p>
              </w:tc>
              <w:tc>
                <w:tcPr>
                  <w:tcW w:w="1985" w:type="dxa"/>
                  <w:tcBorders>
                    <w:top w:val="single" w:sz="6" w:space="0" w:color="BFBFBF"/>
                    <w:bottom w:val="single" w:sz="6" w:space="0" w:color="BFBFBF"/>
                  </w:tcBorders>
                  <w:shd w:val="clear" w:color="auto" w:fill="auto"/>
                  <w:tcMar>
                    <w:top w:w="28" w:type="dxa"/>
                  </w:tcMar>
                </w:tcPr>
                <w:p w:rsidR="00120E5B" w:rsidRPr="00E611D5" w:rsidRDefault="00120E5B" w:rsidP="00FB78C9">
                  <w:pPr>
                    <w:pStyle w:val="TableColumnHeading"/>
                    <w:tabs>
                      <w:tab w:val="right" w:pos="8789"/>
                    </w:tabs>
                    <w:ind w:hanging="737"/>
                  </w:pPr>
                  <w:r w:rsidRPr="00E611D5">
                    <w:t>From</w:t>
                  </w:r>
                </w:p>
              </w:tc>
              <w:tc>
                <w:tcPr>
                  <w:tcW w:w="1563" w:type="dxa"/>
                  <w:tcBorders>
                    <w:top w:val="single" w:sz="6" w:space="0" w:color="BFBFBF"/>
                    <w:bottom w:val="single" w:sz="6" w:space="0" w:color="BFBFBF"/>
                  </w:tcBorders>
                  <w:shd w:val="clear" w:color="auto" w:fill="auto"/>
                  <w:tcMar>
                    <w:top w:w="28" w:type="dxa"/>
                  </w:tcMar>
                </w:tcPr>
                <w:p w:rsidR="00120E5B" w:rsidRPr="00E611D5" w:rsidRDefault="00120E5B" w:rsidP="00FB78C9">
                  <w:pPr>
                    <w:pStyle w:val="TableColumnHeading"/>
                    <w:tabs>
                      <w:tab w:val="right" w:pos="8789"/>
                    </w:tabs>
                    <w:ind w:hanging="737"/>
                  </w:pPr>
                  <w:r w:rsidRPr="00E611D5">
                    <w:t>To</w:t>
                  </w:r>
                </w:p>
              </w:tc>
            </w:tr>
            <w:tr w:rsidR="001B114C" w:rsidTr="001B114C">
              <w:tc>
                <w:tcPr>
                  <w:tcW w:w="4939" w:type="dxa"/>
                  <w:tcBorders>
                    <w:top w:val="single" w:sz="6" w:space="0" w:color="BFBFBF"/>
                  </w:tcBorders>
                </w:tcPr>
                <w:p w:rsidR="001B114C" w:rsidRPr="00E611D5" w:rsidRDefault="001B114C" w:rsidP="00FB78C9">
                  <w:pPr>
                    <w:pStyle w:val="TableBodyText"/>
                    <w:spacing w:before="120"/>
                    <w:ind w:left="908" w:hanging="851"/>
                    <w:jc w:val="left"/>
                  </w:pPr>
                  <w:r w:rsidRPr="00E611D5">
                    <w:t>Mr P Harris AO (Chairman) (M)</w:t>
                  </w:r>
                </w:p>
              </w:tc>
              <w:tc>
                <w:tcPr>
                  <w:tcW w:w="1985" w:type="dxa"/>
                  <w:tcBorders>
                    <w:top w:val="single" w:sz="6" w:space="0" w:color="BFBFBF"/>
                  </w:tcBorders>
                </w:tcPr>
                <w:p w:rsidR="001B114C" w:rsidRPr="00E611D5" w:rsidRDefault="001B114C" w:rsidP="00FB78C9">
                  <w:pPr>
                    <w:pStyle w:val="TableBodyText"/>
                    <w:tabs>
                      <w:tab w:val="right" w:pos="8789"/>
                    </w:tabs>
                    <w:spacing w:before="120"/>
                    <w:ind w:hanging="737"/>
                  </w:pPr>
                  <w:r w:rsidRPr="00E611D5">
                    <w:t>11 Mar 2013</w:t>
                  </w:r>
                </w:p>
              </w:tc>
              <w:tc>
                <w:tcPr>
                  <w:tcW w:w="1563" w:type="dxa"/>
                  <w:tcBorders>
                    <w:top w:val="single" w:sz="6" w:space="0" w:color="BFBFBF"/>
                  </w:tcBorders>
                </w:tcPr>
                <w:p w:rsidR="001B114C" w:rsidRPr="00E611D5" w:rsidRDefault="001B114C" w:rsidP="00FB78C9">
                  <w:pPr>
                    <w:pStyle w:val="TableBodyText"/>
                    <w:tabs>
                      <w:tab w:val="right" w:pos="8789"/>
                    </w:tabs>
                    <w:spacing w:before="120"/>
                    <w:ind w:hanging="737"/>
                  </w:pPr>
                  <w:r w:rsidRPr="00E611D5">
                    <w:t>10 Mar 2018</w:t>
                  </w:r>
                </w:p>
              </w:tc>
            </w:tr>
            <w:tr w:rsidR="001B114C" w:rsidTr="001B114C">
              <w:tc>
                <w:tcPr>
                  <w:tcW w:w="4939" w:type="dxa"/>
                </w:tcPr>
                <w:p w:rsidR="001B114C" w:rsidRPr="00E611D5" w:rsidRDefault="001B114C" w:rsidP="00FB78C9">
                  <w:pPr>
                    <w:pStyle w:val="TableBodyText"/>
                    <w:tabs>
                      <w:tab w:val="right" w:pos="8789"/>
                    </w:tabs>
                    <w:spacing w:before="40"/>
                    <w:ind w:left="908" w:hanging="851"/>
                    <w:jc w:val="left"/>
                  </w:pPr>
                  <w:r w:rsidRPr="00E611D5">
                    <w:t>Mr M C Woods (Deputy Chairman) (C)</w:t>
                  </w:r>
                </w:p>
              </w:tc>
              <w:tc>
                <w:tcPr>
                  <w:tcW w:w="1985" w:type="dxa"/>
                </w:tcPr>
                <w:p w:rsidR="001B114C" w:rsidRPr="00E611D5" w:rsidRDefault="001B114C" w:rsidP="00FB78C9">
                  <w:pPr>
                    <w:pStyle w:val="TableBodyText"/>
                    <w:tabs>
                      <w:tab w:val="right" w:pos="8789"/>
                    </w:tabs>
                    <w:spacing w:before="40"/>
                    <w:ind w:hanging="737"/>
                  </w:pPr>
                  <w:r w:rsidRPr="00E611D5">
                    <w:t>17 Apr 2011</w:t>
                  </w:r>
                </w:p>
              </w:tc>
              <w:tc>
                <w:tcPr>
                  <w:tcW w:w="1563" w:type="dxa"/>
                </w:tcPr>
                <w:p w:rsidR="001B114C" w:rsidRPr="00E611D5" w:rsidRDefault="001B114C" w:rsidP="00FB78C9">
                  <w:pPr>
                    <w:pStyle w:val="TableBodyText"/>
                    <w:tabs>
                      <w:tab w:val="right" w:pos="8789"/>
                    </w:tabs>
                    <w:spacing w:before="40"/>
                    <w:ind w:hanging="737"/>
                  </w:pPr>
                  <w:r w:rsidRPr="00E611D5">
                    <w:t>16 Apr 2016</w:t>
                  </w:r>
                </w:p>
              </w:tc>
            </w:tr>
            <w:tr w:rsidR="001B114C" w:rsidTr="001B114C">
              <w:tc>
                <w:tcPr>
                  <w:tcW w:w="4939" w:type="dxa"/>
                  <w:shd w:val="clear" w:color="auto" w:fill="auto"/>
                </w:tcPr>
                <w:p w:rsidR="001B114C" w:rsidRPr="00E611D5" w:rsidRDefault="001B114C" w:rsidP="00A209F0">
                  <w:pPr>
                    <w:pStyle w:val="TableBodyText"/>
                    <w:tabs>
                      <w:tab w:val="right" w:pos="8789"/>
                    </w:tabs>
                    <w:spacing w:before="40"/>
                    <w:ind w:left="908" w:hanging="851"/>
                    <w:jc w:val="left"/>
                    <w:rPr>
                      <w:lang w:val="de-DE"/>
                    </w:rPr>
                  </w:pPr>
                  <w:r w:rsidRPr="00E611D5">
                    <w:rPr>
                      <w:lang w:val="de-DE"/>
                    </w:rPr>
                    <w:t>Ms K Chester (S)</w:t>
                  </w:r>
                </w:p>
              </w:tc>
              <w:tc>
                <w:tcPr>
                  <w:tcW w:w="1985" w:type="dxa"/>
                  <w:shd w:val="clear" w:color="auto" w:fill="auto"/>
                </w:tcPr>
                <w:p w:rsidR="001B114C" w:rsidRPr="00E611D5" w:rsidRDefault="001B114C" w:rsidP="00FB78C9">
                  <w:pPr>
                    <w:pStyle w:val="TableBodyText"/>
                    <w:tabs>
                      <w:tab w:val="right" w:pos="8789"/>
                    </w:tabs>
                    <w:spacing w:before="40"/>
                    <w:ind w:hanging="737"/>
                  </w:pPr>
                  <w:r w:rsidRPr="00E611D5">
                    <w:t>12 Dec 2013</w:t>
                  </w:r>
                </w:p>
              </w:tc>
              <w:tc>
                <w:tcPr>
                  <w:tcW w:w="1563" w:type="dxa"/>
                  <w:shd w:val="clear" w:color="auto" w:fill="auto"/>
                </w:tcPr>
                <w:p w:rsidR="001B114C" w:rsidRPr="00E611D5" w:rsidRDefault="001B114C" w:rsidP="00FB78C9">
                  <w:pPr>
                    <w:pStyle w:val="TableBodyText"/>
                    <w:tabs>
                      <w:tab w:val="right" w:pos="8789"/>
                    </w:tabs>
                    <w:spacing w:before="40"/>
                    <w:ind w:hanging="737"/>
                  </w:pPr>
                  <w:r w:rsidRPr="00E611D5">
                    <w:t>11 Dec 2018</w:t>
                  </w:r>
                </w:p>
              </w:tc>
            </w:tr>
            <w:tr w:rsidR="001B114C" w:rsidTr="001B114C">
              <w:tc>
                <w:tcPr>
                  <w:tcW w:w="4939" w:type="dxa"/>
                  <w:shd w:val="clear" w:color="auto" w:fill="auto"/>
                </w:tcPr>
                <w:p w:rsidR="001B114C" w:rsidRPr="00E611D5" w:rsidRDefault="001B114C" w:rsidP="00FB78C9">
                  <w:pPr>
                    <w:pStyle w:val="TableBodyText"/>
                    <w:tabs>
                      <w:tab w:val="right" w:pos="8789"/>
                    </w:tabs>
                    <w:spacing w:before="40"/>
                    <w:ind w:left="908" w:hanging="851"/>
                    <w:jc w:val="left"/>
                    <w:rPr>
                      <w:lang w:val="de-DE"/>
                    </w:rPr>
                  </w:pPr>
                  <w:r w:rsidRPr="00E611D5">
                    <w:rPr>
                      <w:lang w:val="de-DE"/>
                    </w:rPr>
                    <w:t>Mr J Coppel (M)</w:t>
                  </w:r>
                </w:p>
              </w:tc>
              <w:tc>
                <w:tcPr>
                  <w:tcW w:w="1985" w:type="dxa"/>
                  <w:shd w:val="clear" w:color="auto" w:fill="auto"/>
                </w:tcPr>
                <w:p w:rsidR="001B114C" w:rsidRPr="00E611D5" w:rsidRDefault="001B114C" w:rsidP="00FB78C9">
                  <w:pPr>
                    <w:pStyle w:val="TableBodyText"/>
                    <w:tabs>
                      <w:tab w:val="right" w:pos="8789"/>
                    </w:tabs>
                    <w:spacing w:before="40"/>
                    <w:ind w:hanging="737"/>
                  </w:pPr>
                  <w:r w:rsidRPr="00E611D5">
                    <w:t>28 Jul 2011</w:t>
                  </w:r>
                </w:p>
              </w:tc>
              <w:tc>
                <w:tcPr>
                  <w:tcW w:w="1563" w:type="dxa"/>
                  <w:shd w:val="clear" w:color="auto" w:fill="auto"/>
                </w:tcPr>
                <w:p w:rsidR="001B114C" w:rsidRPr="00E611D5" w:rsidRDefault="001B114C" w:rsidP="00FB78C9">
                  <w:pPr>
                    <w:pStyle w:val="TableBodyText"/>
                    <w:tabs>
                      <w:tab w:val="right" w:pos="8789"/>
                    </w:tabs>
                    <w:spacing w:before="40"/>
                    <w:ind w:hanging="737"/>
                  </w:pPr>
                  <w:r w:rsidRPr="00E611D5">
                    <w:t>27 Jul 2016</w:t>
                  </w:r>
                </w:p>
              </w:tc>
            </w:tr>
            <w:tr w:rsidR="001B114C" w:rsidTr="001B114C">
              <w:tc>
                <w:tcPr>
                  <w:tcW w:w="4939" w:type="dxa"/>
                  <w:shd w:val="clear" w:color="auto" w:fill="auto"/>
                </w:tcPr>
                <w:p w:rsidR="001B114C" w:rsidRPr="00E611D5" w:rsidRDefault="001B114C" w:rsidP="00FB78C9">
                  <w:pPr>
                    <w:pStyle w:val="TableBodyText"/>
                    <w:tabs>
                      <w:tab w:val="right" w:pos="8789"/>
                    </w:tabs>
                    <w:spacing w:before="40"/>
                    <w:ind w:left="908" w:hanging="851"/>
                    <w:jc w:val="left"/>
                    <w:rPr>
                      <w:lang w:val="de-DE"/>
                    </w:rPr>
                  </w:pPr>
                  <w:r w:rsidRPr="00E611D5">
                    <w:rPr>
                      <w:lang w:val="de-DE"/>
                    </w:rPr>
                    <w:t>Dr W Craik AM (C)</w:t>
                  </w:r>
                  <w:r w:rsidRPr="00E611D5">
                    <w:t xml:space="preserve"> </w:t>
                  </w:r>
                  <w:r w:rsidRPr="00E611D5">
                    <w:rPr>
                      <w:lang w:val="de-DE"/>
                    </w:rPr>
                    <w:t xml:space="preserve">(p/t) </w:t>
                  </w:r>
                </w:p>
              </w:tc>
              <w:tc>
                <w:tcPr>
                  <w:tcW w:w="1985" w:type="dxa"/>
                  <w:shd w:val="clear" w:color="auto" w:fill="auto"/>
                </w:tcPr>
                <w:p w:rsidR="001B114C" w:rsidRPr="00E611D5" w:rsidRDefault="001B114C" w:rsidP="00FB78C9">
                  <w:pPr>
                    <w:pStyle w:val="TableBodyText"/>
                    <w:tabs>
                      <w:tab w:val="right" w:pos="8789"/>
                    </w:tabs>
                    <w:spacing w:before="40"/>
                    <w:ind w:hanging="737"/>
                  </w:pPr>
                  <w:r w:rsidRPr="00E611D5">
                    <w:t>4 Jun 2014</w:t>
                  </w:r>
                </w:p>
              </w:tc>
              <w:tc>
                <w:tcPr>
                  <w:tcW w:w="1563" w:type="dxa"/>
                  <w:shd w:val="clear" w:color="auto" w:fill="auto"/>
                </w:tcPr>
                <w:p w:rsidR="001B114C" w:rsidRPr="00E611D5" w:rsidRDefault="001B114C" w:rsidP="00FB78C9">
                  <w:pPr>
                    <w:pStyle w:val="TableBodyText"/>
                    <w:tabs>
                      <w:tab w:val="right" w:pos="8789"/>
                    </w:tabs>
                    <w:spacing w:before="40"/>
                    <w:ind w:hanging="737"/>
                  </w:pPr>
                  <w:r w:rsidRPr="00E611D5">
                    <w:t>31 Dec 2014</w:t>
                  </w:r>
                </w:p>
              </w:tc>
            </w:tr>
            <w:tr w:rsidR="001B114C" w:rsidTr="001B114C">
              <w:tc>
                <w:tcPr>
                  <w:tcW w:w="4939" w:type="dxa"/>
                  <w:shd w:val="clear" w:color="auto" w:fill="auto"/>
                </w:tcPr>
                <w:p w:rsidR="001B114C" w:rsidRPr="00E611D5" w:rsidRDefault="001B114C" w:rsidP="00FB78C9">
                  <w:pPr>
                    <w:pStyle w:val="TableBodyText"/>
                    <w:tabs>
                      <w:tab w:val="right" w:pos="8789"/>
                    </w:tabs>
                    <w:spacing w:before="40"/>
                    <w:ind w:left="908" w:hanging="851"/>
                    <w:jc w:val="left"/>
                  </w:pPr>
                  <w:r w:rsidRPr="00E611D5">
                    <w:t xml:space="preserve">Mr R Fitzgerald AM (C) </w:t>
                  </w:r>
                </w:p>
              </w:tc>
              <w:tc>
                <w:tcPr>
                  <w:tcW w:w="1985" w:type="dxa"/>
                  <w:shd w:val="clear" w:color="auto" w:fill="auto"/>
                </w:tcPr>
                <w:p w:rsidR="001B114C" w:rsidRPr="00E611D5" w:rsidRDefault="001B114C" w:rsidP="00FB78C9">
                  <w:pPr>
                    <w:pStyle w:val="TableBodyText"/>
                    <w:tabs>
                      <w:tab w:val="right" w:pos="8789"/>
                    </w:tabs>
                    <w:spacing w:before="40"/>
                    <w:ind w:hanging="737"/>
                  </w:pPr>
                  <w:r w:rsidRPr="00E611D5">
                    <w:t>27 Jan 2014</w:t>
                  </w:r>
                </w:p>
              </w:tc>
              <w:tc>
                <w:tcPr>
                  <w:tcW w:w="1563" w:type="dxa"/>
                  <w:shd w:val="clear" w:color="auto" w:fill="auto"/>
                </w:tcPr>
                <w:p w:rsidR="001B114C" w:rsidRPr="00E611D5" w:rsidRDefault="001B114C" w:rsidP="00FB78C9">
                  <w:pPr>
                    <w:pStyle w:val="TableBodyText"/>
                    <w:tabs>
                      <w:tab w:val="right" w:pos="8789"/>
                    </w:tabs>
                    <w:spacing w:before="40"/>
                    <w:ind w:hanging="737"/>
                  </w:pPr>
                  <w:r w:rsidRPr="00E611D5">
                    <w:t>26 Jan 2019</w:t>
                  </w:r>
                </w:p>
              </w:tc>
            </w:tr>
            <w:tr w:rsidR="001B114C" w:rsidTr="001B114C">
              <w:tc>
                <w:tcPr>
                  <w:tcW w:w="4939" w:type="dxa"/>
                  <w:shd w:val="clear" w:color="auto" w:fill="auto"/>
                </w:tcPr>
                <w:p w:rsidR="001B114C" w:rsidRPr="00E611D5" w:rsidRDefault="001B114C" w:rsidP="00FB78C9">
                  <w:pPr>
                    <w:pStyle w:val="TableBodyText"/>
                    <w:tabs>
                      <w:tab w:val="right" w:pos="8789"/>
                    </w:tabs>
                    <w:spacing w:before="40"/>
                    <w:ind w:left="908" w:hanging="851"/>
                    <w:jc w:val="left"/>
                    <w:rPr>
                      <w:lang w:val="fr-FR"/>
                    </w:rPr>
                  </w:pPr>
                  <w:r w:rsidRPr="00E611D5">
                    <w:rPr>
                      <w:lang w:val="fr-FR"/>
                    </w:rPr>
                    <w:t xml:space="preserve">Ms A </w:t>
                  </w:r>
                  <w:proofErr w:type="spellStart"/>
                  <w:r w:rsidRPr="00E611D5">
                    <w:rPr>
                      <w:lang w:val="fr-FR"/>
                    </w:rPr>
                    <w:t>McClelland</w:t>
                  </w:r>
                  <w:proofErr w:type="spellEnd"/>
                  <w:r w:rsidRPr="00E611D5">
                    <w:rPr>
                      <w:lang w:val="fr-FR"/>
                    </w:rPr>
                    <w:t xml:space="preserve"> (M) (p/t)</w:t>
                  </w:r>
                </w:p>
              </w:tc>
              <w:tc>
                <w:tcPr>
                  <w:tcW w:w="1985" w:type="dxa"/>
                  <w:shd w:val="clear" w:color="auto" w:fill="auto"/>
                </w:tcPr>
                <w:p w:rsidR="001B114C" w:rsidRPr="00E611D5" w:rsidRDefault="001B114C" w:rsidP="00FB78C9">
                  <w:pPr>
                    <w:pStyle w:val="TableBodyText"/>
                    <w:tabs>
                      <w:tab w:val="right" w:pos="8789"/>
                    </w:tabs>
                    <w:spacing w:before="40"/>
                    <w:ind w:hanging="737"/>
                  </w:pPr>
                  <w:r w:rsidRPr="00E611D5">
                    <w:t>8 Dec 2010</w:t>
                  </w:r>
                </w:p>
              </w:tc>
              <w:tc>
                <w:tcPr>
                  <w:tcW w:w="1563" w:type="dxa"/>
                  <w:shd w:val="clear" w:color="auto" w:fill="auto"/>
                </w:tcPr>
                <w:p w:rsidR="001B114C" w:rsidRPr="00E611D5" w:rsidRDefault="001B114C" w:rsidP="00FB78C9">
                  <w:pPr>
                    <w:pStyle w:val="TableBodyText"/>
                    <w:tabs>
                      <w:tab w:val="right" w:pos="8789"/>
                    </w:tabs>
                    <w:spacing w:before="40"/>
                    <w:ind w:hanging="737"/>
                  </w:pPr>
                  <w:r w:rsidRPr="00E611D5">
                    <w:t>7 Dec 2015</w:t>
                  </w:r>
                </w:p>
              </w:tc>
            </w:tr>
            <w:tr w:rsidR="001B114C" w:rsidTr="001B114C">
              <w:tc>
                <w:tcPr>
                  <w:tcW w:w="4939" w:type="dxa"/>
                  <w:shd w:val="clear" w:color="auto" w:fill="auto"/>
                </w:tcPr>
                <w:p w:rsidR="001B114C" w:rsidRPr="00E611D5" w:rsidRDefault="001B114C" w:rsidP="00FB78C9">
                  <w:pPr>
                    <w:pStyle w:val="TableBodyText"/>
                    <w:tabs>
                      <w:tab w:val="right" w:pos="8789"/>
                    </w:tabs>
                    <w:spacing w:before="40"/>
                    <w:ind w:left="908" w:hanging="851"/>
                    <w:jc w:val="left"/>
                  </w:pPr>
                  <w:r w:rsidRPr="00E611D5">
                    <w:t>Ms A MacRae (M) (p/t)</w:t>
                  </w:r>
                </w:p>
              </w:tc>
              <w:tc>
                <w:tcPr>
                  <w:tcW w:w="1985" w:type="dxa"/>
                  <w:shd w:val="clear" w:color="auto" w:fill="auto"/>
                </w:tcPr>
                <w:p w:rsidR="001B114C" w:rsidRPr="00E611D5" w:rsidRDefault="001B114C" w:rsidP="00FB78C9">
                  <w:pPr>
                    <w:pStyle w:val="TableBodyText"/>
                    <w:tabs>
                      <w:tab w:val="right" w:pos="8789"/>
                    </w:tabs>
                    <w:spacing w:before="40"/>
                    <w:ind w:hanging="737"/>
                  </w:pPr>
                  <w:r w:rsidRPr="00E611D5">
                    <w:t>8 Dec 2010</w:t>
                  </w:r>
                </w:p>
              </w:tc>
              <w:tc>
                <w:tcPr>
                  <w:tcW w:w="1563" w:type="dxa"/>
                  <w:shd w:val="clear" w:color="auto" w:fill="auto"/>
                </w:tcPr>
                <w:p w:rsidR="001B114C" w:rsidRPr="00E611D5" w:rsidRDefault="001B114C" w:rsidP="00FB78C9">
                  <w:pPr>
                    <w:pStyle w:val="TableBodyText"/>
                    <w:tabs>
                      <w:tab w:val="right" w:pos="8789"/>
                    </w:tabs>
                    <w:spacing w:before="40"/>
                    <w:ind w:hanging="737"/>
                  </w:pPr>
                  <w:r w:rsidRPr="00E611D5">
                    <w:t>7 Dec 2015</w:t>
                  </w:r>
                </w:p>
              </w:tc>
            </w:tr>
            <w:tr w:rsidR="001B114C" w:rsidTr="001B114C">
              <w:tc>
                <w:tcPr>
                  <w:tcW w:w="4939" w:type="dxa"/>
                  <w:shd w:val="clear" w:color="auto" w:fill="auto"/>
                </w:tcPr>
                <w:p w:rsidR="001B114C" w:rsidRPr="00E611D5" w:rsidRDefault="001B114C" w:rsidP="00FB78C9">
                  <w:pPr>
                    <w:pStyle w:val="TableBodyText"/>
                    <w:tabs>
                      <w:tab w:val="right" w:pos="8789"/>
                    </w:tabs>
                    <w:spacing w:before="40"/>
                    <w:ind w:left="908" w:hanging="851"/>
                    <w:jc w:val="left"/>
                  </w:pPr>
                  <w:r w:rsidRPr="00E611D5">
                    <w:t>Dr W Mundy (C) (p/t)</w:t>
                  </w:r>
                </w:p>
              </w:tc>
              <w:tc>
                <w:tcPr>
                  <w:tcW w:w="1985" w:type="dxa"/>
                  <w:shd w:val="clear" w:color="auto" w:fill="auto"/>
                </w:tcPr>
                <w:p w:rsidR="001B114C" w:rsidRPr="00E611D5" w:rsidRDefault="001B114C" w:rsidP="00FB78C9">
                  <w:pPr>
                    <w:pStyle w:val="TableBodyText"/>
                    <w:tabs>
                      <w:tab w:val="right" w:pos="8789"/>
                    </w:tabs>
                    <w:spacing w:before="40"/>
                    <w:ind w:hanging="737"/>
                  </w:pPr>
                  <w:r w:rsidRPr="00E611D5">
                    <w:t>8 Dec 2010</w:t>
                  </w:r>
                </w:p>
              </w:tc>
              <w:tc>
                <w:tcPr>
                  <w:tcW w:w="1563" w:type="dxa"/>
                  <w:shd w:val="clear" w:color="auto" w:fill="auto"/>
                </w:tcPr>
                <w:p w:rsidR="001B114C" w:rsidRPr="00E611D5" w:rsidRDefault="001B114C" w:rsidP="00FB78C9">
                  <w:pPr>
                    <w:pStyle w:val="TableBodyText"/>
                    <w:tabs>
                      <w:tab w:val="right" w:pos="8789"/>
                    </w:tabs>
                    <w:spacing w:before="40"/>
                    <w:ind w:hanging="737"/>
                  </w:pPr>
                  <w:r w:rsidRPr="00E611D5">
                    <w:t>7 Dec 2015</w:t>
                  </w:r>
                </w:p>
              </w:tc>
            </w:tr>
            <w:tr w:rsidR="001B114C" w:rsidTr="001B114C">
              <w:tc>
                <w:tcPr>
                  <w:tcW w:w="4939" w:type="dxa"/>
                  <w:shd w:val="clear" w:color="auto" w:fill="auto"/>
                </w:tcPr>
                <w:p w:rsidR="001B114C" w:rsidRPr="00E611D5" w:rsidRDefault="001B114C" w:rsidP="00FB78C9">
                  <w:pPr>
                    <w:pStyle w:val="TableBodyText"/>
                    <w:tabs>
                      <w:tab w:val="right" w:pos="8789"/>
                    </w:tabs>
                    <w:spacing w:before="40"/>
                    <w:ind w:left="908" w:hanging="851"/>
                    <w:jc w:val="left"/>
                  </w:pPr>
                  <w:r w:rsidRPr="00E611D5">
                    <w:t xml:space="preserve">Ms P Scott </w:t>
                  </w:r>
                  <w:r w:rsidRPr="00E611D5">
                    <w:rPr>
                      <w:lang w:val="pt-BR"/>
                    </w:rPr>
                    <w:t>(C)</w:t>
                  </w:r>
                </w:p>
              </w:tc>
              <w:tc>
                <w:tcPr>
                  <w:tcW w:w="1985" w:type="dxa"/>
                  <w:shd w:val="clear" w:color="auto" w:fill="auto"/>
                </w:tcPr>
                <w:p w:rsidR="001B114C" w:rsidRPr="00E611D5" w:rsidRDefault="001B114C" w:rsidP="00FB78C9">
                  <w:pPr>
                    <w:pStyle w:val="TableBodyText"/>
                    <w:tabs>
                      <w:tab w:val="right" w:pos="8789"/>
                    </w:tabs>
                    <w:spacing w:before="40"/>
                    <w:ind w:hanging="737"/>
                  </w:pPr>
                  <w:r w:rsidRPr="00E611D5">
                    <w:t>7 Sep 2009</w:t>
                  </w:r>
                </w:p>
              </w:tc>
              <w:tc>
                <w:tcPr>
                  <w:tcW w:w="1563" w:type="dxa"/>
                  <w:shd w:val="clear" w:color="auto" w:fill="auto"/>
                </w:tcPr>
                <w:p w:rsidR="001B114C" w:rsidRPr="00E611D5" w:rsidRDefault="001B114C" w:rsidP="00FB78C9">
                  <w:pPr>
                    <w:pStyle w:val="TableBodyText"/>
                    <w:tabs>
                      <w:tab w:val="right" w:pos="8789"/>
                    </w:tabs>
                    <w:spacing w:before="40"/>
                    <w:ind w:hanging="737"/>
                  </w:pPr>
                  <w:r w:rsidRPr="00E611D5">
                    <w:t>6 Sep 2014</w:t>
                  </w:r>
                </w:p>
              </w:tc>
            </w:tr>
            <w:tr w:rsidR="001B114C" w:rsidTr="001B114C">
              <w:tc>
                <w:tcPr>
                  <w:tcW w:w="4939" w:type="dxa"/>
                  <w:tcBorders>
                    <w:bottom w:val="single" w:sz="6" w:space="0" w:color="C8C8C8"/>
                  </w:tcBorders>
                  <w:shd w:val="clear" w:color="auto" w:fill="auto"/>
                </w:tcPr>
                <w:p w:rsidR="001B114C" w:rsidRPr="00E611D5" w:rsidRDefault="001B114C" w:rsidP="00FB78C9">
                  <w:pPr>
                    <w:pStyle w:val="TableBodyText"/>
                    <w:tabs>
                      <w:tab w:val="right" w:pos="8789"/>
                    </w:tabs>
                    <w:spacing w:before="40"/>
                    <w:ind w:left="908" w:hanging="851"/>
                    <w:jc w:val="left"/>
                  </w:pPr>
                  <w:r w:rsidRPr="00E611D5">
                    <w:t>Mr P Weickhardt (M) (p/t)</w:t>
                  </w:r>
                </w:p>
              </w:tc>
              <w:tc>
                <w:tcPr>
                  <w:tcW w:w="1985" w:type="dxa"/>
                  <w:tcBorders>
                    <w:bottom w:val="single" w:sz="6" w:space="0" w:color="C8C8C8"/>
                  </w:tcBorders>
                  <w:shd w:val="clear" w:color="auto" w:fill="auto"/>
                </w:tcPr>
                <w:p w:rsidR="001B114C" w:rsidRPr="00E611D5" w:rsidRDefault="001B114C" w:rsidP="00FB78C9">
                  <w:pPr>
                    <w:pStyle w:val="TableBodyText"/>
                    <w:tabs>
                      <w:tab w:val="right" w:pos="8789"/>
                    </w:tabs>
                    <w:spacing w:before="40"/>
                    <w:ind w:hanging="737"/>
                  </w:pPr>
                  <w:r w:rsidRPr="00E611D5">
                    <w:t>12 Dec 2013</w:t>
                  </w:r>
                </w:p>
              </w:tc>
              <w:tc>
                <w:tcPr>
                  <w:tcW w:w="1563" w:type="dxa"/>
                  <w:tcBorders>
                    <w:bottom w:val="single" w:sz="6" w:space="0" w:color="C8C8C8"/>
                  </w:tcBorders>
                  <w:shd w:val="clear" w:color="auto" w:fill="auto"/>
                </w:tcPr>
                <w:p w:rsidR="001B114C" w:rsidRPr="00E611D5" w:rsidRDefault="001B114C" w:rsidP="00FB78C9">
                  <w:pPr>
                    <w:pStyle w:val="TableBodyText"/>
                    <w:tabs>
                      <w:tab w:val="right" w:pos="8789"/>
                    </w:tabs>
                    <w:spacing w:before="40"/>
                    <w:ind w:hanging="737"/>
                  </w:pPr>
                  <w:r w:rsidRPr="00E611D5">
                    <w:t>11 Dec 2014</w:t>
                  </w:r>
                </w:p>
              </w:tc>
            </w:tr>
          </w:tbl>
          <w:p w:rsidR="00120E5B" w:rsidRDefault="00120E5B" w:rsidP="00FB78C9">
            <w:pPr>
              <w:pStyle w:val="Box"/>
            </w:pPr>
          </w:p>
        </w:tc>
      </w:tr>
      <w:tr w:rsidR="00120E5B" w:rsidTr="001B114C">
        <w:trPr>
          <w:cantSplit/>
        </w:trPr>
        <w:tc>
          <w:tcPr>
            <w:tcW w:w="8771" w:type="dxa"/>
            <w:tcBorders>
              <w:top w:val="nil"/>
              <w:left w:val="nil"/>
              <w:bottom w:val="nil"/>
              <w:right w:val="nil"/>
            </w:tcBorders>
            <w:shd w:val="clear" w:color="auto" w:fill="auto"/>
          </w:tcPr>
          <w:p w:rsidR="00120E5B" w:rsidRDefault="001B114C" w:rsidP="001B114C">
            <w:pPr>
              <w:pStyle w:val="Note"/>
              <w:rPr>
                <w:i/>
              </w:rPr>
            </w:pPr>
            <w:r>
              <w:t xml:space="preserve">(C) </w:t>
            </w:r>
            <w:proofErr w:type="gramStart"/>
            <w:r>
              <w:t>denotes</w:t>
            </w:r>
            <w:proofErr w:type="gramEnd"/>
            <w:r>
              <w:t xml:space="preserve"> Canberra based. (M) </w:t>
            </w:r>
            <w:proofErr w:type="gramStart"/>
            <w:r>
              <w:t>denotes</w:t>
            </w:r>
            <w:proofErr w:type="gramEnd"/>
            <w:r>
              <w:t xml:space="preserve"> Melbourne based and (p/t) denotes part-time.</w:t>
            </w:r>
          </w:p>
        </w:tc>
      </w:tr>
      <w:tr w:rsidR="00120E5B" w:rsidTr="001B114C">
        <w:trPr>
          <w:cantSplit/>
        </w:trPr>
        <w:tc>
          <w:tcPr>
            <w:tcW w:w="8771" w:type="dxa"/>
            <w:tcBorders>
              <w:top w:val="nil"/>
              <w:left w:val="nil"/>
              <w:bottom w:val="single" w:sz="6" w:space="0" w:color="78A22F"/>
              <w:right w:val="nil"/>
            </w:tcBorders>
            <w:shd w:val="clear" w:color="auto" w:fill="auto"/>
          </w:tcPr>
          <w:p w:rsidR="00120E5B" w:rsidRDefault="00120E5B" w:rsidP="00FB78C9">
            <w:pPr>
              <w:pStyle w:val="Box"/>
              <w:spacing w:before="0" w:line="120" w:lineRule="exact"/>
            </w:pPr>
          </w:p>
        </w:tc>
      </w:tr>
      <w:tr w:rsidR="00120E5B" w:rsidRPr="000863A5" w:rsidTr="001B114C">
        <w:tc>
          <w:tcPr>
            <w:tcW w:w="8771" w:type="dxa"/>
            <w:tcBorders>
              <w:top w:val="single" w:sz="6" w:space="0" w:color="78A22F"/>
              <w:left w:val="nil"/>
              <w:bottom w:val="nil"/>
              <w:right w:val="nil"/>
            </w:tcBorders>
          </w:tcPr>
          <w:p w:rsidR="00120E5B" w:rsidRPr="00626D32" w:rsidRDefault="00120E5B" w:rsidP="00FB78C9">
            <w:pPr>
              <w:pStyle w:val="BoxSpaceBelow"/>
            </w:pPr>
          </w:p>
        </w:tc>
      </w:tr>
    </w:tbl>
    <w:p w:rsidR="00F839F3" w:rsidRDefault="00337181" w:rsidP="001B114C">
      <w:pPr>
        <w:pStyle w:val="BodyText"/>
        <w:rPr>
          <w:rStyle w:val="NoteChar"/>
          <w:rFonts w:ascii="Times New Roman" w:hAnsi="Times New Roman"/>
          <w:sz w:val="24"/>
        </w:rPr>
      </w:pPr>
      <w:r w:rsidRPr="001B114C">
        <w:rPr>
          <w:rStyle w:val="NoteChar"/>
          <w:rFonts w:ascii="Times New Roman" w:hAnsi="Times New Roman"/>
          <w:sz w:val="24"/>
        </w:rPr>
        <w:t>There were no part-time Associate Commissioner appointments</w:t>
      </w:r>
      <w:r w:rsidR="008A7A0B" w:rsidRPr="001B114C">
        <w:rPr>
          <w:rStyle w:val="NoteChar"/>
          <w:rFonts w:ascii="Times New Roman" w:hAnsi="Times New Roman"/>
          <w:sz w:val="24"/>
        </w:rPr>
        <w:t xml:space="preserve"> </w:t>
      </w:r>
      <w:r w:rsidRPr="001B114C">
        <w:rPr>
          <w:rStyle w:val="NoteChar"/>
          <w:rFonts w:ascii="Times New Roman" w:hAnsi="Times New Roman"/>
          <w:sz w:val="24"/>
        </w:rPr>
        <w:t>as at 30 June 2014.</w:t>
      </w:r>
    </w:p>
    <w:p w:rsidR="001B114C" w:rsidRDefault="001B114C" w:rsidP="00FB78C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B114C" w:rsidTr="001B114C">
        <w:tc>
          <w:tcPr>
            <w:tcW w:w="8771" w:type="dxa"/>
            <w:tcBorders>
              <w:top w:val="single" w:sz="6" w:space="0" w:color="78A22F"/>
              <w:left w:val="nil"/>
              <w:bottom w:val="single" w:sz="6" w:space="0" w:color="BFBFBF"/>
              <w:right w:val="nil"/>
            </w:tcBorders>
            <w:shd w:val="clear" w:color="auto" w:fill="auto"/>
          </w:tcPr>
          <w:p w:rsidR="001B114C" w:rsidRPr="00784A05" w:rsidRDefault="001B114C" w:rsidP="001B114C">
            <w:pPr>
              <w:pStyle w:val="TableTitle"/>
            </w:pPr>
            <w:r>
              <w:rPr>
                <w:b w:val="0"/>
              </w:rPr>
              <w:t>Table A1.2</w:t>
            </w:r>
            <w:r>
              <w:tab/>
            </w:r>
            <w:r w:rsidRPr="00776E25">
              <w:t>Associate Commissioners completing appointments during 201</w:t>
            </w:r>
            <w:r>
              <w:t>3</w:t>
            </w:r>
            <w:r w:rsidRPr="00776E25">
              <w:t>-1</w:t>
            </w:r>
            <w:r>
              <w:t>4</w:t>
            </w:r>
          </w:p>
        </w:tc>
      </w:tr>
      <w:tr w:rsidR="001B114C" w:rsidTr="001B114C">
        <w:trPr>
          <w:cantSplit/>
        </w:trPr>
        <w:tc>
          <w:tcPr>
            <w:tcW w:w="8771" w:type="dxa"/>
            <w:tcBorders>
              <w:top w:val="single" w:sz="6" w:space="0" w:color="BFBFBF"/>
              <w:left w:val="nil"/>
              <w:bottom w:val="nil"/>
              <w:right w:val="nil"/>
            </w:tcBorders>
            <w:shd w:val="clear" w:color="auto" w:fill="auto"/>
          </w:tcPr>
          <w:tbl>
            <w:tblPr>
              <w:tblW w:w="8498" w:type="dxa"/>
              <w:tblBorders>
                <w:top w:val="single" w:sz="6" w:space="0" w:color="EEECE1" w:themeColor="background2"/>
                <w:bottom w:val="single" w:sz="6" w:space="0" w:color="C8C8C8"/>
                <w:insideH w:val="single" w:sz="6" w:space="0" w:color="C8C8C8"/>
              </w:tblBorders>
              <w:tblLayout w:type="fixed"/>
              <w:tblCellMar>
                <w:top w:w="28" w:type="dxa"/>
                <w:left w:w="0" w:type="dxa"/>
                <w:right w:w="0" w:type="dxa"/>
              </w:tblCellMar>
              <w:tblLook w:val="0000" w:firstRow="0" w:lastRow="0" w:firstColumn="0" w:lastColumn="0" w:noHBand="0" w:noVBand="0"/>
            </w:tblPr>
            <w:tblGrid>
              <w:gridCol w:w="2268"/>
              <w:gridCol w:w="3402"/>
              <w:gridCol w:w="1414"/>
              <w:gridCol w:w="1414"/>
            </w:tblGrid>
            <w:tr w:rsidR="00010142" w:rsidTr="00010142">
              <w:tc>
                <w:tcPr>
                  <w:tcW w:w="2268" w:type="dxa"/>
                  <w:tcBorders>
                    <w:top w:val="single" w:sz="6" w:space="0" w:color="EEECE1" w:themeColor="background2"/>
                    <w:bottom w:val="nil"/>
                  </w:tcBorders>
                  <w:shd w:val="clear" w:color="auto" w:fill="auto"/>
                  <w:tcMar>
                    <w:top w:w="28" w:type="dxa"/>
                  </w:tcMar>
                </w:tcPr>
                <w:p w:rsidR="00010142" w:rsidRDefault="00010142" w:rsidP="00FB78C9">
                  <w:pPr>
                    <w:pStyle w:val="TableColumnHeading"/>
                    <w:jc w:val="left"/>
                  </w:pPr>
                </w:p>
              </w:tc>
              <w:tc>
                <w:tcPr>
                  <w:tcW w:w="3402" w:type="dxa"/>
                  <w:tcBorders>
                    <w:top w:val="single" w:sz="6" w:space="0" w:color="EEECE1" w:themeColor="background2"/>
                    <w:bottom w:val="nil"/>
                  </w:tcBorders>
                  <w:shd w:val="clear" w:color="auto" w:fill="auto"/>
                  <w:tcMar>
                    <w:top w:w="28" w:type="dxa"/>
                  </w:tcMar>
                </w:tcPr>
                <w:p w:rsidR="00010142" w:rsidRDefault="00010142" w:rsidP="00FB78C9">
                  <w:pPr>
                    <w:pStyle w:val="TableColumnHeading"/>
                  </w:pPr>
                </w:p>
              </w:tc>
              <w:tc>
                <w:tcPr>
                  <w:tcW w:w="2828" w:type="dxa"/>
                  <w:gridSpan w:val="2"/>
                  <w:shd w:val="clear" w:color="auto" w:fill="auto"/>
                  <w:tcMar>
                    <w:top w:w="28" w:type="dxa"/>
                  </w:tcMar>
                </w:tcPr>
                <w:p w:rsidR="00010142" w:rsidRDefault="00010142" w:rsidP="00FB78C9">
                  <w:pPr>
                    <w:pStyle w:val="TableColumnHeading"/>
                    <w:ind w:right="28"/>
                  </w:pPr>
                  <w:r w:rsidRPr="00306DDA">
                    <w:t>Period of appointment</w:t>
                  </w:r>
                </w:p>
              </w:tc>
            </w:tr>
            <w:tr w:rsidR="001B114C" w:rsidTr="00010142">
              <w:tc>
                <w:tcPr>
                  <w:tcW w:w="2268" w:type="dxa"/>
                  <w:tcBorders>
                    <w:top w:val="nil"/>
                    <w:bottom w:val="single" w:sz="6" w:space="0" w:color="C8C8C8"/>
                  </w:tcBorders>
                </w:tcPr>
                <w:p w:rsidR="001B114C" w:rsidRDefault="001B114C" w:rsidP="00FB78C9">
                  <w:pPr>
                    <w:pStyle w:val="TableUnitsRow"/>
                    <w:jc w:val="left"/>
                  </w:pPr>
                </w:p>
              </w:tc>
              <w:tc>
                <w:tcPr>
                  <w:tcW w:w="3402" w:type="dxa"/>
                  <w:tcBorders>
                    <w:top w:val="nil"/>
                    <w:bottom w:val="single" w:sz="6" w:space="0" w:color="C8C8C8"/>
                  </w:tcBorders>
                </w:tcPr>
                <w:p w:rsidR="001B114C" w:rsidRPr="00306DDA" w:rsidRDefault="001B114C" w:rsidP="00FB78C9">
                  <w:pPr>
                    <w:pStyle w:val="TableColumnHeading"/>
                    <w:jc w:val="left"/>
                  </w:pPr>
                  <w:r w:rsidRPr="00306DDA">
                    <w:t>Inquiry/Study</w:t>
                  </w:r>
                </w:p>
              </w:tc>
              <w:tc>
                <w:tcPr>
                  <w:tcW w:w="1414" w:type="dxa"/>
                  <w:tcBorders>
                    <w:bottom w:val="single" w:sz="6" w:space="0" w:color="C8C8C8"/>
                  </w:tcBorders>
                  <w:shd w:val="clear" w:color="auto" w:fill="auto"/>
                </w:tcPr>
                <w:p w:rsidR="001B114C" w:rsidRPr="00306DDA" w:rsidRDefault="001B114C" w:rsidP="00FB78C9">
                  <w:pPr>
                    <w:pStyle w:val="TableColumnHeading"/>
                  </w:pPr>
                  <w:r w:rsidRPr="00306DDA">
                    <w:t>From</w:t>
                  </w:r>
                </w:p>
              </w:tc>
              <w:tc>
                <w:tcPr>
                  <w:tcW w:w="1414" w:type="dxa"/>
                  <w:tcBorders>
                    <w:bottom w:val="single" w:sz="6" w:space="0" w:color="C8C8C8"/>
                  </w:tcBorders>
                  <w:shd w:val="clear" w:color="auto" w:fill="auto"/>
                </w:tcPr>
                <w:p w:rsidR="001B114C" w:rsidRPr="00306DDA" w:rsidRDefault="001B114C" w:rsidP="00FB78C9">
                  <w:pPr>
                    <w:pStyle w:val="TableColumnHeading"/>
                  </w:pPr>
                  <w:r w:rsidRPr="00306DDA">
                    <w:t>To</w:t>
                  </w:r>
                </w:p>
              </w:tc>
            </w:tr>
            <w:tr w:rsidR="001B114C" w:rsidTr="00010142">
              <w:tc>
                <w:tcPr>
                  <w:tcW w:w="2268" w:type="dxa"/>
                  <w:tcBorders>
                    <w:top w:val="single" w:sz="6" w:space="0" w:color="C8C8C8"/>
                    <w:bottom w:val="nil"/>
                  </w:tcBorders>
                </w:tcPr>
                <w:p w:rsidR="001B114C" w:rsidRPr="00306DDA" w:rsidRDefault="001B114C" w:rsidP="00FB78C9">
                  <w:pPr>
                    <w:pStyle w:val="TableBodyText"/>
                    <w:spacing w:before="120"/>
                    <w:jc w:val="left"/>
                  </w:pPr>
                  <w:r w:rsidRPr="00306DDA">
                    <w:t xml:space="preserve">Mr </w:t>
                  </w:r>
                  <w:r>
                    <w:t>P Barratt AO (p/t)</w:t>
                  </w:r>
                </w:p>
              </w:tc>
              <w:tc>
                <w:tcPr>
                  <w:tcW w:w="3402" w:type="dxa"/>
                  <w:tcBorders>
                    <w:top w:val="single" w:sz="6" w:space="0" w:color="C8C8C8"/>
                    <w:bottom w:val="nil"/>
                  </w:tcBorders>
                </w:tcPr>
                <w:p w:rsidR="001B114C" w:rsidRPr="00306DDA" w:rsidRDefault="001B114C" w:rsidP="00FB78C9">
                  <w:pPr>
                    <w:pStyle w:val="TableBodyText"/>
                    <w:spacing w:before="120"/>
                    <w:jc w:val="left"/>
                  </w:pPr>
                  <w:r w:rsidRPr="00337181">
                    <w:t>Import of Processed Fruit and Tomato Products – Safeguards Inquiries</w:t>
                  </w:r>
                </w:p>
              </w:tc>
              <w:tc>
                <w:tcPr>
                  <w:tcW w:w="1414" w:type="dxa"/>
                  <w:tcBorders>
                    <w:top w:val="single" w:sz="6" w:space="0" w:color="C8C8C8"/>
                    <w:bottom w:val="nil"/>
                  </w:tcBorders>
                  <w:shd w:val="clear" w:color="auto" w:fill="auto"/>
                  <w:vAlign w:val="center"/>
                </w:tcPr>
                <w:p w:rsidR="001B114C" w:rsidRPr="00306DDA" w:rsidRDefault="001B114C" w:rsidP="00FB78C9">
                  <w:pPr>
                    <w:pStyle w:val="TableBodyText"/>
                    <w:spacing w:before="60"/>
                  </w:pPr>
                  <w:r>
                    <w:t>20 Jun 2013</w:t>
                  </w:r>
                </w:p>
              </w:tc>
              <w:tc>
                <w:tcPr>
                  <w:tcW w:w="1414" w:type="dxa"/>
                  <w:tcBorders>
                    <w:top w:val="single" w:sz="6" w:space="0" w:color="C8C8C8"/>
                    <w:bottom w:val="nil"/>
                  </w:tcBorders>
                  <w:shd w:val="clear" w:color="auto" w:fill="auto"/>
                  <w:vAlign w:val="center"/>
                </w:tcPr>
                <w:p w:rsidR="001B114C" w:rsidRPr="00306DDA" w:rsidRDefault="001B114C" w:rsidP="00FB78C9">
                  <w:pPr>
                    <w:pStyle w:val="TableBodyText"/>
                    <w:spacing w:before="60"/>
                  </w:pPr>
                  <w:r>
                    <w:t>20 Jan 2014</w:t>
                  </w:r>
                </w:p>
              </w:tc>
            </w:tr>
            <w:tr w:rsidR="001B114C" w:rsidTr="00010142">
              <w:tc>
                <w:tcPr>
                  <w:tcW w:w="2268" w:type="dxa"/>
                  <w:tcBorders>
                    <w:top w:val="nil"/>
                  </w:tcBorders>
                  <w:shd w:val="clear" w:color="auto" w:fill="auto"/>
                </w:tcPr>
                <w:p w:rsidR="001B114C" w:rsidRPr="00306DDA" w:rsidRDefault="001B114C" w:rsidP="003934D6">
                  <w:pPr>
                    <w:pStyle w:val="TableBodyText"/>
                    <w:spacing w:before="60"/>
                    <w:jc w:val="left"/>
                  </w:pPr>
                  <w:r>
                    <w:t xml:space="preserve">Mr P </w:t>
                  </w:r>
                  <w:proofErr w:type="spellStart"/>
                  <w:r>
                    <w:t>Lindwall</w:t>
                  </w:r>
                  <w:proofErr w:type="spellEnd"/>
                </w:p>
              </w:tc>
              <w:tc>
                <w:tcPr>
                  <w:tcW w:w="3402" w:type="dxa"/>
                  <w:tcBorders>
                    <w:top w:val="nil"/>
                  </w:tcBorders>
                  <w:shd w:val="clear" w:color="auto" w:fill="auto"/>
                </w:tcPr>
                <w:p w:rsidR="001B114C" w:rsidRDefault="001B114C" w:rsidP="00FB78C9">
                  <w:pPr>
                    <w:pStyle w:val="TableBodyText"/>
                    <w:spacing w:before="60"/>
                    <w:jc w:val="left"/>
                  </w:pPr>
                  <w:r>
                    <w:t>Public Infrastructure Inquiry</w:t>
                  </w:r>
                </w:p>
              </w:tc>
              <w:tc>
                <w:tcPr>
                  <w:tcW w:w="1414" w:type="dxa"/>
                  <w:tcBorders>
                    <w:top w:val="nil"/>
                  </w:tcBorders>
                  <w:shd w:val="clear" w:color="auto" w:fill="auto"/>
                  <w:vAlign w:val="center"/>
                </w:tcPr>
                <w:p w:rsidR="001B114C" w:rsidRDefault="001B114C" w:rsidP="00FB78C9">
                  <w:pPr>
                    <w:pStyle w:val="TableBodyText"/>
                    <w:spacing w:before="60"/>
                  </w:pPr>
                  <w:r>
                    <w:t>25 Nov 2013</w:t>
                  </w:r>
                </w:p>
              </w:tc>
              <w:tc>
                <w:tcPr>
                  <w:tcW w:w="1414" w:type="dxa"/>
                  <w:tcBorders>
                    <w:top w:val="nil"/>
                  </w:tcBorders>
                  <w:shd w:val="clear" w:color="auto" w:fill="auto"/>
                  <w:vAlign w:val="center"/>
                </w:tcPr>
                <w:p w:rsidR="001B114C" w:rsidRDefault="001B114C" w:rsidP="00FB78C9">
                  <w:pPr>
                    <w:pStyle w:val="TableBodyText"/>
                    <w:spacing w:before="60"/>
                  </w:pPr>
                  <w:r>
                    <w:t>13 May 2014</w:t>
                  </w:r>
                </w:p>
              </w:tc>
            </w:tr>
          </w:tbl>
          <w:p w:rsidR="001B114C" w:rsidRDefault="001B114C" w:rsidP="00FB78C9">
            <w:pPr>
              <w:pStyle w:val="Box"/>
            </w:pPr>
          </w:p>
        </w:tc>
      </w:tr>
      <w:tr w:rsidR="001B114C" w:rsidTr="001B114C">
        <w:trPr>
          <w:cantSplit/>
        </w:trPr>
        <w:tc>
          <w:tcPr>
            <w:tcW w:w="8771" w:type="dxa"/>
            <w:tcBorders>
              <w:top w:val="nil"/>
              <w:left w:val="nil"/>
              <w:bottom w:val="single" w:sz="6" w:space="0" w:color="78A22F"/>
              <w:right w:val="nil"/>
            </w:tcBorders>
            <w:shd w:val="clear" w:color="auto" w:fill="auto"/>
          </w:tcPr>
          <w:p w:rsidR="001B114C" w:rsidRDefault="001B114C" w:rsidP="00FB78C9">
            <w:pPr>
              <w:pStyle w:val="Box"/>
              <w:spacing w:before="0" w:line="120" w:lineRule="exact"/>
            </w:pPr>
          </w:p>
        </w:tc>
      </w:tr>
      <w:tr w:rsidR="001B114C" w:rsidRPr="000863A5" w:rsidTr="001B114C">
        <w:tc>
          <w:tcPr>
            <w:tcW w:w="8771" w:type="dxa"/>
            <w:tcBorders>
              <w:top w:val="single" w:sz="6" w:space="0" w:color="78A22F"/>
              <w:left w:val="nil"/>
              <w:bottom w:val="nil"/>
              <w:right w:val="nil"/>
            </w:tcBorders>
          </w:tcPr>
          <w:p w:rsidR="001B114C" w:rsidRPr="00626D32" w:rsidRDefault="001B114C" w:rsidP="00FB78C9">
            <w:pPr>
              <w:pStyle w:val="BoxSpaceBelow"/>
            </w:pPr>
          </w:p>
        </w:tc>
      </w:tr>
    </w:tbl>
    <w:p w:rsidR="00010142" w:rsidRDefault="00010142" w:rsidP="00FB78C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10142" w:rsidTr="00010142">
        <w:tc>
          <w:tcPr>
            <w:tcW w:w="8771" w:type="dxa"/>
            <w:tcBorders>
              <w:top w:val="single" w:sz="6" w:space="0" w:color="78A22F"/>
              <w:left w:val="nil"/>
              <w:bottom w:val="nil"/>
              <w:right w:val="nil"/>
            </w:tcBorders>
            <w:shd w:val="clear" w:color="auto" w:fill="auto"/>
          </w:tcPr>
          <w:p w:rsidR="00010142" w:rsidRPr="00784A05" w:rsidRDefault="00010142" w:rsidP="00010142">
            <w:pPr>
              <w:pStyle w:val="TableTitle"/>
            </w:pPr>
            <w:r>
              <w:rPr>
                <w:b w:val="0"/>
              </w:rPr>
              <w:t>Table A1.3</w:t>
            </w:r>
            <w:r>
              <w:tab/>
            </w:r>
            <w:r w:rsidRPr="00E611D5">
              <w:t>Employees by location and gender, 30 June 2014</w:t>
            </w:r>
            <w:r>
              <w:t xml:space="preserve"> </w:t>
            </w:r>
          </w:p>
        </w:tc>
      </w:tr>
      <w:tr w:rsidR="00010142" w:rsidTr="00010142">
        <w:trPr>
          <w:cantSplit/>
        </w:trPr>
        <w:tc>
          <w:tcPr>
            <w:tcW w:w="8771" w:type="dxa"/>
            <w:tcBorders>
              <w:top w:val="nil"/>
              <w:left w:val="nil"/>
              <w:bottom w:val="nil"/>
              <w:right w:val="nil"/>
            </w:tcBorders>
            <w:shd w:val="clear" w:color="auto" w:fill="auto"/>
          </w:tcPr>
          <w:tbl>
            <w:tblPr>
              <w:tblW w:w="8503" w:type="dxa"/>
              <w:tblLayout w:type="fixed"/>
              <w:tblCellMar>
                <w:top w:w="28" w:type="dxa"/>
                <w:left w:w="0" w:type="dxa"/>
                <w:right w:w="0" w:type="dxa"/>
              </w:tblCellMar>
              <w:tblLook w:val="0000" w:firstRow="0" w:lastRow="0" w:firstColumn="0" w:lastColumn="0" w:noHBand="0" w:noVBand="0"/>
            </w:tblPr>
            <w:tblGrid>
              <w:gridCol w:w="1644"/>
              <w:gridCol w:w="794"/>
              <w:gridCol w:w="679"/>
              <w:gridCol w:w="737"/>
              <w:gridCol w:w="114"/>
              <w:gridCol w:w="794"/>
              <w:gridCol w:w="680"/>
              <w:gridCol w:w="737"/>
              <w:gridCol w:w="113"/>
              <w:gridCol w:w="794"/>
              <w:gridCol w:w="680"/>
              <w:gridCol w:w="737"/>
            </w:tblGrid>
            <w:tr w:rsidR="00324946" w:rsidRPr="00862B6D" w:rsidTr="00324946">
              <w:tc>
                <w:tcPr>
                  <w:tcW w:w="1644" w:type="dxa"/>
                  <w:tcBorders>
                    <w:top w:val="single" w:sz="6" w:space="0" w:color="BFBFBF"/>
                  </w:tcBorders>
                  <w:shd w:val="clear" w:color="auto" w:fill="auto"/>
                  <w:tcMar>
                    <w:top w:w="28" w:type="dxa"/>
                  </w:tcMar>
                </w:tcPr>
                <w:p w:rsidR="00324946" w:rsidRPr="00862B6D" w:rsidRDefault="00324946" w:rsidP="00862B6D">
                  <w:pPr>
                    <w:pStyle w:val="TableColumnHeading"/>
                    <w:jc w:val="center"/>
                  </w:pPr>
                </w:p>
              </w:tc>
              <w:tc>
                <w:tcPr>
                  <w:tcW w:w="2210" w:type="dxa"/>
                  <w:gridSpan w:val="3"/>
                  <w:tcBorders>
                    <w:top w:val="single" w:sz="6" w:space="0" w:color="BFBFBF"/>
                    <w:bottom w:val="single" w:sz="6" w:space="0" w:color="BFBFBF"/>
                  </w:tcBorders>
                  <w:shd w:val="clear" w:color="auto" w:fill="auto"/>
                </w:tcPr>
                <w:p w:rsidR="00324946" w:rsidRPr="00862B6D" w:rsidRDefault="00324946" w:rsidP="00862B6D">
                  <w:pPr>
                    <w:pStyle w:val="TableColumnHeading"/>
                    <w:jc w:val="center"/>
                  </w:pPr>
                  <w:r w:rsidRPr="00862B6D">
                    <w:t>Melbourne</w:t>
                  </w:r>
                </w:p>
              </w:tc>
              <w:tc>
                <w:tcPr>
                  <w:tcW w:w="114" w:type="dxa"/>
                  <w:tcBorders>
                    <w:top w:val="single" w:sz="6" w:space="0" w:color="BFBFBF"/>
                  </w:tcBorders>
                  <w:shd w:val="clear" w:color="auto" w:fill="auto"/>
                  <w:tcMar>
                    <w:top w:w="28" w:type="dxa"/>
                  </w:tcMar>
                </w:tcPr>
                <w:p w:rsidR="00324946" w:rsidRPr="00862B6D" w:rsidRDefault="00324946" w:rsidP="00862B6D">
                  <w:pPr>
                    <w:pStyle w:val="TableColumnHeading"/>
                    <w:jc w:val="center"/>
                  </w:pPr>
                </w:p>
              </w:tc>
              <w:tc>
                <w:tcPr>
                  <w:tcW w:w="2211" w:type="dxa"/>
                  <w:gridSpan w:val="3"/>
                  <w:tcBorders>
                    <w:top w:val="single" w:sz="6" w:space="0" w:color="BFBFBF"/>
                    <w:bottom w:val="single" w:sz="6" w:space="0" w:color="BFBFBF"/>
                  </w:tcBorders>
                  <w:shd w:val="clear" w:color="auto" w:fill="auto"/>
                </w:tcPr>
                <w:p w:rsidR="00324946" w:rsidRPr="00862B6D" w:rsidRDefault="00324946" w:rsidP="00862B6D">
                  <w:pPr>
                    <w:pStyle w:val="TableColumnHeading"/>
                    <w:jc w:val="center"/>
                  </w:pPr>
                  <w:r w:rsidRPr="00862B6D">
                    <w:t>Canberra</w:t>
                  </w:r>
                </w:p>
              </w:tc>
              <w:tc>
                <w:tcPr>
                  <w:tcW w:w="113" w:type="dxa"/>
                  <w:tcBorders>
                    <w:top w:val="single" w:sz="6" w:space="0" w:color="BFBFBF"/>
                  </w:tcBorders>
                  <w:shd w:val="clear" w:color="auto" w:fill="auto"/>
                  <w:tcMar>
                    <w:top w:w="28" w:type="dxa"/>
                  </w:tcMar>
                </w:tcPr>
                <w:p w:rsidR="00324946" w:rsidRPr="00862B6D" w:rsidRDefault="00324946" w:rsidP="00862B6D">
                  <w:pPr>
                    <w:pStyle w:val="TableColumnHeading"/>
                    <w:jc w:val="center"/>
                  </w:pPr>
                </w:p>
              </w:tc>
              <w:tc>
                <w:tcPr>
                  <w:tcW w:w="2211" w:type="dxa"/>
                  <w:gridSpan w:val="3"/>
                  <w:tcBorders>
                    <w:top w:val="single" w:sz="6" w:space="0" w:color="BFBFBF"/>
                    <w:bottom w:val="single" w:sz="6" w:space="0" w:color="BFBFBF"/>
                  </w:tcBorders>
                  <w:shd w:val="clear" w:color="auto" w:fill="auto"/>
                  <w:vAlign w:val="center"/>
                </w:tcPr>
                <w:p w:rsidR="00324946" w:rsidRPr="00862B6D" w:rsidRDefault="00324946" w:rsidP="00862B6D">
                  <w:pPr>
                    <w:pStyle w:val="TableColumnHeading"/>
                    <w:jc w:val="center"/>
                  </w:pPr>
                  <w:r w:rsidRPr="00862B6D">
                    <w:t>Total</w:t>
                  </w:r>
                </w:p>
              </w:tc>
            </w:tr>
            <w:tr w:rsidR="00010142" w:rsidRPr="00862B6D" w:rsidTr="00324946">
              <w:tc>
                <w:tcPr>
                  <w:tcW w:w="1644" w:type="dxa"/>
                  <w:tcBorders>
                    <w:bottom w:val="single" w:sz="6" w:space="0" w:color="BFBFBF"/>
                  </w:tcBorders>
                  <w:shd w:val="clear" w:color="auto" w:fill="auto"/>
                </w:tcPr>
                <w:p w:rsidR="00010142" w:rsidRPr="00862B6D" w:rsidRDefault="00010142" w:rsidP="00862B6D">
                  <w:pPr>
                    <w:pStyle w:val="TableColumnHeading"/>
                    <w:jc w:val="center"/>
                  </w:pPr>
                </w:p>
              </w:tc>
              <w:tc>
                <w:tcPr>
                  <w:tcW w:w="794" w:type="dxa"/>
                  <w:tcBorders>
                    <w:top w:val="single" w:sz="6" w:space="0" w:color="BFBFBF"/>
                    <w:bottom w:val="single" w:sz="6" w:space="0" w:color="BFBFBF"/>
                  </w:tcBorders>
                  <w:shd w:val="clear" w:color="auto" w:fill="auto"/>
                </w:tcPr>
                <w:p w:rsidR="00010142" w:rsidRPr="00862B6D" w:rsidRDefault="00010142" w:rsidP="00862B6D">
                  <w:pPr>
                    <w:pStyle w:val="TableColumnHeading"/>
                    <w:jc w:val="center"/>
                  </w:pPr>
                  <w:r w:rsidRPr="00862B6D">
                    <w:t>Female</w:t>
                  </w:r>
                </w:p>
              </w:tc>
              <w:tc>
                <w:tcPr>
                  <w:tcW w:w="679" w:type="dxa"/>
                  <w:tcBorders>
                    <w:top w:val="single" w:sz="6" w:space="0" w:color="BFBFBF"/>
                    <w:bottom w:val="single" w:sz="6" w:space="0" w:color="BFBFBF"/>
                  </w:tcBorders>
                  <w:shd w:val="clear" w:color="auto" w:fill="auto"/>
                </w:tcPr>
                <w:p w:rsidR="00010142" w:rsidRPr="00862B6D" w:rsidRDefault="00010142" w:rsidP="00862B6D">
                  <w:pPr>
                    <w:pStyle w:val="TableColumnHeading"/>
                    <w:jc w:val="center"/>
                  </w:pPr>
                  <w:r w:rsidRPr="00862B6D">
                    <w:t>Male</w:t>
                  </w:r>
                </w:p>
              </w:tc>
              <w:tc>
                <w:tcPr>
                  <w:tcW w:w="737" w:type="dxa"/>
                  <w:tcBorders>
                    <w:top w:val="single" w:sz="6" w:space="0" w:color="BFBFBF"/>
                    <w:bottom w:val="single" w:sz="6" w:space="0" w:color="BFBFBF"/>
                  </w:tcBorders>
                  <w:shd w:val="clear" w:color="auto" w:fill="auto"/>
                </w:tcPr>
                <w:p w:rsidR="00010142" w:rsidRPr="00862B6D" w:rsidRDefault="00010142" w:rsidP="00862B6D">
                  <w:pPr>
                    <w:pStyle w:val="TableColumnHeading"/>
                    <w:jc w:val="center"/>
                  </w:pPr>
                  <w:r w:rsidRPr="00862B6D">
                    <w:t>Total</w:t>
                  </w:r>
                </w:p>
              </w:tc>
              <w:tc>
                <w:tcPr>
                  <w:tcW w:w="114" w:type="dxa"/>
                  <w:tcBorders>
                    <w:bottom w:val="single" w:sz="6" w:space="0" w:color="BFBFBF"/>
                  </w:tcBorders>
                  <w:shd w:val="clear" w:color="auto" w:fill="auto"/>
                </w:tcPr>
                <w:p w:rsidR="00010142" w:rsidRPr="00862B6D" w:rsidRDefault="00010142" w:rsidP="00862B6D">
                  <w:pPr>
                    <w:pStyle w:val="TableColumnHeading"/>
                    <w:jc w:val="center"/>
                  </w:pPr>
                </w:p>
              </w:tc>
              <w:tc>
                <w:tcPr>
                  <w:tcW w:w="794" w:type="dxa"/>
                  <w:tcBorders>
                    <w:top w:val="single" w:sz="6" w:space="0" w:color="BFBFBF"/>
                    <w:bottom w:val="single" w:sz="6" w:space="0" w:color="BFBFBF"/>
                  </w:tcBorders>
                  <w:shd w:val="clear" w:color="auto" w:fill="auto"/>
                </w:tcPr>
                <w:p w:rsidR="00010142" w:rsidRPr="00862B6D" w:rsidRDefault="00010142" w:rsidP="00862B6D">
                  <w:pPr>
                    <w:pStyle w:val="TableColumnHeading"/>
                    <w:jc w:val="center"/>
                  </w:pPr>
                  <w:r w:rsidRPr="00862B6D">
                    <w:t>Female</w:t>
                  </w:r>
                </w:p>
              </w:tc>
              <w:tc>
                <w:tcPr>
                  <w:tcW w:w="680" w:type="dxa"/>
                  <w:tcBorders>
                    <w:top w:val="single" w:sz="6" w:space="0" w:color="BFBFBF"/>
                    <w:bottom w:val="single" w:sz="6" w:space="0" w:color="BFBFBF"/>
                  </w:tcBorders>
                  <w:shd w:val="clear" w:color="auto" w:fill="auto"/>
                </w:tcPr>
                <w:p w:rsidR="00010142" w:rsidRPr="00862B6D" w:rsidRDefault="00010142" w:rsidP="00862B6D">
                  <w:pPr>
                    <w:pStyle w:val="TableColumnHeading"/>
                    <w:jc w:val="center"/>
                  </w:pPr>
                  <w:r w:rsidRPr="00862B6D">
                    <w:t>Male</w:t>
                  </w:r>
                </w:p>
              </w:tc>
              <w:tc>
                <w:tcPr>
                  <w:tcW w:w="737" w:type="dxa"/>
                  <w:tcBorders>
                    <w:top w:val="single" w:sz="6" w:space="0" w:color="BFBFBF"/>
                    <w:bottom w:val="single" w:sz="6" w:space="0" w:color="BFBFBF"/>
                  </w:tcBorders>
                  <w:shd w:val="clear" w:color="auto" w:fill="auto"/>
                </w:tcPr>
                <w:p w:rsidR="00010142" w:rsidRPr="00862B6D" w:rsidRDefault="00010142" w:rsidP="00862B6D">
                  <w:pPr>
                    <w:pStyle w:val="TableColumnHeading"/>
                    <w:jc w:val="center"/>
                  </w:pPr>
                  <w:r w:rsidRPr="00862B6D">
                    <w:t>Total</w:t>
                  </w:r>
                </w:p>
              </w:tc>
              <w:tc>
                <w:tcPr>
                  <w:tcW w:w="113" w:type="dxa"/>
                  <w:tcBorders>
                    <w:bottom w:val="single" w:sz="6" w:space="0" w:color="BFBFBF"/>
                  </w:tcBorders>
                  <w:shd w:val="clear" w:color="auto" w:fill="auto"/>
                </w:tcPr>
                <w:p w:rsidR="00010142" w:rsidRPr="00862B6D" w:rsidRDefault="00010142" w:rsidP="00862B6D">
                  <w:pPr>
                    <w:pStyle w:val="TableColumnHeading"/>
                    <w:jc w:val="center"/>
                  </w:pPr>
                </w:p>
              </w:tc>
              <w:tc>
                <w:tcPr>
                  <w:tcW w:w="794" w:type="dxa"/>
                  <w:tcBorders>
                    <w:top w:val="single" w:sz="6" w:space="0" w:color="BFBFBF"/>
                    <w:bottom w:val="single" w:sz="6" w:space="0" w:color="BFBFBF"/>
                  </w:tcBorders>
                  <w:shd w:val="clear" w:color="auto" w:fill="auto"/>
                </w:tcPr>
                <w:p w:rsidR="00010142" w:rsidRPr="00862B6D" w:rsidRDefault="00010142" w:rsidP="00862B6D">
                  <w:pPr>
                    <w:pStyle w:val="TableColumnHeading"/>
                    <w:jc w:val="center"/>
                  </w:pPr>
                  <w:r w:rsidRPr="00862B6D">
                    <w:t>Female</w:t>
                  </w:r>
                </w:p>
              </w:tc>
              <w:tc>
                <w:tcPr>
                  <w:tcW w:w="680" w:type="dxa"/>
                  <w:tcBorders>
                    <w:top w:val="single" w:sz="6" w:space="0" w:color="BFBFBF"/>
                    <w:bottom w:val="single" w:sz="6" w:space="0" w:color="BFBFBF"/>
                  </w:tcBorders>
                  <w:shd w:val="clear" w:color="auto" w:fill="auto"/>
                </w:tcPr>
                <w:p w:rsidR="00010142" w:rsidRPr="00862B6D" w:rsidRDefault="00010142" w:rsidP="00862B6D">
                  <w:pPr>
                    <w:pStyle w:val="TableColumnHeading"/>
                    <w:jc w:val="center"/>
                  </w:pPr>
                  <w:r w:rsidRPr="00862B6D">
                    <w:t>Male</w:t>
                  </w:r>
                </w:p>
              </w:tc>
              <w:tc>
                <w:tcPr>
                  <w:tcW w:w="737" w:type="dxa"/>
                  <w:tcBorders>
                    <w:top w:val="single" w:sz="6" w:space="0" w:color="BFBFBF"/>
                    <w:bottom w:val="single" w:sz="6" w:space="0" w:color="BFBFBF"/>
                  </w:tcBorders>
                  <w:shd w:val="clear" w:color="auto" w:fill="auto"/>
                </w:tcPr>
                <w:p w:rsidR="00010142" w:rsidRPr="00862B6D" w:rsidRDefault="00010142" w:rsidP="00862B6D">
                  <w:pPr>
                    <w:pStyle w:val="TableColumnHeading"/>
                    <w:jc w:val="center"/>
                  </w:pPr>
                  <w:r w:rsidRPr="00862B6D">
                    <w:t>Total</w:t>
                  </w:r>
                </w:p>
              </w:tc>
            </w:tr>
            <w:tr w:rsidR="00062C7C" w:rsidTr="00324946">
              <w:tc>
                <w:tcPr>
                  <w:tcW w:w="1644" w:type="dxa"/>
                  <w:tcBorders>
                    <w:top w:val="single" w:sz="6" w:space="0" w:color="BFBFBF"/>
                  </w:tcBorders>
                  <w:shd w:val="clear" w:color="auto" w:fill="auto"/>
                </w:tcPr>
                <w:p w:rsidR="00062C7C" w:rsidRPr="00E611D5" w:rsidRDefault="00062C7C" w:rsidP="00324946">
                  <w:pPr>
                    <w:pStyle w:val="TableBodyText"/>
                    <w:spacing w:before="80"/>
                    <w:jc w:val="left"/>
                  </w:pPr>
                  <w:r w:rsidRPr="00E611D5">
                    <w:t>SES Band 3</w:t>
                  </w:r>
                </w:p>
              </w:tc>
              <w:tc>
                <w:tcPr>
                  <w:tcW w:w="794" w:type="dxa"/>
                  <w:tcBorders>
                    <w:top w:val="single" w:sz="6" w:space="0" w:color="BFBFBF"/>
                  </w:tcBorders>
                  <w:shd w:val="clear" w:color="auto" w:fill="auto"/>
                </w:tcPr>
                <w:p w:rsidR="00062C7C" w:rsidRPr="00E611D5" w:rsidRDefault="00062C7C" w:rsidP="00324946">
                  <w:pPr>
                    <w:pStyle w:val="TableBodyText"/>
                    <w:spacing w:before="80"/>
                  </w:pPr>
                  <w:r w:rsidRPr="00E611D5">
                    <w:t>0</w:t>
                  </w:r>
                </w:p>
              </w:tc>
              <w:tc>
                <w:tcPr>
                  <w:tcW w:w="679" w:type="dxa"/>
                  <w:tcBorders>
                    <w:top w:val="single" w:sz="6" w:space="0" w:color="BFBFBF"/>
                  </w:tcBorders>
                  <w:shd w:val="clear" w:color="auto" w:fill="auto"/>
                </w:tcPr>
                <w:p w:rsidR="00062C7C" w:rsidRPr="00E611D5" w:rsidRDefault="00062C7C" w:rsidP="00324946">
                  <w:pPr>
                    <w:pStyle w:val="TableBodyText"/>
                    <w:spacing w:before="80"/>
                  </w:pPr>
                  <w:r w:rsidRPr="00E611D5">
                    <w:t>0</w:t>
                  </w:r>
                </w:p>
              </w:tc>
              <w:tc>
                <w:tcPr>
                  <w:tcW w:w="737" w:type="dxa"/>
                  <w:tcBorders>
                    <w:top w:val="single" w:sz="6" w:space="0" w:color="BFBFBF"/>
                  </w:tcBorders>
                  <w:shd w:val="clear" w:color="auto" w:fill="auto"/>
                </w:tcPr>
                <w:p w:rsidR="00062C7C" w:rsidRPr="00E611D5" w:rsidRDefault="00062C7C" w:rsidP="00324946">
                  <w:pPr>
                    <w:pStyle w:val="TableBodyText"/>
                    <w:spacing w:before="80"/>
                  </w:pPr>
                  <w:r w:rsidRPr="00E611D5">
                    <w:t>0</w:t>
                  </w:r>
                </w:p>
              </w:tc>
              <w:tc>
                <w:tcPr>
                  <w:tcW w:w="114" w:type="dxa"/>
                  <w:tcBorders>
                    <w:top w:val="single" w:sz="6" w:space="0" w:color="BFBFBF"/>
                  </w:tcBorders>
                  <w:shd w:val="clear" w:color="auto" w:fill="auto"/>
                </w:tcPr>
                <w:p w:rsidR="00062C7C" w:rsidRPr="00E611D5" w:rsidRDefault="00062C7C" w:rsidP="00324946">
                  <w:pPr>
                    <w:pStyle w:val="TableBodyText"/>
                    <w:spacing w:before="80"/>
                  </w:pPr>
                </w:p>
              </w:tc>
              <w:tc>
                <w:tcPr>
                  <w:tcW w:w="794" w:type="dxa"/>
                  <w:tcBorders>
                    <w:top w:val="single" w:sz="6" w:space="0" w:color="BFBFBF"/>
                  </w:tcBorders>
                  <w:shd w:val="clear" w:color="auto" w:fill="auto"/>
                </w:tcPr>
                <w:p w:rsidR="00062C7C" w:rsidRPr="00E611D5" w:rsidRDefault="00062C7C" w:rsidP="00324946">
                  <w:pPr>
                    <w:pStyle w:val="TableBodyText"/>
                    <w:spacing w:before="80"/>
                  </w:pPr>
                  <w:r w:rsidRPr="00E611D5">
                    <w:t>0</w:t>
                  </w:r>
                </w:p>
              </w:tc>
              <w:tc>
                <w:tcPr>
                  <w:tcW w:w="680" w:type="dxa"/>
                  <w:tcBorders>
                    <w:top w:val="single" w:sz="6" w:space="0" w:color="BFBFBF"/>
                  </w:tcBorders>
                  <w:shd w:val="clear" w:color="auto" w:fill="auto"/>
                </w:tcPr>
                <w:p w:rsidR="00062C7C" w:rsidRPr="00E611D5" w:rsidRDefault="00062C7C" w:rsidP="00324946">
                  <w:pPr>
                    <w:pStyle w:val="TableBodyText"/>
                    <w:spacing w:before="80"/>
                  </w:pPr>
                  <w:r w:rsidRPr="00E611D5">
                    <w:t>1</w:t>
                  </w:r>
                </w:p>
              </w:tc>
              <w:tc>
                <w:tcPr>
                  <w:tcW w:w="737" w:type="dxa"/>
                  <w:tcBorders>
                    <w:top w:val="single" w:sz="6" w:space="0" w:color="BFBFBF"/>
                  </w:tcBorders>
                  <w:shd w:val="clear" w:color="auto" w:fill="auto"/>
                </w:tcPr>
                <w:p w:rsidR="00062C7C" w:rsidRPr="00E611D5" w:rsidRDefault="00062C7C" w:rsidP="00324946">
                  <w:pPr>
                    <w:pStyle w:val="TableBodyText"/>
                    <w:spacing w:before="80"/>
                  </w:pPr>
                  <w:r w:rsidRPr="00E611D5">
                    <w:t>1</w:t>
                  </w:r>
                </w:p>
              </w:tc>
              <w:tc>
                <w:tcPr>
                  <w:tcW w:w="113" w:type="dxa"/>
                  <w:tcBorders>
                    <w:top w:val="single" w:sz="6" w:space="0" w:color="BFBFBF"/>
                  </w:tcBorders>
                  <w:shd w:val="clear" w:color="auto" w:fill="auto"/>
                </w:tcPr>
                <w:p w:rsidR="00062C7C" w:rsidRPr="00E611D5" w:rsidRDefault="00062C7C" w:rsidP="00324946">
                  <w:pPr>
                    <w:pStyle w:val="TableBodyText"/>
                    <w:spacing w:before="80"/>
                  </w:pPr>
                </w:p>
              </w:tc>
              <w:tc>
                <w:tcPr>
                  <w:tcW w:w="794" w:type="dxa"/>
                  <w:tcBorders>
                    <w:top w:val="single" w:sz="6" w:space="0" w:color="BFBFBF"/>
                  </w:tcBorders>
                  <w:shd w:val="clear" w:color="auto" w:fill="auto"/>
                </w:tcPr>
                <w:p w:rsidR="00062C7C" w:rsidRPr="00E611D5" w:rsidRDefault="00062C7C" w:rsidP="00324946">
                  <w:pPr>
                    <w:pStyle w:val="TableBodyText"/>
                    <w:spacing w:before="80"/>
                  </w:pPr>
                  <w:r w:rsidRPr="00E611D5">
                    <w:t>0</w:t>
                  </w:r>
                </w:p>
              </w:tc>
              <w:tc>
                <w:tcPr>
                  <w:tcW w:w="680" w:type="dxa"/>
                  <w:tcBorders>
                    <w:top w:val="single" w:sz="6" w:space="0" w:color="BFBFBF"/>
                  </w:tcBorders>
                  <w:shd w:val="clear" w:color="auto" w:fill="auto"/>
                </w:tcPr>
                <w:p w:rsidR="00062C7C" w:rsidRPr="00E611D5" w:rsidRDefault="00062C7C" w:rsidP="00324946">
                  <w:pPr>
                    <w:pStyle w:val="TableBodyText"/>
                    <w:spacing w:before="80"/>
                  </w:pPr>
                  <w:r w:rsidRPr="00E611D5">
                    <w:t>1</w:t>
                  </w:r>
                </w:p>
              </w:tc>
              <w:tc>
                <w:tcPr>
                  <w:tcW w:w="737" w:type="dxa"/>
                  <w:tcBorders>
                    <w:top w:val="single" w:sz="6" w:space="0" w:color="BFBFBF"/>
                  </w:tcBorders>
                  <w:shd w:val="clear" w:color="auto" w:fill="auto"/>
                </w:tcPr>
                <w:p w:rsidR="00062C7C" w:rsidRPr="00E611D5" w:rsidRDefault="00062C7C" w:rsidP="00324946">
                  <w:pPr>
                    <w:pStyle w:val="TableBodyText"/>
                    <w:spacing w:before="80"/>
                  </w:pPr>
                  <w:r w:rsidRPr="00E611D5">
                    <w:t>1</w:t>
                  </w:r>
                </w:p>
              </w:tc>
            </w:tr>
            <w:tr w:rsidR="00062C7C" w:rsidTr="00062C7C">
              <w:tc>
                <w:tcPr>
                  <w:tcW w:w="1644" w:type="dxa"/>
                  <w:shd w:val="clear" w:color="auto" w:fill="auto"/>
                </w:tcPr>
                <w:p w:rsidR="00062C7C" w:rsidRPr="00E611D5" w:rsidRDefault="00062C7C" w:rsidP="00324946">
                  <w:pPr>
                    <w:pStyle w:val="TableBodyText"/>
                    <w:jc w:val="left"/>
                  </w:pPr>
                  <w:r w:rsidRPr="00E611D5">
                    <w:t>SES Band 2</w:t>
                  </w:r>
                </w:p>
              </w:tc>
              <w:tc>
                <w:tcPr>
                  <w:tcW w:w="794" w:type="dxa"/>
                  <w:shd w:val="clear" w:color="auto" w:fill="auto"/>
                </w:tcPr>
                <w:p w:rsidR="00062C7C" w:rsidRPr="00E611D5" w:rsidRDefault="00062C7C" w:rsidP="00324946">
                  <w:pPr>
                    <w:pStyle w:val="TableBodyText"/>
                  </w:pPr>
                  <w:r w:rsidRPr="00E611D5">
                    <w:t>1</w:t>
                  </w:r>
                </w:p>
              </w:tc>
              <w:tc>
                <w:tcPr>
                  <w:tcW w:w="679" w:type="dxa"/>
                  <w:shd w:val="clear" w:color="auto" w:fill="auto"/>
                </w:tcPr>
                <w:p w:rsidR="00062C7C" w:rsidRPr="00E611D5" w:rsidRDefault="00062C7C" w:rsidP="00324946">
                  <w:pPr>
                    <w:pStyle w:val="TableBodyText"/>
                  </w:pPr>
                  <w:r w:rsidRPr="00E611D5">
                    <w:t>0</w:t>
                  </w:r>
                </w:p>
              </w:tc>
              <w:tc>
                <w:tcPr>
                  <w:tcW w:w="737" w:type="dxa"/>
                  <w:shd w:val="clear" w:color="auto" w:fill="auto"/>
                </w:tcPr>
                <w:p w:rsidR="00062C7C" w:rsidRPr="00E611D5" w:rsidRDefault="00062C7C" w:rsidP="00324946">
                  <w:pPr>
                    <w:pStyle w:val="TableBodyText"/>
                  </w:pPr>
                  <w:r w:rsidRPr="00E611D5">
                    <w:t>1</w:t>
                  </w:r>
                </w:p>
              </w:tc>
              <w:tc>
                <w:tcPr>
                  <w:tcW w:w="114" w:type="dxa"/>
                  <w:shd w:val="clear" w:color="auto" w:fill="auto"/>
                </w:tcPr>
                <w:p w:rsidR="00062C7C" w:rsidRPr="00E611D5" w:rsidRDefault="00062C7C" w:rsidP="00324946">
                  <w:pPr>
                    <w:pStyle w:val="TableBodyText"/>
                  </w:pPr>
                </w:p>
              </w:tc>
              <w:tc>
                <w:tcPr>
                  <w:tcW w:w="794" w:type="dxa"/>
                  <w:shd w:val="clear" w:color="auto" w:fill="auto"/>
                </w:tcPr>
                <w:p w:rsidR="00062C7C" w:rsidRPr="00E611D5" w:rsidRDefault="00062C7C" w:rsidP="00324946">
                  <w:pPr>
                    <w:pStyle w:val="TableBodyText"/>
                  </w:pPr>
                  <w:r w:rsidRPr="00E611D5">
                    <w:t>1</w:t>
                  </w:r>
                </w:p>
              </w:tc>
              <w:tc>
                <w:tcPr>
                  <w:tcW w:w="680" w:type="dxa"/>
                  <w:shd w:val="clear" w:color="auto" w:fill="auto"/>
                </w:tcPr>
                <w:p w:rsidR="00062C7C" w:rsidRPr="00E611D5" w:rsidRDefault="00062C7C" w:rsidP="00324946">
                  <w:pPr>
                    <w:pStyle w:val="TableBodyText"/>
                  </w:pPr>
                  <w:r w:rsidRPr="00E611D5">
                    <w:t>1</w:t>
                  </w:r>
                </w:p>
              </w:tc>
              <w:tc>
                <w:tcPr>
                  <w:tcW w:w="737" w:type="dxa"/>
                  <w:shd w:val="clear" w:color="auto" w:fill="auto"/>
                </w:tcPr>
                <w:p w:rsidR="00062C7C" w:rsidRPr="00E611D5" w:rsidRDefault="00062C7C" w:rsidP="00324946">
                  <w:pPr>
                    <w:pStyle w:val="TableBodyText"/>
                  </w:pPr>
                  <w:r w:rsidRPr="00E611D5">
                    <w:t>2</w:t>
                  </w:r>
                </w:p>
              </w:tc>
              <w:tc>
                <w:tcPr>
                  <w:tcW w:w="113" w:type="dxa"/>
                  <w:shd w:val="clear" w:color="auto" w:fill="auto"/>
                </w:tcPr>
                <w:p w:rsidR="00062C7C" w:rsidRPr="00E611D5" w:rsidRDefault="00062C7C" w:rsidP="00324946">
                  <w:pPr>
                    <w:pStyle w:val="TableBodyText"/>
                  </w:pPr>
                </w:p>
              </w:tc>
              <w:tc>
                <w:tcPr>
                  <w:tcW w:w="794" w:type="dxa"/>
                  <w:shd w:val="clear" w:color="auto" w:fill="auto"/>
                </w:tcPr>
                <w:p w:rsidR="00062C7C" w:rsidRPr="00E611D5" w:rsidRDefault="00062C7C" w:rsidP="00324946">
                  <w:pPr>
                    <w:pStyle w:val="TableBodyText"/>
                  </w:pPr>
                  <w:r w:rsidRPr="00E611D5">
                    <w:t>2</w:t>
                  </w:r>
                </w:p>
              </w:tc>
              <w:tc>
                <w:tcPr>
                  <w:tcW w:w="680" w:type="dxa"/>
                  <w:shd w:val="clear" w:color="auto" w:fill="auto"/>
                </w:tcPr>
                <w:p w:rsidR="00062C7C" w:rsidRPr="00E611D5" w:rsidRDefault="00062C7C" w:rsidP="00324946">
                  <w:pPr>
                    <w:pStyle w:val="TableBodyText"/>
                  </w:pPr>
                  <w:r w:rsidRPr="00E611D5">
                    <w:t>1</w:t>
                  </w:r>
                </w:p>
              </w:tc>
              <w:tc>
                <w:tcPr>
                  <w:tcW w:w="737" w:type="dxa"/>
                  <w:shd w:val="clear" w:color="auto" w:fill="auto"/>
                </w:tcPr>
                <w:p w:rsidR="00062C7C" w:rsidRPr="00E611D5" w:rsidRDefault="00062C7C" w:rsidP="00324946">
                  <w:pPr>
                    <w:pStyle w:val="TableBodyText"/>
                  </w:pPr>
                  <w:r w:rsidRPr="00E611D5">
                    <w:t>3</w:t>
                  </w:r>
                </w:p>
              </w:tc>
            </w:tr>
            <w:tr w:rsidR="00062C7C" w:rsidTr="00062C7C">
              <w:tc>
                <w:tcPr>
                  <w:tcW w:w="1644" w:type="dxa"/>
                  <w:shd w:val="clear" w:color="auto" w:fill="auto"/>
                </w:tcPr>
                <w:p w:rsidR="00062C7C" w:rsidRPr="00E611D5" w:rsidRDefault="00062C7C" w:rsidP="00324946">
                  <w:pPr>
                    <w:pStyle w:val="TableBodyText"/>
                    <w:jc w:val="left"/>
                  </w:pPr>
                  <w:r w:rsidRPr="00E611D5">
                    <w:t>SES Band 1</w:t>
                  </w:r>
                </w:p>
              </w:tc>
              <w:tc>
                <w:tcPr>
                  <w:tcW w:w="794" w:type="dxa"/>
                  <w:shd w:val="clear" w:color="auto" w:fill="auto"/>
                </w:tcPr>
                <w:p w:rsidR="00062C7C" w:rsidRPr="00E611D5" w:rsidRDefault="00062C7C" w:rsidP="00324946">
                  <w:pPr>
                    <w:pStyle w:val="TableBodyText"/>
                  </w:pPr>
                  <w:r w:rsidRPr="00E611D5">
                    <w:t>2</w:t>
                  </w:r>
                </w:p>
              </w:tc>
              <w:tc>
                <w:tcPr>
                  <w:tcW w:w="679" w:type="dxa"/>
                  <w:shd w:val="clear" w:color="auto" w:fill="auto"/>
                </w:tcPr>
                <w:p w:rsidR="00062C7C" w:rsidRPr="00E611D5" w:rsidRDefault="00062C7C" w:rsidP="00324946">
                  <w:pPr>
                    <w:pStyle w:val="TableBodyText"/>
                  </w:pPr>
                  <w:r w:rsidRPr="00E611D5">
                    <w:t>5</w:t>
                  </w:r>
                </w:p>
              </w:tc>
              <w:tc>
                <w:tcPr>
                  <w:tcW w:w="737" w:type="dxa"/>
                  <w:shd w:val="clear" w:color="auto" w:fill="auto"/>
                </w:tcPr>
                <w:p w:rsidR="00062C7C" w:rsidRPr="00E611D5" w:rsidRDefault="00062C7C" w:rsidP="00324946">
                  <w:pPr>
                    <w:pStyle w:val="TableBodyText"/>
                  </w:pPr>
                  <w:r w:rsidRPr="00E611D5">
                    <w:t>7</w:t>
                  </w:r>
                </w:p>
              </w:tc>
              <w:tc>
                <w:tcPr>
                  <w:tcW w:w="114" w:type="dxa"/>
                  <w:shd w:val="clear" w:color="auto" w:fill="auto"/>
                </w:tcPr>
                <w:p w:rsidR="00062C7C" w:rsidRPr="00E611D5" w:rsidRDefault="00062C7C" w:rsidP="00324946">
                  <w:pPr>
                    <w:pStyle w:val="TableBodyText"/>
                  </w:pPr>
                </w:p>
              </w:tc>
              <w:tc>
                <w:tcPr>
                  <w:tcW w:w="794" w:type="dxa"/>
                  <w:shd w:val="clear" w:color="auto" w:fill="auto"/>
                </w:tcPr>
                <w:p w:rsidR="00062C7C" w:rsidRPr="00E611D5" w:rsidRDefault="00062C7C" w:rsidP="00324946">
                  <w:pPr>
                    <w:pStyle w:val="TableBodyText"/>
                  </w:pPr>
                  <w:r w:rsidRPr="00E611D5">
                    <w:t>3</w:t>
                  </w:r>
                </w:p>
              </w:tc>
              <w:tc>
                <w:tcPr>
                  <w:tcW w:w="680" w:type="dxa"/>
                  <w:shd w:val="clear" w:color="auto" w:fill="auto"/>
                </w:tcPr>
                <w:p w:rsidR="00062C7C" w:rsidRPr="00E611D5" w:rsidRDefault="00062C7C" w:rsidP="00324946">
                  <w:pPr>
                    <w:pStyle w:val="TableBodyText"/>
                  </w:pPr>
                  <w:r w:rsidRPr="00E611D5">
                    <w:t>3</w:t>
                  </w:r>
                </w:p>
              </w:tc>
              <w:tc>
                <w:tcPr>
                  <w:tcW w:w="737" w:type="dxa"/>
                  <w:shd w:val="clear" w:color="auto" w:fill="auto"/>
                </w:tcPr>
                <w:p w:rsidR="00062C7C" w:rsidRPr="00E611D5" w:rsidRDefault="00062C7C" w:rsidP="00324946">
                  <w:pPr>
                    <w:pStyle w:val="TableBodyText"/>
                  </w:pPr>
                  <w:r w:rsidRPr="00E611D5">
                    <w:t>6</w:t>
                  </w:r>
                </w:p>
              </w:tc>
              <w:tc>
                <w:tcPr>
                  <w:tcW w:w="113" w:type="dxa"/>
                  <w:shd w:val="clear" w:color="auto" w:fill="auto"/>
                </w:tcPr>
                <w:p w:rsidR="00062C7C" w:rsidRPr="00E611D5" w:rsidRDefault="00062C7C" w:rsidP="00324946">
                  <w:pPr>
                    <w:pStyle w:val="TableBodyText"/>
                  </w:pPr>
                </w:p>
              </w:tc>
              <w:tc>
                <w:tcPr>
                  <w:tcW w:w="794" w:type="dxa"/>
                  <w:shd w:val="clear" w:color="auto" w:fill="auto"/>
                </w:tcPr>
                <w:p w:rsidR="00062C7C" w:rsidRPr="00E611D5" w:rsidRDefault="00062C7C" w:rsidP="00324946">
                  <w:pPr>
                    <w:pStyle w:val="TableBodyText"/>
                  </w:pPr>
                  <w:r w:rsidRPr="00E611D5">
                    <w:t>5</w:t>
                  </w:r>
                </w:p>
              </w:tc>
              <w:tc>
                <w:tcPr>
                  <w:tcW w:w="680" w:type="dxa"/>
                  <w:shd w:val="clear" w:color="auto" w:fill="auto"/>
                </w:tcPr>
                <w:p w:rsidR="00062C7C" w:rsidRPr="00E611D5" w:rsidRDefault="00062C7C" w:rsidP="00324946">
                  <w:pPr>
                    <w:pStyle w:val="TableBodyText"/>
                  </w:pPr>
                  <w:r w:rsidRPr="00E611D5">
                    <w:t>8</w:t>
                  </w:r>
                </w:p>
              </w:tc>
              <w:tc>
                <w:tcPr>
                  <w:tcW w:w="737" w:type="dxa"/>
                  <w:shd w:val="clear" w:color="auto" w:fill="auto"/>
                </w:tcPr>
                <w:p w:rsidR="00062C7C" w:rsidRPr="00E611D5" w:rsidRDefault="00062C7C" w:rsidP="00324946">
                  <w:pPr>
                    <w:pStyle w:val="TableBodyText"/>
                  </w:pPr>
                  <w:r w:rsidRPr="00E611D5">
                    <w:t>13</w:t>
                  </w:r>
                </w:p>
              </w:tc>
            </w:tr>
            <w:tr w:rsidR="00062C7C" w:rsidTr="00062C7C">
              <w:tc>
                <w:tcPr>
                  <w:tcW w:w="1644" w:type="dxa"/>
                  <w:shd w:val="clear" w:color="auto" w:fill="auto"/>
                </w:tcPr>
                <w:p w:rsidR="00062C7C" w:rsidRPr="00E611D5" w:rsidRDefault="00062C7C" w:rsidP="00324946">
                  <w:pPr>
                    <w:pStyle w:val="TableBodyText"/>
                    <w:jc w:val="left"/>
                  </w:pPr>
                  <w:r w:rsidRPr="00E611D5">
                    <w:t>Staff Level 4</w:t>
                  </w:r>
                </w:p>
              </w:tc>
              <w:tc>
                <w:tcPr>
                  <w:tcW w:w="794" w:type="dxa"/>
                  <w:shd w:val="clear" w:color="auto" w:fill="auto"/>
                </w:tcPr>
                <w:p w:rsidR="00062C7C" w:rsidRPr="00E611D5" w:rsidRDefault="00062C7C" w:rsidP="00324946">
                  <w:pPr>
                    <w:pStyle w:val="TableBodyText"/>
                  </w:pPr>
                  <w:r w:rsidRPr="00E611D5">
                    <w:t>8</w:t>
                  </w:r>
                </w:p>
              </w:tc>
              <w:tc>
                <w:tcPr>
                  <w:tcW w:w="679" w:type="dxa"/>
                  <w:shd w:val="clear" w:color="auto" w:fill="auto"/>
                </w:tcPr>
                <w:p w:rsidR="00062C7C" w:rsidRPr="00E611D5" w:rsidRDefault="00062C7C" w:rsidP="00324946">
                  <w:pPr>
                    <w:pStyle w:val="TableBodyText"/>
                  </w:pPr>
                  <w:r w:rsidRPr="00E611D5">
                    <w:t>13</w:t>
                  </w:r>
                </w:p>
              </w:tc>
              <w:tc>
                <w:tcPr>
                  <w:tcW w:w="737" w:type="dxa"/>
                  <w:shd w:val="clear" w:color="auto" w:fill="auto"/>
                </w:tcPr>
                <w:p w:rsidR="00062C7C" w:rsidRPr="00E611D5" w:rsidRDefault="00062C7C" w:rsidP="00324946">
                  <w:pPr>
                    <w:pStyle w:val="TableBodyText"/>
                  </w:pPr>
                  <w:r w:rsidRPr="00E611D5">
                    <w:t>21</w:t>
                  </w:r>
                </w:p>
              </w:tc>
              <w:tc>
                <w:tcPr>
                  <w:tcW w:w="114" w:type="dxa"/>
                  <w:shd w:val="clear" w:color="auto" w:fill="auto"/>
                </w:tcPr>
                <w:p w:rsidR="00062C7C" w:rsidRPr="00E611D5" w:rsidRDefault="00062C7C" w:rsidP="00324946">
                  <w:pPr>
                    <w:pStyle w:val="TableBodyText"/>
                  </w:pPr>
                </w:p>
              </w:tc>
              <w:tc>
                <w:tcPr>
                  <w:tcW w:w="794" w:type="dxa"/>
                  <w:shd w:val="clear" w:color="auto" w:fill="auto"/>
                </w:tcPr>
                <w:p w:rsidR="00062C7C" w:rsidRPr="00E611D5" w:rsidRDefault="00062C7C" w:rsidP="00324946">
                  <w:pPr>
                    <w:pStyle w:val="TableBodyText"/>
                  </w:pPr>
                  <w:r w:rsidRPr="00E611D5">
                    <w:t>7</w:t>
                  </w:r>
                </w:p>
              </w:tc>
              <w:tc>
                <w:tcPr>
                  <w:tcW w:w="680" w:type="dxa"/>
                  <w:shd w:val="clear" w:color="auto" w:fill="auto"/>
                </w:tcPr>
                <w:p w:rsidR="00062C7C" w:rsidRPr="00E611D5" w:rsidRDefault="00062C7C" w:rsidP="00324946">
                  <w:pPr>
                    <w:pStyle w:val="TableBodyText"/>
                  </w:pPr>
                  <w:r w:rsidRPr="00E611D5">
                    <w:t>12</w:t>
                  </w:r>
                </w:p>
              </w:tc>
              <w:tc>
                <w:tcPr>
                  <w:tcW w:w="737" w:type="dxa"/>
                  <w:shd w:val="clear" w:color="auto" w:fill="auto"/>
                </w:tcPr>
                <w:p w:rsidR="00062C7C" w:rsidRPr="00E611D5" w:rsidRDefault="00062C7C" w:rsidP="00324946">
                  <w:pPr>
                    <w:pStyle w:val="TableBodyText"/>
                  </w:pPr>
                  <w:r w:rsidRPr="00E611D5">
                    <w:t>19</w:t>
                  </w:r>
                </w:p>
              </w:tc>
              <w:tc>
                <w:tcPr>
                  <w:tcW w:w="113" w:type="dxa"/>
                  <w:shd w:val="clear" w:color="auto" w:fill="auto"/>
                </w:tcPr>
                <w:p w:rsidR="00062C7C" w:rsidRPr="00E611D5" w:rsidRDefault="00062C7C" w:rsidP="00324946">
                  <w:pPr>
                    <w:pStyle w:val="TableBodyText"/>
                  </w:pPr>
                </w:p>
              </w:tc>
              <w:tc>
                <w:tcPr>
                  <w:tcW w:w="794" w:type="dxa"/>
                  <w:shd w:val="clear" w:color="auto" w:fill="auto"/>
                </w:tcPr>
                <w:p w:rsidR="00062C7C" w:rsidRPr="00E611D5" w:rsidRDefault="00062C7C" w:rsidP="00324946">
                  <w:pPr>
                    <w:pStyle w:val="TableBodyText"/>
                  </w:pPr>
                  <w:r w:rsidRPr="00E611D5">
                    <w:t>15</w:t>
                  </w:r>
                </w:p>
              </w:tc>
              <w:tc>
                <w:tcPr>
                  <w:tcW w:w="680" w:type="dxa"/>
                  <w:shd w:val="clear" w:color="auto" w:fill="auto"/>
                </w:tcPr>
                <w:p w:rsidR="00062C7C" w:rsidRPr="00E611D5" w:rsidRDefault="00062C7C" w:rsidP="00324946">
                  <w:pPr>
                    <w:pStyle w:val="TableBodyText"/>
                  </w:pPr>
                  <w:r w:rsidRPr="00E611D5">
                    <w:t>25</w:t>
                  </w:r>
                </w:p>
              </w:tc>
              <w:tc>
                <w:tcPr>
                  <w:tcW w:w="737" w:type="dxa"/>
                  <w:shd w:val="clear" w:color="auto" w:fill="auto"/>
                </w:tcPr>
                <w:p w:rsidR="00062C7C" w:rsidRPr="00E611D5" w:rsidRDefault="00062C7C" w:rsidP="00324946">
                  <w:pPr>
                    <w:pStyle w:val="TableBodyText"/>
                  </w:pPr>
                  <w:r w:rsidRPr="00E611D5">
                    <w:t>40</w:t>
                  </w:r>
                </w:p>
              </w:tc>
            </w:tr>
            <w:tr w:rsidR="00062C7C" w:rsidTr="00324946">
              <w:tc>
                <w:tcPr>
                  <w:tcW w:w="1644" w:type="dxa"/>
                  <w:shd w:val="clear" w:color="auto" w:fill="auto"/>
                </w:tcPr>
                <w:p w:rsidR="00062C7C" w:rsidRPr="00E611D5" w:rsidRDefault="00062C7C" w:rsidP="00324946">
                  <w:pPr>
                    <w:pStyle w:val="TableBodyText"/>
                    <w:jc w:val="left"/>
                  </w:pPr>
                  <w:r w:rsidRPr="00E611D5">
                    <w:t>Staff Level 3</w:t>
                  </w:r>
                </w:p>
              </w:tc>
              <w:tc>
                <w:tcPr>
                  <w:tcW w:w="794" w:type="dxa"/>
                  <w:shd w:val="clear" w:color="auto" w:fill="auto"/>
                </w:tcPr>
                <w:p w:rsidR="00062C7C" w:rsidRPr="00E611D5" w:rsidRDefault="00062C7C" w:rsidP="00324946">
                  <w:pPr>
                    <w:pStyle w:val="TableBodyText"/>
                  </w:pPr>
                  <w:r w:rsidRPr="00E611D5">
                    <w:t>16</w:t>
                  </w:r>
                </w:p>
              </w:tc>
              <w:tc>
                <w:tcPr>
                  <w:tcW w:w="679" w:type="dxa"/>
                  <w:shd w:val="clear" w:color="auto" w:fill="auto"/>
                </w:tcPr>
                <w:p w:rsidR="00062C7C" w:rsidRPr="00E611D5" w:rsidRDefault="00062C7C" w:rsidP="00324946">
                  <w:pPr>
                    <w:pStyle w:val="TableBodyText"/>
                  </w:pPr>
                  <w:r w:rsidRPr="00E611D5">
                    <w:t>14</w:t>
                  </w:r>
                </w:p>
              </w:tc>
              <w:tc>
                <w:tcPr>
                  <w:tcW w:w="737" w:type="dxa"/>
                  <w:shd w:val="clear" w:color="auto" w:fill="auto"/>
                </w:tcPr>
                <w:p w:rsidR="00062C7C" w:rsidRPr="00E611D5" w:rsidRDefault="00062C7C" w:rsidP="00324946">
                  <w:pPr>
                    <w:pStyle w:val="TableBodyText"/>
                  </w:pPr>
                  <w:r w:rsidRPr="00E611D5">
                    <w:t>30</w:t>
                  </w:r>
                </w:p>
              </w:tc>
              <w:tc>
                <w:tcPr>
                  <w:tcW w:w="114" w:type="dxa"/>
                  <w:shd w:val="clear" w:color="auto" w:fill="auto"/>
                </w:tcPr>
                <w:p w:rsidR="00062C7C" w:rsidRPr="00E611D5" w:rsidRDefault="00062C7C" w:rsidP="00324946">
                  <w:pPr>
                    <w:pStyle w:val="TableBodyText"/>
                  </w:pPr>
                </w:p>
              </w:tc>
              <w:tc>
                <w:tcPr>
                  <w:tcW w:w="794" w:type="dxa"/>
                  <w:shd w:val="clear" w:color="auto" w:fill="auto"/>
                </w:tcPr>
                <w:p w:rsidR="00062C7C" w:rsidRPr="00E611D5" w:rsidRDefault="00062C7C" w:rsidP="00324946">
                  <w:pPr>
                    <w:pStyle w:val="TableBodyText"/>
                  </w:pPr>
                  <w:r w:rsidRPr="00E611D5">
                    <w:t>5</w:t>
                  </w:r>
                </w:p>
              </w:tc>
              <w:tc>
                <w:tcPr>
                  <w:tcW w:w="680" w:type="dxa"/>
                  <w:shd w:val="clear" w:color="auto" w:fill="auto"/>
                </w:tcPr>
                <w:p w:rsidR="00062C7C" w:rsidRPr="00E611D5" w:rsidRDefault="00062C7C" w:rsidP="00324946">
                  <w:pPr>
                    <w:pStyle w:val="TableBodyText"/>
                  </w:pPr>
                  <w:r w:rsidRPr="00E611D5">
                    <w:t>8</w:t>
                  </w:r>
                </w:p>
              </w:tc>
              <w:tc>
                <w:tcPr>
                  <w:tcW w:w="737" w:type="dxa"/>
                  <w:shd w:val="clear" w:color="auto" w:fill="auto"/>
                </w:tcPr>
                <w:p w:rsidR="00062C7C" w:rsidRPr="00E611D5" w:rsidRDefault="00062C7C" w:rsidP="00324946">
                  <w:pPr>
                    <w:pStyle w:val="TableBodyText"/>
                  </w:pPr>
                  <w:r w:rsidRPr="00E611D5">
                    <w:t>13</w:t>
                  </w:r>
                </w:p>
              </w:tc>
              <w:tc>
                <w:tcPr>
                  <w:tcW w:w="113" w:type="dxa"/>
                  <w:shd w:val="clear" w:color="auto" w:fill="auto"/>
                </w:tcPr>
                <w:p w:rsidR="00062C7C" w:rsidRPr="00E611D5" w:rsidRDefault="00062C7C" w:rsidP="00324946">
                  <w:pPr>
                    <w:pStyle w:val="TableBodyText"/>
                  </w:pPr>
                </w:p>
              </w:tc>
              <w:tc>
                <w:tcPr>
                  <w:tcW w:w="794" w:type="dxa"/>
                  <w:shd w:val="clear" w:color="auto" w:fill="auto"/>
                </w:tcPr>
                <w:p w:rsidR="00062C7C" w:rsidRPr="00E611D5" w:rsidRDefault="00062C7C" w:rsidP="00324946">
                  <w:pPr>
                    <w:pStyle w:val="TableBodyText"/>
                  </w:pPr>
                  <w:r w:rsidRPr="00E611D5">
                    <w:t>21</w:t>
                  </w:r>
                </w:p>
              </w:tc>
              <w:tc>
                <w:tcPr>
                  <w:tcW w:w="680" w:type="dxa"/>
                  <w:shd w:val="clear" w:color="auto" w:fill="auto"/>
                </w:tcPr>
                <w:p w:rsidR="00062C7C" w:rsidRPr="00E611D5" w:rsidRDefault="00062C7C" w:rsidP="00324946">
                  <w:pPr>
                    <w:pStyle w:val="TableBodyText"/>
                  </w:pPr>
                  <w:r w:rsidRPr="00E611D5">
                    <w:t>22</w:t>
                  </w:r>
                </w:p>
              </w:tc>
              <w:tc>
                <w:tcPr>
                  <w:tcW w:w="737" w:type="dxa"/>
                  <w:shd w:val="clear" w:color="auto" w:fill="auto"/>
                </w:tcPr>
                <w:p w:rsidR="00062C7C" w:rsidRPr="00E611D5" w:rsidRDefault="00062C7C" w:rsidP="00324946">
                  <w:pPr>
                    <w:pStyle w:val="TableBodyText"/>
                  </w:pPr>
                  <w:r w:rsidRPr="00E611D5">
                    <w:t>43</w:t>
                  </w:r>
                </w:p>
              </w:tc>
            </w:tr>
            <w:tr w:rsidR="00062C7C" w:rsidTr="00324946">
              <w:tc>
                <w:tcPr>
                  <w:tcW w:w="1644" w:type="dxa"/>
                  <w:shd w:val="clear" w:color="auto" w:fill="auto"/>
                </w:tcPr>
                <w:p w:rsidR="00062C7C" w:rsidRPr="00E611D5" w:rsidRDefault="00062C7C" w:rsidP="00324946">
                  <w:pPr>
                    <w:pStyle w:val="TableBodyText"/>
                    <w:jc w:val="left"/>
                  </w:pPr>
                  <w:r w:rsidRPr="00E611D5">
                    <w:t>Staff Level 2</w:t>
                  </w:r>
                </w:p>
              </w:tc>
              <w:tc>
                <w:tcPr>
                  <w:tcW w:w="794" w:type="dxa"/>
                  <w:shd w:val="clear" w:color="auto" w:fill="auto"/>
                </w:tcPr>
                <w:p w:rsidR="00062C7C" w:rsidRPr="00E611D5" w:rsidRDefault="00062C7C" w:rsidP="00324946">
                  <w:pPr>
                    <w:pStyle w:val="TableBodyText"/>
                  </w:pPr>
                  <w:r w:rsidRPr="00E611D5">
                    <w:t>17</w:t>
                  </w:r>
                </w:p>
              </w:tc>
              <w:tc>
                <w:tcPr>
                  <w:tcW w:w="679" w:type="dxa"/>
                  <w:shd w:val="clear" w:color="auto" w:fill="auto"/>
                </w:tcPr>
                <w:p w:rsidR="00062C7C" w:rsidRPr="00E611D5" w:rsidRDefault="00062C7C" w:rsidP="00324946">
                  <w:pPr>
                    <w:pStyle w:val="TableBodyText"/>
                  </w:pPr>
                  <w:r w:rsidRPr="00E611D5">
                    <w:t>12</w:t>
                  </w:r>
                </w:p>
              </w:tc>
              <w:tc>
                <w:tcPr>
                  <w:tcW w:w="737" w:type="dxa"/>
                  <w:shd w:val="clear" w:color="auto" w:fill="auto"/>
                </w:tcPr>
                <w:p w:rsidR="00062C7C" w:rsidRPr="00E611D5" w:rsidRDefault="00062C7C" w:rsidP="00324946">
                  <w:pPr>
                    <w:pStyle w:val="TableBodyText"/>
                  </w:pPr>
                  <w:r w:rsidRPr="00E611D5">
                    <w:t>29</w:t>
                  </w:r>
                </w:p>
              </w:tc>
              <w:tc>
                <w:tcPr>
                  <w:tcW w:w="114" w:type="dxa"/>
                  <w:shd w:val="clear" w:color="auto" w:fill="auto"/>
                </w:tcPr>
                <w:p w:rsidR="00062C7C" w:rsidRPr="00E611D5" w:rsidRDefault="00062C7C" w:rsidP="00324946">
                  <w:pPr>
                    <w:pStyle w:val="TableBodyText"/>
                  </w:pPr>
                </w:p>
              </w:tc>
              <w:tc>
                <w:tcPr>
                  <w:tcW w:w="794" w:type="dxa"/>
                  <w:shd w:val="clear" w:color="auto" w:fill="auto"/>
                </w:tcPr>
                <w:p w:rsidR="00062C7C" w:rsidRPr="00E611D5" w:rsidRDefault="00062C7C" w:rsidP="00324946">
                  <w:pPr>
                    <w:pStyle w:val="TableBodyText"/>
                  </w:pPr>
                  <w:r w:rsidRPr="00E611D5">
                    <w:t>7</w:t>
                  </w:r>
                </w:p>
              </w:tc>
              <w:tc>
                <w:tcPr>
                  <w:tcW w:w="680" w:type="dxa"/>
                  <w:shd w:val="clear" w:color="auto" w:fill="auto"/>
                </w:tcPr>
                <w:p w:rsidR="00062C7C" w:rsidRPr="00E611D5" w:rsidRDefault="00062C7C" w:rsidP="00324946">
                  <w:pPr>
                    <w:pStyle w:val="TableBodyText"/>
                  </w:pPr>
                  <w:r w:rsidRPr="00E611D5">
                    <w:t>7</w:t>
                  </w:r>
                </w:p>
              </w:tc>
              <w:tc>
                <w:tcPr>
                  <w:tcW w:w="737" w:type="dxa"/>
                  <w:shd w:val="clear" w:color="auto" w:fill="auto"/>
                </w:tcPr>
                <w:p w:rsidR="00062C7C" w:rsidRPr="00E611D5" w:rsidRDefault="00062C7C" w:rsidP="00324946">
                  <w:pPr>
                    <w:pStyle w:val="TableBodyText"/>
                  </w:pPr>
                  <w:r w:rsidRPr="00E611D5">
                    <w:t>14</w:t>
                  </w:r>
                </w:p>
              </w:tc>
              <w:tc>
                <w:tcPr>
                  <w:tcW w:w="113" w:type="dxa"/>
                  <w:shd w:val="clear" w:color="auto" w:fill="auto"/>
                </w:tcPr>
                <w:p w:rsidR="00062C7C" w:rsidRPr="00E611D5" w:rsidRDefault="00062C7C" w:rsidP="00324946">
                  <w:pPr>
                    <w:pStyle w:val="TableBodyText"/>
                  </w:pPr>
                </w:p>
              </w:tc>
              <w:tc>
                <w:tcPr>
                  <w:tcW w:w="794" w:type="dxa"/>
                  <w:shd w:val="clear" w:color="auto" w:fill="auto"/>
                </w:tcPr>
                <w:p w:rsidR="00062C7C" w:rsidRPr="00E611D5" w:rsidRDefault="00062C7C" w:rsidP="00324946">
                  <w:pPr>
                    <w:pStyle w:val="TableBodyText"/>
                  </w:pPr>
                  <w:r w:rsidRPr="00E611D5">
                    <w:t>24</w:t>
                  </w:r>
                </w:p>
              </w:tc>
              <w:tc>
                <w:tcPr>
                  <w:tcW w:w="680" w:type="dxa"/>
                  <w:shd w:val="clear" w:color="auto" w:fill="auto"/>
                </w:tcPr>
                <w:p w:rsidR="00062C7C" w:rsidRPr="00E611D5" w:rsidRDefault="00062C7C" w:rsidP="00324946">
                  <w:pPr>
                    <w:pStyle w:val="TableBodyText"/>
                  </w:pPr>
                  <w:r w:rsidRPr="00E611D5">
                    <w:t>19</w:t>
                  </w:r>
                </w:p>
              </w:tc>
              <w:tc>
                <w:tcPr>
                  <w:tcW w:w="737" w:type="dxa"/>
                  <w:shd w:val="clear" w:color="auto" w:fill="auto"/>
                </w:tcPr>
                <w:p w:rsidR="00062C7C" w:rsidRPr="00E611D5" w:rsidRDefault="00062C7C" w:rsidP="00324946">
                  <w:pPr>
                    <w:pStyle w:val="TableBodyText"/>
                  </w:pPr>
                  <w:r w:rsidRPr="00E611D5">
                    <w:t>43</w:t>
                  </w:r>
                </w:p>
              </w:tc>
            </w:tr>
            <w:tr w:rsidR="00062C7C" w:rsidTr="00324946">
              <w:tc>
                <w:tcPr>
                  <w:tcW w:w="1644" w:type="dxa"/>
                  <w:shd w:val="clear" w:color="auto" w:fill="auto"/>
                </w:tcPr>
                <w:p w:rsidR="00062C7C" w:rsidRPr="00E611D5" w:rsidRDefault="00062C7C" w:rsidP="00324946">
                  <w:pPr>
                    <w:pStyle w:val="TableBodyText"/>
                    <w:jc w:val="left"/>
                  </w:pPr>
                  <w:r w:rsidRPr="00E611D5">
                    <w:t>Staff Level 1</w:t>
                  </w:r>
                </w:p>
              </w:tc>
              <w:tc>
                <w:tcPr>
                  <w:tcW w:w="794" w:type="dxa"/>
                  <w:shd w:val="clear" w:color="auto" w:fill="auto"/>
                </w:tcPr>
                <w:p w:rsidR="00062C7C" w:rsidRPr="00E611D5" w:rsidRDefault="00062C7C" w:rsidP="00324946">
                  <w:pPr>
                    <w:pStyle w:val="TableBodyText"/>
                  </w:pPr>
                  <w:r w:rsidRPr="00E611D5">
                    <w:t>9</w:t>
                  </w:r>
                </w:p>
              </w:tc>
              <w:tc>
                <w:tcPr>
                  <w:tcW w:w="679" w:type="dxa"/>
                  <w:shd w:val="clear" w:color="auto" w:fill="auto"/>
                </w:tcPr>
                <w:p w:rsidR="00062C7C" w:rsidRPr="00E611D5" w:rsidRDefault="00062C7C" w:rsidP="00324946">
                  <w:pPr>
                    <w:pStyle w:val="TableBodyText"/>
                  </w:pPr>
                  <w:r w:rsidRPr="00E611D5">
                    <w:t>4</w:t>
                  </w:r>
                </w:p>
              </w:tc>
              <w:tc>
                <w:tcPr>
                  <w:tcW w:w="737" w:type="dxa"/>
                  <w:shd w:val="clear" w:color="auto" w:fill="auto"/>
                </w:tcPr>
                <w:p w:rsidR="00062C7C" w:rsidRPr="00E611D5" w:rsidRDefault="00062C7C" w:rsidP="00324946">
                  <w:pPr>
                    <w:pStyle w:val="TableBodyText"/>
                  </w:pPr>
                  <w:r w:rsidRPr="00E611D5">
                    <w:t>13</w:t>
                  </w:r>
                </w:p>
              </w:tc>
              <w:tc>
                <w:tcPr>
                  <w:tcW w:w="114" w:type="dxa"/>
                  <w:shd w:val="clear" w:color="auto" w:fill="auto"/>
                </w:tcPr>
                <w:p w:rsidR="00062C7C" w:rsidRPr="00E611D5" w:rsidRDefault="00062C7C" w:rsidP="00324946">
                  <w:pPr>
                    <w:pStyle w:val="TableBodyText"/>
                  </w:pPr>
                </w:p>
              </w:tc>
              <w:tc>
                <w:tcPr>
                  <w:tcW w:w="794" w:type="dxa"/>
                  <w:shd w:val="clear" w:color="auto" w:fill="auto"/>
                </w:tcPr>
                <w:p w:rsidR="00062C7C" w:rsidRPr="00E611D5" w:rsidRDefault="00062C7C" w:rsidP="00324946">
                  <w:pPr>
                    <w:pStyle w:val="TableBodyText"/>
                  </w:pPr>
                  <w:r w:rsidRPr="00E611D5">
                    <w:t>7</w:t>
                  </w:r>
                </w:p>
              </w:tc>
              <w:tc>
                <w:tcPr>
                  <w:tcW w:w="680" w:type="dxa"/>
                  <w:shd w:val="clear" w:color="auto" w:fill="auto"/>
                </w:tcPr>
                <w:p w:rsidR="00062C7C" w:rsidRPr="00E611D5" w:rsidRDefault="00062C7C" w:rsidP="00324946">
                  <w:pPr>
                    <w:pStyle w:val="TableBodyText"/>
                  </w:pPr>
                  <w:r w:rsidRPr="00E611D5">
                    <w:t>2</w:t>
                  </w:r>
                </w:p>
              </w:tc>
              <w:tc>
                <w:tcPr>
                  <w:tcW w:w="737" w:type="dxa"/>
                  <w:shd w:val="clear" w:color="auto" w:fill="auto"/>
                </w:tcPr>
                <w:p w:rsidR="00062C7C" w:rsidRPr="00E611D5" w:rsidRDefault="00062C7C" w:rsidP="00324946">
                  <w:pPr>
                    <w:pStyle w:val="TableBodyText"/>
                  </w:pPr>
                  <w:r w:rsidRPr="00E611D5">
                    <w:t>9</w:t>
                  </w:r>
                </w:p>
              </w:tc>
              <w:tc>
                <w:tcPr>
                  <w:tcW w:w="113" w:type="dxa"/>
                  <w:shd w:val="clear" w:color="auto" w:fill="auto"/>
                </w:tcPr>
                <w:p w:rsidR="00062C7C" w:rsidRPr="00E611D5" w:rsidRDefault="00062C7C" w:rsidP="00324946">
                  <w:pPr>
                    <w:pStyle w:val="TableBodyText"/>
                  </w:pPr>
                </w:p>
              </w:tc>
              <w:tc>
                <w:tcPr>
                  <w:tcW w:w="794" w:type="dxa"/>
                  <w:shd w:val="clear" w:color="auto" w:fill="auto"/>
                </w:tcPr>
                <w:p w:rsidR="00062C7C" w:rsidRPr="00E611D5" w:rsidRDefault="00062C7C" w:rsidP="00324946">
                  <w:pPr>
                    <w:pStyle w:val="TableBodyText"/>
                  </w:pPr>
                  <w:r w:rsidRPr="00E611D5">
                    <w:t>16</w:t>
                  </w:r>
                </w:p>
              </w:tc>
              <w:tc>
                <w:tcPr>
                  <w:tcW w:w="680" w:type="dxa"/>
                  <w:shd w:val="clear" w:color="auto" w:fill="auto"/>
                </w:tcPr>
                <w:p w:rsidR="00062C7C" w:rsidRPr="00E611D5" w:rsidRDefault="00062C7C" w:rsidP="00324946">
                  <w:pPr>
                    <w:pStyle w:val="TableBodyText"/>
                  </w:pPr>
                  <w:r w:rsidRPr="00E611D5">
                    <w:t>6</w:t>
                  </w:r>
                </w:p>
              </w:tc>
              <w:tc>
                <w:tcPr>
                  <w:tcW w:w="737" w:type="dxa"/>
                  <w:shd w:val="clear" w:color="auto" w:fill="auto"/>
                </w:tcPr>
                <w:p w:rsidR="00062C7C" w:rsidRPr="00E611D5" w:rsidRDefault="00062C7C" w:rsidP="00324946">
                  <w:pPr>
                    <w:pStyle w:val="TableBodyText"/>
                  </w:pPr>
                  <w:r w:rsidRPr="00E611D5">
                    <w:t>22</w:t>
                  </w:r>
                </w:p>
              </w:tc>
            </w:tr>
            <w:tr w:rsidR="00062C7C" w:rsidTr="00324946">
              <w:tc>
                <w:tcPr>
                  <w:tcW w:w="1644" w:type="dxa"/>
                  <w:shd w:val="clear" w:color="auto" w:fill="auto"/>
                </w:tcPr>
                <w:p w:rsidR="00062C7C" w:rsidRPr="00E611D5" w:rsidRDefault="00062C7C" w:rsidP="00324946">
                  <w:pPr>
                    <w:pStyle w:val="TableBodyText"/>
                    <w:jc w:val="left"/>
                    <w:rPr>
                      <w:b/>
                      <w:position w:val="6"/>
                    </w:rPr>
                  </w:pPr>
                  <w:r w:rsidRPr="00E611D5">
                    <w:rPr>
                      <w:b/>
                    </w:rPr>
                    <w:t>Total</w:t>
                  </w:r>
                  <w:r w:rsidRPr="00E611D5">
                    <w:rPr>
                      <w:b/>
                      <w:position w:val="6"/>
                    </w:rPr>
                    <w:t>b</w:t>
                  </w:r>
                </w:p>
              </w:tc>
              <w:tc>
                <w:tcPr>
                  <w:tcW w:w="794" w:type="dxa"/>
                  <w:shd w:val="clear" w:color="auto" w:fill="auto"/>
                  <w:vAlign w:val="bottom"/>
                </w:tcPr>
                <w:p w:rsidR="00062C7C" w:rsidRPr="00E611D5" w:rsidRDefault="00062C7C" w:rsidP="00324946">
                  <w:pPr>
                    <w:pStyle w:val="TableBodyText"/>
                    <w:rPr>
                      <w:b/>
                    </w:rPr>
                  </w:pPr>
                  <w:r w:rsidRPr="00E611D5">
                    <w:rPr>
                      <w:b/>
                    </w:rPr>
                    <w:t>53</w:t>
                  </w:r>
                </w:p>
              </w:tc>
              <w:tc>
                <w:tcPr>
                  <w:tcW w:w="679" w:type="dxa"/>
                  <w:shd w:val="clear" w:color="auto" w:fill="auto"/>
                  <w:vAlign w:val="bottom"/>
                </w:tcPr>
                <w:p w:rsidR="00062C7C" w:rsidRPr="00E611D5" w:rsidRDefault="00062C7C" w:rsidP="00324946">
                  <w:pPr>
                    <w:pStyle w:val="TableBodyText"/>
                    <w:rPr>
                      <w:b/>
                    </w:rPr>
                  </w:pPr>
                  <w:r w:rsidRPr="00E611D5">
                    <w:rPr>
                      <w:b/>
                    </w:rPr>
                    <w:t>48</w:t>
                  </w:r>
                </w:p>
              </w:tc>
              <w:tc>
                <w:tcPr>
                  <w:tcW w:w="737" w:type="dxa"/>
                  <w:shd w:val="clear" w:color="auto" w:fill="auto"/>
                  <w:vAlign w:val="bottom"/>
                </w:tcPr>
                <w:p w:rsidR="00062C7C" w:rsidRPr="00E611D5" w:rsidRDefault="00062C7C" w:rsidP="00324946">
                  <w:pPr>
                    <w:pStyle w:val="TableBodyText"/>
                    <w:rPr>
                      <w:b/>
                    </w:rPr>
                  </w:pPr>
                  <w:r w:rsidRPr="00E611D5">
                    <w:rPr>
                      <w:b/>
                    </w:rPr>
                    <w:t>101</w:t>
                  </w:r>
                </w:p>
              </w:tc>
              <w:tc>
                <w:tcPr>
                  <w:tcW w:w="114" w:type="dxa"/>
                  <w:shd w:val="clear" w:color="auto" w:fill="auto"/>
                  <w:vAlign w:val="bottom"/>
                </w:tcPr>
                <w:p w:rsidR="00062C7C" w:rsidRPr="00E611D5" w:rsidRDefault="00062C7C" w:rsidP="00324946">
                  <w:pPr>
                    <w:pStyle w:val="TableBodyText"/>
                    <w:rPr>
                      <w:b/>
                    </w:rPr>
                  </w:pPr>
                </w:p>
              </w:tc>
              <w:tc>
                <w:tcPr>
                  <w:tcW w:w="794" w:type="dxa"/>
                  <w:shd w:val="clear" w:color="auto" w:fill="auto"/>
                  <w:vAlign w:val="bottom"/>
                </w:tcPr>
                <w:p w:rsidR="00062C7C" w:rsidRPr="00E611D5" w:rsidRDefault="00062C7C" w:rsidP="00324946">
                  <w:pPr>
                    <w:pStyle w:val="TableBodyText"/>
                    <w:rPr>
                      <w:b/>
                    </w:rPr>
                  </w:pPr>
                  <w:r w:rsidRPr="00E611D5">
                    <w:rPr>
                      <w:b/>
                    </w:rPr>
                    <w:t>30</w:t>
                  </w:r>
                </w:p>
              </w:tc>
              <w:tc>
                <w:tcPr>
                  <w:tcW w:w="680" w:type="dxa"/>
                  <w:shd w:val="clear" w:color="auto" w:fill="auto"/>
                  <w:vAlign w:val="bottom"/>
                </w:tcPr>
                <w:p w:rsidR="00062C7C" w:rsidRPr="00E611D5" w:rsidRDefault="00062C7C" w:rsidP="00324946">
                  <w:pPr>
                    <w:pStyle w:val="TableBodyText"/>
                    <w:rPr>
                      <w:b/>
                    </w:rPr>
                  </w:pPr>
                  <w:r w:rsidRPr="00E611D5">
                    <w:rPr>
                      <w:b/>
                    </w:rPr>
                    <w:t>34</w:t>
                  </w:r>
                </w:p>
              </w:tc>
              <w:tc>
                <w:tcPr>
                  <w:tcW w:w="737" w:type="dxa"/>
                  <w:shd w:val="clear" w:color="auto" w:fill="auto"/>
                  <w:vAlign w:val="bottom"/>
                </w:tcPr>
                <w:p w:rsidR="00062C7C" w:rsidRPr="00E611D5" w:rsidRDefault="00062C7C" w:rsidP="00324946">
                  <w:pPr>
                    <w:pStyle w:val="TableBodyText"/>
                    <w:rPr>
                      <w:b/>
                    </w:rPr>
                  </w:pPr>
                  <w:r w:rsidRPr="00E611D5">
                    <w:rPr>
                      <w:b/>
                    </w:rPr>
                    <w:t>64</w:t>
                  </w:r>
                </w:p>
              </w:tc>
              <w:tc>
                <w:tcPr>
                  <w:tcW w:w="113" w:type="dxa"/>
                  <w:shd w:val="clear" w:color="auto" w:fill="auto"/>
                  <w:vAlign w:val="bottom"/>
                </w:tcPr>
                <w:p w:rsidR="00062C7C" w:rsidRPr="00E611D5" w:rsidRDefault="00062C7C" w:rsidP="00324946">
                  <w:pPr>
                    <w:pStyle w:val="TableBodyText"/>
                    <w:rPr>
                      <w:b/>
                    </w:rPr>
                  </w:pPr>
                </w:p>
              </w:tc>
              <w:tc>
                <w:tcPr>
                  <w:tcW w:w="794" w:type="dxa"/>
                  <w:shd w:val="clear" w:color="auto" w:fill="auto"/>
                  <w:vAlign w:val="bottom"/>
                </w:tcPr>
                <w:p w:rsidR="00062C7C" w:rsidRPr="00E611D5" w:rsidRDefault="00062C7C" w:rsidP="00324946">
                  <w:pPr>
                    <w:pStyle w:val="TableBodyText"/>
                    <w:rPr>
                      <w:b/>
                    </w:rPr>
                  </w:pPr>
                  <w:r w:rsidRPr="00E611D5">
                    <w:rPr>
                      <w:b/>
                    </w:rPr>
                    <w:t>83</w:t>
                  </w:r>
                </w:p>
              </w:tc>
              <w:tc>
                <w:tcPr>
                  <w:tcW w:w="680" w:type="dxa"/>
                  <w:shd w:val="clear" w:color="auto" w:fill="auto"/>
                  <w:vAlign w:val="bottom"/>
                </w:tcPr>
                <w:p w:rsidR="00062C7C" w:rsidRPr="00E611D5" w:rsidRDefault="00062C7C" w:rsidP="00324946">
                  <w:pPr>
                    <w:pStyle w:val="TableBodyText"/>
                    <w:rPr>
                      <w:b/>
                    </w:rPr>
                  </w:pPr>
                  <w:r w:rsidRPr="00E611D5">
                    <w:rPr>
                      <w:b/>
                    </w:rPr>
                    <w:t>82</w:t>
                  </w:r>
                </w:p>
              </w:tc>
              <w:tc>
                <w:tcPr>
                  <w:tcW w:w="737" w:type="dxa"/>
                  <w:shd w:val="clear" w:color="auto" w:fill="auto"/>
                  <w:vAlign w:val="bottom"/>
                </w:tcPr>
                <w:p w:rsidR="00062C7C" w:rsidRPr="00E611D5" w:rsidRDefault="00062C7C" w:rsidP="00324946">
                  <w:pPr>
                    <w:pStyle w:val="TableBodyText"/>
                    <w:rPr>
                      <w:b/>
                    </w:rPr>
                  </w:pPr>
                  <w:r w:rsidRPr="00E611D5">
                    <w:rPr>
                      <w:b/>
                    </w:rPr>
                    <w:t>165</w:t>
                  </w:r>
                </w:p>
              </w:tc>
            </w:tr>
            <w:tr w:rsidR="00062C7C" w:rsidTr="00324946">
              <w:tc>
                <w:tcPr>
                  <w:tcW w:w="1644" w:type="dxa"/>
                  <w:tcBorders>
                    <w:bottom w:val="single" w:sz="6" w:space="0" w:color="C8C8C8"/>
                  </w:tcBorders>
                  <w:shd w:val="clear" w:color="auto" w:fill="auto"/>
                </w:tcPr>
                <w:p w:rsidR="00062C7C" w:rsidRPr="00E611D5" w:rsidRDefault="00062C7C" w:rsidP="00324946">
                  <w:pPr>
                    <w:pStyle w:val="TableBodyText"/>
                    <w:spacing w:before="120"/>
                    <w:jc w:val="left"/>
                  </w:pPr>
                  <w:r w:rsidRPr="00E611D5">
                    <w:t xml:space="preserve">Corresponding totals at </w:t>
                  </w:r>
                  <w:r w:rsidRPr="00E611D5">
                    <w:br/>
                    <w:t>30 June 2013</w:t>
                  </w:r>
                  <w:r w:rsidRPr="00E611D5">
                    <w:rPr>
                      <w:b/>
                      <w:position w:val="6"/>
                    </w:rPr>
                    <w:t>a</w:t>
                  </w:r>
                </w:p>
              </w:tc>
              <w:tc>
                <w:tcPr>
                  <w:tcW w:w="794" w:type="dxa"/>
                  <w:tcBorders>
                    <w:bottom w:val="single" w:sz="6" w:space="0" w:color="C8C8C8"/>
                  </w:tcBorders>
                  <w:shd w:val="clear" w:color="auto" w:fill="auto"/>
                  <w:vAlign w:val="center"/>
                </w:tcPr>
                <w:p w:rsidR="00062C7C" w:rsidRPr="00E611D5" w:rsidRDefault="00062C7C" w:rsidP="00324946">
                  <w:pPr>
                    <w:pStyle w:val="TableBodyText"/>
                    <w:spacing w:before="120"/>
                  </w:pPr>
                  <w:r w:rsidRPr="00E611D5">
                    <w:t>59</w:t>
                  </w:r>
                </w:p>
              </w:tc>
              <w:tc>
                <w:tcPr>
                  <w:tcW w:w="679" w:type="dxa"/>
                  <w:tcBorders>
                    <w:bottom w:val="single" w:sz="6" w:space="0" w:color="C8C8C8"/>
                  </w:tcBorders>
                  <w:shd w:val="clear" w:color="auto" w:fill="auto"/>
                  <w:vAlign w:val="center"/>
                </w:tcPr>
                <w:p w:rsidR="00062C7C" w:rsidRPr="00E611D5" w:rsidRDefault="00062C7C" w:rsidP="00324946">
                  <w:pPr>
                    <w:pStyle w:val="TableBodyText"/>
                    <w:spacing w:before="120"/>
                  </w:pPr>
                  <w:r w:rsidRPr="00E611D5">
                    <w:t>59</w:t>
                  </w:r>
                </w:p>
              </w:tc>
              <w:tc>
                <w:tcPr>
                  <w:tcW w:w="737" w:type="dxa"/>
                  <w:tcBorders>
                    <w:bottom w:val="single" w:sz="6" w:space="0" w:color="C8C8C8"/>
                  </w:tcBorders>
                  <w:shd w:val="clear" w:color="auto" w:fill="auto"/>
                  <w:vAlign w:val="center"/>
                </w:tcPr>
                <w:p w:rsidR="00062C7C" w:rsidRPr="00E611D5" w:rsidRDefault="00062C7C" w:rsidP="00324946">
                  <w:pPr>
                    <w:pStyle w:val="TableBodyText"/>
                    <w:spacing w:before="120"/>
                  </w:pPr>
                  <w:r w:rsidRPr="00E611D5">
                    <w:t>118</w:t>
                  </w:r>
                </w:p>
              </w:tc>
              <w:tc>
                <w:tcPr>
                  <w:tcW w:w="114" w:type="dxa"/>
                  <w:tcBorders>
                    <w:bottom w:val="single" w:sz="6" w:space="0" w:color="C8C8C8"/>
                  </w:tcBorders>
                  <w:shd w:val="clear" w:color="auto" w:fill="auto"/>
                  <w:vAlign w:val="center"/>
                </w:tcPr>
                <w:p w:rsidR="00062C7C" w:rsidRPr="00E611D5" w:rsidRDefault="00062C7C" w:rsidP="00324946">
                  <w:pPr>
                    <w:pStyle w:val="TableBodyText"/>
                    <w:spacing w:before="120"/>
                  </w:pPr>
                </w:p>
              </w:tc>
              <w:tc>
                <w:tcPr>
                  <w:tcW w:w="794" w:type="dxa"/>
                  <w:tcBorders>
                    <w:bottom w:val="single" w:sz="6" w:space="0" w:color="C8C8C8"/>
                  </w:tcBorders>
                  <w:shd w:val="clear" w:color="auto" w:fill="auto"/>
                  <w:vAlign w:val="center"/>
                </w:tcPr>
                <w:p w:rsidR="00062C7C" w:rsidRPr="00E611D5" w:rsidRDefault="00062C7C" w:rsidP="00324946">
                  <w:pPr>
                    <w:pStyle w:val="TableBodyText"/>
                    <w:spacing w:before="120"/>
                  </w:pPr>
                  <w:r w:rsidRPr="00E611D5">
                    <w:t>29</w:t>
                  </w:r>
                </w:p>
              </w:tc>
              <w:tc>
                <w:tcPr>
                  <w:tcW w:w="680" w:type="dxa"/>
                  <w:tcBorders>
                    <w:bottom w:val="single" w:sz="6" w:space="0" w:color="C8C8C8"/>
                  </w:tcBorders>
                  <w:shd w:val="clear" w:color="auto" w:fill="auto"/>
                  <w:vAlign w:val="center"/>
                </w:tcPr>
                <w:p w:rsidR="00062C7C" w:rsidRPr="00E611D5" w:rsidRDefault="00062C7C" w:rsidP="00324946">
                  <w:pPr>
                    <w:pStyle w:val="TableBodyText"/>
                    <w:spacing w:before="120"/>
                  </w:pPr>
                  <w:r w:rsidRPr="00E611D5">
                    <w:t>39</w:t>
                  </w:r>
                </w:p>
              </w:tc>
              <w:tc>
                <w:tcPr>
                  <w:tcW w:w="737" w:type="dxa"/>
                  <w:tcBorders>
                    <w:bottom w:val="single" w:sz="6" w:space="0" w:color="C8C8C8"/>
                  </w:tcBorders>
                  <w:shd w:val="clear" w:color="auto" w:fill="auto"/>
                  <w:vAlign w:val="center"/>
                </w:tcPr>
                <w:p w:rsidR="00062C7C" w:rsidRPr="00E611D5" w:rsidRDefault="00062C7C" w:rsidP="00324946">
                  <w:pPr>
                    <w:pStyle w:val="TableBodyText"/>
                    <w:spacing w:before="120"/>
                  </w:pPr>
                  <w:r w:rsidRPr="00E611D5">
                    <w:t>68</w:t>
                  </w:r>
                </w:p>
              </w:tc>
              <w:tc>
                <w:tcPr>
                  <w:tcW w:w="113" w:type="dxa"/>
                  <w:tcBorders>
                    <w:bottom w:val="single" w:sz="6" w:space="0" w:color="C8C8C8"/>
                  </w:tcBorders>
                  <w:shd w:val="clear" w:color="auto" w:fill="auto"/>
                  <w:vAlign w:val="center"/>
                </w:tcPr>
                <w:p w:rsidR="00062C7C" w:rsidRPr="00E611D5" w:rsidRDefault="00062C7C" w:rsidP="00324946">
                  <w:pPr>
                    <w:pStyle w:val="TableBodyText"/>
                    <w:spacing w:before="120"/>
                  </w:pPr>
                </w:p>
              </w:tc>
              <w:tc>
                <w:tcPr>
                  <w:tcW w:w="794" w:type="dxa"/>
                  <w:tcBorders>
                    <w:bottom w:val="single" w:sz="6" w:space="0" w:color="C8C8C8"/>
                  </w:tcBorders>
                  <w:shd w:val="clear" w:color="auto" w:fill="auto"/>
                  <w:vAlign w:val="center"/>
                </w:tcPr>
                <w:p w:rsidR="00062C7C" w:rsidRPr="00E611D5" w:rsidRDefault="00062C7C" w:rsidP="00324946">
                  <w:pPr>
                    <w:pStyle w:val="TableBodyText"/>
                    <w:spacing w:before="120"/>
                  </w:pPr>
                  <w:r w:rsidRPr="00E611D5">
                    <w:t>88</w:t>
                  </w:r>
                </w:p>
              </w:tc>
              <w:tc>
                <w:tcPr>
                  <w:tcW w:w="680" w:type="dxa"/>
                  <w:tcBorders>
                    <w:bottom w:val="single" w:sz="6" w:space="0" w:color="C8C8C8"/>
                  </w:tcBorders>
                  <w:shd w:val="clear" w:color="auto" w:fill="auto"/>
                  <w:vAlign w:val="center"/>
                </w:tcPr>
                <w:p w:rsidR="00062C7C" w:rsidRPr="00E611D5" w:rsidRDefault="00062C7C" w:rsidP="00324946">
                  <w:pPr>
                    <w:pStyle w:val="TableBodyText"/>
                    <w:spacing w:before="120"/>
                  </w:pPr>
                  <w:r w:rsidRPr="00E611D5">
                    <w:t>98</w:t>
                  </w:r>
                </w:p>
              </w:tc>
              <w:tc>
                <w:tcPr>
                  <w:tcW w:w="737" w:type="dxa"/>
                  <w:tcBorders>
                    <w:bottom w:val="single" w:sz="6" w:space="0" w:color="C8C8C8"/>
                  </w:tcBorders>
                  <w:shd w:val="clear" w:color="auto" w:fill="auto"/>
                  <w:vAlign w:val="center"/>
                </w:tcPr>
                <w:p w:rsidR="00062C7C" w:rsidRPr="00E611D5" w:rsidRDefault="00062C7C" w:rsidP="00324946">
                  <w:pPr>
                    <w:pStyle w:val="TableBodyText"/>
                    <w:spacing w:before="120"/>
                  </w:pPr>
                  <w:r w:rsidRPr="00E611D5">
                    <w:t>186</w:t>
                  </w:r>
                </w:p>
              </w:tc>
            </w:tr>
          </w:tbl>
          <w:p w:rsidR="00010142" w:rsidRDefault="00010142" w:rsidP="00FB78C9">
            <w:pPr>
              <w:pStyle w:val="Box"/>
            </w:pPr>
          </w:p>
        </w:tc>
      </w:tr>
      <w:tr w:rsidR="00010142" w:rsidTr="00010142">
        <w:trPr>
          <w:cantSplit/>
        </w:trPr>
        <w:tc>
          <w:tcPr>
            <w:tcW w:w="8771" w:type="dxa"/>
            <w:tcBorders>
              <w:top w:val="nil"/>
              <w:left w:val="nil"/>
              <w:bottom w:val="nil"/>
              <w:right w:val="nil"/>
            </w:tcBorders>
            <w:shd w:val="clear" w:color="auto" w:fill="auto"/>
          </w:tcPr>
          <w:p w:rsidR="00010142" w:rsidRDefault="00010142" w:rsidP="00010142">
            <w:pPr>
              <w:rPr>
                <w:i/>
              </w:rPr>
            </w:pPr>
            <w:proofErr w:type="gramStart"/>
            <w:r w:rsidRPr="00E611D5">
              <w:rPr>
                <w:rStyle w:val="NoteLabel"/>
              </w:rPr>
              <w:t>a</w:t>
            </w:r>
            <w:proofErr w:type="gramEnd"/>
            <w:r w:rsidRPr="00E611D5">
              <w:sym w:font="Symbol" w:char="F020"/>
            </w:r>
            <w:r w:rsidRPr="00E611D5">
              <w:t xml:space="preserve"> </w:t>
            </w:r>
            <w:r w:rsidRPr="00E611D5">
              <w:rPr>
                <w:rStyle w:val="NoteChar"/>
              </w:rPr>
              <w:t>Totals exclude 9 inoperative employees at 30 June 2013.</w:t>
            </w:r>
            <w:r w:rsidRPr="00E611D5">
              <w:t xml:space="preserve"> </w:t>
            </w:r>
            <w:proofErr w:type="gramStart"/>
            <w:r w:rsidRPr="00E611D5">
              <w:rPr>
                <w:rStyle w:val="NoteLabel"/>
              </w:rPr>
              <w:t>b</w:t>
            </w:r>
            <w:proofErr w:type="gramEnd"/>
            <w:r w:rsidRPr="00E611D5">
              <w:t xml:space="preserve"> </w:t>
            </w:r>
            <w:r w:rsidRPr="00E611D5">
              <w:rPr>
                <w:rStyle w:val="NoteChar"/>
              </w:rPr>
              <w:t xml:space="preserve">Totals exclude  4 inoperative employees at 30 June 2013; 2014 totals include two acting Staff Level 4’s, and one Staff Level 2. </w:t>
            </w:r>
          </w:p>
        </w:tc>
      </w:tr>
      <w:tr w:rsidR="00010142" w:rsidTr="00010142">
        <w:trPr>
          <w:cantSplit/>
        </w:trPr>
        <w:tc>
          <w:tcPr>
            <w:tcW w:w="8771" w:type="dxa"/>
            <w:tcBorders>
              <w:top w:val="nil"/>
              <w:left w:val="nil"/>
              <w:bottom w:val="single" w:sz="6" w:space="0" w:color="78A22F"/>
              <w:right w:val="nil"/>
            </w:tcBorders>
            <w:shd w:val="clear" w:color="auto" w:fill="auto"/>
          </w:tcPr>
          <w:p w:rsidR="00010142" w:rsidRDefault="00010142" w:rsidP="00FB78C9">
            <w:pPr>
              <w:pStyle w:val="Box"/>
              <w:spacing w:before="0" w:line="120" w:lineRule="exact"/>
            </w:pPr>
          </w:p>
        </w:tc>
      </w:tr>
      <w:tr w:rsidR="00010142" w:rsidRPr="000863A5" w:rsidTr="00010142">
        <w:tc>
          <w:tcPr>
            <w:tcW w:w="8771" w:type="dxa"/>
            <w:tcBorders>
              <w:top w:val="single" w:sz="6" w:space="0" w:color="78A22F"/>
              <w:left w:val="nil"/>
              <w:bottom w:val="nil"/>
              <w:right w:val="nil"/>
            </w:tcBorders>
          </w:tcPr>
          <w:p w:rsidR="00010142" w:rsidRPr="00626D32" w:rsidRDefault="00010142" w:rsidP="00FB78C9">
            <w:pPr>
              <w:pStyle w:val="BoxSpaceBelow"/>
            </w:pPr>
          </w:p>
        </w:tc>
      </w:tr>
    </w:tbl>
    <w:p w:rsidR="00C57735" w:rsidRDefault="00C57735" w:rsidP="00C57735">
      <w:pPr>
        <w:pStyle w:val="BodyText"/>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57735" w:rsidTr="00FB78C9">
        <w:tc>
          <w:tcPr>
            <w:tcW w:w="8771" w:type="dxa"/>
            <w:tcBorders>
              <w:top w:val="single" w:sz="6" w:space="0" w:color="78A22F"/>
              <w:left w:val="nil"/>
              <w:bottom w:val="nil"/>
              <w:right w:val="nil"/>
            </w:tcBorders>
            <w:shd w:val="clear" w:color="auto" w:fill="auto"/>
          </w:tcPr>
          <w:p w:rsidR="00C57735" w:rsidRPr="00784A05" w:rsidRDefault="00C57735" w:rsidP="00C57735">
            <w:pPr>
              <w:pStyle w:val="TableTitle"/>
            </w:pPr>
            <w:r>
              <w:rPr>
                <w:b w:val="0"/>
              </w:rPr>
              <w:t>Table A1.4</w:t>
            </w:r>
            <w:r>
              <w:tab/>
            </w:r>
            <w:r w:rsidRPr="00E611D5">
              <w:t xml:space="preserve">Employees by </w:t>
            </w:r>
            <w:r>
              <w:t xml:space="preserve">employment status </w:t>
            </w:r>
            <w:r w:rsidRPr="00E611D5">
              <w:t>and gender, 30 June 2014</w:t>
            </w:r>
            <w:r>
              <w:t xml:space="preserve"> </w:t>
            </w:r>
          </w:p>
        </w:tc>
      </w:tr>
      <w:tr w:rsidR="00C57735" w:rsidTr="00C57735">
        <w:trPr>
          <w:cantSplit/>
        </w:trPr>
        <w:tc>
          <w:tcPr>
            <w:tcW w:w="8771" w:type="dxa"/>
            <w:tcBorders>
              <w:top w:val="nil"/>
              <w:left w:val="nil"/>
              <w:bottom w:val="nil"/>
              <w:right w:val="nil"/>
            </w:tcBorders>
            <w:shd w:val="clear" w:color="auto" w:fill="auto"/>
          </w:tcPr>
          <w:tbl>
            <w:tblPr>
              <w:tblW w:w="8503" w:type="dxa"/>
              <w:tblLayout w:type="fixed"/>
              <w:tblCellMar>
                <w:top w:w="28" w:type="dxa"/>
                <w:left w:w="0" w:type="dxa"/>
                <w:right w:w="0" w:type="dxa"/>
              </w:tblCellMar>
              <w:tblLook w:val="0000" w:firstRow="0" w:lastRow="0" w:firstColumn="0" w:lastColumn="0" w:noHBand="0" w:noVBand="0"/>
            </w:tblPr>
            <w:tblGrid>
              <w:gridCol w:w="1644"/>
              <w:gridCol w:w="794"/>
              <w:gridCol w:w="679"/>
              <w:gridCol w:w="737"/>
              <w:gridCol w:w="114"/>
              <w:gridCol w:w="794"/>
              <w:gridCol w:w="680"/>
              <w:gridCol w:w="737"/>
              <w:gridCol w:w="113"/>
              <w:gridCol w:w="794"/>
              <w:gridCol w:w="680"/>
              <w:gridCol w:w="737"/>
            </w:tblGrid>
            <w:tr w:rsidR="00C57735" w:rsidRPr="00862B6D" w:rsidTr="00FB78C9">
              <w:tc>
                <w:tcPr>
                  <w:tcW w:w="1644" w:type="dxa"/>
                  <w:tcBorders>
                    <w:top w:val="single" w:sz="6" w:space="0" w:color="BFBFBF"/>
                  </w:tcBorders>
                  <w:shd w:val="clear" w:color="auto" w:fill="auto"/>
                  <w:tcMar>
                    <w:top w:w="28" w:type="dxa"/>
                  </w:tcMar>
                </w:tcPr>
                <w:p w:rsidR="00C57735" w:rsidRPr="00862B6D" w:rsidRDefault="00C57735" w:rsidP="00C57735">
                  <w:pPr>
                    <w:pStyle w:val="TableColumnHeading"/>
                    <w:jc w:val="left"/>
                  </w:pPr>
                </w:p>
              </w:tc>
              <w:tc>
                <w:tcPr>
                  <w:tcW w:w="2210" w:type="dxa"/>
                  <w:gridSpan w:val="3"/>
                  <w:tcBorders>
                    <w:top w:val="single" w:sz="6" w:space="0" w:color="BFBFBF"/>
                    <w:bottom w:val="single" w:sz="6" w:space="0" w:color="BFBFBF"/>
                  </w:tcBorders>
                  <w:shd w:val="clear" w:color="auto" w:fill="auto"/>
                </w:tcPr>
                <w:p w:rsidR="00C57735" w:rsidRPr="00862B6D" w:rsidRDefault="00C57735" w:rsidP="00C57735">
                  <w:pPr>
                    <w:pStyle w:val="TableColumnHeading"/>
                    <w:jc w:val="center"/>
                  </w:pPr>
                  <w:r>
                    <w:t>Female</w:t>
                  </w:r>
                </w:p>
              </w:tc>
              <w:tc>
                <w:tcPr>
                  <w:tcW w:w="114" w:type="dxa"/>
                  <w:tcBorders>
                    <w:top w:val="single" w:sz="6" w:space="0" w:color="BFBFBF"/>
                  </w:tcBorders>
                  <w:shd w:val="clear" w:color="auto" w:fill="auto"/>
                  <w:tcMar>
                    <w:top w:w="28" w:type="dxa"/>
                  </w:tcMar>
                </w:tcPr>
                <w:p w:rsidR="00C57735" w:rsidRPr="00862B6D" w:rsidRDefault="00C57735" w:rsidP="00FB78C9">
                  <w:pPr>
                    <w:pStyle w:val="TableColumnHeading"/>
                    <w:jc w:val="center"/>
                  </w:pPr>
                </w:p>
              </w:tc>
              <w:tc>
                <w:tcPr>
                  <w:tcW w:w="2211" w:type="dxa"/>
                  <w:gridSpan w:val="3"/>
                  <w:tcBorders>
                    <w:top w:val="single" w:sz="6" w:space="0" w:color="BFBFBF"/>
                    <w:bottom w:val="single" w:sz="6" w:space="0" w:color="BFBFBF"/>
                  </w:tcBorders>
                  <w:shd w:val="clear" w:color="auto" w:fill="auto"/>
                </w:tcPr>
                <w:p w:rsidR="00C57735" w:rsidRPr="00862B6D" w:rsidRDefault="00C57735" w:rsidP="00FB78C9">
                  <w:pPr>
                    <w:pStyle w:val="TableColumnHeading"/>
                    <w:jc w:val="center"/>
                  </w:pPr>
                  <w:r>
                    <w:t>Male</w:t>
                  </w:r>
                </w:p>
              </w:tc>
              <w:tc>
                <w:tcPr>
                  <w:tcW w:w="113" w:type="dxa"/>
                  <w:tcBorders>
                    <w:top w:val="single" w:sz="6" w:space="0" w:color="BFBFBF"/>
                  </w:tcBorders>
                  <w:shd w:val="clear" w:color="auto" w:fill="auto"/>
                  <w:tcMar>
                    <w:top w:w="28" w:type="dxa"/>
                  </w:tcMar>
                </w:tcPr>
                <w:p w:rsidR="00C57735" w:rsidRPr="00862B6D" w:rsidRDefault="00C57735" w:rsidP="00FB78C9">
                  <w:pPr>
                    <w:pStyle w:val="TableColumnHeading"/>
                    <w:jc w:val="center"/>
                  </w:pPr>
                </w:p>
              </w:tc>
              <w:tc>
                <w:tcPr>
                  <w:tcW w:w="2211" w:type="dxa"/>
                  <w:gridSpan w:val="3"/>
                  <w:tcBorders>
                    <w:top w:val="single" w:sz="6" w:space="0" w:color="BFBFBF"/>
                    <w:bottom w:val="single" w:sz="6" w:space="0" w:color="BFBFBF"/>
                  </w:tcBorders>
                  <w:shd w:val="clear" w:color="auto" w:fill="auto"/>
                  <w:vAlign w:val="center"/>
                </w:tcPr>
                <w:p w:rsidR="00C57735" w:rsidRPr="00862B6D" w:rsidRDefault="00C57735" w:rsidP="00FB78C9">
                  <w:pPr>
                    <w:pStyle w:val="TableColumnHeading"/>
                    <w:jc w:val="center"/>
                  </w:pPr>
                  <w:r w:rsidRPr="00862B6D">
                    <w:t>Total</w:t>
                  </w:r>
                </w:p>
              </w:tc>
            </w:tr>
            <w:tr w:rsidR="00C57735" w:rsidRPr="00862B6D" w:rsidTr="00FB78C9">
              <w:tc>
                <w:tcPr>
                  <w:tcW w:w="1644" w:type="dxa"/>
                  <w:tcBorders>
                    <w:bottom w:val="single" w:sz="6" w:space="0" w:color="BFBFBF"/>
                  </w:tcBorders>
                  <w:shd w:val="clear" w:color="auto" w:fill="auto"/>
                </w:tcPr>
                <w:p w:rsidR="00C57735" w:rsidRPr="00862B6D" w:rsidRDefault="00C57735" w:rsidP="00C57735">
                  <w:pPr>
                    <w:pStyle w:val="TableColumnHeading"/>
                    <w:jc w:val="left"/>
                  </w:pPr>
                </w:p>
              </w:tc>
              <w:tc>
                <w:tcPr>
                  <w:tcW w:w="794" w:type="dxa"/>
                  <w:tcBorders>
                    <w:top w:val="single" w:sz="6" w:space="0" w:color="BFBFBF"/>
                    <w:bottom w:val="single" w:sz="6" w:space="0" w:color="BFBFBF"/>
                  </w:tcBorders>
                  <w:shd w:val="clear" w:color="auto" w:fill="auto"/>
                </w:tcPr>
                <w:p w:rsidR="00C57735" w:rsidRPr="00862B6D" w:rsidRDefault="00C57735" w:rsidP="00FB78C9">
                  <w:pPr>
                    <w:pStyle w:val="TableColumnHeading"/>
                    <w:jc w:val="center"/>
                  </w:pPr>
                  <w:r>
                    <w:t>F/t</w:t>
                  </w:r>
                </w:p>
              </w:tc>
              <w:tc>
                <w:tcPr>
                  <w:tcW w:w="679" w:type="dxa"/>
                  <w:tcBorders>
                    <w:top w:val="single" w:sz="6" w:space="0" w:color="BFBFBF"/>
                    <w:bottom w:val="single" w:sz="6" w:space="0" w:color="BFBFBF"/>
                  </w:tcBorders>
                  <w:shd w:val="clear" w:color="auto" w:fill="auto"/>
                </w:tcPr>
                <w:p w:rsidR="00C57735" w:rsidRPr="00862B6D" w:rsidRDefault="00C57735" w:rsidP="00FB78C9">
                  <w:pPr>
                    <w:pStyle w:val="TableColumnHeading"/>
                    <w:jc w:val="center"/>
                  </w:pPr>
                  <w:r>
                    <w:t>Pt</w:t>
                  </w:r>
                </w:p>
              </w:tc>
              <w:tc>
                <w:tcPr>
                  <w:tcW w:w="737" w:type="dxa"/>
                  <w:tcBorders>
                    <w:top w:val="single" w:sz="6" w:space="0" w:color="BFBFBF"/>
                    <w:bottom w:val="single" w:sz="6" w:space="0" w:color="BFBFBF"/>
                  </w:tcBorders>
                  <w:shd w:val="clear" w:color="auto" w:fill="auto"/>
                </w:tcPr>
                <w:p w:rsidR="00C57735" w:rsidRPr="00862B6D" w:rsidRDefault="00C57735" w:rsidP="00FB78C9">
                  <w:pPr>
                    <w:pStyle w:val="TableColumnHeading"/>
                    <w:jc w:val="center"/>
                  </w:pPr>
                  <w:r w:rsidRPr="00862B6D">
                    <w:t>Total</w:t>
                  </w:r>
                </w:p>
              </w:tc>
              <w:tc>
                <w:tcPr>
                  <w:tcW w:w="114" w:type="dxa"/>
                  <w:tcBorders>
                    <w:bottom w:val="single" w:sz="6" w:space="0" w:color="BFBFBF"/>
                  </w:tcBorders>
                  <w:shd w:val="clear" w:color="auto" w:fill="auto"/>
                </w:tcPr>
                <w:p w:rsidR="00C57735" w:rsidRPr="00862B6D" w:rsidRDefault="00C57735" w:rsidP="00FB78C9">
                  <w:pPr>
                    <w:pStyle w:val="TableColumnHeading"/>
                    <w:jc w:val="center"/>
                  </w:pPr>
                </w:p>
              </w:tc>
              <w:tc>
                <w:tcPr>
                  <w:tcW w:w="794" w:type="dxa"/>
                  <w:tcBorders>
                    <w:top w:val="single" w:sz="6" w:space="0" w:color="BFBFBF"/>
                    <w:bottom w:val="single" w:sz="6" w:space="0" w:color="BFBFBF"/>
                  </w:tcBorders>
                  <w:shd w:val="clear" w:color="auto" w:fill="auto"/>
                </w:tcPr>
                <w:p w:rsidR="00C57735" w:rsidRPr="00862B6D" w:rsidRDefault="00C57735" w:rsidP="00FB78C9">
                  <w:pPr>
                    <w:pStyle w:val="TableColumnHeading"/>
                    <w:jc w:val="center"/>
                  </w:pPr>
                  <w:r>
                    <w:t>F/t</w:t>
                  </w:r>
                </w:p>
              </w:tc>
              <w:tc>
                <w:tcPr>
                  <w:tcW w:w="680" w:type="dxa"/>
                  <w:tcBorders>
                    <w:top w:val="single" w:sz="6" w:space="0" w:color="BFBFBF"/>
                    <w:bottom w:val="single" w:sz="6" w:space="0" w:color="BFBFBF"/>
                  </w:tcBorders>
                  <w:shd w:val="clear" w:color="auto" w:fill="auto"/>
                </w:tcPr>
                <w:p w:rsidR="00C57735" w:rsidRPr="00862B6D" w:rsidRDefault="00C57735" w:rsidP="00FB78C9">
                  <w:pPr>
                    <w:pStyle w:val="TableColumnHeading"/>
                    <w:jc w:val="center"/>
                  </w:pPr>
                  <w:r>
                    <w:t>Pt</w:t>
                  </w:r>
                </w:p>
              </w:tc>
              <w:tc>
                <w:tcPr>
                  <w:tcW w:w="737" w:type="dxa"/>
                  <w:tcBorders>
                    <w:top w:val="single" w:sz="6" w:space="0" w:color="BFBFBF"/>
                    <w:bottom w:val="single" w:sz="6" w:space="0" w:color="BFBFBF"/>
                  </w:tcBorders>
                  <w:shd w:val="clear" w:color="auto" w:fill="auto"/>
                </w:tcPr>
                <w:p w:rsidR="00C57735" w:rsidRPr="00862B6D" w:rsidRDefault="00C57735" w:rsidP="00FB78C9">
                  <w:pPr>
                    <w:pStyle w:val="TableColumnHeading"/>
                    <w:jc w:val="center"/>
                  </w:pPr>
                  <w:r w:rsidRPr="00862B6D">
                    <w:t>Total</w:t>
                  </w:r>
                </w:p>
              </w:tc>
              <w:tc>
                <w:tcPr>
                  <w:tcW w:w="113" w:type="dxa"/>
                  <w:tcBorders>
                    <w:bottom w:val="single" w:sz="6" w:space="0" w:color="BFBFBF"/>
                  </w:tcBorders>
                  <w:shd w:val="clear" w:color="auto" w:fill="auto"/>
                </w:tcPr>
                <w:p w:rsidR="00C57735" w:rsidRPr="00862B6D" w:rsidRDefault="00C57735" w:rsidP="00FB78C9">
                  <w:pPr>
                    <w:pStyle w:val="TableColumnHeading"/>
                    <w:jc w:val="center"/>
                  </w:pPr>
                </w:p>
              </w:tc>
              <w:tc>
                <w:tcPr>
                  <w:tcW w:w="794" w:type="dxa"/>
                  <w:tcBorders>
                    <w:top w:val="single" w:sz="6" w:space="0" w:color="BFBFBF"/>
                    <w:bottom w:val="single" w:sz="6" w:space="0" w:color="BFBFBF"/>
                  </w:tcBorders>
                  <w:shd w:val="clear" w:color="auto" w:fill="auto"/>
                </w:tcPr>
                <w:p w:rsidR="00C57735" w:rsidRPr="00862B6D" w:rsidRDefault="00C57735" w:rsidP="00FB78C9">
                  <w:pPr>
                    <w:pStyle w:val="TableColumnHeading"/>
                    <w:jc w:val="center"/>
                  </w:pPr>
                  <w:r>
                    <w:t>F/t</w:t>
                  </w:r>
                </w:p>
              </w:tc>
              <w:tc>
                <w:tcPr>
                  <w:tcW w:w="680" w:type="dxa"/>
                  <w:tcBorders>
                    <w:top w:val="single" w:sz="6" w:space="0" w:color="BFBFBF"/>
                    <w:bottom w:val="single" w:sz="6" w:space="0" w:color="BFBFBF"/>
                  </w:tcBorders>
                  <w:shd w:val="clear" w:color="auto" w:fill="auto"/>
                </w:tcPr>
                <w:p w:rsidR="00C57735" w:rsidRPr="00862B6D" w:rsidRDefault="00C57735" w:rsidP="00FB78C9">
                  <w:pPr>
                    <w:pStyle w:val="TableColumnHeading"/>
                    <w:jc w:val="center"/>
                  </w:pPr>
                  <w:r>
                    <w:t>Pt</w:t>
                  </w:r>
                </w:p>
              </w:tc>
              <w:tc>
                <w:tcPr>
                  <w:tcW w:w="737" w:type="dxa"/>
                  <w:tcBorders>
                    <w:top w:val="single" w:sz="6" w:space="0" w:color="BFBFBF"/>
                    <w:bottom w:val="single" w:sz="6" w:space="0" w:color="BFBFBF"/>
                  </w:tcBorders>
                  <w:shd w:val="clear" w:color="auto" w:fill="auto"/>
                </w:tcPr>
                <w:p w:rsidR="00C57735" w:rsidRPr="00862B6D" w:rsidRDefault="00C57735" w:rsidP="00FB78C9">
                  <w:pPr>
                    <w:pStyle w:val="TableColumnHeading"/>
                    <w:jc w:val="center"/>
                  </w:pPr>
                  <w:r w:rsidRPr="00862B6D">
                    <w:t>Total</w:t>
                  </w:r>
                </w:p>
              </w:tc>
            </w:tr>
            <w:tr w:rsidR="00C57735" w:rsidTr="00FB78C9">
              <w:tc>
                <w:tcPr>
                  <w:tcW w:w="1644" w:type="dxa"/>
                  <w:tcBorders>
                    <w:top w:val="single" w:sz="6" w:space="0" w:color="BFBFBF"/>
                  </w:tcBorders>
                  <w:shd w:val="clear" w:color="auto" w:fill="auto"/>
                </w:tcPr>
                <w:p w:rsidR="00C57735" w:rsidRPr="00E611D5" w:rsidRDefault="00C57735" w:rsidP="00C57735">
                  <w:pPr>
                    <w:pStyle w:val="TableBodyText"/>
                    <w:spacing w:before="120"/>
                    <w:jc w:val="left"/>
                  </w:pPr>
                  <w:r w:rsidRPr="00E611D5">
                    <w:t>SES Band 3</w:t>
                  </w:r>
                </w:p>
              </w:tc>
              <w:tc>
                <w:tcPr>
                  <w:tcW w:w="794" w:type="dxa"/>
                  <w:tcBorders>
                    <w:top w:val="single" w:sz="6" w:space="0" w:color="BFBFBF"/>
                  </w:tcBorders>
                  <w:shd w:val="clear" w:color="auto" w:fill="auto"/>
                </w:tcPr>
                <w:p w:rsidR="00C57735" w:rsidRPr="00C57735" w:rsidRDefault="00C57735" w:rsidP="00C57735">
                  <w:pPr>
                    <w:pStyle w:val="TableBodyText"/>
                    <w:spacing w:before="120"/>
                    <w:rPr>
                      <w:sz w:val="20"/>
                    </w:rPr>
                  </w:pPr>
                  <w:r w:rsidRPr="00C57735">
                    <w:rPr>
                      <w:sz w:val="20"/>
                    </w:rPr>
                    <w:t>0</w:t>
                  </w:r>
                </w:p>
              </w:tc>
              <w:tc>
                <w:tcPr>
                  <w:tcW w:w="679" w:type="dxa"/>
                  <w:tcBorders>
                    <w:top w:val="single" w:sz="6" w:space="0" w:color="BFBFBF"/>
                  </w:tcBorders>
                  <w:shd w:val="clear" w:color="auto" w:fill="auto"/>
                </w:tcPr>
                <w:p w:rsidR="00C57735" w:rsidRPr="00C57735" w:rsidRDefault="00C57735" w:rsidP="00C57735">
                  <w:pPr>
                    <w:pStyle w:val="TableBodyText"/>
                    <w:spacing w:before="120"/>
                    <w:rPr>
                      <w:sz w:val="20"/>
                    </w:rPr>
                  </w:pPr>
                  <w:r w:rsidRPr="00C57735">
                    <w:rPr>
                      <w:sz w:val="20"/>
                    </w:rPr>
                    <w:t>0</w:t>
                  </w:r>
                </w:p>
              </w:tc>
              <w:tc>
                <w:tcPr>
                  <w:tcW w:w="737" w:type="dxa"/>
                  <w:tcBorders>
                    <w:top w:val="single" w:sz="6" w:space="0" w:color="BFBFBF"/>
                  </w:tcBorders>
                  <w:shd w:val="clear" w:color="auto" w:fill="auto"/>
                </w:tcPr>
                <w:p w:rsidR="00C57735" w:rsidRPr="00C57735" w:rsidRDefault="00C57735" w:rsidP="00C57735">
                  <w:pPr>
                    <w:pStyle w:val="TableBodyText"/>
                    <w:spacing w:before="120"/>
                    <w:rPr>
                      <w:sz w:val="20"/>
                    </w:rPr>
                  </w:pPr>
                  <w:r w:rsidRPr="00C57735">
                    <w:rPr>
                      <w:sz w:val="20"/>
                    </w:rPr>
                    <w:t>0</w:t>
                  </w:r>
                </w:p>
              </w:tc>
              <w:tc>
                <w:tcPr>
                  <w:tcW w:w="114" w:type="dxa"/>
                  <w:tcBorders>
                    <w:top w:val="single" w:sz="6" w:space="0" w:color="BFBFBF"/>
                  </w:tcBorders>
                  <w:shd w:val="clear" w:color="auto" w:fill="auto"/>
                </w:tcPr>
                <w:p w:rsidR="00C57735" w:rsidRPr="00C57735" w:rsidRDefault="00C57735" w:rsidP="00C57735">
                  <w:pPr>
                    <w:pStyle w:val="TableBodyText"/>
                    <w:spacing w:before="120"/>
                    <w:rPr>
                      <w:sz w:val="20"/>
                    </w:rPr>
                  </w:pPr>
                </w:p>
              </w:tc>
              <w:tc>
                <w:tcPr>
                  <w:tcW w:w="794" w:type="dxa"/>
                  <w:tcBorders>
                    <w:top w:val="single" w:sz="6" w:space="0" w:color="BFBFBF"/>
                  </w:tcBorders>
                  <w:shd w:val="clear" w:color="auto" w:fill="auto"/>
                </w:tcPr>
                <w:p w:rsidR="00C57735" w:rsidRPr="00C57735" w:rsidRDefault="00C57735" w:rsidP="00C57735">
                  <w:pPr>
                    <w:pStyle w:val="TableBodyText"/>
                    <w:spacing w:before="120"/>
                    <w:rPr>
                      <w:sz w:val="20"/>
                    </w:rPr>
                  </w:pPr>
                  <w:r w:rsidRPr="00C57735">
                    <w:rPr>
                      <w:sz w:val="20"/>
                    </w:rPr>
                    <w:t>1</w:t>
                  </w:r>
                </w:p>
              </w:tc>
              <w:tc>
                <w:tcPr>
                  <w:tcW w:w="680" w:type="dxa"/>
                  <w:tcBorders>
                    <w:top w:val="single" w:sz="6" w:space="0" w:color="BFBFBF"/>
                  </w:tcBorders>
                  <w:shd w:val="clear" w:color="auto" w:fill="auto"/>
                </w:tcPr>
                <w:p w:rsidR="00C57735" w:rsidRPr="00C57735" w:rsidRDefault="00C57735" w:rsidP="00C57735">
                  <w:pPr>
                    <w:pStyle w:val="TableBodyText"/>
                    <w:spacing w:before="120"/>
                    <w:rPr>
                      <w:sz w:val="20"/>
                    </w:rPr>
                  </w:pPr>
                  <w:r w:rsidRPr="00C57735">
                    <w:rPr>
                      <w:sz w:val="20"/>
                    </w:rPr>
                    <w:t>0</w:t>
                  </w:r>
                </w:p>
              </w:tc>
              <w:tc>
                <w:tcPr>
                  <w:tcW w:w="737" w:type="dxa"/>
                  <w:tcBorders>
                    <w:top w:val="single" w:sz="6" w:space="0" w:color="BFBFBF"/>
                  </w:tcBorders>
                  <w:shd w:val="clear" w:color="auto" w:fill="auto"/>
                </w:tcPr>
                <w:p w:rsidR="00C57735" w:rsidRPr="00C57735" w:rsidRDefault="00C57735" w:rsidP="00C57735">
                  <w:pPr>
                    <w:pStyle w:val="TableBodyText"/>
                    <w:spacing w:before="120"/>
                    <w:rPr>
                      <w:sz w:val="20"/>
                    </w:rPr>
                  </w:pPr>
                  <w:r w:rsidRPr="00C57735">
                    <w:rPr>
                      <w:sz w:val="20"/>
                    </w:rPr>
                    <w:t>1</w:t>
                  </w:r>
                </w:p>
              </w:tc>
              <w:tc>
                <w:tcPr>
                  <w:tcW w:w="113" w:type="dxa"/>
                  <w:tcBorders>
                    <w:top w:val="single" w:sz="6" w:space="0" w:color="BFBFBF"/>
                  </w:tcBorders>
                  <w:shd w:val="clear" w:color="auto" w:fill="auto"/>
                </w:tcPr>
                <w:p w:rsidR="00C57735" w:rsidRPr="00C57735" w:rsidRDefault="00C57735" w:rsidP="00C57735">
                  <w:pPr>
                    <w:pStyle w:val="TableBodyText"/>
                    <w:spacing w:before="120"/>
                    <w:rPr>
                      <w:sz w:val="20"/>
                    </w:rPr>
                  </w:pPr>
                </w:p>
              </w:tc>
              <w:tc>
                <w:tcPr>
                  <w:tcW w:w="794" w:type="dxa"/>
                  <w:tcBorders>
                    <w:top w:val="single" w:sz="6" w:space="0" w:color="BFBFBF"/>
                  </w:tcBorders>
                  <w:shd w:val="clear" w:color="auto" w:fill="auto"/>
                </w:tcPr>
                <w:p w:rsidR="00C57735" w:rsidRPr="00C57735" w:rsidRDefault="00C57735" w:rsidP="00C57735">
                  <w:pPr>
                    <w:pStyle w:val="TableBodyText"/>
                    <w:spacing w:before="120"/>
                    <w:rPr>
                      <w:sz w:val="20"/>
                    </w:rPr>
                  </w:pPr>
                  <w:r w:rsidRPr="00C57735">
                    <w:rPr>
                      <w:sz w:val="20"/>
                    </w:rPr>
                    <w:t>1</w:t>
                  </w:r>
                </w:p>
              </w:tc>
              <w:tc>
                <w:tcPr>
                  <w:tcW w:w="680" w:type="dxa"/>
                  <w:tcBorders>
                    <w:top w:val="single" w:sz="6" w:space="0" w:color="BFBFBF"/>
                  </w:tcBorders>
                  <w:shd w:val="clear" w:color="auto" w:fill="auto"/>
                </w:tcPr>
                <w:p w:rsidR="00C57735" w:rsidRPr="00C57735" w:rsidRDefault="00C57735" w:rsidP="00C57735">
                  <w:pPr>
                    <w:pStyle w:val="TableBodyText"/>
                    <w:spacing w:before="120"/>
                    <w:rPr>
                      <w:sz w:val="20"/>
                    </w:rPr>
                  </w:pPr>
                  <w:r w:rsidRPr="00C57735">
                    <w:rPr>
                      <w:sz w:val="20"/>
                    </w:rPr>
                    <w:t>0</w:t>
                  </w:r>
                </w:p>
              </w:tc>
              <w:tc>
                <w:tcPr>
                  <w:tcW w:w="737" w:type="dxa"/>
                  <w:tcBorders>
                    <w:top w:val="single" w:sz="6" w:space="0" w:color="BFBFBF"/>
                  </w:tcBorders>
                  <w:shd w:val="clear" w:color="auto" w:fill="auto"/>
                </w:tcPr>
                <w:p w:rsidR="00C57735" w:rsidRPr="00C57735" w:rsidRDefault="00C57735" w:rsidP="00C57735">
                  <w:pPr>
                    <w:pStyle w:val="TableBodyText"/>
                    <w:spacing w:before="120"/>
                    <w:rPr>
                      <w:sz w:val="20"/>
                    </w:rPr>
                  </w:pPr>
                  <w:r w:rsidRPr="00C57735">
                    <w:rPr>
                      <w:sz w:val="20"/>
                    </w:rPr>
                    <w:t>1</w:t>
                  </w:r>
                </w:p>
              </w:tc>
            </w:tr>
            <w:tr w:rsidR="00C57735" w:rsidTr="00FB78C9">
              <w:tc>
                <w:tcPr>
                  <w:tcW w:w="1644" w:type="dxa"/>
                  <w:shd w:val="clear" w:color="auto" w:fill="auto"/>
                </w:tcPr>
                <w:p w:rsidR="00C57735" w:rsidRPr="00E611D5" w:rsidRDefault="00C57735" w:rsidP="00C57735">
                  <w:pPr>
                    <w:pStyle w:val="TableBodyText"/>
                    <w:jc w:val="left"/>
                  </w:pPr>
                  <w:r w:rsidRPr="00E611D5">
                    <w:t>SES Band 2</w:t>
                  </w:r>
                </w:p>
              </w:tc>
              <w:tc>
                <w:tcPr>
                  <w:tcW w:w="794" w:type="dxa"/>
                  <w:shd w:val="clear" w:color="auto" w:fill="auto"/>
                </w:tcPr>
                <w:p w:rsidR="00C57735" w:rsidRPr="00C57735" w:rsidRDefault="00C57735" w:rsidP="00C57735">
                  <w:pPr>
                    <w:pStyle w:val="TableBodyText"/>
                    <w:rPr>
                      <w:sz w:val="20"/>
                    </w:rPr>
                  </w:pPr>
                  <w:r w:rsidRPr="00C57735">
                    <w:rPr>
                      <w:sz w:val="20"/>
                    </w:rPr>
                    <w:t>2</w:t>
                  </w:r>
                </w:p>
              </w:tc>
              <w:tc>
                <w:tcPr>
                  <w:tcW w:w="679" w:type="dxa"/>
                  <w:shd w:val="clear" w:color="auto" w:fill="auto"/>
                </w:tcPr>
                <w:p w:rsidR="00C57735" w:rsidRPr="00C57735" w:rsidRDefault="00C57735" w:rsidP="00C57735">
                  <w:pPr>
                    <w:pStyle w:val="TableBodyText"/>
                    <w:rPr>
                      <w:sz w:val="20"/>
                    </w:rPr>
                  </w:pPr>
                  <w:r w:rsidRPr="00C57735">
                    <w:rPr>
                      <w:sz w:val="20"/>
                    </w:rPr>
                    <w:t>0</w:t>
                  </w:r>
                </w:p>
              </w:tc>
              <w:tc>
                <w:tcPr>
                  <w:tcW w:w="737" w:type="dxa"/>
                  <w:shd w:val="clear" w:color="auto" w:fill="auto"/>
                </w:tcPr>
                <w:p w:rsidR="00C57735" w:rsidRPr="00C57735" w:rsidRDefault="00C57735" w:rsidP="00C57735">
                  <w:pPr>
                    <w:pStyle w:val="TableBodyText"/>
                    <w:rPr>
                      <w:sz w:val="20"/>
                    </w:rPr>
                  </w:pPr>
                  <w:r w:rsidRPr="00C57735">
                    <w:rPr>
                      <w:sz w:val="20"/>
                    </w:rPr>
                    <w:t>2</w:t>
                  </w:r>
                </w:p>
              </w:tc>
              <w:tc>
                <w:tcPr>
                  <w:tcW w:w="114" w:type="dxa"/>
                  <w:shd w:val="clear" w:color="auto" w:fill="auto"/>
                </w:tcPr>
                <w:p w:rsidR="00C57735" w:rsidRPr="00C57735" w:rsidRDefault="00C57735" w:rsidP="00C57735">
                  <w:pPr>
                    <w:pStyle w:val="TableBodyText"/>
                    <w:rPr>
                      <w:sz w:val="20"/>
                    </w:rPr>
                  </w:pPr>
                </w:p>
              </w:tc>
              <w:tc>
                <w:tcPr>
                  <w:tcW w:w="794" w:type="dxa"/>
                  <w:shd w:val="clear" w:color="auto" w:fill="auto"/>
                </w:tcPr>
                <w:p w:rsidR="00C57735" w:rsidRPr="00C57735" w:rsidRDefault="00C57735" w:rsidP="00C57735">
                  <w:pPr>
                    <w:pStyle w:val="TableBodyText"/>
                    <w:rPr>
                      <w:sz w:val="20"/>
                    </w:rPr>
                  </w:pPr>
                  <w:r w:rsidRPr="00C57735">
                    <w:rPr>
                      <w:sz w:val="20"/>
                    </w:rPr>
                    <w:t>1</w:t>
                  </w:r>
                </w:p>
              </w:tc>
              <w:tc>
                <w:tcPr>
                  <w:tcW w:w="680" w:type="dxa"/>
                  <w:shd w:val="clear" w:color="auto" w:fill="auto"/>
                </w:tcPr>
                <w:p w:rsidR="00C57735" w:rsidRPr="00C57735" w:rsidRDefault="00C57735" w:rsidP="00C57735">
                  <w:pPr>
                    <w:pStyle w:val="TableBodyText"/>
                    <w:rPr>
                      <w:sz w:val="20"/>
                    </w:rPr>
                  </w:pPr>
                  <w:r w:rsidRPr="00C57735">
                    <w:rPr>
                      <w:sz w:val="20"/>
                    </w:rPr>
                    <w:t>0</w:t>
                  </w:r>
                </w:p>
              </w:tc>
              <w:tc>
                <w:tcPr>
                  <w:tcW w:w="737" w:type="dxa"/>
                  <w:shd w:val="clear" w:color="auto" w:fill="auto"/>
                </w:tcPr>
                <w:p w:rsidR="00C57735" w:rsidRPr="00C57735" w:rsidRDefault="00C57735" w:rsidP="00C57735">
                  <w:pPr>
                    <w:pStyle w:val="TableBodyText"/>
                    <w:rPr>
                      <w:sz w:val="20"/>
                    </w:rPr>
                  </w:pPr>
                  <w:r w:rsidRPr="00C57735">
                    <w:rPr>
                      <w:sz w:val="20"/>
                    </w:rPr>
                    <w:t>1</w:t>
                  </w:r>
                </w:p>
              </w:tc>
              <w:tc>
                <w:tcPr>
                  <w:tcW w:w="113" w:type="dxa"/>
                  <w:shd w:val="clear" w:color="auto" w:fill="auto"/>
                </w:tcPr>
                <w:p w:rsidR="00C57735" w:rsidRPr="00C57735" w:rsidRDefault="00C57735" w:rsidP="00C57735">
                  <w:pPr>
                    <w:pStyle w:val="TableBodyText"/>
                    <w:rPr>
                      <w:sz w:val="20"/>
                    </w:rPr>
                  </w:pPr>
                </w:p>
              </w:tc>
              <w:tc>
                <w:tcPr>
                  <w:tcW w:w="794" w:type="dxa"/>
                  <w:shd w:val="clear" w:color="auto" w:fill="auto"/>
                </w:tcPr>
                <w:p w:rsidR="00C57735" w:rsidRPr="00C57735" w:rsidRDefault="00C57735" w:rsidP="00C57735">
                  <w:pPr>
                    <w:pStyle w:val="TableBodyText"/>
                    <w:rPr>
                      <w:sz w:val="20"/>
                    </w:rPr>
                  </w:pPr>
                  <w:r w:rsidRPr="00C57735">
                    <w:rPr>
                      <w:sz w:val="20"/>
                    </w:rPr>
                    <w:t>3</w:t>
                  </w:r>
                </w:p>
              </w:tc>
              <w:tc>
                <w:tcPr>
                  <w:tcW w:w="680" w:type="dxa"/>
                  <w:shd w:val="clear" w:color="auto" w:fill="auto"/>
                </w:tcPr>
                <w:p w:rsidR="00C57735" w:rsidRPr="00C57735" w:rsidRDefault="00C57735" w:rsidP="00C57735">
                  <w:pPr>
                    <w:pStyle w:val="TableBodyText"/>
                    <w:rPr>
                      <w:sz w:val="20"/>
                    </w:rPr>
                  </w:pPr>
                  <w:r w:rsidRPr="00C57735">
                    <w:rPr>
                      <w:sz w:val="20"/>
                    </w:rPr>
                    <w:t>0</w:t>
                  </w:r>
                </w:p>
              </w:tc>
              <w:tc>
                <w:tcPr>
                  <w:tcW w:w="737" w:type="dxa"/>
                  <w:shd w:val="clear" w:color="auto" w:fill="auto"/>
                </w:tcPr>
                <w:p w:rsidR="00C57735" w:rsidRPr="00C57735" w:rsidRDefault="00C57735" w:rsidP="00C57735">
                  <w:pPr>
                    <w:pStyle w:val="TableBodyText"/>
                    <w:rPr>
                      <w:sz w:val="20"/>
                    </w:rPr>
                  </w:pPr>
                  <w:r w:rsidRPr="00C57735">
                    <w:rPr>
                      <w:sz w:val="20"/>
                    </w:rPr>
                    <w:t>3</w:t>
                  </w:r>
                </w:p>
              </w:tc>
            </w:tr>
            <w:tr w:rsidR="00C57735" w:rsidTr="00FB78C9">
              <w:tc>
                <w:tcPr>
                  <w:tcW w:w="1644" w:type="dxa"/>
                  <w:shd w:val="clear" w:color="auto" w:fill="auto"/>
                </w:tcPr>
                <w:p w:rsidR="00C57735" w:rsidRPr="00E611D5" w:rsidRDefault="00C57735" w:rsidP="00C57735">
                  <w:pPr>
                    <w:pStyle w:val="TableBodyText"/>
                    <w:jc w:val="left"/>
                  </w:pPr>
                  <w:r w:rsidRPr="00E611D5">
                    <w:t>SES Band 1</w:t>
                  </w:r>
                </w:p>
              </w:tc>
              <w:tc>
                <w:tcPr>
                  <w:tcW w:w="794" w:type="dxa"/>
                  <w:shd w:val="clear" w:color="auto" w:fill="auto"/>
                </w:tcPr>
                <w:p w:rsidR="00C57735" w:rsidRPr="00C57735" w:rsidRDefault="00C57735" w:rsidP="00C57735">
                  <w:pPr>
                    <w:pStyle w:val="TableBodyText"/>
                    <w:rPr>
                      <w:sz w:val="20"/>
                    </w:rPr>
                  </w:pPr>
                  <w:r w:rsidRPr="00C57735">
                    <w:rPr>
                      <w:sz w:val="20"/>
                    </w:rPr>
                    <w:t>5</w:t>
                  </w:r>
                </w:p>
              </w:tc>
              <w:tc>
                <w:tcPr>
                  <w:tcW w:w="679" w:type="dxa"/>
                  <w:shd w:val="clear" w:color="auto" w:fill="auto"/>
                </w:tcPr>
                <w:p w:rsidR="00C57735" w:rsidRPr="00C57735" w:rsidRDefault="00C57735" w:rsidP="00C57735">
                  <w:pPr>
                    <w:pStyle w:val="TableBodyText"/>
                    <w:rPr>
                      <w:sz w:val="20"/>
                    </w:rPr>
                  </w:pPr>
                  <w:r w:rsidRPr="00C57735">
                    <w:rPr>
                      <w:sz w:val="20"/>
                    </w:rPr>
                    <w:t>0</w:t>
                  </w:r>
                </w:p>
              </w:tc>
              <w:tc>
                <w:tcPr>
                  <w:tcW w:w="737" w:type="dxa"/>
                  <w:shd w:val="clear" w:color="auto" w:fill="auto"/>
                </w:tcPr>
                <w:p w:rsidR="00C57735" w:rsidRPr="00C57735" w:rsidRDefault="00C57735" w:rsidP="00C57735">
                  <w:pPr>
                    <w:pStyle w:val="TableBodyText"/>
                    <w:rPr>
                      <w:sz w:val="20"/>
                    </w:rPr>
                  </w:pPr>
                  <w:r w:rsidRPr="00C57735">
                    <w:rPr>
                      <w:sz w:val="20"/>
                    </w:rPr>
                    <w:t>5</w:t>
                  </w:r>
                </w:p>
              </w:tc>
              <w:tc>
                <w:tcPr>
                  <w:tcW w:w="114" w:type="dxa"/>
                  <w:shd w:val="clear" w:color="auto" w:fill="auto"/>
                </w:tcPr>
                <w:p w:rsidR="00C57735" w:rsidRPr="00C57735" w:rsidRDefault="00C57735" w:rsidP="00C57735">
                  <w:pPr>
                    <w:pStyle w:val="TableBodyText"/>
                    <w:rPr>
                      <w:sz w:val="20"/>
                    </w:rPr>
                  </w:pPr>
                </w:p>
              </w:tc>
              <w:tc>
                <w:tcPr>
                  <w:tcW w:w="794" w:type="dxa"/>
                  <w:shd w:val="clear" w:color="auto" w:fill="auto"/>
                </w:tcPr>
                <w:p w:rsidR="00C57735" w:rsidRPr="00C57735" w:rsidRDefault="00C57735" w:rsidP="00C57735">
                  <w:pPr>
                    <w:pStyle w:val="TableBodyText"/>
                    <w:rPr>
                      <w:sz w:val="20"/>
                    </w:rPr>
                  </w:pPr>
                  <w:r w:rsidRPr="00C57735">
                    <w:rPr>
                      <w:sz w:val="20"/>
                    </w:rPr>
                    <w:t>8</w:t>
                  </w:r>
                </w:p>
              </w:tc>
              <w:tc>
                <w:tcPr>
                  <w:tcW w:w="680" w:type="dxa"/>
                  <w:shd w:val="clear" w:color="auto" w:fill="auto"/>
                </w:tcPr>
                <w:p w:rsidR="00C57735" w:rsidRPr="00C57735" w:rsidRDefault="00C57735" w:rsidP="00C57735">
                  <w:pPr>
                    <w:pStyle w:val="TableBodyText"/>
                    <w:rPr>
                      <w:sz w:val="20"/>
                    </w:rPr>
                  </w:pPr>
                  <w:r w:rsidRPr="00C57735">
                    <w:rPr>
                      <w:sz w:val="20"/>
                    </w:rPr>
                    <w:t>0</w:t>
                  </w:r>
                </w:p>
              </w:tc>
              <w:tc>
                <w:tcPr>
                  <w:tcW w:w="737" w:type="dxa"/>
                  <w:shd w:val="clear" w:color="auto" w:fill="auto"/>
                </w:tcPr>
                <w:p w:rsidR="00C57735" w:rsidRPr="00C57735" w:rsidRDefault="00C57735" w:rsidP="00C57735">
                  <w:pPr>
                    <w:pStyle w:val="TableBodyText"/>
                    <w:rPr>
                      <w:sz w:val="20"/>
                    </w:rPr>
                  </w:pPr>
                  <w:r w:rsidRPr="00C57735">
                    <w:rPr>
                      <w:sz w:val="20"/>
                    </w:rPr>
                    <w:t>8</w:t>
                  </w:r>
                </w:p>
              </w:tc>
              <w:tc>
                <w:tcPr>
                  <w:tcW w:w="113" w:type="dxa"/>
                  <w:shd w:val="clear" w:color="auto" w:fill="auto"/>
                </w:tcPr>
                <w:p w:rsidR="00C57735" w:rsidRPr="00C57735" w:rsidRDefault="00C57735" w:rsidP="00C57735">
                  <w:pPr>
                    <w:pStyle w:val="TableBodyText"/>
                    <w:rPr>
                      <w:sz w:val="20"/>
                    </w:rPr>
                  </w:pPr>
                  <w:r w:rsidRPr="00C57735">
                    <w:rPr>
                      <w:sz w:val="20"/>
                    </w:rPr>
                    <w:t>1</w:t>
                  </w:r>
                </w:p>
              </w:tc>
              <w:tc>
                <w:tcPr>
                  <w:tcW w:w="794" w:type="dxa"/>
                  <w:shd w:val="clear" w:color="auto" w:fill="auto"/>
                </w:tcPr>
                <w:p w:rsidR="00C57735" w:rsidRPr="00C57735" w:rsidRDefault="00C57735" w:rsidP="00C57735">
                  <w:pPr>
                    <w:pStyle w:val="TableBodyText"/>
                    <w:rPr>
                      <w:sz w:val="20"/>
                    </w:rPr>
                  </w:pPr>
                  <w:r w:rsidRPr="00C57735">
                    <w:rPr>
                      <w:sz w:val="20"/>
                    </w:rPr>
                    <w:t>13</w:t>
                  </w:r>
                </w:p>
              </w:tc>
              <w:tc>
                <w:tcPr>
                  <w:tcW w:w="680" w:type="dxa"/>
                  <w:shd w:val="clear" w:color="auto" w:fill="auto"/>
                </w:tcPr>
                <w:p w:rsidR="00C57735" w:rsidRPr="00C57735" w:rsidRDefault="00C57735" w:rsidP="00C57735">
                  <w:pPr>
                    <w:pStyle w:val="TableBodyText"/>
                    <w:rPr>
                      <w:sz w:val="20"/>
                    </w:rPr>
                  </w:pPr>
                  <w:r w:rsidRPr="00C57735">
                    <w:rPr>
                      <w:sz w:val="20"/>
                    </w:rPr>
                    <w:t>0</w:t>
                  </w:r>
                </w:p>
              </w:tc>
              <w:tc>
                <w:tcPr>
                  <w:tcW w:w="737" w:type="dxa"/>
                  <w:shd w:val="clear" w:color="auto" w:fill="auto"/>
                </w:tcPr>
                <w:p w:rsidR="00C57735" w:rsidRPr="00C57735" w:rsidRDefault="00C57735" w:rsidP="00C57735">
                  <w:pPr>
                    <w:pStyle w:val="TableBodyText"/>
                    <w:rPr>
                      <w:sz w:val="20"/>
                    </w:rPr>
                  </w:pPr>
                  <w:r w:rsidRPr="00C57735">
                    <w:rPr>
                      <w:sz w:val="20"/>
                    </w:rPr>
                    <w:t>13</w:t>
                  </w:r>
                </w:p>
              </w:tc>
            </w:tr>
            <w:tr w:rsidR="00C57735" w:rsidTr="00FB78C9">
              <w:tc>
                <w:tcPr>
                  <w:tcW w:w="1644" w:type="dxa"/>
                  <w:shd w:val="clear" w:color="auto" w:fill="auto"/>
                </w:tcPr>
                <w:p w:rsidR="00C57735" w:rsidRPr="00E611D5" w:rsidRDefault="00C57735" w:rsidP="00C57735">
                  <w:pPr>
                    <w:pStyle w:val="TableBodyText"/>
                    <w:jc w:val="left"/>
                  </w:pPr>
                  <w:r w:rsidRPr="00E611D5">
                    <w:t>Staff Level 4</w:t>
                  </w:r>
                </w:p>
              </w:tc>
              <w:tc>
                <w:tcPr>
                  <w:tcW w:w="794" w:type="dxa"/>
                  <w:shd w:val="clear" w:color="auto" w:fill="auto"/>
                </w:tcPr>
                <w:p w:rsidR="00C57735" w:rsidRPr="00C57735" w:rsidRDefault="00C57735" w:rsidP="00C57735">
                  <w:pPr>
                    <w:pStyle w:val="TableBodyText"/>
                    <w:rPr>
                      <w:sz w:val="20"/>
                    </w:rPr>
                  </w:pPr>
                  <w:r w:rsidRPr="00C57735">
                    <w:rPr>
                      <w:sz w:val="20"/>
                    </w:rPr>
                    <w:t>12</w:t>
                  </w:r>
                </w:p>
              </w:tc>
              <w:tc>
                <w:tcPr>
                  <w:tcW w:w="679" w:type="dxa"/>
                  <w:shd w:val="clear" w:color="auto" w:fill="auto"/>
                </w:tcPr>
                <w:p w:rsidR="00C57735" w:rsidRPr="00C57735" w:rsidRDefault="00C57735" w:rsidP="00C57735">
                  <w:pPr>
                    <w:pStyle w:val="TableBodyText"/>
                    <w:rPr>
                      <w:sz w:val="20"/>
                    </w:rPr>
                  </w:pPr>
                  <w:r w:rsidRPr="00C57735">
                    <w:rPr>
                      <w:sz w:val="20"/>
                    </w:rPr>
                    <w:t>3</w:t>
                  </w:r>
                </w:p>
              </w:tc>
              <w:tc>
                <w:tcPr>
                  <w:tcW w:w="737" w:type="dxa"/>
                  <w:shd w:val="clear" w:color="auto" w:fill="auto"/>
                </w:tcPr>
                <w:p w:rsidR="00C57735" w:rsidRPr="00C57735" w:rsidRDefault="00C57735" w:rsidP="00C57735">
                  <w:pPr>
                    <w:pStyle w:val="TableBodyText"/>
                    <w:rPr>
                      <w:sz w:val="20"/>
                    </w:rPr>
                  </w:pPr>
                  <w:r w:rsidRPr="00C57735">
                    <w:rPr>
                      <w:sz w:val="20"/>
                    </w:rPr>
                    <w:t>15</w:t>
                  </w:r>
                </w:p>
              </w:tc>
              <w:tc>
                <w:tcPr>
                  <w:tcW w:w="114" w:type="dxa"/>
                  <w:shd w:val="clear" w:color="auto" w:fill="auto"/>
                </w:tcPr>
                <w:p w:rsidR="00C57735" w:rsidRPr="00C57735" w:rsidRDefault="00C57735" w:rsidP="00C57735">
                  <w:pPr>
                    <w:pStyle w:val="TableBodyText"/>
                    <w:rPr>
                      <w:sz w:val="20"/>
                    </w:rPr>
                  </w:pPr>
                </w:p>
              </w:tc>
              <w:tc>
                <w:tcPr>
                  <w:tcW w:w="794" w:type="dxa"/>
                  <w:shd w:val="clear" w:color="auto" w:fill="auto"/>
                </w:tcPr>
                <w:p w:rsidR="00C57735" w:rsidRPr="00C57735" w:rsidRDefault="00C57735" w:rsidP="00C57735">
                  <w:pPr>
                    <w:pStyle w:val="TableBodyText"/>
                    <w:rPr>
                      <w:sz w:val="20"/>
                    </w:rPr>
                  </w:pPr>
                  <w:r w:rsidRPr="00C57735">
                    <w:rPr>
                      <w:sz w:val="20"/>
                    </w:rPr>
                    <w:t>23</w:t>
                  </w:r>
                </w:p>
              </w:tc>
              <w:tc>
                <w:tcPr>
                  <w:tcW w:w="680" w:type="dxa"/>
                  <w:shd w:val="clear" w:color="auto" w:fill="auto"/>
                </w:tcPr>
                <w:p w:rsidR="00C57735" w:rsidRPr="00C57735" w:rsidRDefault="00C57735" w:rsidP="00C57735">
                  <w:pPr>
                    <w:pStyle w:val="TableBodyText"/>
                    <w:rPr>
                      <w:sz w:val="20"/>
                    </w:rPr>
                  </w:pPr>
                  <w:r w:rsidRPr="00C57735">
                    <w:rPr>
                      <w:sz w:val="20"/>
                    </w:rPr>
                    <w:t>2</w:t>
                  </w:r>
                </w:p>
              </w:tc>
              <w:tc>
                <w:tcPr>
                  <w:tcW w:w="737" w:type="dxa"/>
                  <w:shd w:val="clear" w:color="auto" w:fill="auto"/>
                </w:tcPr>
                <w:p w:rsidR="00C57735" w:rsidRPr="00C57735" w:rsidRDefault="00C57735" w:rsidP="00C57735">
                  <w:pPr>
                    <w:pStyle w:val="TableBodyText"/>
                    <w:rPr>
                      <w:sz w:val="20"/>
                    </w:rPr>
                  </w:pPr>
                  <w:r w:rsidRPr="00C57735">
                    <w:rPr>
                      <w:sz w:val="20"/>
                    </w:rPr>
                    <w:t>25</w:t>
                  </w:r>
                </w:p>
              </w:tc>
              <w:tc>
                <w:tcPr>
                  <w:tcW w:w="113" w:type="dxa"/>
                  <w:shd w:val="clear" w:color="auto" w:fill="auto"/>
                </w:tcPr>
                <w:p w:rsidR="00C57735" w:rsidRPr="00C57735" w:rsidRDefault="00C57735" w:rsidP="00C57735">
                  <w:pPr>
                    <w:pStyle w:val="TableBodyText"/>
                    <w:rPr>
                      <w:sz w:val="20"/>
                    </w:rPr>
                  </w:pPr>
                </w:p>
              </w:tc>
              <w:tc>
                <w:tcPr>
                  <w:tcW w:w="794" w:type="dxa"/>
                  <w:shd w:val="clear" w:color="auto" w:fill="auto"/>
                </w:tcPr>
                <w:p w:rsidR="00C57735" w:rsidRPr="00C57735" w:rsidRDefault="00C57735" w:rsidP="00C57735">
                  <w:pPr>
                    <w:pStyle w:val="TableBodyText"/>
                    <w:rPr>
                      <w:sz w:val="20"/>
                    </w:rPr>
                  </w:pPr>
                  <w:r w:rsidRPr="00C57735">
                    <w:rPr>
                      <w:sz w:val="20"/>
                    </w:rPr>
                    <w:t>35</w:t>
                  </w:r>
                </w:p>
              </w:tc>
              <w:tc>
                <w:tcPr>
                  <w:tcW w:w="680" w:type="dxa"/>
                  <w:shd w:val="clear" w:color="auto" w:fill="auto"/>
                </w:tcPr>
                <w:p w:rsidR="00C57735" w:rsidRPr="00C57735" w:rsidRDefault="00C57735" w:rsidP="00C57735">
                  <w:pPr>
                    <w:pStyle w:val="TableBodyText"/>
                    <w:rPr>
                      <w:sz w:val="20"/>
                    </w:rPr>
                  </w:pPr>
                  <w:r w:rsidRPr="00C57735">
                    <w:rPr>
                      <w:sz w:val="20"/>
                    </w:rPr>
                    <w:t>5</w:t>
                  </w:r>
                </w:p>
              </w:tc>
              <w:tc>
                <w:tcPr>
                  <w:tcW w:w="737" w:type="dxa"/>
                  <w:shd w:val="clear" w:color="auto" w:fill="auto"/>
                </w:tcPr>
                <w:p w:rsidR="00C57735" w:rsidRPr="00C57735" w:rsidRDefault="00C57735" w:rsidP="00C57735">
                  <w:pPr>
                    <w:pStyle w:val="TableBodyText"/>
                    <w:rPr>
                      <w:sz w:val="20"/>
                    </w:rPr>
                  </w:pPr>
                  <w:r w:rsidRPr="00C57735">
                    <w:rPr>
                      <w:sz w:val="20"/>
                    </w:rPr>
                    <w:t>40</w:t>
                  </w:r>
                </w:p>
              </w:tc>
            </w:tr>
            <w:tr w:rsidR="00C57735" w:rsidTr="00FB78C9">
              <w:tc>
                <w:tcPr>
                  <w:tcW w:w="1644" w:type="dxa"/>
                  <w:shd w:val="clear" w:color="auto" w:fill="auto"/>
                </w:tcPr>
                <w:p w:rsidR="00C57735" w:rsidRPr="00E611D5" w:rsidRDefault="00C57735" w:rsidP="00C57735">
                  <w:pPr>
                    <w:pStyle w:val="TableBodyText"/>
                    <w:jc w:val="left"/>
                  </w:pPr>
                  <w:r w:rsidRPr="00E611D5">
                    <w:t>Staff Level 3</w:t>
                  </w:r>
                </w:p>
              </w:tc>
              <w:tc>
                <w:tcPr>
                  <w:tcW w:w="794" w:type="dxa"/>
                  <w:shd w:val="clear" w:color="auto" w:fill="auto"/>
                </w:tcPr>
                <w:p w:rsidR="00C57735" w:rsidRPr="00C57735" w:rsidRDefault="00C57735" w:rsidP="00C57735">
                  <w:pPr>
                    <w:pStyle w:val="TableBodyText"/>
                    <w:rPr>
                      <w:sz w:val="20"/>
                    </w:rPr>
                  </w:pPr>
                  <w:r w:rsidRPr="00C57735">
                    <w:rPr>
                      <w:sz w:val="20"/>
                    </w:rPr>
                    <w:t>15</w:t>
                  </w:r>
                </w:p>
              </w:tc>
              <w:tc>
                <w:tcPr>
                  <w:tcW w:w="679" w:type="dxa"/>
                  <w:shd w:val="clear" w:color="auto" w:fill="auto"/>
                </w:tcPr>
                <w:p w:rsidR="00C57735" w:rsidRPr="00C57735" w:rsidRDefault="00C57735" w:rsidP="00C57735">
                  <w:pPr>
                    <w:pStyle w:val="TableBodyText"/>
                    <w:rPr>
                      <w:sz w:val="20"/>
                    </w:rPr>
                  </w:pPr>
                  <w:r w:rsidRPr="00C57735">
                    <w:rPr>
                      <w:sz w:val="20"/>
                    </w:rPr>
                    <w:t>6</w:t>
                  </w:r>
                </w:p>
              </w:tc>
              <w:tc>
                <w:tcPr>
                  <w:tcW w:w="737" w:type="dxa"/>
                  <w:shd w:val="clear" w:color="auto" w:fill="auto"/>
                </w:tcPr>
                <w:p w:rsidR="00C57735" w:rsidRPr="00C57735" w:rsidRDefault="00C57735" w:rsidP="00C57735">
                  <w:pPr>
                    <w:pStyle w:val="TableBodyText"/>
                    <w:rPr>
                      <w:sz w:val="20"/>
                    </w:rPr>
                  </w:pPr>
                  <w:r w:rsidRPr="00C57735">
                    <w:rPr>
                      <w:sz w:val="20"/>
                    </w:rPr>
                    <w:t>21</w:t>
                  </w:r>
                </w:p>
              </w:tc>
              <w:tc>
                <w:tcPr>
                  <w:tcW w:w="114" w:type="dxa"/>
                  <w:shd w:val="clear" w:color="auto" w:fill="auto"/>
                </w:tcPr>
                <w:p w:rsidR="00C57735" w:rsidRPr="00C57735" w:rsidRDefault="00C57735" w:rsidP="00C57735">
                  <w:pPr>
                    <w:pStyle w:val="TableBodyText"/>
                    <w:rPr>
                      <w:sz w:val="20"/>
                    </w:rPr>
                  </w:pPr>
                </w:p>
              </w:tc>
              <w:tc>
                <w:tcPr>
                  <w:tcW w:w="794" w:type="dxa"/>
                  <w:shd w:val="clear" w:color="auto" w:fill="auto"/>
                </w:tcPr>
                <w:p w:rsidR="00C57735" w:rsidRPr="00C57735" w:rsidRDefault="00C57735" w:rsidP="00C57735">
                  <w:pPr>
                    <w:pStyle w:val="TableBodyText"/>
                    <w:rPr>
                      <w:sz w:val="20"/>
                    </w:rPr>
                  </w:pPr>
                  <w:r w:rsidRPr="00C57735">
                    <w:rPr>
                      <w:sz w:val="20"/>
                    </w:rPr>
                    <w:t>22</w:t>
                  </w:r>
                </w:p>
              </w:tc>
              <w:tc>
                <w:tcPr>
                  <w:tcW w:w="680" w:type="dxa"/>
                  <w:shd w:val="clear" w:color="auto" w:fill="auto"/>
                </w:tcPr>
                <w:p w:rsidR="00C57735" w:rsidRPr="00C57735" w:rsidRDefault="00C57735" w:rsidP="00C57735">
                  <w:pPr>
                    <w:pStyle w:val="TableBodyText"/>
                    <w:rPr>
                      <w:sz w:val="20"/>
                    </w:rPr>
                  </w:pPr>
                  <w:r w:rsidRPr="00C57735">
                    <w:rPr>
                      <w:sz w:val="20"/>
                    </w:rPr>
                    <w:t>0</w:t>
                  </w:r>
                </w:p>
              </w:tc>
              <w:tc>
                <w:tcPr>
                  <w:tcW w:w="737" w:type="dxa"/>
                  <w:shd w:val="clear" w:color="auto" w:fill="auto"/>
                </w:tcPr>
                <w:p w:rsidR="00C57735" w:rsidRPr="00C57735" w:rsidRDefault="00C57735" w:rsidP="00C57735">
                  <w:pPr>
                    <w:pStyle w:val="TableBodyText"/>
                    <w:rPr>
                      <w:sz w:val="20"/>
                    </w:rPr>
                  </w:pPr>
                  <w:r w:rsidRPr="00C57735">
                    <w:rPr>
                      <w:sz w:val="20"/>
                    </w:rPr>
                    <w:t>22</w:t>
                  </w:r>
                </w:p>
              </w:tc>
              <w:tc>
                <w:tcPr>
                  <w:tcW w:w="113" w:type="dxa"/>
                  <w:shd w:val="clear" w:color="auto" w:fill="auto"/>
                </w:tcPr>
                <w:p w:rsidR="00C57735" w:rsidRPr="00C57735" w:rsidRDefault="00C57735" w:rsidP="00C57735">
                  <w:pPr>
                    <w:pStyle w:val="TableBodyText"/>
                    <w:rPr>
                      <w:sz w:val="20"/>
                    </w:rPr>
                  </w:pPr>
                </w:p>
              </w:tc>
              <w:tc>
                <w:tcPr>
                  <w:tcW w:w="794" w:type="dxa"/>
                  <w:shd w:val="clear" w:color="auto" w:fill="auto"/>
                </w:tcPr>
                <w:p w:rsidR="00C57735" w:rsidRPr="00C57735" w:rsidRDefault="00C57735" w:rsidP="00C57735">
                  <w:pPr>
                    <w:pStyle w:val="TableBodyText"/>
                    <w:rPr>
                      <w:sz w:val="20"/>
                    </w:rPr>
                  </w:pPr>
                  <w:r w:rsidRPr="00C57735">
                    <w:rPr>
                      <w:sz w:val="20"/>
                    </w:rPr>
                    <w:t>37</w:t>
                  </w:r>
                </w:p>
              </w:tc>
              <w:tc>
                <w:tcPr>
                  <w:tcW w:w="680" w:type="dxa"/>
                  <w:shd w:val="clear" w:color="auto" w:fill="auto"/>
                </w:tcPr>
                <w:p w:rsidR="00C57735" w:rsidRPr="00C57735" w:rsidRDefault="00C57735" w:rsidP="00C57735">
                  <w:pPr>
                    <w:pStyle w:val="TableBodyText"/>
                    <w:rPr>
                      <w:sz w:val="20"/>
                    </w:rPr>
                  </w:pPr>
                  <w:r w:rsidRPr="00C57735">
                    <w:rPr>
                      <w:sz w:val="20"/>
                    </w:rPr>
                    <w:t>6</w:t>
                  </w:r>
                </w:p>
              </w:tc>
              <w:tc>
                <w:tcPr>
                  <w:tcW w:w="737" w:type="dxa"/>
                  <w:shd w:val="clear" w:color="auto" w:fill="auto"/>
                </w:tcPr>
                <w:p w:rsidR="00C57735" w:rsidRPr="00C57735" w:rsidRDefault="00C57735" w:rsidP="00C57735">
                  <w:pPr>
                    <w:pStyle w:val="TableBodyText"/>
                    <w:rPr>
                      <w:sz w:val="20"/>
                    </w:rPr>
                  </w:pPr>
                  <w:r w:rsidRPr="00C57735">
                    <w:rPr>
                      <w:sz w:val="20"/>
                    </w:rPr>
                    <w:t>43</w:t>
                  </w:r>
                </w:p>
              </w:tc>
            </w:tr>
            <w:tr w:rsidR="00C57735" w:rsidTr="00FB78C9">
              <w:tc>
                <w:tcPr>
                  <w:tcW w:w="1644" w:type="dxa"/>
                  <w:shd w:val="clear" w:color="auto" w:fill="auto"/>
                </w:tcPr>
                <w:p w:rsidR="00C57735" w:rsidRPr="00E611D5" w:rsidRDefault="00C57735" w:rsidP="00C57735">
                  <w:pPr>
                    <w:pStyle w:val="TableBodyText"/>
                    <w:jc w:val="left"/>
                  </w:pPr>
                  <w:r w:rsidRPr="00E611D5">
                    <w:t>Staff Level 2</w:t>
                  </w:r>
                </w:p>
              </w:tc>
              <w:tc>
                <w:tcPr>
                  <w:tcW w:w="794" w:type="dxa"/>
                  <w:shd w:val="clear" w:color="auto" w:fill="auto"/>
                </w:tcPr>
                <w:p w:rsidR="00C57735" w:rsidRPr="00C57735" w:rsidRDefault="00C57735" w:rsidP="00C57735">
                  <w:pPr>
                    <w:pStyle w:val="TableBodyText"/>
                    <w:rPr>
                      <w:sz w:val="20"/>
                    </w:rPr>
                  </w:pPr>
                  <w:r w:rsidRPr="00C57735">
                    <w:rPr>
                      <w:sz w:val="20"/>
                    </w:rPr>
                    <w:t>18</w:t>
                  </w:r>
                </w:p>
              </w:tc>
              <w:tc>
                <w:tcPr>
                  <w:tcW w:w="679" w:type="dxa"/>
                  <w:shd w:val="clear" w:color="auto" w:fill="auto"/>
                </w:tcPr>
                <w:p w:rsidR="00C57735" w:rsidRPr="00C57735" w:rsidRDefault="00C57735" w:rsidP="00C57735">
                  <w:pPr>
                    <w:pStyle w:val="TableBodyText"/>
                    <w:rPr>
                      <w:sz w:val="20"/>
                    </w:rPr>
                  </w:pPr>
                  <w:r w:rsidRPr="00C57735">
                    <w:rPr>
                      <w:sz w:val="20"/>
                    </w:rPr>
                    <w:t>6</w:t>
                  </w:r>
                </w:p>
              </w:tc>
              <w:tc>
                <w:tcPr>
                  <w:tcW w:w="737" w:type="dxa"/>
                  <w:shd w:val="clear" w:color="auto" w:fill="auto"/>
                </w:tcPr>
                <w:p w:rsidR="00C57735" w:rsidRPr="00C57735" w:rsidRDefault="00C57735" w:rsidP="00C57735">
                  <w:pPr>
                    <w:pStyle w:val="TableBodyText"/>
                    <w:rPr>
                      <w:sz w:val="20"/>
                    </w:rPr>
                  </w:pPr>
                  <w:r w:rsidRPr="00C57735">
                    <w:rPr>
                      <w:sz w:val="20"/>
                    </w:rPr>
                    <w:t>24</w:t>
                  </w:r>
                </w:p>
              </w:tc>
              <w:tc>
                <w:tcPr>
                  <w:tcW w:w="114" w:type="dxa"/>
                  <w:shd w:val="clear" w:color="auto" w:fill="auto"/>
                </w:tcPr>
                <w:p w:rsidR="00C57735" w:rsidRPr="00C57735" w:rsidRDefault="00C57735" w:rsidP="00C57735">
                  <w:pPr>
                    <w:pStyle w:val="TableBodyText"/>
                    <w:rPr>
                      <w:sz w:val="20"/>
                    </w:rPr>
                  </w:pPr>
                </w:p>
              </w:tc>
              <w:tc>
                <w:tcPr>
                  <w:tcW w:w="794" w:type="dxa"/>
                  <w:shd w:val="clear" w:color="auto" w:fill="auto"/>
                </w:tcPr>
                <w:p w:rsidR="00C57735" w:rsidRPr="00C57735" w:rsidRDefault="00C57735" w:rsidP="00C57735">
                  <w:pPr>
                    <w:pStyle w:val="TableBodyText"/>
                    <w:rPr>
                      <w:sz w:val="20"/>
                    </w:rPr>
                  </w:pPr>
                  <w:r w:rsidRPr="00C57735">
                    <w:rPr>
                      <w:sz w:val="20"/>
                    </w:rPr>
                    <w:t>19</w:t>
                  </w:r>
                </w:p>
              </w:tc>
              <w:tc>
                <w:tcPr>
                  <w:tcW w:w="680" w:type="dxa"/>
                  <w:shd w:val="clear" w:color="auto" w:fill="auto"/>
                </w:tcPr>
                <w:p w:rsidR="00C57735" w:rsidRPr="00C57735" w:rsidRDefault="00C57735" w:rsidP="00C57735">
                  <w:pPr>
                    <w:pStyle w:val="TableBodyText"/>
                    <w:rPr>
                      <w:sz w:val="20"/>
                    </w:rPr>
                  </w:pPr>
                  <w:r w:rsidRPr="00C57735">
                    <w:rPr>
                      <w:sz w:val="20"/>
                    </w:rPr>
                    <w:t>0</w:t>
                  </w:r>
                </w:p>
              </w:tc>
              <w:tc>
                <w:tcPr>
                  <w:tcW w:w="737" w:type="dxa"/>
                  <w:shd w:val="clear" w:color="auto" w:fill="auto"/>
                </w:tcPr>
                <w:p w:rsidR="00C57735" w:rsidRPr="00C57735" w:rsidRDefault="00C57735" w:rsidP="00C57735">
                  <w:pPr>
                    <w:pStyle w:val="TableBodyText"/>
                    <w:rPr>
                      <w:sz w:val="20"/>
                    </w:rPr>
                  </w:pPr>
                  <w:r w:rsidRPr="00C57735">
                    <w:rPr>
                      <w:sz w:val="20"/>
                    </w:rPr>
                    <w:t>19</w:t>
                  </w:r>
                </w:p>
              </w:tc>
              <w:tc>
                <w:tcPr>
                  <w:tcW w:w="113" w:type="dxa"/>
                  <w:shd w:val="clear" w:color="auto" w:fill="auto"/>
                </w:tcPr>
                <w:p w:rsidR="00C57735" w:rsidRPr="00C57735" w:rsidRDefault="00C57735" w:rsidP="00C57735">
                  <w:pPr>
                    <w:pStyle w:val="TableBodyText"/>
                    <w:rPr>
                      <w:sz w:val="20"/>
                    </w:rPr>
                  </w:pPr>
                </w:p>
              </w:tc>
              <w:tc>
                <w:tcPr>
                  <w:tcW w:w="794" w:type="dxa"/>
                  <w:shd w:val="clear" w:color="auto" w:fill="auto"/>
                </w:tcPr>
                <w:p w:rsidR="00C57735" w:rsidRPr="00C57735" w:rsidRDefault="00C57735" w:rsidP="00C57735">
                  <w:pPr>
                    <w:pStyle w:val="TableBodyText"/>
                    <w:rPr>
                      <w:sz w:val="20"/>
                    </w:rPr>
                  </w:pPr>
                  <w:r w:rsidRPr="00C57735">
                    <w:rPr>
                      <w:sz w:val="20"/>
                    </w:rPr>
                    <w:t>37</w:t>
                  </w:r>
                </w:p>
              </w:tc>
              <w:tc>
                <w:tcPr>
                  <w:tcW w:w="680" w:type="dxa"/>
                  <w:shd w:val="clear" w:color="auto" w:fill="auto"/>
                </w:tcPr>
                <w:p w:rsidR="00C57735" w:rsidRPr="00C57735" w:rsidRDefault="00C57735" w:rsidP="00C57735">
                  <w:pPr>
                    <w:pStyle w:val="TableBodyText"/>
                    <w:rPr>
                      <w:sz w:val="20"/>
                    </w:rPr>
                  </w:pPr>
                  <w:r w:rsidRPr="00C57735">
                    <w:rPr>
                      <w:sz w:val="20"/>
                    </w:rPr>
                    <w:t>6</w:t>
                  </w:r>
                </w:p>
              </w:tc>
              <w:tc>
                <w:tcPr>
                  <w:tcW w:w="737" w:type="dxa"/>
                  <w:shd w:val="clear" w:color="auto" w:fill="auto"/>
                </w:tcPr>
                <w:p w:rsidR="00C57735" w:rsidRPr="00C57735" w:rsidRDefault="00C57735" w:rsidP="00C57735">
                  <w:pPr>
                    <w:pStyle w:val="TableBodyText"/>
                    <w:rPr>
                      <w:sz w:val="20"/>
                    </w:rPr>
                  </w:pPr>
                  <w:r w:rsidRPr="00C57735">
                    <w:rPr>
                      <w:sz w:val="20"/>
                    </w:rPr>
                    <w:t>43</w:t>
                  </w:r>
                </w:p>
              </w:tc>
            </w:tr>
            <w:tr w:rsidR="00C57735" w:rsidTr="00FB78C9">
              <w:tc>
                <w:tcPr>
                  <w:tcW w:w="1644" w:type="dxa"/>
                  <w:shd w:val="clear" w:color="auto" w:fill="auto"/>
                </w:tcPr>
                <w:p w:rsidR="00C57735" w:rsidRPr="00E611D5" w:rsidRDefault="00C57735" w:rsidP="00C57735">
                  <w:pPr>
                    <w:pStyle w:val="TableBodyText"/>
                    <w:jc w:val="left"/>
                  </w:pPr>
                  <w:r w:rsidRPr="00E611D5">
                    <w:t>Staff Level 1</w:t>
                  </w:r>
                </w:p>
              </w:tc>
              <w:tc>
                <w:tcPr>
                  <w:tcW w:w="794" w:type="dxa"/>
                  <w:shd w:val="clear" w:color="auto" w:fill="auto"/>
                </w:tcPr>
                <w:p w:rsidR="00C57735" w:rsidRPr="00C57735" w:rsidRDefault="00C57735" w:rsidP="00C57735">
                  <w:pPr>
                    <w:pStyle w:val="TableBodyText"/>
                    <w:rPr>
                      <w:sz w:val="20"/>
                    </w:rPr>
                  </w:pPr>
                  <w:r w:rsidRPr="00C57735">
                    <w:rPr>
                      <w:sz w:val="20"/>
                    </w:rPr>
                    <w:t>10</w:t>
                  </w:r>
                </w:p>
              </w:tc>
              <w:tc>
                <w:tcPr>
                  <w:tcW w:w="679" w:type="dxa"/>
                  <w:shd w:val="clear" w:color="auto" w:fill="auto"/>
                </w:tcPr>
                <w:p w:rsidR="00C57735" w:rsidRPr="00C57735" w:rsidRDefault="00C57735" w:rsidP="00C57735">
                  <w:pPr>
                    <w:pStyle w:val="TableBodyText"/>
                    <w:rPr>
                      <w:sz w:val="20"/>
                    </w:rPr>
                  </w:pPr>
                  <w:r w:rsidRPr="00C57735">
                    <w:rPr>
                      <w:sz w:val="20"/>
                    </w:rPr>
                    <w:t>6</w:t>
                  </w:r>
                </w:p>
              </w:tc>
              <w:tc>
                <w:tcPr>
                  <w:tcW w:w="737" w:type="dxa"/>
                  <w:shd w:val="clear" w:color="auto" w:fill="auto"/>
                </w:tcPr>
                <w:p w:rsidR="00C57735" w:rsidRPr="00C57735" w:rsidRDefault="00C57735" w:rsidP="00C57735">
                  <w:pPr>
                    <w:pStyle w:val="TableBodyText"/>
                    <w:rPr>
                      <w:sz w:val="20"/>
                    </w:rPr>
                  </w:pPr>
                  <w:r w:rsidRPr="00C57735">
                    <w:rPr>
                      <w:sz w:val="20"/>
                    </w:rPr>
                    <w:t>16</w:t>
                  </w:r>
                </w:p>
              </w:tc>
              <w:tc>
                <w:tcPr>
                  <w:tcW w:w="114" w:type="dxa"/>
                  <w:shd w:val="clear" w:color="auto" w:fill="auto"/>
                </w:tcPr>
                <w:p w:rsidR="00C57735" w:rsidRPr="00C57735" w:rsidRDefault="00C57735" w:rsidP="00C57735">
                  <w:pPr>
                    <w:pStyle w:val="TableBodyText"/>
                    <w:rPr>
                      <w:sz w:val="20"/>
                    </w:rPr>
                  </w:pPr>
                </w:p>
              </w:tc>
              <w:tc>
                <w:tcPr>
                  <w:tcW w:w="794" w:type="dxa"/>
                  <w:shd w:val="clear" w:color="auto" w:fill="auto"/>
                </w:tcPr>
                <w:p w:rsidR="00C57735" w:rsidRPr="00C57735" w:rsidRDefault="00C57735" w:rsidP="00C57735">
                  <w:pPr>
                    <w:pStyle w:val="TableBodyText"/>
                    <w:rPr>
                      <w:sz w:val="20"/>
                    </w:rPr>
                  </w:pPr>
                  <w:r w:rsidRPr="00C57735">
                    <w:rPr>
                      <w:sz w:val="20"/>
                    </w:rPr>
                    <w:t>6</w:t>
                  </w:r>
                </w:p>
              </w:tc>
              <w:tc>
                <w:tcPr>
                  <w:tcW w:w="680" w:type="dxa"/>
                  <w:shd w:val="clear" w:color="auto" w:fill="auto"/>
                </w:tcPr>
                <w:p w:rsidR="00C57735" w:rsidRPr="00C57735" w:rsidRDefault="00C57735" w:rsidP="00C57735">
                  <w:pPr>
                    <w:pStyle w:val="TableBodyText"/>
                    <w:rPr>
                      <w:sz w:val="20"/>
                    </w:rPr>
                  </w:pPr>
                  <w:r w:rsidRPr="00C57735">
                    <w:rPr>
                      <w:sz w:val="20"/>
                    </w:rPr>
                    <w:t>0</w:t>
                  </w:r>
                </w:p>
              </w:tc>
              <w:tc>
                <w:tcPr>
                  <w:tcW w:w="737" w:type="dxa"/>
                  <w:shd w:val="clear" w:color="auto" w:fill="auto"/>
                </w:tcPr>
                <w:p w:rsidR="00C57735" w:rsidRPr="00C57735" w:rsidRDefault="00C57735" w:rsidP="00C57735">
                  <w:pPr>
                    <w:pStyle w:val="TableBodyText"/>
                    <w:rPr>
                      <w:sz w:val="20"/>
                    </w:rPr>
                  </w:pPr>
                  <w:r w:rsidRPr="00C57735">
                    <w:rPr>
                      <w:sz w:val="20"/>
                    </w:rPr>
                    <w:t>6</w:t>
                  </w:r>
                </w:p>
              </w:tc>
              <w:tc>
                <w:tcPr>
                  <w:tcW w:w="113" w:type="dxa"/>
                  <w:shd w:val="clear" w:color="auto" w:fill="auto"/>
                </w:tcPr>
                <w:p w:rsidR="00C57735" w:rsidRPr="00C57735" w:rsidRDefault="00C57735" w:rsidP="00C57735">
                  <w:pPr>
                    <w:pStyle w:val="TableBodyText"/>
                    <w:rPr>
                      <w:sz w:val="20"/>
                    </w:rPr>
                  </w:pPr>
                </w:p>
              </w:tc>
              <w:tc>
                <w:tcPr>
                  <w:tcW w:w="794" w:type="dxa"/>
                  <w:shd w:val="clear" w:color="auto" w:fill="auto"/>
                </w:tcPr>
                <w:p w:rsidR="00C57735" w:rsidRPr="00C57735" w:rsidRDefault="00C57735" w:rsidP="00C57735">
                  <w:pPr>
                    <w:pStyle w:val="TableBodyText"/>
                    <w:rPr>
                      <w:sz w:val="20"/>
                    </w:rPr>
                  </w:pPr>
                  <w:r w:rsidRPr="00C57735">
                    <w:rPr>
                      <w:sz w:val="20"/>
                    </w:rPr>
                    <w:t>16</w:t>
                  </w:r>
                </w:p>
              </w:tc>
              <w:tc>
                <w:tcPr>
                  <w:tcW w:w="680" w:type="dxa"/>
                  <w:shd w:val="clear" w:color="auto" w:fill="auto"/>
                </w:tcPr>
                <w:p w:rsidR="00C57735" w:rsidRPr="00C57735" w:rsidRDefault="00C57735" w:rsidP="00C57735">
                  <w:pPr>
                    <w:pStyle w:val="TableBodyText"/>
                    <w:rPr>
                      <w:sz w:val="20"/>
                    </w:rPr>
                  </w:pPr>
                  <w:r w:rsidRPr="00C57735">
                    <w:rPr>
                      <w:sz w:val="20"/>
                    </w:rPr>
                    <w:t>6</w:t>
                  </w:r>
                </w:p>
              </w:tc>
              <w:tc>
                <w:tcPr>
                  <w:tcW w:w="737" w:type="dxa"/>
                  <w:shd w:val="clear" w:color="auto" w:fill="auto"/>
                </w:tcPr>
                <w:p w:rsidR="00C57735" w:rsidRPr="00C57735" w:rsidRDefault="00C57735" w:rsidP="00C57735">
                  <w:pPr>
                    <w:pStyle w:val="TableBodyText"/>
                    <w:rPr>
                      <w:sz w:val="20"/>
                    </w:rPr>
                  </w:pPr>
                  <w:r w:rsidRPr="00C57735">
                    <w:rPr>
                      <w:sz w:val="20"/>
                    </w:rPr>
                    <w:t>22</w:t>
                  </w:r>
                </w:p>
              </w:tc>
            </w:tr>
            <w:tr w:rsidR="00C57735" w:rsidRPr="00C57735" w:rsidTr="00FB78C9">
              <w:tc>
                <w:tcPr>
                  <w:tcW w:w="1644" w:type="dxa"/>
                  <w:shd w:val="clear" w:color="auto" w:fill="auto"/>
                </w:tcPr>
                <w:p w:rsidR="00C57735" w:rsidRPr="00C57735" w:rsidRDefault="00C57735" w:rsidP="00C57735">
                  <w:pPr>
                    <w:pStyle w:val="TableBodyText"/>
                    <w:jc w:val="left"/>
                    <w:rPr>
                      <w:b/>
                    </w:rPr>
                  </w:pPr>
                  <w:proofErr w:type="spellStart"/>
                  <w:r w:rsidRPr="00E611D5">
                    <w:rPr>
                      <w:b/>
                    </w:rPr>
                    <w:t>Total</w:t>
                  </w:r>
                  <w:r w:rsidRPr="00C57735">
                    <w:rPr>
                      <w:b/>
                    </w:rPr>
                    <w:t>b</w:t>
                  </w:r>
                  <w:proofErr w:type="spellEnd"/>
                </w:p>
              </w:tc>
              <w:tc>
                <w:tcPr>
                  <w:tcW w:w="794" w:type="dxa"/>
                  <w:shd w:val="clear" w:color="auto" w:fill="auto"/>
                </w:tcPr>
                <w:p w:rsidR="00C57735" w:rsidRPr="00C57735" w:rsidRDefault="00C57735" w:rsidP="00C57735">
                  <w:pPr>
                    <w:pStyle w:val="TableBodyText"/>
                    <w:rPr>
                      <w:b/>
                    </w:rPr>
                  </w:pPr>
                  <w:r w:rsidRPr="00C57735">
                    <w:rPr>
                      <w:b/>
                    </w:rPr>
                    <w:t>62</w:t>
                  </w:r>
                </w:p>
              </w:tc>
              <w:tc>
                <w:tcPr>
                  <w:tcW w:w="679" w:type="dxa"/>
                  <w:shd w:val="clear" w:color="auto" w:fill="auto"/>
                </w:tcPr>
                <w:p w:rsidR="00C57735" w:rsidRPr="00C57735" w:rsidRDefault="00C57735" w:rsidP="00C57735">
                  <w:pPr>
                    <w:pStyle w:val="TableBodyText"/>
                    <w:rPr>
                      <w:b/>
                    </w:rPr>
                  </w:pPr>
                  <w:r w:rsidRPr="00C57735">
                    <w:rPr>
                      <w:b/>
                    </w:rPr>
                    <w:t>21</w:t>
                  </w:r>
                </w:p>
              </w:tc>
              <w:tc>
                <w:tcPr>
                  <w:tcW w:w="737" w:type="dxa"/>
                  <w:shd w:val="clear" w:color="auto" w:fill="auto"/>
                </w:tcPr>
                <w:p w:rsidR="00C57735" w:rsidRPr="00C57735" w:rsidRDefault="00C57735" w:rsidP="00C57735">
                  <w:pPr>
                    <w:pStyle w:val="TableBodyText"/>
                    <w:rPr>
                      <w:b/>
                    </w:rPr>
                  </w:pPr>
                  <w:r w:rsidRPr="00C57735">
                    <w:rPr>
                      <w:b/>
                    </w:rPr>
                    <w:t>83</w:t>
                  </w:r>
                </w:p>
              </w:tc>
              <w:tc>
                <w:tcPr>
                  <w:tcW w:w="114" w:type="dxa"/>
                  <w:shd w:val="clear" w:color="auto" w:fill="auto"/>
                </w:tcPr>
                <w:p w:rsidR="00C57735" w:rsidRPr="00C57735" w:rsidRDefault="00C57735" w:rsidP="00C57735">
                  <w:pPr>
                    <w:pStyle w:val="TableBodyText"/>
                    <w:rPr>
                      <w:b/>
                    </w:rPr>
                  </w:pPr>
                </w:p>
              </w:tc>
              <w:tc>
                <w:tcPr>
                  <w:tcW w:w="794" w:type="dxa"/>
                  <w:shd w:val="clear" w:color="auto" w:fill="auto"/>
                </w:tcPr>
                <w:p w:rsidR="00C57735" w:rsidRPr="00C57735" w:rsidRDefault="00C57735" w:rsidP="00C57735">
                  <w:pPr>
                    <w:pStyle w:val="TableBodyText"/>
                    <w:rPr>
                      <w:b/>
                    </w:rPr>
                  </w:pPr>
                  <w:r w:rsidRPr="00C57735">
                    <w:rPr>
                      <w:b/>
                    </w:rPr>
                    <w:t>80</w:t>
                  </w:r>
                </w:p>
              </w:tc>
              <w:tc>
                <w:tcPr>
                  <w:tcW w:w="680" w:type="dxa"/>
                  <w:shd w:val="clear" w:color="auto" w:fill="auto"/>
                </w:tcPr>
                <w:p w:rsidR="00C57735" w:rsidRPr="00C57735" w:rsidRDefault="00C57735" w:rsidP="00C57735">
                  <w:pPr>
                    <w:pStyle w:val="TableBodyText"/>
                    <w:rPr>
                      <w:b/>
                    </w:rPr>
                  </w:pPr>
                  <w:r w:rsidRPr="00C57735">
                    <w:rPr>
                      <w:b/>
                    </w:rPr>
                    <w:t>2</w:t>
                  </w:r>
                </w:p>
              </w:tc>
              <w:tc>
                <w:tcPr>
                  <w:tcW w:w="737" w:type="dxa"/>
                  <w:shd w:val="clear" w:color="auto" w:fill="auto"/>
                </w:tcPr>
                <w:p w:rsidR="00C57735" w:rsidRPr="00C57735" w:rsidRDefault="00C57735" w:rsidP="00C57735">
                  <w:pPr>
                    <w:pStyle w:val="TableBodyText"/>
                    <w:rPr>
                      <w:b/>
                    </w:rPr>
                  </w:pPr>
                  <w:r w:rsidRPr="00C57735">
                    <w:rPr>
                      <w:b/>
                    </w:rPr>
                    <w:t>82</w:t>
                  </w:r>
                </w:p>
              </w:tc>
              <w:tc>
                <w:tcPr>
                  <w:tcW w:w="113" w:type="dxa"/>
                  <w:shd w:val="clear" w:color="auto" w:fill="auto"/>
                </w:tcPr>
                <w:p w:rsidR="00C57735" w:rsidRPr="00C57735" w:rsidRDefault="00C57735" w:rsidP="00C57735">
                  <w:pPr>
                    <w:pStyle w:val="TableBodyText"/>
                    <w:rPr>
                      <w:b/>
                    </w:rPr>
                  </w:pPr>
                </w:p>
              </w:tc>
              <w:tc>
                <w:tcPr>
                  <w:tcW w:w="794" w:type="dxa"/>
                  <w:shd w:val="clear" w:color="auto" w:fill="auto"/>
                </w:tcPr>
                <w:p w:rsidR="00C57735" w:rsidRPr="00C57735" w:rsidRDefault="00C57735" w:rsidP="00C57735">
                  <w:pPr>
                    <w:pStyle w:val="TableBodyText"/>
                    <w:rPr>
                      <w:b/>
                    </w:rPr>
                  </w:pPr>
                  <w:r w:rsidRPr="00C57735">
                    <w:rPr>
                      <w:b/>
                    </w:rPr>
                    <w:t>142</w:t>
                  </w:r>
                </w:p>
              </w:tc>
              <w:tc>
                <w:tcPr>
                  <w:tcW w:w="680" w:type="dxa"/>
                  <w:shd w:val="clear" w:color="auto" w:fill="auto"/>
                </w:tcPr>
                <w:p w:rsidR="00C57735" w:rsidRPr="00C57735" w:rsidRDefault="00C57735" w:rsidP="00C57735">
                  <w:pPr>
                    <w:pStyle w:val="TableBodyText"/>
                    <w:rPr>
                      <w:b/>
                    </w:rPr>
                  </w:pPr>
                  <w:r w:rsidRPr="00C57735">
                    <w:rPr>
                      <w:b/>
                    </w:rPr>
                    <w:t>23</w:t>
                  </w:r>
                </w:p>
              </w:tc>
              <w:tc>
                <w:tcPr>
                  <w:tcW w:w="737" w:type="dxa"/>
                  <w:shd w:val="clear" w:color="auto" w:fill="auto"/>
                </w:tcPr>
                <w:p w:rsidR="00C57735" w:rsidRPr="00C57735" w:rsidRDefault="00C57735" w:rsidP="00C57735">
                  <w:pPr>
                    <w:pStyle w:val="TableBodyText"/>
                    <w:rPr>
                      <w:b/>
                    </w:rPr>
                  </w:pPr>
                  <w:r w:rsidRPr="00C57735">
                    <w:rPr>
                      <w:b/>
                    </w:rPr>
                    <w:t>165</w:t>
                  </w:r>
                </w:p>
              </w:tc>
            </w:tr>
            <w:tr w:rsidR="00C57735" w:rsidTr="00C57735">
              <w:tc>
                <w:tcPr>
                  <w:tcW w:w="1644" w:type="dxa"/>
                  <w:tcBorders>
                    <w:bottom w:val="single" w:sz="6" w:space="0" w:color="C8C8C8"/>
                  </w:tcBorders>
                  <w:shd w:val="clear" w:color="auto" w:fill="auto"/>
                </w:tcPr>
                <w:p w:rsidR="00C57735" w:rsidRPr="00E611D5" w:rsidRDefault="00C57735" w:rsidP="00C57735">
                  <w:pPr>
                    <w:pStyle w:val="TableBodyText"/>
                    <w:spacing w:before="120"/>
                    <w:jc w:val="left"/>
                  </w:pPr>
                  <w:r w:rsidRPr="00E611D5">
                    <w:t xml:space="preserve">Corresponding totals at </w:t>
                  </w:r>
                  <w:r w:rsidRPr="00E611D5">
                    <w:br/>
                    <w:t>30 June 2013</w:t>
                  </w:r>
                  <w:r w:rsidRPr="00C57735">
                    <w:t>a</w:t>
                  </w:r>
                </w:p>
              </w:tc>
              <w:tc>
                <w:tcPr>
                  <w:tcW w:w="794" w:type="dxa"/>
                  <w:tcBorders>
                    <w:bottom w:val="single" w:sz="6" w:space="0" w:color="C8C8C8"/>
                  </w:tcBorders>
                  <w:shd w:val="clear" w:color="auto" w:fill="auto"/>
                  <w:vAlign w:val="center"/>
                </w:tcPr>
                <w:p w:rsidR="00C57735" w:rsidRPr="00C57735" w:rsidRDefault="00C57735" w:rsidP="00C57735">
                  <w:pPr>
                    <w:pStyle w:val="TableBodyText"/>
                    <w:spacing w:before="120"/>
                  </w:pPr>
                  <w:r w:rsidRPr="00C57735">
                    <w:t>71</w:t>
                  </w:r>
                </w:p>
              </w:tc>
              <w:tc>
                <w:tcPr>
                  <w:tcW w:w="679" w:type="dxa"/>
                  <w:tcBorders>
                    <w:bottom w:val="single" w:sz="6" w:space="0" w:color="C8C8C8"/>
                  </w:tcBorders>
                  <w:shd w:val="clear" w:color="auto" w:fill="auto"/>
                  <w:vAlign w:val="center"/>
                </w:tcPr>
                <w:p w:rsidR="00C57735" w:rsidRPr="00C57735" w:rsidRDefault="00C57735" w:rsidP="00C57735">
                  <w:pPr>
                    <w:pStyle w:val="TableBodyText"/>
                    <w:spacing w:before="120"/>
                  </w:pPr>
                  <w:r w:rsidRPr="00C57735">
                    <w:t>17</w:t>
                  </w:r>
                </w:p>
              </w:tc>
              <w:tc>
                <w:tcPr>
                  <w:tcW w:w="737" w:type="dxa"/>
                  <w:tcBorders>
                    <w:bottom w:val="single" w:sz="6" w:space="0" w:color="C8C8C8"/>
                  </w:tcBorders>
                  <w:shd w:val="clear" w:color="auto" w:fill="auto"/>
                  <w:vAlign w:val="center"/>
                </w:tcPr>
                <w:p w:rsidR="00C57735" w:rsidRPr="00C57735" w:rsidRDefault="00C57735" w:rsidP="00C57735">
                  <w:pPr>
                    <w:pStyle w:val="TableBodyText"/>
                    <w:spacing w:before="120"/>
                  </w:pPr>
                  <w:r w:rsidRPr="00C57735">
                    <w:t>88</w:t>
                  </w:r>
                </w:p>
              </w:tc>
              <w:tc>
                <w:tcPr>
                  <w:tcW w:w="114" w:type="dxa"/>
                  <w:tcBorders>
                    <w:bottom w:val="single" w:sz="6" w:space="0" w:color="C8C8C8"/>
                  </w:tcBorders>
                  <w:shd w:val="clear" w:color="auto" w:fill="auto"/>
                  <w:vAlign w:val="center"/>
                </w:tcPr>
                <w:p w:rsidR="00C57735" w:rsidRPr="00C57735" w:rsidRDefault="00C57735" w:rsidP="00C57735">
                  <w:pPr>
                    <w:pStyle w:val="TableBodyText"/>
                    <w:spacing w:before="120"/>
                  </w:pPr>
                </w:p>
              </w:tc>
              <w:tc>
                <w:tcPr>
                  <w:tcW w:w="794" w:type="dxa"/>
                  <w:tcBorders>
                    <w:bottom w:val="single" w:sz="6" w:space="0" w:color="C8C8C8"/>
                  </w:tcBorders>
                  <w:shd w:val="clear" w:color="auto" w:fill="auto"/>
                  <w:vAlign w:val="center"/>
                </w:tcPr>
                <w:p w:rsidR="00C57735" w:rsidRPr="00C57735" w:rsidRDefault="00C57735" w:rsidP="00C57735">
                  <w:pPr>
                    <w:pStyle w:val="TableBodyText"/>
                    <w:spacing w:before="120"/>
                  </w:pPr>
                  <w:r w:rsidRPr="00C57735">
                    <w:t>93</w:t>
                  </w:r>
                </w:p>
              </w:tc>
              <w:tc>
                <w:tcPr>
                  <w:tcW w:w="680" w:type="dxa"/>
                  <w:tcBorders>
                    <w:bottom w:val="single" w:sz="6" w:space="0" w:color="C8C8C8"/>
                  </w:tcBorders>
                  <w:shd w:val="clear" w:color="auto" w:fill="auto"/>
                  <w:vAlign w:val="center"/>
                </w:tcPr>
                <w:p w:rsidR="00C57735" w:rsidRPr="00C57735" w:rsidRDefault="00C57735" w:rsidP="00C57735">
                  <w:pPr>
                    <w:pStyle w:val="TableBodyText"/>
                    <w:spacing w:before="120"/>
                  </w:pPr>
                  <w:r w:rsidRPr="00C57735">
                    <w:t>5</w:t>
                  </w:r>
                </w:p>
              </w:tc>
              <w:tc>
                <w:tcPr>
                  <w:tcW w:w="737" w:type="dxa"/>
                  <w:tcBorders>
                    <w:bottom w:val="single" w:sz="6" w:space="0" w:color="C8C8C8"/>
                  </w:tcBorders>
                  <w:shd w:val="clear" w:color="auto" w:fill="auto"/>
                  <w:vAlign w:val="center"/>
                </w:tcPr>
                <w:p w:rsidR="00C57735" w:rsidRPr="00C57735" w:rsidRDefault="00C57735" w:rsidP="00C57735">
                  <w:pPr>
                    <w:pStyle w:val="TableBodyText"/>
                    <w:spacing w:before="120"/>
                  </w:pPr>
                  <w:r w:rsidRPr="00C57735">
                    <w:t>98</w:t>
                  </w:r>
                </w:p>
              </w:tc>
              <w:tc>
                <w:tcPr>
                  <w:tcW w:w="113" w:type="dxa"/>
                  <w:tcBorders>
                    <w:bottom w:val="single" w:sz="6" w:space="0" w:color="C8C8C8"/>
                  </w:tcBorders>
                  <w:shd w:val="clear" w:color="auto" w:fill="auto"/>
                  <w:vAlign w:val="center"/>
                </w:tcPr>
                <w:p w:rsidR="00C57735" w:rsidRPr="00C57735" w:rsidRDefault="00C57735" w:rsidP="00C57735">
                  <w:pPr>
                    <w:pStyle w:val="TableBodyText"/>
                    <w:spacing w:before="120"/>
                  </w:pPr>
                </w:p>
              </w:tc>
              <w:tc>
                <w:tcPr>
                  <w:tcW w:w="794" w:type="dxa"/>
                  <w:tcBorders>
                    <w:bottom w:val="single" w:sz="6" w:space="0" w:color="C8C8C8"/>
                  </w:tcBorders>
                  <w:shd w:val="clear" w:color="auto" w:fill="auto"/>
                  <w:vAlign w:val="center"/>
                </w:tcPr>
                <w:p w:rsidR="00C57735" w:rsidRPr="00C57735" w:rsidRDefault="00C57735" w:rsidP="00C57735">
                  <w:pPr>
                    <w:pStyle w:val="TableBodyText"/>
                    <w:spacing w:before="120"/>
                  </w:pPr>
                  <w:r w:rsidRPr="00C57735">
                    <w:t>164</w:t>
                  </w:r>
                </w:p>
              </w:tc>
              <w:tc>
                <w:tcPr>
                  <w:tcW w:w="680" w:type="dxa"/>
                  <w:tcBorders>
                    <w:bottom w:val="single" w:sz="6" w:space="0" w:color="C8C8C8"/>
                  </w:tcBorders>
                  <w:shd w:val="clear" w:color="auto" w:fill="auto"/>
                  <w:vAlign w:val="center"/>
                </w:tcPr>
                <w:p w:rsidR="00C57735" w:rsidRPr="00C57735" w:rsidRDefault="00C57735" w:rsidP="00C57735">
                  <w:pPr>
                    <w:pStyle w:val="TableBodyText"/>
                    <w:spacing w:before="120"/>
                  </w:pPr>
                  <w:r w:rsidRPr="00C57735">
                    <w:t>22</w:t>
                  </w:r>
                </w:p>
              </w:tc>
              <w:tc>
                <w:tcPr>
                  <w:tcW w:w="737" w:type="dxa"/>
                  <w:tcBorders>
                    <w:bottom w:val="single" w:sz="6" w:space="0" w:color="C8C8C8"/>
                  </w:tcBorders>
                  <w:shd w:val="clear" w:color="auto" w:fill="auto"/>
                  <w:vAlign w:val="center"/>
                </w:tcPr>
                <w:p w:rsidR="00C57735" w:rsidRPr="00C57735" w:rsidRDefault="00C57735" w:rsidP="00C57735">
                  <w:pPr>
                    <w:pStyle w:val="TableBodyText"/>
                    <w:spacing w:before="120"/>
                  </w:pPr>
                  <w:r w:rsidRPr="00C57735">
                    <w:t>186</w:t>
                  </w:r>
                </w:p>
              </w:tc>
            </w:tr>
          </w:tbl>
          <w:p w:rsidR="00C57735" w:rsidRDefault="00C57735" w:rsidP="00FB78C9">
            <w:pPr>
              <w:pStyle w:val="Box"/>
            </w:pPr>
          </w:p>
        </w:tc>
      </w:tr>
      <w:tr w:rsidR="00C57735" w:rsidTr="00FB78C9">
        <w:trPr>
          <w:cantSplit/>
        </w:trPr>
        <w:tc>
          <w:tcPr>
            <w:tcW w:w="8771" w:type="dxa"/>
            <w:tcBorders>
              <w:top w:val="nil"/>
              <w:left w:val="nil"/>
              <w:bottom w:val="nil"/>
              <w:right w:val="nil"/>
            </w:tcBorders>
            <w:shd w:val="clear" w:color="auto" w:fill="auto"/>
          </w:tcPr>
          <w:p w:rsidR="00C57735" w:rsidRDefault="00C57735" w:rsidP="00FB78C9">
            <w:pPr>
              <w:rPr>
                <w:i/>
              </w:rPr>
            </w:pPr>
            <w:proofErr w:type="gramStart"/>
            <w:r w:rsidRPr="00E611D5">
              <w:rPr>
                <w:rStyle w:val="NoteLabel"/>
              </w:rPr>
              <w:t>a</w:t>
            </w:r>
            <w:proofErr w:type="gramEnd"/>
            <w:r w:rsidRPr="00E611D5">
              <w:sym w:font="Symbol" w:char="F020"/>
            </w:r>
            <w:r w:rsidRPr="00E611D5">
              <w:t xml:space="preserve"> </w:t>
            </w:r>
            <w:r w:rsidRPr="00E611D5">
              <w:rPr>
                <w:rStyle w:val="NoteChar"/>
              </w:rPr>
              <w:t>Totals exclude 9 inoperative employees at 30 June 2013.</w:t>
            </w:r>
            <w:r w:rsidRPr="00E611D5">
              <w:t xml:space="preserve"> </w:t>
            </w:r>
            <w:proofErr w:type="gramStart"/>
            <w:r w:rsidRPr="00E611D5">
              <w:rPr>
                <w:rStyle w:val="NoteLabel"/>
              </w:rPr>
              <w:t>b</w:t>
            </w:r>
            <w:proofErr w:type="gramEnd"/>
            <w:r w:rsidRPr="00E611D5">
              <w:t xml:space="preserve"> </w:t>
            </w:r>
            <w:r w:rsidRPr="00E611D5">
              <w:rPr>
                <w:rStyle w:val="NoteChar"/>
              </w:rPr>
              <w:t xml:space="preserve">Totals exclude  4 inoperative employees at 30 June 2013; 2014 totals include two acting Staff Level 4’s, and one Staff Level 2. </w:t>
            </w:r>
          </w:p>
        </w:tc>
      </w:tr>
      <w:tr w:rsidR="00C57735" w:rsidTr="00FB78C9">
        <w:trPr>
          <w:cantSplit/>
        </w:trPr>
        <w:tc>
          <w:tcPr>
            <w:tcW w:w="8771" w:type="dxa"/>
            <w:tcBorders>
              <w:top w:val="nil"/>
              <w:left w:val="nil"/>
              <w:bottom w:val="single" w:sz="6" w:space="0" w:color="78A22F"/>
              <w:right w:val="nil"/>
            </w:tcBorders>
            <w:shd w:val="clear" w:color="auto" w:fill="auto"/>
          </w:tcPr>
          <w:p w:rsidR="00C57735" w:rsidRDefault="00C57735" w:rsidP="00FB78C9">
            <w:pPr>
              <w:pStyle w:val="Box"/>
              <w:spacing w:before="0" w:line="120" w:lineRule="exact"/>
            </w:pPr>
          </w:p>
        </w:tc>
      </w:tr>
      <w:tr w:rsidR="00C57735" w:rsidRPr="000863A5" w:rsidTr="00FB78C9">
        <w:tc>
          <w:tcPr>
            <w:tcW w:w="8771" w:type="dxa"/>
            <w:tcBorders>
              <w:top w:val="single" w:sz="6" w:space="0" w:color="78A22F"/>
              <w:left w:val="nil"/>
              <w:bottom w:val="nil"/>
              <w:right w:val="nil"/>
            </w:tcBorders>
          </w:tcPr>
          <w:p w:rsidR="00C57735" w:rsidRPr="00626D32" w:rsidRDefault="00C57735" w:rsidP="00FB78C9">
            <w:pPr>
              <w:pStyle w:val="BoxSpaceBelow"/>
            </w:pPr>
          </w:p>
        </w:tc>
      </w:tr>
    </w:tbl>
    <w:p w:rsidR="00C57735" w:rsidRDefault="00C57735" w:rsidP="00C57735">
      <w:pPr>
        <w:pStyle w:val="BodyText"/>
      </w:pPr>
    </w:p>
    <w:p w:rsidR="00C57735" w:rsidRDefault="00C57735" w:rsidP="00C57735">
      <w:pPr>
        <w:pStyle w:val="BodyText"/>
      </w:pPr>
    </w:p>
    <w:p w:rsidR="00401C4C" w:rsidRDefault="00401C4C" w:rsidP="00FB78C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401C4C" w:rsidTr="00401C4C">
        <w:tc>
          <w:tcPr>
            <w:tcW w:w="8771" w:type="dxa"/>
            <w:tcBorders>
              <w:top w:val="single" w:sz="6" w:space="0" w:color="78A22F"/>
              <w:left w:val="nil"/>
              <w:bottom w:val="nil"/>
              <w:right w:val="nil"/>
            </w:tcBorders>
            <w:shd w:val="clear" w:color="auto" w:fill="auto"/>
          </w:tcPr>
          <w:p w:rsidR="00401C4C" w:rsidRPr="00784A05" w:rsidRDefault="00401C4C" w:rsidP="00C57735">
            <w:pPr>
              <w:pStyle w:val="TableTitle"/>
            </w:pPr>
            <w:r>
              <w:rPr>
                <w:b w:val="0"/>
              </w:rPr>
              <w:t>Table A1.</w:t>
            </w:r>
            <w:r w:rsidR="00C57735">
              <w:rPr>
                <w:b w:val="0"/>
              </w:rPr>
              <w:t>5</w:t>
            </w:r>
            <w:r>
              <w:tab/>
              <w:t>Salary ranges, 30 June 2014</w:t>
            </w:r>
            <w:r w:rsidRPr="00427B75">
              <w:rPr>
                <w:rStyle w:val="NoteLabel"/>
                <w:b/>
              </w:rPr>
              <w:t>a</w:t>
            </w:r>
          </w:p>
        </w:tc>
      </w:tr>
      <w:tr w:rsidR="00401C4C" w:rsidTr="00FB78C9">
        <w:trPr>
          <w:cantSplit/>
        </w:trPr>
        <w:tc>
          <w:tcPr>
            <w:tcW w:w="8771" w:type="dxa"/>
            <w:tcBorders>
              <w:top w:val="nil"/>
              <w:left w:val="nil"/>
              <w:bottom w:val="nil"/>
              <w:right w:val="nil"/>
            </w:tcBorders>
            <w:shd w:val="clear" w:color="auto" w:fill="auto"/>
          </w:tcPr>
          <w:tbl>
            <w:tblPr>
              <w:tblW w:w="8486" w:type="dxa"/>
              <w:tblCellMar>
                <w:top w:w="28" w:type="dxa"/>
                <w:left w:w="0" w:type="dxa"/>
                <w:right w:w="0" w:type="dxa"/>
              </w:tblCellMar>
              <w:tblLook w:val="0000" w:firstRow="0" w:lastRow="0" w:firstColumn="0" w:lastColumn="0" w:noHBand="0" w:noVBand="0"/>
            </w:tblPr>
            <w:tblGrid>
              <w:gridCol w:w="2828"/>
              <w:gridCol w:w="2829"/>
              <w:gridCol w:w="2829"/>
            </w:tblGrid>
            <w:tr w:rsidR="00401C4C" w:rsidRPr="00862B6D" w:rsidTr="00FB78C9">
              <w:tc>
                <w:tcPr>
                  <w:tcW w:w="1666" w:type="pct"/>
                  <w:tcBorders>
                    <w:top w:val="single" w:sz="6" w:space="0" w:color="BFBFBF"/>
                    <w:bottom w:val="single" w:sz="6" w:space="0" w:color="BFBFBF"/>
                  </w:tcBorders>
                  <w:shd w:val="clear" w:color="auto" w:fill="auto"/>
                  <w:tcMar>
                    <w:top w:w="28" w:type="dxa"/>
                  </w:tcMar>
                  <w:vAlign w:val="center"/>
                </w:tcPr>
                <w:p w:rsidR="00401C4C" w:rsidRPr="00862B6D" w:rsidRDefault="00401C4C" w:rsidP="00FB78C9">
                  <w:pPr>
                    <w:pStyle w:val="TableColumnHeading"/>
                    <w:jc w:val="left"/>
                  </w:pPr>
                  <w:r w:rsidRPr="00862B6D">
                    <w:t>Level</w:t>
                  </w:r>
                </w:p>
              </w:tc>
              <w:tc>
                <w:tcPr>
                  <w:tcW w:w="1667" w:type="pct"/>
                  <w:tcBorders>
                    <w:top w:val="single" w:sz="6" w:space="0" w:color="BFBFBF"/>
                    <w:bottom w:val="single" w:sz="6" w:space="0" w:color="BFBFBF"/>
                  </w:tcBorders>
                  <w:shd w:val="clear" w:color="auto" w:fill="auto"/>
                  <w:tcMar>
                    <w:top w:w="28" w:type="dxa"/>
                  </w:tcMar>
                  <w:vAlign w:val="bottom"/>
                </w:tcPr>
                <w:p w:rsidR="00401C4C" w:rsidRPr="00862B6D" w:rsidRDefault="00401C4C" w:rsidP="00FB78C9">
                  <w:pPr>
                    <w:pStyle w:val="TableColumnHeading"/>
                  </w:pPr>
                  <w:r w:rsidRPr="00862B6D">
                    <w:t>Minimum ($)</w:t>
                  </w:r>
                </w:p>
              </w:tc>
              <w:tc>
                <w:tcPr>
                  <w:tcW w:w="1667" w:type="pct"/>
                  <w:tcBorders>
                    <w:top w:val="single" w:sz="6" w:space="0" w:color="BFBFBF"/>
                    <w:bottom w:val="single" w:sz="6" w:space="0" w:color="BFBFBF"/>
                  </w:tcBorders>
                  <w:shd w:val="clear" w:color="auto" w:fill="auto"/>
                  <w:tcMar>
                    <w:top w:w="28" w:type="dxa"/>
                  </w:tcMar>
                </w:tcPr>
                <w:p w:rsidR="00401C4C" w:rsidRPr="00862B6D" w:rsidRDefault="00401C4C" w:rsidP="00862B6D">
                  <w:pPr>
                    <w:pStyle w:val="TableColumnHeading"/>
                  </w:pPr>
                  <w:r w:rsidRPr="00862B6D">
                    <w:t>Maximum($)</w:t>
                  </w:r>
                  <w:r w:rsidRPr="00FB78C9">
                    <w:rPr>
                      <w:rStyle w:val="NoteLabel"/>
                      <w:i w:val="0"/>
                    </w:rPr>
                    <w:t>b</w:t>
                  </w:r>
                </w:p>
              </w:tc>
            </w:tr>
            <w:tr w:rsidR="00401C4C" w:rsidTr="00005B72">
              <w:tblPrEx>
                <w:tblCellMar>
                  <w:top w:w="0" w:type="dxa"/>
                </w:tblCellMar>
              </w:tblPrEx>
              <w:tc>
                <w:tcPr>
                  <w:tcW w:w="1666" w:type="pct"/>
                  <w:tcBorders>
                    <w:top w:val="single" w:sz="6" w:space="0" w:color="BFBFBF"/>
                  </w:tcBorders>
                </w:tcPr>
                <w:p w:rsidR="00401C4C" w:rsidRPr="00046F85" w:rsidRDefault="00401C4C" w:rsidP="00862B6D">
                  <w:pPr>
                    <w:pStyle w:val="TableBodyText"/>
                    <w:spacing w:before="120"/>
                    <w:jc w:val="left"/>
                  </w:pPr>
                  <w:r w:rsidRPr="00046F85">
                    <w:t>SES Band 2</w:t>
                  </w:r>
                </w:p>
              </w:tc>
              <w:tc>
                <w:tcPr>
                  <w:tcW w:w="1667" w:type="pct"/>
                  <w:tcBorders>
                    <w:top w:val="single" w:sz="6" w:space="0" w:color="BFBFBF"/>
                  </w:tcBorders>
                </w:tcPr>
                <w:p w:rsidR="00401C4C" w:rsidRPr="00046F85" w:rsidRDefault="00401C4C" w:rsidP="00862B6D">
                  <w:pPr>
                    <w:pStyle w:val="TableBodyText"/>
                    <w:spacing w:before="120"/>
                  </w:pPr>
                  <w:r>
                    <w:t>203 496</w:t>
                  </w:r>
                </w:p>
              </w:tc>
              <w:tc>
                <w:tcPr>
                  <w:tcW w:w="1667" w:type="pct"/>
                  <w:tcBorders>
                    <w:top w:val="single" w:sz="6" w:space="0" w:color="BFBFBF"/>
                  </w:tcBorders>
                </w:tcPr>
                <w:p w:rsidR="00401C4C" w:rsidRPr="00046F85" w:rsidRDefault="00401C4C" w:rsidP="00862B6D">
                  <w:pPr>
                    <w:pStyle w:val="TableBodyText"/>
                    <w:spacing w:before="120"/>
                  </w:pPr>
                  <w:r>
                    <w:t>264 222</w:t>
                  </w:r>
                </w:p>
              </w:tc>
            </w:tr>
            <w:tr w:rsidR="00401C4C" w:rsidTr="00401C4C">
              <w:tblPrEx>
                <w:tblCellMar>
                  <w:top w:w="0" w:type="dxa"/>
                </w:tblCellMar>
              </w:tblPrEx>
              <w:tc>
                <w:tcPr>
                  <w:tcW w:w="1666" w:type="pct"/>
                </w:tcPr>
                <w:p w:rsidR="00401C4C" w:rsidRPr="00046F85" w:rsidRDefault="00401C4C" w:rsidP="00D06963">
                  <w:pPr>
                    <w:pStyle w:val="TableBodyText"/>
                    <w:jc w:val="left"/>
                  </w:pPr>
                  <w:r w:rsidRPr="00046F85">
                    <w:t>SES Band 1</w:t>
                  </w:r>
                </w:p>
              </w:tc>
              <w:tc>
                <w:tcPr>
                  <w:tcW w:w="1667" w:type="pct"/>
                </w:tcPr>
                <w:p w:rsidR="00401C4C" w:rsidRPr="00046F85" w:rsidRDefault="00401C4C" w:rsidP="00D06963">
                  <w:pPr>
                    <w:pStyle w:val="TableBodyText"/>
                  </w:pPr>
                  <w:r>
                    <w:t>158 883</w:t>
                  </w:r>
                </w:p>
              </w:tc>
              <w:tc>
                <w:tcPr>
                  <w:tcW w:w="1667" w:type="pct"/>
                </w:tcPr>
                <w:p w:rsidR="00401C4C" w:rsidRPr="00046F85" w:rsidRDefault="00401C4C" w:rsidP="00D06963">
                  <w:pPr>
                    <w:pStyle w:val="TableBodyText"/>
                  </w:pPr>
                  <w:r>
                    <w:t>217 419</w:t>
                  </w:r>
                </w:p>
              </w:tc>
            </w:tr>
            <w:tr w:rsidR="00401C4C" w:rsidTr="00401C4C">
              <w:tblPrEx>
                <w:tblCellMar>
                  <w:top w:w="0" w:type="dxa"/>
                </w:tblCellMar>
              </w:tblPrEx>
              <w:tc>
                <w:tcPr>
                  <w:tcW w:w="1666" w:type="pct"/>
                  <w:shd w:val="clear" w:color="auto" w:fill="auto"/>
                </w:tcPr>
                <w:p w:rsidR="00401C4C" w:rsidRPr="00046F85" w:rsidRDefault="00401C4C" w:rsidP="00D06963">
                  <w:pPr>
                    <w:pStyle w:val="TableBodyText"/>
                    <w:jc w:val="left"/>
                  </w:pPr>
                  <w:r w:rsidRPr="00046F85">
                    <w:t>Staff Level 4</w:t>
                  </w:r>
                  <w:r w:rsidRPr="00776E25">
                    <w:t xml:space="preserve"> </w:t>
                  </w:r>
                  <w:r>
                    <w:rPr>
                      <w:rStyle w:val="NoteLabel"/>
                    </w:rPr>
                    <w:t>c</w:t>
                  </w:r>
                </w:p>
              </w:tc>
              <w:tc>
                <w:tcPr>
                  <w:tcW w:w="1667" w:type="pct"/>
                  <w:shd w:val="clear" w:color="auto" w:fill="auto"/>
                </w:tcPr>
                <w:p w:rsidR="00401C4C" w:rsidRPr="00046F85" w:rsidRDefault="00401C4C" w:rsidP="00D06963">
                  <w:pPr>
                    <w:pStyle w:val="TableBodyText"/>
                  </w:pPr>
                  <w:r>
                    <w:t>113 936</w:t>
                  </w:r>
                </w:p>
              </w:tc>
              <w:tc>
                <w:tcPr>
                  <w:tcW w:w="1667" w:type="pct"/>
                  <w:shd w:val="clear" w:color="auto" w:fill="auto"/>
                </w:tcPr>
                <w:p w:rsidR="00401C4C" w:rsidRPr="00046F85" w:rsidRDefault="00401C4C" w:rsidP="00D06963">
                  <w:pPr>
                    <w:pStyle w:val="TableBodyText"/>
                  </w:pPr>
                  <w:r>
                    <w:t>142 929</w:t>
                  </w:r>
                  <w:r w:rsidRPr="00776E25">
                    <w:t xml:space="preserve"> </w:t>
                  </w:r>
                </w:p>
              </w:tc>
            </w:tr>
            <w:tr w:rsidR="00401C4C" w:rsidTr="00401C4C">
              <w:tblPrEx>
                <w:tblCellMar>
                  <w:top w:w="0" w:type="dxa"/>
                </w:tblCellMar>
              </w:tblPrEx>
              <w:tc>
                <w:tcPr>
                  <w:tcW w:w="1666" w:type="pct"/>
                  <w:shd w:val="clear" w:color="auto" w:fill="auto"/>
                </w:tcPr>
                <w:p w:rsidR="00401C4C" w:rsidRPr="00046F85" w:rsidRDefault="00401C4C" w:rsidP="00D06963">
                  <w:pPr>
                    <w:pStyle w:val="TableBodyText"/>
                    <w:jc w:val="left"/>
                  </w:pPr>
                  <w:r w:rsidRPr="00046F85">
                    <w:t>Staff Level 3</w:t>
                  </w:r>
                </w:p>
              </w:tc>
              <w:tc>
                <w:tcPr>
                  <w:tcW w:w="1667" w:type="pct"/>
                  <w:shd w:val="clear" w:color="auto" w:fill="auto"/>
                </w:tcPr>
                <w:p w:rsidR="00401C4C" w:rsidRPr="00046F85" w:rsidRDefault="00401C4C" w:rsidP="00D06963">
                  <w:pPr>
                    <w:pStyle w:val="TableBodyText"/>
                  </w:pPr>
                  <w:r>
                    <w:t>93 968</w:t>
                  </w:r>
                </w:p>
              </w:tc>
              <w:tc>
                <w:tcPr>
                  <w:tcW w:w="1667" w:type="pct"/>
                  <w:shd w:val="clear" w:color="auto" w:fill="auto"/>
                </w:tcPr>
                <w:p w:rsidR="00401C4C" w:rsidRPr="00046F85" w:rsidRDefault="00401C4C" w:rsidP="00D06963">
                  <w:pPr>
                    <w:pStyle w:val="TableBodyText"/>
                  </w:pPr>
                  <w:r>
                    <w:t>118 999</w:t>
                  </w:r>
                </w:p>
              </w:tc>
            </w:tr>
            <w:tr w:rsidR="00401C4C" w:rsidTr="00005B72">
              <w:tblPrEx>
                <w:tblCellMar>
                  <w:top w:w="0" w:type="dxa"/>
                </w:tblCellMar>
              </w:tblPrEx>
              <w:tc>
                <w:tcPr>
                  <w:tcW w:w="1666" w:type="pct"/>
                  <w:shd w:val="clear" w:color="auto" w:fill="auto"/>
                </w:tcPr>
                <w:p w:rsidR="00401C4C" w:rsidRPr="00046F85" w:rsidRDefault="00401C4C" w:rsidP="00D06963">
                  <w:pPr>
                    <w:pStyle w:val="TableBodyText"/>
                    <w:jc w:val="left"/>
                  </w:pPr>
                  <w:r w:rsidRPr="00046F85">
                    <w:t>Staff Level 2</w:t>
                  </w:r>
                </w:p>
              </w:tc>
              <w:tc>
                <w:tcPr>
                  <w:tcW w:w="1667" w:type="pct"/>
                  <w:shd w:val="clear" w:color="auto" w:fill="auto"/>
                </w:tcPr>
                <w:p w:rsidR="00401C4C" w:rsidRPr="00046F85" w:rsidRDefault="00401C4C" w:rsidP="00D06963">
                  <w:pPr>
                    <w:pStyle w:val="TableBodyText"/>
                  </w:pPr>
                  <w:r>
                    <w:t xml:space="preserve">68 </w:t>
                  </w:r>
                  <w:r w:rsidRPr="00D0176B">
                    <w:t>089</w:t>
                  </w:r>
                </w:p>
              </w:tc>
              <w:tc>
                <w:tcPr>
                  <w:tcW w:w="1667" w:type="pct"/>
                  <w:shd w:val="clear" w:color="auto" w:fill="auto"/>
                </w:tcPr>
                <w:p w:rsidR="00401C4C" w:rsidRPr="00046F85" w:rsidRDefault="00401C4C" w:rsidP="00D06963">
                  <w:pPr>
                    <w:pStyle w:val="TableBodyText"/>
                  </w:pPr>
                  <w:r>
                    <w:t xml:space="preserve">90 </w:t>
                  </w:r>
                  <w:r w:rsidRPr="00D0176B">
                    <w:t>515</w:t>
                  </w:r>
                </w:p>
              </w:tc>
            </w:tr>
            <w:tr w:rsidR="00401C4C" w:rsidTr="00005B72">
              <w:tblPrEx>
                <w:tblCellMar>
                  <w:top w:w="0" w:type="dxa"/>
                </w:tblCellMar>
              </w:tblPrEx>
              <w:tc>
                <w:tcPr>
                  <w:tcW w:w="1666" w:type="pct"/>
                  <w:tcBorders>
                    <w:bottom w:val="single" w:sz="6" w:space="0" w:color="BFBFBF"/>
                  </w:tcBorders>
                  <w:shd w:val="clear" w:color="auto" w:fill="auto"/>
                </w:tcPr>
                <w:p w:rsidR="00401C4C" w:rsidRPr="00046F85" w:rsidRDefault="00401C4C" w:rsidP="00D06963">
                  <w:pPr>
                    <w:pStyle w:val="TableBodyText"/>
                    <w:jc w:val="left"/>
                  </w:pPr>
                  <w:r w:rsidRPr="00046F85">
                    <w:t>Staff Level 1</w:t>
                  </w:r>
                </w:p>
              </w:tc>
              <w:tc>
                <w:tcPr>
                  <w:tcW w:w="1667" w:type="pct"/>
                  <w:tcBorders>
                    <w:bottom w:val="single" w:sz="6" w:space="0" w:color="BFBFBF"/>
                  </w:tcBorders>
                  <w:shd w:val="clear" w:color="auto" w:fill="auto"/>
                </w:tcPr>
                <w:p w:rsidR="00401C4C" w:rsidRPr="00046F85" w:rsidRDefault="00401C4C" w:rsidP="00D06963">
                  <w:pPr>
                    <w:pStyle w:val="TableBodyText"/>
                  </w:pPr>
                  <w:r w:rsidRPr="00D0176B">
                    <w:t>47</w:t>
                  </w:r>
                  <w:r>
                    <w:t xml:space="preserve"> </w:t>
                  </w:r>
                  <w:r w:rsidRPr="00D0176B">
                    <w:t>094</w:t>
                  </w:r>
                </w:p>
              </w:tc>
              <w:tc>
                <w:tcPr>
                  <w:tcW w:w="1667" w:type="pct"/>
                  <w:tcBorders>
                    <w:bottom w:val="single" w:sz="6" w:space="0" w:color="BFBFBF"/>
                  </w:tcBorders>
                  <w:shd w:val="clear" w:color="auto" w:fill="auto"/>
                </w:tcPr>
                <w:p w:rsidR="00401C4C" w:rsidRPr="00046F85" w:rsidRDefault="00401C4C" w:rsidP="00D06963">
                  <w:pPr>
                    <w:pStyle w:val="TableBodyText"/>
                  </w:pPr>
                  <w:r>
                    <w:t>74 185</w:t>
                  </w:r>
                </w:p>
              </w:tc>
            </w:tr>
          </w:tbl>
          <w:p w:rsidR="00401C4C" w:rsidRDefault="00401C4C" w:rsidP="00FB78C9">
            <w:pPr>
              <w:pStyle w:val="Box"/>
            </w:pPr>
          </w:p>
        </w:tc>
      </w:tr>
      <w:tr w:rsidR="00401C4C" w:rsidTr="00FB78C9">
        <w:trPr>
          <w:cantSplit/>
        </w:trPr>
        <w:tc>
          <w:tcPr>
            <w:tcW w:w="8771" w:type="dxa"/>
            <w:tcBorders>
              <w:top w:val="nil"/>
              <w:left w:val="nil"/>
              <w:bottom w:val="nil"/>
              <w:right w:val="nil"/>
            </w:tcBorders>
            <w:shd w:val="clear" w:color="auto" w:fill="auto"/>
          </w:tcPr>
          <w:p w:rsidR="00401C4C" w:rsidRPr="00005B72" w:rsidRDefault="00005B72" w:rsidP="00FB78C9">
            <w:pPr>
              <w:pStyle w:val="Note"/>
            </w:pPr>
            <w:proofErr w:type="spellStart"/>
            <w:proofErr w:type="gramStart"/>
            <w:r w:rsidRPr="0091509A">
              <w:rPr>
                <w:rStyle w:val="NoteLabel"/>
              </w:rPr>
              <w:t>a</w:t>
            </w:r>
            <w:proofErr w:type="spellEnd"/>
            <w:proofErr w:type="gramEnd"/>
            <w:r>
              <w:rPr>
                <w:rStyle w:val="NoteChar"/>
              </w:rPr>
              <w:t xml:space="preserve"> The major non-salary benefits superannuation, which is not included in the table. During 2012-13 the Commission employed one SES Band 3 employee not included in this table. </w:t>
            </w:r>
            <w:proofErr w:type="gramStart"/>
            <w:r w:rsidRPr="0091509A">
              <w:rPr>
                <w:rStyle w:val="NoteLabel"/>
              </w:rPr>
              <w:t>b</w:t>
            </w:r>
            <w:proofErr w:type="gramEnd"/>
            <w:r>
              <w:rPr>
                <w:rStyle w:val="NoteChar"/>
              </w:rPr>
              <w:t xml:space="preserve"> The maxi</w:t>
            </w:r>
            <w:r w:rsidRPr="0091509A">
              <w:rPr>
                <w:rStyle w:val="NoteChar"/>
              </w:rPr>
              <w:t>mum shown above in respect of SES employees includes a vehicle allowance. The above salary ranges for SL1 to SL4 are those available under the Commission’s current Enterprise Agreement.  Due to ‘grandfathering’ of provisions from a previous agreement, some employees continue to receive a higher salary – the maximum salaries actually paid at each level are: S</w:t>
            </w:r>
            <w:r>
              <w:rPr>
                <w:rStyle w:val="NoteChar"/>
              </w:rPr>
              <w:t>L1 $74 </w:t>
            </w:r>
            <w:r w:rsidRPr="0091509A">
              <w:rPr>
                <w:rStyle w:val="NoteChar"/>
              </w:rPr>
              <w:t>185;</w:t>
            </w:r>
            <w:r>
              <w:rPr>
                <w:rStyle w:val="NoteChar"/>
              </w:rPr>
              <w:t xml:space="preserve"> SL2 $98 </w:t>
            </w:r>
            <w:r w:rsidRPr="0091509A">
              <w:rPr>
                <w:rStyle w:val="NoteChar"/>
              </w:rPr>
              <w:t>807; SL3 $125</w:t>
            </w:r>
            <w:r>
              <w:rPr>
                <w:rStyle w:val="NoteChar"/>
              </w:rPr>
              <w:t> </w:t>
            </w:r>
            <w:r w:rsidRPr="0091509A">
              <w:rPr>
                <w:rStyle w:val="NoteChar"/>
              </w:rPr>
              <w:t>413</w:t>
            </w:r>
            <w:r>
              <w:rPr>
                <w:rStyle w:val="NoteChar"/>
              </w:rPr>
              <w:t>; SL4 $167 </w:t>
            </w:r>
            <w:r w:rsidRPr="0091509A">
              <w:rPr>
                <w:rStyle w:val="NoteChar"/>
              </w:rPr>
              <w:t>085</w:t>
            </w:r>
            <w:r>
              <w:rPr>
                <w:rStyle w:val="NoteChar"/>
              </w:rPr>
              <w:t xml:space="preserve">. </w:t>
            </w:r>
            <w:proofErr w:type="gramStart"/>
            <w:r w:rsidRPr="0091509A">
              <w:rPr>
                <w:rStyle w:val="NoteLabel"/>
              </w:rPr>
              <w:t>c</w:t>
            </w:r>
            <w:proofErr w:type="gramEnd"/>
            <w:r w:rsidRPr="0091509A">
              <w:rPr>
                <w:rStyle w:val="NoteLabel"/>
              </w:rPr>
              <w:t xml:space="preserve"> </w:t>
            </w:r>
            <w:r>
              <w:rPr>
                <w:rStyle w:val="NoteChar"/>
              </w:rPr>
              <w:t>U</w:t>
            </w:r>
            <w:r w:rsidRPr="000C09BF">
              <w:rPr>
                <w:rStyle w:val="NoteChar"/>
              </w:rPr>
              <w:t>nder the Commission’s Enterprise Agreement</w:t>
            </w:r>
            <w:r>
              <w:rPr>
                <w:rStyle w:val="NoteChar"/>
              </w:rPr>
              <w:t>,</w:t>
            </w:r>
            <w:r w:rsidRPr="000C09BF">
              <w:rPr>
                <w:rStyle w:val="NoteChar"/>
              </w:rPr>
              <w:t xml:space="preserve"> </w:t>
            </w:r>
            <w:r>
              <w:rPr>
                <w:rStyle w:val="NoteChar"/>
              </w:rPr>
              <w:t>progression to a maximum of $150 648 is available at the SL4 level in limited circumstances (not through incremental advancement).</w:t>
            </w:r>
          </w:p>
        </w:tc>
      </w:tr>
      <w:tr w:rsidR="00401C4C" w:rsidTr="00401C4C">
        <w:trPr>
          <w:cantSplit/>
        </w:trPr>
        <w:tc>
          <w:tcPr>
            <w:tcW w:w="8771" w:type="dxa"/>
            <w:tcBorders>
              <w:top w:val="nil"/>
              <w:left w:val="nil"/>
              <w:bottom w:val="single" w:sz="6" w:space="0" w:color="78A22F"/>
              <w:right w:val="nil"/>
            </w:tcBorders>
            <w:shd w:val="clear" w:color="auto" w:fill="auto"/>
          </w:tcPr>
          <w:p w:rsidR="00401C4C" w:rsidRDefault="00401C4C" w:rsidP="00FB78C9">
            <w:pPr>
              <w:pStyle w:val="Box"/>
              <w:spacing w:before="0" w:line="120" w:lineRule="exact"/>
            </w:pPr>
          </w:p>
        </w:tc>
      </w:tr>
      <w:tr w:rsidR="00401C4C" w:rsidRPr="000863A5" w:rsidTr="00401C4C">
        <w:tc>
          <w:tcPr>
            <w:tcW w:w="8771" w:type="dxa"/>
            <w:tcBorders>
              <w:top w:val="single" w:sz="6" w:space="0" w:color="78A22F"/>
              <w:left w:val="nil"/>
              <w:bottom w:val="nil"/>
              <w:right w:val="nil"/>
            </w:tcBorders>
          </w:tcPr>
          <w:p w:rsidR="00401C4C" w:rsidRPr="00626D32" w:rsidRDefault="00401C4C" w:rsidP="00FB78C9">
            <w:pPr>
              <w:pStyle w:val="BoxSpaceBelow"/>
            </w:pPr>
          </w:p>
        </w:tc>
      </w:tr>
    </w:tbl>
    <w:p w:rsidR="00200C19" w:rsidRDefault="00200C19" w:rsidP="00FB78C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200C19" w:rsidTr="00200C19">
        <w:tc>
          <w:tcPr>
            <w:tcW w:w="8771" w:type="dxa"/>
            <w:tcBorders>
              <w:top w:val="single" w:sz="6" w:space="0" w:color="78A22F"/>
              <w:left w:val="nil"/>
              <w:bottom w:val="nil"/>
              <w:right w:val="nil"/>
            </w:tcBorders>
            <w:shd w:val="clear" w:color="auto" w:fill="auto"/>
          </w:tcPr>
          <w:p w:rsidR="00200C19" w:rsidRPr="00784A05" w:rsidRDefault="00200C19" w:rsidP="00C57735">
            <w:pPr>
              <w:pStyle w:val="TableTitle"/>
            </w:pPr>
            <w:r>
              <w:rPr>
                <w:b w:val="0"/>
              </w:rPr>
              <w:t>Table A1.</w:t>
            </w:r>
            <w:r w:rsidR="00C57735">
              <w:rPr>
                <w:b w:val="0"/>
              </w:rPr>
              <w:t>6</w:t>
            </w:r>
            <w:r>
              <w:tab/>
            </w:r>
            <w:r w:rsidRPr="00E611D5">
              <w:t>Employees by level and reason for separation, 2013-14</w:t>
            </w:r>
            <w:r>
              <w:t xml:space="preserve"> </w:t>
            </w:r>
          </w:p>
        </w:tc>
      </w:tr>
      <w:tr w:rsidR="00200C19" w:rsidTr="00FB78C9">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731"/>
              <w:gridCol w:w="1031"/>
              <w:gridCol w:w="866"/>
              <w:gridCol w:w="1176"/>
              <w:gridCol w:w="1098"/>
              <w:gridCol w:w="862"/>
              <w:gridCol w:w="862"/>
              <w:gridCol w:w="861"/>
            </w:tblGrid>
            <w:tr w:rsidR="00D06963" w:rsidTr="00D06963">
              <w:tc>
                <w:tcPr>
                  <w:tcW w:w="1020" w:type="pct"/>
                  <w:tcBorders>
                    <w:top w:val="single" w:sz="6" w:space="0" w:color="BFBFBF"/>
                    <w:bottom w:val="single" w:sz="6" w:space="0" w:color="BFBFBF"/>
                  </w:tcBorders>
                  <w:shd w:val="clear" w:color="auto" w:fill="auto"/>
                  <w:tcMar>
                    <w:top w:w="28" w:type="dxa"/>
                  </w:tcMar>
                  <w:vAlign w:val="bottom"/>
                </w:tcPr>
                <w:p w:rsidR="00D06963" w:rsidRDefault="00D06963" w:rsidP="00D06963">
                  <w:pPr>
                    <w:pStyle w:val="TableColumnHeading"/>
                    <w:jc w:val="left"/>
                  </w:pPr>
                  <w:r>
                    <w:t>Level</w:t>
                  </w:r>
                </w:p>
              </w:tc>
              <w:tc>
                <w:tcPr>
                  <w:tcW w:w="607" w:type="pct"/>
                  <w:tcBorders>
                    <w:top w:val="single" w:sz="6" w:space="0" w:color="BFBFBF"/>
                    <w:bottom w:val="single" w:sz="6" w:space="0" w:color="BFBFBF"/>
                  </w:tcBorders>
                  <w:shd w:val="clear" w:color="auto" w:fill="auto"/>
                  <w:vAlign w:val="bottom"/>
                </w:tcPr>
                <w:p w:rsidR="00D06963" w:rsidRPr="00E611D5" w:rsidRDefault="00D06963" w:rsidP="00D06963">
                  <w:pPr>
                    <w:pStyle w:val="TableColumnHeading"/>
                    <w:rPr>
                      <w:sz w:val="20"/>
                    </w:rPr>
                  </w:pPr>
                  <w:r w:rsidRPr="00E611D5">
                    <w:rPr>
                      <w:sz w:val="20"/>
                    </w:rPr>
                    <w:t>Promotion</w:t>
                  </w:r>
                </w:p>
              </w:tc>
              <w:tc>
                <w:tcPr>
                  <w:tcW w:w="510" w:type="pct"/>
                  <w:tcBorders>
                    <w:top w:val="single" w:sz="6" w:space="0" w:color="BFBFBF"/>
                    <w:bottom w:val="single" w:sz="6" w:space="0" w:color="BFBFBF"/>
                  </w:tcBorders>
                  <w:shd w:val="clear" w:color="auto" w:fill="auto"/>
                  <w:tcMar>
                    <w:top w:w="28" w:type="dxa"/>
                  </w:tcMar>
                  <w:vAlign w:val="bottom"/>
                </w:tcPr>
                <w:p w:rsidR="00D06963" w:rsidRPr="00E611D5" w:rsidRDefault="00D06963" w:rsidP="00D06963">
                  <w:pPr>
                    <w:pStyle w:val="TableColumnHeading"/>
                    <w:rPr>
                      <w:sz w:val="20"/>
                    </w:rPr>
                  </w:pPr>
                  <w:r w:rsidRPr="00E611D5">
                    <w:rPr>
                      <w:sz w:val="20"/>
                    </w:rPr>
                    <w:t>Transfer</w:t>
                  </w:r>
                </w:p>
              </w:tc>
              <w:tc>
                <w:tcPr>
                  <w:tcW w:w="693" w:type="pct"/>
                  <w:tcBorders>
                    <w:top w:val="single" w:sz="6" w:space="0" w:color="BFBFBF"/>
                    <w:bottom w:val="single" w:sz="6" w:space="0" w:color="BFBFBF"/>
                  </w:tcBorders>
                  <w:shd w:val="clear" w:color="auto" w:fill="auto"/>
                  <w:vAlign w:val="bottom"/>
                </w:tcPr>
                <w:p w:rsidR="00D06963" w:rsidRPr="00E611D5" w:rsidRDefault="00D06963" w:rsidP="00D06963">
                  <w:pPr>
                    <w:pStyle w:val="TableColumnHeading"/>
                    <w:rPr>
                      <w:sz w:val="20"/>
                    </w:rPr>
                  </w:pPr>
                  <w:r w:rsidRPr="00E611D5">
                    <w:rPr>
                      <w:sz w:val="20"/>
                    </w:rPr>
                    <w:t>Resignation</w:t>
                  </w:r>
                </w:p>
              </w:tc>
              <w:tc>
                <w:tcPr>
                  <w:tcW w:w="647" w:type="pct"/>
                  <w:tcBorders>
                    <w:top w:val="single" w:sz="6" w:space="0" w:color="BFBFBF"/>
                    <w:bottom w:val="single" w:sz="6" w:space="0" w:color="BFBFBF"/>
                  </w:tcBorders>
                  <w:shd w:val="clear" w:color="auto" w:fill="auto"/>
                  <w:vAlign w:val="bottom"/>
                </w:tcPr>
                <w:p w:rsidR="00D06963" w:rsidRPr="00E611D5" w:rsidRDefault="00D06963" w:rsidP="00D06963">
                  <w:pPr>
                    <w:pStyle w:val="TableColumnHeading"/>
                    <w:rPr>
                      <w:sz w:val="20"/>
                    </w:rPr>
                  </w:pPr>
                  <w:r w:rsidRPr="00E611D5">
                    <w:rPr>
                      <w:sz w:val="20"/>
                    </w:rPr>
                    <w:t>Invalidity</w:t>
                  </w:r>
                  <w:r w:rsidRPr="00E611D5">
                    <w:rPr>
                      <w:sz w:val="20"/>
                    </w:rPr>
                    <w:br/>
                    <w:t>Retirement</w:t>
                  </w:r>
                </w:p>
              </w:tc>
              <w:tc>
                <w:tcPr>
                  <w:tcW w:w="508" w:type="pct"/>
                  <w:tcBorders>
                    <w:top w:val="single" w:sz="6" w:space="0" w:color="BFBFBF"/>
                    <w:bottom w:val="single" w:sz="6" w:space="0" w:color="BFBFBF"/>
                  </w:tcBorders>
                  <w:shd w:val="clear" w:color="auto" w:fill="auto"/>
                  <w:tcMar>
                    <w:top w:w="28" w:type="dxa"/>
                  </w:tcMar>
                  <w:vAlign w:val="bottom"/>
                </w:tcPr>
                <w:p w:rsidR="00D06963" w:rsidRPr="00E611D5" w:rsidRDefault="00D06963" w:rsidP="00D06963">
                  <w:pPr>
                    <w:pStyle w:val="TableColumnHeading"/>
                    <w:rPr>
                      <w:sz w:val="20"/>
                    </w:rPr>
                  </w:pPr>
                  <w:r w:rsidRPr="00E611D5">
                    <w:rPr>
                      <w:sz w:val="20"/>
                    </w:rPr>
                    <w:t>RP</w:t>
                  </w:r>
                  <w:r w:rsidRPr="00E611D5">
                    <w:rPr>
                      <w:b/>
                      <w:position w:val="6"/>
                    </w:rPr>
                    <w:t>a</w:t>
                  </w:r>
                </w:p>
              </w:tc>
              <w:tc>
                <w:tcPr>
                  <w:tcW w:w="508" w:type="pct"/>
                  <w:tcBorders>
                    <w:top w:val="single" w:sz="6" w:space="0" w:color="BFBFBF"/>
                    <w:bottom w:val="single" w:sz="6" w:space="0" w:color="BFBFBF"/>
                  </w:tcBorders>
                  <w:shd w:val="clear" w:color="auto" w:fill="auto"/>
                  <w:vAlign w:val="bottom"/>
                </w:tcPr>
                <w:p w:rsidR="00D06963" w:rsidRPr="00E611D5" w:rsidRDefault="00D06963" w:rsidP="00D06963">
                  <w:pPr>
                    <w:pStyle w:val="TableColumnHeading"/>
                    <w:rPr>
                      <w:sz w:val="20"/>
                    </w:rPr>
                  </w:pPr>
                  <w:r w:rsidRPr="00E611D5">
                    <w:rPr>
                      <w:sz w:val="20"/>
                    </w:rPr>
                    <w:t>Other</w:t>
                  </w:r>
                </w:p>
              </w:tc>
              <w:tc>
                <w:tcPr>
                  <w:tcW w:w="507" w:type="pct"/>
                  <w:tcBorders>
                    <w:top w:val="single" w:sz="6" w:space="0" w:color="BFBFBF"/>
                    <w:bottom w:val="single" w:sz="6" w:space="0" w:color="BFBFBF"/>
                  </w:tcBorders>
                  <w:shd w:val="clear" w:color="auto" w:fill="auto"/>
                  <w:vAlign w:val="bottom"/>
                </w:tcPr>
                <w:p w:rsidR="00D06963" w:rsidRPr="00E611D5" w:rsidRDefault="00D06963" w:rsidP="00D06963">
                  <w:pPr>
                    <w:pStyle w:val="TableColumnHeading"/>
                    <w:rPr>
                      <w:sz w:val="20"/>
                    </w:rPr>
                  </w:pPr>
                  <w:r w:rsidRPr="00E611D5">
                    <w:rPr>
                      <w:sz w:val="20"/>
                    </w:rPr>
                    <w:t>Total</w:t>
                  </w:r>
                </w:p>
              </w:tc>
            </w:tr>
            <w:tr w:rsidR="00D06963" w:rsidTr="00D06963">
              <w:tc>
                <w:tcPr>
                  <w:tcW w:w="1020" w:type="pct"/>
                  <w:tcBorders>
                    <w:top w:val="single" w:sz="6" w:space="0" w:color="BFBFBF"/>
                  </w:tcBorders>
                  <w:shd w:val="clear" w:color="auto" w:fill="auto"/>
                </w:tcPr>
                <w:p w:rsidR="00D06963" w:rsidRPr="00E611D5" w:rsidRDefault="00D06963" w:rsidP="00862B6D">
                  <w:pPr>
                    <w:pStyle w:val="TableBodyText"/>
                    <w:spacing w:before="120"/>
                    <w:jc w:val="left"/>
                  </w:pPr>
                  <w:r w:rsidRPr="00E611D5">
                    <w:t>SES</w:t>
                  </w:r>
                </w:p>
              </w:tc>
              <w:tc>
                <w:tcPr>
                  <w:tcW w:w="607" w:type="pct"/>
                  <w:tcBorders>
                    <w:top w:val="single" w:sz="6" w:space="0" w:color="BFBFBF"/>
                  </w:tcBorders>
                  <w:shd w:val="clear" w:color="auto" w:fill="auto"/>
                </w:tcPr>
                <w:p w:rsidR="00D06963" w:rsidRPr="00E611D5" w:rsidRDefault="00D06963" w:rsidP="00862B6D">
                  <w:pPr>
                    <w:pStyle w:val="TableBodyText"/>
                    <w:spacing w:before="120"/>
                  </w:pPr>
                  <w:r w:rsidRPr="00E611D5">
                    <w:t>0</w:t>
                  </w:r>
                </w:p>
              </w:tc>
              <w:tc>
                <w:tcPr>
                  <w:tcW w:w="510" w:type="pct"/>
                  <w:tcBorders>
                    <w:top w:val="single" w:sz="6" w:space="0" w:color="BFBFBF"/>
                  </w:tcBorders>
                  <w:shd w:val="clear" w:color="auto" w:fill="auto"/>
                </w:tcPr>
                <w:p w:rsidR="00D06963" w:rsidRPr="00E611D5" w:rsidRDefault="00D06963" w:rsidP="00862B6D">
                  <w:pPr>
                    <w:pStyle w:val="TableBodyText"/>
                    <w:spacing w:before="120"/>
                  </w:pPr>
                  <w:r w:rsidRPr="00E611D5">
                    <w:t>0</w:t>
                  </w:r>
                </w:p>
              </w:tc>
              <w:tc>
                <w:tcPr>
                  <w:tcW w:w="693" w:type="pct"/>
                  <w:tcBorders>
                    <w:top w:val="single" w:sz="6" w:space="0" w:color="BFBFBF"/>
                  </w:tcBorders>
                  <w:shd w:val="clear" w:color="auto" w:fill="auto"/>
                </w:tcPr>
                <w:p w:rsidR="00D06963" w:rsidRPr="00E611D5" w:rsidRDefault="00D06963" w:rsidP="00862B6D">
                  <w:pPr>
                    <w:pStyle w:val="TableBodyText"/>
                    <w:spacing w:before="120"/>
                  </w:pPr>
                  <w:r w:rsidRPr="00E611D5">
                    <w:t>1</w:t>
                  </w:r>
                </w:p>
              </w:tc>
              <w:tc>
                <w:tcPr>
                  <w:tcW w:w="647" w:type="pct"/>
                  <w:tcBorders>
                    <w:top w:val="single" w:sz="6" w:space="0" w:color="BFBFBF"/>
                  </w:tcBorders>
                  <w:shd w:val="clear" w:color="auto" w:fill="auto"/>
                </w:tcPr>
                <w:p w:rsidR="00D06963" w:rsidRPr="00E611D5" w:rsidRDefault="00D06963" w:rsidP="00862B6D">
                  <w:pPr>
                    <w:pStyle w:val="TableBodyText"/>
                    <w:spacing w:before="120"/>
                  </w:pPr>
                  <w:r w:rsidRPr="00E611D5">
                    <w:t>0</w:t>
                  </w:r>
                </w:p>
              </w:tc>
              <w:tc>
                <w:tcPr>
                  <w:tcW w:w="508" w:type="pct"/>
                  <w:tcBorders>
                    <w:top w:val="single" w:sz="6" w:space="0" w:color="BFBFBF"/>
                  </w:tcBorders>
                  <w:shd w:val="clear" w:color="auto" w:fill="auto"/>
                </w:tcPr>
                <w:p w:rsidR="00D06963" w:rsidRPr="00E611D5" w:rsidRDefault="00D06963" w:rsidP="00862B6D">
                  <w:pPr>
                    <w:pStyle w:val="TableBodyText"/>
                    <w:spacing w:before="120"/>
                  </w:pPr>
                  <w:r w:rsidRPr="00E611D5">
                    <w:t>3</w:t>
                  </w:r>
                </w:p>
              </w:tc>
              <w:tc>
                <w:tcPr>
                  <w:tcW w:w="508" w:type="pct"/>
                  <w:tcBorders>
                    <w:top w:val="single" w:sz="6" w:space="0" w:color="BFBFBF"/>
                  </w:tcBorders>
                  <w:shd w:val="clear" w:color="auto" w:fill="auto"/>
                </w:tcPr>
                <w:p w:rsidR="00D06963" w:rsidRPr="00E611D5" w:rsidRDefault="00D06963" w:rsidP="00862B6D">
                  <w:pPr>
                    <w:pStyle w:val="TableBodyText"/>
                    <w:spacing w:before="120"/>
                  </w:pPr>
                  <w:r w:rsidRPr="00E611D5">
                    <w:t>0</w:t>
                  </w:r>
                </w:p>
              </w:tc>
              <w:tc>
                <w:tcPr>
                  <w:tcW w:w="507" w:type="pct"/>
                  <w:tcBorders>
                    <w:top w:val="single" w:sz="6" w:space="0" w:color="BFBFBF"/>
                  </w:tcBorders>
                  <w:shd w:val="clear" w:color="auto" w:fill="auto"/>
                </w:tcPr>
                <w:p w:rsidR="00D06963" w:rsidRPr="00E611D5" w:rsidRDefault="00D06963" w:rsidP="00862B6D">
                  <w:pPr>
                    <w:pStyle w:val="TableBodyText"/>
                    <w:spacing w:before="120"/>
                  </w:pPr>
                  <w:r w:rsidRPr="00E611D5">
                    <w:t>4</w:t>
                  </w:r>
                </w:p>
              </w:tc>
            </w:tr>
            <w:tr w:rsidR="00D06963" w:rsidTr="00862B6D">
              <w:tc>
                <w:tcPr>
                  <w:tcW w:w="1020" w:type="pct"/>
                  <w:shd w:val="clear" w:color="auto" w:fill="auto"/>
                </w:tcPr>
                <w:p w:rsidR="00D06963" w:rsidRPr="00E611D5" w:rsidRDefault="00D06963" w:rsidP="00862B6D">
                  <w:pPr>
                    <w:pStyle w:val="TableBodyText"/>
                    <w:jc w:val="left"/>
                  </w:pPr>
                  <w:r w:rsidRPr="00E611D5">
                    <w:t>Staff Level 4</w:t>
                  </w:r>
                </w:p>
              </w:tc>
              <w:tc>
                <w:tcPr>
                  <w:tcW w:w="607" w:type="pct"/>
                  <w:shd w:val="clear" w:color="auto" w:fill="auto"/>
                </w:tcPr>
                <w:p w:rsidR="00D06963" w:rsidRPr="00E611D5" w:rsidRDefault="00D06963" w:rsidP="00862B6D">
                  <w:pPr>
                    <w:pStyle w:val="TableBodyText"/>
                  </w:pPr>
                  <w:r w:rsidRPr="00E611D5">
                    <w:t>0</w:t>
                  </w:r>
                </w:p>
              </w:tc>
              <w:tc>
                <w:tcPr>
                  <w:tcW w:w="510" w:type="pct"/>
                  <w:shd w:val="clear" w:color="auto" w:fill="auto"/>
                </w:tcPr>
                <w:p w:rsidR="00D06963" w:rsidRPr="00E611D5" w:rsidRDefault="00D06963" w:rsidP="00862B6D">
                  <w:pPr>
                    <w:pStyle w:val="TableBodyText"/>
                  </w:pPr>
                  <w:r w:rsidRPr="00E611D5">
                    <w:t>0</w:t>
                  </w:r>
                </w:p>
              </w:tc>
              <w:tc>
                <w:tcPr>
                  <w:tcW w:w="693" w:type="pct"/>
                  <w:shd w:val="clear" w:color="auto" w:fill="auto"/>
                </w:tcPr>
                <w:p w:rsidR="00D06963" w:rsidRPr="00E611D5" w:rsidRDefault="00D06963" w:rsidP="00862B6D">
                  <w:pPr>
                    <w:pStyle w:val="TableBodyText"/>
                  </w:pPr>
                  <w:r w:rsidRPr="00E611D5">
                    <w:t>1</w:t>
                  </w:r>
                </w:p>
              </w:tc>
              <w:tc>
                <w:tcPr>
                  <w:tcW w:w="647" w:type="pct"/>
                  <w:shd w:val="clear" w:color="auto" w:fill="auto"/>
                </w:tcPr>
                <w:p w:rsidR="00D06963" w:rsidRPr="00E611D5" w:rsidRDefault="00D06963" w:rsidP="00862B6D">
                  <w:pPr>
                    <w:pStyle w:val="TableBodyText"/>
                  </w:pPr>
                  <w:r w:rsidRPr="00E611D5">
                    <w:t>0</w:t>
                  </w:r>
                </w:p>
              </w:tc>
              <w:tc>
                <w:tcPr>
                  <w:tcW w:w="508" w:type="pct"/>
                  <w:shd w:val="clear" w:color="auto" w:fill="auto"/>
                </w:tcPr>
                <w:p w:rsidR="00D06963" w:rsidRPr="00E611D5" w:rsidRDefault="00D06963" w:rsidP="00862B6D">
                  <w:pPr>
                    <w:pStyle w:val="TableBodyText"/>
                  </w:pPr>
                  <w:r w:rsidRPr="00E611D5">
                    <w:t>7</w:t>
                  </w:r>
                </w:p>
              </w:tc>
              <w:tc>
                <w:tcPr>
                  <w:tcW w:w="508" w:type="pct"/>
                  <w:shd w:val="clear" w:color="auto" w:fill="auto"/>
                </w:tcPr>
                <w:p w:rsidR="00D06963" w:rsidRPr="00E611D5" w:rsidRDefault="00D06963" w:rsidP="00862B6D">
                  <w:pPr>
                    <w:pStyle w:val="TableBodyText"/>
                  </w:pPr>
                  <w:r w:rsidRPr="00E611D5">
                    <w:t>0</w:t>
                  </w:r>
                </w:p>
              </w:tc>
              <w:tc>
                <w:tcPr>
                  <w:tcW w:w="507" w:type="pct"/>
                  <w:shd w:val="clear" w:color="auto" w:fill="auto"/>
                </w:tcPr>
                <w:p w:rsidR="00D06963" w:rsidRPr="00E611D5" w:rsidRDefault="00D06963" w:rsidP="00862B6D">
                  <w:pPr>
                    <w:pStyle w:val="TableBodyText"/>
                  </w:pPr>
                  <w:r w:rsidRPr="00E611D5">
                    <w:t>8</w:t>
                  </w:r>
                </w:p>
              </w:tc>
            </w:tr>
            <w:tr w:rsidR="00D06963" w:rsidTr="00862B6D">
              <w:tc>
                <w:tcPr>
                  <w:tcW w:w="1020" w:type="pct"/>
                  <w:shd w:val="clear" w:color="auto" w:fill="auto"/>
                </w:tcPr>
                <w:p w:rsidR="00D06963" w:rsidRPr="00E611D5" w:rsidRDefault="00D06963" w:rsidP="00862B6D">
                  <w:pPr>
                    <w:pStyle w:val="TableBodyText"/>
                    <w:jc w:val="left"/>
                  </w:pPr>
                  <w:r w:rsidRPr="00E611D5">
                    <w:t>Staff Level 3</w:t>
                  </w:r>
                </w:p>
              </w:tc>
              <w:tc>
                <w:tcPr>
                  <w:tcW w:w="607" w:type="pct"/>
                  <w:shd w:val="clear" w:color="auto" w:fill="auto"/>
                </w:tcPr>
                <w:p w:rsidR="00D06963" w:rsidRPr="00E611D5" w:rsidRDefault="00D06963" w:rsidP="00862B6D">
                  <w:pPr>
                    <w:pStyle w:val="TableBodyText"/>
                  </w:pPr>
                  <w:r w:rsidRPr="00E611D5">
                    <w:t>0</w:t>
                  </w:r>
                </w:p>
              </w:tc>
              <w:tc>
                <w:tcPr>
                  <w:tcW w:w="510" w:type="pct"/>
                  <w:shd w:val="clear" w:color="auto" w:fill="auto"/>
                </w:tcPr>
                <w:p w:rsidR="00D06963" w:rsidRPr="00E611D5" w:rsidRDefault="00D06963" w:rsidP="00862B6D">
                  <w:pPr>
                    <w:pStyle w:val="TableBodyText"/>
                  </w:pPr>
                  <w:r w:rsidRPr="00E611D5">
                    <w:t>0</w:t>
                  </w:r>
                </w:p>
              </w:tc>
              <w:tc>
                <w:tcPr>
                  <w:tcW w:w="693" w:type="pct"/>
                  <w:shd w:val="clear" w:color="auto" w:fill="auto"/>
                </w:tcPr>
                <w:p w:rsidR="00D06963" w:rsidRPr="00E611D5" w:rsidRDefault="00D06963" w:rsidP="00862B6D">
                  <w:pPr>
                    <w:pStyle w:val="TableBodyText"/>
                  </w:pPr>
                  <w:r w:rsidRPr="00E611D5">
                    <w:t>1</w:t>
                  </w:r>
                </w:p>
              </w:tc>
              <w:tc>
                <w:tcPr>
                  <w:tcW w:w="647" w:type="pct"/>
                  <w:shd w:val="clear" w:color="auto" w:fill="auto"/>
                </w:tcPr>
                <w:p w:rsidR="00D06963" w:rsidRPr="00E611D5" w:rsidRDefault="00D06963" w:rsidP="00862B6D">
                  <w:pPr>
                    <w:pStyle w:val="TableBodyText"/>
                  </w:pPr>
                  <w:r w:rsidRPr="00E611D5">
                    <w:t>0</w:t>
                  </w:r>
                </w:p>
              </w:tc>
              <w:tc>
                <w:tcPr>
                  <w:tcW w:w="508" w:type="pct"/>
                  <w:shd w:val="clear" w:color="auto" w:fill="auto"/>
                </w:tcPr>
                <w:p w:rsidR="00D06963" w:rsidRPr="00E611D5" w:rsidRDefault="00D06963" w:rsidP="00862B6D">
                  <w:pPr>
                    <w:pStyle w:val="TableBodyText"/>
                  </w:pPr>
                  <w:r w:rsidRPr="00E611D5">
                    <w:t>10</w:t>
                  </w:r>
                </w:p>
              </w:tc>
              <w:tc>
                <w:tcPr>
                  <w:tcW w:w="508" w:type="pct"/>
                  <w:shd w:val="clear" w:color="auto" w:fill="auto"/>
                </w:tcPr>
                <w:p w:rsidR="00D06963" w:rsidRPr="00E611D5" w:rsidRDefault="00D06963" w:rsidP="00862B6D">
                  <w:pPr>
                    <w:pStyle w:val="TableBodyText"/>
                  </w:pPr>
                  <w:r w:rsidRPr="00E611D5">
                    <w:t>0</w:t>
                  </w:r>
                </w:p>
              </w:tc>
              <w:tc>
                <w:tcPr>
                  <w:tcW w:w="507" w:type="pct"/>
                  <w:shd w:val="clear" w:color="auto" w:fill="auto"/>
                </w:tcPr>
                <w:p w:rsidR="00D06963" w:rsidRPr="00E611D5" w:rsidRDefault="00D06963" w:rsidP="00862B6D">
                  <w:pPr>
                    <w:pStyle w:val="TableBodyText"/>
                  </w:pPr>
                  <w:r w:rsidRPr="00E611D5">
                    <w:t>11</w:t>
                  </w:r>
                </w:p>
              </w:tc>
            </w:tr>
            <w:tr w:rsidR="00D06963" w:rsidTr="00862B6D">
              <w:tc>
                <w:tcPr>
                  <w:tcW w:w="1020" w:type="pct"/>
                  <w:shd w:val="clear" w:color="auto" w:fill="auto"/>
                </w:tcPr>
                <w:p w:rsidR="00D06963" w:rsidRPr="00E611D5" w:rsidRDefault="00D06963" w:rsidP="00862B6D">
                  <w:pPr>
                    <w:pStyle w:val="TableBodyText"/>
                    <w:jc w:val="left"/>
                  </w:pPr>
                  <w:r w:rsidRPr="00E611D5">
                    <w:t>Staff Level 2</w:t>
                  </w:r>
                </w:p>
              </w:tc>
              <w:tc>
                <w:tcPr>
                  <w:tcW w:w="607" w:type="pct"/>
                  <w:shd w:val="clear" w:color="auto" w:fill="auto"/>
                </w:tcPr>
                <w:p w:rsidR="00D06963" w:rsidRPr="00E611D5" w:rsidRDefault="00D06963" w:rsidP="00862B6D">
                  <w:pPr>
                    <w:pStyle w:val="TableBodyText"/>
                  </w:pPr>
                  <w:r w:rsidRPr="00E611D5">
                    <w:t>0</w:t>
                  </w:r>
                </w:p>
              </w:tc>
              <w:tc>
                <w:tcPr>
                  <w:tcW w:w="510" w:type="pct"/>
                  <w:shd w:val="clear" w:color="auto" w:fill="auto"/>
                </w:tcPr>
                <w:p w:rsidR="00D06963" w:rsidRPr="00E611D5" w:rsidRDefault="00D06963" w:rsidP="00862B6D">
                  <w:pPr>
                    <w:pStyle w:val="TableBodyText"/>
                  </w:pPr>
                  <w:r w:rsidRPr="00E611D5">
                    <w:t>0</w:t>
                  </w:r>
                </w:p>
              </w:tc>
              <w:tc>
                <w:tcPr>
                  <w:tcW w:w="693" w:type="pct"/>
                  <w:shd w:val="clear" w:color="auto" w:fill="auto"/>
                </w:tcPr>
                <w:p w:rsidR="00D06963" w:rsidRPr="00E611D5" w:rsidRDefault="00D06963" w:rsidP="00862B6D">
                  <w:pPr>
                    <w:pStyle w:val="TableBodyText"/>
                  </w:pPr>
                  <w:r w:rsidRPr="00E611D5">
                    <w:t>1</w:t>
                  </w:r>
                </w:p>
              </w:tc>
              <w:tc>
                <w:tcPr>
                  <w:tcW w:w="647" w:type="pct"/>
                  <w:shd w:val="clear" w:color="auto" w:fill="auto"/>
                </w:tcPr>
                <w:p w:rsidR="00D06963" w:rsidRPr="00E611D5" w:rsidRDefault="00D06963" w:rsidP="00862B6D">
                  <w:pPr>
                    <w:pStyle w:val="TableBodyText"/>
                  </w:pPr>
                  <w:r w:rsidRPr="00E611D5">
                    <w:t>0</w:t>
                  </w:r>
                </w:p>
              </w:tc>
              <w:tc>
                <w:tcPr>
                  <w:tcW w:w="508" w:type="pct"/>
                  <w:shd w:val="clear" w:color="auto" w:fill="auto"/>
                </w:tcPr>
                <w:p w:rsidR="00D06963" w:rsidRPr="00E611D5" w:rsidRDefault="00D06963" w:rsidP="00862B6D">
                  <w:pPr>
                    <w:pStyle w:val="TableBodyText"/>
                  </w:pPr>
                  <w:r w:rsidRPr="00E611D5">
                    <w:t>9</w:t>
                  </w:r>
                </w:p>
              </w:tc>
              <w:tc>
                <w:tcPr>
                  <w:tcW w:w="508" w:type="pct"/>
                  <w:shd w:val="clear" w:color="auto" w:fill="auto"/>
                </w:tcPr>
                <w:p w:rsidR="00D06963" w:rsidRPr="00E611D5" w:rsidRDefault="00D06963" w:rsidP="00862B6D">
                  <w:pPr>
                    <w:pStyle w:val="TableBodyText"/>
                  </w:pPr>
                  <w:r w:rsidRPr="00E611D5">
                    <w:t>0</w:t>
                  </w:r>
                </w:p>
              </w:tc>
              <w:tc>
                <w:tcPr>
                  <w:tcW w:w="507" w:type="pct"/>
                  <w:shd w:val="clear" w:color="auto" w:fill="auto"/>
                </w:tcPr>
                <w:p w:rsidR="00D06963" w:rsidRPr="00E611D5" w:rsidRDefault="00D06963" w:rsidP="00862B6D">
                  <w:pPr>
                    <w:pStyle w:val="TableBodyText"/>
                  </w:pPr>
                  <w:r w:rsidRPr="00E611D5">
                    <w:t>10</w:t>
                  </w:r>
                </w:p>
              </w:tc>
            </w:tr>
            <w:tr w:rsidR="00D06963" w:rsidTr="00862B6D">
              <w:tc>
                <w:tcPr>
                  <w:tcW w:w="1020" w:type="pct"/>
                  <w:shd w:val="clear" w:color="auto" w:fill="auto"/>
                </w:tcPr>
                <w:p w:rsidR="00D06963" w:rsidRPr="00E611D5" w:rsidRDefault="00D06963" w:rsidP="00862B6D">
                  <w:pPr>
                    <w:pStyle w:val="TableBodyText"/>
                    <w:jc w:val="left"/>
                  </w:pPr>
                  <w:r w:rsidRPr="00E611D5">
                    <w:t>Staff Level 1</w:t>
                  </w:r>
                </w:p>
              </w:tc>
              <w:tc>
                <w:tcPr>
                  <w:tcW w:w="607" w:type="pct"/>
                  <w:shd w:val="clear" w:color="auto" w:fill="auto"/>
                </w:tcPr>
                <w:p w:rsidR="00D06963" w:rsidRPr="00E611D5" w:rsidRDefault="00D06963" w:rsidP="00862B6D">
                  <w:pPr>
                    <w:pStyle w:val="TableBodyText"/>
                  </w:pPr>
                  <w:r w:rsidRPr="00E611D5">
                    <w:t>0</w:t>
                  </w:r>
                </w:p>
              </w:tc>
              <w:tc>
                <w:tcPr>
                  <w:tcW w:w="510" w:type="pct"/>
                  <w:shd w:val="clear" w:color="auto" w:fill="auto"/>
                </w:tcPr>
                <w:p w:rsidR="00D06963" w:rsidRPr="00E611D5" w:rsidRDefault="00D06963" w:rsidP="00862B6D">
                  <w:pPr>
                    <w:pStyle w:val="TableBodyText"/>
                  </w:pPr>
                  <w:r w:rsidRPr="00E611D5">
                    <w:t>0</w:t>
                  </w:r>
                </w:p>
              </w:tc>
              <w:tc>
                <w:tcPr>
                  <w:tcW w:w="693" w:type="pct"/>
                  <w:shd w:val="clear" w:color="auto" w:fill="auto"/>
                </w:tcPr>
                <w:p w:rsidR="00D06963" w:rsidRPr="00E611D5" w:rsidRDefault="00D06963" w:rsidP="00862B6D">
                  <w:pPr>
                    <w:pStyle w:val="TableBodyText"/>
                  </w:pPr>
                  <w:r w:rsidRPr="00E611D5">
                    <w:t>1</w:t>
                  </w:r>
                </w:p>
              </w:tc>
              <w:tc>
                <w:tcPr>
                  <w:tcW w:w="647" w:type="pct"/>
                  <w:shd w:val="clear" w:color="auto" w:fill="auto"/>
                </w:tcPr>
                <w:p w:rsidR="00D06963" w:rsidRPr="00E611D5" w:rsidRDefault="00D06963" w:rsidP="00862B6D">
                  <w:pPr>
                    <w:pStyle w:val="TableBodyText"/>
                  </w:pPr>
                  <w:r w:rsidRPr="00E611D5">
                    <w:t>0</w:t>
                  </w:r>
                </w:p>
              </w:tc>
              <w:tc>
                <w:tcPr>
                  <w:tcW w:w="508" w:type="pct"/>
                  <w:shd w:val="clear" w:color="auto" w:fill="auto"/>
                </w:tcPr>
                <w:p w:rsidR="00D06963" w:rsidRPr="00E611D5" w:rsidRDefault="00D06963" w:rsidP="00862B6D">
                  <w:pPr>
                    <w:pStyle w:val="TableBodyText"/>
                  </w:pPr>
                  <w:r w:rsidRPr="00E611D5">
                    <w:t>1</w:t>
                  </w:r>
                </w:p>
              </w:tc>
              <w:tc>
                <w:tcPr>
                  <w:tcW w:w="508" w:type="pct"/>
                  <w:shd w:val="clear" w:color="auto" w:fill="auto"/>
                </w:tcPr>
                <w:p w:rsidR="00D06963" w:rsidRPr="00E611D5" w:rsidRDefault="00D06963" w:rsidP="00862B6D">
                  <w:pPr>
                    <w:pStyle w:val="TableBodyText"/>
                  </w:pPr>
                  <w:r w:rsidRPr="00E611D5">
                    <w:t>0</w:t>
                  </w:r>
                </w:p>
              </w:tc>
              <w:tc>
                <w:tcPr>
                  <w:tcW w:w="507" w:type="pct"/>
                  <w:shd w:val="clear" w:color="auto" w:fill="auto"/>
                </w:tcPr>
                <w:p w:rsidR="00D06963" w:rsidRPr="00E611D5" w:rsidRDefault="00D06963" w:rsidP="00862B6D">
                  <w:pPr>
                    <w:pStyle w:val="TableBodyText"/>
                  </w:pPr>
                  <w:r w:rsidRPr="00E611D5">
                    <w:t>2</w:t>
                  </w:r>
                </w:p>
              </w:tc>
            </w:tr>
            <w:tr w:rsidR="00D06963" w:rsidTr="00862B6D">
              <w:tc>
                <w:tcPr>
                  <w:tcW w:w="1020" w:type="pct"/>
                  <w:shd w:val="clear" w:color="auto" w:fill="auto"/>
                </w:tcPr>
                <w:p w:rsidR="00D06963" w:rsidRPr="00E611D5" w:rsidRDefault="00D06963" w:rsidP="00862B6D">
                  <w:pPr>
                    <w:pStyle w:val="TableBodyText"/>
                    <w:jc w:val="left"/>
                    <w:rPr>
                      <w:b/>
                    </w:rPr>
                  </w:pPr>
                  <w:r w:rsidRPr="00E611D5">
                    <w:rPr>
                      <w:b/>
                    </w:rPr>
                    <w:t>Total</w:t>
                  </w:r>
                </w:p>
              </w:tc>
              <w:tc>
                <w:tcPr>
                  <w:tcW w:w="607" w:type="pct"/>
                  <w:shd w:val="clear" w:color="auto" w:fill="auto"/>
                </w:tcPr>
                <w:p w:rsidR="00D06963" w:rsidRPr="00E611D5" w:rsidRDefault="00D06963" w:rsidP="00862B6D">
                  <w:pPr>
                    <w:pStyle w:val="TableBodyText"/>
                    <w:rPr>
                      <w:b/>
                    </w:rPr>
                  </w:pPr>
                  <w:r w:rsidRPr="00E611D5">
                    <w:rPr>
                      <w:b/>
                    </w:rPr>
                    <w:t>0</w:t>
                  </w:r>
                </w:p>
              </w:tc>
              <w:tc>
                <w:tcPr>
                  <w:tcW w:w="510" w:type="pct"/>
                  <w:shd w:val="clear" w:color="auto" w:fill="auto"/>
                </w:tcPr>
                <w:p w:rsidR="00D06963" w:rsidRPr="00E611D5" w:rsidRDefault="00D06963" w:rsidP="00862B6D">
                  <w:pPr>
                    <w:pStyle w:val="TableBodyText"/>
                    <w:rPr>
                      <w:b/>
                    </w:rPr>
                  </w:pPr>
                  <w:r w:rsidRPr="00E611D5">
                    <w:rPr>
                      <w:b/>
                    </w:rPr>
                    <w:t>0</w:t>
                  </w:r>
                </w:p>
              </w:tc>
              <w:tc>
                <w:tcPr>
                  <w:tcW w:w="693" w:type="pct"/>
                  <w:shd w:val="clear" w:color="auto" w:fill="auto"/>
                </w:tcPr>
                <w:p w:rsidR="00D06963" w:rsidRPr="00E611D5" w:rsidRDefault="00D06963" w:rsidP="00862B6D">
                  <w:pPr>
                    <w:pStyle w:val="TableBodyText"/>
                    <w:rPr>
                      <w:b/>
                    </w:rPr>
                  </w:pPr>
                  <w:r w:rsidRPr="00E611D5">
                    <w:rPr>
                      <w:b/>
                    </w:rPr>
                    <w:t>5</w:t>
                  </w:r>
                </w:p>
              </w:tc>
              <w:tc>
                <w:tcPr>
                  <w:tcW w:w="647" w:type="pct"/>
                  <w:shd w:val="clear" w:color="auto" w:fill="auto"/>
                </w:tcPr>
                <w:p w:rsidR="00D06963" w:rsidRPr="00E611D5" w:rsidRDefault="00D06963" w:rsidP="00862B6D">
                  <w:pPr>
                    <w:pStyle w:val="TableBodyText"/>
                    <w:rPr>
                      <w:b/>
                    </w:rPr>
                  </w:pPr>
                  <w:r w:rsidRPr="00E611D5">
                    <w:rPr>
                      <w:b/>
                    </w:rPr>
                    <w:t>0</w:t>
                  </w:r>
                </w:p>
              </w:tc>
              <w:tc>
                <w:tcPr>
                  <w:tcW w:w="508" w:type="pct"/>
                  <w:shd w:val="clear" w:color="auto" w:fill="auto"/>
                </w:tcPr>
                <w:p w:rsidR="00D06963" w:rsidRPr="00E611D5" w:rsidRDefault="00D06963" w:rsidP="00862B6D">
                  <w:pPr>
                    <w:pStyle w:val="TableBodyText"/>
                    <w:rPr>
                      <w:b/>
                    </w:rPr>
                  </w:pPr>
                  <w:r w:rsidRPr="00E611D5">
                    <w:rPr>
                      <w:b/>
                    </w:rPr>
                    <w:t>30</w:t>
                  </w:r>
                </w:p>
              </w:tc>
              <w:tc>
                <w:tcPr>
                  <w:tcW w:w="508" w:type="pct"/>
                  <w:shd w:val="clear" w:color="auto" w:fill="auto"/>
                </w:tcPr>
                <w:p w:rsidR="00D06963" w:rsidRPr="00E611D5" w:rsidRDefault="00D06963" w:rsidP="00862B6D">
                  <w:pPr>
                    <w:pStyle w:val="TableBodyText"/>
                    <w:rPr>
                      <w:b/>
                    </w:rPr>
                  </w:pPr>
                  <w:r w:rsidRPr="00E611D5">
                    <w:rPr>
                      <w:b/>
                    </w:rPr>
                    <w:t>0</w:t>
                  </w:r>
                </w:p>
              </w:tc>
              <w:tc>
                <w:tcPr>
                  <w:tcW w:w="507" w:type="pct"/>
                  <w:shd w:val="clear" w:color="auto" w:fill="auto"/>
                </w:tcPr>
                <w:p w:rsidR="00D06963" w:rsidRPr="00E611D5" w:rsidRDefault="00D06963" w:rsidP="00862B6D">
                  <w:pPr>
                    <w:pStyle w:val="TableBodyText"/>
                    <w:rPr>
                      <w:b/>
                    </w:rPr>
                  </w:pPr>
                  <w:r w:rsidRPr="00E611D5">
                    <w:rPr>
                      <w:b/>
                    </w:rPr>
                    <w:t>35</w:t>
                  </w:r>
                </w:p>
              </w:tc>
            </w:tr>
            <w:tr w:rsidR="00D06963" w:rsidTr="00862B6D">
              <w:tc>
                <w:tcPr>
                  <w:tcW w:w="1020" w:type="pct"/>
                  <w:tcBorders>
                    <w:bottom w:val="single" w:sz="6" w:space="0" w:color="C8C8C8"/>
                  </w:tcBorders>
                  <w:shd w:val="clear" w:color="auto" w:fill="auto"/>
                </w:tcPr>
                <w:p w:rsidR="00D06963" w:rsidRPr="00E611D5" w:rsidRDefault="00D06963" w:rsidP="00862B6D">
                  <w:pPr>
                    <w:pStyle w:val="TableBodyText"/>
                    <w:jc w:val="left"/>
                  </w:pPr>
                  <w:r w:rsidRPr="00E611D5">
                    <w:t>Corresponding totals at 30 June 2013</w:t>
                  </w:r>
                </w:p>
              </w:tc>
              <w:tc>
                <w:tcPr>
                  <w:tcW w:w="607" w:type="pct"/>
                  <w:tcBorders>
                    <w:bottom w:val="single" w:sz="6" w:space="0" w:color="C8C8C8"/>
                  </w:tcBorders>
                  <w:shd w:val="clear" w:color="auto" w:fill="auto"/>
                  <w:vAlign w:val="center"/>
                </w:tcPr>
                <w:p w:rsidR="00D06963" w:rsidRPr="00E611D5" w:rsidRDefault="00D06963" w:rsidP="00862B6D">
                  <w:pPr>
                    <w:pStyle w:val="TableBodyText"/>
                  </w:pPr>
                  <w:r w:rsidRPr="00E611D5">
                    <w:t>0</w:t>
                  </w:r>
                </w:p>
              </w:tc>
              <w:tc>
                <w:tcPr>
                  <w:tcW w:w="510" w:type="pct"/>
                  <w:tcBorders>
                    <w:bottom w:val="single" w:sz="6" w:space="0" w:color="C8C8C8"/>
                  </w:tcBorders>
                  <w:shd w:val="clear" w:color="auto" w:fill="auto"/>
                  <w:vAlign w:val="center"/>
                </w:tcPr>
                <w:p w:rsidR="00D06963" w:rsidRPr="00E611D5" w:rsidRDefault="00D06963" w:rsidP="00862B6D">
                  <w:pPr>
                    <w:pStyle w:val="TableBodyText"/>
                  </w:pPr>
                  <w:r w:rsidRPr="00E611D5">
                    <w:t>5</w:t>
                  </w:r>
                </w:p>
              </w:tc>
              <w:tc>
                <w:tcPr>
                  <w:tcW w:w="693" w:type="pct"/>
                  <w:tcBorders>
                    <w:bottom w:val="single" w:sz="6" w:space="0" w:color="C8C8C8"/>
                  </w:tcBorders>
                  <w:shd w:val="clear" w:color="auto" w:fill="auto"/>
                  <w:vAlign w:val="center"/>
                </w:tcPr>
                <w:p w:rsidR="00D06963" w:rsidRPr="00E611D5" w:rsidRDefault="00D06963" w:rsidP="00862B6D">
                  <w:pPr>
                    <w:pStyle w:val="TableBodyText"/>
                  </w:pPr>
                  <w:r w:rsidRPr="00E611D5">
                    <w:t>15</w:t>
                  </w:r>
                </w:p>
              </w:tc>
              <w:tc>
                <w:tcPr>
                  <w:tcW w:w="647" w:type="pct"/>
                  <w:tcBorders>
                    <w:bottom w:val="single" w:sz="6" w:space="0" w:color="C8C8C8"/>
                  </w:tcBorders>
                  <w:shd w:val="clear" w:color="auto" w:fill="auto"/>
                  <w:vAlign w:val="center"/>
                </w:tcPr>
                <w:p w:rsidR="00D06963" w:rsidRPr="00E611D5" w:rsidRDefault="00D06963" w:rsidP="00862B6D">
                  <w:pPr>
                    <w:pStyle w:val="TableBodyText"/>
                  </w:pPr>
                  <w:r w:rsidRPr="00E611D5">
                    <w:t>0</w:t>
                  </w:r>
                </w:p>
              </w:tc>
              <w:tc>
                <w:tcPr>
                  <w:tcW w:w="508" w:type="pct"/>
                  <w:tcBorders>
                    <w:bottom w:val="single" w:sz="6" w:space="0" w:color="C8C8C8"/>
                  </w:tcBorders>
                  <w:shd w:val="clear" w:color="auto" w:fill="auto"/>
                  <w:vAlign w:val="center"/>
                </w:tcPr>
                <w:p w:rsidR="00D06963" w:rsidRPr="00E611D5" w:rsidRDefault="00D06963" w:rsidP="00862B6D">
                  <w:pPr>
                    <w:pStyle w:val="TableBodyText"/>
                  </w:pPr>
                  <w:r w:rsidRPr="00E611D5">
                    <w:t>7</w:t>
                  </w:r>
                </w:p>
              </w:tc>
              <w:tc>
                <w:tcPr>
                  <w:tcW w:w="508" w:type="pct"/>
                  <w:tcBorders>
                    <w:bottom w:val="single" w:sz="6" w:space="0" w:color="C8C8C8"/>
                  </w:tcBorders>
                  <w:shd w:val="clear" w:color="auto" w:fill="auto"/>
                  <w:vAlign w:val="center"/>
                </w:tcPr>
                <w:p w:rsidR="00D06963" w:rsidRPr="00E611D5" w:rsidRDefault="00D06963" w:rsidP="00862B6D">
                  <w:pPr>
                    <w:pStyle w:val="TableBodyText"/>
                  </w:pPr>
                  <w:r w:rsidRPr="00E611D5">
                    <w:t>0</w:t>
                  </w:r>
                </w:p>
              </w:tc>
              <w:tc>
                <w:tcPr>
                  <w:tcW w:w="507" w:type="pct"/>
                  <w:tcBorders>
                    <w:bottom w:val="single" w:sz="6" w:space="0" w:color="C8C8C8"/>
                  </w:tcBorders>
                  <w:shd w:val="clear" w:color="auto" w:fill="auto"/>
                  <w:vAlign w:val="center"/>
                </w:tcPr>
                <w:p w:rsidR="00D06963" w:rsidRPr="00E611D5" w:rsidRDefault="00D06963" w:rsidP="00862B6D">
                  <w:pPr>
                    <w:pStyle w:val="TableBodyText"/>
                  </w:pPr>
                  <w:r w:rsidRPr="00E611D5">
                    <w:t>27</w:t>
                  </w:r>
                </w:p>
              </w:tc>
            </w:tr>
          </w:tbl>
          <w:p w:rsidR="00200C19" w:rsidRDefault="00200C19" w:rsidP="00FB78C9">
            <w:pPr>
              <w:pStyle w:val="Box"/>
            </w:pPr>
          </w:p>
        </w:tc>
      </w:tr>
      <w:tr w:rsidR="00200C19" w:rsidTr="00862B6D">
        <w:trPr>
          <w:cantSplit/>
        </w:trPr>
        <w:tc>
          <w:tcPr>
            <w:tcW w:w="8771" w:type="dxa"/>
            <w:tcBorders>
              <w:top w:val="nil"/>
              <w:left w:val="nil"/>
              <w:bottom w:val="nil"/>
              <w:right w:val="nil"/>
            </w:tcBorders>
            <w:shd w:val="clear" w:color="auto" w:fill="auto"/>
          </w:tcPr>
          <w:p w:rsidR="00200C19" w:rsidRDefault="00200C19" w:rsidP="00D06963">
            <w:pPr>
              <w:pStyle w:val="Note"/>
              <w:rPr>
                <w:i/>
              </w:rPr>
            </w:pPr>
            <w:proofErr w:type="gramStart"/>
            <w:r w:rsidRPr="008E77FE">
              <w:rPr>
                <w:rStyle w:val="NoteLabel"/>
              </w:rPr>
              <w:t>a</w:t>
            </w:r>
            <w:proofErr w:type="gramEnd"/>
            <w:r w:rsidR="00D06963">
              <w:t xml:space="preserve"> Redundancy package.</w:t>
            </w:r>
          </w:p>
        </w:tc>
      </w:tr>
      <w:tr w:rsidR="00200C19" w:rsidTr="00862B6D">
        <w:trPr>
          <w:cantSplit/>
        </w:trPr>
        <w:tc>
          <w:tcPr>
            <w:tcW w:w="8771" w:type="dxa"/>
            <w:tcBorders>
              <w:top w:val="nil"/>
              <w:left w:val="nil"/>
              <w:bottom w:val="single" w:sz="6" w:space="0" w:color="78A22F"/>
              <w:right w:val="nil"/>
            </w:tcBorders>
            <w:shd w:val="clear" w:color="auto" w:fill="auto"/>
          </w:tcPr>
          <w:p w:rsidR="00200C19" w:rsidRDefault="00200C19" w:rsidP="00FB78C9">
            <w:pPr>
              <w:pStyle w:val="Box"/>
              <w:spacing w:before="0" w:line="120" w:lineRule="exact"/>
            </w:pPr>
          </w:p>
        </w:tc>
      </w:tr>
      <w:tr w:rsidR="00200C19" w:rsidRPr="000863A5" w:rsidTr="00862B6D">
        <w:tc>
          <w:tcPr>
            <w:tcW w:w="8771" w:type="dxa"/>
            <w:tcBorders>
              <w:top w:val="single" w:sz="6" w:space="0" w:color="78A22F"/>
              <w:left w:val="nil"/>
              <w:bottom w:val="nil"/>
              <w:right w:val="nil"/>
            </w:tcBorders>
          </w:tcPr>
          <w:p w:rsidR="00200C19" w:rsidRPr="00626D32" w:rsidRDefault="00200C19" w:rsidP="00FB78C9">
            <w:pPr>
              <w:pStyle w:val="BoxSpaceBelow"/>
            </w:pPr>
          </w:p>
        </w:tc>
      </w:tr>
    </w:tbl>
    <w:p w:rsidR="00862B6D" w:rsidRDefault="00862B6D" w:rsidP="00CB7A1E">
      <w:pPr>
        <w:pStyle w:val="Heading2"/>
        <w:spacing w:before="240"/>
      </w:pPr>
    </w:p>
    <w:p w:rsidR="00862B6D" w:rsidRDefault="00862B6D" w:rsidP="00862B6D">
      <w:pPr>
        <w:pStyle w:val="BodyText"/>
        <w:rPr>
          <w:rFonts w:ascii="Arial" w:hAnsi="Arial"/>
          <w:sz w:val="32"/>
        </w:rPr>
      </w:pPr>
      <w:r>
        <w:br w:type="page"/>
      </w:r>
    </w:p>
    <w:p w:rsidR="008512FA" w:rsidRPr="00E611D5" w:rsidRDefault="008512FA" w:rsidP="00CB7A1E">
      <w:pPr>
        <w:pStyle w:val="Heading2"/>
        <w:spacing w:before="240"/>
        <w:rPr>
          <w:highlight w:val="yellow"/>
        </w:rPr>
      </w:pPr>
      <w:r w:rsidRPr="00E611D5">
        <w:lastRenderedPageBreak/>
        <w:t xml:space="preserve">Attachment </w:t>
      </w:r>
      <w:r w:rsidR="00357BE4" w:rsidRPr="00E611D5">
        <w:t>A</w:t>
      </w:r>
      <w:r w:rsidRPr="00E611D5">
        <w:t xml:space="preserve">2 </w:t>
      </w:r>
    </w:p>
    <w:p w:rsidR="00862B6D" w:rsidRDefault="00862B6D" w:rsidP="00FB78C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862B6D" w:rsidTr="009C50E1">
        <w:tc>
          <w:tcPr>
            <w:tcW w:w="8771" w:type="dxa"/>
            <w:tcBorders>
              <w:top w:val="single" w:sz="6" w:space="0" w:color="78A22F"/>
              <w:left w:val="nil"/>
              <w:bottom w:val="nil"/>
              <w:right w:val="nil"/>
            </w:tcBorders>
            <w:shd w:val="clear" w:color="auto" w:fill="auto"/>
          </w:tcPr>
          <w:p w:rsidR="00862B6D" w:rsidRPr="00784A05" w:rsidRDefault="00862B6D" w:rsidP="009C50E1">
            <w:pPr>
              <w:pStyle w:val="TableTitle"/>
            </w:pPr>
            <w:r w:rsidRPr="00E611D5">
              <w:t>Agency Resource Statement — 2013-14</w:t>
            </w:r>
          </w:p>
        </w:tc>
      </w:tr>
      <w:tr w:rsidR="00862B6D" w:rsidTr="0080448B">
        <w:trPr>
          <w:cantSplit/>
          <w:trHeight w:val="4131"/>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4245"/>
              <w:gridCol w:w="1416"/>
              <w:gridCol w:w="1414"/>
              <w:gridCol w:w="1412"/>
            </w:tblGrid>
            <w:tr w:rsidR="0080448B" w:rsidTr="0080448B">
              <w:tc>
                <w:tcPr>
                  <w:tcW w:w="2501" w:type="pct"/>
                  <w:tcBorders>
                    <w:top w:val="single" w:sz="6" w:space="0" w:color="BFBFBF"/>
                    <w:bottom w:val="single" w:sz="6" w:space="0" w:color="BFBFBF"/>
                  </w:tcBorders>
                  <w:shd w:val="clear" w:color="auto" w:fill="auto"/>
                  <w:tcMar>
                    <w:top w:w="28" w:type="dxa"/>
                  </w:tcMar>
                </w:tcPr>
                <w:p w:rsidR="0080448B" w:rsidRDefault="0080448B" w:rsidP="00FB78C9">
                  <w:pPr>
                    <w:pStyle w:val="TableColumnHeading"/>
                  </w:pPr>
                </w:p>
              </w:tc>
              <w:tc>
                <w:tcPr>
                  <w:tcW w:w="834" w:type="pct"/>
                  <w:tcBorders>
                    <w:top w:val="single" w:sz="6" w:space="0" w:color="BFBFBF"/>
                    <w:bottom w:val="single" w:sz="6" w:space="0" w:color="BFBFBF"/>
                  </w:tcBorders>
                  <w:shd w:val="clear" w:color="auto" w:fill="auto"/>
                </w:tcPr>
                <w:p w:rsidR="0080448B" w:rsidRPr="00FD54E3" w:rsidRDefault="0080448B" w:rsidP="00FB78C9">
                  <w:pPr>
                    <w:pStyle w:val="TableColumnHeading"/>
                    <w:spacing w:before="40" w:after="0" w:line="240" w:lineRule="auto"/>
                  </w:pPr>
                  <w:r w:rsidRPr="00FD54E3">
                    <w:t>Actual Available Appropriation 2013-14</w:t>
                  </w:r>
                </w:p>
              </w:tc>
              <w:tc>
                <w:tcPr>
                  <w:tcW w:w="833" w:type="pct"/>
                  <w:tcBorders>
                    <w:top w:val="single" w:sz="6" w:space="0" w:color="BFBFBF"/>
                    <w:bottom w:val="single" w:sz="6" w:space="0" w:color="BFBFBF"/>
                  </w:tcBorders>
                  <w:shd w:val="clear" w:color="auto" w:fill="auto"/>
                  <w:tcMar>
                    <w:top w:w="28" w:type="dxa"/>
                  </w:tcMar>
                </w:tcPr>
                <w:p w:rsidR="0080448B" w:rsidRPr="00FD54E3" w:rsidRDefault="0080448B" w:rsidP="00FB78C9">
                  <w:pPr>
                    <w:pStyle w:val="TableColumnHeading"/>
                    <w:spacing w:before="40" w:after="0" w:line="240" w:lineRule="auto"/>
                  </w:pPr>
                  <w:r w:rsidRPr="00FD54E3">
                    <w:t>Payments Made</w:t>
                  </w:r>
                  <w:r w:rsidRPr="00FD54E3">
                    <w:br/>
                    <w:t>2013-14</w:t>
                  </w:r>
                </w:p>
              </w:tc>
              <w:tc>
                <w:tcPr>
                  <w:tcW w:w="832" w:type="pct"/>
                  <w:tcBorders>
                    <w:top w:val="single" w:sz="6" w:space="0" w:color="BFBFBF"/>
                    <w:bottom w:val="single" w:sz="6" w:space="0" w:color="BFBFBF"/>
                  </w:tcBorders>
                  <w:shd w:val="clear" w:color="auto" w:fill="auto"/>
                </w:tcPr>
                <w:p w:rsidR="0080448B" w:rsidRPr="00FD54E3" w:rsidRDefault="0080448B" w:rsidP="00FB78C9">
                  <w:pPr>
                    <w:pStyle w:val="TableColumnHeading"/>
                    <w:spacing w:before="40" w:after="0" w:line="240" w:lineRule="auto"/>
                  </w:pPr>
                  <w:r w:rsidRPr="00FD54E3">
                    <w:t>Balance Remaining</w:t>
                  </w:r>
                </w:p>
              </w:tc>
            </w:tr>
            <w:tr w:rsidR="0080448B" w:rsidTr="0080448B">
              <w:tc>
                <w:tcPr>
                  <w:tcW w:w="2501" w:type="pct"/>
                  <w:tcBorders>
                    <w:top w:val="single" w:sz="6" w:space="0" w:color="BFBFBF"/>
                  </w:tcBorders>
                </w:tcPr>
                <w:p w:rsidR="0080448B" w:rsidRDefault="0080448B" w:rsidP="00FB78C9">
                  <w:pPr>
                    <w:pStyle w:val="TableUnitsRow"/>
                  </w:pPr>
                </w:p>
              </w:tc>
              <w:tc>
                <w:tcPr>
                  <w:tcW w:w="834" w:type="pct"/>
                  <w:tcBorders>
                    <w:top w:val="single" w:sz="6" w:space="0" w:color="BFBFBF"/>
                  </w:tcBorders>
                  <w:shd w:val="clear" w:color="auto" w:fill="auto"/>
                </w:tcPr>
                <w:p w:rsidR="0080448B" w:rsidRPr="00FD54E3" w:rsidRDefault="0080448B" w:rsidP="00FB78C9">
                  <w:pPr>
                    <w:pStyle w:val="TableUnitsRow"/>
                    <w:tabs>
                      <w:tab w:val="right" w:pos="8789"/>
                    </w:tabs>
                    <w:ind w:hanging="737"/>
                  </w:pPr>
                  <w:r w:rsidRPr="00FD54E3">
                    <w:t>$'000</w:t>
                  </w:r>
                </w:p>
              </w:tc>
              <w:tc>
                <w:tcPr>
                  <w:tcW w:w="833" w:type="pct"/>
                  <w:tcBorders>
                    <w:top w:val="single" w:sz="6" w:space="0" w:color="BFBFBF"/>
                  </w:tcBorders>
                  <w:shd w:val="clear" w:color="auto" w:fill="auto"/>
                </w:tcPr>
                <w:p w:rsidR="0080448B" w:rsidRPr="00FD54E3" w:rsidRDefault="0080448B" w:rsidP="00FB78C9">
                  <w:pPr>
                    <w:pStyle w:val="TableUnitsRow"/>
                    <w:tabs>
                      <w:tab w:val="right" w:pos="8789"/>
                    </w:tabs>
                    <w:ind w:hanging="737"/>
                  </w:pPr>
                  <w:r w:rsidRPr="00FD54E3">
                    <w:t>$'000</w:t>
                  </w:r>
                </w:p>
              </w:tc>
              <w:tc>
                <w:tcPr>
                  <w:tcW w:w="832" w:type="pct"/>
                  <w:tcBorders>
                    <w:top w:val="single" w:sz="6" w:space="0" w:color="BFBFBF"/>
                  </w:tcBorders>
                  <w:shd w:val="clear" w:color="auto" w:fill="auto"/>
                </w:tcPr>
                <w:p w:rsidR="0080448B" w:rsidRPr="00FD54E3" w:rsidRDefault="0080448B" w:rsidP="00FB78C9">
                  <w:pPr>
                    <w:pStyle w:val="TableUnitsRow"/>
                    <w:tabs>
                      <w:tab w:val="right" w:pos="8789"/>
                    </w:tabs>
                    <w:ind w:hanging="737"/>
                  </w:pPr>
                  <w:r w:rsidRPr="00FD54E3">
                    <w:t>$'000</w:t>
                  </w:r>
                </w:p>
              </w:tc>
            </w:tr>
            <w:tr w:rsidR="0080448B" w:rsidTr="0080448B">
              <w:tc>
                <w:tcPr>
                  <w:tcW w:w="2501" w:type="pct"/>
                </w:tcPr>
                <w:p w:rsidR="0080448B" w:rsidRDefault="0080448B" w:rsidP="009C50E1">
                  <w:pPr>
                    <w:pStyle w:val="TableUnitsRow"/>
                  </w:pPr>
                </w:p>
              </w:tc>
              <w:tc>
                <w:tcPr>
                  <w:tcW w:w="834" w:type="pct"/>
                  <w:shd w:val="clear" w:color="auto" w:fill="auto"/>
                </w:tcPr>
                <w:p w:rsidR="0080448B" w:rsidRPr="00FD54E3" w:rsidRDefault="0080448B" w:rsidP="009C50E1">
                  <w:pPr>
                    <w:pStyle w:val="TableUnitsRow"/>
                  </w:pPr>
                  <w:r w:rsidRPr="00FD54E3">
                    <w:t>(a)</w:t>
                  </w:r>
                </w:p>
              </w:tc>
              <w:tc>
                <w:tcPr>
                  <w:tcW w:w="833" w:type="pct"/>
                  <w:shd w:val="clear" w:color="auto" w:fill="auto"/>
                </w:tcPr>
                <w:p w:rsidR="0080448B" w:rsidRPr="00FD54E3" w:rsidRDefault="0080448B" w:rsidP="009C50E1">
                  <w:pPr>
                    <w:pStyle w:val="TableUnitsRow"/>
                  </w:pPr>
                  <w:r w:rsidRPr="00FD54E3">
                    <w:t>(b)</w:t>
                  </w:r>
                </w:p>
              </w:tc>
              <w:tc>
                <w:tcPr>
                  <w:tcW w:w="832" w:type="pct"/>
                  <w:shd w:val="clear" w:color="auto" w:fill="auto"/>
                </w:tcPr>
                <w:p w:rsidR="0080448B" w:rsidRPr="00FD54E3" w:rsidRDefault="0080448B" w:rsidP="009C50E1">
                  <w:pPr>
                    <w:pStyle w:val="TableUnitsRow"/>
                  </w:pPr>
                  <w:r w:rsidRPr="00FD54E3">
                    <w:t>(a-b)</w:t>
                  </w:r>
                </w:p>
              </w:tc>
            </w:tr>
            <w:tr w:rsidR="009C50E1" w:rsidTr="009C50E1">
              <w:tc>
                <w:tcPr>
                  <w:tcW w:w="2501" w:type="pct"/>
                  <w:shd w:val="clear" w:color="auto" w:fill="auto"/>
                  <w:vAlign w:val="bottom"/>
                </w:tcPr>
                <w:p w:rsidR="009C50E1" w:rsidRPr="00FD54E3" w:rsidRDefault="009C50E1" w:rsidP="009C50E1">
                  <w:pPr>
                    <w:pStyle w:val="TableBodyText"/>
                    <w:spacing w:before="40"/>
                    <w:ind w:left="0"/>
                    <w:jc w:val="left"/>
                  </w:pPr>
                  <w:r w:rsidRPr="00FD54E3">
                    <w:rPr>
                      <w:b/>
                    </w:rPr>
                    <w:t>Ordinary Annual Services</w:t>
                  </w:r>
                </w:p>
              </w:tc>
              <w:tc>
                <w:tcPr>
                  <w:tcW w:w="834" w:type="pct"/>
                  <w:shd w:val="clear" w:color="auto" w:fill="auto"/>
                </w:tcPr>
                <w:p w:rsidR="009C50E1" w:rsidRPr="00FD54E3" w:rsidRDefault="009C50E1" w:rsidP="00FB78C9">
                  <w:pPr>
                    <w:pStyle w:val="TableBodyText"/>
                    <w:spacing w:before="40"/>
                  </w:pPr>
                </w:p>
              </w:tc>
              <w:tc>
                <w:tcPr>
                  <w:tcW w:w="833" w:type="pct"/>
                  <w:shd w:val="clear" w:color="auto" w:fill="auto"/>
                </w:tcPr>
                <w:p w:rsidR="009C50E1" w:rsidRPr="00FD54E3" w:rsidRDefault="009C50E1" w:rsidP="00FB78C9">
                  <w:pPr>
                    <w:pStyle w:val="TableBodyText"/>
                    <w:spacing w:before="40"/>
                  </w:pPr>
                </w:p>
              </w:tc>
              <w:tc>
                <w:tcPr>
                  <w:tcW w:w="832" w:type="pct"/>
                  <w:shd w:val="clear" w:color="auto" w:fill="auto"/>
                </w:tcPr>
                <w:p w:rsidR="009C50E1" w:rsidRPr="00FD54E3" w:rsidRDefault="009C50E1" w:rsidP="00FB78C9"/>
              </w:tc>
            </w:tr>
            <w:tr w:rsidR="009C50E1" w:rsidTr="009C50E1">
              <w:tc>
                <w:tcPr>
                  <w:tcW w:w="2501" w:type="pct"/>
                  <w:shd w:val="clear" w:color="auto" w:fill="auto"/>
                  <w:vAlign w:val="bottom"/>
                </w:tcPr>
                <w:p w:rsidR="009C50E1" w:rsidRPr="00FD54E3" w:rsidRDefault="009C50E1" w:rsidP="009C50E1">
                  <w:pPr>
                    <w:pStyle w:val="TableBodyText"/>
                    <w:spacing w:before="40"/>
                    <w:ind w:left="0"/>
                    <w:jc w:val="left"/>
                  </w:pPr>
                  <w:r w:rsidRPr="00FD54E3">
                    <w:rPr>
                      <w:b/>
                    </w:rPr>
                    <w:t>Departmental appropriation</w:t>
                  </w:r>
                  <w:r w:rsidRPr="00FD54E3">
                    <w:rPr>
                      <w:rStyle w:val="NoteLabel"/>
                      <w:b w:val="0"/>
                    </w:rPr>
                    <w:t>1</w:t>
                  </w:r>
                </w:p>
              </w:tc>
              <w:tc>
                <w:tcPr>
                  <w:tcW w:w="834" w:type="pct"/>
                  <w:shd w:val="clear" w:color="auto" w:fill="auto"/>
                </w:tcPr>
                <w:p w:rsidR="009C50E1" w:rsidRPr="00FD54E3" w:rsidRDefault="009C50E1" w:rsidP="00FB78C9">
                  <w:pPr>
                    <w:pStyle w:val="TableBodyText"/>
                    <w:spacing w:before="40"/>
                  </w:pPr>
                </w:p>
              </w:tc>
              <w:tc>
                <w:tcPr>
                  <w:tcW w:w="833" w:type="pct"/>
                  <w:shd w:val="clear" w:color="auto" w:fill="auto"/>
                </w:tcPr>
                <w:p w:rsidR="009C50E1" w:rsidRPr="00FD54E3" w:rsidRDefault="009C50E1" w:rsidP="00FB78C9">
                  <w:pPr>
                    <w:pStyle w:val="TableBodyText"/>
                    <w:spacing w:before="40"/>
                  </w:pPr>
                </w:p>
              </w:tc>
              <w:tc>
                <w:tcPr>
                  <w:tcW w:w="832" w:type="pct"/>
                  <w:shd w:val="clear" w:color="auto" w:fill="auto"/>
                </w:tcPr>
                <w:p w:rsidR="009C50E1" w:rsidRPr="00FD54E3" w:rsidRDefault="009C50E1" w:rsidP="00FB78C9"/>
              </w:tc>
            </w:tr>
            <w:tr w:rsidR="009C50E1" w:rsidTr="009C50E1">
              <w:tc>
                <w:tcPr>
                  <w:tcW w:w="2501" w:type="pct"/>
                  <w:shd w:val="clear" w:color="auto" w:fill="auto"/>
                  <w:vAlign w:val="bottom"/>
                </w:tcPr>
                <w:p w:rsidR="009C50E1" w:rsidRPr="00FD54E3" w:rsidRDefault="009C50E1" w:rsidP="0080448B">
                  <w:pPr>
                    <w:pStyle w:val="TableBodyText"/>
                    <w:tabs>
                      <w:tab w:val="right" w:pos="8789"/>
                    </w:tabs>
                    <w:spacing w:before="40"/>
                    <w:ind w:left="737" w:hanging="617"/>
                    <w:jc w:val="left"/>
                  </w:pPr>
                  <w:r w:rsidRPr="00FD54E3">
                    <w:t>Prior year Departmental appropriation</w:t>
                  </w:r>
                </w:p>
              </w:tc>
              <w:tc>
                <w:tcPr>
                  <w:tcW w:w="834" w:type="pct"/>
                  <w:shd w:val="clear" w:color="auto" w:fill="auto"/>
                </w:tcPr>
                <w:p w:rsidR="009C50E1" w:rsidRPr="00FD54E3" w:rsidRDefault="009C50E1" w:rsidP="00FB78C9">
                  <w:pPr>
                    <w:pStyle w:val="TableBodyText"/>
                    <w:tabs>
                      <w:tab w:val="right" w:pos="8789"/>
                    </w:tabs>
                    <w:spacing w:before="40"/>
                    <w:ind w:hanging="737"/>
                  </w:pPr>
                  <w:r w:rsidRPr="00FD54E3">
                    <w:t>23 571</w:t>
                  </w:r>
                </w:p>
              </w:tc>
              <w:tc>
                <w:tcPr>
                  <w:tcW w:w="833" w:type="pct"/>
                  <w:shd w:val="clear" w:color="auto" w:fill="auto"/>
                </w:tcPr>
                <w:p w:rsidR="009C50E1" w:rsidRPr="00FD54E3" w:rsidRDefault="009C50E1" w:rsidP="00FB78C9">
                  <w:pPr>
                    <w:pStyle w:val="TableBodyText"/>
                    <w:spacing w:before="40"/>
                  </w:pPr>
                </w:p>
              </w:tc>
              <w:tc>
                <w:tcPr>
                  <w:tcW w:w="832" w:type="pct"/>
                  <w:shd w:val="clear" w:color="auto" w:fill="auto"/>
                </w:tcPr>
                <w:p w:rsidR="009C50E1" w:rsidRPr="00FD54E3" w:rsidRDefault="009C50E1" w:rsidP="00FB78C9"/>
              </w:tc>
            </w:tr>
            <w:tr w:rsidR="009C50E1" w:rsidTr="009C50E1">
              <w:tc>
                <w:tcPr>
                  <w:tcW w:w="2501" w:type="pct"/>
                  <w:shd w:val="clear" w:color="auto" w:fill="auto"/>
                  <w:vAlign w:val="bottom"/>
                </w:tcPr>
                <w:p w:rsidR="009C50E1" w:rsidRPr="00FD54E3" w:rsidRDefault="009C50E1" w:rsidP="0080448B">
                  <w:pPr>
                    <w:pStyle w:val="TableBodyText"/>
                    <w:tabs>
                      <w:tab w:val="right" w:pos="8789"/>
                    </w:tabs>
                    <w:spacing w:before="40"/>
                    <w:ind w:left="737" w:hanging="617"/>
                    <w:jc w:val="left"/>
                  </w:pPr>
                  <w:r w:rsidRPr="00FD54E3">
                    <w:t>Departmental appropriation 2013-14</w:t>
                  </w:r>
                </w:p>
              </w:tc>
              <w:tc>
                <w:tcPr>
                  <w:tcW w:w="834" w:type="pct"/>
                  <w:shd w:val="clear" w:color="auto" w:fill="auto"/>
                </w:tcPr>
                <w:p w:rsidR="009C50E1" w:rsidRPr="00FD54E3" w:rsidRDefault="009C50E1" w:rsidP="00FB78C9">
                  <w:pPr>
                    <w:pStyle w:val="TableBodyText"/>
                    <w:tabs>
                      <w:tab w:val="right" w:pos="8789"/>
                    </w:tabs>
                    <w:spacing w:before="40"/>
                    <w:ind w:hanging="737"/>
                  </w:pPr>
                  <w:r w:rsidRPr="00FD54E3">
                    <w:t xml:space="preserve">          36 </w:t>
                  </w:r>
                  <w:r>
                    <w:t>638</w:t>
                  </w:r>
                </w:p>
              </w:tc>
              <w:tc>
                <w:tcPr>
                  <w:tcW w:w="833" w:type="pct"/>
                  <w:shd w:val="clear" w:color="auto" w:fill="auto"/>
                </w:tcPr>
                <w:p w:rsidR="009C50E1" w:rsidRPr="00FD54E3" w:rsidRDefault="009C50E1" w:rsidP="00FB78C9">
                  <w:pPr>
                    <w:pStyle w:val="TableBodyText"/>
                    <w:tabs>
                      <w:tab w:val="right" w:pos="8789"/>
                    </w:tabs>
                    <w:spacing w:before="40"/>
                    <w:ind w:hanging="737"/>
                  </w:pPr>
                  <w:r w:rsidRPr="00FD54E3">
                    <w:t>35 748</w:t>
                  </w:r>
                </w:p>
              </w:tc>
              <w:tc>
                <w:tcPr>
                  <w:tcW w:w="832" w:type="pct"/>
                  <w:shd w:val="clear" w:color="auto" w:fill="auto"/>
                </w:tcPr>
                <w:p w:rsidR="009C50E1" w:rsidRPr="00FD54E3" w:rsidRDefault="009C50E1" w:rsidP="00FB78C9"/>
              </w:tc>
            </w:tr>
            <w:tr w:rsidR="009C50E1" w:rsidTr="0080448B">
              <w:tc>
                <w:tcPr>
                  <w:tcW w:w="2501" w:type="pct"/>
                  <w:shd w:val="clear" w:color="auto" w:fill="auto"/>
                  <w:vAlign w:val="bottom"/>
                </w:tcPr>
                <w:p w:rsidR="009C50E1" w:rsidRPr="00FD54E3" w:rsidRDefault="009C50E1" w:rsidP="009C50E1">
                  <w:pPr>
                    <w:pStyle w:val="TableBodyText"/>
                    <w:tabs>
                      <w:tab w:val="right" w:pos="8789"/>
                    </w:tabs>
                    <w:spacing w:before="40"/>
                    <w:ind w:left="737" w:hanging="737"/>
                    <w:jc w:val="left"/>
                  </w:pPr>
                  <w:r w:rsidRPr="00FD54E3">
                    <w:rPr>
                      <w:b/>
                    </w:rPr>
                    <w:t>S.31 Relevant agency receipts</w:t>
                  </w:r>
                  <w:r w:rsidRPr="00FD54E3">
                    <w:rPr>
                      <w:rStyle w:val="NoteLabel"/>
                    </w:rPr>
                    <w:t>2</w:t>
                  </w:r>
                </w:p>
              </w:tc>
              <w:tc>
                <w:tcPr>
                  <w:tcW w:w="834" w:type="pct"/>
                  <w:tcBorders>
                    <w:bottom w:val="single" w:sz="6" w:space="0" w:color="C8C8C8"/>
                  </w:tcBorders>
                  <w:shd w:val="clear" w:color="auto" w:fill="auto"/>
                </w:tcPr>
                <w:p w:rsidR="009C50E1" w:rsidRPr="00FD54E3" w:rsidRDefault="009C50E1" w:rsidP="00FB78C9">
                  <w:pPr>
                    <w:pStyle w:val="TableBodyText"/>
                    <w:tabs>
                      <w:tab w:val="right" w:pos="8789"/>
                    </w:tabs>
                    <w:spacing w:before="40"/>
                    <w:ind w:hanging="737"/>
                  </w:pPr>
                  <w:r w:rsidRPr="00FD54E3">
                    <w:t xml:space="preserve">              972</w:t>
                  </w:r>
                </w:p>
              </w:tc>
              <w:tc>
                <w:tcPr>
                  <w:tcW w:w="833" w:type="pct"/>
                  <w:tcBorders>
                    <w:bottom w:val="single" w:sz="6" w:space="0" w:color="C8C8C8"/>
                  </w:tcBorders>
                  <w:shd w:val="clear" w:color="auto" w:fill="auto"/>
                </w:tcPr>
                <w:p w:rsidR="009C50E1" w:rsidRPr="00FD54E3" w:rsidRDefault="009C50E1" w:rsidP="00FB78C9">
                  <w:pPr>
                    <w:pStyle w:val="TableBodyText"/>
                    <w:tabs>
                      <w:tab w:val="right" w:pos="8789"/>
                    </w:tabs>
                    <w:spacing w:before="40"/>
                    <w:ind w:hanging="737"/>
                  </w:pPr>
                  <w:r w:rsidRPr="00FD54E3">
                    <w:t>972</w:t>
                  </w:r>
                </w:p>
              </w:tc>
              <w:tc>
                <w:tcPr>
                  <w:tcW w:w="832" w:type="pct"/>
                  <w:tcBorders>
                    <w:bottom w:val="single" w:sz="6" w:space="0" w:color="C8C8C8"/>
                  </w:tcBorders>
                  <w:shd w:val="clear" w:color="auto" w:fill="auto"/>
                </w:tcPr>
                <w:p w:rsidR="009C50E1" w:rsidRPr="00FD54E3" w:rsidRDefault="009C50E1" w:rsidP="00FB78C9"/>
              </w:tc>
            </w:tr>
            <w:tr w:rsidR="009C50E1" w:rsidTr="0080448B">
              <w:tc>
                <w:tcPr>
                  <w:tcW w:w="2501" w:type="pct"/>
                  <w:shd w:val="clear" w:color="auto" w:fill="auto"/>
                  <w:vAlign w:val="bottom"/>
                </w:tcPr>
                <w:p w:rsidR="009C50E1" w:rsidRPr="00FD54E3" w:rsidRDefault="009C50E1" w:rsidP="009C50E1">
                  <w:pPr>
                    <w:pStyle w:val="TableBodyText"/>
                    <w:tabs>
                      <w:tab w:val="right" w:pos="8789"/>
                    </w:tabs>
                    <w:spacing w:before="40"/>
                    <w:ind w:left="737" w:hanging="737"/>
                    <w:jc w:val="left"/>
                  </w:pPr>
                  <w:r w:rsidRPr="00FD54E3">
                    <w:rPr>
                      <w:b/>
                    </w:rPr>
                    <w:t>Total ordinary annual services</w:t>
                  </w:r>
                </w:p>
              </w:tc>
              <w:tc>
                <w:tcPr>
                  <w:tcW w:w="834" w:type="pct"/>
                  <w:tcBorders>
                    <w:top w:val="single" w:sz="6" w:space="0" w:color="C8C8C8"/>
                    <w:bottom w:val="single" w:sz="6" w:space="0" w:color="C8C8C8"/>
                  </w:tcBorders>
                  <w:shd w:val="clear" w:color="auto" w:fill="auto"/>
                </w:tcPr>
                <w:p w:rsidR="009C50E1" w:rsidRPr="00FD54E3" w:rsidRDefault="009C50E1" w:rsidP="00FB78C9">
                  <w:pPr>
                    <w:pStyle w:val="TableBodyText"/>
                    <w:tabs>
                      <w:tab w:val="right" w:pos="8789"/>
                    </w:tabs>
                    <w:spacing w:before="40"/>
                    <w:ind w:hanging="737"/>
                  </w:pPr>
                  <w:r w:rsidRPr="00FD54E3">
                    <w:t>6</w:t>
                  </w:r>
                  <w:r>
                    <w:t>1</w:t>
                  </w:r>
                  <w:r w:rsidRPr="00FD54E3">
                    <w:t xml:space="preserve"> </w:t>
                  </w:r>
                  <w:r>
                    <w:t>181</w:t>
                  </w:r>
                </w:p>
              </w:tc>
              <w:tc>
                <w:tcPr>
                  <w:tcW w:w="833" w:type="pct"/>
                  <w:tcBorders>
                    <w:top w:val="single" w:sz="6" w:space="0" w:color="C8C8C8"/>
                    <w:bottom w:val="single" w:sz="6" w:space="0" w:color="C8C8C8"/>
                  </w:tcBorders>
                  <w:shd w:val="clear" w:color="auto" w:fill="auto"/>
                </w:tcPr>
                <w:p w:rsidR="009C50E1" w:rsidRPr="00FD54E3" w:rsidRDefault="009C50E1" w:rsidP="00FB78C9">
                  <w:pPr>
                    <w:pStyle w:val="TableBodyText"/>
                    <w:tabs>
                      <w:tab w:val="right" w:pos="8789"/>
                    </w:tabs>
                    <w:spacing w:before="40"/>
                    <w:ind w:hanging="737"/>
                  </w:pPr>
                  <w:r w:rsidRPr="00FD54E3">
                    <w:t>36 720</w:t>
                  </w:r>
                </w:p>
              </w:tc>
              <w:tc>
                <w:tcPr>
                  <w:tcW w:w="832" w:type="pct"/>
                  <w:tcBorders>
                    <w:top w:val="single" w:sz="6" w:space="0" w:color="C8C8C8"/>
                    <w:bottom w:val="single" w:sz="6" w:space="0" w:color="C8C8C8"/>
                  </w:tcBorders>
                  <w:shd w:val="clear" w:color="auto" w:fill="auto"/>
                </w:tcPr>
                <w:p w:rsidR="009C50E1" w:rsidRPr="00FD54E3" w:rsidRDefault="009C50E1" w:rsidP="00FB78C9">
                  <w:pPr>
                    <w:pStyle w:val="TableBodyText"/>
                    <w:tabs>
                      <w:tab w:val="right" w:pos="8789"/>
                    </w:tabs>
                    <w:spacing w:before="40"/>
                    <w:ind w:hanging="737"/>
                  </w:pPr>
                  <w:r w:rsidRPr="00FD54E3">
                    <w:t>2</w:t>
                  </w:r>
                  <w:r>
                    <w:t>4</w:t>
                  </w:r>
                  <w:r w:rsidRPr="00FD54E3">
                    <w:t xml:space="preserve"> </w:t>
                  </w:r>
                  <w:r>
                    <w:t>461</w:t>
                  </w:r>
                </w:p>
              </w:tc>
            </w:tr>
            <w:tr w:rsidR="0080448B" w:rsidTr="0080448B">
              <w:tc>
                <w:tcPr>
                  <w:tcW w:w="2501" w:type="pct"/>
                  <w:shd w:val="clear" w:color="auto" w:fill="auto"/>
                  <w:vAlign w:val="center"/>
                </w:tcPr>
                <w:p w:rsidR="0080448B" w:rsidRPr="00FD54E3" w:rsidRDefault="0080448B" w:rsidP="009C50E1">
                  <w:pPr>
                    <w:pStyle w:val="TableBodyText"/>
                    <w:ind w:left="454"/>
                    <w:jc w:val="left"/>
                  </w:pPr>
                </w:p>
              </w:tc>
              <w:tc>
                <w:tcPr>
                  <w:tcW w:w="834" w:type="pct"/>
                  <w:tcBorders>
                    <w:top w:val="single" w:sz="6" w:space="0" w:color="C8C8C8"/>
                    <w:bottom w:val="single" w:sz="6" w:space="0" w:color="C8C8C8"/>
                  </w:tcBorders>
                  <w:shd w:val="clear" w:color="auto" w:fill="auto"/>
                </w:tcPr>
                <w:p w:rsidR="0080448B" w:rsidRPr="00FD54E3" w:rsidRDefault="0080448B" w:rsidP="00FB78C9">
                  <w:pPr>
                    <w:pStyle w:val="TableBodyText"/>
                  </w:pPr>
                </w:p>
              </w:tc>
              <w:tc>
                <w:tcPr>
                  <w:tcW w:w="833" w:type="pct"/>
                  <w:tcBorders>
                    <w:top w:val="single" w:sz="6" w:space="0" w:color="C8C8C8"/>
                    <w:bottom w:val="single" w:sz="6" w:space="0" w:color="C8C8C8"/>
                  </w:tcBorders>
                  <w:shd w:val="clear" w:color="auto" w:fill="auto"/>
                </w:tcPr>
                <w:p w:rsidR="0080448B" w:rsidRPr="00FD54E3" w:rsidRDefault="0080448B" w:rsidP="00FB78C9">
                  <w:pPr>
                    <w:pStyle w:val="TableBodyText"/>
                  </w:pPr>
                </w:p>
              </w:tc>
              <w:tc>
                <w:tcPr>
                  <w:tcW w:w="832" w:type="pct"/>
                  <w:tcBorders>
                    <w:top w:val="single" w:sz="6" w:space="0" w:color="C8C8C8"/>
                    <w:bottom w:val="single" w:sz="6" w:space="0" w:color="C8C8C8"/>
                  </w:tcBorders>
                  <w:shd w:val="clear" w:color="auto" w:fill="auto"/>
                </w:tcPr>
                <w:p w:rsidR="0080448B" w:rsidRPr="00FD54E3" w:rsidRDefault="0080448B" w:rsidP="00FB78C9">
                  <w:pPr>
                    <w:pStyle w:val="TableBodyText"/>
                  </w:pPr>
                </w:p>
              </w:tc>
            </w:tr>
            <w:tr w:rsidR="009C50E1" w:rsidTr="0080448B">
              <w:tc>
                <w:tcPr>
                  <w:tcW w:w="2501" w:type="pct"/>
                  <w:shd w:val="clear" w:color="auto" w:fill="auto"/>
                  <w:vAlign w:val="center"/>
                </w:tcPr>
                <w:p w:rsidR="009C50E1" w:rsidRPr="00FD54E3" w:rsidRDefault="009C50E1" w:rsidP="0080448B">
                  <w:pPr>
                    <w:pStyle w:val="TableBodyText"/>
                    <w:tabs>
                      <w:tab w:val="right" w:pos="8789"/>
                    </w:tabs>
                    <w:spacing w:before="40"/>
                    <w:ind w:left="454" w:hanging="454"/>
                    <w:jc w:val="left"/>
                    <w:rPr>
                      <w:b/>
                    </w:rPr>
                  </w:pPr>
                  <w:r w:rsidRPr="00FD54E3">
                    <w:rPr>
                      <w:b/>
                    </w:rPr>
                    <w:t>Total Resourcing and Payments</w:t>
                  </w:r>
                </w:p>
              </w:tc>
              <w:tc>
                <w:tcPr>
                  <w:tcW w:w="834" w:type="pct"/>
                  <w:tcBorders>
                    <w:top w:val="single" w:sz="6" w:space="0" w:color="C8C8C8"/>
                    <w:bottom w:val="double" w:sz="4" w:space="0" w:color="auto"/>
                  </w:tcBorders>
                  <w:shd w:val="clear" w:color="auto" w:fill="auto"/>
                </w:tcPr>
                <w:p w:rsidR="009C50E1" w:rsidRPr="00FD54E3" w:rsidRDefault="009C50E1" w:rsidP="00FB78C9">
                  <w:pPr>
                    <w:pStyle w:val="TableBodyText"/>
                    <w:tabs>
                      <w:tab w:val="right" w:pos="8789"/>
                    </w:tabs>
                    <w:spacing w:before="40"/>
                    <w:ind w:hanging="737"/>
                    <w:rPr>
                      <w:b/>
                    </w:rPr>
                  </w:pPr>
                  <w:r w:rsidRPr="00FD54E3">
                    <w:rPr>
                      <w:b/>
                    </w:rPr>
                    <w:t>6</w:t>
                  </w:r>
                  <w:r>
                    <w:rPr>
                      <w:b/>
                    </w:rPr>
                    <w:t>1</w:t>
                  </w:r>
                  <w:r w:rsidRPr="00FD54E3">
                    <w:rPr>
                      <w:b/>
                    </w:rPr>
                    <w:t xml:space="preserve"> </w:t>
                  </w:r>
                  <w:r>
                    <w:rPr>
                      <w:b/>
                    </w:rPr>
                    <w:t>181</w:t>
                  </w:r>
                </w:p>
              </w:tc>
              <w:tc>
                <w:tcPr>
                  <w:tcW w:w="833" w:type="pct"/>
                  <w:tcBorders>
                    <w:top w:val="single" w:sz="6" w:space="0" w:color="C8C8C8"/>
                    <w:bottom w:val="double" w:sz="4" w:space="0" w:color="auto"/>
                  </w:tcBorders>
                  <w:shd w:val="clear" w:color="auto" w:fill="auto"/>
                </w:tcPr>
                <w:p w:rsidR="009C50E1" w:rsidRPr="00FD54E3" w:rsidRDefault="009C50E1" w:rsidP="00FB78C9">
                  <w:pPr>
                    <w:pStyle w:val="TableBodyText"/>
                    <w:tabs>
                      <w:tab w:val="right" w:pos="8789"/>
                    </w:tabs>
                    <w:spacing w:before="40"/>
                    <w:ind w:hanging="737"/>
                    <w:rPr>
                      <w:b/>
                    </w:rPr>
                  </w:pPr>
                  <w:r w:rsidRPr="00FD54E3">
                    <w:rPr>
                      <w:b/>
                    </w:rPr>
                    <w:t>36 720</w:t>
                  </w:r>
                </w:p>
              </w:tc>
              <w:tc>
                <w:tcPr>
                  <w:tcW w:w="832" w:type="pct"/>
                  <w:tcBorders>
                    <w:top w:val="single" w:sz="6" w:space="0" w:color="C8C8C8"/>
                    <w:bottom w:val="double" w:sz="4" w:space="0" w:color="auto"/>
                  </w:tcBorders>
                  <w:shd w:val="clear" w:color="auto" w:fill="auto"/>
                </w:tcPr>
                <w:p w:rsidR="009C50E1" w:rsidRPr="00FD54E3" w:rsidRDefault="009C50E1" w:rsidP="00FB78C9">
                  <w:pPr>
                    <w:pStyle w:val="TableBodyText"/>
                    <w:tabs>
                      <w:tab w:val="right" w:pos="8789"/>
                    </w:tabs>
                    <w:spacing w:before="40"/>
                    <w:ind w:hanging="737"/>
                    <w:rPr>
                      <w:b/>
                    </w:rPr>
                  </w:pPr>
                  <w:r w:rsidRPr="00FD54E3">
                    <w:rPr>
                      <w:b/>
                    </w:rPr>
                    <w:t>2</w:t>
                  </w:r>
                  <w:r>
                    <w:rPr>
                      <w:b/>
                    </w:rPr>
                    <w:t>4</w:t>
                  </w:r>
                  <w:r w:rsidRPr="00FD54E3">
                    <w:rPr>
                      <w:b/>
                    </w:rPr>
                    <w:t xml:space="preserve"> </w:t>
                  </w:r>
                  <w:r>
                    <w:rPr>
                      <w:b/>
                    </w:rPr>
                    <w:t>461</w:t>
                  </w:r>
                </w:p>
              </w:tc>
            </w:tr>
            <w:tr w:rsidR="0080448B" w:rsidTr="0080448B">
              <w:trPr>
                <w:trHeight w:val="113"/>
              </w:trPr>
              <w:tc>
                <w:tcPr>
                  <w:tcW w:w="2501" w:type="pct"/>
                  <w:tcBorders>
                    <w:bottom w:val="single" w:sz="6" w:space="0" w:color="C8C8C8"/>
                  </w:tcBorders>
                  <w:shd w:val="clear" w:color="auto" w:fill="auto"/>
                  <w:vAlign w:val="center"/>
                </w:tcPr>
                <w:p w:rsidR="0080448B" w:rsidRPr="00FD54E3" w:rsidRDefault="0080448B" w:rsidP="0080448B">
                  <w:pPr>
                    <w:pStyle w:val="TableBodyText"/>
                    <w:tabs>
                      <w:tab w:val="right" w:pos="8789"/>
                    </w:tabs>
                    <w:spacing w:before="40"/>
                    <w:ind w:left="454" w:hanging="454"/>
                    <w:jc w:val="left"/>
                    <w:rPr>
                      <w:b/>
                    </w:rPr>
                  </w:pPr>
                </w:p>
              </w:tc>
              <w:tc>
                <w:tcPr>
                  <w:tcW w:w="834" w:type="pct"/>
                  <w:tcBorders>
                    <w:top w:val="double" w:sz="4" w:space="0" w:color="auto"/>
                    <w:bottom w:val="single" w:sz="6" w:space="0" w:color="C8C8C8"/>
                  </w:tcBorders>
                  <w:shd w:val="clear" w:color="auto" w:fill="auto"/>
                </w:tcPr>
                <w:p w:rsidR="0080448B" w:rsidRPr="00FD54E3" w:rsidRDefault="0080448B" w:rsidP="00FB78C9">
                  <w:pPr>
                    <w:pStyle w:val="TableBodyText"/>
                    <w:tabs>
                      <w:tab w:val="right" w:pos="8789"/>
                    </w:tabs>
                    <w:spacing w:before="40"/>
                    <w:ind w:hanging="737"/>
                    <w:rPr>
                      <w:b/>
                    </w:rPr>
                  </w:pPr>
                </w:p>
              </w:tc>
              <w:tc>
                <w:tcPr>
                  <w:tcW w:w="833" w:type="pct"/>
                  <w:tcBorders>
                    <w:top w:val="double" w:sz="4" w:space="0" w:color="auto"/>
                    <w:bottom w:val="single" w:sz="6" w:space="0" w:color="C8C8C8"/>
                  </w:tcBorders>
                  <w:shd w:val="clear" w:color="auto" w:fill="auto"/>
                </w:tcPr>
                <w:p w:rsidR="0080448B" w:rsidRPr="00FD54E3" w:rsidRDefault="0080448B" w:rsidP="00FB78C9">
                  <w:pPr>
                    <w:pStyle w:val="TableBodyText"/>
                    <w:tabs>
                      <w:tab w:val="right" w:pos="8789"/>
                    </w:tabs>
                    <w:spacing w:before="40"/>
                    <w:ind w:hanging="737"/>
                    <w:rPr>
                      <w:b/>
                    </w:rPr>
                  </w:pPr>
                </w:p>
              </w:tc>
              <w:tc>
                <w:tcPr>
                  <w:tcW w:w="832" w:type="pct"/>
                  <w:tcBorders>
                    <w:top w:val="double" w:sz="4" w:space="0" w:color="auto"/>
                    <w:bottom w:val="single" w:sz="6" w:space="0" w:color="C8C8C8"/>
                  </w:tcBorders>
                  <w:shd w:val="clear" w:color="auto" w:fill="auto"/>
                </w:tcPr>
                <w:p w:rsidR="0080448B" w:rsidRPr="00FD54E3" w:rsidRDefault="0080448B" w:rsidP="00FB78C9">
                  <w:pPr>
                    <w:pStyle w:val="TableBodyText"/>
                    <w:tabs>
                      <w:tab w:val="right" w:pos="8789"/>
                    </w:tabs>
                    <w:spacing w:before="40"/>
                    <w:ind w:hanging="737"/>
                    <w:rPr>
                      <w:b/>
                    </w:rPr>
                  </w:pPr>
                </w:p>
              </w:tc>
            </w:tr>
          </w:tbl>
          <w:p w:rsidR="00862B6D" w:rsidRDefault="00862B6D" w:rsidP="00FB78C9">
            <w:pPr>
              <w:pStyle w:val="Box"/>
            </w:pPr>
          </w:p>
        </w:tc>
      </w:tr>
      <w:tr w:rsidR="00862B6D" w:rsidTr="009C50E1">
        <w:trPr>
          <w:cantSplit/>
        </w:trPr>
        <w:tc>
          <w:tcPr>
            <w:tcW w:w="8771" w:type="dxa"/>
            <w:tcBorders>
              <w:top w:val="nil"/>
              <w:left w:val="nil"/>
              <w:bottom w:val="nil"/>
              <w:right w:val="nil"/>
            </w:tcBorders>
            <w:shd w:val="clear" w:color="auto" w:fill="auto"/>
          </w:tcPr>
          <w:p w:rsidR="009C50E1" w:rsidRPr="00FD54E3" w:rsidRDefault="009C50E1" w:rsidP="009C50E1">
            <w:pPr>
              <w:pStyle w:val="Note"/>
              <w:tabs>
                <w:tab w:val="right" w:pos="8789"/>
              </w:tabs>
              <w:ind w:left="737" w:right="851" w:hanging="737"/>
            </w:pPr>
            <w:r w:rsidRPr="00FD54E3">
              <w:rPr>
                <w:rStyle w:val="NoteLabel"/>
              </w:rPr>
              <w:t xml:space="preserve">1 </w:t>
            </w:r>
            <w:r w:rsidRPr="00FD54E3">
              <w:t>Appropriation Bill (No.1) 201</w:t>
            </w:r>
            <w:r>
              <w:t>3</w:t>
            </w:r>
            <w:r w:rsidRPr="00FD54E3">
              <w:t>-1</w:t>
            </w:r>
            <w:r>
              <w:t>4</w:t>
            </w:r>
            <w:r w:rsidRPr="00FD54E3">
              <w:t xml:space="preserve"> and Appropriation Bill (No.3) 201</w:t>
            </w:r>
            <w:r>
              <w:t>3-14</w:t>
            </w:r>
            <w:r w:rsidRPr="00FD54E3">
              <w:t>.</w:t>
            </w:r>
          </w:p>
          <w:p w:rsidR="00862B6D" w:rsidRDefault="009C50E1" w:rsidP="009C50E1">
            <w:pPr>
              <w:pStyle w:val="Note"/>
              <w:rPr>
                <w:i/>
              </w:rPr>
            </w:pPr>
            <w:r w:rsidRPr="00FD54E3">
              <w:rPr>
                <w:rStyle w:val="NoteLabel"/>
              </w:rPr>
              <w:t xml:space="preserve">2 </w:t>
            </w:r>
            <w:r w:rsidRPr="00FD54E3">
              <w:t xml:space="preserve">Receipts received under section 31 of the </w:t>
            </w:r>
            <w:r w:rsidRPr="00FD54E3">
              <w:rPr>
                <w:i/>
              </w:rPr>
              <w:t>Financial Management and Accountability Act 1997.</w:t>
            </w:r>
          </w:p>
        </w:tc>
      </w:tr>
      <w:tr w:rsidR="00862B6D" w:rsidTr="009C50E1">
        <w:trPr>
          <w:cantSplit/>
        </w:trPr>
        <w:tc>
          <w:tcPr>
            <w:tcW w:w="8771" w:type="dxa"/>
            <w:tcBorders>
              <w:top w:val="nil"/>
              <w:left w:val="nil"/>
              <w:bottom w:val="single" w:sz="6" w:space="0" w:color="78A22F"/>
              <w:right w:val="nil"/>
            </w:tcBorders>
            <w:shd w:val="clear" w:color="auto" w:fill="auto"/>
          </w:tcPr>
          <w:p w:rsidR="00862B6D" w:rsidRDefault="00862B6D" w:rsidP="00FB78C9">
            <w:pPr>
              <w:pStyle w:val="Box"/>
              <w:spacing w:before="0" w:line="120" w:lineRule="exact"/>
            </w:pPr>
          </w:p>
        </w:tc>
      </w:tr>
      <w:tr w:rsidR="00862B6D" w:rsidRPr="000863A5" w:rsidTr="009C50E1">
        <w:tc>
          <w:tcPr>
            <w:tcW w:w="8771" w:type="dxa"/>
            <w:tcBorders>
              <w:top w:val="single" w:sz="6" w:space="0" w:color="78A22F"/>
              <w:left w:val="nil"/>
              <w:bottom w:val="nil"/>
              <w:right w:val="nil"/>
            </w:tcBorders>
          </w:tcPr>
          <w:p w:rsidR="00862B6D" w:rsidRPr="00626D32" w:rsidRDefault="00862B6D" w:rsidP="00FB78C9">
            <w:pPr>
              <w:pStyle w:val="BoxSpaceBelow"/>
            </w:pPr>
          </w:p>
        </w:tc>
      </w:tr>
    </w:tbl>
    <w:p w:rsidR="003F7562" w:rsidRDefault="003F7562" w:rsidP="00CB7A1E">
      <w:pPr>
        <w:pStyle w:val="Heading2"/>
        <w:spacing w:before="240"/>
      </w:pPr>
      <w:r w:rsidRPr="00776E25">
        <w:br w:type="page"/>
      </w:r>
      <w:r w:rsidRPr="00776E25">
        <w:lastRenderedPageBreak/>
        <w:t xml:space="preserve">Attachment </w:t>
      </w:r>
      <w:r w:rsidR="00357BE4">
        <w:t>A</w:t>
      </w:r>
      <w:r w:rsidRPr="00776E25">
        <w:t xml:space="preserve">3 </w:t>
      </w:r>
    </w:p>
    <w:p w:rsidR="001C4643" w:rsidRPr="00776E25" w:rsidRDefault="008D05F0" w:rsidP="00232CE9">
      <w:pPr>
        <w:pStyle w:val="BodyText"/>
      </w:pPr>
      <w:r w:rsidRPr="002922CE">
        <w:rPr>
          <w:noProof/>
        </w:rPr>
        <w:drawing>
          <wp:inline distT="0" distB="0" distL="0" distR="0" wp14:anchorId="7A5C8F68" wp14:editId="4BF6840A">
            <wp:extent cx="5581015" cy="6414135"/>
            <wp:effectExtent l="0" t="0" r="635" b="5715"/>
            <wp:docPr id="3" name="Picture 3" descr="Annual Report 2013-14 Fraud Control Certifi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581015" cy="6414135"/>
                    </a:xfrm>
                    <a:prstGeom prst="rect">
                      <a:avLst/>
                    </a:prstGeom>
                  </pic:spPr>
                </pic:pic>
              </a:graphicData>
            </a:graphic>
          </wp:inline>
        </w:drawing>
      </w:r>
    </w:p>
    <w:p w:rsidR="00330930" w:rsidRPr="00776E25" w:rsidRDefault="00BD38F2" w:rsidP="00CB7A1E">
      <w:pPr>
        <w:pStyle w:val="Heading2"/>
        <w:spacing w:before="240"/>
      </w:pPr>
      <w:r w:rsidRPr="00776E25">
        <w:br w:type="page"/>
      </w:r>
      <w:r w:rsidR="00330930" w:rsidRPr="00776E25">
        <w:lastRenderedPageBreak/>
        <w:t xml:space="preserve">Attachment </w:t>
      </w:r>
      <w:r w:rsidR="00357BE4">
        <w:t>A4</w:t>
      </w:r>
      <w:r w:rsidR="00330930" w:rsidRPr="00776E25">
        <w:t xml:space="preserve"> </w:t>
      </w:r>
    </w:p>
    <w:p w:rsidR="00330930" w:rsidRPr="0038649F" w:rsidRDefault="00330930" w:rsidP="00330930">
      <w:pPr>
        <w:pStyle w:val="Heading3"/>
      </w:pPr>
      <w:r w:rsidRPr="0038649F">
        <w:t>Compliance index</w:t>
      </w:r>
    </w:p>
    <w:tbl>
      <w:tblPr>
        <w:tblW w:w="0" w:type="auto"/>
        <w:tblCellMar>
          <w:left w:w="0" w:type="dxa"/>
          <w:right w:w="0" w:type="dxa"/>
        </w:tblCellMar>
        <w:tblLook w:val="0000" w:firstRow="0" w:lastRow="0" w:firstColumn="0" w:lastColumn="0" w:noHBand="0" w:noVBand="0"/>
      </w:tblPr>
      <w:tblGrid>
        <w:gridCol w:w="6521"/>
        <w:gridCol w:w="2268"/>
      </w:tblGrid>
      <w:tr w:rsidR="002E352D" w:rsidRPr="00776E25" w:rsidTr="002E352D">
        <w:tc>
          <w:tcPr>
            <w:tcW w:w="0" w:type="auto"/>
            <w:gridSpan w:val="2"/>
          </w:tcPr>
          <w:p w:rsidR="002E352D" w:rsidRPr="0038649F" w:rsidRDefault="002E352D" w:rsidP="00FB78C9">
            <w:pPr>
              <w:pStyle w:val="TableBodyText"/>
              <w:spacing w:before="120" w:after="0"/>
              <w:jc w:val="left"/>
              <w:rPr>
                <w:b/>
                <w:i/>
              </w:rPr>
            </w:pPr>
            <w:r w:rsidRPr="0038649F">
              <w:rPr>
                <w:b/>
                <w:i/>
              </w:rPr>
              <w:t>Compliance with the Joint Committee of Public Accounts and Audit requirements for annual reports</w:t>
            </w:r>
          </w:p>
        </w:tc>
      </w:tr>
      <w:tr w:rsidR="002E352D" w:rsidRPr="00776E25" w:rsidTr="00FB78C9">
        <w:tc>
          <w:tcPr>
            <w:tcW w:w="6521" w:type="dxa"/>
          </w:tcPr>
          <w:p w:rsidR="002E352D" w:rsidRPr="00306DDA" w:rsidRDefault="002E352D" w:rsidP="00FB78C9">
            <w:pPr>
              <w:pStyle w:val="TableBodyText"/>
              <w:tabs>
                <w:tab w:val="left" w:pos="426"/>
                <w:tab w:val="left" w:pos="815"/>
              </w:tabs>
              <w:spacing w:before="240"/>
              <w:jc w:val="left"/>
            </w:pPr>
          </w:p>
        </w:tc>
        <w:tc>
          <w:tcPr>
            <w:tcW w:w="2268" w:type="dxa"/>
          </w:tcPr>
          <w:p w:rsidR="002E352D" w:rsidRPr="00306DDA" w:rsidRDefault="002E352D" w:rsidP="00FB78C9">
            <w:pPr>
              <w:pStyle w:val="TableBodyText"/>
              <w:spacing w:before="240"/>
              <w:rPr>
                <w:i/>
              </w:rPr>
            </w:pPr>
            <w:r w:rsidRPr="00306DDA">
              <w:rPr>
                <w:i/>
              </w:rPr>
              <w:t>page</w:t>
            </w:r>
          </w:p>
        </w:tc>
      </w:tr>
      <w:tr w:rsidR="002E352D" w:rsidRPr="00776E25" w:rsidTr="00FB78C9">
        <w:tc>
          <w:tcPr>
            <w:tcW w:w="6521" w:type="dxa"/>
          </w:tcPr>
          <w:p w:rsidR="002E352D" w:rsidRPr="00306DDA" w:rsidRDefault="002E352D" w:rsidP="00FB78C9">
            <w:pPr>
              <w:pStyle w:val="TableBodyText"/>
              <w:tabs>
                <w:tab w:val="left" w:pos="426"/>
                <w:tab w:val="left" w:pos="815"/>
              </w:tabs>
              <w:spacing w:before="120"/>
              <w:jc w:val="left"/>
            </w:pPr>
            <w:r w:rsidRPr="00306DDA">
              <w:t>Letter of transmittal</w:t>
            </w:r>
          </w:p>
        </w:tc>
        <w:tc>
          <w:tcPr>
            <w:tcW w:w="2268" w:type="dxa"/>
          </w:tcPr>
          <w:p w:rsidR="002E352D" w:rsidRPr="00306DDA" w:rsidRDefault="00F93DA6" w:rsidP="00FB78C9">
            <w:pPr>
              <w:pStyle w:val="TableBodyText"/>
              <w:spacing w:before="120"/>
            </w:pPr>
            <w:r>
              <w:t>III</w:t>
            </w:r>
          </w:p>
        </w:tc>
      </w:tr>
      <w:tr w:rsidR="002E352D" w:rsidRPr="00776E25" w:rsidTr="00FB78C9">
        <w:tc>
          <w:tcPr>
            <w:tcW w:w="6521" w:type="dxa"/>
          </w:tcPr>
          <w:p w:rsidR="002E352D" w:rsidRPr="00306DDA" w:rsidRDefault="002E352D" w:rsidP="00FB78C9">
            <w:pPr>
              <w:pStyle w:val="TableBodyText"/>
              <w:tabs>
                <w:tab w:val="left" w:pos="426"/>
                <w:tab w:val="left" w:pos="815"/>
              </w:tabs>
              <w:spacing w:before="120"/>
              <w:jc w:val="left"/>
            </w:pPr>
            <w:r w:rsidRPr="00306DDA">
              <w:t>Table of contents</w:t>
            </w:r>
          </w:p>
        </w:tc>
        <w:tc>
          <w:tcPr>
            <w:tcW w:w="2268" w:type="dxa"/>
          </w:tcPr>
          <w:p w:rsidR="002E352D" w:rsidRPr="00306DDA" w:rsidRDefault="00F93DA6" w:rsidP="00FB78C9">
            <w:pPr>
              <w:pStyle w:val="TableBodyText"/>
              <w:spacing w:before="120"/>
            </w:pPr>
            <w:r>
              <w:t>IX</w:t>
            </w:r>
          </w:p>
        </w:tc>
      </w:tr>
      <w:tr w:rsidR="002E352D" w:rsidRPr="00776E25" w:rsidTr="00FB78C9">
        <w:tc>
          <w:tcPr>
            <w:tcW w:w="6521" w:type="dxa"/>
          </w:tcPr>
          <w:p w:rsidR="002E352D" w:rsidRPr="00306DDA" w:rsidRDefault="002E352D" w:rsidP="00FB78C9">
            <w:pPr>
              <w:pStyle w:val="TableBodyText"/>
              <w:tabs>
                <w:tab w:val="left" w:pos="426"/>
                <w:tab w:val="left" w:pos="815"/>
              </w:tabs>
              <w:spacing w:before="120"/>
              <w:jc w:val="left"/>
            </w:pPr>
            <w:r w:rsidRPr="00306DDA">
              <w:t>Index</w:t>
            </w:r>
          </w:p>
        </w:tc>
        <w:tc>
          <w:tcPr>
            <w:tcW w:w="2268" w:type="dxa"/>
          </w:tcPr>
          <w:p w:rsidR="002E352D" w:rsidRPr="00306DDA" w:rsidRDefault="00F93DA6" w:rsidP="00FB78C9">
            <w:pPr>
              <w:pStyle w:val="TableBodyText"/>
              <w:spacing w:before="120"/>
            </w:pPr>
            <w:r>
              <w:t>189</w:t>
            </w:r>
          </w:p>
        </w:tc>
      </w:tr>
      <w:tr w:rsidR="002E352D" w:rsidRPr="00776E25" w:rsidTr="00FB78C9">
        <w:tc>
          <w:tcPr>
            <w:tcW w:w="6521" w:type="dxa"/>
          </w:tcPr>
          <w:p w:rsidR="002E352D" w:rsidRPr="00306DDA" w:rsidRDefault="002E352D" w:rsidP="00FB78C9">
            <w:pPr>
              <w:pStyle w:val="TableBodyText"/>
              <w:tabs>
                <w:tab w:val="left" w:pos="426"/>
                <w:tab w:val="left" w:pos="815"/>
              </w:tabs>
              <w:spacing w:before="120"/>
              <w:jc w:val="left"/>
            </w:pPr>
            <w:r>
              <w:t>Glossary</w:t>
            </w:r>
          </w:p>
        </w:tc>
        <w:tc>
          <w:tcPr>
            <w:tcW w:w="2268" w:type="dxa"/>
          </w:tcPr>
          <w:p w:rsidR="002E352D" w:rsidRPr="00306DDA" w:rsidRDefault="00FA0E6B" w:rsidP="00FB78C9">
            <w:pPr>
              <w:pStyle w:val="TableBodyText"/>
              <w:spacing w:before="120"/>
            </w:pPr>
            <w:r>
              <w:t>X</w:t>
            </w:r>
          </w:p>
        </w:tc>
      </w:tr>
      <w:tr w:rsidR="002E352D" w:rsidRPr="00776E25" w:rsidTr="00FB78C9">
        <w:tc>
          <w:tcPr>
            <w:tcW w:w="6521" w:type="dxa"/>
          </w:tcPr>
          <w:p w:rsidR="002E352D" w:rsidRPr="00306DDA" w:rsidRDefault="002E352D" w:rsidP="00FB78C9">
            <w:pPr>
              <w:pStyle w:val="TableBodyText"/>
              <w:tabs>
                <w:tab w:val="left" w:pos="426"/>
                <w:tab w:val="left" w:pos="815"/>
              </w:tabs>
              <w:spacing w:before="120"/>
              <w:jc w:val="left"/>
            </w:pPr>
            <w:r w:rsidRPr="00306DDA">
              <w:t>Contact officer</w:t>
            </w:r>
          </w:p>
        </w:tc>
        <w:tc>
          <w:tcPr>
            <w:tcW w:w="2268" w:type="dxa"/>
          </w:tcPr>
          <w:p w:rsidR="002E352D" w:rsidRPr="00306DDA" w:rsidRDefault="003F45EE" w:rsidP="00FB78C9">
            <w:pPr>
              <w:pStyle w:val="TableBodyText"/>
              <w:spacing w:before="120"/>
            </w:pPr>
            <w:r>
              <w:t>34</w:t>
            </w:r>
          </w:p>
        </w:tc>
      </w:tr>
      <w:tr w:rsidR="002E352D" w:rsidRPr="00776E25" w:rsidTr="00FB78C9">
        <w:tc>
          <w:tcPr>
            <w:tcW w:w="6521" w:type="dxa"/>
          </w:tcPr>
          <w:p w:rsidR="002E352D" w:rsidRPr="00306DDA" w:rsidRDefault="002E352D" w:rsidP="00FB78C9">
            <w:pPr>
              <w:pStyle w:val="TableBodyText"/>
              <w:tabs>
                <w:tab w:val="left" w:pos="426"/>
                <w:tab w:val="left" w:pos="815"/>
              </w:tabs>
              <w:spacing w:before="120"/>
              <w:jc w:val="left"/>
            </w:pPr>
            <w:proofErr w:type="spellStart"/>
            <w:r w:rsidRPr="00306DDA">
              <w:t>Internet</w:t>
            </w:r>
            <w:proofErr w:type="spellEnd"/>
            <w:r w:rsidRPr="00306DDA">
              <w:t xml:space="preserve"> addresses</w:t>
            </w:r>
          </w:p>
        </w:tc>
        <w:tc>
          <w:tcPr>
            <w:tcW w:w="2268" w:type="dxa"/>
          </w:tcPr>
          <w:p w:rsidR="002E352D" w:rsidRPr="00306DDA" w:rsidRDefault="004A4528" w:rsidP="00FB78C9">
            <w:pPr>
              <w:pStyle w:val="TableBodyText"/>
              <w:spacing w:before="120"/>
            </w:pPr>
            <w:r>
              <w:t>34</w:t>
            </w:r>
          </w:p>
        </w:tc>
      </w:tr>
      <w:tr w:rsidR="002E352D" w:rsidRPr="00776E25" w:rsidTr="00FB78C9">
        <w:tc>
          <w:tcPr>
            <w:tcW w:w="6521" w:type="dxa"/>
          </w:tcPr>
          <w:p w:rsidR="002E352D" w:rsidRPr="00306DDA" w:rsidRDefault="002E352D" w:rsidP="00FB78C9">
            <w:pPr>
              <w:pStyle w:val="TableBodyText"/>
              <w:tabs>
                <w:tab w:val="left" w:pos="426"/>
                <w:tab w:val="left" w:pos="815"/>
              </w:tabs>
              <w:spacing w:before="120"/>
              <w:jc w:val="left"/>
            </w:pPr>
            <w:r w:rsidRPr="00306DDA">
              <w:t>Review</w:t>
            </w:r>
          </w:p>
        </w:tc>
        <w:tc>
          <w:tcPr>
            <w:tcW w:w="2268" w:type="dxa"/>
          </w:tcPr>
          <w:p w:rsidR="002E352D" w:rsidRPr="00306DDA" w:rsidRDefault="002E352D" w:rsidP="00FB78C9">
            <w:pPr>
              <w:pStyle w:val="TableBodyText"/>
              <w:spacing w:before="120"/>
            </w:pPr>
          </w:p>
        </w:tc>
      </w:tr>
      <w:tr w:rsidR="002E352D" w:rsidRPr="00776E25" w:rsidTr="00FB78C9">
        <w:tc>
          <w:tcPr>
            <w:tcW w:w="6521" w:type="dxa"/>
          </w:tcPr>
          <w:p w:rsidR="002E352D" w:rsidRPr="00306DDA" w:rsidRDefault="002E352D" w:rsidP="00FB78C9">
            <w:pPr>
              <w:pStyle w:val="TableBodyText"/>
              <w:tabs>
                <w:tab w:val="left" w:pos="426"/>
                <w:tab w:val="left" w:pos="815"/>
              </w:tabs>
              <w:spacing w:before="40"/>
              <w:jc w:val="left"/>
            </w:pPr>
            <w:r w:rsidRPr="00306DDA">
              <w:tab/>
              <w:t>Review by the Chair and Commissioners</w:t>
            </w:r>
          </w:p>
        </w:tc>
        <w:tc>
          <w:tcPr>
            <w:tcW w:w="2268" w:type="dxa"/>
          </w:tcPr>
          <w:p w:rsidR="002E352D" w:rsidRPr="00306DDA" w:rsidRDefault="00B6558A" w:rsidP="00FB78C9">
            <w:pPr>
              <w:pStyle w:val="TableBodyText"/>
              <w:spacing w:before="40"/>
            </w:pPr>
            <w:r>
              <w:t>1-17</w:t>
            </w:r>
          </w:p>
        </w:tc>
      </w:tr>
      <w:tr w:rsidR="002E352D" w:rsidRPr="00776E25" w:rsidTr="00FB78C9">
        <w:tc>
          <w:tcPr>
            <w:tcW w:w="6521" w:type="dxa"/>
          </w:tcPr>
          <w:p w:rsidR="002E352D" w:rsidRPr="00306DDA" w:rsidRDefault="002E352D" w:rsidP="00FB78C9">
            <w:pPr>
              <w:pStyle w:val="TableBodyText"/>
              <w:tabs>
                <w:tab w:val="left" w:pos="426"/>
                <w:tab w:val="left" w:pos="815"/>
              </w:tabs>
              <w:spacing w:before="40"/>
              <w:jc w:val="left"/>
            </w:pPr>
            <w:r w:rsidRPr="00306DDA">
              <w:tab/>
              <w:t>Role and functions of the Commission</w:t>
            </w:r>
          </w:p>
        </w:tc>
        <w:tc>
          <w:tcPr>
            <w:tcW w:w="2268" w:type="dxa"/>
          </w:tcPr>
          <w:p w:rsidR="002E352D" w:rsidRPr="00306DDA" w:rsidRDefault="001E38CE" w:rsidP="00FB78C9">
            <w:pPr>
              <w:pStyle w:val="TableBodyText"/>
              <w:spacing w:before="40"/>
            </w:pPr>
            <w:r>
              <w:t>19</w:t>
            </w:r>
          </w:p>
        </w:tc>
      </w:tr>
      <w:tr w:rsidR="002E352D" w:rsidRPr="00776E25" w:rsidTr="00FB78C9">
        <w:tc>
          <w:tcPr>
            <w:tcW w:w="6521" w:type="dxa"/>
          </w:tcPr>
          <w:p w:rsidR="002E352D" w:rsidRPr="00306DDA" w:rsidRDefault="002E352D" w:rsidP="00FB78C9">
            <w:pPr>
              <w:pStyle w:val="TableBodyText"/>
              <w:tabs>
                <w:tab w:val="left" w:pos="426"/>
                <w:tab w:val="left" w:pos="815"/>
              </w:tabs>
              <w:spacing w:before="40"/>
              <w:jc w:val="left"/>
            </w:pPr>
            <w:r w:rsidRPr="00306DDA">
              <w:tab/>
              <w:t>Organisational structure</w:t>
            </w:r>
          </w:p>
        </w:tc>
        <w:tc>
          <w:tcPr>
            <w:tcW w:w="2268" w:type="dxa"/>
          </w:tcPr>
          <w:p w:rsidR="002E352D" w:rsidRPr="00306DDA" w:rsidRDefault="0016616F" w:rsidP="00FB78C9">
            <w:pPr>
              <w:pStyle w:val="TableBodyText"/>
              <w:spacing w:before="40"/>
            </w:pPr>
            <w:r>
              <w:t>20</w:t>
            </w:r>
          </w:p>
        </w:tc>
      </w:tr>
      <w:tr w:rsidR="002E352D" w:rsidRPr="00776E25" w:rsidTr="00FB78C9">
        <w:tc>
          <w:tcPr>
            <w:tcW w:w="6521" w:type="dxa"/>
          </w:tcPr>
          <w:p w:rsidR="002E352D" w:rsidRPr="00306DDA" w:rsidRDefault="002E352D" w:rsidP="00FB78C9">
            <w:pPr>
              <w:pStyle w:val="TableBodyText"/>
              <w:tabs>
                <w:tab w:val="left" w:pos="426"/>
                <w:tab w:val="left" w:pos="815"/>
              </w:tabs>
              <w:spacing w:before="40"/>
              <w:jc w:val="left"/>
            </w:pPr>
            <w:r w:rsidRPr="00306DDA">
              <w:tab/>
              <w:t xml:space="preserve">Outcome and </w:t>
            </w:r>
            <w:r>
              <w:t xml:space="preserve">outputs </w:t>
            </w:r>
            <w:r w:rsidRPr="00306DDA">
              <w:t>structure</w:t>
            </w:r>
          </w:p>
        </w:tc>
        <w:tc>
          <w:tcPr>
            <w:tcW w:w="2268" w:type="dxa"/>
          </w:tcPr>
          <w:p w:rsidR="002E352D" w:rsidRPr="00306DDA" w:rsidRDefault="00D82DD2" w:rsidP="00FB78C9">
            <w:pPr>
              <w:pStyle w:val="TableBodyText"/>
              <w:spacing w:before="40"/>
            </w:pPr>
            <w:r>
              <w:t>44</w:t>
            </w:r>
          </w:p>
        </w:tc>
      </w:tr>
      <w:tr w:rsidR="002E352D" w:rsidRPr="00776E25" w:rsidTr="00FB78C9">
        <w:tc>
          <w:tcPr>
            <w:tcW w:w="6521" w:type="dxa"/>
          </w:tcPr>
          <w:p w:rsidR="002E352D" w:rsidRPr="00306DDA" w:rsidRDefault="002E352D" w:rsidP="00FB78C9">
            <w:pPr>
              <w:pStyle w:val="TableBodyText"/>
              <w:tabs>
                <w:tab w:val="left" w:pos="426"/>
                <w:tab w:val="left" w:pos="815"/>
              </w:tabs>
              <w:spacing w:before="40"/>
              <w:jc w:val="left"/>
            </w:pPr>
            <w:r w:rsidRPr="00306DDA">
              <w:tab/>
              <w:t>Where outcome and output structures differ from PBS format</w:t>
            </w:r>
          </w:p>
        </w:tc>
        <w:tc>
          <w:tcPr>
            <w:tcW w:w="2268" w:type="dxa"/>
          </w:tcPr>
          <w:p w:rsidR="002E352D" w:rsidRPr="00306DDA" w:rsidRDefault="002E352D" w:rsidP="00FB78C9">
            <w:pPr>
              <w:pStyle w:val="TableBodyText"/>
              <w:spacing w:before="40"/>
            </w:pPr>
            <w:proofErr w:type="spellStart"/>
            <w:r>
              <w:t>n.a</w:t>
            </w:r>
            <w:proofErr w:type="spellEnd"/>
            <w:r>
              <w:t>.</w:t>
            </w:r>
          </w:p>
        </w:tc>
      </w:tr>
      <w:tr w:rsidR="002E352D" w:rsidRPr="00776E25" w:rsidTr="00FB78C9">
        <w:tc>
          <w:tcPr>
            <w:tcW w:w="6521" w:type="dxa"/>
          </w:tcPr>
          <w:p w:rsidR="002E352D" w:rsidRPr="00306DDA" w:rsidRDefault="002E352D" w:rsidP="00FB78C9">
            <w:pPr>
              <w:pStyle w:val="TableBodyText"/>
              <w:tabs>
                <w:tab w:val="left" w:pos="426"/>
                <w:tab w:val="left" w:pos="815"/>
              </w:tabs>
              <w:spacing w:before="120"/>
              <w:jc w:val="left"/>
            </w:pPr>
            <w:r w:rsidRPr="00306DDA">
              <w:t>Report on performance</w:t>
            </w:r>
          </w:p>
        </w:tc>
        <w:tc>
          <w:tcPr>
            <w:tcW w:w="2268" w:type="dxa"/>
          </w:tcPr>
          <w:p w:rsidR="002E352D" w:rsidRPr="00306DDA" w:rsidRDefault="002E352D" w:rsidP="00FB78C9">
            <w:pPr>
              <w:pStyle w:val="TableBodyText"/>
              <w:spacing w:before="120"/>
            </w:pPr>
          </w:p>
        </w:tc>
      </w:tr>
      <w:tr w:rsidR="002E352D" w:rsidRPr="00776E25" w:rsidTr="00FB78C9">
        <w:tc>
          <w:tcPr>
            <w:tcW w:w="6521" w:type="dxa"/>
          </w:tcPr>
          <w:p w:rsidR="002E352D" w:rsidRPr="00306DDA" w:rsidRDefault="002E352D" w:rsidP="00FB78C9">
            <w:pPr>
              <w:pStyle w:val="TableBodyText"/>
              <w:tabs>
                <w:tab w:val="left" w:pos="426"/>
                <w:tab w:val="left" w:pos="815"/>
              </w:tabs>
              <w:spacing w:before="40"/>
              <w:jc w:val="left"/>
            </w:pPr>
            <w:r w:rsidRPr="00306DDA">
              <w:tab/>
              <w:t>Performance in relation to outputs and contribution to outcomes</w:t>
            </w:r>
          </w:p>
        </w:tc>
        <w:tc>
          <w:tcPr>
            <w:tcW w:w="2268" w:type="dxa"/>
          </w:tcPr>
          <w:p w:rsidR="002E352D" w:rsidRPr="00306DDA" w:rsidRDefault="00D82DD2" w:rsidP="00D82DD2">
            <w:pPr>
              <w:pStyle w:val="TableBodyText"/>
              <w:spacing w:before="40"/>
            </w:pPr>
            <w:r>
              <w:t>1-17, appendix B</w:t>
            </w:r>
          </w:p>
        </w:tc>
      </w:tr>
      <w:tr w:rsidR="002E352D" w:rsidRPr="00776E25" w:rsidTr="00FB78C9">
        <w:tc>
          <w:tcPr>
            <w:tcW w:w="6521" w:type="dxa"/>
          </w:tcPr>
          <w:p w:rsidR="002E352D" w:rsidRPr="00306DDA" w:rsidRDefault="002E352D" w:rsidP="00FB78C9">
            <w:pPr>
              <w:pStyle w:val="TableBodyText"/>
              <w:tabs>
                <w:tab w:val="left" w:pos="426"/>
                <w:tab w:val="left" w:pos="815"/>
              </w:tabs>
              <w:spacing w:before="40"/>
              <w:ind w:left="426" w:right="0" w:hanging="426"/>
              <w:jc w:val="left"/>
            </w:pPr>
            <w:r w:rsidRPr="00306DDA">
              <w:tab/>
              <w:t>Actual performance in relation to performance targets set out in PBS/PAES</w:t>
            </w:r>
          </w:p>
        </w:tc>
        <w:tc>
          <w:tcPr>
            <w:tcW w:w="2268" w:type="dxa"/>
          </w:tcPr>
          <w:p w:rsidR="002E352D" w:rsidRPr="00306DDA" w:rsidRDefault="00D82DD2" w:rsidP="00FB78C9">
            <w:pPr>
              <w:pStyle w:val="TableBodyText"/>
              <w:spacing w:before="40"/>
            </w:pPr>
            <w:r>
              <w:t>appendix B</w:t>
            </w:r>
          </w:p>
        </w:tc>
      </w:tr>
      <w:tr w:rsidR="002E352D" w:rsidRPr="00776E25" w:rsidTr="00FB78C9">
        <w:tc>
          <w:tcPr>
            <w:tcW w:w="6521" w:type="dxa"/>
          </w:tcPr>
          <w:p w:rsidR="002E352D" w:rsidRPr="00306DDA" w:rsidRDefault="002E352D" w:rsidP="00FB78C9">
            <w:pPr>
              <w:pStyle w:val="TableBodyText"/>
              <w:tabs>
                <w:tab w:val="left" w:pos="426"/>
                <w:tab w:val="left" w:pos="815"/>
              </w:tabs>
              <w:spacing w:before="40"/>
              <w:jc w:val="left"/>
            </w:pPr>
            <w:r w:rsidRPr="00306DDA">
              <w:tab/>
              <w:t>Narrative discussion and analysis of performance</w:t>
            </w:r>
          </w:p>
        </w:tc>
        <w:tc>
          <w:tcPr>
            <w:tcW w:w="2268" w:type="dxa"/>
          </w:tcPr>
          <w:p w:rsidR="002E352D" w:rsidRPr="00306DDA" w:rsidRDefault="00D82DD2" w:rsidP="00FB78C9">
            <w:pPr>
              <w:pStyle w:val="TableBodyText"/>
              <w:spacing w:before="40"/>
            </w:pPr>
            <w:r>
              <w:t>chapter 2</w:t>
            </w:r>
          </w:p>
        </w:tc>
      </w:tr>
      <w:tr w:rsidR="002E352D" w:rsidRPr="00776E25" w:rsidTr="00FB78C9">
        <w:tc>
          <w:tcPr>
            <w:tcW w:w="6521" w:type="dxa"/>
          </w:tcPr>
          <w:p w:rsidR="002E352D" w:rsidRPr="00306DDA" w:rsidRDefault="002E352D" w:rsidP="00FB78C9">
            <w:pPr>
              <w:pStyle w:val="TableBodyText"/>
              <w:tabs>
                <w:tab w:val="left" w:pos="426"/>
                <w:tab w:val="left" w:pos="815"/>
              </w:tabs>
              <w:spacing w:before="40"/>
              <w:jc w:val="left"/>
            </w:pPr>
            <w:r w:rsidRPr="00306DDA">
              <w:tab/>
            </w:r>
            <w:r>
              <w:t>Trend information</w:t>
            </w:r>
          </w:p>
        </w:tc>
        <w:tc>
          <w:tcPr>
            <w:tcW w:w="2268" w:type="dxa"/>
          </w:tcPr>
          <w:p w:rsidR="002E352D" w:rsidRPr="00306DDA" w:rsidRDefault="00D82DD2" w:rsidP="00FB78C9">
            <w:pPr>
              <w:pStyle w:val="TableBodyText"/>
              <w:spacing w:before="40"/>
            </w:pPr>
            <w:r>
              <w:t>chapter 2, appendix B</w:t>
            </w:r>
          </w:p>
        </w:tc>
      </w:tr>
      <w:tr w:rsidR="002E352D" w:rsidRPr="00776E25" w:rsidTr="00FB78C9">
        <w:tc>
          <w:tcPr>
            <w:tcW w:w="6521" w:type="dxa"/>
          </w:tcPr>
          <w:p w:rsidR="002E352D" w:rsidRPr="00306DDA" w:rsidRDefault="002E352D" w:rsidP="00FB78C9">
            <w:pPr>
              <w:pStyle w:val="TableBodyText"/>
              <w:tabs>
                <w:tab w:val="left" w:pos="426"/>
                <w:tab w:val="left" w:pos="815"/>
              </w:tabs>
              <w:spacing w:before="40"/>
              <w:jc w:val="left"/>
            </w:pPr>
            <w:r w:rsidRPr="00306DDA">
              <w:tab/>
              <w:t>Performance against service charter customer service standards</w:t>
            </w:r>
          </w:p>
        </w:tc>
        <w:tc>
          <w:tcPr>
            <w:tcW w:w="2268" w:type="dxa"/>
          </w:tcPr>
          <w:p w:rsidR="002E352D" w:rsidRPr="00306DDA" w:rsidRDefault="000B01F1" w:rsidP="00FB78C9">
            <w:pPr>
              <w:pStyle w:val="TableBodyText"/>
              <w:spacing w:before="40"/>
            </w:pPr>
            <w:r>
              <w:t>25</w:t>
            </w:r>
          </w:p>
        </w:tc>
      </w:tr>
      <w:tr w:rsidR="002E352D" w:rsidRPr="00776E25" w:rsidTr="00FB78C9">
        <w:tc>
          <w:tcPr>
            <w:tcW w:w="6521" w:type="dxa"/>
          </w:tcPr>
          <w:p w:rsidR="002E352D" w:rsidRPr="00306DDA" w:rsidRDefault="002E352D" w:rsidP="00FB78C9">
            <w:pPr>
              <w:pStyle w:val="TableBodyText"/>
              <w:tabs>
                <w:tab w:val="left" w:pos="426"/>
                <w:tab w:val="left" w:pos="815"/>
              </w:tabs>
              <w:spacing w:before="40"/>
              <w:jc w:val="left"/>
            </w:pPr>
            <w:r w:rsidRPr="00306DDA">
              <w:tab/>
              <w:t>Discussion of financial performance</w:t>
            </w:r>
          </w:p>
        </w:tc>
        <w:tc>
          <w:tcPr>
            <w:tcW w:w="2268" w:type="dxa"/>
          </w:tcPr>
          <w:p w:rsidR="002E352D" w:rsidRPr="00306DDA" w:rsidRDefault="000B01F1" w:rsidP="00FB78C9">
            <w:pPr>
              <w:pStyle w:val="TableBodyText"/>
              <w:spacing w:before="40"/>
            </w:pPr>
            <w:r>
              <w:t>30</w:t>
            </w:r>
          </w:p>
        </w:tc>
      </w:tr>
      <w:tr w:rsidR="002E352D" w:rsidRPr="00776E25" w:rsidTr="00FB78C9">
        <w:tc>
          <w:tcPr>
            <w:tcW w:w="6521" w:type="dxa"/>
          </w:tcPr>
          <w:p w:rsidR="002E352D" w:rsidRPr="00306DDA" w:rsidRDefault="002E352D" w:rsidP="00FB78C9">
            <w:pPr>
              <w:pStyle w:val="TableBodyText"/>
              <w:tabs>
                <w:tab w:val="left" w:pos="426"/>
                <w:tab w:val="left" w:pos="815"/>
              </w:tabs>
              <w:spacing w:before="40"/>
              <w:jc w:val="left"/>
            </w:pPr>
            <w:r w:rsidRPr="00306DDA">
              <w:tab/>
            </w:r>
            <w:r>
              <w:t xml:space="preserve">Discussion of significant changes from the prior year, from budget </w:t>
            </w:r>
            <w:r w:rsidRPr="00306DDA">
              <w:tab/>
            </w:r>
            <w:r>
              <w:t>or anticipated to have a significant impact on future operations</w:t>
            </w:r>
          </w:p>
        </w:tc>
        <w:tc>
          <w:tcPr>
            <w:tcW w:w="2268" w:type="dxa"/>
          </w:tcPr>
          <w:p w:rsidR="002E352D" w:rsidRPr="00306DDA" w:rsidRDefault="0025390E" w:rsidP="00FB78C9">
            <w:pPr>
              <w:pStyle w:val="TableBodyText"/>
              <w:spacing w:before="40"/>
            </w:pPr>
            <w:r>
              <w:t>22</w:t>
            </w:r>
          </w:p>
        </w:tc>
      </w:tr>
      <w:tr w:rsidR="002E352D" w:rsidRPr="00776E25" w:rsidTr="00FB78C9">
        <w:tc>
          <w:tcPr>
            <w:tcW w:w="6521" w:type="dxa"/>
          </w:tcPr>
          <w:p w:rsidR="002E352D" w:rsidRPr="00306DDA" w:rsidRDefault="002E352D" w:rsidP="00FB78C9">
            <w:pPr>
              <w:pStyle w:val="TableBodyText"/>
              <w:tabs>
                <w:tab w:val="left" w:pos="426"/>
                <w:tab w:val="left" w:pos="815"/>
              </w:tabs>
              <w:spacing w:before="40"/>
              <w:jc w:val="left"/>
            </w:pPr>
            <w:r w:rsidRPr="00306DDA">
              <w:tab/>
            </w:r>
            <w:r>
              <w:t>Agency resource statement and s</w:t>
            </w:r>
            <w:r w:rsidRPr="00306DDA">
              <w:t xml:space="preserve">ummary resources table by </w:t>
            </w:r>
            <w:r w:rsidRPr="00306DDA">
              <w:tab/>
              <w:t>outcomes</w:t>
            </w:r>
          </w:p>
        </w:tc>
        <w:tc>
          <w:tcPr>
            <w:tcW w:w="2268" w:type="dxa"/>
          </w:tcPr>
          <w:p w:rsidR="002E352D" w:rsidRPr="00306DDA" w:rsidRDefault="0025390E" w:rsidP="00FB78C9">
            <w:pPr>
              <w:pStyle w:val="TableBodyText"/>
              <w:spacing w:before="40"/>
            </w:pPr>
            <w:r>
              <w:t>22</w:t>
            </w:r>
          </w:p>
        </w:tc>
      </w:tr>
      <w:tr w:rsidR="002E352D" w:rsidRPr="00776E25" w:rsidTr="00FB78C9">
        <w:tc>
          <w:tcPr>
            <w:tcW w:w="6521" w:type="dxa"/>
          </w:tcPr>
          <w:p w:rsidR="002E352D" w:rsidRPr="00306DDA" w:rsidRDefault="002E352D" w:rsidP="00FB78C9">
            <w:pPr>
              <w:pStyle w:val="TableBodyText"/>
              <w:tabs>
                <w:tab w:val="left" w:pos="426"/>
                <w:tab w:val="left" w:pos="815"/>
              </w:tabs>
              <w:spacing w:before="120"/>
              <w:jc w:val="left"/>
            </w:pPr>
            <w:r w:rsidRPr="00306DDA">
              <w:t>Management accountability</w:t>
            </w:r>
          </w:p>
        </w:tc>
        <w:tc>
          <w:tcPr>
            <w:tcW w:w="2268" w:type="dxa"/>
          </w:tcPr>
          <w:p w:rsidR="002E352D" w:rsidRPr="00306DDA" w:rsidRDefault="002E352D" w:rsidP="00FB78C9">
            <w:pPr>
              <w:pStyle w:val="TableBodyText"/>
              <w:spacing w:before="120"/>
            </w:pPr>
          </w:p>
        </w:tc>
      </w:tr>
      <w:tr w:rsidR="002E352D" w:rsidRPr="00776E25" w:rsidTr="00FB78C9">
        <w:tc>
          <w:tcPr>
            <w:tcW w:w="6521" w:type="dxa"/>
          </w:tcPr>
          <w:p w:rsidR="002E352D" w:rsidRPr="00306DDA" w:rsidRDefault="002E352D" w:rsidP="00FB78C9">
            <w:pPr>
              <w:pStyle w:val="TableBodyText"/>
              <w:tabs>
                <w:tab w:val="left" w:pos="426"/>
                <w:tab w:val="left" w:pos="815"/>
              </w:tabs>
              <w:spacing w:before="40"/>
              <w:jc w:val="left"/>
            </w:pPr>
            <w:r w:rsidRPr="00306DDA">
              <w:tab/>
              <w:t>Corporate governance practices</w:t>
            </w:r>
          </w:p>
        </w:tc>
        <w:tc>
          <w:tcPr>
            <w:tcW w:w="2268" w:type="dxa"/>
          </w:tcPr>
          <w:p w:rsidR="002E352D" w:rsidRPr="00306DDA" w:rsidRDefault="00D07533" w:rsidP="00FB78C9">
            <w:pPr>
              <w:pStyle w:val="TableBodyText"/>
              <w:spacing w:before="40"/>
            </w:pPr>
            <w:r>
              <w:t>22-25</w:t>
            </w:r>
          </w:p>
        </w:tc>
      </w:tr>
      <w:tr w:rsidR="002E352D" w:rsidRPr="00776E25" w:rsidTr="00FB78C9">
        <w:tc>
          <w:tcPr>
            <w:tcW w:w="6521" w:type="dxa"/>
          </w:tcPr>
          <w:p w:rsidR="002E352D" w:rsidRPr="00306DDA" w:rsidRDefault="002E352D" w:rsidP="00FB78C9">
            <w:pPr>
              <w:pStyle w:val="TableBodyText"/>
              <w:tabs>
                <w:tab w:val="left" w:pos="426"/>
                <w:tab w:val="left" w:pos="815"/>
              </w:tabs>
              <w:spacing w:before="40"/>
              <w:jc w:val="left"/>
            </w:pPr>
            <w:r w:rsidRPr="00306DDA">
              <w:tab/>
            </w:r>
            <w:r w:rsidRPr="00306DDA">
              <w:tab/>
              <w:t>Senior management committees and their roles</w:t>
            </w:r>
          </w:p>
        </w:tc>
        <w:tc>
          <w:tcPr>
            <w:tcW w:w="2268" w:type="dxa"/>
          </w:tcPr>
          <w:p w:rsidR="002E352D" w:rsidRPr="00306DDA" w:rsidRDefault="00344B0B" w:rsidP="00FB78C9">
            <w:pPr>
              <w:pStyle w:val="TableBodyText"/>
              <w:spacing w:before="40"/>
            </w:pPr>
            <w:r>
              <w:t>23, 26</w:t>
            </w:r>
          </w:p>
        </w:tc>
      </w:tr>
      <w:tr w:rsidR="002E352D" w:rsidRPr="00776E25" w:rsidTr="00FB78C9">
        <w:tc>
          <w:tcPr>
            <w:tcW w:w="6521" w:type="dxa"/>
          </w:tcPr>
          <w:p w:rsidR="002E352D" w:rsidRPr="00306DDA" w:rsidRDefault="002E352D" w:rsidP="00FB78C9">
            <w:pPr>
              <w:pStyle w:val="TableBodyText"/>
              <w:tabs>
                <w:tab w:val="left" w:pos="426"/>
                <w:tab w:val="left" w:pos="815"/>
              </w:tabs>
              <w:spacing w:before="40"/>
              <w:jc w:val="left"/>
            </w:pPr>
            <w:r w:rsidRPr="00306DDA">
              <w:tab/>
            </w:r>
            <w:r w:rsidRPr="00306DDA">
              <w:tab/>
              <w:t>Risk management and fraud control measures</w:t>
            </w:r>
          </w:p>
        </w:tc>
        <w:tc>
          <w:tcPr>
            <w:tcW w:w="2268" w:type="dxa"/>
          </w:tcPr>
          <w:p w:rsidR="002E352D" w:rsidRPr="00306DDA" w:rsidRDefault="00805C9C" w:rsidP="00FB78C9">
            <w:pPr>
              <w:pStyle w:val="TableBodyText"/>
              <w:spacing w:before="40"/>
            </w:pPr>
            <w:r>
              <w:t>24</w:t>
            </w:r>
          </w:p>
        </w:tc>
      </w:tr>
      <w:tr w:rsidR="002E352D" w:rsidRPr="00776E25" w:rsidTr="00FB78C9">
        <w:tc>
          <w:tcPr>
            <w:tcW w:w="6521" w:type="dxa"/>
          </w:tcPr>
          <w:p w:rsidR="002E352D" w:rsidRPr="00306DDA" w:rsidRDefault="002E352D" w:rsidP="00FB78C9">
            <w:pPr>
              <w:pStyle w:val="TableBodyText"/>
              <w:tabs>
                <w:tab w:val="left" w:pos="426"/>
                <w:tab w:val="left" w:pos="815"/>
              </w:tabs>
              <w:spacing w:before="40"/>
              <w:jc w:val="left"/>
            </w:pPr>
            <w:r w:rsidRPr="00306DDA">
              <w:tab/>
            </w:r>
            <w:r w:rsidRPr="00306DDA">
              <w:tab/>
              <w:t>Fraud control certificate</w:t>
            </w:r>
          </w:p>
        </w:tc>
        <w:tc>
          <w:tcPr>
            <w:tcW w:w="2268" w:type="dxa"/>
          </w:tcPr>
          <w:p w:rsidR="002E352D" w:rsidRPr="00306DDA" w:rsidRDefault="00DD1AF8" w:rsidP="00FB78C9">
            <w:pPr>
              <w:pStyle w:val="TableBodyText"/>
              <w:spacing w:before="40"/>
            </w:pPr>
            <w:r>
              <w:t>39</w:t>
            </w:r>
          </w:p>
        </w:tc>
      </w:tr>
      <w:tr w:rsidR="002E352D" w:rsidRPr="00776E25" w:rsidTr="00FB78C9">
        <w:tc>
          <w:tcPr>
            <w:tcW w:w="6521" w:type="dxa"/>
          </w:tcPr>
          <w:p w:rsidR="002E352D" w:rsidRPr="00306DDA" w:rsidRDefault="002E352D" w:rsidP="00FB78C9">
            <w:pPr>
              <w:pStyle w:val="TableBodyText"/>
              <w:tabs>
                <w:tab w:val="left" w:pos="426"/>
                <w:tab w:val="left" w:pos="815"/>
              </w:tabs>
              <w:spacing w:before="40"/>
              <w:jc w:val="left"/>
            </w:pPr>
            <w:r w:rsidRPr="00306DDA">
              <w:tab/>
            </w:r>
            <w:r w:rsidRPr="00306DDA">
              <w:tab/>
              <w:t>Ethical standards</w:t>
            </w:r>
          </w:p>
        </w:tc>
        <w:tc>
          <w:tcPr>
            <w:tcW w:w="2268" w:type="dxa"/>
          </w:tcPr>
          <w:p w:rsidR="002E352D" w:rsidRPr="00306DDA" w:rsidRDefault="006433F1" w:rsidP="00FB78C9">
            <w:pPr>
              <w:pStyle w:val="TableBodyText"/>
              <w:spacing w:before="40"/>
            </w:pPr>
            <w:r>
              <w:t>24</w:t>
            </w:r>
          </w:p>
        </w:tc>
      </w:tr>
      <w:tr w:rsidR="002E352D" w:rsidRPr="00776E25" w:rsidTr="00FB78C9">
        <w:tc>
          <w:tcPr>
            <w:tcW w:w="6521" w:type="dxa"/>
          </w:tcPr>
          <w:p w:rsidR="002E352D" w:rsidRPr="00306DDA" w:rsidRDefault="002E352D" w:rsidP="00FB78C9">
            <w:pPr>
              <w:pStyle w:val="TableBodyText"/>
              <w:tabs>
                <w:tab w:val="left" w:pos="426"/>
                <w:tab w:val="left" w:pos="815"/>
              </w:tabs>
              <w:spacing w:before="40"/>
              <w:jc w:val="left"/>
            </w:pPr>
            <w:r w:rsidRPr="00306DDA">
              <w:tab/>
            </w:r>
            <w:r w:rsidRPr="00306DDA">
              <w:tab/>
              <w:t>Determination of remuneration for SES employees</w:t>
            </w:r>
          </w:p>
        </w:tc>
        <w:tc>
          <w:tcPr>
            <w:tcW w:w="2268" w:type="dxa"/>
          </w:tcPr>
          <w:p w:rsidR="002E352D" w:rsidRPr="00306DDA" w:rsidRDefault="00D653EE" w:rsidP="00FB78C9">
            <w:pPr>
              <w:pStyle w:val="TableBodyText"/>
              <w:spacing w:before="40"/>
            </w:pPr>
            <w:r>
              <w:t>27</w:t>
            </w:r>
          </w:p>
        </w:tc>
      </w:tr>
      <w:tr w:rsidR="002E352D" w:rsidRPr="00776E25" w:rsidTr="00FB78C9">
        <w:tc>
          <w:tcPr>
            <w:tcW w:w="6521" w:type="dxa"/>
          </w:tcPr>
          <w:p w:rsidR="002E352D" w:rsidRPr="00306DDA" w:rsidRDefault="002E352D" w:rsidP="00FB78C9">
            <w:pPr>
              <w:pStyle w:val="TableBodyText"/>
              <w:tabs>
                <w:tab w:val="left" w:pos="426"/>
                <w:tab w:val="left" w:pos="815"/>
              </w:tabs>
              <w:spacing w:before="120"/>
              <w:jc w:val="left"/>
            </w:pPr>
            <w:r w:rsidRPr="00306DDA">
              <w:tab/>
              <w:t>External scrutiny</w:t>
            </w:r>
          </w:p>
        </w:tc>
        <w:tc>
          <w:tcPr>
            <w:tcW w:w="2268" w:type="dxa"/>
          </w:tcPr>
          <w:p w:rsidR="002E352D" w:rsidRPr="00306DDA" w:rsidRDefault="002E352D" w:rsidP="00FB78C9">
            <w:pPr>
              <w:pStyle w:val="TableBodyText"/>
              <w:spacing w:before="120"/>
            </w:pPr>
          </w:p>
        </w:tc>
      </w:tr>
      <w:tr w:rsidR="002E352D" w:rsidRPr="00776E25" w:rsidTr="00FB78C9">
        <w:tc>
          <w:tcPr>
            <w:tcW w:w="6521" w:type="dxa"/>
          </w:tcPr>
          <w:p w:rsidR="002E352D" w:rsidRPr="00306DDA" w:rsidRDefault="002E352D" w:rsidP="00FB78C9">
            <w:pPr>
              <w:pStyle w:val="TableBodyText"/>
              <w:tabs>
                <w:tab w:val="left" w:pos="426"/>
                <w:tab w:val="left" w:pos="815"/>
              </w:tabs>
              <w:spacing w:before="40"/>
              <w:jc w:val="left"/>
            </w:pPr>
            <w:r w:rsidRPr="00306DDA">
              <w:tab/>
            </w:r>
            <w:r w:rsidRPr="00306DDA">
              <w:tab/>
              <w:t>Significant developments</w:t>
            </w:r>
          </w:p>
        </w:tc>
        <w:tc>
          <w:tcPr>
            <w:tcW w:w="2268" w:type="dxa"/>
          </w:tcPr>
          <w:p w:rsidR="002E352D" w:rsidRPr="00306DDA" w:rsidRDefault="002F4388" w:rsidP="00FB78C9">
            <w:pPr>
              <w:pStyle w:val="TableBodyText"/>
              <w:spacing w:before="40"/>
            </w:pPr>
            <w:r>
              <w:t>25-26</w:t>
            </w:r>
          </w:p>
        </w:tc>
      </w:tr>
      <w:tr w:rsidR="002E352D" w:rsidRPr="00776E25" w:rsidTr="00FB78C9">
        <w:tc>
          <w:tcPr>
            <w:tcW w:w="6521" w:type="dxa"/>
          </w:tcPr>
          <w:p w:rsidR="002E352D" w:rsidRPr="00306DDA" w:rsidRDefault="002E352D" w:rsidP="00FB78C9">
            <w:pPr>
              <w:pStyle w:val="TableBodyText"/>
              <w:tabs>
                <w:tab w:val="left" w:pos="426"/>
                <w:tab w:val="left" w:pos="815"/>
              </w:tabs>
              <w:spacing w:before="40"/>
              <w:jc w:val="left"/>
            </w:pPr>
            <w:r w:rsidRPr="00306DDA">
              <w:tab/>
            </w:r>
            <w:r w:rsidRPr="00306DDA">
              <w:tab/>
              <w:t>Judicial decisions and decisions of administrative tribunals</w:t>
            </w:r>
          </w:p>
        </w:tc>
        <w:tc>
          <w:tcPr>
            <w:tcW w:w="2268" w:type="dxa"/>
          </w:tcPr>
          <w:p w:rsidR="002E352D" w:rsidRPr="00306DDA" w:rsidRDefault="00077B7C" w:rsidP="00FB78C9">
            <w:pPr>
              <w:pStyle w:val="TableBodyText"/>
              <w:spacing w:before="40"/>
            </w:pPr>
            <w:proofErr w:type="spellStart"/>
            <w:r>
              <w:t>n.a</w:t>
            </w:r>
            <w:proofErr w:type="spellEnd"/>
            <w:r>
              <w:t>.</w:t>
            </w:r>
          </w:p>
        </w:tc>
      </w:tr>
      <w:tr w:rsidR="002E352D" w:rsidRPr="00776E25" w:rsidTr="00FB78C9">
        <w:tc>
          <w:tcPr>
            <w:tcW w:w="6521" w:type="dxa"/>
          </w:tcPr>
          <w:p w:rsidR="002E352D" w:rsidRPr="00306DDA" w:rsidRDefault="002E352D" w:rsidP="00FB78C9">
            <w:pPr>
              <w:pStyle w:val="TableBodyText"/>
              <w:tabs>
                <w:tab w:val="left" w:pos="426"/>
                <w:tab w:val="left" w:pos="815"/>
              </w:tabs>
              <w:spacing w:before="40"/>
              <w:ind w:left="815" w:hanging="809"/>
              <w:jc w:val="left"/>
            </w:pPr>
            <w:r w:rsidRPr="00306DDA">
              <w:tab/>
            </w:r>
            <w:r w:rsidRPr="00306DDA">
              <w:tab/>
              <w:t xml:space="preserve">Reports by Auditor-General, a parliamentary committee or the Commonwealth Ombudsman </w:t>
            </w:r>
          </w:p>
        </w:tc>
        <w:tc>
          <w:tcPr>
            <w:tcW w:w="2268" w:type="dxa"/>
          </w:tcPr>
          <w:p w:rsidR="002E352D" w:rsidRPr="00306DDA" w:rsidRDefault="00BB5297" w:rsidP="00FB78C9">
            <w:pPr>
              <w:pStyle w:val="TableBodyText"/>
              <w:spacing w:before="40"/>
            </w:pPr>
            <w:r>
              <w:t>25-26</w:t>
            </w:r>
          </w:p>
        </w:tc>
      </w:tr>
      <w:tr w:rsidR="002E352D" w:rsidRPr="00776E25" w:rsidTr="00FB78C9">
        <w:tc>
          <w:tcPr>
            <w:tcW w:w="6521" w:type="dxa"/>
          </w:tcPr>
          <w:p w:rsidR="002E352D" w:rsidRPr="00306DDA" w:rsidRDefault="002E352D" w:rsidP="00FB78C9">
            <w:pPr>
              <w:pStyle w:val="TableBodyText"/>
              <w:tabs>
                <w:tab w:val="left" w:pos="426"/>
                <w:tab w:val="left" w:pos="815"/>
              </w:tabs>
              <w:spacing w:before="100"/>
              <w:jc w:val="left"/>
            </w:pPr>
            <w:r w:rsidRPr="00306DDA">
              <w:tab/>
            </w:r>
            <w:r w:rsidRPr="00306DDA">
              <w:tab/>
              <w:t>Appearances at Senate Estimates hearings</w:t>
            </w:r>
          </w:p>
        </w:tc>
        <w:tc>
          <w:tcPr>
            <w:tcW w:w="2268" w:type="dxa"/>
          </w:tcPr>
          <w:p w:rsidR="002E352D" w:rsidRPr="00306DDA" w:rsidRDefault="00BB5297" w:rsidP="00FB78C9">
            <w:pPr>
              <w:pStyle w:val="TableBodyText"/>
              <w:spacing w:before="100"/>
            </w:pPr>
            <w:r>
              <w:t>52</w:t>
            </w:r>
          </w:p>
        </w:tc>
      </w:tr>
    </w:tbl>
    <w:p w:rsidR="00117F52" w:rsidRDefault="00117F52"/>
    <w:tbl>
      <w:tblPr>
        <w:tblW w:w="0" w:type="auto"/>
        <w:tblCellMar>
          <w:left w:w="0" w:type="dxa"/>
          <w:right w:w="0" w:type="dxa"/>
        </w:tblCellMar>
        <w:tblLook w:val="0000" w:firstRow="0" w:lastRow="0" w:firstColumn="0" w:lastColumn="0" w:noHBand="0" w:noVBand="0"/>
      </w:tblPr>
      <w:tblGrid>
        <w:gridCol w:w="6521"/>
        <w:gridCol w:w="2268"/>
      </w:tblGrid>
      <w:tr w:rsidR="002E352D" w:rsidRPr="00776E25" w:rsidTr="00FB78C9">
        <w:tc>
          <w:tcPr>
            <w:tcW w:w="6521" w:type="dxa"/>
          </w:tcPr>
          <w:p w:rsidR="002E352D" w:rsidRPr="00306DDA" w:rsidRDefault="002E352D" w:rsidP="00FB78C9">
            <w:pPr>
              <w:pStyle w:val="TableBodyText"/>
              <w:tabs>
                <w:tab w:val="left" w:pos="426"/>
                <w:tab w:val="left" w:pos="815"/>
              </w:tabs>
              <w:spacing w:before="120"/>
              <w:jc w:val="left"/>
            </w:pPr>
            <w:r w:rsidRPr="00306DDA">
              <w:lastRenderedPageBreak/>
              <w:tab/>
              <w:t>Management of human resources</w:t>
            </w:r>
          </w:p>
        </w:tc>
        <w:tc>
          <w:tcPr>
            <w:tcW w:w="2268" w:type="dxa"/>
          </w:tcPr>
          <w:p w:rsidR="002E352D" w:rsidRPr="00306DDA" w:rsidRDefault="002E352D" w:rsidP="00FB78C9">
            <w:pPr>
              <w:pStyle w:val="TableBodyText"/>
              <w:spacing w:before="120"/>
            </w:pPr>
          </w:p>
        </w:tc>
      </w:tr>
      <w:tr w:rsidR="002E352D" w:rsidRPr="00776E25" w:rsidTr="00FB78C9">
        <w:tc>
          <w:tcPr>
            <w:tcW w:w="6521" w:type="dxa"/>
          </w:tcPr>
          <w:p w:rsidR="002E352D" w:rsidRPr="00306DDA" w:rsidRDefault="002E352D" w:rsidP="00FB78C9">
            <w:pPr>
              <w:pStyle w:val="TableBodyText"/>
              <w:tabs>
                <w:tab w:val="left" w:pos="426"/>
                <w:tab w:val="left" w:pos="815"/>
              </w:tabs>
              <w:spacing w:before="40"/>
              <w:jc w:val="left"/>
            </w:pPr>
            <w:r w:rsidRPr="00306DDA">
              <w:tab/>
            </w:r>
            <w:r w:rsidRPr="00306DDA">
              <w:tab/>
              <w:t xml:space="preserve">Effectiveness in managing </w:t>
            </w:r>
            <w:r>
              <w:t xml:space="preserve">and developing </w:t>
            </w:r>
            <w:r w:rsidRPr="00306DDA">
              <w:t xml:space="preserve">human resources </w:t>
            </w:r>
          </w:p>
        </w:tc>
        <w:tc>
          <w:tcPr>
            <w:tcW w:w="2268" w:type="dxa"/>
          </w:tcPr>
          <w:p w:rsidR="002E352D" w:rsidRPr="00306DDA" w:rsidRDefault="001C4F19" w:rsidP="00FB78C9">
            <w:pPr>
              <w:pStyle w:val="TableBodyText"/>
              <w:spacing w:before="40"/>
            </w:pPr>
            <w:r>
              <w:t>26-30</w:t>
            </w:r>
          </w:p>
        </w:tc>
      </w:tr>
      <w:tr w:rsidR="002E352D" w:rsidRPr="00776E25" w:rsidTr="00FB78C9">
        <w:trPr>
          <w:trHeight w:val="273"/>
        </w:trPr>
        <w:tc>
          <w:tcPr>
            <w:tcW w:w="6521" w:type="dxa"/>
          </w:tcPr>
          <w:p w:rsidR="002E352D" w:rsidRPr="00306DDA" w:rsidRDefault="002E352D" w:rsidP="00FB78C9">
            <w:pPr>
              <w:pStyle w:val="TableBodyText"/>
              <w:tabs>
                <w:tab w:val="left" w:pos="426"/>
                <w:tab w:val="left" w:pos="815"/>
              </w:tabs>
              <w:spacing w:before="40"/>
              <w:jc w:val="left"/>
            </w:pPr>
            <w:r w:rsidRPr="00306DDA">
              <w:tab/>
            </w:r>
            <w:r w:rsidRPr="00306DDA">
              <w:tab/>
            </w:r>
            <w:r>
              <w:t>Workforce planning, s</w:t>
            </w:r>
            <w:r w:rsidRPr="00306DDA">
              <w:t>taff turnover and retention</w:t>
            </w:r>
          </w:p>
        </w:tc>
        <w:tc>
          <w:tcPr>
            <w:tcW w:w="2268" w:type="dxa"/>
          </w:tcPr>
          <w:p w:rsidR="002E352D" w:rsidRPr="00306DDA" w:rsidRDefault="00FA658D" w:rsidP="00FB78C9">
            <w:pPr>
              <w:pStyle w:val="TableBodyText"/>
              <w:spacing w:before="40"/>
            </w:pPr>
            <w:r>
              <w:t>21</w:t>
            </w:r>
          </w:p>
        </w:tc>
      </w:tr>
      <w:tr w:rsidR="002E352D" w:rsidRPr="00776E25" w:rsidTr="00FB78C9">
        <w:tc>
          <w:tcPr>
            <w:tcW w:w="6521" w:type="dxa"/>
          </w:tcPr>
          <w:p w:rsidR="002E352D" w:rsidRPr="00306DDA" w:rsidRDefault="002E352D" w:rsidP="00FB78C9">
            <w:pPr>
              <w:pStyle w:val="TableBodyText"/>
              <w:tabs>
                <w:tab w:val="left" w:pos="426"/>
                <w:tab w:val="left" w:pos="815"/>
              </w:tabs>
              <w:spacing w:before="40"/>
              <w:jc w:val="left"/>
            </w:pPr>
            <w:r w:rsidRPr="00306DDA">
              <w:tab/>
            </w:r>
            <w:r w:rsidRPr="00306DDA">
              <w:tab/>
              <w:t xml:space="preserve">Learning and development </w:t>
            </w:r>
          </w:p>
        </w:tc>
        <w:tc>
          <w:tcPr>
            <w:tcW w:w="2268" w:type="dxa"/>
          </w:tcPr>
          <w:p w:rsidR="002E352D" w:rsidRPr="00306DDA" w:rsidRDefault="00FA658D" w:rsidP="00FB78C9">
            <w:pPr>
              <w:pStyle w:val="TableBodyText"/>
              <w:spacing w:before="40"/>
            </w:pPr>
            <w:r>
              <w:t>28-29</w:t>
            </w:r>
          </w:p>
        </w:tc>
      </w:tr>
      <w:tr w:rsidR="002E352D" w:rsidRPr="00776E25" w:rsidTr="00FB78C9">
        <w:tc>
          <w:tcPr>
            <w:tcW w:w="6521" w:type="dxa"/>
          </w:tcPr>
          <w:p w:rsidR="002E352D" w:rsidRPr="00306DDA" w:rsidRDefault="002E352D" w:rsidP="00FB78C9">
            <w:pPr>
              <w:pStyle w:val="TableBodyText"/>
              <w:tabs>
                <w:tab w:val="left" w:pos="426"/>
                <w:tab w:val="left" w:pos="815"/>
              </w:tabs>
              <w:spacing w:before="40"/>
              <w:jc w:val="left"/>
              <w:rPr>
                <w:i/>
              </w:rPr>
            </w:pPr>
            <w:r w:rsidRPr="00306DDA">
              <w:tab/>
            </w:r>
            <w:r w:rsidRPr="00306DDA">
              <w:tab/>
            </w:r>
            <w:r>
              <w:t>Enterprise agreements</w:t>
            </w:r>
          </w:p>
        </w:tc>
        <w:tc>
          <w:tcPr>
            <w:tcW w:w="2268" w:type="dxa"/>
          </w:tcPr>
          <w:p w:rsidR="002E352D" w:rsidRPr="00306DDA" w:rsidRDefault="003A5FDB" w:rsidP="00FB78C9">
            <w:pPr>
              <w:pStyle w:val="TableBodyText"/>
              <w:spacing w:before="40"/>
            </w:pPr>
            <w:r>
              <w:t>27</w:t>
            </w:r>
          </w:p>
        </w:tc>
      </w:tr>
      <w:tr w:rsidR="002E352D" w:rsidRPr="00776E25" w:rsidTr="00FB78C9">
        <w:tc>
          <w:tcPr>
            <w:tcW w:w="6521" w:type="dxa"/>
          </w:tcPr>
          <w:p w:rsidR="002E352D" w:rsidRPr="00306DDA" w:rsidRDefault="002E352D" w:rsidP="00FB78C9">
            <w:pPr>
              <w:pStyle w:val="TableBodyText"/>
              <w:tabs>
                <w:tab w:val="left" w:pos="426"/>
                <w:tab w:val="left" w:pos="815"/>
              </w:tabs>
              <w:spacing w:before="40"/>
              <w:jc w:val="left"/>
            </w:pPr>
            <w:r w:rsidRPr="00306DDA">
              <w:tab/>
            </w:r>
            <w:r w:rsidRPr="00306DDA">
              <w:tab/>
              <w:t>Statistics on staffing</w:t>
            </w:r>
          </w:p>
        </w:tc>
        <w:tc>
          <w:tcPr>
            <w:tcW w:w="2268" w:type="dxa"/>
          </w:tcPr>
          <w:p w:rsidR="002E352D" w:rsidRPr="00306DDA" w:rsidRDefault="003A5FDB" w:rsidP="00FB78C9">
            <w:pPr>
              <w:pStyle w:val="TableBodyText"/>
              <w:spacing w:before="40"/>
            </w:pPr>
            <w:r>
              <w:t>36-37</w:t>
            </w:r>
          </w:p>
        </w:tc>
      </w:tr>
      <w:tr w:rsidR="002E352D" w:rsidRPr="00776E25" w:rsidTr="00FB78C9">
        <w:tc>
          <w:tcPr>
            <w:tcW w:w="6521" w:type="dxa"/>
          </w:tcPr>
          <w:p w:rsidR="002E352D" w:rsidRPr="00306DDA" w:rsidRDefault="002E352D" w:rsidP="00FB78C9">
            <w:pPr>
              <w:pStyle w:val="TableBodyText"/>
              <w:tabs>
                <w:tab w:val="left" w:pos="426"/>
                <w:tab w:val="left" w:pos="815"/>
              </w:tabs>
              <w:spacing w:before="40"/>
              <w:jc w:val="left"/>
            </w:pPr>
            <w:r w:rsidRPr="00306DDA">
              <w:tab/>
            </w:r>
            <w:r w:rsidRPr="00306DDA">
              <w:tab/>
              <w:t>Performance pay</w:t>
            </w:r>
          </w:p>
        </w:tc>
        <w:tc>
          <w:tcPr>
            <w:tcW w:w="2268" w:type="dxa"/>
          </w:tcPr>
          <w:p w:rsidR="002E352D" w:rsidRPr="00306DDA" w:rsidRDefault="00106EAD" w:rsidP="00FB78C9">
            <w:pPr>
              <w:pStyle w:val="TableBodyText"/>
              <w:spacing w:before="40"/>
            </w:pPr>
            <w:r>
              <w:t>27-28</w:t>
            </w:r>
          </w:p>
        </w:tc>
      </w:tr>
      <w:tr w:rsidR="002E352D" w:rsidRPr="00776E25" w:rsidTr="00FB78C9">
        <w:tc>
          <w:tcPr>
            <w:tcW w:w="6521" w:type="dxa"/>
          </w:tcPr>
          <w:p w:rsidR="002E352D" w:rsidRPr="00306DDA" w:rsidRDefault="002E352D" w:rsidP="00FB78C9">
            <w:pPr>
              <w:pStyle w:val="TableBodyText"/>
              <w:tabs>
                <w:tab w:val="left" w:pos="426"/>
                <w:tab w:val="left" w:pos="815"/>
              </w:tabs>
              <w:spacing w:before="40"/>
              <w:jc w:val="left"/>
            </w:pPr>
            <w:r w:rsidRPr="00306DDA">
              <w:tab/>
            </w:r>
            <w:r w:rsidRPr="00306DDA">
              <w:tab/>
              <w:t>Asset</w:t>
            </w:r>
            <w:r>
              <w:t>s</w:t>
            </w:r>
            <w:r w:rsidRPr="00306DDA">
              <w:t xml:space="preserve"> management </w:t>
            </w:r>
          </w:p>
        </w:tc>
        <w:tc>
          <w:tcPr>
            <w:tcW w:w="2268" w:type="dxa"/>
          </w:tcPr>
          <w:p w:rsidR="002E352D" w:rsidRPr="00306DDA" w:rsidRDefault="00892975" w:rsidP="00FB78C9">
            <w:pPr>
              <w:pStyle w:val="TableBodyText"/>
              <w:spacing w:before="40"/>
            </w:pPr>
            <w:r>
              <w:t>appendix G</w:t>
            </w:r>
          </w:p>
        </w:tc>
      </w:tr>
      <w:tr w:rsidR="002E352D" w:rsidRPr="00776E25" w:rsidTr="00FB78C9">
        <w:tc>
          <w:tcPr>
            <w:tcW w:w="6521" w:type="dxa"/>
          </w:tcPr>
          <w:p w:rsidR="002E352D" w:rsidRPr="00306DDA" w:rsidRDefault="002E352D" w:rsidP="00FB78C9">
            <w:pPr>
              <w:pStyle w:val="TableBodyText"/>
              <w:tabs>
                <w:tab w:val="left" w:pos="426"/>
                <w:tab w:val="left" w:pos="815"/>
              </w:tabs>
              <w:spacing w:before="40"/>
              <w:jc w:val="left"/>
            </w:pPr>
            <w:r w:rsidRPr="00306DDA">
              <w:tab/>
            </w:r>
            <w:r w:rsidRPr="00306DDA">
              <w:tab/>
              <w:t>Purchasing</w:t>
            </w:r>
          </w:p>
        </w:tc>
        <w:tc>
          <w:tcPr>
            <w:tcW w:w="2268" w:type="dxa"/>
          </w:tcPr>
          <w:p w:rsidR="002E352D" w:rsidRPr="00306DDA" w:rsidRDefault="00A616C8" w:rsidP="00FB78C9">
            <w:pPr>
              <w:pStyle w:val="TableBodyText"/>
              <w:spacing w:before="40"/>
            </w:pPr>
            <w:r>
              <w:t>31</w:t>
            </w:r>
          </w:p>
        </w:tc>
      </w:tr>
      <w:tr w:rsidR="002E352D" w:rsidRPr="00776E25" w:rsidTr="00FB78C9">
        <w:tc>
          <w:tcPr>
            <w:tcW w:w="6521" w:type="dxa"/>
          </w:tcPr>
          <w:p w:rsidR="002E352D" w:rsidRPr="00306DDA" w:rsidRDefault="002E352D" w:rsidP="00FB78C9">
            <w:pPr>
              <w:pStyle w:val="TableBodyText"/>
              <w:tabs>
                <w:tab w:val="left" w:pos="426"/>
                <w:tab w:val="left" w:pos="815"/>
              </w:tabs>
              <w:spacing w:before="40"/>
              <w:jc w:val="left"/>
            </w:pPr>
            <w:r w:rsidRPr="00306DDA">
              <w:tab/>
            </w:r>
            <w:r w:rsidRPr="00306DDA">
              <w:tab/>
              <w:t xml:space="preserve">Consultants </w:t>
            </w:r>
          </w:p>
        </w:tc>
        <w:tc>
          <w:tcPr>
            <w:tcW w:w="2268" w:type="dxa"/>
          </w:tcPr>
          <w:p w:rsidR="002E352D" w:rsidRPr="00306DDA" w:rsidRDefault="00A616C8" w:rsidP="00FB78C9">
            <w:pPr>
              <w:pStyle w:val="TableBodyText"/>
              <w:spacing w:before="40"/>
            </w:pPr>
            <w:r>
              <w:t>31</w:t>
            </w:r>
          </w:p>
        </w:tc>
      </w:tr>
      <w:tr w:rsidR="002E352D" w:rsidRPr="00776E25" w:rsidTr="00FB78C9">
        <w:tc>
          <w:tcPr>
            <w:tcW w:w="6521" w:type="dxa"/>
          </w:tcPr>
          <w:p w:rsidR="002E352D" w:rsidRPr="00306DDA" w:rsidRDefault="002E352D" w:rsidP="00FB78C9">
            <w:pPr>
              <w:pStyle w:val="TableBodyText"/>
              <w:tabs>
                <w:tab w:val="left" w:pos="426"/>
                <w:tab w:val="left" w:pos="815"/>
              </w:tabs>
              <w:spacing w:before="40"/>
              <w:jc w:val="left"/>
            </w:pPr>
            <w:r w:rsidRPr="00306DDA">
              <w:tab/>
            </w:r>
            <w:r w:rsidRPr="00306DDA">
              <w:tab/>
              <w:t>Legal services</w:t>
            </w:r>
          </w:p>
        </w:tc>
        <w:tc>
          <w:tcPr>
            <w:tcW w:w="2268" w:type="dxa"/>
          </w:tcPr>
          <w:p w:rsidR="002E352D" w:rsidRPr="00306DDA" w:rsidRDefault="00612348" w:rsidP="00FB78C9">
            <w:pPr>
              <w:pStyle w:val="TableBodyText"/>
              <w:spacing w:before="40"/>
            </w:pPr>
            <w:r>
              <w:t>32</w:t>
            </w:r>
          </w:p>
        </w:tc>
      </w:tr>
      <w:tr w:rsidR="002E352D" w:rsidRPr="00776E25" w:rsidTr="00FB78C9">
        <w:tc>
          <w:tcPr>
            <w:tcW w:w="6521" w:type="dxa"/>
          </w:tcPr>
          <w:p w:rsidR="002E352D" w:rsidRPr="00306DDA" w:rsidRDefault="002E352D" w:rsidP="00FB78C9">
            <w:pPr>
              <w:pStyle w:val="TableBodyText"/>
              <w:tabs>
                <w:tab w:val="left" w:pos="426"/>
                <w:tab w:val="left" w:pos="815"/>
              </w:tabs>
              <w:spacing w:before="40"/>
              <w:ind w:left="815" w:right="0" w:hanging="815"/>
              <w:jc w:val="left"/>
            </w:pPr>
            <w:r w:rsidRPr="00306DDA">
              <w:tab/>
            </w:r>
            <w:r w:rsidRPr="00306DDA">
              <w:tab/>
              <w:t>Absence of provisions in CTC contracts allowing access by the Auditor-General</w:t>
            </w:r>
          </w:p>
        </w:tc>
        <w:tc>
          <w:tcPr>
            <w:tcW w:w="2268" w:type="dxa"/>
          </w:tcPr>
          <w:p w:rsidR="002E352D" w:rsidRPr="00306DDA" w:rsidRDefault="00612348" w:rsidP="00FB78C9">
            <w:pPr>
              <w:pStyle w:val="TableBodyText"/>
              <w:spacing w:before="40"/>
            </w:pPr>
            <w:proofErr w:type="spellStart"/>
            <w:r>
              <w:t>n.a</w:t>
            </w:r>
            <w:proofErr w:type="spellEnd"/>
            <w:r>
              <w:t>.</w:t>
            </w:r>
          </w:p>
        </w:tc>
      </w:tr>
      <w:tr w:rsidR="002E352D" w:rsidRPr="00776E25" w:rsidTr="00FB78C9">
        <w:tc>
          <w:tcPr>
            <w:tcW w:w="6521" w:type="dxa"/>
          </w:tcPr>
          <w:p w:rsidR="002E352D" w:rsidRPr="00306DDA" w:rsidRDefault="002E352D" w:rsidP="00FB78C9">
            <w:pPr>
              <w:pStyle w:val="TableBodyText"/>
              <w:tabs>
                <w:tab w:val="left" w:pos="426"/>
                <w:tab w:val="left" w:pos="815"/>
              </w:tabs>
              <w:spacing w:before="40"/>
              <w:jc w:val="left"/>
            </w:pPr>
            <w:r w:rsidRPr="00306DDA">
              <w:tab/>
            </w:r>
            <w:r w:rsidRPr="00306DDA">
              <w:tab/>
              <w:t xml:space="preserve">Contracts exempt from the </w:t>
            </w:r>
            <w:proofErr w:type="spellStart"/>
            <w:r w:rsidRPr="00306DDA">
              <w:t>AusTender</w:t>
            </w:r>
            <w:proofErr w:type="spellEnd"/>
          </w:p>
        </w:tc>
        <w:tc>
          <w:tcPr>
            <w:tcW w:w="2268" w:type="dxa"/>
          </w:tcPr>
          <w:p w:rsidR="002E352D" w:rsidRPr="00306DDA" w:rsidRDefault="00612348" w:rsidP="00FB78C9">
            <w:pPr>
              <w:pStyle w:val="TableBodyText"/>
              <w:spacing w:before="40"/>
            </w:pPr>
            <w:proofErr w:type="spellStart"/>
            <w:r>
              <w:t>n.a</w:t>
            </w:r>
            <w:proofErr w:type="spellEnd"/>
            <w:r>
              <w:t>.</w:t>
            </w:r>
          </w:p>
        </w:tc>
      </w:tr>
      <w:tr w:rsidR="002E352D" w:rsidRPr="00776E25" w:rsidTr="00FB78C9">
        <w:tc>
          <w:tcPr>
            <w:tcW w:w="6521" w:type="dxa"/>
          </w:tcPr>
          <w:p w:rsidR="002E352D" w:rsidRPr="00306DDA" w:rsidRDefault="002E352D" w:rsidP="00FB78C9">
            <w:pPr>
              <w:pStyle w:val="TableBodyText"/>
              <w:tabs>
                <w:tab w:val="left" w:pos="426"/>
                <w:tab w:val="left" w:pos="815"/>
              </w:tabs>
              <w:spacing w:before="40"/>
              <w:ind w:left="815" w:hanging="809"/>
              <w:jc w:val="left"/>
            </w:pPr>
            <w:r w:rsidRPr="00306DDA">
              <w:tab/>
            </w:r>
            <w:r w:rsidRPr="00306DDA">
              <w:tab/>
              <w:t>Performance in implementing the Commonwealth Disability Strategy</w:t>
            </w:r>
          </w:p>
        </w:tc>
        <w:tc>
          <w:tcPr>
            <w:tcW w:w="2268" w:type="dxa"/>
          </w:tcPr>
          <w:p w:rsidR="002E352D" w:rsidRPr="00306DDA" w:rsidRDefault="00612348" w:rsidP="00FB78C9">
            <w:pPr>
              <w:pStyle w:val="TableBodyText"/>
              <w:spacing w:before="40"/>
            </w:pPr>
            <w:r>
              <w:t>30</w:t>
            </w:r>
          </w:p>
        </w:tc>
      </w:tr>
      <w:tr w:rsidR="002E352D" w:rsidRPr="00776E25" w:rsidTr="00FB78C9">
        <w:trPr>
          <w:trHeight w:val="190"/>
        </w:trPr>
        <w:tc>
          <w:tcPr>
            <w:tcW w:w="6521" w:type="dxa"/>
          </w:tcPr>
          <w:p w:rsidR="002E352D" w:rsidRPr="00306DDA" w:rsidRDefault="002E352D" w:rsidP="00FB78C9">
            <w:pPr>
              <w:pStyle w:val="TableBodyText"/>
              <w:tabs>
                <w:tab w:val="left" w:pos="426"/>
                <w:tab w:val="left" w:pos="815"/>
              </w:tabs>
              <w:spacing w:before="100"/>
              <w:jc w:val="left"/>
            </w:pPr>
            <w:r w:rsidRPr="00306DDA">
              <w:t>Financial statements</w:t>
            </w:r>
          </w:p>
        </w:tc>
        <w:tc>
          <w:tcPr>
            <w:tcW w:w="2268" w:type="dxa"/>
          </w:tcPr>
          <w:p w:rsidR="002E352D" w:rsidRPr="00306DDA" w:rsidRDefault="00E25776" w:rsidP="00FB78C9">
            <w:pPr>
              <w:pStyle w:val="TableBodyText"/>
              <w:spacing w:before="100"/>
            </w:pPr>
            <w:r>
              <w:t>appendix G</w:t>
            </w:r>
          </w:p>
        </w:tc>
      </w:tr>
      <w:tr w:rsidR="002E352D" w:rsidRPr="00776E25" w:rsidTr="00FB78C9">
        <w:tc>
          <w:tcPr>
            <w:tcW w:w="6521" w:type="dxa"/>
          </w:tcPr>
          <w:p w:rsidR="002E352D" w:rsidRPr="00306DDA" w:rsidRDefault="002E352D" w:rsidP="00FB78C9">
            <w:pPr>
              <w:pStyle w:val="TableBodyText"/>
              <w:tabs>
                <w:tab w:val="left" w:pos="426"/>
                <w:tab w:val="left" w:pos="815"/>
              </w:tabs>
              <w:spacing w:before="100"/>
              <w:jc w:val="left"/>
            </w:pPr>
            <w:r w:rsidRPr="00306DDA">
              <w:t>Other information</w:t>
            </w:r>
          </w:p>
        </w:tc>
        <w:tc>
          <w:tcPr>
            <w:tcW w:w="2268" w:type="dxa"/>
          </w:tcPr>
          <w:p w:rsidR="002E352D" w:rsidRPr="00306DDA" w:rsidRDefault="002E352D" w:rsidP="00FB78C9">
            <w:pPr>
              <w:pStyle w:val="TableBodyText"/>
              <w:spacing w:before="100"/>
            </w:pPr>
          </w:p>
        </w:tc>
      </w:tr>
      <w:tr w:rsidR="002E352D" w:rsidRPr="00776E25" w:rsidTr="00FB78C9">
        <w:tc>
          <w:tcPr>
            <w:tcW w:w="6521" w:type="dxa"/>
          </w:tcPr>
          <w:p w:rsidR="002E352D" w:rsidRPr="00306DDA" w:rsidRDefault="002E352D" w:rsidP="00FB78C9">
            <w:pPr>
              <w:pStyle w:val="TableBodyText"/>
              <w:tabs>
                <w:tab w:val="left" w:pos="426"/>
                <w:tab w:val="left" w:pos="815"/>
              </w:tabs>
              <w:spacing w:before="40"/>
              <w:jc w:val="left"/>
            </w:pPr>
            <w:r w:rsidRPr="00306DDA">
              <w:tab/>
            </w:r>
            <w:r>
              <w:t>Workplace</w:t>
            </w:r>
            <w:r w:rsidRPr="00306DDA">
              <w:t xml:space="preserve"> health and safety </w:t>
            </w:r>
          </w:p>
        </w:tc>
        <w:tc>
          <w:tcPr>
            <w:tcW w:w="2268" w:type="dxa"/>
          </w:tcPr>
          <w:p w:rsidR="002E352D" w:rsidRPr="00306DDA" w:rsidRDefault="007B37A6" w:rsidP="00FB78C9">
            <w:pPr>
              <w:pStyle w:val="TableBodyText"/>
              <w:spacing w:before="40"/>
            </w:pPr>
            <w:r>
              <w:t>29</w:t>
            </w:r>
          </w:p>
        </w:tc>
      </w:tr>
      <w:tr w:rsidR="002E352D" w:rsidRPr="00776E25" w:rsidTr="00FB78C9">
        <w:tc>
          <w:tcPr>
            <w:tcW w:w="6521" w:type="dxa"/>
          </w:tcPr>
          <w:p w:rsidR="002E352D" w:rsidRPr="00306DDA" w:rsidRDefault="002E352D" w:rsidP="00FB78C9">
            <w:pPr>
              <w:pStyle w:val="TableBodyText"/>
              <w:tabs>
                <w:tab w:val="left" w:pos="426"/>
                <w:tab w:val="left" w:pos="815"/>
              </w:tabs>
              <w:spacing w:before="40"/>
              <w:jc w:val="left"/>
            </w:pPr>
            <w:r w:rsidRPr="00306DDA">
              <w:tab/>
            </w:r>
            <w:r>
              <w:t>Information Publication Scheme</w:t>
            </w:r>
            <w:r w:rsidRPr="00306DDA">
              <w:t xml:space="preserve"> statement</w:t>
            </w:r>
          </w:p>
        </w:tc>
        <w:tc>
          <w:tcPr>
            <w:tcW w:w="2268" w:type="dxa"/>
          </w:tcPr>
          <w:p w:rsidR="002E352D" w:rsidRPr="00306DDA" w:rsidRDefault="005963B9" w:rsidP="00FB78C9">
            <w:pPr>
              <w:pStyle w:val="TableBodyText"/>
              <w:spacing w:before="40"/>
            </w:pPr>
            <w:r>
              <w:t>33</w:t>
            </w:r>
          </w:p>
        </w:tc>
      </w:tr>
      <w:tr w:rsidR="002E352D" w:rsidRPr="00776E25" w:rsidTr="00FB78C9">
        <w:tc>
          <w:tcPr>
            <w:tcW w:w="6521" w:type="dxa"/>
          </w:tcPr>
          <w:p w:rsidR="002E352D" w:rsidRPr="00306DDA" w:rsidRDefault="002E352D" w:rsidP="00FB78C9">
            <w:pPr>
              <w:pStyle w:val="TableBodyText"/>
              <w:tabs>
                <w:tab w:val="left" w:pos="426"/>
                <w:tab w:val="left" w:pos="815"/>
              </w:tabs>
              <w:spacing w:before="40"/>
              <w:jc w:val="left"/>
            </w:pPr>
            <w:r w:rsidRPr="00306DDA">
              <w:tab/>
              <w:t>Advertising and market research</w:t>
            </w:r>
          </w:p>
        </w:tc>
        <w:tc>
          <w:tcPr>
            <w:tcW w:w="2268" w:type="dxa"/>
          </w:tcPr>
          <w:p w:rsidR="002E352D" w:rsidRPr="00306DDA" w:rsidRDefault="00434171" w:rsidP="00FB78C9">
            <w:pPr>
              <w:pStyle w:val="TableBodyText"/>
              <w:spacing w:before="40"/>
            </w:pPr>
            <w:r>
              <w:t>33</w:t>
            </w:r>
          </w:p>
        </w:tc>
      </w:tr>
      <w:tr w:rsidR="002E352D" w:rsidRPr="00776E25" w:rsidTr="00FB78C9">
        <w:tc>
          <w:tcPr>
            <w:tcW w:w="6521" w:type="dxa"/>
          </w:tcPr>
          <w:p w:rsidR="002E352D" w:rsidRPr="00306DDA" w:rsidRDefault="002E352D" w:rsidP="00FB78C9">
            <w:pPr>
              <w:pStyle w:val="TableBodyText"/>
              <w:tabs>
                <w:tab w:val="left" w:pos="426"/>
                <w:tab w:val="left" w:pos="815"/>
              </w:tabs>
              <w:spacing w:before="40"/>
              <w:jc w:val="left"/>
            </w:pPr>
            <w:r w:rsidRPr="00306DDA">
              <w:tab/>
              <w:t>ESD and environmental performance</w:t>
            </w:r>
          </w:p>
        </w:tc>
        <w:tc>
          <w:tcPr>
            <w:tcW w:w="2268" w:type="dxa"/>
          </w:tcPr>
          <w:p w:rsidR="002E352D" w:rsidRPr="00306DDA" w:rsidRDefault="00434171" w:rsidP="00FB78C9">
            <w:pPr>
              <w:pStyle w:val="TableBodyText"/>
              <w:spacing w:before="40"/>
            </w:pPr>
            <w:r>
              <w:t>32-33</w:t>
            </w:r>
          </w:p>
        </w:tc>
      </w:tr>
      <w:tr w:rsidR="002E352D" w:rsidRPr="00776E25" w:rsidTr="00FB78C9">
        <w:tc>
          <w:tcPr>
            <w:tcW w:w="6521" w:type="dxa"/>
          </w:tcPr>
          <w:p w:rsidR="002E352D" w:rsidRPr="001F15F1" w:rsidRDefault="002E352D" w:rsidP="00FB78C9">
            <w:pPr>
              <w:pStyle w:val="TableBodyText"/>
              <w:tabs>
                <w:tab w:val="left" w:pos="426"/>
                <w:tab w:val="left" w:pos="815"/>
              </w:tabs>
              <w:spacing w:before="40"/>
              <w:ind w:left="426"/>
              <w:jc w:val="left"/>
              <w:rPr>
                <w:i/>
              </w:rPr>
            </w:pPr>
            <w:r w:rsidRPr="001F15F1">
              <w:rPr>
                <w:i/>
              </w:rPr>
              <w:t>Carer Recognition Act 2010</w:t>
            </w:r>
            <w:r>
              <w:rPr>
                <w:i/>
              </w:rPr>
              <w:t xml:space="preserve"> – </w:t>
            </w:r>
            <w:r w:rsidRPr="001F15F1">
              <w:t>care agency reporting</w:t>
            </w:r>
          </w:p>
        </w:tc>
        <w:tc>
          <w:tcPr>
            <w:tcW w:w="2268" w:type="dxa"/>
          </w:tcPr>
          <w:p w:rsidR="002E352D" w:rsidDel="00DD1F51" w:rsidRDefault="00434171" w:rsidP="00FB78C9">
            <w:pPr>
              <w:pStyle w:val="TableBodyText"/>
              <w:spacing w:before="40"/>
            </w:pPr>
            <w:proofErr w:type="spellStart"/>
            <w:r>
              <w:t>n.a</w:t>
            </w:r>
            <w:proofErr w:type="spellEnd"/>
            <w:r>
              <w:t>.</w:t>
            </w:r>
          </w:p>
        </w:tc>
      </w:tr>
      <w:tr w:rsidR="002E352D" w:rsidRPr="00776E25" w:rsidTr="00FB78C9">
        <w:tc>
          <w:tcPr>
            <w:tcW w:w="6521" w:type="dxa"/>
          </w:tcPr>
          <w:p w:rsidR="002E352D" w:rsidRPr="00306DDA" w:rsidRDefault="002E352D" w:rsidP="00FB78C9">
            <w:pPr>
              <w:pStyle w:val="TableBodyText"/>
              <w:tabs>
                <w:tab w:val="left" w:pos="426"/>
                <w:tab w:val="left" w:pos="815"/>
              </w:tabs>
              <w:spacing w:before="40"/>
              <w:jc w:val="left"/>
            </w:pPr>
            <w:r w:rsidRPr="00306DDA">
              <w:tab/>
              <w:t>Discretionary grants</w:t>
            </w:r>
          </w:p>
        </w:tc>
        <w:tc>
          <w:tcPr>
            <w:tcW w:w="2268" w:type="dxa"/>
          </w:tcPr>
          <w:p w:rsidR="002E352D" w:rsidRPr="00306DDA" w:rsidRDefault="00434171" w:rsidP="00FB78C9">
            <w:pPr>
              <w:pStyle w:val="TableBodyText"/>
              <w:spacing w:before="40"/>
            </w:pPr>
            <w:proofErr w:type="spellStart"/>
            <w:r>
              <w:t>n.a</w:t>
            </w:r>
            <w:proofErr w:type="spellEnd"/>
            <w:r>
              <w:t>.</w:t>
            </w:r>
          </w:p>
        </w:tc>
      </w:tr>
      <w:tr w:rsidR="002E352D" w:rsidRPr="00776E25" w:rsidTr="00FB78C9">
        <w:tc>
          <w:tcPr>
            <w:tcW w:w="6521" w:type="dxa"/>
          </w:tcPr>
          <w:p w:rsidR="002E352D" w:rsidRPr="00306DDA" w:rsidRDefault="002E352D" w:rsidP="00FB78C9">
            <w:pPr>
              <w:pStyle w:val="TableBodyText"/>
              <w:tabs>
                <w:tab w:val="left" w:pos="426"/>
                <w:tab w:val="left" w:pos="815"/>
              </w:tabs>
              <w:spacing w:before="40"/>
              <w:ind w:left="426"/>
              <w:jc w:val="left"/>
            </w:pPr>
            <w:r w:rsidRPr="00DB2E59">
              <w:t>Disability reporting</w:t>
            </w:r>
          </w:p>
        </w:tc>
        <w:tc>
          <w:tcPr>
            <w:tcW w:w="2268" w:type="dxa"/>
          </w:tcPr>
          <w:p w:rsidR="002E352D" w:rsidDel="00DD1F51" w:rsidRDefault="00382489" w:rsidP="00FB78C9">
            <w:pPr>
              <w:pStyle w:val="TableBodyText"/>
              <w:spacing w:before="40"/>
            </w:pPr>
            <w:r>
              <w:t>30</w:t>
            </w:r>
          </w:p>
        </w:tc>
      </w:tr>
      <w:tr w:rsidR="002E352D" w:rsidRPr="00776E25" w:rsidTr="00FB78C9">
        <w:tc>
          <w:tcPr>
            <w:tcW w:w="6521" w:type="dxa"/>
          </w:tcPr>
          <w:p w:rsidR="002E352D" w:rsidRPr="00306DDA" w:rsidRDefault="002E352D" w:rsidP="00FB78C9">
            <w:pPr>
              <w:pStyle w:val="TableBodyText"/>
              <w:tabs>
                <w:tab w:val="left" w:pos="426"/>
                <w:tab w:val="left" w:pos="815"/>
              </w:tabs>
              <w:spacing w:before="120" w:after="0"/>
              <w:jc w:val="left"/>
            </w:pPr>
            <w:r w:rsidRPr="00306DDA">
              <w:rPr>
                <w:b/>
                <w:i/>
              </w:rPr>
              <w:t>Compliance with the Productivity Commission Act</w:t>
            </w:r>
          </w:p>
        </w:tc>
        <w:tc>
          <w:tcPr>
            <w:tcW w:w="2268" w:type="dxa"/>
          </w:tcPr>
          <w:p w:rsidR="002E352D" w:rsidRPr="00776E25" w:rsidRDefault="002E352D" w:rsidP="00FB78C9">
            <w:pPr>
              <w:rPr>
                <w:sz w:val="20"/>
                <w:szCs w:val="20"/>
              </w:rPr>
            </w:pPr>
          </w:p>
        </w:tc>
      </w:tr>
      <w:tr w:rsidR="002E352D" w:rsidRPr="00776E25" w:rsidTr="00FB78C9">
        <w:tc>
          <w:tcPr>
            <w:tcW w:w="6521" w:type="dxa"/>
          </w:tcPr>
          <w:p w:rsidR="002E352D" w:rsidRPr="00306DDA" w:rsidRDefault="002E352D" w:rsidP="00FB78C9">
            <w:pPr>
              <w:pStyle w:val="TableBodyText"/>
              <w:tabs>
                <w:tab w:val="left" w:pos="426"/>
                <w:tab w:val="left" w:pos="815"/>
              </w:tabs>
              <w:spacing w:before="40"/>
              <w:jc w:val="left"/>
            </w:pPr>
            <w:r w:rsidRPr="00306DDA">
              <w:t>The annual report is also prepared in accordance with the general provisions of s.10 of the Productivity Commission Act, as well as the following specific requirements:</w:t>
            </w:r>
          </w:p>
        </w:tc>
        <w:tc>
          <w:tcPr>
            <w:tcW w:w="2268" w:type="dxa"/>
          </w:tcPr>
          <w:p w:rsidR="002E352D" w:rsidRPr="00306DDA" w:rsidRDefault="002E352D" w:rsidP="00FB78C9">
            <w:pPr>
              <w:pStyle w:val="TableBodyText"/>
              <w:spacing w:before="40"/>
            </w:pPr>
          </w:p>
        </w:tc>
      </w:tr>
      <w:tr w:rsidR="002E352D" w:rsidRPr="00776E25" w:rsidTr="00FB78C9">
        <w:tc>
          <w:tcPr>
            <w:tcW w:w="6521" w:type="dxa"/>
          </w:tcPr>
          <w:p w:rsidR="002E352D" w:rsidRPr="00306DDA" w:rsidRDefault="002E352D" w:rsidP="00FB78C9">
            <w:pPr>
              <w:pStyle w:val="TableBodyText"/>
              <w:tabs>
                <w:tab w:val="left" w:pos="426"/>
                <w:tab w:val="left" w:pos="815"/>
              </w:tabs>
              <w:spacing w:before="40"/>
              <w:jc w:val="left"/>
            </w:pPr>
            <w:r w:rsidRPr="00306DDA">
              <w:t>s.10(1)</w:t>
            </w:r>
            <w:r w:rsidRPr="00306DDA">
              <w:tab/>
              <w:t>Commission operations</w:t>
            </w:r>
          </w:p>
        </w:tc>
        <w:tc>
          <w:tcPr>
            <w:tcW w:w="2268" w:type="dxa"/>
          </w:tcPr>
          <w:p w:rsidR="002E352D" w:rsidRPr="00306DDA" w:rsidRDefault="004D668A" w:rsidP="004D668A">
            <w:pPr>
              <w:pStyle w:val="TableBodyText"/>
              <w:spacing w:before="40"/>
            </w:pPr>
            <w:r>
              <w:t>chapter 1 and appendix B</w:t>
            </w:r>
          </w:p>
        </w:tc>
      </w:tr>
      <w:tr w:rsidR="002E352D" w:rsidRPr="00776E25" w:rsidTr="00FB78C9">
        <w:tc>
          <w:tcPr>
            <w:tcW w:w="6521" w:type="dxa"/>
          </w:tcPr>
          <w:p w:rsidR="002E352D" w:rsidRPr="00306DDA" w:rsidRDefault="002E352D" w:rsidP="00FB78C9">
            <w:pPr>
              <w:pStyle w:val="TableBodyText"/>
              <w:tabs>
                <w:tab w:val="left" w:pos="426"/>
                <w:tab w:val="left" w:pos="815"/>
              </w:tabs>
              <w:spacing w:before="40"/>
              <w:jc w:val="left"/>
            </w:pPr>
            <w:r w:rsidRPr="00306DDA">
              <w:t>s.10(2)</w:t>
            </w:r>
            <w:r w:rsidRPr="00306DDA">
              <w:tab/>
              <w:t xml:space="preserve">matters referred to the Commission </w:t>
            </w:r>
          </w:p>
        </w:tc>
        <w:tc>
          <w:tcPr>
            <w:tcW w:w="2268" w:type="dxa"/>
          </w:tcPr>
          <w:p w:rsidR="002E352D" w:rsidRPr="00306DDA" w:rsidRDefault="0045658D" w:rsidP="0045658D">
            <w:pPr>
              <w:pStyle w:val="TableBodyText"/>
              <w:spacing w:before="40"/>
            </w:pPr>
            <w:r>
              <w:t>appendix D</w:t>
            </w:r>
          </w:p>
        </w:tc>
      </w:tr>
      <w:tr w:rsidR="002E352D" w:rsidRPr="00776E25" w:rsidTr="00FB78C9">
        <w:tc>
          <w:tcPr>
            <w:tcW w:w="6521" w:type="dxa"/>
          </w:tcPr>
          <w:p w:rsidR="002E352D" w:rsidRPr="00306DDA" w:rsidRDefault="002E352D" w:rsidP="00FB78C9">
            <w:pPr>
              <w:pStyle w:val="TableBodyText"/>
              <w:tabs>
                <w:tab w:val="left" w:pos="426"/>
                <w:tab w:val="left" w:pos="815"/>
              </w:tabs>
              <w:spacing w:before="40"/>
              <w:jc w:val="left"/>
            </w:pPr>
            <w:r w:rsidRPr="00306DDA">
              <w:t>s.10(4)</w:t>
            </w:r>
            <w:r w:rsidRPr="00306DDA">
              <w:tab/>
              <w:t>competitive neutrality complaints</w:t>
            </w:r>
          </w:p>
        </w:tc>
        <w:tc>
          <w:tcPr>
            <w:tcW w:w="2268" w:type="dxa"/>
          </w:tcPr>
          <w:p w:rsidR="002E352D" w:rsidRPr="00306DDA" w:rsidRDefault="0045658D" w:rsidP="00FB78C9">
            <w:pPr>
              <w:pStyle w:val="TableBodyText"/>
              <w:spacing w:before="40"/>
            </w:pPr>
            <w:r>
              <w:t>appendix C</w:t>
            </w:r>
          </w:p>
        </w:tc>
      </w:tr>
      <w:tr w:rsidR="002E352D" w:rsidRPr="00F57A6E" w:rsidTr="00FB78C9">
        <w:tc>
          <w:tcPr>
            <w:tcW w:w="6521" w:type="dxa"/>
          </w:tcPr>
          <w:p w:rsidR="002E352D" w:rsidRPr="00306DDA" w:rsidRDefault="002E352D" w:rsidP="00FB78C9">
            <w:pPr>
              <w:pStyle w:val="TableBodyText"/>
              <w:tabs>
                <w:tab w:val="left" w:pos="426"/>
                <w:tab w:val="left" w:pos="815"/>
              </w:tabs>
              <w:spacing w:before="120"/>
              <w:jc w:val="left"/>
            </w:pPr>
            <w:r w:rsidRPr="00306DDA">
              <w:t xml:space="preserve">In association with this annual report, the Commission is preparing </w:t>
            </w:r>
            <w:r w:rsidRPr="00306DDA">
              <w:br/>
            </w:r>
            <w:r>
              <w:t>two</w:t>
            </w:r>
            <w:r w:rsidRPr="00306DDA">
              <w:t xml:space="preserve"> companion publication</w:t>
            </w:r>
            <w:r>
              <w:t>s</w:t>
            </w:r>
            <w:r w:rsidRPr="00306DDA">
              <w:t xml:space="preserve">: </w:t>
            </w:r>
          </w:p>
          <w:p w:rsidR="002E352D" w:rsidRDefault="002E352D" w:rsidP="00FB78C9">
            <w:pPr>
              <w:pStyle w:val="TableBullet"/>
              <w:tabs>
                <w:tab w:val="left" w:pos="426"/>
                <w:tab w:val="left" w:pos="815"/>
              </w:tabs>
              <w:rPr>
                <w:i/>
              </w:rPr>
            </w:pPr>
            <w:r>
              <w:rPr>
                <w:i/>
              </w:rPr>
              <w:t>Productivity Update 2015</w:t>
            </w:r>
          </w:p>
          <w:p w:rsidR="002E352D" w:rsidRPr="00306DDA" w:rsidRDefault="002E352D" w:rsidP="002E352D">
            <w:pPr>
              <w:pStyle w:val="TableBullet"/>
              <w:tabs>
                <w:tab w:val="left" w:pos="426"/>
                <w:tab w:val="left" w:pos="815"/>
              </w:tabs>
              <w:rPr>
                <w:i/>
              </w:rPr>
            </w:pPr>
            <w:r w:rsidRPr="00306DDA">
              <w:rPr>
                <w:i/>
              </w:rPr>
              <w:t>Trade &amp; Assistance Review 20</w:t>
            </w:r>
            <w:r>
              <w:rPr>
                <w:i/>
              </w:rPr>
              <w:t>13-14</w:t>
            </w:r>
          </w:p>
        </w:tc>
        <w:tc>
          <w:tcPr>
            <w:tcW w:w="2268" w:type="dxa"/>
          </w:tcPr>
          <w:p w:rsidR="002E352D" w:rsidRPr="00306DDA" w:rsidRDefault="002E352D" w:rsidP="00FB78C9">
            <w:pPr>
              <w:pStyle w:val="TableBodyText"/>
              <w:spacing w:before="40"/>
            </w:pPr>
          </w:p>
        </w:tc>
      </w:tr>
    </w:tbl>
    <w:p w:rsidR="00A75BC5" w:rsidRPr="00F57A6E" w:rsidRDefault="00A75BC5" w:rsidP="00684068">
      <w:pPr>
        <w:pStyle w:val="BodyText"/>
        <w:spacing w:before="0"/>
      </w:pPr>
    </w:p>
    <w:sectPr w:rsidR="00A75BC5" w:rsidRPr="00F57A6E" w:rsidSect="0012204E">
      <w:headerReference w:type="even" r:id="rId13"/>
      <w:headerReference w:type="default" r:id="rId14"/>
      <w:footerReference w:type="even" r:id="rId15"/>
      <w:footerReference w:type="default" r:id="rId16"/>
      <w:type w:val="oddPage"/>
      <w:pgSz w:w="11907" w:h="16840" w:code="9"/>
      <w:pgMar w:top="1985" w:right="1304" w:bottom="1247" w:left="1814" w:header="1701" w:footer="397" w:gutter="0"/>
      <w:pgNumType w:start="19" w:chapStyle="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78C9" w:rsidRDefault="00FB78C9">
      <w:r>
        <w:separator/>
      </w:r>
    </w:p>
  </w:endnote>
  <w:endnote w:type="continuationSeparator" w:id="0">
    <w:p w:rsidR="00FB78C9" w:rsidRDefault="00FB7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8C9" w:rsidRDefault="00FB78C9" w:rsidP="00FB78C9">
    <w:pPr>
      <w:pStyle w:val="FooterEnd"/>
    </w:pPr>
  </w:p>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C4530" w:rsidTr="003552C5">
      <w:trPr>
        <w:trHeight w:hRule="exact" w:val="567"/>
      </w:trPr>
      <w:tc>
        <w:tcPr>
          <w:tcW w:w="510" w:type="dxa"/>
        </w:tcPr>
        <w:p w:rsidR="00EC4530" w:rsidRPr="00A24443" w:rsidRDefault="00EC4530" w:rsidP="003552C5">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82C65">
            <w:rPr>
              <w:rStyle w:val="PageNumber"/>
              <w:caps w:val="0"/>
              <w:noProof/>
            </w:rPr>
            <w:t>22</w:t>
          </w:r>
          <w:r w:rsidRPr="00A24443">
            <w:rPr>
              <w:rStyle w:val="PageNumber"/>
              <w:caps w:val="0"/>
            </w:rPr>
            <w:fldChar w:fldCharType="end"/>
          </w:r>
        </w:p>
      </w:tc>
      <w:tc>
        <w:tcPr>
          <w:tcW w:w="7767" w:type="dxa"/>
        </w:tcPr>
        <w:p w:rsidR="00EC4530" w:rsidRPr="0013739A" w:rsidRDefault="00EC4530" w:rsidP="003552C5">
          <w:pPr>
            <w:pStyle w:val="Footer"/>
            <w:rPr>
              <w:rFonts w:cs="Arial"/>
            </w:rPr>
          </w:pPr>
          <w:r w:rsidRPr="00BA5B14">
            <w:rPr>
              <w:rFonts w:cs="Arial"/>
            </w:rPr>
            <w:fldChar w:fldCharType="begin"/>
          </w:r>
          <w:r w:rsidRPr="00BA5B14">
            <w:rPr>
              <w:rFonts w:cs="Arial"/>
            </w:rPr>
            <w:instrText xml:space="preserve"> SUBJECT  \* MERGEFORMAT </w:instrText>
          </w:r>
          <w:r w:rsidRPr="00BA5B14">
            <w:rPr>
              <w:rFonts w:cs="Arial"/>
            </w:rPr>
            <w:fldChar w:fldCharType="separate"/>
          </w:r>
          <w:r w:rsidR="00380FE3">
            <w:rPr>
              <w:rFonts w:cs="Arial"/>
            </w:rPr>
            <w:t>Annual Report 2013-14</w:t>
          </w:r>
          <w:r w:rsidRPr="00BA5B14">
            <w:rPr>
              <w:rFonts w:cs="Arial"/>
            </w:rPr>
            <w:fldChar w:fldCharType="end"/>
          </w:r>
          <w:bookmarkStart w:id="5" w:name="DraftReportEven"/>
          <w:bookmarkEnd w:id="5"/>
        </w:p>
      </w:tc>
      <w:tc>
        <w:tcPr>
          <w:tcW w:w="510" w:type="dxa"/>
        </w:tcPr>
        <w:p w:rsidR="00EC4530" w:rsidRDefault="00EC4530" w:rsidP="003552C5">
          <w:pPr>
            <w:pStyle w:val="Footer"/>
          </w:pPr>
        </w:p>
      </w:tc>
    </w:tr>
  </w:tbl>
  <w:p w:rsidR="00EC4530" w:rsidRDefault="00EC4530" w:rsidP="00EC4530">
    <w:pPr>
      <w:pStyle w:val="FooterEnd"/>
    </w:pPr>
  </w:p>
  <w:p w:rsidR="00EC4530" w:rsidRDefault="00EC4530" w:rsidP="00EC4530">
    <w:pPr>
      <w:pStyle w:val="FooterEnd"/>
    </w:pPr>
  </w:p>
  <w:p w:rsidR="00FB78C9" w:rsidRDefault="00FB78C9" w:rsidP="00D02575">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2204E" w:rsidTr="00DD6EFF">
      <w:trPr>
        <w:trHeight w:hRule="exact" w:val="567"/>
      </w:trPr>
      <w:tc>
        <w:tcPr>
          <w:tcW w:w="510" w:type="dxa"/>
        </w:tcPr>
        <w:p w:rsidR="0012204E" w:rsidRDefault="0012204E" w:rsidP="00DD6EFF">
          <w:pPr>
            <w:pStyle w:val="Footer"/>
            <w:ind w:right="360" w:firstLine="360"/>
          </w:pPr>
        </w:p>
      </w:tc>
      <w:tc>
        <w:tcPr>
          <w:tcW w:w="7767" w:type="dxa"/>
        </w:tcPr>
        <w:p w:rsidR="0012204E" w:rsidRPr="00BA5B14" w:rsidRDefault="0012204E" w:rsidP="00DD6EFF">
          <w:pPr>
            <w:pStyle w:val="Footer"/>
            <w:jc w:val="right"/>
            <w:rPr>
              <w:rFonts w:cs="Arial"/>
            </w:rPr>
          </w:pPr>
          <w:r w:rsidRPr="00BA5B14">
            <w:rPr>
              <w:rFonts w:cs="Arial"/>
            </w:rPr>
            <w:fldChar w:fldCharType="begin"/>
          </w:r>
          <w:r w:rsidRPr="00BA5B14">
            <w:rPr>
              <w:rFonts w:cs="Arial"/>
            </w:rPr>
            <w:instrText xml:space="preserve"> TITLE  \* MERGEFORMAT </w:instrText>
          </w:r>
          <w:r w:rsidRPr="00BA5B14">
            <w:rPr>
              <w:rFonts w:cs="Arial"/>
            </w:rPr>
            <w:fldChar w:fldCharType="separate"/>
          </w:r>
          <w:r w:rsidR="00380FE3">
            <w:rPr>
              <w:rFonts w:cs="Arial"/>
            </w:rPr>
            <w:t>Management and accountability</w:t>
          </w:r>
          <w:r w:rsidRPr="00BA5B14">
            <w:rPr>
              <w:rFonts w:cs="Arial"/>
            </w:rPr>
            <w:fldChar w:fldCharType="end"/>
          </w:r>
        </w:p>
      </w:tc>
      <w:tc>
        <w:tcPr>
          <w:tcW w:w="510" w:type="dxa"/>
        </w:tcPr>
        <w:p w:rsidR="0012204E" w:rsidRPr="00A24443" w:rsidRDefault="0012204E" w:rsidP="00DD6EFF">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82C65">
            <w:rPr>
              <w:rStyle w:val="PageNumber"/>
              <w:caps w:val="0"/>
              <w:noProof/>
            </w:rPr>
            <w:t>21</w:t>
          </w:r>
          <w:r w:rsidRPr="00A24443">
            <w:rPr>
              <w:rStyle w:val="PageNumber"/>
              <w:caps w:val="0"/>
            </w:rPr>
            <w:fldChar w:fldCharType="end"/>
          </w:r>
        </w:p>
      </w:tc>
    </w:tr>
  </w:tbl>
  <w:p w:rsidR="0012204E" w:rsidRDefault="0012204E" w:rsidP="0012204E">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78C9" w:rsidRDefault="00FB78C9">
      <w:r>
        <w:separator/>
      </w:r>
    </w:p>
  </w:footnote>
  <w:footnote w:type="continuationSeparator" w:id="0">
    <w:p w:rsidR="00FB78C9" w:rsidRDefault="00FB78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E82C65">
      <w:tc>
        <w:tcPr>
          <w:tcW w:w="2155" w:type="dxa"/>
          <w:tcBorders>
            <w:top w:val="single" w:sz="24" w:space="0" w:color="auto"/>
          </w:tcBorders>
        </w:tcPr>
        <w:p w:rsidR="00E82C65" w:rsidRDefault="00E82C65" w:rsidP="0019293B">
          <w:pPr>
            <w:pStyle w:val="HeaderEven"/>
          </w:pPr>
        </w:p>
      </w:tc>
      <w:tc>
        <w:tcPr>
          <w:tcW w:w="6634" w:type="dxa"/>
          <w:tcBorders>
            <w:top w:val="single" w:sz="6" w:space="0" w:color="auto"/>
          </w:tcBorders>
        </w:tcPr>
        <w:p w:rsidR="00E82C65" w:rsidRDefault="00E82C65" w:rsidP="0019293B">
          <w:pPr>
            <w:pStyle w:val="HeaderEven"/>
          </w:pPr>
        </w:p>
      </w:tc>
    </w:tr>
  </w:tbl>
  <w:p w:rsidR="00E82C65" w:rsidRDefault="00E82C65" w:rsidP="0019293B">
    <w:pPr>
      <w:pStyle w:val="HeaderEnd"/>
    </w:pPr>
  </w:p>
  <w:p w:rsidR="00FB78C9" w:rsidRDefault="00FB78C9">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2204E" w:rsidTr="00DD6EFF">
      <w:tc>
        <w:tcPr>
          <w:tcW w:w="6634" w:type="dxa"/>
          <w:tcBorders>
            <w:top w:val="single" w:sz="6" w:space="0" w:color="auto"/>
          </w:tcBorders>
        </w:tcPr>
        <w:p w:rsidR="0012204E" w:rsidRDefault="0012204E" w:rsidP="00DD6EFF">
          <w:pPr>
            <w:pStyle w:val="HeaderOdd"/>
          </w:pPr>
        </w:p>
      </w:tc>
      <w:tc>
        <w:tcPr>
          <w:tcW w:w="2155" w:type="dxa"/>
          <w:tcBorders>
            <w:top w:val="single" w:sz="24" w:space="0" w:color="auto"/>
          </w:tcBorders>
        </w:tcPr>
        <w:p w:rsidR="0012204E" w:rsidRDefault="0012204E" w:rsidP="00DD6EFF">
          <w:pPr>
            <w:pStyle w:val="HeaderOdd"/>
          </w:pPr>
        </w:p>
      </w:tc>
    </w:tr>
  </w:tbl>
  <w:p w:rsidR="0012204E" w:rsidRDefault="0012204E" w:rsidP="0012204E">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8">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9">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2">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5">
    <w:nsid w:val="51F74561"/>
    <w:multiLevelType w:val="singleLevel"/>
    <w:tmpl w:val="ED98921A"/>
    <w:lvl w:ilvl="0">
      <w:start w:val="1"/>
      <w:numFmt w:val="decimal"/>
      <w:lvlText w:val="%1."/>
      <w:legacy w:legacy="1" w:legacySpace="0" w:legacyIndent="340"/>
      <w:lvlJc w:val="left"/>
      <w:pPr>
        <w:ind w:left="340" w:hanging="340"/>
      </w:pPr>
    </w:lvl>
  </w:abstractNum>
  <w:abstractNum w:abstractNumId="2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8">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0">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2">
    <w:nsid w:val="5A096576"/>
    <w:multiLevelType w:val="singleLevel"/>
    <w:tmpl w:val="ED98921A"/>
    <w:lvl w:ilvl="0">
      <w:start w:val="1"/>
      <w:numFmt w:val="decimal"/>
      <w:lvlText w:val="%1."/>
      <w:legacy w:legacy="1" w:legacySpace="0" w:legacyIndent="340"/>
      <w:lvlJc w:val="left"/>
      <w:pPr>
        <w:ind w:left="340" w:hanging="340"/>
      </w:pPr>
    </w:lvl>
  </w:abstractNum>
  <w:abstractNum w:abstractNumId="33">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60055F7F"/>
    <w:multiLevelType w:val="singleLevel"/>
    <w:tmpl w:val="ED98921A"/>
    <w:lvl w:ilvl="0">
      <w:start w:val="1"/>
      <w:numFmt w:val="decimal"/>
      <w:lvlText w:val="%1."/>
      <w:legacy w:legacy="1" w:legacySpace="0" w:legacyIndent="340"/>
      <w:lvlJc w:val="left"/>
      <w:pPr>
        <w:ind w:left="340" w:hanging="340"/>
      </w:pPr>
    </w:lvl>
  </w:abstractNum>
  <w:abstractNum w:abstractNumId="35">
    <w:nsid w:val="608E741E"/>
    <w:multiLevelType w:val="singleLevel"/>
    <w:tmpl w:val="ED98921A"/>
    <w:lvl w:ilvl="0">
      <w:start w:val="1"/>
      <w:numFmt w:val="decimal"/>
      <w:lvlText w:val="%1."/>
      <w:legacy w:legacy="1" w:legacySpace="0" w:legacyIndent="340"/>
      <w:lvlJc w:val="left"/>
      <w:pPr>
        <w:ind w:left="340" w:hanging="340"/>
      </w:pPr>
    </w:lvl>
  </w:abstractNum>
  <w:abstractNum w:abstractNumId="36">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61320C1E"/>
    <w:multiLevelType w:val="singleLevel"/>
    <w:tmpl w:val="C444122C"/>
    <w:lvl w:ilvl="0">
      <w:start w:val="1"/>
      <w:numFmt w:val="decimal"/>
      <w:lvlText w:val="%1."/>
      <w:legacy w:legacy="1" w:legacySpace="0" w:legacyIndent="284"/>
      <w:lvlJc w:val="left"/>
      <w:pPr>
        <w:ind w:left="284" w:hanging="284"/>
      </w:pPr>
    </w:lvl>
  </w:abstractNum>
  <w:abstractNum w:abstractNumId="38">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9">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40">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1">
    <w:nsid w:val="6B915E54"/>
    <w:multiLevelType w:val="multilevel"/>
    <w:tmpl w:val="FB2ED4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3">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7">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9"/>
  </w:num>
  <w:num w:numId="2">
    <w:abstractNumId w:val="9"/>
  </w:num>
  <w:num w:numId="3">
    <w:abstractNumId w:val="10"/>
  </w:num>
  <w:num w:numId="4">
    <w:abstractNumId w:val="16"/>
  </w:num>
  <w:num w:numId="5">
    <w:abstractNumId w:val="26"/>
  </w:num>
  <w:num w:numId="6">
    <w:abstractNumId w:val="21"/>
  </w:num>
  <w:num w:numId="7">
    <w:abstractNumId w:val="45"/>
  </w:num>
  <w:num w:numId="8">
    <w:abstractNumId w:val="46"/>
  </w:num>
  <w:num w:numId="9">
    <w:abstractNumId w:val="18"/>
  </w:num>
  <w:num w:numId="10">
    <w:abstractNumId w:val="27"/>
  </w:num>
  <w:num w:numId="11">
    <w:abstractNumId w:val="29"/>
  </w:num>
  <w:num w:numId="12">
    <w:abstractNumId w:val="7"/>
  </w:num>
  <w:num w:numId="13">
    <w:abstractNumId w:val="15"/>
  </w:num>
  <w:num w:numId="14">
    <w:abstractNumId w:val="14"/>
  </w:num>
  <w:num w:numId="15">
    <w:abstractNumId w:val="20"/>
  </w:num>
  <w:num w:numId="16">
    <w:abstractNumId w:val="23"/>
  </w:num>
  <w:num w:numId="17">
    <w:abstractNumId w:val="31"/>
  </w:num>
  <w:num w:numId="18">
    <w:abstractNumId w:val="5"/>
  </w:num>
  <w:num w:numId="19">
    <w:abstractNumId w:val="3"/>
  </w:num>
  <w:num w:numId="20">
    <w:abstractNumId w:val="2"/>
  </w:num>
  <w:num w:numId="21">
    <w:abstractNumId w:val="4"/>
  </w:num>
  <w:num w:numId="22">
    <w:abstractNumId w:val="1"/>
  </w:num>
  <w:num w:numId="23">
    <w:abstractNumId w:val="0"/>
  </w:num>
  <w:num w:numId="24">
    <w:abstractNumId w:val="12"/>
  </w:num>
  <w:num w:numId="25">
    <w:abstractNumId w:val="35"/>
  </w:num>
  <w:num w:numId="26">
    <w:abstractNumId w:val="38"/>
  </w:num>
  <w:num w:numId="27">
    <w:abstractNumId w:val="25"/>
  </w:num>
  <w:num w:numId="28">
    <w:abstractNumId w:val="28"/>
  </w:num>
  <w:num w:numId="29">
    <w:abstractNumId w:val="30"/>
  </w:num>
  <w:num w:numId="30">
    <w:abstractNumId w:val="44"/>
  </w:num>
  <w:num w:numId="31">
    <w:abstractNumId w:val="34"/>
  </w:num>
  <w:num w:numId="32">
    <w:abstractNumId w:val="40"/>
  </w:num>
  <w:num w:numId="33">
    <w:abstractNumId w:val="42"/>
  </w:num>
  <w:num w:numId="34">
    <w:abstractNumId w:val="32"/>
  </w:num>
  <w:num w:numId="35">
    <w:abstractNumId w:val="22"/>
  </w:num>
  <w:num w:numId="36">
    <w:abstractNumId w:val="47"/>
  </w:num>
  <w:num w:numId="37">
    <w:abstractNumId w:val="8"/>
  </w:num>
  <w:num w:numId="38">
    <w:abstractNumId w:val="19"/>
  </w:num>
  <w:num w:numId="39">
    <w:abstractNumId w:val="43"/>
  </w:num>
  <w:num w:numId="40">
    <w:abstractNumId w:val="33"/>
  </w:num>
  <w:num w:numId="41">
    <w:abstractNumId w:val="13"/>
  </w:num>
  <w:num w:numId="42">
    <w:abstractNumId w:val="37"/>
  </w:num>
  <w:num w:numId="43">
    <w:abstractNumId w:val="24"/>
  </w:num>
  <w:num w:numId="44">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5">
    <w:abstractNumId w:val="11"/>
  </w:num>
  <w:num w:numId="46">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47">
    <w:abstractNumId w:val="36"/>
  </w:num>
  <w:num w:numId="48">
    <w:abstractNumId w:val="17"/>
  </w:num>
  <w:num w:numId="49">
    <w:abstractNumId w:val="4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en-AU" w:vendorID="8" w:dllVersion="513" w:checkStyle="1"/>
  <w:proofState w:spelling="clean" w:grammar="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40"/>
  <w:evenAndOddHeaders/>
  <w:displayHorizontalDrawingGridEvery w:val="0"/>
  <w:displayVerticalDrawingGridEvery w:val="0"/>
  <w:doNotUseMarginsForDrawingGridOrigin/>
  <w:noPunctuationKerning/>
  <w:characterSpacingControl w:val="doNotCompress"/>
  <w:hdrShapeDefaults>
    <o:shapedefaults v:ext="edit" spidmax="1495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A"/>
    <w:docVar w:name="DocType" w:val="0"/>
    <w:docVar w:name="FindingOptions" w:val="1"/>
    <w:docVar w:name="LongChapterTitle" w:val="Chapter"/>
    <w:docVar w:name="LongReportTitle" w:val="Report title"/>
    <w:docVar w:name="RecOptions" w:val="111"/>
    <w:docVar w:name="ShortChapterTitle" w:val="Management and accountability"/>
    <w:docVar w:name="ShortReportTitle" w:val="Annual Report 2013-14"/>
    <w:docVar w:name="SideNote" w:val="1"/>
    <w:docVar w:name="UseShortChapter" w:val="0"/>
    <w:docVar w:name="UseShortReport" w:val="0"/>
  </w:docVars>
  <w:rsids>
    <w:rsidRoot w:val="00CE62EE"/>
    <w:rsid w:val="00001363"/>
    <w:rsid w:val="000024E3"/>
    <w:rsid w:val="00003F1E"/>
    <w:rsid w:val="00005920"/>
    <w:rsid w:val="00005B72"/>
    <w:rsid w:val="00010142"/>
    <w:rsid w:val="00021043"/>
    <w:rsid w:val="00022932"/>
    <w:rsid w:val="00024371"/>
    <w:rsid w:val="00024CA2"/>
    <w:rsid w:val="00031F15"/>
    <w:rsid w:val="00032A8E"/>
    <w:rsid w:val="00032C13"/>
    <w:rsid w:val="00034EB5"/>
    <w:rsid w:val="000402F0"/>
    <w:rsid w:val="000422A4"/>
    <w:rsid w:val="00044C66"/>
    <w:rsid w:val="000478F6"/>
    <w:rsid w:val="00052950"/>
    <w:rsid w:val="0005327C"/>
    <w:rsid w:val="00053627"/>
    <w:rsid w:val="0006109A"/>
    <w:rsid w:val="00061391"/>
    <w:rsid w:val="00062C7C"/>
    <w:rsid w:val="00063DDB"/>
    <w:rsid w:val="00064470"/>
    <w:rsid w:val="00071A39"/>
    <w:rsid w:val="00071A72"/>
    <w:rsid w:val="00075A6D"/>
    <w:rsid w:val="0007768F"/>
    <w:rsid w:val="00077B7C"/>
    <w:rsid w:val="0008057C"/>
    <w:rsid w:val="00080CE7"/>
    <w:rsid w:val="00080D7C"/>
    <w:rsid w:val="00081802"/>
    <w:rsid w:val="0008417E"/>
    <w:rsid w:val="0009091F"/>
    <w:rsid w:val="000918B4"/>
    <w:rsid w:val="00093F7B"/>
    <w:rsid w:val="00095F08"/>
    <w:rsid w:val="000A325B"/>
    <w:rsid w:val="000A4CDC"/>
    <w:rsid w:val="000A6088"/>
    <w:rsid w:val="000B01F1"/>
    <w:rsid w:val="000B7515"/>
    <w:rsid w:val="000B7CDD"/>
    <w:rsid w:val="000C09BF"/>
    <w:rsid w:val="000C110D"/>
    <w:rsid w:val="000C5F41"/>
    <w:rsid w:val="000C67A9"/>
    <w:rsid w:val="000D5D98"/>
    <w:rsid w:val="000D70E6"/>
    <w:rsid w:val="000D7489"/>
    <w:rsid w:val="000D7B20"/>
    <w:rsid w:val="000E0023"/>
    <w:rsid w:val="000E1484"/>
    <w:rsid w:val="000E567A"/>
    <w:rsid w:val="000F09D1"/>
    <w:rsid w:val="000F10A7"/>
    <w:rsid w:val="000F2D54"/>
    <w:rsid w:val="000F2E91"/>
    <w:rsid w:val="000F6534"/>
    <w:rsid w:val="001007A4"/>
    <w:rsid w:val="0010496C"/>
    <w:rsid w:val="001065C9"/>
    <w:rsid w:val="00106677"/>
    <w:rsid w:val="00106970"/>
    <w:rsid w:val="00106EAD"/>
    <w:rsid w:val="00110AC5"/>
    <w:rsid w:val="001118A6"/>
    <w:rsid w:val="001177DC"/>
    <w:rsid w:val="00117F52"/>
    <w:rsid w:val="0012015B"/>
    <w:rsid w:val="00120E5B"/>
    <w:rsid w:val="001219D0"/>
    <w:rsid w:val="0012204E"/>
    <w:rsid w:val="001231EE"/>
    <w:rsid w:val="00124219"/>
    <w:rsid w:val="001314D8"/>
    <w:rsid w:val="001336B7"/>
    <w:rsid w:val="00134C50"/>
    <w:rsid w:val="001350E3"/>
    <w:rsid w:val="0013579E"/>
    <w:rsid w:val="00137E76"/>
    <w:rsid w:val="001400A6"/>
    <w:rsid w:val="001446F9"/>
    <w:rsid w:val="0014794A"/>
    <w:rsid w:val="00147C35"/>
    <w:rsid w:val="00150C66"/>
    <w:rsid w:val="0015146C"/>
    <w:rsid w:val="001531CD"/>
    <w:rsid w:val="00153B8C"/>
    <w:rsid w:val="00155080"/>
    <w:rsid w:val="00157A09"/>
    <w:rsid w:val="00157B1E"/>
    <w:rsid w:val="00162D0D"/>
    <w:rsid w:val="001639E3"/>
    <w:rsid w:val="0016616F"/>
    <w:rsid w:val="0016627F"/>
    <w:rsid w:val="00167333"/>
    <w:rsid w:val="00167A70"/>
    <w:rsid w:val="00170115"/>
    <w:rsid w:val="001705BF"/>
    <w:rsid w:val="001749E0"/>
    <w:rsid w:val="00174A5C"/>
    <w:rsid w:val="00175F28"/>
    <w:rsid w:val="0017765F"/>
    <w:rsid w:val="00184383"/>
    <w:rsid w:val="001861F6"/>
    <w:rsid w:val="001876CC"/>
    <w:rsid w:val="00191C28"/>
    <w:rsid w:val="00193349"/>
    <w:rsid w:val="00196E2F"/>
    <w:rsid w:val="001A581C"/>
    <w:rsid w:val="001A5FDB"/>
    <w:rsid w:val="001A7596"/>
    <w:rsid w:val="001B114C"/>
    <w:rsid w:val="001B342C"/>
    <w:rsid w:val="001B5D23"/>
    <w:rsid w:val="001B7BFD"/>
    <w:rsid w:val="001C325B"/>
    <w:rsid w:val="001C4643"/>
    <w:rsid w:val="001C4F19"/>
    <w:rsid w:val="001C55F0"/>
    <w:rsid w:val="001C5FF0"/>
    <w:rsid w:val="001C770C"/>
    <w:rsid w:val="001C7C19"/>
    <w:rsid w:val="001D04C7"/>
    <w:rsid w:val="001D516C"/>
    <w:rsid w:val="001D535E"/>
    <w:rsid w:val="001E38CE"/>
    <w:rsid w:val="001E3C5E"/>
    <w:rsid w:val="001E53DE"/>
    <w:rsid w:val="001E5503"/>
    <w:rsid w:val="001E64A6"/>
    <w:rsid w:val="001E78F1"/>
    <w:rsid w:val="001F15F1"/>
    <w:rsid w:val="001F2757"/>
    <w:rsid w:val="001F4744"/>
    <w:rsid w:val="001F4D5D"/>
    <w:rsid w:val="001F512B"/>
    <w:rsid w:val="001F6440"/>
    <w:rsid w:val="001F765B"/>
    <w:rsid w:val="00200C19"/>
    <w:rsid w:val="00202F7F"/>
    <w:rsid w:val="00203FB3"/>
    <w:rsid w:val="0020592B"/>
    <w:rsid w:val="0020731B"/>
    <w:rsid w:val="00213115"/>
    <w:rsid w:val="00214DFD"/>
    <w:rsid w:val="00224215"/>
    <w:rsid w:val="00225A8F"/>
    <w:rsid w:val="002268A5"/>
    <w:rsid w:val="00231BCE"/>
    <w:rsid w:val="00232CE9"/>
    <w:rsid w:val="00233FC4"/>
    <w:rsid w:val="00235CD8"/>
    <w:rsid w:val="002361B9"/>
    <w:rsid w:val="002378C5"/>
    <w:rsid w:val="002406D7"/>
    <w:rsid w:val="00241EC2"/>
    <w:rsid w:val="002468C5"/>
    <w:rsid w:val="00246FA7"/>
    <w:rsid w:val="00247E44"/>
    <w:rsid w:val="002504EB"/>
    <w:rsid w:val="00251DF0"/>
    <w:rsid w:val="00251F32"/>
    <w:rsid w:val="00252751"/>
    <w:rsid w:val="0025390E"/>
    <w:rsid w:val="00254222"/>
    <w:rsid w:val="00262C79"/>
    <w:rsid w:val="00265A3D"/>
    <w:rsid w:val="0027119C"/>
    <w:rsid w:val="00271D97"/>
    <w:rsid w:val="00272837"/>
    <w:rsid w:val="00272911"/>
    <w:rsid w:val="00281041"/>
    <w:rsid w:val="002831CF"/>
    <w:rsid w:val="00284B6D"/>
    <w:rsid w:val="0028747B"/>
    <w:rsid w:val="002919E5"/>
    <w:rsid w:val="002A3D8F"/>
    <w:rsid w:val="002A57F9"/>
    <w:rsid w:val="002A7898"/>
    <w:rsid w:val="002B0B07"/>
    <w:rsid w:val="002B6DBD"/>
    <w:rsid w:val="002B7A30"/>
    <w:rsid w:val="002C3354"/>
    <w:rsid w:val="002C404C"/>
    <w:rsid w:val="002D1F27"/>
    <w:rsid w:val="002D542D"/>
    <w:rsid w:val="002D5775"/>
    <w:rsid w:val="002D7687"/>
    <w:rsid w:val="002E352D"/>
    <w:rsid w:val="002E4CEF"/>
    <w:rsid w:val="002E5768"/>
    <w:rsid w:val="002E576B"/>
    <w:rsid w:val="002E5778"/>
    <w:rsid w:val="002E6084"/>
    <w:rsid w:val="002E7415"/>
    <w:rsid w:val="002F4388"/>
    <w:rsid w:val="002F6D90"/>
    <w:rsid w:val="0030002C"/>
    <w:rsid w:val="00302C07"/>
    <w:rsid w:val="003045F8"/>
    <w:rsid w:val="00304C9F"/>
    <w:rsid w:val="00306DDA"/>
    <w:rsid w:val="0031098C"/>
    <w:rsid w:val="00312A45"/>
    <w:rsid w:val="00314821"/>
    <w:rsid w:val="003174C0"/>
    <w:rsid w:val="003179F9"/>
    <w:rsid w:val="00320F1C"/>
    <w:rsid w:val="00324946"/>
    <w:rsid w:val="00324AF2"/>
    <w:rsid w:val="00327B58"/>
    <w:rsid w:val="00330930"/>
    <w:rsid w:val="00332483"/>
    <w:rsid w:val="003334E0"/>
    <w:rsid w:val="00337181"/>
    <w:rsid w:val="003414EB"/>
    <w:rsid w:val="003445C8"/>
    <w:rsid w:val="003445ED"/>
    <w:rsid w:val="00344B0B"/>
    <w:rsid w:val="00345197"/>
    <w:rsid w:val="0035257A"/>
    <w:rsid w:val="00355169"/>
    <w:rsid w:val="00357BE4"/>
    <w:rsid w:val="003613C7"/>
    <w:rsid w:val="003618C3"/>
    <w:rsid w:val="00362ABC"/>
    <w:rsid w:val="00365EC8"/>
    <w:rsid w:val="00366E42"/>
    <w:rsid w:val="00373B2E"/>
    <w:rsid w:val="00374363"/>
    <w:rsid w:val="0037585A"/>
    <w:rsid w:val="00376015"/>
    <w:rsid w:val="00380FE3"/>
    <w:rsid w:val="00382489"/>
    <w:rsid w:val="003825C2"/>
    <w:rsid w:val="00382E73"/>
    <w:rsid w:val="00384BB0"/>
    <w:rsid w:val="0038649F"/>
    <w:rsid w:val="00390871"/>
    <w:rsid w:val="00390A03"/>
    <w:rsid w:val="003934D6"/>
    <w:rsid w:val="00394202"/>
    <w:rsid w:val="00395356"/>
    <w:rsid w:val="003A24DB"/>
    <w:rsid w:val="003A254F"/>
    <w:rsid w:val="003A5FDB"/>
    <w:rsid w:val="003A698D"/>
    <w:rsid w:val="003B03D1"/>
    <w:rsid w:val="003B3150"/>
    <w:rsid w:val="003B3610"/>
    <w:rsid w:val="003B3ADC"/>
    <w:rsid w:val="003C0ECE"/>
    <w:rsid w:val="003C2A19"/>
    <w:rsid w:val="003C43FF"/>
    <w:rsid w:val="003C53DD"/>
    <w:rsid w:val="003C6310"/>
    <w:rsid w:val="003C78C3"/>
    <w:rsid w:val="003C798D"/>
    <w:rsid w:val="003D181C"/>
    <w:rsid w:val="003D5BB3"/>
    <w:rsid w:val="003E114F"/>
    <w:rsid w:val="003E2E51"/>
    <w:rsid w:val="003E4EEB"/>
    <w:rsid w:val="003E6FFF"/>
    <w:rsid w:val="003F119C"/>
    <w:rsid w:val="003F23C6"/>
    <w:rsid w:val="003F2481"/>
    <w:rsid w:val="003F2A70"/>
    <w:rsid w:val="003F3186"/>
    <w:rsid w:val="003F355F"/>
    <w:rsid w:val="003F40A5"/>
    <w:rsid w:val="003F45EE"/>
    <w:rsid w:val="003F7562"/>
    <w:rsid w:val="004007F7"/>
    <w:rsid w:val="00401C4C"/>
    <w:rsid w:val="00405742"/>
    <w:rsid w:val="0040669A"/>
    <w:rsid w:val="00407579"/>
    <w:rsid w:val="0041108D"/>
    <w:rsid w:val="00411B90"/>
    <w:rsid w:val="004131A8"/>
    <w:rsid w:val="004147A1"/>
    <w:rsid w:val="00415B3C"/>
    <w:rsid w:val="0042384F"/>
    <w:rsid w:val="0042394E"/>
    <w:rsid w:val="00425108"/>
    <w:rsid w:val="00427B75"/>
    <w:rsid w:val="0043095F"/>
    <w:rsid w:val="00431F6F"/>
    <w:rsid w:val="00434171"/>
    <w:rsid w:val="00435056"/>
    <w:rsid w:val="00436375"/>
    <w:rsid w:val="00437673"/>
    <w:rsid w:val="00446314"/>
    <w:rsid w:val="00450A2A"/>
    <w:rsid w:val="00451091"/>
    <w:rsid w:val="00452004"/>
    <w:rsid w:val="00453727"/>
    <w:rsid w:val="00454458"/>
    <w:rsid w:val="00455759"/>
    <w:rsid w:val="0045658D"/>
    <w:rsid w:val="0046199D"/>
    <w:rsid w:val="004626D2"/>
    <w:rsid w:val="00462B90"/>
    <w:rsid w:val="004639F7"/>
    <w:rsid w:val="00466DC6"/>
    <w:rsid w:val="00467FEE"/>
    <w:rsid w:val="00472863"/>
    <w:rsid w:val="00473531"/>
    <w:rsid w:val="00474387"/>
    <w:rsid w:val="0047511B"/>
    <w:rsid w:val="004777B7"/>
    <w:rsid w:val="00481312"/>
    <w:rsid w:val="00485D93"/>
    <w:rsid w:val="00486700"/>
    <w:rsid w:val="004870B3"/>
    <w:rsid w:val="00494205"/>
    <w:rsid w:val="004A1AC6"/>
    <w:rsid w:val="004A32CB"/>
    <w:rsid w:val="004A4188"/>
    <w:rsid w:val="004A4528"/>
    <w:rsid w:val="004A477B"/>
    <w:rsid w:val="004A5DEE"/>
    <w:rsid w:val="004B1092"/>
    <w:rsid w:val="004B210E"/>
    <w:rsid w:val="004B2AAC"/>
    <w:rsid w:val="004B2EB1"/>
    <w:rsid w:val="004B37F2"/>
    <w:rsid w:val="004B3FEF"/>
    <w:rsid w:val="004B5744"/>
    <w:rsid w:val="004B61B0"/>
    <w:rsid w:val="004B6D24"/>
    <w:rsid w:val="004B6FB3"/>
    <w:rsid w:val="004C26E0"/>
    <w:rsid w:val="004C7795"/>
    <w:rsid w:val="004D1905"/>
    <w:rsid w:val="004D47F6"/>
    <w:rsid w:val="004D4D45"/>
    <w:rsid w:val="004D668A"/>
    <w:rsid w:val="004E1C56"/>
    <w:rsid w:val="004E218E"/>
    <w:rsid w:val="004E4BF6"/>
    <w:rsid w:val="004E5F8D"/>
    <w:rsid w:val="004F1E85"/>
    <w:rsid w:val="004F5563"/>
    <w:rsid w:val="00500FDD"/>
    <w:rsid w:val="00503C4E"/>
    <w:rsid w:val="00511555"/>
    <w:rsid w:val="005126A0"/>
    <w:rsid w:val="0051379B"/>
    <w:rsid w:val="005150C6"/>
    <w:rsid w:val="00515BA9"/>
    <w:rsid w:val="00524465"/>
    <w:rsid w:val="00524F3B"/>
    <w:rsid w:val="00531308"/>
    <w:rsid w:val="0053405E"/>
    <w:rsid w:val="00534887"/>
    <w:rsid w:val="005362AB"/>
    <w:rsid w:val="00536B21"/>
    <w:rsid w:val="00541E7E"/>
    <w:rsid w:val="005451BA"/>
    <w:rsid w:val="005473D8"/>
    <w:rsid w:val="00556CA2"/>
    <w:rsid w:val="00557D40"/>
    <w:rsid w:val="0057198A"/>
    <w:rsid w:val="00571E94"/>
    <w:rsid w:val="005726E9"/>
    <w:rsid w:val="005738BF"/>
    <w:rsid w:val="00576893"/>
    <w:rsid w:val="005876E4"/>
    <w:rsid w:val="00594B13"/>
    <w:rsid w:val="00594C00"/>
    <w:rsid w:val="005963B9"/>
    <w:rsid w:val="005A0B74"/>
    <w:rsid w:val="005A0F78"/>
    <w:rsid w:val="005A2808"/>
    <w:rsid w:val="005A2C6D"/>
    <w:rsid w:val="005A3B35"/>
    <w:rsid w:val="005A4FAA"/>
    <w:rsid w:val="005A5F69"/>
    <w:rsid w:val="005B063B"/>
    <w:rsid w:val="005B3851"/>
    <w:rsid w:val="005B3AC7"/>
    <w:rsid w:val="005B5DB3"/>
    <w:rsid w:val="005B71C7"/>
    <w:rsid w:val="005B7228"/>
    <w:rsid w:val="005B725D"/>
    <w:rsid w:val="005C5B01"/>
    <w:rsid w:val="005C629D"/>
    <w:rsid w:val="005C6447"/>
    <w:rsid w:val="005D1914"/>
    <w:rsid w:val="005D22E1"/>
    <w:rsid w:val="005D3160"/>
    <w:rsid w:val="005D6216"/>
    <w:rsid w:val="005D682B"/>
    <w:rsid w:val="005D6E7C"/>
    <w:rsid w:val="005D7482"/>
    <w:rsid w:val="005E1E6B"/>
    <w:rsid w:val="005E2A96"/>
    <w:rsid w:val="005E3D3F"/>
    <w:rsid w:val="005E46DE"/>
    <w:rsid w:val="005E752E"/>
    <w:rsid w:val="005E7E3F"/>
    <w:rsid w:val="005F1FE3"/>
    <w:rsid w:val="005F5120"/>
    <w:rsid w:val="005F72F7"/>
    <w:rsid w:val="00612348"/>
    <w:rsid w:val="00612A5C"/>
    <w:rsid w:val="00614F0F"/>
    <w:rsid w:val="00615B0A"/>
    <w:rsid w:val="006161EB"/>
    <w:rsid w:val="006221EF"/>
    <w:rsid w:val="0062519E"/>
    <w:rsid w:val="00634816"/>
    <w:rsid w:val="00637F3A"/>
    <w:rsid w:val="00640BC9"/>
    <w:rsid w:val="0064146D"/>
    <w:rsid w:val="006433F1"/>
    <w:rsid w:val="00644C6A"/>
    <w:rsid w:val="00646002"/>
    <w:rsid w:val="00646492"/>
    <w:rsid w:val="00650870"/>
    <w:rsid w:val="00650A8E"/>
    <w:rsid w:val="00650E52"/>
    <w:rsid w:val="006515DD"/>
    <w:rsid w:val="0065372E"/>
    <w:rsid w:val="006602B6"/>
    <w:rsid w:val="00661A82"/>
    <w:rsid w:val="00663530"/>
    <w:rsid w:val="00663DF1"/>
    <w:rsid w:val="0066467D"/>
    <w:rsid w:val="0066628B"/>
    <w:rsid w:val="006703E6"/>
    <w:rsid w:val="00671F6E"/>
    <w:rsid w:val="006728D3"/>
    <w:rsid w:val="00673A0E"/>
    <w:rsid w:val="00674D1C"/>
    <w:rsid w:val="0067724C"/>
    <w:rsid w:val="00677BD0"/>
    <w:rsid w:val="00680278"/>
    <w:rsid w:val="00682BD3"/>
    <w:rsid w:val="00684068"/>
    <w:rsid w:val="00686271"/>
    <w:rsid w:val="00686BDC"/>
    <w:rsid w:val="0069285A"/>
    <w:rsid w:val="0069383F"/>
    <w:rsid w:val="00693EAB"/>
    <w:rsid w:val="006959BC"/>
    <w:rsid w:val="006A22BC"/>
    <w:rsid w:val="006A2A4C"/>
    <w:rsid w:val="006B0DCD"/>
    <w:rsid w:val="006B727A"/>
    <w:rsid w:val="006C0A14"/>
    <w:rsid w:val="006C62AE"/>
    <w:rsid w:val="006D22A4"/>
    <w:rsid w:val="006D3AF8"/>
    <w:rsid w:val="006D43E1"/>
    <w:rsid w:val="006D4766"/>
    <w:rsid w:val="006D642F"/>
    <w:rsid w:val="006E192C"/>
    <w:rsid w:val="006E23B4"/>
    <w:rsid w:val="006E2B3F"/>
    <w:rsid w:val="006E4D38"/>
    <w:rsid w:val="006E54C8"/>
    <w:rsid w:val="006E5EED"/>
    <w:rsid w:val="006E6EF7"/>
    <w:rsid w:val="006F058D"/>
    <w:rsid w:val="006F0DF4"/>
    <w:rsid w:val="00704318"/>
    <w:rsid w:val="007051D2"/>
    <w:rsid w:val="00705577"/>
    <w:rsid w:val="00706B09"/>
    <w:rsid w:val="0070771B"/>
    <w:rsid w:val="00710F78"/>
    <w:rsid w:val="007121F9"/>
    <w:rsid w:val="0071304D"/>
    <w:rsid w:val="00713085"/>
    <w:rsid w:val="00713FE8"/>
    <w:rsid w:val="00715D36"/>
    <w:rsid w:val="00727ED2"/>
    <w:rsid w:val="00732908"/>
    <w:rsid w:val="00732BB6"/>
    <w:rsid w:val="00735748"/>
    <w:rsid w:val="00735F3D"/>
    <w:rsid w:val="00736A69"/>
    <w:rsid w:val="00737423"/>
    <w:rsid w:val="00741481"/>
    <w:rsid w:val="00751328"/>
    <w:rsid w:val="0076089B"/>
    <w:rsid w:val="00763B8A"/>
    <w:rsid w:val="007710D8"/>
    <w:rsid w:val="007760D4"/>
    <w:rsid w:val="00776CE6"/>
    <w:rsid w:val="00776E25"/>
    <w:rsid w:val="007801CF"/>
    <w:rsid w:val="0078072A"/>
    <w:rsid w:val="007829A7"/>
    <w:rsid w:val="00783967"/>
    <w:rsid w:val="00785F8E"/>
    <w:rsid w:val="00785FAE"/>
    <w:rsid w:val="00791301"/>
    <w:rsid w:val="00791AA3"/>
    <w:rsid w:val="0079213A"/>
    <w:rsid w:val="00792437"/>
    <w:rsid w:val="0079321A"/>
    <w:rsid w:val="007954FB"/>
    <w:rsid w:val="00796376"/>
    <w:rsid w:val="007964A4"/>
    <w:rsid w:val="007A0595"/>
    <w:rsid w:val="007A1586"/>
    <w:rsid w:val="007A6E8D"/>
    <w:rsid w:val="007A776E"/>
    <w:rsid w:val="007B07D1"/>
    <w:rsid w:val="007B15B1"/>
    <w:rsid w:val="007B37A6"/>
    <w:rsid w:val="007B638F"/>
    <w:rsid w:val="007B65FE"/>
    <w:rsid w:val="007B7A3B"/>
    <w:rsid w:val="007C1092"/>
    <w:rsid w:val="007C3502"/>
    <w:rsid w:val="007C72C1"/>
    <w:rsid w:val="007D6007"/>
    <w:rsid w:val="007E1A4E"/>
    <w:rsid w:val="007E2060"/>
    <w:rsid w:val="007E2BD2"/>
    <w:rsid w:val="007E30C4"/>
    <w:rsid w:val="007E6564"/>
    <w:rsid w:val="007F469A"/>
    <w:rsid w:val="007F545F"/>
    <w:rsid w:val="008006F2"/>
    <w:rsid w:val="008012EF"/>
    <w:rsid w:val="00801F9D"/>
    <w:rsid w:val="0080448B"/>
    <w:rsid w:val="00805C9C"/>
    <w:rsid w:val="00806453"/>
    <w:rsid w:val="00812218"/>
    <w:rsid w:val="0081571A"/>
    <w:rsid w:val="008226D1"/>
    <w:rsid w:val="0082353A"/>
    <w:rsid w:val="00823661"/>
    <w:rsid w:val="008236C8"/>
    <w:rsid w:val="008321EB"/>
    <w:rsid w:val="008327D5"/>
    <w:rsid w:val="00835BC7"/>
    <w:rsid w:val="00841115"/>
    <w:rsid w:val="008425E1"/>
    <w:rsid w:val="008431FB"/>
    <w:rsid w:val="00844AC1"/>
    <w:rsid w:val="0084648F"/>
    <w:rsid w:val="00847E4A"/>
    <w:rsid w:val="008500CD"/>
    <w:rsid w:val="00850758"/>
    <w:rsid w:val="008509E3"/>
    <w:rsid w:val="008512FA"/>
    <w:rsid w:val="00861574"/>
    <w:rsid w:val="00861AA8"/>
    <w:rsid w:val="00862B6D"/>
    <w:rsid w:val="008632B1"/>
    <w:rsid w:val="008653BC"/>
    <w:rsid w:val="008673A4"/>
    <w:rsid w:val="0087075D"/>
    <w:rsid w:val="00877327"/>
    <w:rsid w:val="0088205B"/>
    <w:rsid w:val="00882D5A"/>
    <w:rsid w:val="00882EF4"/>
    <w:rsid w:val="00882F67"/>
    <w:rsid w:val="008832F4"/>
    <w:rsid w:val="008844C4"/>
    <w:rsid w:val="00885208"/>
    <w:rsid w:val="00891F0B"/>
    <w:rsid w:val="00892975"/>
    <w:rsid w:val="00893A76"/>
    <w:rsid w:val="008943C2"/>
    <w:rsid w:val="0089461F"/>
    <w:rsid w:val="008A0F81"/>
    <w:rsid w:val="008A1D62"/>
    <w:rsid w:val="008A5F4B"/>
    <w:rsid w:val="008A7828"/>
    <w:rsid w:val="008A7A0B"/>
    <w:rsid w:val="008A7EE5"/>
    <w:rsid w:val="008B02E9"/>
    <w:rsid w:val="008B08E6"/>
    <w:rsid w:val="008B6921"/>
    <w:rsid w:val="008C46A4"/>
    <w:rsid w:val="008D03CE"/>
    <w:rsid w:val="008D05F0"/>
    <w:rsid w:val="008D393E"/>
    <w:rsid w:val="008D4252"/>
    <w:rsid w:val="008D6085"/>
    <w:rsid w:val="008F0572"/>
    <w:rsid w:val="008F38FE"/>
    <w:rsid w:val="008F3C28"/>
    <w:rsid w:val="008F3CBE"/>
    <w:rsid w:val="008F4EFC"/>
    <w:rsid w:val="008F508A"/>
    <w:rsid w:val="008F5455"/>
    <w:rsid w:val="008F68A8"/>
    <w:rsid w:val="008F6AA8"/>
    <w:rsid w:val="0090484D"/>
    <w:rsid w:val="00905400"/>
    <w:rsid w:val="009103AA"/>
    <w:rsid w:val="00910C05"/>
    <w:rsid w:val="00911DF8"/>
    <w:rsid w:val="0091325E"/>
    <w:rsid w:val="0091414D"/>
    <w:rsid w:val="0091509A"/>
    <w:rsid w:val="00915CC2"/>
    <w:rsid w:val="00916364"/>
    <w:rsid w:val="00916449"/>
    <w:rsid w:val="0091677F"/>
    <w:rsid w:val="00921E08"/>
    <w:rsid w:val="00923BF6"/>
    <w:rsid w:val="00925519"/>
    <w:rsid w:val="00926A57"/>
    <w:rsid w:val="0092737D"/>
    <w:rsid w:val="00927E0E"/>
    <w:rsid w:val="00930641"/>
    <w:rsid w:val="009306F8"/>
    <w:rsid w:val="00933E0F"/>
    <w:rsid w:val="00940424"/>
    <w:rsid w:val="009405AC"/>
    <w:rsid w:val="00943143"/>
    <w:rsid w:val="009432BD"/>
    <w:rsid w:val="0094766B"/>
    <w:rsid w:val="00950268"/>
    <w:rsid w:val="0095198B"/>
    <w:rsid w:val="00952313"/>
    <w:rsid w:val="009541B9"/>
    <w:rsid w:val="009612FE"/>
    <w:rsid w:val="009627FF"/>
    <w:rsid w:val="00964DCE"/>
    <w:rsid w:val="009744A3"/>
    <w:rsid w:val="00983258"/>
    <w:rsid w:val="009845F7"/>
    <w:rsid w:val="00984A4D"/>
    <w:rsid w:val="009863B9"/>
    <w:rsid w:val="00986EA8"/>
    <w:rsid w:val="00987B09"/>
    <w:rsid w:val="00990F51"/>
    <w:rsid w:val="009971D0"/>
    <w:rsid w:val="009A1E6B"/>
    <w:rsid w:val="009A3A6E"/>
    <w:rsid w:val="009A433E"/>
    <w:rsid w:val="009A4B32"/>
    <w:rsid w:val="009A5ACA"/>
    <w:rsid w:val="009A7C09"/>
    <w:rsid w:val="009B0204"/>
    <w:rsid w:val="009B2956"/>
    <w:rsid w:val="009B2F6B"/>
    <w:rsid w:val="009B463F"/>
    <w:rsid w:val="009B4D80"/>
    <w:rsid w:val="009B7D0D"/>
    <w:rsid w:val="009C13F1"/>
    <w:rsid w:val="009C4403"/>
    <w:rsid w:val="009C50E1"/>
    <w:rsid w:val="009C6A2B"/>
    <w:rsid w:val="009D08C6"/>
    <w:rsid w:val="009D12FE"/>
    <w:rsid w:val="009D6E45"/>
    <w:rsid w:val="009D779F"/>
    <w:rsid w:val="009E3872"/>
    <w:rsid w:val="009E569D"/>
    <w:rsid w:val="009F0C9C"/>
    <w:rsid w:val="009F12CB"/>
    <w:rsid w:val="009F5164"/>
    <w:rsid w:val="009F5AF9"/>
    <w:rsid w:val="009F700B"/>
    <w:rsid w:val="00A03123"/>
    <w:rsid w:val="00A05D5F"/>
    <w:rsid w:val="00A076B5"/>
    <w:rsid w:val="00A10253"/>
    <w:rsid w:val="00A158AC"/>
    <w:rsid w:val="00A209F0"/>
    <w:rsid w:val="00A21B2C"/>
    <w:rsid w:val="00A230E1"/>
    <w:rsid w:val="00A24292"/>
    <w:rsid w:val="00A25AE9"/>
    <w:rsid w:val="00A26084"/>
    <w:rsid w:val="00A2630C"/>
    <w:rsid w:val="00A302EE"/>
    <w:rsid w:val="00A30515"/>
    <w:rsid w:val="00A30A83"/>
    <w:rsid w:val="00A30E5E"/>
    <w:rsid w:val="00A315CF"/>
    <w:rsid w:val="00A3403A"/>
    <w:rsid w:val="00A346B6"/>
    <w:rsid w:val="00A35D9B"/>
    <w:rsid w:val="00A37557"/>
    <w:rsid w:val="00A40A62"/>
    <w:rsid w:val="00A44FFA"/>
    <w:rsid w:val="00A550DC"/>
    <w:rsid w:val="00A6024E"/>
    <w:rsid w:val="00A616C8"/>
    <w:rsid w:val="00A636F2"/>
    <w:rsid w:val="00A63AD8"/>
    <w:rsid w:val="00A64D01"/>
    <w:rsid w:val="00A64FD6"/>
    <w:rsid w:val="00A666F5"/>
    <w:rsid w:val="00A66CE4"/>
    <w:rsid w:val="00A722F0"/>
    <w:rsid w:val="00A7290B"/>
    <w:rsid w:val="00A74D64"/>
    <w:rsid w:val="00A750BC"/>
    <w:rsid w:val="00A75BC5"/>
    <w:rsid w:val="00A778D4"/>
    <w:rsid w:val="00A77F23"/>
    <w:rsid w:val="00A814A1"/>
    <w:rsid w:val="00A817A3"/>
    <w:rsid w:val="00A8284A"/>
    <w:rsid w:val="00A92947"/>
    <w:rsid w:val="00A97525"/>
    <w:rsid w:val="00AA1649"/>
    <w:rsid w:val="00AA2486"/>
    <w:rsid w:val="00AA4036"/>
    <w:rsid w:val="00AA66FC"/>
    <w:rsid w:val="00AB37AD"/>
    <w:rsid w:val="00AB4F7B"/>
    <w:rsid w:val="00AC20CA"/>
    <w:rsid w:val="00AC61B4"/>
    <w:rsid w:val="00AD0FE7"/>
    <w:rsid w:val="00AD375F"/>
    <w:rsid w:val="00AD5DD0"/>
    <w:rsid w:val="00AD7445"/>
    <w:rsid w:val="00AD7D2D"/>
    <w:rsid w:val="00AE0DCA"/>
    <w:rsid w:val="00AE257C"/>
    <w:rsid w:val="00AE3A9A"/>
    <w:rsid w:val="00AE3BA4"/>
    <w:rsid w:val="00AE480B"/>
    <w:rsid w:val="00AE518B"/>
    <w:rsid w:val="00AF0C70"/>
    <w:rsid w:val="00AF7364"/>
    <w:rsid w:val="00AF7C12"/>
    <w:rsid w:val="00B019AF"/>
    <w:rsid w:val="00B04ED3"/>
    <w:rsid w:val="00B10FA7"/>
    <w:rsid w:val="00B147F4"/>
    <w:rsid w:val="00B159E0"/>
    <w:rsid w:val="00B17D94"/>
    <w:rsid w:val="00B20A01"/>
    <w:rsid w:val="00B22222"/>
    <w:rsid w:val="00B254A3"/>
    <w:rsid w:val="00B301F1"/>
    <w:rsid w:val="00B309F6"/>
    <w:rsid w:val="00B31541"/>
    <w:rsid w:val="00B31F16"/>
    <w:rsid w:val="00B3386A"/>
    <w:rsid w:val="00B3761B"/>
    <w:rsid w:val="00B402AA"/>
    <w:rsid w:val="00B4287C"/>
    <w:rsid w:val="00B4343F"/>
    <w:rsid w:val="00B438F3"/>
    <w:rsid w:val="00B46530"/>
    <w:rsid w:val="00B57F75"/>
    <w:rsid w:val="00B62086"/>
    <w:rsid w:val="00B63A86"/>
    <w:rsid w:val="00B64D47"/>
    <w:rsid w:val="00B6558A"/>
    <w:rsid w:val="00B664F2"/>
    <w:rsid w:val="00B70232"/>
    <w:rsid w:val="00B70C69"/>
    <w:rsid w:val="00B715E6"/>
    <w:rsid w:val="00B71E54"/>
    <w:rsid w:val="00B73A34"/>
    <w:rsid w:val="00B800E0"/>
    <w:rsid w:val="00B82A49"/>
    <w:rsid w:val="00B82F3A"/>
    <w:rsid w:val="00B83863"/>
    <w:rsid w:val="00B842EC"/>
    <w:rsid w:val="00B86C16"/>
    <w:rsid w:val="00B93281"/>
    <w:rsid w:val="00B94B08"/>
    <w:rsid w:val="00B95DB4"/>
    <w:rsid w:val="00BA08D0"/>
    <w:rsid w:val="00BA4C12"/>
    <w:rsid w:val="00BA5EFB"/>
    <w:rsid w:val="00BB02ED"/>
    <w:rsid w:val="00BB18BD"/>
    <w:rsid w:val="00BB1DBA"/>
    <w:rsid w:val="00BB5297"/>
    <w:rsid w:val="00BB5788"/>
    <w:rsid w:val="00BB5A2B"/>
    <w:rsid w:val="00BB71FF"/>
    <w:rsid w:val="00BB797E"/>
    <w:rsid w:val="00BB7EA0"/>
    <w:rsid w:val="00BC1710"/>
    <w:rsid w:val="00BC3E9D"/>
    <w:rsid w:val="00BC43D2"/>
    <w:rsid w:val="00BC7F61"/>
    <w:rsid w:val="00BD1C82"/>
    <w:rsid w:val="00BD380C"/>
    <w:rsid w:val="00BD38F2"/>
    <w:rsid w:val="00BD4134"/>
    <w:rsid w:val="00BD41E2"/>
    <w:rsid w:val="00BD6168"/>
    <w:rsid w:val="00BE0934"/>
    <w:rsid w:val="00BE12A9"/>
    <w:rsid w:val="00BE4AEB"/>
    <w:rsid w:val="00BF0355"/>
    <w:rsid w:val="00BF2631"/>
    <w:rsid w:val="00BF654C"/>
    <w:rsid w:val="00BF6EC7"/>
    <w:rsid w:val="00C017BC"/>
    <w:rsid w:val="00C04245"/>
    <w:rsid w:val="00C04D09"/>
    <w:rsid w:val="00C057EF"/>
    <w:rsid w:val="00C06F82"/>
    <w:rsid w:val="00C101A8"/>
    <w:rsid w:val="00C10D78"/>
    <w:rsid w:val="00C2561D"/>
    <w:rsid w:val="00C2592F"/>
    <w:rsid w:val="00C26DF2"/>
    <w:rsid w:val="00C311A5"/>
    <w:rsid w:val="00C3345F"/>
    <w:rsid w:val="00C337F7"/>
    <w:rsid w:val="00C35EAA"/>
    <w:rsid w:val="00C363DD"/>
    <w:rsid w:val="00C37EB1"/>
    <w:rsid w:val="00C40540"/>
    <w:rsid w:val="00C42BCB"/>
    <w:rsid w:val="00C4383C"/>
    <w:rsid w:val="00C44024"/>
    <w:rsid w:val="00C515EA"/>
    <w:rsid w:val="00C51608"/>
    <w:rsid w:val="00C518B9"/>
    <w:rsid w:val="00C51B45"/>
    <w:rsid w:val="00C521EF"/>
    <w:rsid w:val="00C524AF"/>
    <w:rsid w:val="00C55EC3"/>
    <w:rsid w:val="00C56BE9"/>
    <w:rsid w:val="00C57735"/>
    <w:rsid w:val="00C62001"/>
    <w:rsid w:val="00C643DA"/>
    <w:rsid w:val="00C71DAC"/>
    <w:rsid w:val="00C7254F"/>
    <w:rsid w:val="00C74001"/>
    <w:rsid w:val="00C82FA8"/>
    <w:rsid w:val="00C84B29"/>
    <w:rsid w:val="00C84B9F"/>
    <w:rsid w:val="00C94510"/>
    <w:rsid w:val="00CA1816"/>
    <w:rsid w:val="00CA2064"/>
    <w:rsid w:val="00CA4B62"/>
    <w:rsid w:val="00CB15AD"/>
    <w:rsid w:val="00CB18A9"/>
    <w:rsid w:val="00CB43D9"/>
    <w:rsid w:val="00CB4FCE"/>
    <w:rsid w:val="00CB5A5A"/>
    <w:rsid w:val="00CB7A1E"/>
    <w:rsid w:val="00CB7C2B"/>
    <w:rsid w:val="00CC0FE6"/>
    <w:rsid w:val="00CC2F64"/>
    <w:rsid w:val="00CC6737"/>
    <w:rsid w:val="00CC6AF6"/>
    <w:rsid w:val="00CC7FE2"/>
    <w:rsid w:val="00CD1CF7"/>
    <w:rsid w:val="00CD296B"/>
    <w:rsid w:val="00CD54A5"/>
    <w:rsid w:val="00CD58AD"/>
    <w:rsid w:val="00CD60E8"/>
    <w:rsid w:val="00CE0099"/>
    <w:rsid w:val="00CE0AC5"/>
    <w:rsid w:val="00CE18A2"/>
    <w:rsid w:val="00CE3CD6"/>
    <w:rsid w:val="00CE62EE"/>
    <w:rsid w:val="00CF1EED"/>
    <w:rsid w:val="00CF2157"/>
    <w:rsid w:val="00CF26BC"/>
    <w:rsid w:val="00CF2DCB"/>
    <w:rsid w:val="00CF31B2"/>
    <w:rsid w:val="00CF5367"/>
    <w:rsid w:val="00CF55F3"/>
    <w:rsid w:val="00CF6FCB"/>
    <w:rsid w:val="00D0176B"/>
    <w:rsid w:val="00D01B43"/>
    <w:rsid w:val="00D02575"/>
    <w:rsid w:val="00D03F14"/>
    <w:rsid w:val="00D06360"/>
    <w:rsid w:val="00D066DC"/>
    <w:rsid w:val="00D067F7"/>
    <w:rsid w:val="00D06963"/>
    <w:rsid w:val="00D06C95"/>
    <w:rsid w:val="00D06E40"/>
    <w:rsid w:val="00D07533"/>
    <w:rsid w:val="00D11614"/>
    <w:rsid w:val="00D12283"/>
    <w:rsid w:val="00D126B0"/>
    <w:rsid w:val="00D127A9"/>
    <w:rsid w:val="00D14815"/>
    <w:rsid w:val="00D1680A"/>
    <w:rsid w:val="00D23383"/>
    <w:rsid w:val="00D26A1F"/>
    <w:rsid w:val="00D27C63"/>
    <w:rsid w:val="00D33E45"/>
    <w:rsid w:val="00D3555C"/>
    <w:rsid w:val="00D365BD"/>
    <w:rsid w:val="00D370B8"/>
    <w:rsid w:val="00D373D0"/>
    <w:rsid w:val="00D41EC6"/>
    <w:rsid w:val="00D43D93"/>
    <w:rsid w:val="00D4566A"/>
    <w:rsid w:val="00D46AD1"/>
    <w:rsid w:val="00D53FA3"/>
    <w:rsid w:val="00D5695D"/>
    <w:rsid w:val="00D6037B"/>
    <w:rsid w:val="00D61C89"/>
    <w:rsid w:val="00D62C15"/>
    <w:rsid w:val="00D653EE"/>
    <w:rsid w:val="00D728F4"/>
    <w:rsid w:val="00D73843"/>
    <w:rsid w:val="00D74BB6"/>
    <w:rsid w:val="00D75565"/>
    <w:rsid w:val="00D82B05"/>
    <w:rsid w:val="00D82DD2"/>
    <w:rsid w:val="00D915CD"/>
    <w:rsid w:val="00DA0C08"/>
    <w:rsid w:val="00DA4256"/>
    <w:rsid w:val="00DA4EFB"/>
    <w:rsid w:val="00DA684C"/>
    <w:rsid w:val="00DB2E59"/>
    <w:rsid w:val="00DB466C"/>
    <w:rsid w:val="00DB6651"/>
    <w:rsid w:val="00DC1355"/>
    <w:rsid w:val="00DD1AF8"/>
    <w:rsid w:val="00DD1F51"/>
    <w:rsid w:val="00DD20C2"/>
    <w:rsid w:val="00DD42CD"/>
    <w:rsid w:val="00DE2245"/>
    <w:rsid w:val="00DE5962"/>
    <w:rsid w:val="00DE5FE6"/>
    <w:rsid w:val="00DE79B0"/>
    <w:rsid w:val="00DF0127"/>
    <w:rsid w:val="00DF0448"/>
    <w:rsid w:val="00DF5D52"/>
    <w:rsid w:val="00E077A7"/>
    <w:rsid w:val="00E1204E"/>
    <w:rsid w:val="00E12643"/>
    <w:rsid w:val="00E12B93"/>
    <w:rsid w:val="00E161A0"/>
    <w:rsid w:val="00E20397"/>
    <w:rsid w:val="00E230F3"/>
    <w:rsid w:val="00E23DDE"/>
    <w:rsid w:val="00E25776"/>
    <w:rsid w:val="00E33C0E"/>
    <w:rsid w:val="00E35A46"/>
    <w:rsid w:val="00E413C7"/>
    <w:rsid w:val="00E43AC1"/>
    <w:rsid w:val="00E4483C"/>
    <w:rsid w:val="00E45A79"/>
    <w:rsid w:val="00E45AA7"/>
    <w:rsid w:val="00E47206"/>
    <w:rsid w:val="00E5179B"/>
    <w:rsid w:val="00E540C5"/>
    <w:rsid w:val="00E5645D"/>
    <w:rsid w:val="00E611D5"/>
    <w:rsid w:val="00E6263F"/>
    <w:rsid w:val="00E64096"/>
    <w:rsid w:val="00E70016"/>
    <w:rsid w:val="00E70BC5"/>
    <w:rsid w:val="00E718DF"/>
    <w:rsid w:val="00E72F58"/>
    <w:rsid w:val="00E744EA"/>
    <w:rsid w:val="00E8012E"/>
    <w:rsid w:val="00E82C65"/>
    <w:rsid w:val="00E830AD"/>
    <w:rsid w:val="00E830E5"/>
    <w:rsid w:val="00E8427F"/>
    <w:rsid w:val="00E94B77"/>
    <w:rsid w:val="00E97711"/>
    <w:rsid w:val="00E9783D"/>
    <w:rsid w:val="00EA01D8"/>
    <w:rsid w:val="00EA073F"/>
    <w:rsid w:val="00EA12BE"/>
    <w:rsid w:val="00EA158C"/>
    <w:rsid w:val="00EA18E9"/>
    <w:rsid w:val="00EA4701"/>
    <w:rsid w:val="00EB1756"/>
    <w:rsid w:val="00EB1895"/>
    <w:rsid w:val="00EB6A09"/>
    <w:rsid w:val="00EC0038"/>
    <w:rsid w:val="00EC18B6"/>
    <w:rsid w:val="00EC2583"/>
    <w:rsid w:val="00EC41A9"/>
    <w:rsid w:val="00EC4530"/>
    <w:rsid w:val="00EC5F73"/>
    <w:rsid w:val="00EC6B16"/>
    <w:rsid w:val="00ED638E"/>
    <w:rsid w:val="00ED6EFD"/>
    <w:rsid w:val="00EE6E55"/>
    <w:rsid w:val="00EE7FAB"/>
    <w:rsid w:val="00EF0880"/>
    <w:rsid w:val="00EF271B"/>
    <w:rsid w:val="00EF3EED"/>
    <w:rsid w:val="00EF3F41"/>
    <w:rsid w:val="00EF7170"/>
    <w:rsid w:val="00F00B2D"/>
    <w:rsid w:val="00F06190"/>
    <w:rsid w:val="00F06D39"/>
    <w:rsid w:val="00F113DD"/>
    <w:rsid w:val="00F116F3"/>
    <w:rsid w:val="00F13BAF"/>
    <w:rsid w:val="00F14B66"/>
    <w:rsid w:val="00F16E96"/>
    <w:rsid w:val="00F16EE6"/>
    <w:rsid w:val="00F175D2"/>
    <w:rsid w:val="00F20DA8"/>
    <w:rsid w:val="00F22EF6"/>
    <w:rsid w:val="00F275F7"/>
    <w:rsid w:val="00F30561"/>
    <w:rsid w:val="00F37211"/>
    <w:rsid w:val="00F37B4D"/>
    <w:rsid w:val="00F40947"/>
    <w:rsid w:val="00F451D7"/>
    <w:rsid w:val="00F5197A"/>
    <w:rsid w:val="00F54168"/>
    <w:rsid w:val="00F542F7"/>
    <w:rsid w:val="00F54504"/>
    <w:rsid w:val="00F57A6E"/>
    <w:rsid w:val="00F60B0E"/>
    <w:rsid w:val="00F646FA"/>
    <w:rsid w:val="00F74EB3"/>
    <w:rsid w:val="00F750FC"/>
    <w:rsid w:val="00F75370"/>
    <w:rsid w:val="00F75CF1"/>
    <w:rsid w:val="00F75FF6"/>
    <w:rsid w:val="00F771B0"/>
    <w:rsid w:val="00F81ED5"/>
    <w:rsid w:val="00F82567"/>
    <w:rsid w:val="00F8321F"/>
    <w:rsid w:val="00F832D5"/>
    <w:rsid w:val="00F839F3"/>
    <w:rsid w:val="00F84DCF"/>
    <w:rsid w:val="00F85B72"/>
    <w:rsid w:val="00F86D8C"/>
    <w:rsid w:val="00F87BB4"/>
    <w:rsid w:val="00F93DA6"/>
    <w:rsid w:val="00F962ED"/>
    <w:rsid w:val="00F96540"/>
    <w:rsid w:val="00F97233"/>
    <w:rsid w:val="00FA0E6B"/>
    <w:rsid w:val="00FA296B"/>
    <w:rsid w:val="00FA2AA9"/>
    <w:rsid w:val="00FA3C22"/>
    <w:rsid w:val="00FA4D37"/>
    <w:rsid w:val="00FA5A91"/>
    <w:rsid w:val="00FA658D"/>
    <w:rsid w:val="00FB25A2"/>
    <w:rsid w:val="00FB4B8C"/>
    <w:rsid w:val="00FB6631"/>
    <w:rsid w:val="00FB78C9"/>
    <w:rsid w:val="00FC04FE"/>
    <w:rsid w:val="00FC4E12"/>
    <w:rsid w:val="00FC59F0"/>
    <w:rsid w:val="00FD3C11"/>
    <w:rsid w:val="00FD4CB6"/>
    <w:rsid w:val="00FD50AD"/>
    <w:rsid w:val="00FD76D5"/>
    <w:rsid w:val="00FE1D35"/>
    <w:rsid w:val="00FE44E7"/>
    <w:rsid w:val="00FE6EE2"/>
    <w:rsid w:val="00FF629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9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E82C65"/>
    <w:rPr>
      <w:sz w:val="24"/>
      <w:szCs w:val="24"/>
    </w:rPr>
  </w:style>
  <w:style w:type="paragraph" w:styleId="Heading1">
    <w:name w:val="heading 1"/>
    <w:basedOn w:val="BodyText"/>
    <w:next w:val="BodyText"/>
    <w:rsid w:val="00E82C65"/>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E82C65"/>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E82C65"/>
    <w:pPr>
      <w:spacing w:before="560" w:line="320" w:lineRule="exact"/>
      <w:ind w:left="0" w:firstLine="0"/>
      <w:outlineLvl w:val="2"/>
    </w:pPr>
    <w:rPr>
      <w:sz w:val="26"/>
    </w:rPr>
  </w:style>
  <w:style w:type="paragraph" w:styleId="Heading4">
    <w:name w:val="heading 4"/>
    <w:basedOn w:val="Heading3"/>
    <w:next w:val="BodyText"/>
    <w:qFormat/>
    <w:rsid w:val="00E82C65"/>
    <w:pPr>
      <w:spacing w:before="480"/>
      <w:outlineLvl w:val="3"/>
    </w:pPr>
    <w:rPr>
      <w:b w:val="0"/>
      <w:sz w:val="24"/>
    </w:rPr>
  </w:style>
  <w:style w:type="paragraph" w:styleId="Heading5">
    <w:name w:val="heading 5"/>
    <w:basedOn w:val="Heading4"/>
    <w:next w:val="BodyText"/>
    <w:link w:val="Heading5Char"/>
    <w:qFormat/>
    <w:rsid w:val="00E82C65"/>
    <w:pPr>
      <w:outlineLvl w:val="4"/>
    </w:pPr>
    <w:rPr>
      <w:i/>
      <w:sz w:val="22"/>
    </w:rPr>
  </w:style>
  <w:style w:type="paragraph" w:styleId="Heading6">
    <w:name w:val="heading 6"/>
    <w:basedOn w:val="BodyText"/>
    <w:next w:val="BodyText"/>
    <w:rsid w:val="00E82C65"/>
    <w:pPr>
      <w:spacing w:after="60"/>
      <w:jc w:val="left"/>
      <w:outlineLvl w:val="5"/>
    </w:pPr>
    <w:rPr>
      <w:i/>
      <w:sz w:val="22"/>
    </w:rPr>
  </w:style>
  <w:style w:type="paragraph" w:styleId="Heading7">
    <w:name w:val="heading 7"/>
    <w:basedOn w:val="BodyText"/>
    <w:next w:val="BodyText"/>
    <w:rsid w:val="00E82C65"/>
    <w:pPr>
      <w:spacing w:after="60" w:line="240" w:lineRule="auto"/>
      <w:jc w:val="left"/>
      <w:outlineLvl w:val="6"/>
    </w:pPr>
    <w:rPr>
      <w:rFonts w:ascii="Arial" w:hAnsi="Arial"/>
      <w:sz w:val="20"/>
    </w:rPr>
  </w:style>
  <w:style w:type="paragraph" w:styleId="Heading8">
    <w:name w:val="heading 8"/>
    <w:basedOn w:val="BodyText"/>
    <w:next w:val="BodyText"/>
    <w:rsid w:val="00E82C65"/>
    <w:pPr>
      <w:spacing w:after="60" w:line="240" w:lineRule="auto"/>
      <w:jc w:val="left"/>
      <w:outlineLvl w:val="7"/>
    </w:pPr>
    <w:rPr>
      <w:rFonts w:ascii="Arial" w:hAnsi="Arial"/>
      <w:i/>
      <w:sz w:val="20"/>
    </w:rPr>
  </w:style>
  <w:style w:type="paragraph" w:styleId="Heading9">
    <w:name w:val="heading 9"/>
    <w:basedOn w:val="BodyText"/>
    <w:next w:val="BodyText"/>
    <w:rsid w:val="00E82C65"/>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E82C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2C65"/>
  </w:style>
  <w:style w:type="paragraph" w:styleId="BodyText">
    <w:name w:val="Body Text"/>
    <w:link w:val="BodyTextChar"/>
    <w:qFormat/>
    <w:rsid w:val="00E82C65"/>
    <w:pPr>
      <w:spacing w:before="240" w:line="300" w:lineRule="atLeast"/>
      <w:jc w:val="both"/>
    </w:pPr>
    <w:rPr>
      <w:sz w:val="24"/>
    </w:rPr>
  </w:style>
  <w:style w:type="paragraph" w:customStyle="1" w:styleId="Chapter">
    <w:name w:val="Chapter"/>
    <w:basedOn w:val="Heading1"/>
    <w:next w:val="BodyText"/>
    <w:semiHidden/>
    <w:rsid w:val="00E82C65"/>
    <w:pPr>
      <w:ind w:left="0" w:firstLine="0"/>
      <w:outlineLvl w:val="9"/>
    </w:pPr>
  </w:style>
  <w:style w:type="paragraph" w:customStyle="1" w:styleId="SequenceInfo">
    <w:name w:val="Sequence Info"/>
    <w:basedOn w:val="BodyText"/>
    <w:semiHidden/>
    <w:rsid w:val="00E82C65"/>
    <w:rPr>
      <w:vanish/>
      <w:sz w:val="16"/>
    </w:rPr>
  </w:style>
  <w:style w:type="character" w:styleId="CommentReference">
    <w:name w:val="annotation reference"/>
    <w:basedOn w:val="DefaultParagraphFont"/>
    <w:semiHidden/>
    <w:rsid w:val="00E82C65"/>
    <w:rPr>
      <w:b/>
      <w:vanish/>
      <w:color w:val="FF00FF"/>
      <w:sz w:val="20"/>
    </w:rPr>
  </w:style>
  <w:style w:type="paragraph" w:styleId="CommentText">
    <w:name w:val="annotation text"/>
    <w:basedOn w:val="Normal"/>
    <w:semiHidden/>
    <w:rsid w:val="00E82C65"/>
    <w:pPr>
      <w:spacing w:before="120" w:line="240" w:lineRule="atLeast"/>
      <w:ind w:left="567" w:hanging="567"/>
    </w:pPr>
    <w:rPr>
      <w:sz w:val="20"/>
    </w:rPr>
  </w:style>
  <w:style w:type="paragraph" w:customStyle="1" w:styleId="Abbreviation">
    <w:name w:val="Abbreviation"/>
    <w:basedOn w:val="BodyText"/>
    <w:rsid w:val="00E82C65"/>
    <w:pPr>
      <w:spacing w:before="120"/>
      <w:ind w:left="2381" w:hanging="2381"/>
      <w:jc w:val="left"/>
    </w:pPr>
  </w:style>
  <w:style w:type="paragraph" w:customStyle="1" w:styleId="Box">
    <w:name w:val="Box"/>
    <w:basedOn w:val="BodyText"/>
    <w:qFormat/>
    <w:rsid w:val="00E82C65"/>
    <w:pPr>
      <w:keepNext/>
      <w:spacing w:before="120" w:line="260" w:lineRule="atLeast"/>
    </w:pPr>
    <w:rPr>
      <w:rFonts w:ascii="Arial" w:hAnsi="Arial"/>
      <w:sz w:val="20"/>
    </w:rPr>
  </w:style>
  <w:style w:type="paragraph" w:customStyle="1" w:styleId="QuoteBullet">
    <w:name w:val="Quote Bullet"/>
    <w:basedOn w:val="Quote"/>
    <w:rsid w:val="00E82C65"/>
    <w:pPr>
      <w:numPr>
        <w:numId w:val="11"/>
      </w:numPr>
    </w:pPr>
  </w:style>
  <w:style w:type="paragraph" w:customStyle="1" w:styleId="BoxListBullet">
    <w:name w:val="Box List Bullet"/>
    <w:basedOn w:val="BodyText"/>
    <w:rsid w:val="00E82C65"/>
    <w:pPr>
      <w:keepNext/>
      <w:numPr>
        <w:numId w:val="6"/>
      </w:numPr>
      <w:spacing w:before="100" w:line="260" w:lineRule="atLeast"/>
    </w:pPr>
    <w:rPr>
      <w:rFonts w:ascii="Arial" w:hAnsi="Arial"/>
      <w:sz w:val="20"/>
    </w:rPr>
  </w:style>
  <w:style w:type="paragraph" w:customStyle="1" w:styleId="BoxListBullet2">
    <w:name w:val="Box List Bullet 2"/>
    <w:basedOn w:val="BoxListBullet"/>
    <w:rsid w:val="00E82C65"/>
    <w:pPr>
      <w:numPr>
        <w:numId w:val="3"/>
      </w:numPr>
      <w:ind w:left="568" w:hanging="284"/>
    </w:pPr>
  </w:style>
  <w:style w:type="paragraph" w:customStyle="1" w:styleId="BoxListNumber">
    <w:name w:val="Box List Number"/>
    <w:basedOn w:val="BodyText"/>
    <w:rsid w:val="00E82C65"/>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E82C65"/>
    <w:pPr>
      <w:numPr>
        <w:ilvl w:val="1"/>
      </w:numPr>
      <w:ind w:left="681" w:hanging="397"/>
    </w:pPr>
  </w:style>
  <w:style w:type="paragraph" w:customStyle="1" w:styleId="BoxQuote">
    <w:name w:val="Box Quote"/>
    <w:basedOn w:val="BodyText"/>
    <w:next w:val="Box"/>
    <w:qFormat/>
    <w:rsid w:val="00E82C65"/>
    <w:pPr>
      <w:keepNext/>
      <w:spacing w:before="60" w:line="240" w:lineRule="exact"/>
      <w:ind w:left="284"/>
    </w:pPr>
    <w:rPr>
      <w:rFonts w:ascii="Arial" w:hAnsi="Arial"/>
      <w:sz w:val="18"/>
    </w:rPr>
  </w:style>
  <w:style w:type="paragraph" w:customStyle="1" w:styleId="BoxSource">
    <w:name w:val="Box Source"/>
    <w:basedOn w:val="Source"/>
    <w:next w:val="BodyText"/>
    <w:rsid w:val="00E82C65"/>
    <w:pPr>
      <w:spacing w:before="120"/>
    </w:pPr>
  </w:style>
  <w:style w:type="paragraph" w:customStyle="1" w:styleId="BoxSpace">
    <w:name w:val="Box Space"/>
    <w:basedOn w:val="BodyText"/>
    <w:rsid w:val="0010496C"/>
    <w:pPr>
      <w:keepNext/>
      <w:spacing w:before="360" w:line="80" w:lineRule="exact"/>
      <w:jc w:val="left"/>
    </w:pPr>
  </w:style>
  <w:style w:type="paragraph" w:customStyle="1" w:styleId="BoxSubtitle">
    <w:name w:val="Box Subtitle"/>
    <w:basedOn w:val="BoxTitle"/>
    <w:next w:val="Normal"/>
    <w:rsid w:val="00E82C65"/>
    <w:pPr>
      <w:spacing w:after="80" w:line="200" w:lineRule="exact"/>
      <w:ind w:firstLine="0"/>
    </w:pPr>
    <w:rPr>
      <w:b w:val="0"/>
      <w:sz w:val="20"/>
    </w:rPr>
  </w:style>
  <w:style w:type="paragraph" w:customStyle="1" w:styleId="BoxTitle">
    <w:name w:val="Box Title"/>
    <w:basedOn w:val="Caption"/>
    <w:next w:val="BoxSubtitle"/>
    <w:rsid w:val="00E82C65"/>
    <w:pPr>
      <w:spacing w:before="120" w:after="0"/>
    </w:pPr>
  </w:style>
  <w:style w:type="paragraph" w:styleId="Caption">
    <w:name w:val="caption"/>
    <w:basedOn w:val="Normal"/>
    <w:next w:val="BodyText"/>
    <w:rsid w:val="00E82C65"/>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E82C65"/>
    <w:pPr>
      <w:spacing w:line="280" w:lineRule="atLeast"/>
      <w:ind w:left="907"/>
    </w:pPr>
    <w:rPr>
      <w:rFonts w:ascii="Arial" w:hAnsi="Arial"/>
      <w:b/>
      <w:sz w:val="20"/>
    </w:rPr>
  </w:style>
  <w:style w:type="character" w:customStyle="1" w:styleId="DocumentInfo">
    <w:name w:val="Document Info"/>
    <w:basedOn w:val="DefaultParagraphFont"/>
    <w:semiHidden/>
    <w:rsid w:val="00E82C65"/>
    <w:rPr>
      <w:rFonts w:ascii="Arial" w:hAnsi="Arial"/>
      <w:sz w:val="14"/>
    </w:rPr>
  </w:style>
  <w:style w:type="paragraph" w:styleId="Footer">
    <w:name w:val="footer"/>
    <w:basedOn w:val="BodyText"/>
    <w:link w:val="FooterChar"/>
    <w:rsid w:val="00E82C65"/>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E82C65"/>
    <w:rPr>
      <w:b/>
      <w:color w:val="FF0000"/>
      <w:sz w:val="24"/>
      <w:u w:val="dotted"/>
    </w:rPr>
  </w:style>
  <w:style w:type="character" w:customStyle="1" w:styleId="FigureTitleChar">
    <w:name w:val="Figure Title Char"/>
    <w:link w:val="FigureTitle"/>
    <w:rsid w:val="00CE62EE"/>
    <w:rPr>
      <w:rFonts w:ascii="Arial" w:hAnsi="Arial"/>
      <w:b/>
      <w:sz w:val="24"/>
      <w:szCs w:val="24"/>
    </w:rPr>
  </w:style>
  <w:style w:type="paragraph" w:customStyle="1" w:styleId="Figure">
    <w:name w:val="Figure"/>
    <w:basedOn w:val="BodyText"/>
    <w:rsid w:val="00E82C65"/>
    <w:pPr>
      <w:keepNext/>
      <w:spacing w:before="120" w:after="120" w:line="240" w:lineRule="atLeast"/>
      <w:jc w:val="center"/>
    </w:pPr>
  </w:style>
  <w:style w:type="paragraph" w:customStyle="1" w:styleId="FigureTitle">
    <w:name w:val="Figure Title"/>
    <w:basedOn w:val="Caption"/>
    <w:next w:val="Subtitle"/>
    <w:link w:val="FigureTitleChar"/>
    <w:rsid w:val="00E82C65"/>
    <w:pPr>
      <w:spacing w:before="120"/>
    </w:pPr>
  </w:style>
  <w:style w:type="paragraph" w:styleId="Subtitle">
    <w:name w:val="Subtitle"/>
    <w:basedOn w:val="Caption"/>
    <w:link w:val="SubtitleChar"/>
    <w:qFormat/>
    <w:rsid w:val="00E82C65"/>
    <w:pPr>
      <w:spacing w:before="0" w:line="200" w:lineRule="exact"/>
      <w:ind w:firstLine="0"/>
    </w:pPr>
    <w:rPr>
      <w:b w:val="0"/>
      <w:sz w:val="20"/>
    </w:rPr>
  </w:style>
  <w:style w:type="paragraph" w:customStyle="1" w:styleId="Finding">
    <w:name w:val="Finding"/>
    <w:basedOn w:val="BodyText"/>
    <w:rsid w:val="00E82C65"/>
    <w:pPr>
      <w:keepLines/>
      <w:spacing w:before="120" w:line="280" w:lineRule="atLeast"/>
    </w:pPr>
    <w:rPr>
      <w:rFonts w:ascii="Arial" w:hAnsi="Arial"/>
      <w:sz w:val="22"/>
    </w:rPr>
  </w:style>
  <w:style w:type="paragraph" w:customStyle="1" w:styleId="FindingBullet">
    <w:name w:val="Finding Bullet"/>
    <w:basedOn w:val="Finding"/>
    <w:rsid w:val="00E82C65"/>
    <w:pPr>
      <w:numPr>
        <w:numId w:val="7"/>
      </w:numPr>
      <w:spacing w:before="80"/>
    </w:pPr>
  </w:style>
  <w:style w:type="paragraph" w:customStyle="1" w:styleId="FindingNoTitle">
    <w:name w:val="Finding NoTitle"/>
    <w:basedOn w:val="Finding"/>
    <w:rsid w:val="00E82C65"/>
    <w:pPr>
      <w:spacing w:before="240"/>
    </w:pPr>
  </w:style>
  <w:style w:type="paragraph" w:customStyle="1" w:styleId="FindingTitle">
    <w:name w:val="Finding Title"/>
    <w:basedOn w:val="RecTitle"/>
    <w:next w:val="Finding"/>
    <w:rsid w:val="00E82C65"/>
  </w:style>
  <w:style w:type="paragraph" w:customStyle="1" w:styleId="FooterEnd">
    <w:name w:val="Footer End"/>
    <w:basedOn w:val="Footer"/>
    <w:rsid w:val="00E82C65"/>
    <w:pPr>
      <w:spacing w:before="0" w:line="20" w:lineRule="exact"/>
    </w:pPr>
  </w:style>
  <w:style w:type="character" w:styleId="FootnoteReference">
    <w:name w:val="footnote reference"/>
    <w:basedOn w:val="DefaultParagraphFont"/>
    <w:semiHidden/>
    <w:rsid w:val="00E82C65"/>
    <w:rPr>
      <w:rFonts w:ascii="Times New Roman" w:hAnsi="Times New Roman"/>
      <w:position w:val="6"/>
      <w:sz w:val="20"/>
      <w:vertAlign w:val="baseline"/>
    </w:rPr>
  </w:style>
  <w:style w:type="paragraph" w:styleId="FootnoteText">
    <w:name w:val="footnote text"/>
    <w:basedOn w:val="BodyText"/>
    <w:rsid w:val="00E82C65"/>
    <w:pPr>
      <w:tabs>
        <w:tab w:val="left" w:pos="284"/>
      </w:tabs>
      <w:spacing w:before="80" w:line="240" w:lineRule="exact"/>
      <w:ind w:left="284" w:hanging="284"/>
    </w:pPr>
    <w:rPr>
      <w:sz w:val="20"/>
    </w:rPr>
  </w:style>
  <w:style w:type="paragraph" w:styleId="Header">
    <w:name w:val="header"/>
    <w:basedOn w:val="BodyText"/>
    <w:rsid w:val="00E82C65"/>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E82C65"/>
    <w:pPr>
      <w:spacing w:line="20" w:lineRule="exact"/>
    </w:pPr>
    <w:rPr>
      <w:sz w:val="16"/>
    </w:rPr>
  </w:style>
  <w:style w:type="paragraph" w:customStyle="1" w:styleId="HeaderEven">
    <w:name w:val="Header Even"/>
    <w:basedOn w:val="Header"/>
    <w:rsid w:val="00E82C65"/>
  </w:style>
  <w:style w:type="paragraph" w:customStyle="1" w:styleId="HeaderOdd">
    <w:name w:val="Header Odd"/>
    <w:basedOn w:val="Header"/>
    <w:semiHidden/>
    <w:rsid w:val="00E82C65"/>
  </w:style>
  <w:style w:type="paragraph" w:customStyle="1" w:styleId="InformationRequest">
    <w:name w:val="Information Request"/>
    <w:basedOn w:val="Finding"/>
    <w:next w:val="BodyText"/>
    <w:rsid w:val="00E82C65"/>
    <w:rPr>
      <w:i/>
    </w:rPr>
  </w:style>
  <w:style w:type="paragraph" w:styleId="ListBullet">
    <w:name w:val="List Bullet"/>
    <w:basedOn w:val="BodyText"/>
    <w:rsid w:val="00E82C65"/>
    <w:pPr>
      <w:numPr>
        <w:numId w:val="5"/>
      </w:numPr>
      <w:spacing w:before="120"/>
    </w:pPr>
  </w:style>
  <w:style w:type="paragraph" w:styleId="ListBullet2">
    <w:name w:val="List Bullet 2"/>
    <w:basedOn w:val="BodyText"/>
    <w:rsid w:val="00E82C65"/>
    <w:pPr>
      <w:numPr>
        <w:numId w:val="2"/>
      </w:numPr>
      <w:spacing w:before="120"/>
    </w:pPr>
  </w:style>
  <w:style w:type="paragraph" w:styleId="ListBullet3">
    <w:name w:val="List Bullet 3"/>
    <w:basedOn w:val="BodyText"/>
    <w:rsid w:val="00E82C65"/>
    <w:pPr>
      <w:numPr>
        <w:numId w:val="1"/>
      </w:numPr>
      <w:spacing w:before="120"/>
      <w:ind w:left="1020" w:hanging="340"/>
    </w:pPr>
  </w:style>
  <w:style w:type="paragraph" w:styleId="ListNumber">
    <w:name w:val="List Number"/>
    <w:basedOn w:val="BodyText"/>
    <w:rsid w:val="00E82C65"/>
    <w:pPr>
      <w:numPr>
        <w:numId w:val="13"/>
      </w:numPr>
      <w:spacing w:before="120"/>
    </w:pPr>
  </w:style>
  <w:style w:type="paragraph" w:styleId="ListNumber2">
    <w:name w:val="List Number 2"/>
    <w:basedOn w:val="ListNumber"/>
    <w:rsid w:val="00E82C65"/>
    <w:pPr>
      <w:numPr>
        <w:ilvl w:val="1"/>
      </w:numPr>
    </w:pPr>
  </w:style>
  <w:style w:type="paragraph" w:styleId="ListNumber3">
    <w:name w:val="List Number 3"/>
    <w:basedOn w:val="ListNumber2"/>
    <w:rsid w:val="00E82C65"/>
    <w:pPr>
      <w:numPr>
        <w:ilvl w:val="2"/>
      </w:numPr>
    </w:pPr>
  </w:style>
  <w:style w:type="paragraph" w:customStyle="1" w:styleId="Note">
    <w:name w:val="Note"/>
    <w:basedOn w:val="BodyText"/>
    <w:next w:val="BodyText"/>
    <w:link w:val="NoteChar"/>
    <w:rsid w:val="00E82C65"/>
    <w:pPr>
      <w:keepLines/>
      <w:spacing w:before="80" w:line="220" w:lineRule="exact"/>
    </w:pPr>
    <w:rPr>
      <w:rFonts w:ascii="Arial" w:hAnsi="Arial"/>
      <w:sz w:val="18"/>
    </w:rPr>
  </w:style>
  <w:style w:type="character" w:customStyle="1" w:styleId="NoteLabel">
    <w:name w:val="Note Label"/>
    <w:basedOn w:val="DefaultParagraphFont"/>
    <w:rsid w:val="00E82C65"/>
    <w:rPr>
      <w:rFonts w:ascii="Arial" w:hAnsi="Arial"/>
      <w:b/>
      <w:position w:val="6"/>
      <w:sz w:val="18"/>
    </w:rPr>
  </w:style>
  <w:style w:type="character" w:styleId="PageNumber">
    <w:name w:val="page number"/>
    <w:basedOn w:val="DefaultParagraphFont"/>
    <w:rsid w:val="00E82C65"/>
    <w:rPr>
      <w:rFonts w:ascii="Arial" w:hAnsi="Arial"/>
      <w:b/>
      <w:sz w:val="16"/>
    </w:rPr>
  </w:style>
  <w:style w:type="paragraph" w:customStyle="1" w:styleId="PartDivider">
    <w:name w:val="Part Divider"/>
    <w:basedOn w:val="BodyText"/>
    <w:next w:val="BodyText"/>
    <w:semiHidden/>
    <w:rsid w:val="00E82C65"/>
    <w:pPr>
      <w:spacing w:before="0" w:line="40" w:lineRule="exact"/>
      <w:jc w:val="right"/>
    </w:pPr>
    <w:rPr>
      <w:smallCaps/>
      <w:sz w:val="16"/>
    </w:rPr>
  </w:style>
  <w:style w:type="paragraph" w:customStyle="1" w:styleId="PartNumber">
    <w:name w:val="Part Number"/>
    <w:basedOn w:val="BodyText"/>
    <w:next w:val="BodyText"/>
    <w:semiHidden/>
    <w:rsid w:val="00E82C65"/>
    <w:pPr>
      <w:spacing w:before="4000" w:line="320" w:lineRule="exact"/>
      <w:ind w:left="6634"/>
      <w:jc w:val="right"/>
    </w:pPr>
    <w:rPr>
      <w:smallCaps/>
      <w:spacing w:val="60"/>
      <w:sz w:val="32"/>
    </w:rPr>
  </w:style>
  <w:style w:type="paragraph" w:customStyle="1" w:styleId="PartTitle">
    <w:name w:val="Part Title"/>
    <w:basedOn w:val="BodyText"/>
    <w:semiHidden/>
    <w:rsid w:val="00E82C65"/>
    <w:pPr>
      <w:spacing w:before="160" w:after="1360" w:line="520" w:lineRule="exact"/>
      <w:ind w:right="2381"/>
      <w:jc w:val="right"/>
    </w:pPr>
    <w:rPr>
      <w:smallCaps/>
      <w:sz w:val="52"/>
    </w:rPr>
  </w:style>
  <w:style w:type="paragraph" w:styleId="Quote">
    <w:name w:val="Quote"/>
    <w:basedOn w:val="BodyText"/>
    <w:next w:val="BodyText"/>
    <w:qFormat/>
    <w:rsid w:val="00E82C65"/>
    <w:pPr>
      <w:spacing w:before="120" w:line="280" w:lineRule="exact"/>
      <w:ind w:left="340"/>
    </w:pPr>
    <w:rPr>
      <w:sz w:val="22"/>
    </w:rPr>
  </w:style>
  <w:style w:type="paragraph" w:customStyle="1" w:styleId="Rec">
    <w:name w:val="Rec"/>
    <w:basedOn w:val="BodyText"/>
    <w:qFormat/>
    <w:rsid w:val="00E82C65"/>
    <w:pPr>
      <w:keepLines/>
      <w:spacing w:before="120" w:line="280" w:lineRule="atLeast"/>
    </w:pPr>
    <w:rPr>
      <w:rFonts w:ascii="Arial" w:hAnsi="Arial"/>
      <w:sz w:val="22"/>
    </w:rPr>
  </w:style>
  <w:style w:type="paragraph" w:customStyle="1" w:styleId="RecBullet">
    <w:name w:val="Rec Bullet"/>
    <w:basedOn w:val="Rec"/>
    <w:rsid w:val="00E82C65"/>
    <w:pPr>
      <w:numPr>
        <w:numId w:val="8"/>
      </w:numPr>
      <w:spacing w:before="80"/>
    </w:pPr>
  </w:style>
  <w:style w:type="paragraph" w:customStyle="1" w:styleId="RecTitle">
    <w:name w:val="Rec Title"/>
    <w:basedOn w:val="BodyText"/>
    <w:next w:val="Rec"/>
    <w:qFormat/>
    <w:rsid w:val="00E82C65"/>
    <w:pPr>
      <w:keepNext/>
      <w:keepLines/>
      <w:spacing w:line="280" w:lineRule="atLeast"/>
    </w:pPr>
    <w:rPr>
      <w:rFonts w:ascii="Arial" w:hAnsi="Arial"/>
      <w:caps/>
      <w:sz w:val="18"/>
    </w:rPr>
  </w:style>
  <w:style w:type="paragraph" w:customStyle="1" w:styleId="RecB">
    <w:name w:val="RecB"/>
    <w:basedOn w:val="Normal"/>
    <w:rsid w:val="00E82C6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E82C65"/>
    <w:pPr>
      <w:numPr>
        <w:numId w:val="9"/>
      </w:numPr>
      <w:spacing w:before="80"/>
    </w:pPr>
  </w:style>
  <w:style w:type="paragraph" w:customStyle="1" w:styleId="RecBNoTitle">
    <w:name w:val="RecB NoTitle"/>
    <w:basedOn w:val="RecB"/>
    <w:rsid w:val="00E82C65"/>
    <w:pPr>
      <w:spacing w:before="240"/>
    </w:pPr>
  </w:style>
  <w:style w:type="paragraph" w:customStyle="1" w:styleId="Reference">
    <w:name w:val="Reference"/>
    <w:basedOn w:val="BodyText"/>
    <w:rsid w:val="00E82C65"/>
    <w:pPr>
      <w:spacing w:before="120"/>
      <w:ind w:left="340" w:hanging="340"/>
    </w:pPr>
  </w:style>
  <w:style w:type="paragraph" w:customStyle="1" w:styleId="SideNote">
    <w:name w:val="Side Note"/>
    <w:basedOn w:val="BodyText"/>
    <w:next w:val="BodyText"/>
    <w:semiHidden/>
    <w:rsid w:val="00E82C65"/>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E82C65"/>
    <w:pPr>
      <w:framePr w:wrap="around"/>
      <w:numPr>
        <w:numId w:val="4"/>
      </w:numPr>
      <w:tabs>
        <w:tab w:val="left" w:pos="227"/>
      </w:tabs>
    </w:pPr>
  </w:style>
  <w:style w:type="paragraph" w:customStyle="1" w:styleId="SideNoteGraphic">
    <w:name w:val="Side Note Graphic"/>
    <w:basedOn w:val="SideNote"/>
    <w:next w:val="BodyText"/>
    <w:semiHidden/>
    <w:rsid w:val="00E82C65"/>
    <w:pPr>
      <w:framePr w:wrap="around"/>
    </w:pPr>
  </w:style>
  <w:style w:type="paragraph" w:customStyle="1" w:styleId="Source">
    <w:name w:val="Source"/>
    <w:basedOn w:val="Normal"/>
    <w:next w:val="BodyText"/>
    <w:rsid w:val="00E82C65"/>
    <w:pPr>
      <w:keepLines/>
      <w:spacing w:before="80" w:line="220" w:lineRule="exact"/>
      <w:jc w:val="both"/>
    </w:pPr>
    <w:rPr>
      <w:rFonts w:ascii="Arial" w:hAnsi="Arial"/>
      <w:sz w:val="18"/>
      <w:szCs w:val="20"/>
    </w:rPr>
  </w:style>
  <w:style w:type="paragraph" w:customStyle="1" w:styleId="TableBodyText">
    <w:name w:val="Table Body Text"/>
    <w:basedOn w:val="BodyText"/>
    <w:link w:val="TableBodyTextChar"/>
    <w:rsid w:val="00E82C65"/>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E82C65"/>
    <w:pPr>
      <w:numPr>
        <w:numId w:val="10"/>
      </w:numPr>
      <w:jc w:val="left"/>
    </w:pPr>
  </w:style>
  <w:style w:type="paragraph" w:customStyle="1" w:styleId="TableColumnHeading">
    <w:name w:val="Table Column Heading"/>
    <w:basedOn w:val="TableBodyText"/>
    <w:rsid w:val="00E82C65"/>
    <w:pPr>
      <w:spacing w:before="80" w:after="80"/>
    </w:pPr>
    <w:rPr>
      <w:i/>
    </w:rPr>
  </w:style>
  <w:style w:type="paragraph" w:styleId="TableofFigures">
    <w:name w:val="table of figures"/>
    <w:basedOn w:val="TOC3"/>
    <w:next w:val="BodyText"/>
    <w:semiHidden/>
    <w:rsid w:val="00E82C65"/>
    <w:pPr>
      <w:ind w:left="737" w:hanging="737"/>
    </w:pPr>
  </w:style>
  <w:style w:type="paragraph" w:styleId="TOC3">
    <w:name w:val="toc 3"/>
    <w:basedOn w:val="TOC2"/>
    <w:rsid w:val="00E82C65"/>
    <w:pPr>
      <w:spacing w:before="60"/>
      <w:ind w:left="1190" w:hanging="680"/>
    </w:pPr>
  </w:style>
  <w:style w:type="paragraph" w:customStyle="1" w:styleId="TableTitle">
    <w:name w:val="Table Title"/>
    <w:basedOn w:val="Caption"/>
    <w:next w:val="Subtitle"/>
    <w:qFormat/>
    <w:rsid w:val="00E82C65"/>
    <w:pPr>
      <w:spacing w:before="120"/>
    </w:pPr>
  </w:style>
  <w:style w:type="paragraph" w:customStyle="1" w:styleId="TableUnitsRow">
    <w:name w:val="Table Units Row"/>
    <w:basedOn w:val="TableBodyText"/>
    <w:rsid w:val="00E82C65"/>
    <w:pPr>
      <w:spacing w:before="40"/>
    </w:pPr>
  </w:style>
  <w:style w:type="paragraph" w:styleId="TOC1">
    <w:name w:val="toc 1"/>
    <w:basedOn w:val="Normal"/>
    <w:next w:val="TOC2"/>
    <w:link w:val="TOC1Char"/>
    <w:rsid w:val="00E82C65"/>
    <w:pPr>
      <w:tabs>
        <w:tab w:val="right" w:pos="8789"/>
      </w:tabs>
      <w:spacing w:before="120" w:line="320" w:lineRule="exact"/>
      <w:ind w:left="510" w:right="851" w:hanging="510"/>
    </w:pPr>
    <w:rPr>
      <w:rFonts w:ascii="Arial" w:hAnsi="Arial"/>
      <w:b/>
      <w:sz w:val="26"/>
      <w:szCs w:val="26"/>
      <w:lang w:eastAsia="en-US"/>
    </w:rPr>
  </w:style>
  <w:style w:type="paragraph" w:styleId="TOC2">
    <w:name w:val="toc 2"/>
    <w:basedOn w:val="TOC1"/>
    <w:rsid w:val="00E82C65"/>
    <w:pPr>
      <w:ind w:left="1134" w:hanging="624"/>
    </w:pPr>
    <w:rPr>
      <w:b w:val="0"/>
    </w:rPr>
  </w:style>
  <w:style w:type="paragraph" w:styleId="TOC4">
    <w:name w:val="toc 4"/>
    <w:basedOn w:val="TOC3"/>
    <w:semiHidden/>
    <w:rsid w:val="00E82C65"/>
    <w:pPr>
      <w:ind w:left="1191" w:firstLine="0"/>
    </w:pPr>
  </w:style>
  <w:style w:type="paragraph" w:customStyle="1" w:styleId="BoxContinued">
    <w:name w:val="Box Continued"/>
    <w:basedOn w:val="BodyText"/>
    <w:next w:val="BodyText"/>
    <w:semiHidden/>
    <w:rsid w:val="00E82C65"/>
    <w:pPr>
      <w:spacing w:before="180" w:line="220" w:lineRule="exact"/>
      <w:jc w:val="right"/>
    </w:pPr>
    <w:rPr>
      <w:rFonts w:ascii="Arial" w:hAnsi="Arial"/>
      <w:sz w:val="18"/>
    </w:rPr>
  </w:style>
  <w:style w:type="paragraph" w:customStyle="1" w:styleId="Continued">
    <w:name w:val="Continued"/>
    <w:basedOn w:val="BoxContinued"/>
    <w:next w:val="BodyText"/>
    <w:rsid w:val="00E82C65"/>
  </w:style>
  <w:style w:type="paragraph" w:customStyle="1" w:styleId="BoxHeading1">
    <w:name w:val="Box Heading 1"/>
    <w:basedOn w:val="BodyText"/>
    <w:next w:val="Box"/>
    <w:rsid w:val="00E82C65"/>
    <w:pPr>
      <w:keepNext/>
      <w:spacing w:before="200" w:line="280" w:lineRule="atLeast"/>
    </w:pPr>
    <w:rPr>
      <w:rFonts w:ascii="Arial" w:hAnsi="Arial"/>
      <w:b/>
      <w:sz w:val="22"/>
    </w:rPr>
  </w:style>
  <w:style w:type="paragraph" w:customStyle="1" w:styleId="BoxHeading2">
    <w:name w:val="Box Heading 2"/>
    <w:basedOn w:val="BoxHeading1"/>
    <w:next w:val="Normal"/>
    <w:rsid w:val="00E82C65"/>
    <w:rPr>
      <w:b w:val="0"/>
      <w:i/>
    </w:rPr>
  </w:style>
  <w:style w:type="paragraph" w:customStyle="1" w:styleId="Clearformatting">
    <w:name w:val="Clear formatting"/>
    <w:basedOn w:val="BodyText"/>
    <w:link w:val="ClearformattingChar"/>
    <w:rsid w:val="00CE62EE"/>
  </w:style>
  <w:style w:type="character" w:customStyle="1" w:styleId="BodyTextChar">
    <w:name w:val="Body Text Char"/>
    <w:basedOn w:val="DefaultParagraphFont"/>
    <w:link w:val="BodyText"/>
    <w:rsid w:val="00E82C65"/>
    <w:rPr>
      <w:sz w:val="24"/>
    </w:rPr>
  </w:style>
  <w:style w:type="character" w:customStyle="1" w:styleId="NoteChar">
    <w:name w:val="Note Char"/>
    <w:link w:val="Note"/>
    <w:rsid w:val="005E1E6B"/>
    <w:rPr>
      <w:rFonts w:ascii="Arial" w:hAnsi="Arial"/>
      <w:sz w:val="18"/>
    </w:rPr>
  </w:style>
  <w:style w:type="paragraph" w:styleId="BalloonText">
    <w:name w:val="Balloon Text"/>
    <w:basedOn w:val="Normal"/>
    <w:link w:val="BalloonTextChar"/>
    <w:rsid w:val="00E82C65"/>
    <w:rPr>
      <w:rFonts w:ascii="Tahoma" w:hAnsi="Tahoma" w:cs="Tahoma"/>
      <w:sz w:val="16"/>
      <w:szCs w:val="16"/>
    </w:rPr>
  </w:style>
  <w:style w:type="character" w:customStyle="1" w:styleId="CharChar1">
    <w:name w:val="Char Char1"/>
    <w:rsid w:val="0013579E"/>
    <w:rPr>
      <w:sz w:val="26"/>
      <w:lang w:val="en-AU" w:eastAsia="en-US" w:bidi="ar-SA"/>
    </w:rPr>
  </w:style>
  <w:style w:type="character" w:customStyle="1" w:styleId="TableBodyTextChar">
    <w:name w:val="Table Body Text Char"/>
    <w:link w:val="TableBodyText"/>
    <w:rsid w:val="00614F0F"/>
    <w:rPr>
      <w:rFonts w:ascii="Arial" w:hAnsi="Arial"/>
      <w:sz w:val="18"/>
    </w:rPr>
  </w:style>
  <w:style w:type="character" w:customStyle="1" w:styleId="ClearformattingChar">
    <w:name w:val="Clear formatting Char"/>
    <w:basedOn w:val="BodyTextChar"/>
    <w:link w:val="Clearformatting"/>
    <w:rsid w:val="00A44FFA"/>
    <w:rPr>
      <w:sz w:val="26"/>
    </w:rPr>
  </w:style>
  <w:style w:type="paragraph" w:customStyle="1" w:styleId="Jurisdictioncommentsbodytext">
    <w:name w:val="Jurisdiction comments body text"/>
    <w:rsid w:val="00E82C65"/>
    <w:pPr>
      <w:spacing w:after="140"/>
      <w:jc w:val="both"/>
    </w:pPr>
    <w:rPr>
      <w:rFonts w:ascii="Arial" w:hAnsi="Arial"/>
      <w:sz w:val="24"/>
      <w:lang w:eastAsia="en-US"/>
    </w:rPr>
  </w:style>
  <w:style w:type="paragraph" w:customStyle="1" w:styleId="Jurisdictioncommentsheading">
    <w:name w:val="Jurisdiction comments heading"/>
    <w:rsid w:val="00E82C65"/>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E82C65"/>
    <w:pPr>
      <w:numPr>
        <w:numId w:val="12"/>
      </w:numPr>
      <w:spacing w:after="140"/>
      <w:jc w:val="both"/>
    </w:pPr>
    <w:rPr>
      <w:rFonts w:ascii="Arial" w:hAnsi="Arial"/>
      <w:sz w:val="24"/>
      <w:lang w:eastAsia="en-US"/>
    </w:rPr>
  </w:style>
  <w:style w:type="paragraph" w:styleId="NormalWeb">
    <w:name w:val="Normal (Web)"/>
    <w:basedOn w:val="Normal"/>
    <w:uiPriority w:val="99"/>
    <w:rsid w:val="001531CD"/>
  </w:style>
  <w:style w:type="character" w:styleId="Hyperlink">
    <w:name w:val="Hyperlink"/>
    <w:rsid w:val="0020731B"/>
    <w:rPr>
      <w:b/>
      <w:bCs/>
      <w:strike w:val="0"/>
      <w:dstrike w:val="0"/>
      <w:color w:val="5D9500"/>
      <w:u w:val="none"/>
      <w:effect w:val="none"/>
    </w:rPr>
  </w:style>
  <w:style w:type="table" w:styleId="TableGrid">
    <w:name w:val="Table Grid"/>
    <w:basedOn w:val="TableNormal"/>
    <w:rsid w:val="00E82C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semiHidden/>
    <w:rsid w:val="006221EF"/>
    <w:pPr>
      <w:spacing w:before="0" w:line="240" w:lineRule="auto"/>
      <w:ind w:left="0" w:firstLine="0"/>
    </w:pPr>
    <w:rPr>
      <w:b/>
      <w:bCs/>
      <w:szCs w:val="20"/>
    </w:rPr>
  </w:style>
  <w:style w:type="paragraph" w:styleId="Revision">
    <w:name w:val="Revision"/>
    <w:hidden/>
    <w:uiPriority w:val="99"/>
    <w:semiHidden/>
    <w:rsid w:val="008A5F4B"/>
    <w:rPr>
      <w:sz w:val="26"/>
      <w:szCs w:val="24"/>
    </w:rPr>
  </w:style>
  <w:style w:type="paragraph" w:customStyle="1" w:styleId="RecBBullet2">
    <w:name w:val="RecB Bullet 2"/>
    <w:basedOn w:val="ListBullet2"/>
    <w:semiHidden/>
    <w:rsid w:val="00E82C65"/>
    <w:pPr>
      <w:pBdr>
        <w:left w:val="single" w:sz="24" w:space="29" w:color="C0C0C0"/>
      </w:pBdr>
    </w:pPr>
    <w:rPr>
      <w:b/>
      <w:i/>
    </w:rPr>
  </w:style>
  <w:style w:type="character" w:customStyle="1" w:styleId="BalloonTextChar">
    <w:name w:val="Balloon Text Char"/>
    <w:basedOn w:val="DefaultParagraphFont"/>
    <w:link w:val="BalloonText"/>
    <w:rsid w:val="00E82C65"/>
    <w:rPr>
      <w:rFonts w:ascii="Tahoma" w:hAnsi="Tahoma" w:cs="Tahoma"/>
      <w:sz w:val="16"/>
      <w:szCs w:val="16"/>
    </w:rPr>
  </w:style>
  <w:style w:type="character" w:customStyle="1" w:styleId="SubtitleChar">
    <w:name w:val="Subtitle Char"/>
    <w:basedOn w:val="DefaultParagraphFont"/>
    <w:link w:val="Subtitle"/>
    <w:rsid w:val="00E82C65"/>
    <w:rPr>
      <w:rFonts w:ascii="Arial" w:hAnsi="Arial"/>
      <w:szCs w:val="24"/>
    </w:rPr>
  </w:style>
  <w:style w:type="paragraph" w:customStyle="1" w:styleId="BoxListBullet3">
    <w:name w:val="Box List Bullet 3"/>
    <w:basedOn w:val="ListBullet3"/>
    <w:rsid w:val="00E82C65"/>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E82C65"/>
    <w:rPr>
      <w:i/>
      <w:iCs/>
    </w:rPr>
  </w:style>
  <w:style w:type="paragraph" w:customStyle="1" w:styleId="BoxQuoteBullet">
    <w:name w:val="Box Quote Bullet"/>
    <w:basedOn w:val="BoxQuote"/>
    <w:next w:val="Box"/>
    <w:rsid w:val="00E82C65"/>
    <w:pPr>
      <w:numPr>
        <w:numId w:val="15"/>
      </w:numPr>
      <w:ind w:left="568" w:hanging="284"/>
    </w:pPr>
  </w:style>
  <w:style w:type="paragraph" w:customStyle="1" w:styleId="InformationRequestBullet">
    <w:name w:val="Information Request Bullet"/>
    <w:basedOn w:val="ListBullet"/>
    <w:next w:val="BodyText"/>
    <w:rsid w:val="00E82C65"/>
    <w:pPr>
      <w:numPr>
        <w:numId w:val="16"/>
      </w:numPr>
      <w:spacing w:before="80" w:line="280" w:lineRule="atLeast"/>
      <w:ind w:left="357" w:hanging="357"/>
    </w:pPr>
    <w:rPr>
      <w:rFonts w:ascii="Arial" w:hAnsi="Arial"/>
      <w:i/>
      <w:sz w:val="22"/>
    </w:rPr>
  </w:style>
  <w:style w:type="paragraph" w:customStyle="1" w:styleId="BoxSpaceAbove">
    <w:name w:val="Box Space Above"/>
    <w:basedOn w:val="BodyText"/>
    <w:rsid w:val="00E82C65"/>
    <w:pPr>
      <w:keepNext/>
      <w:spacing w:before="360" w:line="80" w:lineRule="exact"/>
      <w:jc w:val="left"/>
    </w:pPr>
  </w:style>
  <w:style w:type="paragraph" w:customStyle="1" w:styleId="BoxSpaceBelow">
    <w:name w:val="Box Space Below"/>
    <w:basedOn w:val="Box"/>
    <w:rsid w:val="00E82C65"/>
    <w:pPr>
      <w:keepNext w:val="0"/>
      <w:spacing w:before="60" w:after="60" w:line="80" w:lineRule="exact"/>
    </w:pPr>
    <w:rPr>
      <w:sz w:val="14"/>
    </w:rPr>
  </w:style>
  <w:style w:type="paragraph" w:customStyle="1" w:styleId="KeyPointsListBullet">
    <w:name w:val="Key Points List Bullet"/>
    <w:basedOn w:val="Normal"/>
    <w:qFormat/>
    <w:rsid w:val="00E82C65"/>
    <w:pPr>
      <w:keepNext/>
      <w:numPr>
        <w:numId w:val="47"/>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E82C65"/>
    <w:pPr>
      <w:numPr>
        <w:numId w:val="48"/>
      </w:numPr>
      <w:ind w:left="568" w:hanging="284"/>
    </w:pPr>
  </w:style>
  <w:style w:type="paragraph" w:customStyle="1" w:styleId="InformationRequestTitle">
    <w:name w:val="Information Request Title"/>
    <w:basedOn w:val="FindingTitle"/>
    <w:next w:val="InformationRequest"/>
    <w:rsid w:val="00E82C65"/>
    <w:rPr>
      <w:i/>
    </w:rPr>
  </w:style>
  <w:style w:type="paragraph" w:customStyle="1" w:styleId="Space">
    <w:name w:val="Space"/>
    <w:basedOn w:val="Normal"/>
    <w:rsid w:val="00E82C65"/>
    <w:pPr>
      <w:keepNext/>
      <w:spacing w:line="120" w:lineRule="exact"/>
      <w:jc w:val="both"/>
    </w:pPr>
    <w:rPr>
      <w:rFonts w:ascii="Arial" w:hAnsi="Arial"/>
      <w:sz w:val="20"/>
      <w:szCs w:val="20"/>
    </w:rPr>
  </w:style>
  <w:style w:type="paragraph" w:customStyle="1" w:styleId="Heading1nochapterno">
    <w:name w:val="Heading 1 (no chapter no.)"/>
    <w:basedOn w:val="Heading1"/>
    <w:rsid w:val="00E82C65"/>
    <w:pPr>
      <w:spacing w:before="0"/>
      <w:ind w:left="0" w:firstLine="0"/>
    </w:pPr>
  </w:style>
  <w:style w:type="paragraph" w:customStyle="1" w:styleId="Heading2nosectionno">
    <w:name w:val="Heading 2 (no section no.)"/>
    <w:basedOn w:val="Heading2"/>
    <w:rsid w:val="00E82C65"/>
    <w:pPr>
      <w:ind w:left="0" w:firstLine="0"/>
    </w:pPr>
  </w:style>
  <w:style w:type="character" w:customStyle="1" w:styleId="Heading5Char">
    <w:name w:val="Heading 5 Char"/>
    <w:basedOn w:val="DefaultParagraphFont"/>
    <w:link w:val="Heading5"/>
    <w:rsid w:val="00E82C65"/>
    <w:rPr>
      <w:rFonts w:ascii="Arial" w:hAnsi="Arial"/>
      <w:i/>
      <w:sz w:val="22"/>
    </w:rPr>
  </w:style>
  <w:style w:type="paragraph" w:customStyle="1" w:styleId="Figurespace">
    <w:name w:val="Figure space"/>
    <w:basedOn w:val="Box"/>
    <w:rsid w:val="00E82C65"/>
    <w:pPr>
      <w:spacing w:before="0" w:line="120" w:lineRule="exact"/>
    </w:pPr>
  </w:style>
  <w:style w:type="paragraph" w:customStyle="1" w:styleId="FooterDraftReport">
    <w:name w:val="FooterDraftReport"/>
    <w:basedOn w:val="Footer"/>
    <w:link w:val="FooterDraftReportChar"/>
    <w:rsid w:val="00E82C65"/>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E82C65"/>
    <w:rPr>
      <w:rFonts w:ascii="Arial" w:hAnsi="Arial"/>
      <w:caps/>
      <w:spacing w:val="-4"/>
      <w:sz w:val="16"/>
    </w:rPr>
  </w:style>
  <w:style w:type="character" w:customStyle="1" w:styleId="FooterDraftReportChar">
    <w:name w:val="FooterDraftReport Char"/>
    <w:basedOn w:val="FooterChar"/>
    <w:link w:val="FooterDraftReport"/>
    <w:rsid w:val="00E82C65"/>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E82C65"/>
    <w:rPr>
      <w:rFonts w:ascii="Arial" w:hAnsi="Arial"/>
      <w:b/>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E82C65"/>
    <w:rPr>
      <w:sz w:val="24"/>
      <w:szCs w:val="24"/>
    </w:rPr>
  </w:style>
  <w:style w:type="paragraph" w:styleId="Heading1">
    <w:name w:val="heading 1"/>
    <w:basedOn w:val="BodyText"/>
    <w:next w:val="BodyText"/>
    <w:rsid w:val="00E82C65"/>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E82C65"/>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E82C65"/>
    <w:pPr>
      <w:spacing w:before="560" w:line="320" w:lineRule="exact"/>
      <w:ind w:left="0" w:firstLine="0"/>
      <w:outlineLvl w:val="2"/>
    </w:pPr>
    <w:rPr>
      <w:sz w:val="26"/>
    </w:rPr>
  </w:style>
  <w:style w:type="paragraph" w:styleId="Heading4">
    <w:name w:val="heading 4"/>
    <w:basedOn w:val="Heading3"/>
    <w:next w:val="BodyText"/>
    <w:qFormat/>
    <w:rsid w:val="00E82C65"/>
    <w:pPr>
      <w:spacing w:before="480"/>
      <w:outlineLvl w:val="3"/>
    </w:pPr>
    <w:rPr>
      <w:b w:val="0"/>
      <w:sz w:val="24"/>
    </w:rPr>
  </w:style>
  <w:style w:type="paragraph" w:styleId="Heading5">
    <w:name w:val="heading 5"/>
    <w:basedOn w:val="Heading4"/>
    <w:next w:val="BodyText"/>
    <w:link w:val="Heading5Char"/>
    <w:qFormat/>
    <w:rsid w:val="00E82C65"/>
    <w:pPr>
      <w:outlineLvl w:val="4"/>
    </w:pPr>
    <w:rPr>
      <w:i/>
      <w:sz w:val="22"/>
    </w:rPr>
  </w:style>
  <w:style w:type="paragraph" w:styleId="Heading6">
    <w:name w:val="heading 6"/>
    <w:basedOn w:val="BodyText"/>
    <w:next w:val="BodyText"/>
    <w:rsid w:val="00E82C65"/>
    <w:pPr>
      <w:spacing w:after="60"/>
      <w:jc w:val="left"/>
      <w:outlineLvl w:val="5"/>
    </w:pPr>
    <w:rPr>
      <w:i/>
      <w:sz w:val="22"/>
    </w:rPr>
  </w:style>
  <w:style w:type="paragraph" w:styleId="Heading7">
    <w:name w:val="heading 7"/>
    <w:basedOn w:val="BodyText"/>
    <w:next w:val="BodyText"/>
    <w:rsid w:val="00E82C65"/>
    <w:pPr>
      <w:spacing w:after="60" w:line="240" w:lineRule="auto"/>
      <w:jc w:val="left"/>
      <w:outlineLvl w:val="6"/>
    </w:pPr>
    <w:rPr>
      <w:rFonts w:ascii="Arial" w:hAnsi="Arial"/>
      <w:sz w:val="20"/>
    </w:rPr>
  </w:style>
  <w:style w:type="paragraph" w:styleId="Heading8">
    <w:name w:val="heading 8"/>
    <w:basedOn w:val="BodyText"/>
    <w:next w:val="BodyText"/>
    <w:rsid w:val="00E82C65"/>
    <w:pPr>
      <w:spacing w:after="60" w:line="240" w:lineRule="auto"/>
      <w:jc w:val="left"/>
      <w:outlineLvl w:val="7"/>
    </w:pPr>
    <w:rPr>
      <w:rFonts w:ascii="Arial" w:hAnsi="Arial"/>
      <w:i/>
      <w:sz w:val="20"/>
    </w:rPr>
  </w:style>
  <w:style w:type="paragraph" w:styleId="Heading9">
    <w:name w:val="heading 9"/>
    <w:basedOn w:val="BodyText"/>
    <w:next w:val="BodyText"/>
    <w:rsid w:val="00E82C65"/>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E82C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2C65"/>
  </w:style>
  <w:style w:type="paragraph" w:styleId="BodyText">
    <w:name w:val="Body Text"/>
    <w:link w:val="BodyTextChar"/>
    <w:qFormat/>
    <w:rsid w:val="00E82C65"/>
    <w:pPr>
      <w:spacing w:before="240" w:line="300" w:lineRule="atLeast"/>
      <w:jc w:val="both"/>
    </w:pPr>
    <w:rPr>
      <w:sz w:val="24"/>
    </w:rPr>
  </w:style>
  <w:style w:type="paragraph" w:customStyle="1" w:styleId="Chapter">
    <w:name w:val="Chapter"/>
    <w:basedOn w:val="Heading1"/>
    <w:next w:val="BodyText"/>
    <w:semiHidden/>
    <w:rsid w:val="00E82C65"/>
    <w:pPr>
      <w:ind w:left="0" w:firstLine="0"/>
      <w:outlineLvl w:val="9"/>
    </w:pPr>
  </w:style>
  <w:style w:type="paragraph" w:customStyle="1" w:styleId="SequenceInfo">
    <w:name w:val="Sequence Info"/>
    <w:basedOn w:val="BodyText"/>
    <w:semiHidden/>
    <w:rsid w:val="00E82C65"/>
    <w:rPr>
      <w:vanish/>
      <w:sz w:val="16"/>
    </w:rPr>
  </w:style>
  <w:style w:type="character" w:styleId="CommentReference">
    <w:name w:val="annotation reference"/>
    <w:basedOn w:val="DefaultParagraphFont"/>
    <w:semiHidden/>
    <w:rsid w:val="00E82C65"/>
    <w:rPr>
      <w:b/>
      <w:vanish/>
      <w:color w:val="FF00FF"/>
      <w:sz w:val="20"/>
    </w:rPr>
  </w:style>
  <w:style w:type="paragraph" w:styleId="CommentText">
    <w:name w:val="annotation text"/>
    <w:basedOn w:val="Normal"/>
    <w:semiHidden/>
    <w:rsid w:val="00E82C65"/>
    <w:pPr>
      <w:spacing w:before="120" w:line="240" w:lineRule="atLeast"/>
      <w:ind w:left="567" w:hanging="567"/>
    </w:pPr>
    <w:rPr>
      <w:sz w:val="20"/>
    </w:rPr>
  </w:style>
  <w:style w:type="paragraph" w:customStyle="1" w:styleId="Abbreviation">
    <w:name w:val="Abbreviation"/>
    <w:basedOn w:val="BodyText"/>
    <w:rsid w:val="00E82C65"/>
    <w:pPr>
      <w:spacing w:before="120"/>
      <w:ind w:left="2381" w:hanging="2381"/>
      <w:jc w:val="left"/>
    </w:pPr>
  </w:style>
  <w:style w:type="paragraph" w:customStyle="1" w:styleId="Box">
    <w:name w:val="Box"/>
    <w:basedOn w:val="BodyText"/>
    <w:qFormat/>
    <w:rsid w:val="00E82C65"/>
    <w:pPr>
      <w:keepNext/>
      <w:spacing w:before="120" w:line="260" w:lineRule="atLeast"/>
    </w:pPr>
    <w:rPr>
      <w:rFonts w:ascii="Arial" w:hAnsi="Arial"/>
      <w:sz w:val="20"/>
    </w:rPr>
  </w:style>
  <w:style w:type="paragraph" w:customStyle="1" w:styleId="QuoteBullet">
    <w:name w:val="Quote Bullet"/>
    <w:basedOn w:val="Quote"/>
    <w:rsid w:val="00E82C65"/>
    <w:pPr>
      <w:numPr>
        <w:numId w:val="11"/>
      </w:numPr>
    </w:pPr>
  </w:style>
  <w:style w:type="paragraph" w:customStyle="1" w:styleId="BoxListBullet">
    <w:name w:val="Box List Bullet"/>
    <w:basedOn w:val="BodyText"/>
    <w:rsid w:val="00E82C65"/>
    <w:pPr>
      <w:keepNext/>
      <w:numPr>
        <w:numId w:val="6"/>
      </w:numPr>
      <w:spacing w:before="100" w:line="260" w:lineRule="atLeast"/>
    </w:pPr>
    <w:rPr>
      <w:rFonts w:ascii="Arial" w:hAnsi="Arial"/>
      <w:sz w:val="20"/>
    </w:rPr>
  </w:style>
  <w:style w:type="paragraph" w:customStyle="1" w:styleId="BoxListBullet2">
    <w:name w:val="Box List Bullet 2"/>
    <w:basedOn w:val="BoxListBullet"/>
    <w:rsid w:val="00E82C65"/>
    <w:pPr>
      <w:numPr>
        <w:numId w:val="3"/>
      </w:numPr>
      <w:ind w:left="568" w:hanging="284"/>
    </w:pPr>
  </w:style>
  <w:style w:type="paragraph" w:customStyle="1" w:styleId="BoxListNumber">
    <w:name w:val="Box List Number"/>
    <w:basedOn w:val="BodyText"/>
    <w:rsid w:val="00E82C65"/>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E82C65"/>
    <w:pPr>
      <w:numPr>
        <w:ilvl w:val="1"/>
      </w:numPr>
      <w:ind w:left="681" w:hanging="397"/>
    </w:pPr>
  </w:style>
  <w:style w:type="paragraph" w:customStyle="1" w:styleId="BoxQuote">
    <w:name w:val="Box Quote"/>
    <w:basedOn w:val="BodyText"/>
    <w:next w:val="Box"/>
    <w:qFormat/>
    <w:rsid w:val="00E82C65"/>
    <w:pPr>
      <w:keepNext/>
      <w:spacing w:before="60" w:line="240" w:lineRule="exact"/>
      <w:ind w:left="284"/>
    </w:pPr>
    <w:rPr>
      <w:rFonts w:ascii="Arial" w:hAnsi="Arial"/>
      <w:sz w:val="18"/>
    </w:rPr>
  </w:style>
  <w:style w:type="paragraph" w:customStyle="1" w:styleId="BoxSource">
    <w:name w:val="Box Source"/>
    <w:basedOn w:val="Source"/>
    <w:next w:val="BodyText"/>
    <w:rsid w:val="00E82C65"/>
    <w:pPr>
      <w:spacing w:before="120"/>
    </w:pPr>
  </w:style>
  <w:style w:type="paragraph" w:customStyle="1" w:styleId="BoxSpace">
    <w:name w:val="Box Space"/>
    <w:basedOn w:val="BodyText"/>
    <w:rsid w:val="0010496C"/>
    <w:pPr>
      <w:keepNext/>
      <w:spacing w:before="360" w:line="80" w:lineRule="exact"/>
      <w:jc w:val="left"/>
    </w:pPr>
  </w:style>
  <w:style w:type="paragraph" w:customStyle="1" w:styleId="BoxSubtitle">
    <w:name w:val="Box Subtitle"/>
    <w:basedOn w:val="BoxTitle"/>
    <w:next w:val="Normal"/>
    <w:rsid w:val="00E82C65"/>
    <w:pPr>
      <w:spacing w:after="80" w:line="200" w:lineRule="exact"/>
      <w:ind w:firstLine="0"/>
    </w:pPr>
    <w:rPr>
      <w:b w:val="0"/>
      <w:sz w:val="20"/>
    </w:rPr>
  </w:style>
  <w:style w:type="paragraph" w:customStyle="1" w:styleId="BoxTitle">
    <w:name w:val="Box Title"/>
    <w:basedOn w:val="Caption"/>
    <w:next w:val="BoxSubtitle"/>
    <w:rsid w:val="00E82C65"/>
    <w:pPr>
      <w:spacing w:before="120" w:after="0"/>
    </w:pPr>
  </w:style>
  <w:style w:type="paragraph" w:styleId="Caption">
    <w:name w:val="caption"/>
    <w:basedOn w:val="Normal"/>
    <w:next w:val="BodyText"/>
    <w:rsid w:val="00E82C65"/>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E82C65"/>
    <w:pPr>
      <w:spacing w:line="280" w:lineRule="atLeast"/>
      <w:ind w:left="907"/>
    </w:pPr>
    <w:rPr>
      <w:rFonts w:ascii="Arial" w:hAnsi="Arial"/>
      <w:b/>
      <w:sz w:val="20"/>
    </w:rPr>
  </w:style>
  <w:style w:type="character" w:customStyle="1" w:styleId="DocumentInfo">
    <w:name w:val="Document Info"/>
    <w:basedOn w:val="DefaultParagraphFont"/>
    <w:semiHidden/>
    <w:rsid w:val="00E82C65"/>
    <w:rPr>
      <w:rFonts w:ascii="Arial" w:hAnsi="Arial"/>
      <w:sz w:val="14"/>
    </w:rPr>
  </w:style>
  <w:style w:type="paragraph" w:styleId="Footer">
    <w:name w:val="footer"/>
    <w:basedOn w:val="BodyText"/>
    <w:link w:val="FooterChar"/>
    <w:rsid w:val="00E82C65"/>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E82C65"/>
    <w:rPr>
      <w:b/>
      <w:color w:val="FF0000"/>
      <w:sz w:val="24"/>
      <w:u w:val="dotted"/>
    </w:rPr>
  </w:style>
  <w:style w:type="character" w:customStyle="1" w:styleId="FigureTitleChar">
    <w:name w:val="Figure Title Char"/>
    <w:link w:val="FigureTitle"/>
    <w:rsid w:val="00CE62EE"/>
    <w:rPr>
      <w:rFonts w:ascii="Arial" w:hAnsi="Arial"/>
      <w:b/>
      <w:sz w:val="24"/>
      <w:szCs w:val="24"/>
    </w:rPr>
  </w:style>
  <w:style w:type="paragraph" w:customStyle="1" w:styleId="Figure">
    <w:name w:val="Figure"/>
    <w:basedOn w:val="BodyText"/>
    <w:rsid w:val="00E82C65"/>
    <w:pPr>
      <w:keepNext/>
      <w:spacing w:before="120" w:after="120" w:line="240" w:lineRule="atLeast"/>
      <w:jc w:val="center"/>
    </w:pPr>
  </w:style>
  <w:style w:type="paragraph" w:customStyle="1" w:styleId="FigureTitle">
    <w:name w:val="Figure Title"/>
    <w:basedOn w:val="Caption"/>
    <w:next w:val="Subtitle"/>
    <w:link w:val="FigureTitleChar"/>
    <w:rsid w:val="00E82C65"/>
    <w:pPr>
      <w:spacing w:before="120"/>
    </w:pPr>
  </w:style>
  <w:style w:type="paragraph" w:styleId="Subtitle">
    <w:name w:val="Subtitle"/>
    <w:basedOn w:val="Caption"/>
    <w:link w:val="SubtitleChar"/>
    <w:qFormat/>
    <w:rsid w:val="00E82C65"/>
    <w:pPr>
      <w:spacing w:before="0" w:line="200" w:lineRule="exact"/>
      <w:ind w:firstLine="0"/>
    </w:pPr>
    <w:rPr>
      <w:b w:val="0"/>
      <w:sz w:val="20"/>
    </w:rPr>
  </w:style>
  <w:style w:type="paragraph" w:customStyle="1" w:styleId="Finding">
    <w:name w:val="Finding"/>
    <w:basedOn w:val="BodyText"/>
    <w:rsid w:val="00E82C65"/>
    <w:pPr>
      <w:keepLines/>
      <w:spacing w:before="120" w:line="280" w:lineRule="atLeast"/>
    </w:pPr>
    <w:rPr>
      <w:rFonts w:ascii="Arial" w:hAnsi="Arial"/>
      <w:sz w:val="22"/>
    </w:rPr>
  </w:style>
  <w:style w:type="paragraph" w:customStyle="1" w:styleId="FindingBullet">
    <w:name w:val="Finding Bullet"/>
    <w:basedOn w:val="Finding"/>
    <w:rsid w:val="00E82C65"/>
    <w:pPr>
      <w:numPr>
        <w:numId w:val="7"/>
      </w:numPr>
      <w:spacing w:before="80"/>
    </w:pPr>
  </w:style>
  <w:style w:type="paragraph" w:customStyle="1" w:styleId="FindingNoTitle">
    <w:name w:val="Finding NoTitle"/>
    <w:basedOn w:val="Finding"/>
    <w:rsid w:val="00E82C65"/>
    <w:pPr>
      <w:spacing w:before="240"/>
    </w:pPr>
  </w:style>
  <w:style w:type="paragraph" w:customStyle="1" w:styleId="FindingTitle">
    <w:name w:val="Finding Title"/>
    <w:basedOn w:val="RecTitle"/>
    <w:next w:val="Finding"/>
    <w:rsid w:val="00E82C65"/>
  </w:style>
  <w:style w:type="paragraph" w:customStyle="1" w:styleId="FooterEnd">
    <w:name w:val="Footer End"/>
    <w:basedOn w:val="Footer"/>
    <w:rsid w:val="00E82C65"/>
    <w:pPr>
      <w:spacing w:before="0" w:line="20" w:lineRule="exact"/>
    </w:pPr>
  </w:style>
  <w:style w:type="character" w:styleId="FootnoteReference">
    <w:name w:val="footnote reference"/>
    <w:basedOn w:val="DefaultParagraphFont"/>
    <w:semiHidden/>
    <w:rsid w:val="00E82C65"/>
    <w:rPr>
      <w:rFonts w:ascii="Times New Roman" w:hAnsi="Times New Roman"/>
      <w:position w:val="6"/>
      <w:sz w:val="20"/>
      <w:vertAlign w:val="baseline"/>
    </w:rPr>
  </w:style>
  <w:style w:type="paragraph" w:styleId="FootnoteText">
    <w:name w:val="footnote text"/>
    <w:basedOn w:val="BodyText"/>
    <w:rsid w:val="00E82C65"/>
    <w:pPr>
      <w:tabs>
        <w:tab w:val="left" w:pos="284"/>
      </w:tabs>
      <w:spacing w:before="80" w:line="240" w:lineRule="exact"/>
      <w:ind w:left="284" w:hanging="284"/>
    </w:pPr>
    <w:rPr>
      <w:sz w:val="20"/>
    </w:rPr>
  </w:style>
  <w:style w:type="paragraph" w:styleId="Header">
    <w:name w:val="header"/>
    <w:basedOn w:val="BodyText"/>
    <w:rsid w:val="00E82C65"/>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E82C65"/>
    <w:pPr>
      <w:spacing w:line="20" w:lineRule="exact"/>
    </w:pPr>
    <w:rPr>
      <w:sz w:val="16"/>
    </w:rPr>
  </w:style>
  <w:style w:type="paragraph" w:customStyle="1" w:styleId="HeaderEven">
    <w:name w:val="Header Even"/>
    <w:basedOn w:val="Header"/>
    <w:rsid w:val="00E82C65"/>
  </w:style>
  <w:style w:type="paragraph" w:customStyle="1" w:styleId="HeaderOdd">
    <w:name w:val="Header Odd"/>
    <w:basedOn w:val="Header"/>
    <w:semiHidden/>
    <w:rsid w:val="00E82C65"/>
  </w:style>
  <w:style w:type="paragraph" w:customStyle="1" w:styleId="InformationRequest">
    <w:name w:val="Information Request"/>
    <w:basedOn w:val="Finding"/>
    <w:next w:val="BodyText"/>
    <w:rsid w:val="00E82C65"/>
    <w:rPr>
      <w:i/>
    </w:rPr>
  </w:style>
  <w:style w:type="paragraph" w:styleId="ListBullet">
    <w:name w:val="List Bullet"/>
    <w:basedOn w:val="BodyText"/>
    <w:rsid w:val="00E82C65"/>
    <w:pPr>
      <w:numPr>
        <w:numId w:val="5"/>
      </w:numPr>
      <w:spacing w:before="120"/>
    </w:pPr>
  </w:style>
  <w:style w:type="paragraph" w:styleId="ListBullet2">
    <w:name w:val="List Bullet 2"/>
    <w:basedOn w:val="BodyText"/>
    <w:rsid w:val="00E82C65"/>
    <w:pPr>
      <w:numPr>
        <w:numId w:val="2"/>
      </w:numPr>
      <w:spacing w:before="120"/>
    </w:pPr>
  </w:style>
  <w:style w:type="paragraph" w:styleId="ListBullet3">
    <w:name w:val="List Bullet 3"/>
    <w:basedOn w:val="BodyText"/>
    <w:rsid w:val="00E82C65"/>
    <w:pPr>
      <w:numPr>
        <w:numId w:val="1"/>
      </w:numPr>
      <w:spacing w:before="120"/>
      <w:ind w:left="1020" w:hanging="340"/>
    </w:pPr>
  </w:style>
  <w:style w:type="paragraph" w:styleId="ListNumber">
    <w:name w:val="List Number"/>
    <w:basedOn w:val="BodyText"/>
    <w:rsid w:val="00E82C65"/>
    <w:pPr>
      <w:numPr>
        <w:numId w:val="13"/>
      </w:numPr>
      <w:spacing w:before="120"/>
    </w:pPr>
  </w:style>
  <w:style w:type="paragraph" w:styleId="ListNumber2">
    <w:name w:val="List Number 2"/>
    <w:basedOn w:val="ListNumber"/>
    <w:rsid w:val="00E82C65"/>
    <w:pPr>
      <w:numPr>
        <w:ilvl w:val="1"/>
      </w:numPr>
    </w:pPr>
  </w:style>
  <w:style w:type="paragraph" w:styleId="ListNumber3">
    <w:name w:val="List Number 3"/>
    <w:basedOn w:val="ListNumber2"/>
    <w:rsid w:val="00E82C65"/>
    <w:pPr>
      <w:numPr>
        <w:ilvl w:val="2"/>
      </w:numPr>
    </w:pPr>
  </w:style>
  <w:style w:type="paragraph" w:customStyle="1" w:styleId="Note">
    <w:name w:val="Note"/>
    <w:basedOn w:val="BodyText"/>
    <w:next w:val="BodyText"/>
    <w:link w:val="NoteChar"/>
    <w:rsid w:val="00E82C65"/>
    <w:pPr>
      <w:keepLines/>
      <w:spacing w:before="80" w:line="220" w:lineRule="exact"/>
    </w:pPr>
    <w:rPr>
      <w:rFonts w:ascii="Arial" w:hAnsi="Arial"/>
      <w:sz w:val="18"/>
    </w:rPr>
  </w:style>
  <w:style w:type="character" w:customStyle="1" w:styleId="NoteLabel">
    <w:name w:val="Note Label"/>
    <w:basedOn w:val="DefaultParagraphFont"/>
    <w:rsid w:val="00E82C65"/>
    <w:rPr>
      <w:rFonts w:ascii="Arial" w:hAnsi="Arial"/>
      <w:b/>
      <w:position w:val="6"/>
      <w:sz w:val="18"/>
    </w:rPr>
  </w:style>
  <w:style w:type="character" w:styleId="PageNumber">
    <w:name w:val="page number"/>
    <w:basedOn w:val="DefaultParagraphFont"/>
    <w:rsid w:val="00E82C65"/>
    <w:rPr>
      <w:rFonts w:ascii="Arial" w:hAnsi="Arial"/>
      <w:b/>
      <w:sz w:val="16"/>
    </w:rPr>
  </w:style>
  <w:style w:type="paragraph" w:customStyle="1" w:styleId="PartDivider">
    <w:name w:val="Part Divider"/>
    <w:basedOn w:val="BodyText"/>
    <w:next w:val="BodyText"/>
    <w:semiHidden/>
    <w:rsid w:val="00E82C65"/>
    <w:pPr>
      <w:spacing w:before="0" w:line="40" w:lineRule="exact"/>
      <w:jc w:val="right"/>
    </w:pPr>
    <w:rPr>
      <w:smallCaps/>
      <w:sz w:val="16"/>
    </w:rPr>
  </w:style>
  <w:style w:type="paragraph" w:customStyle="1" w:styleId="PartNumber">
    <w:name w:val="Part Number"/>
    <w:basedOn w:val="BodyText"/>
    <w:next w:val="BodyText"/>
    <w:semiHidden/>
    <w:rsid w:val="00E82C65"/>
    <w:pPr>
      <w:spacing w:before="4000" w:line="320" w:lineRule="exact"/>
      <w:ind w:left="6634"/>
      <w:jc w:val="right"/>
    </w:pPr>
    <w:rPr>
      <w:smallCaps/>
      <w:spacing w:val="60"/>
      <w:sz w:val="32"/>
    </w:rPr>
  </w:style>
  <w:style w:type="paragraph" w:customStyle="1" w:styleId="PartTitle">
    <w:name w:val="Part Title"/>
    <w:basedOn w:val="BodyText"/>
    <w:semiHidden/>
    <w:rsid w:val="00E82C65"/>
    <w:pPr>
      <w:spacing w:before="160" w:after="1360" w:line="520" w:lineRule="exact"/>
      <w:ind w:right="2381"/>
      <w:jc w:val="right"/>
    </w:pPr>
    <w:rPr>
      <w:smallCaps/>
      <w:sz w:val="52"/>
    </w:rPr>
  </w:style>
  <w:style w:type="paragraph" w:styleId="Quote">
    <w:name w:val="Quote"/>
    <w:basedOn w:val="BodyText"/>
    <w:next w:val="BodyText"/>
    <w:qFormat/>
    <w:rsid w:val="00E82C65"/>
    <w:pPr>
      <w:spacing w:before="120" w:line="280" w:lineRule="exact"/>
      <w:ind w:left="340"/>
    </w:pPr>
    <w:rPr>
      <w:sz w:val="22"/>
    </w:rPr>
  </w:style>
  <w:style w:type="paragraph" w:customStyle="1" w:styleId="Rec">
    <w:name w:val="Rec"/>
    <w:basedOn w:val="BodyText"/>
    <w:qFormat/>
    <w:rsid w:val="00E82C65"/>
    <w:pPr>
      <w:keepLines/>
      <w:spacing w:before="120" w:line="280" w:lineRule="atLeast"/>
    </w:pPr>
    <w:rPr>
      <w:rFonts w:ascii="Arial" w:hAnsi="Arial"/>
      <w:sz w:val="22"/>
    </w:rPr>
  </w:style>
  <w:style w:type="paragraph" w:customStyle="1" w:styleId="RecBullet">
    <w:name w:val="Rec Bullet"/>
    <w:basedOn w:val="Rec"/>
    <w:rsid w:val="00E82C65"/>
    <w:pPr>
      <w:numPr>
        <w:numId w:val="8"/>
      </w:numPr>
      <w:spacing w:before="80"/>
    </w:pPr>
  </w:style>
  <w:style w:type="paragraph" w:customStyle="1" w:styleId="RecTitle">
    <w:name w:val="Rec Title"/>
    <w:basedOn w:val="BodyText"/>
    <w:next w:val="Rec"/>
    <w:qFormat/>
    <w:rsid w:val="00E82C65"/>
    <w:pPr>
      <w:keepNext/>
      <w:keepLines/>
      <w:spacing w:line="280" w:lineRule="atLeast"/>
    </w:pPr>
    <w:rPr>
      <w:rFonts w:ascii="Arial" w:hAnsi="Arial"/>
      <w:caps/>
      <w:sz w:val="18"/>
    </w:rPr>
  </w:style>
  <w:style w:type="paragraph" w:customStyle="1" w:styleId="RecB">
    <w:name w:val="RecB"/>
    <w:basedOn w:val="Normal"/>
    <w:rsid w:val="00E82C6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E82C65"/>
    <w:pPr>
      <w:numPr>
        <w:numId w:val="9"/>
      </w:numPr>
      <w:spacing w:before="80"/>
    </w:pPr>
  </w:style>
  <w:style w:type="paragraph" w:customStyle="1" w:styleId="RecBNoTitle">
    <w:name w:val="RecB NoTitle"/>
    <w:basedOn w:val="RecB"/>
    <w:rsid w:val="00E82C65"/>
    <w:pPr>
      <w:spacing w:before="240"/>
    </w:pPr>
  </w:style>
  <w:style w:type="paragraph" w:customStyle="1" w:styleId="Reference">
    <w:name w:val="Reference"/>
    <w:basedOn w:val="BodyText"/>
    <w:rsid w:val="00E82C65"/>
    <w:pPr>
      <w:spacing w:before="120"/>
      <w:ind w:left="340" w:hanging="340"/>
    </w:pPr>
  </w:style>
  <w:style w:type="paragraph" w:customStyle="1" w:styleId="SideNote">
    <w:name w:val="Side Note"/>
    <w:basedOn w:val="BodyText"/>
    <w:next w:val="BodyText"/>
    <w:semiHidden/>
    <w:rsid w:val="00E82C65"/>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E82C65"/>
    <w:pPr>
      <w:framePr w:wrap="around"/>
      <w:numPr>
        <w:numId w:val="4"/>
      </w:numPr>
      <w:tabs>
        <w:tab w:val="left" w:pos="227"/>
      </w:tabs>
    </w:pPr>
  </w:style>
  <w:style w:type="paragraph" w:customStyle="1" w:styleId="SideNoteGraphic">
    <w:name w:val="Side Note Graphic"/>
    <w:basedOn w:val="SideNote"/>
    <w:next w:val="BodyText"/>
    <w:semiHidden/>
    <w:rsid w:val="00E82C65"/>
    <w:pPr>
      <w:framePr w:wrap="around"/>
    </w:pPr>
  </w:style>
  <w:style w:type="paragraph" w:customStyle="1" w:styleId="Source">
    <w:name w:val="Source"/>
    <w:basedOn w:val="Normal"/>
    <w:next w:val="BodyText"/>
    <w:rsid w:val="00E82C65"/>
    <w:pPr>
      <w:keepLines/>
      <w:spacing w:before="80" w:line="220" w:lineRule="exact"/>
      <w:jc w:val="both"/>
    </w:pPr>
    <w:rPr>
      <w:rFonts w:ascii="Arial" w:hAnsi="Arial"/>
      <w:sz w:val="18"/>
      <w:szCs w:val="20"/>
    </w:rPr>
  </w:style>
  <w:style w:type="paragraph" w:customStyle="1" w:styleId="TableBodyText">
    <w:name w:val="Table Body Text"/>
    <w:basedOn w:val="BodyText"/>
    <w:link w:val="TableBodyTextChar"/>
    <w:rsid w:val="00E82C65"/>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E82C65"/>
    <w:pPr>
      <w:numPr>
        <w:numId w:val="10"/>
      </w:numPr>
      <w:jc w:val="left"/>
    </w:pPr>
  </w:style>
  <w:style w:type="paragraph" w:customStyle="1" w:styleId="TableColumnHeading">
    <w:name w:val="Table Column Heading"/>
    <w:basedOn w:val="TableBodyText"/>
    <w:rsid w:val="00E82C65"/>
    <w:pPr>
      <w:spacing w:before="80" w:after="80"/>
    </w:pPr>
    <w:rPr>
      <w:i/>
    </w:rPr>
  </w:style>
  <w:style w:type="paragraph" w:styleId="TableofFigures">
    <w:name w:val="table of figures"/>
    <w:basedOn w:val="TOC3"/>
    <w:next w:val="BodyText"/>
    <w:semiHidden/>
    <w:rsid w:val="00E82C65"/>
    <w:pPr>
      <w:ind w:left="737" w:hanging="737"/>
    </w:pPr>
  </w:style>
  <w:style w:type="paragraph" w:styleId="TOC3">
    <w:name w:val="toc 3"/>
    <w:basedOn w:val="TOC2"/>
    <w:rsid w:val="00E82C65"/>
    <w:pPr>
      <w:spacing w:before="60"/>
      <w:ind w:left="1190" w:hanging="680"/>
    </w:pPr>
  </w:style>
  <w:style w:type="paragraph" w:customStyle="1" w:styleId="TableTitle">
    <w:name w:val="Table Title"/>
    <w:basedOn w:val="Caption"/>
    <w:next w:val="Subtitle"/>
    <w:qFormat/>
    <w:rsid w:val="00E82C65"/>
    <w:pPr>
      <w:spacing w:before="120"/>
    </w:pPr>
  </w:style>
  <w:style w:type="paragraph" w:customStyle="1" w:styleId="TableUnitsRow">
    <w:name w:val="Table Units Row"/>
    <w:basedOn w:val="TableBodyText"/>
    <w:rsid w:val="00E82C65"/>
    <w:pPr>
      <w:spacing w:before="40"/>
    </w:pPr>
  </w:style>
  <w:style w:type="paragraph" w:styleId="TOC1">
    <w:name w:val="toc 1"/>
    <w:basedOn w:val="Normal"/>
    <w:next w:val="TOC2"/>
    <w:link w:val="TOC1Char"/>
    <w:rsid w:val="00E82C65"/>
    <w:pPr>
      <w:tabs>
        <w:tab w:val="right" w:pos="8789"/>
      </w:tabs>
      <w:spacing w:before="120" w:line="320" w:lineRule="exact"/>
      <w:ind w:left="510" w:right="851" w:hanging="510"/>
    </w:pPr>
    <w:rPr>
      <w:rFonts w:ascii="Arial" w:hAnsi="Arial"/>
      <w:b/>
      <w:sz w:val="26"/>
      <w:szCs w:val="26"/>
      <w:lang w:eastAsia="en-US"/>
    </w:rPr>
  </w:style>
  <w:style w:type="paragraph" w:styleId="TOC2">
    <w:name w:val="toc 2"/>
    <w:basedOn w:val="TOC1"/>
    <w:rsid w:val="00E82C65"/>
    <w:pPr>
      <w:ind w:left="1134" w:hanging="624"/>
    </w:pPr>
    <w:rPr>
      <w:b w:val="0"/>
    </w:rPr>
  </w:style>
  <w:style w:type="paragraph" w:styleId="TOC4">
    <w:name w:val="toc 4"/>
    <w:basedOn w:val="TOC3"/>
    <w:semiHidden/>
    <w:rsid w:val="00E82C65"/>
    <w:pPr>
      <w:ind w:left="1191" w:firstLine="0"/>
    </w:pPr>
  </w:style>
  <w:style w:type="paragraph" w:customStyle="1" w:styleId="BoxContinued">
    <w:name w:val="Box Continued"/>
    <w:basedOn w:val="BodyText"/>
    <w:next w:val="BodyText"/>
    <w:semiHidden/>
    <w:rsid w:val="00E82C65"/>
    <w:pPr>
      <w:spacing w:before="180" w:line="220" w:lineRule="exact"/>
      <w:jc w:val="right"/>
    </w:pPr>
    <w:rPr>
      <w:rFonts w:ascii="Arial" w:hAnsi="Arial"/>
      <w:sz w:val="18"/>
    </w:rPr>
  </w:style>
  <w:style w:type="paragraph" w:customStyle="1" w:styleId="Continued">
    <w:name w:val="Continued"/>
    <w:basedOn w:val="BoxContinued"/>
    <w:next w:val="BodyText"/>
    <w:rsid w:val="00E82C65"/>
  </w:style>
  <w:style w:type="paragraph" w:customStyle="1" w:styleId="BoxHeading1">
    <w:name w:val="Box Heading 1"/>
    <w:basedOn w:val="BodyText"/>
    <w:next w:val="Box"/>
    <w:rsid w:val="00E82C65"/>
    <w:pPr>
      <w:keepNext/>
      <w:spacing w:before="200" w:line="280" w:lineRule="atLeast"/>
    </w:pPr>
    <w:rPr>
      <w:rFonts w:ascii="Arial" w:hAnsi="Arial"/>
      <w:b/>
      <w:sz w:val="22"/>
    </w:rPr>
  </w:style>
  <w:style w:type="paragraph" w:customStyle="1" w:styleId="BoxHeading2">
    <w:name w:val="Box Heading 2"/>
    <w:basedOn w:val="BoxHeading1"/>
    <w:next w:val="Normal"/>
    <w:rsid w:val="00E82C65"/>
    <w:rPr>
      <w:b w:val="0"/>
      <w:i/>
    </w:rPr>
  </w:style>
  <w:style w:type="paragraph" w:customStyle="1" w:styleId="Clearformatting">
    <w:name w:val="Clear formatting"/>
    <w:basedOn w:val="BodyText"/>
    <w:link w:val="ClearformattingChar"/>
    <w:rsid w:val="00CE62EE"/>
  </w:style>
  <w:style w:type="character" w:customStyle="1" w:styleId="BodyTextChar">
    <w:name w:val="Body Text Char"/>
    <w:basedOn w:val="DefaultParagraphFont"/>
    <w:link w:val="BodyText"/>
    <w:rsid w:val="00E82C65"/>
    <w:rPr>
      <w:sz w:val="24"/>
    </w:rPr>
  </w:style>
  <w:style w:type="character" w:customStyle="1" w:styleId="NoteChar">
    <w:name w:val="Note Char"/>
    <w:link w:val="Note"/>
    <w:rsid w:val="005E1E6B"/>
    <w:rPr>
      <w:rFonts w:ascii="Arial" w:hAnsi="Arial"/>
      <w:sz w:val="18"/>
    </w:rPr>
  </w:style>
  <w:style w:type="paragraph" w:styleId="BalloonText">
    <w:name w:val="Balloon Text"/>
    <w:basedOn w:val="Normal"/>
    <w:link w:val="BalloonTextChar"/>
    <w:rsid w:val="00E82C65"/>
    <w:rPr>
      <w:rFonts w:ascii="Tahoma" w:hAnsi="Tahoma" w:cs="Tahoma"/>
      <w:sz w:val="16"/>
      <w:szCs w:val="16"/>
    </w:rPr>
  </w:style>
  <w:style w:type="character" w:customStyle="1" w:styleId="CharChar1">
    <w:name w:val="Char Char1"/>
    <w:rsid w:val="0013579E"/>
    <w:rPr>
      <w:sz w:val="26"/>
      <w:lang w:val="en-AU" w:eastAsia="en-US" w:bidi="ar-SA"/>
    </w:rPr>
  </w:style>
  <w:style w:type="character" w:customStyle="1" w:styleId="TableBodyTextChar">
    <w:name w:val="Table Body Text Char"/>
    <w:link w:val="TableBodyText"/>
    <w:rsid w:val="00614F0F"/>
    <w:rPr>
      <w:rFonts w:ascii="Arial" w:hAnsi="Arial"/>
      <w:sz w:val="18"/>
    </w:rPr>
  </w:style>
  <w:style w:type="character" w:customStyle="1" w:styleId="ClearformattingChar">
    <w:name w:val="Clear formatting Char"/>
    <w:basedOn w:val="BodyTextChar"/>
    <w:link w:val="Clearformatting"/>
    <w:rsid w:val="00A44FFA"/>
    <w:rPr>
      <w:sz w:val="26"/>
    </w:rPr>
  </w:style>
  <w:style w:type="paragraph" w:customStyle="1" w:styleId="Jurisdictioncommentsbodytext">
    <w:name w:val="Jurisdiction comments body text"/>
    <w:rsid w:val="00E82C65"/>
    <w:pPr>
      <w:spacing w:after="140"/>
      <w:jc w:val="both"/>
    </w:pPr>
    <w:rPr>
      <w:rFonts w:ascii="Arial" w:hAnsi="Arial"/>
      <w:sz w:val="24"/>
      <w:lang w:eastAsia="en-US"/>
    </w:rPr>
  </w:style>
  <w:style w:type="paragraph" w:customStyle="1" w:styleId="Jurisdictioncommentsheading">
    <w:name w:val="Jurisdiction comments heading"/>
    <w:rsid w:val="00E82C65"/>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E82C65"/>
    <w:pPr>
      <w:numPr>
        <w:numId w:val="12"/>
      </w:numPr>
      <w:spacing w:after="140"/>
      <w:jc w:val="both"/>
    </w:pPr>
    <w:rPr>
      <w:rFonts w:ascii="Arial" w:hAnsi="Arial"/>
      <w:sz w:val="24"/>
      <w:lang w:eastAsia="en-US"/>
    </w:rPr>
  </w:style>
  <w:style w:type="paragraph" w:styleId="NormalWeb">
    <w:name w:val="Normal (Web)"/>
    <w:basedOn w:val="Normal"/>
    <w:uiPriority w:val="99"/>
    <w:rsid w:val="001531CD"/>
  </w:style>
  <w:style w:type="character" w:styleId="Hyperlink">
    <w:name w:val="Hyperlink"/>
    <w:rsid w:val="0020731B"/>
    <w:rPr>
      <w:b/>
      <w:bCs/>
      <w:strike w:val="0"/>
      <w:dstrike w:val="0"/>
      <w:color w:val="5D9500"/>
      <w:u w:val="none"/>
      <w:effect w:val="none"/>
    </w:rPr>
  </w:style>
  <w:style w:type="table" w:styleId="TableGrid">
    <w:name w:val="Table Grid"/>
    <w:basedOn w:val="TableNormal"/>
    <w:rsid w:val="00E82C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semiHidden/>
    <w:rsid w:val="006221EF"/>
    <w:pPr>
      <w:spacing w:before="0" w:line="240" w:lineRule="auto"/>
      <w:ind w:left="0" w:firstLine="0"/>
    </w:pPr>
    <w:rPr>
      <w:b/>
      <w:bCs/>
      <w:szCs w:val="20"/>
    </w:rPr>
  </w:style>
  <w:style w:type="paragraph" w:styleId="Revision">
    <w:name w:val="Revision"/>
    <w:hidden/>
    <w:uiPriority w:val="99"/>
    <w:semiHidden/>
    <w:rsid w:val="008A5F4B"/>
    <w:rPr>
      <w:sz w:val="26"/>
      <w:szCs w:val="24"/>
    </w:rPr>
  </w:style>
  <w:style w:type="paragraph" w:customStyle="1" w:styleId="RecBBullet2">
    <w:name w:val="RecB Bullet 2"/>
    <w:basedOn w:val="ListBullet2"/>
    <w:semiHidden/>
    <w:rsid w:val="00E82C65"/>
    <w:pPr>
      <w:pBdr>
        <w:left w:val="single" w:sz="24" w:space="29" w:color="C0C0C0"/>
      </w:pBdr>
    </w:pPr>
    <w:rPr>
      <w:b/>
      <w:i/>
    </w:rPr>
  </w:style>
  <w:style w:type="character" w:customStyle="1" w:styleId="BalloonTextChar">
    <w:name w:val="Balloon Text Char"/>
    <w:basedOn w:val="DefaultParagraphFont"/>
    <w:link w:val="BalloonText"/>
    <w:rsid w:val="00E82C65"/>
    <w:rPr>
      <w:rFonts w:ascii="Tahoma" w:hAnsi="Tahoma" w:cs="Tahoma"/>
      <w:sz w:val="16"/>
      <w:szCs w:val="16"/>
    </w:rPr>
  </w:style>
  <w:style w:type="character" w:customStyle="1" w:styleId="SubtitleChar">
    <w:name w:val="Subtitle Char"/>
    <w:basedOn w:val="DefaultParagraphFont"/>
    <w:link w:val="Subtitle"/>
    <w:rsid w:val="00E82C65"/>
    <w:rPr>
      <w:rFonts w:ascii="Arial" w:hAnsi="Arial"/>
      <w:szCs w:val="24"/>
    </w:rPr>
  </w:style>
  <w:style w:type="paragraph" w:customStyle="1" w:styleId="BoxListBullet3">
    <w:name w:val="Box List Bullet 3"/>
    <w:basedOn w:val="ListBullet3"/>
    <w:rsid w:val="00E82C65"/>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E82C65"/>
    <w:rPr>
      <w:i/>
      <w:iCs/>
    </w:rPr>
  </w:style>
  <w:style w:type="paragraph" w:customStyle="1" w:styleId="BoxQuoteBullet">
    <w:name w:val="Box Quote Bullet"/>
    <w:basedOn w:val="BoxQuote"/>
    <w:next w:val="Box"/>
    <w:rsid w:val="00E82C65"/>
    <w:pPr>
      <w:numPr>
        <w:numId w:val="15"/>
      </w:numPr>
      <w:ind w:left="568" w:hanging="284"/>
    </w:pPr>
  </w:style>
  <w:style w:type="paragraph" w:customStyle="1" w:styleId="InformationRequestBullet">
    <w:name w:val="Information Request Bullet"/>
    <w:basedOn w:val="ListBullet"/>
    <w:next w:val="BodyText"/>
    <w:rsid w:val="00E82C65"/>
    <w:pPr>
      <w:numPr>
        <w:numId w:val="16"/>
      </w:numPr>
      <w:spacing w:before="80" w:line="280" w:lineRule="atLeast"/>
      <w:ind w:left="357" w:hanging="357"/>
    </w:pPr>
    <w:rPr>
      <w:rFonts w:ascii="Arial" w:hAnsi="Arial"/>
      <w:i/>
      <w:sz w:val="22"/>
    </w:rPr>
  </w:style>
  <w:style w:type="paragraph" w:customStyle="1" w:styleId="BoxSpaceAbove">
    <w:name w:val="Box Space Above"/>
    <w:basedOn w:val="BodyText"/>
    <w:rsid w:val="00E82C65"/>
    <w:pPr>
      <w:keepNext/>
      <w:spacing w:before="360" w:line="80" w:lineRule="exact"/>
      <w:jc w:val="left"/>
    </w:pPr>
  </w:style>
  <w:style w:type="paragraph" w:customStyle="1" w:styleId="BoxSpaceBelow">
    <w:name w:val="Box Space Below"/>
    <w:basedOn w:val="Box"/>
    <w:rsid w:val="00E82C65"/>
    <w:pPr>
      <w:keepNext w:val="0"/>
      <w:spacing w:before="60" w:after="60" w:line="80" w:lineRule="exact"/>
    </w:pPr>
    <w:rPr>
      <w:sz w:val="14"/>
    </w:rPr>
  </w:style>
  <w:style w:type="paragraph" w:customStyle="1" w:styleId="KeyPointsListBullet">
    <w:name w:val="Key Points List Bullet"/>
    <w:basedOn w:val="Normal"/>
    <w:qFormat/>
    <w:rsid w:val="00E82C65"/>
    <w:pPr>
      <w:keepNext/>
      <w:numPr>
        <w:numId w:val="47"/>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E82C65"/>
    <w:pPr>
      <w:numPr>
        <w:numId w:val="48"/>
      </w:numPr>
      <w:ind w:left="568" w:hanging="284"/>
    </w:pPr>
  </w:style>
  <w:style w:type="paragraph" w:customStyle="1" w:styleId="InformationRequestTitle">
    <w:name w:val="Information Request Title"/>
    <w:basedOn w:val="FindingTitle"/>
    <w:next w:val="InformationRequest"/>
    <w:rsid w:val="00E82C65"/>
    <w:rPr>
      <w:i/>
    </w:rPr>
  </w:style>
  <w:style w:type="paragraph" w:customStyle="1" w:styleId="Space">
    <w:name w:val="Space"/>
    <w:basedOn w:val="Normal"/>
    <w:rsid w:val="00E82C65"/>
    <w:pPr>
      <w:keepNext/>
      <w:spacing w:line="120" w:lineRule="exact"/>
      <w:jc w:val="both"/>
    </w:pPr>
    <w:rPr>
      <w:rFonts w:ascii="Arial" w:hAnsi="Arial"/>
      <w:sz w:val="20"/>
      <w:szCs w:val="20"/>
    </w:rPr>
  </w:style>
  <w:style w:type="paragraph" w:customStyle="1" w:styleId="Heading1nochapterno">
    <w:name w:val="Heading 1 (no chapter no.)"/>
    <w:basedOn w:val="Heading1"/>
    <w:rsid w:val="00E82C65"/>
    <w:pPr>
      <w:spacing w:before="0"/>
      <w:ind w:left="0" w:firstLine="0"/>
    </w:pPr>
  </w:style>
  <w:style w:type="paragraph" w:customStyle="1" w:styleId="Heading2nosectionno">
    <w:name w:val="Heading 2 (no section no.)"/>
    <w:basedOn w:val="Heading2"/>
    <w:rsid w:val="00E82C65"/>
    <w:pPr>
      <w:ind w:left="0" w:firstLine="0"/>
    </w:pPr>
  </w:style>
  <w:style w:type="character" w:customStyle="1" w:styleId="Heading5Char">
    <w:name w:val="Heading 5 Char"/>
    <w:basedOn w:val="DefaultParagraphFont"/>
    <w:link w:val="Heading5"/>
    <w:rsid w:val="00E82C65"/>
    <w:rPr>
      <w:rFonts w:ascii="Arial" w:hAnsi="Arial"/>
      <w:i/>
      <w:sz w:val="22"/>
    </w:rPr>
  </w:style>
  <w:style w:type="paragraph" w:customStyle="1" w:styleId="Figurespace">
    <w:name w:val="Figure space"/>
    <w:basedOn w:val="Box"/>
    <w:rsid w:val="00E82C65"/>
    <w:pPr>
      <w:spacing w:before="0" w:line="120" w:lineRule="exact"/>
    </w:pPr>
  </w:style>
  <w:style w:type="paragraph" w:customStyle="1" w:styleId="FooterDraftReport">
    <w:name w:val="FooterDraftReport"/>
    <w:basedOn w:val="Footer"/>
    <w:link w:val="FooterDraftReportChar"/>
    <w:rsid w:val="00E82C65"/>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E82C65"/>
    <w:rPr>
      <w:rFonts w:ascii="Arial" w:hAnsi="Arial"/>
      <w:caps/>
      <w:spacing w:val="-4"/>
      <w:sz w:val="16"/>
    </w:rPr>
  </w:style>
  <w:style w:type="character" w:customStyle="1" w:styleId="FooterDraftReportChar">
    <w:name w:val="FooterDraftReport Char"/>
    <w:basedOn w:val="FooterChar"/>
    <w:link w:val="FooterDraftReport"/>
    <w:rsid w:val="00E82C65"/>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E82C65"/>
    <w:rPr>
      <w:rFonts w:ascii="Arial" w:hAnsi="Arial"/>
      <w:b/>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332499">
      <w:bodyDiv w:val="1"/>
      <w:marLeft w:val="0"/>
      <w:marRight w:val="0"/>
      <w:marTop w:val="0"/>
      <w:marBottom w:val="0"/>
      <w:divBdr>
        <w:top w:val="none" w:sz="0" w:space="0" w:color="auto"/>
        <w:left w:val="none" w:sz="0" w:space="0" w:color="auto"/>
        <w:bottom w:val="none" w:sz="0" w:space="0" w:color="auto"/>
        <w:right w:val="none" w:sz="0" w:space="0" w:color="auto"/>
      </w:divBdr>
      <w:divsChild>
        <w:div w:id="752968014">
          <w:marLeft w:val="2925"/>
          <w:marRight w:val="0"/>
          <w:marTop w:val="0"/>
          <w:marBottom w:val="0"/>
          <w:divBdr>
            <w:top w:val="none" w:sz="0" w:space="0" w:color="auto"/>
            <w:left w:val="none" w:sz="0" w:space="0" w:color="auto"/>
            <w:bottom w:val="none" w:sz="0" w:space="0" w:color="auto"/>
            <w:right w:val="none" w:sz="0" w:space="0" w:color="auto"/>
          </w:divBdr>
          <w:divsChild>
            <w:div w:id="1812213451">
              <w:marLeft w:val="0"/>
              <w:marRight w:val="0"/>
              <w:marTop w:val="0"/>
              <w:marBottom w:val="0"/>
              <w:divBdr>
                <w:top w:val="none" w:sz="0" w:space="0" w:color="auto"/>
                <w:left w:val="none" w:sz="0" w:space="0" w:color="auto"/>
                <w:bottom w:val="none" w:sz="0" w:space="0" w:color="auto"/>
                <w:right w:val="none" w:sz="0" w:space="0" w:color="auto"/>
              </w:divBdr>
              <w:divsChild>
                <w:div w:id="684941962">
                  <w:marLeft w:val="0"/>
                  <w:marRight w:val="0"/>
                  <w:marTop w:val="0"/>
                  <w:marBottom w:val="0"/>
                  <w:divBdr>
                    <w:top w:val="none" w:sz="0" w:space="0" w:color="auto"/>
                    <w:left w:val="none" w:sz="0" w:space="0" w:color="auto"/>
                    <w:bottom w:val="none" w:sz="0" w:space="0" w:color="auto"/>
                    <w:right w:val="none" w:sz="0" w:space="0" w:color="auto"/>
                  </w:divBdr>
                  <w:divsChild>
                    <w:div w:id="146657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5216955">
      <w:bodyDiv w:val="1"/>
      <w:marLeft w:val="0"/>
      <w:marRight w:val="0"/>
      <w:marTop w:val="0"/>
      <w:marBottom w:val="0"/>
      <w:divBdr>
        <w:top w:val="none" w:sz="0" w:space="0" w:color="auto"/>
        <w:left w:val="none" w:sz="0" w:space="0" w:color="auto"/>
        <w:bottom w:val="none" w:sz="0" w:space="0" w:color="auto"/>
        <w:right w:val="none" w:sz="0" w:space="0" w:color="auto"/>
      </w:divBdr>
      <w:divsChild>
        <w:div w:id="779878538">
          <w:marLeft w:val="2925"/>
          <w:marRight w:val="0"/>
          <w:marTop w:val="0"/>
          <w:marBottom w:val="0"/>
          <w:divBdr>
            <w:top w:val="none" w:sz="0" w:space="0" w:color="auto"/>
            <w:left w:val="none" w:sz="0" w:space="0" w:color="auto"/>
            <w:bottom w:val="none" w:sz="0" w:space="0" w:color="auto"/>
            <w:right w:val="none" w:sz="0" w:space="0" w:color="auto"/>
          </w:divBdr>
          <w:divsChild>
            <w:div w:id="461970151">
              <w:marLeft w:val="0"/>
              <w:marRight w:val="0"/>
              <w:marTop w:val="0"/>
              <w:marBottom w:val="0"/>
              <w:divBdr>
                <w:top w:val="none" w:sz="0" w:space="0" w:color="auto"/>
                <w:left w:val="none" w:sz="0" w:space="0" w:color="auto"/>
                <w:bottom w:val="none" w:sz="0" w:space="0" w:color="auto"/>
                <w:right w:val="none" w:sz="0" w:space="0" w:color="auto"/>
              </w:divBdr>
              <w:divsChild>
                <w:div w:id="37866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ss.gov.a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apsc.gov.au/"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D4E6E-452B-4C9B-A800-1717CD29E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6</TotalTime>
  <Pages>23</Pages>
  <Words>5928</Words>
  <Characters>34604</Characters>
  <Application>Microsoft Office Word</Application>
  <DocSecurity>0</DocSecurity>
  <Lines>288</Lines>
  <Paragraphs>80</Paragraphs>
  <ScaleCrop>false</ScaleCrop>
  <HeadingPairs>
    <vt:vector size="2" baseType="variant">
      <vt:variant>
        <vt:lpstr>Title</vt:lpstr>
      </vt:variant>
      <vt:variant>
        <vt:i4>1</vt:i4>
      </vt:variant>
    </vt:vector>
  </HeadingPairs>
  <TitlesOfParts>
    <vt:vector size="1" baseType="lpstr">
      <vt:lpstr>Management and accountability</vt:lpstr>
    </vt:vector>
  </TitlesOfParts>
  <Company>Productivity Commission</Company>
  <LinksUpToDate>false</LinksUpToDate>
  <CharactersWithSpaces>40452</CharactersWithSpaces>
  <SharedDoc>false</SharedDoc>
  <HLinks>
    <vt:vector size="24" baseType="variant">
      <vt:variant>
        <vt:i4>8061049</vt:i4>
      </vt:variant>
      <vt:variant>
        <vt:i4>33</vt:i4>
      </vt:variant>
      <vt:variant>
        <vt:i4>0</vt:i4>
      </vt:variant>
      <vt:variant>
        <vt:i4>5</vt:i4>
      </vt:variant>
      <vt:variant>
        <vt:lpwstr>http://www.pc.gov.au/projects/study/regulationbenchmarking/ohs-food-safety</vt:lpwstr>
      </vt:variant>
      <vt:variant>
        <vt:lpwstr/>
      </vt:variant>
      <vt:variant>
        <vt:i4>8192062</vt:i4>
      </vt:variant>
      <vt:variant>
        <vt:i4>24</vt:i4>
      </vt:variant>
      <vt:variant>
        <vt:i4>0</vt:i4>
      </vt:variant>
      <vt:variant>
        <vt:i4>5</vt:i4>
      </vt:variant>
      <vt:variant>
        <vt:lpwstr>http://www.socialinclusion.gov.au/</vt:lpwstr>
      </vt:variant>
      <vt:variant>
        <vt:lpwstr/>
      </vt:variant>
      <vt:variant>
        <vt:i4>6815777</vt:i4>
      </vt:variant>
      <vt:variant>
        <vt:i4>21</vt:i4>
      </vt:variant>
      <vt:variant>
        <vt:i4>0</vt:i4>
      </vt:variant>
      <vt:variant>
        <vt:i4>5</vt:i4>
      </vt:variant>
      <vt:variant>
        <vt:lpwstr>http://www.fahcsia.gov.au/</vt:lpwstr>
      </vt:variant>
      <vt:variant>
        <vt:lpwstr/>
      </vt:variant>
      <vt:variant>
        <vt:i4>2293811</vt:i4>
      </vt:variant>
      <vt:variant>
        <vt:i4>18</vt:i4>
      </vt:variant>
      <vt:variant>
        <vt:i4>0</vt:i4>
      </vt:variant>
      <vt:variant>
        <vt:i4>5</vt:i4>
      </vt:variant>
      <vt:variant>
        <vt:lpwstr>http://www.apsc.gov.au/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Management and accountability</dc:title>
  <dc:subject>Annual Report 2013-14</dc:subject>
  <dc:creator>Productivity Commission</dc:creator>
  <dc:description>A.</dc:description>
  <cp:lastModifiedBy>Mark Pimperl</cp:lastModifiedBy>
  <cp:revision>5</cp:revision>
  <cp:lastPrinted>2014-10-14T00:13:00Z</cp:lastPrinted>
  <dcterms:created xsi:type="dcterms:W3CDTF">2014-10-14T22:01:00Z</dcterms:created>
  <dcterms:modified xsi:type="dcterms:W3CDTF">2014-10-14T23:15:00Z</dcterms:modified>
</cp:coreProperties>
</file>