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1C7AC2" w:rsidP="00CD5E6B">
      <w:pPr>
        <w:pStyle w:val="BodyText"/>
        <w:rPr>
          <w:b/>
          <w:szCs w:val="26"/>
        </w:rPr>
      </w:pPr>
      <w:r>
        <w:rPr>
          <w:noProof/>
          <w:color w:val="FFFFFF" w:themeColor="background1"/>
        </w:rPr>
        <w:drawing>
          <wp:anchor distT="0" distB="0" distL="114300" distR="114300" simplePos="0" relativeHeight="251658240" behindDoc="0" locked="0" layoutInCell="1" allowOverlap="1" wp14:anchorId="65759408" wp14:editId="6ABCE2BA">
            <wp:simplePos x="0" y="0"/>
            <wp:positionH relativeFrom="column">
              <wp:posOffset>-1179186</wp:posOffset>
            </wp:positionH>
            <wp:positionV relativeFrom="paragraph">
              <wp:posOffset>-329593</wp:posOffset>
            </wp:positionV>
            <wp:extent cx="7615451" cy="10197890"/>
            <wp:effectExtent l="0" t="0" r="5080" b="0"/>
            <wp:wrapNone/>
            <wp:docPr id="8" name="Picture 8" descr="Cover image for the Australian Government Productivity Commission Annual Report 2013-14. Part of the Productivity Commission Annual Report S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ual-report-cover-WEB--BW.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15451" cy="10197890"/>
                    </a:xfrm>
                    <a:prstGeom prst="rect">
                      <a:avLst/>
                    </a:prstGeom>
                  </pic:spPr>
                </pic:pic>
              </a:graphicData>
            </a:graphic>
            <wp14:sizeRelH relativeFrom="page">
              <wp14:pctWidth>0</wp14:pctWidth>
            </wp14:sizeRelH>
            <wp14:sizeRelV relativeFrom="page">
              <wp14:pctHeight>0</wp14:pctHeight>
            </wp14:sizeRelV>
          </wp:anchor>
        </w:drawing>
      </w:r>
      <w:r w:rsidRPr="001C7AC2">
        <w:rPr>
          <w:color w:val="FFFFFF" w:themeColor="background1"/>
        </w:rPr>
        <w:t>Cover image for the Australian Government Productivity Commission Annual Report 2013-14. Part of the Productivity Commission Annual Report Series.</w:t>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E76484" w:rsidRPr="007809B8" w:rsidRDefault="002B03E1">
      <w:pPr>
        <w:pStyle w:val="BodyText"/>
        <w:tabs>
          <w:tab w:val="left" w:pos="851"/>
        </w:tabs>
        <w:spacing w:before="200" w:after="120"/>
        <w:jc w:val="left"/>
        <w:rPr>
          <w:b/>
        </w:rPr>
      </w:pPr>
      <w:bookmarkStart w:id="0" w:name="ISSN"/>
      <w:bookmarkEnd w:id="0"/>
      <w:r>
        <w:rPr>
          <w:b/>
        </w:rPr>
        <w:t>ISSN</w:t>
      </w:r>
      <w:r>
        <w:rPr>
          <w:b/>
        </w:rPr>
        <w:tab/>
        <w:t>1035-5243</w:t>
      </w:r>
      <w:r w:rsidR="00E76484">
        <w:rPr>
          <w:b/>
        </w:rPr>
        <w:br/>
        <w:t>ISBN</w:t>
      </w:r>
      <w:r w:rsidR="00E76484">
        <w:rPr>
          <w:b/>
        </w:rPr>
        <w:tab/>
      </w:r>
      <w:r>
        <w:rPr>
          <w:b/>
        </w:rPr>
        <w:t xml:space="preserve">978-1-74037-511-5 </w:t>
      </w:r>
      <w:r w:rsidR="00E76484">
        <w:rPr>
          <w:b/>
        </w:rPr>
        <w:t>(PDF</w:t>
      </w:r>
      <w:proofErr w:type="gramStart"/>
      <w:r w:rsidR="00E76484">
        <w:rPr>
          <w:b/>
        </w:rPr>
        <w:t>)</w:t>
      </w:r>
      <w:proofErr w:type="gramEnd"/>
      <w:r w:rsidR="00E76484">
        <w:rPr>
          <w:b/>
        </w:rPr>
        <w:br/>
        <w:t>ISBN</w:t>
      </w:r>
      <w:r w:rsidR="00E76484">
        <w:rPr>
          <w:b/>
        </w:rPr>
        <w:tab/>
      </w:r>
      <w:r>
        <w:rPr>
          <w:b/>
        </w:rPr>
        <w:t xml:space="preserve">978-1-74037-512-2 </w:t>
      </w:r>
      <w:r w:rsidR="00E76484">
        <w:rPr>
          <w:b/>
        </w:rPr>
        <w:t>(Print)</w:t>
      </w:r>
    </w:p>
    <w:p w:rsidR="008A3857" w:rsidRDefault="008A3857" w:rsidP="008E242D">
      <w:pPr>
        <w:pStyle w:val="BodyText"/>
        <w:spacing w:after="120"/>
      </w:pPr>
      <w:r w:rsidRPr="00862D8F">
        <w:rPr>
          <w:noProof/>
          <w:sz w:val="22"/>
          <w:szCs w:val="22"/>
        </w:rPr>
        <w:drawing>
          <wp:inline distT="0" distB="0" distL="0" distR="0" wp14:anchorId="512FA04C" wp14:editId="2B255163">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4F0534">
        <w:fldChar w:fldCharType="begin"/>
      </w:r>
      <w:r w:rsidR="004F0534">
        <w:instrText xml:space="preserve"> HYPERLINK "http://creativecommons.org/licenses/by/3.0/au" </w:instrText>
      </w:r>
      <w:r w:rsidR="004F0534">
        <w:fldChar w:fldCharType="separate"/>
      </w:r>
      <w:hyperlink r:id="rId11" w:history="1">
        <w:r w:rsidRPr="00805FD7">
          <w:t>http://creativecommons.org/licenses/by/3.0/au</w:t>
        </w:r>
      </w:hyperlink>
      <w:r w:rsidR="004F0534">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2" w:history="1">
        <w:r w:rsidRPr="00805FD7">
          <w:t>It’s an Honour</w:t>
        </w:r>
      </w:hyperlink>
      <w:r w:rsidRPr="008A3857">
        <w:t>’ website</w:t>
      </w:r>
      <w:r w:rsidR="00122FE9" w:rsidRPr="00BA0B81">
        <w:t>:</w:t>
      </w:r>
      <w:r w:rsidRPr="00BA0B81">
        <w:t xml:space="preserve"> </w:t>
      </w:r>
      <w:hyperlink r:id="rId13" w:history="1">
        <w:r w:rsidR="00BA0B81" w:rsidRPr="00805FD7">
          <w:t>http://www.itsanhonour.gov.au</w:t>
        </w:r>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0F6AEB">
        <w:rPr>
          <w:i/>
        </w:rPr>
        <w:t>Annual Report 2013-14.</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0F6AEB">
        <w:rPr>
          <w:i/>
        </w:rPr>
        <w:t>, Annual Report 2013-14.</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E76484" w:rsidRPr="00E76484" w:rsidRDefault="00E76484" w:rsidP="00E76484">
      <w:pPr>
        <w:pStyle w:val="Copyrightbodytext"/>
      </w:pPr>
      <w:proofErr w:type="gramStart"/>
      <w:r w:rsidRPr="00E76484">
        <w:t>Productivity Commission 201</w:t>
      </w:r>
      <w:r>
        <w:t>4</w:t>
      </w:r>
      <w:r w:rsidRPr="00E76484">
        <w:t xml:space="preserve">, </w:t>
      </w:r>
      <w:r w:rsidRPr="00E76484">
        <w:rPr>
          <w:i/>
        </w:rPr>
        <w:t>Annual Report 2013-14</w:t>
      </w:r>
      <w:r w:rsidRPr="00E76484">
        <w:t>, Annual Report Series, Canberra.</w:t>
      </w:r>
      <w:proofErr w:type="gramEnd"/>
    </w:p>
    <w:p w:rsidR="008A3857" w:rsidRPr="008A3857" w:rsidRDefault="008A3857" w:rsidP="008A3857">
      <w:pPr>
        <w:pStyle w:val="Copyrightsubtitle"/>
      </w:pPr>
      <w:bookmarkStart w:id="1" w:name="JEL"/>
      <w:bookmarkEnd w:id="1"/>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hyperlink r:id="rId14" w:history="1">
              <w:r w:rsidRPr="00805FD7">
                <w:t>www.pc.gov.au</w:t>
              </w:r>
            </w:hyperlink>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E76484" w:rsidRDefault="00EB18CF">
      <w:r>
        <w:rPr>
          <w:noProof/>
          <w:lang w:eastAsia="en-AU"/>
        </w:rPr>
        <w:lastRenderedPageBreak/>
        <w:drawing>
          <wp:anchor distT="0" distB="0" distL="114300" distR="114300" simplePos="0" relativeHeight="251659264" behindDoc="1" locked="0" layoutInCell="1" allowOverlap="1">
            <wp:simplePos x="0" y="0"/>
            <wp:positionH relativeFrom="column">
              <wp:posOffset>-1151492</wp:posOffset>
            </wp:positionH>
            <wp:positionV relativeFrom="paragraph">
              <wp:posOffset>-1246391</wp:posOffset>
            </wp:positionV>
            <wp:extent cx="7542000" cy="10670400"/>
            <wp:effectExtent l="0" t="0" r="1905" b="0"/>
            <wp:wrapNone/>
            <wp:docPr id="6" name="Picture 6" descr="Letter of transmittal. 9 October 2014. Dear Treasurer, We submit to you the Productivity Commissions's annual report for 2013-14. The report is prepared in accordance with section 10 of the Productivity Commission Act 1998. The Commission's Act requires that a copy of this report be tabled within 15 sitting days of each House of Parliament after the day of receipt of the report. Yours sincerely [signed] Peter Harris (Chair), Michael Woods (Deputy Chair) and (Commissioners) Angela McRae, Alison McClelland, Karen Chester, Warren Mundy, Jonathan Coppel, Patricia Scott, Wendy Craik and Philip Weickhar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Signing pag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42000" cy="10670400"/>
                    </a:xfrm>
                    <a:prstGeom prst="rect">
                      <a:avLst/>
                    </a:prstGeom>
                  </pic:spPr>
                </pic:pic>
              </a:graphicData>
            </a:graphic>
            <wp14:sizeRelH relativeFrom="margin">
              <wp14:pctWidth>0</wp14:pctWidth>
            </wp14:sizeRelH>
            <wp14:sizeRelV relativeFrom="margin">
              <wp14:pctHeight>0</wp14:pctHeight>
            </wp14:sizeRelV>
          </wp:anchor>
        </w:drawing>
      </w:r>
    </w:p>
    <w:p w:rsidR="00E76484" w:rsidRDefault="00E76484"/>
    <w:p w:rsidR="00E76484" w:rsidRDefault="00E76484">
      <w:pPr>
        <w:rPr>
          <w:kern w:val="28"/>
          <w:sz w:val="52"/>
        </w:rPr>
        <w:sectPr w:rsidR="00E76484" w:rsidSect="00160417">
          <w:headerReference w:type="even" r:id="rId16"/>
          <w:headerReference w:type="default" r:id="rId17"/>
          <w:footerReference w:type="even" r:id="rId18"/>
          <w:footerReference w:type="default" r:id="rId19"/>
          <w:pgSz w:w="11906" w:h="16838" w:code="9"/>
          <w:pgMar w:top="1985" w:right="1304" w:bottom="1247" w:left="1814" w:header="1701" w:footer="397" w:gutter="0"/>
          <w:pgNumType w:fmt="lowerRoman"/>
          <w:cols w:space="708"/>
          <w:docGrid w:linePitch="360"/>
        </w:sectPr>
      </w:pPr>
    </w:p>
    <w:p w:rsidR="00E76484" w:rsidRDefault="00D55CAA" w:rsidP="000F6AEB">
      <w:pPr>
        <w:pStyle w:val="Heading3"/>
        <w:spacing w:before="120"/>
      </w:pPr>
      <w:r>
        <w:lastRenderedPageBreak/>
        <w:t>Chairman</w:t>
      </w:r>
      <w:r w:rsidR="000F6AEB">
        <w:t xml:space="preserve"> and Commissioners</w:t>
      </w:r>
    </w:p>
    <w:p w:rsidR="00DD2DA8" w:rsidRPr="00DD2DA8" w:rsidRDefault="00DD2DA8" w:rsidP="00DD2DA8">
      <w:pPr>
        <w:pStyle w:val="BodyText"/>
      </w:pPr>
    </w:p>
    <w:p w:rsidR="00E76484" w:rsidRDefault="00DD2DA8" w:rsidP="00DD2DA8">
      <w:pPr>
        <w:tabs>
          <w:tab w:val="left" w:pos="5670"/>
        </w:tabs>
      </w:pPr>
      <w:r>
        <w:rPr>
          <w:noProof/>
          <w:lang w:eastAsia="en-AU"/>
        </w:rPr>
        <w:drawing>
          <wp:inline distT="0" distB="0" distL="0" distR="0" wp14:anchorId="64F363EB" wp14:editId="684D129F">
            <wp:extent cx="3263900" cy="2120900"/>
            <wp:effectExtent l="0" t="0" r="0" b="0"/>
            <wp:docPr id="1" name="Picture 1" descr="Jonathan Coppel, Angela MacRae &amp; Warren Mun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RB\Personal folders\Anthony\Current Annual Report\Photos\140909PCEXecWebRes\140909-Productivity-Commission-Portraits-024.72dpi.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62457" cy="2119962"/>
                    </a:xfrm>
                    <a:prstGeom prst="rect">
                      <a:avLst/>
                    </a:prstGeom>
                    <a:noFill/>
                    <a:ln>
                      <a:noFill/>
                    </a:ln>
                  </pic:spPr>
                </pic:pic>
              </a:graphicData>
            </a:graphic>
          </wp:inline>
        </w:drawing>
      </w:r>
      <w:r w:rsidR="000F6AEB">
        <w:tab/>
      </w:r>
      <w:r>
        <w:rPr>
          <w:noProof/>
          <w:lang w:eastAsia="en-AU"/>
        </w:rPr>
        <w:drawing>
          <wp:inline distT="0" distB="0" distL="0" distR="0" wp14:anchorId="1F8F8C42" wp14:editId="610484C2">
            <wp:extent cx="1457325" cy="2085368"/>
            <wp:effectExtent l="0" t="0" r="0" b="0"/>
            <wp:docPr id="4" name="Picture 4" descr="Philip Weickhar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GRB\Personal folders\Anthony\Current Annual Report\Photos\140909PCEXecWebRes\140909-Productivity-Commission-Portraits-008.72dpi.jpg"/>
                    <pic:cNvPicPr preferRelativeResize="0">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58000" cy="2086334"/>
                    </a:xfrm>
                    <a:prstGeom prst="rect">
                      <a:avLst/>
                    </a:prstGeom>
                    <a:noFill/>
                    <a:ln>
                      <a:noFill/>
                    </a:ln>
                  </pic:spPr>
                </pic:pic>
              </a:graphicData>
            </a:graphic>
          </wp:inline>
        </w:drawing>
      </w:r>
    </w:p>
    <w:p w:rsidR="00E76484" w:rsidRDefault="00DD2DA8" w:rsidP="00DD2DA8">
      <w:pPr>
        <w:tabs>
          <w:tab w:val="left" w:pos="567"/>
          <w:tab w:val="left" w:pos="6096"/>
        </w:tabs>
        <w:spacing w:before="120"/>
        <w:rPr>
          <w:rFonts w:asciiTheme="minorHAnsi" w:hAnsiTheme="minorHAnsi" w:cstheme="minorHAnsi"/>
          <w:sz w:val="18"/>
          <w:szCs w:val="18"/>
        </w:rPr>
      </w:pPr>
      <w:r>
        <w:rPr>
          <w:rFonts w:asciiTheme="minorHAnsi" w:hAnsiTheme="minorHAnsi" w:cstheme="minorHAnsi"/>
          <w:sz w:val="18"/>
          <w:szCs w:val="18"/>
        </w:rPr>
        <w:tab/>
        <w:t>Jonathan Coppel, Angela MacRae &amp; Warren Mundy</w:t>
      </w:r>
      <w:r>
        <w:rPr>
          <w:rFonts w:asciiTheme="minorHAnsi" w:hAnsiTheme="minorHAnsi" w:cstheme="minorHAnsi"/>
          <w:sz w:val="18"/>
          <w:szCs w:val="18"/>
        </w:rPr>
        <w:tab/>
        <w:t>Philip Weickhardt</w:t>
      </w:r>
    </w:p>
    <w:p w:rsidR="00DD2DA8" w:rsidRDefault="00DD2DA8" w:rsidP="00DD2DA8">
      <w:pPr>
        <w:tabs>
          <w:tab w:val="left" w:pos="5812"/>
        </w:tabs>
        <w:rPr>
          <w:rFonts w:asciiTheme="minorHAnsi" w:hAnsiTheme="minorHAnsi" w:cstheme="minorHAnsi"/>
          <w:sz w:val="18"/>
          <w:szCs w:val="18"/>
        </w:rPr>
      </w:pPr>
    </w:p>
    <w:p w:rsidR="00DD2DA8" w:rsidRPr="00DD2DA8" w:rsidRDefault="00DD2DA8" w:rsidP="000F6AEB">
      <w:pPr>
        <w:rPr>
          <w:rFonts w:asciiTheme="minorHAnsi" w:hAnsiTheme="minorHAnsi" w:cstheme="minorHAnsi"/>
          <w:sz w:val="18"/>
          <w:szCs w:val="18"/>
        </w:rPr>
      </w:pPr>
    </w:p>
    <w:p w:rsidR="00E76484" w:rsidRDefault="00DD2DA8" w:rsidP="00DD2DA8">
      <w:pPr>
        <w:jc w:val="center"/>
      </w:pPr>
      <w:r>
        <w:rPr>
          <w:noProof/>
          <w:lang w:eastAsia="en-AU"/>
        </w:rPr>
        <w:drawing>
          <wp:inline distT="0" distB="0" distL="0" distR="0" wp14:anchorId="39E56ED6" wp14:editId="31D9DBE3">
            <wp:extent cx="3265200" cy="2120400"/>
            <wp:effectExtent l="0" t="0" r="0" b="0"/>
            <wp:docPr id="3" name="Picture 3" descr="Karen Chester, Peter Harris (Chairman) &amp; Patricia Sco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GRB\Personal folders\Anthony\Current Annual Report\Photos\140909PCEXecWebRes\140909-Productivity-Commission-Portraits-021.72dpi.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3265200" cy="2120400"/>
                    </a:xfrm>
                    <a:prstGeom prst="rect">
                      <a:avLst/>
                    </a:prstGeom>
                    <a:noFill/>
                    <a:ln>
                      <a:noFill/>
                    </a:ln>
                    <a:extLst>
                      <a:ext uri="{53640926-AAD7-44D8-BBD7-CCE9431645EC}">
                        <a14:shadowObscured xmlns:a14="http://schemas.microsoft.com/office/drawing/2010/main"/>
                      </a:ext>
                    </a:extLst>
                  </pic:spPr>
                </pic:pic>
              </a:graphicData>
            </a:graphic>
          </wp:inline>
        </w:drawing>
      </w:r>
    </w:p>
    <w:p w:rsidR="00E76484" w:rsidRDefault="00DD2DA8" w:rsidP="00DD2DA8">
      <w:pPr>
        <w:spacing w:before="120"/>
        <w:jc w:val="center"/>
      </w:pPr>
      <w:r w:rsidRPr="00DD2DA8">
        <w:rPr>
          <w:rFonts w:asciiTheme="minorHAnsi" w:hAnsiTheme="minorHAnsi" w:cstheme="minorHAnsi"/>
          <w:sz w:val="18"/>
          <w:szCs w:val="18"/>
        </w:rPr>
        <w:t>Karen Chester, Peter Harris (Chairman) &amp; Patricia Scott</w:t>
      </w:r>
    </w:p>
    <w:p w:rsidR="00E76484" w:rsidRDefault="00E76484" w:rsidP="000F6AEB"/>
    <w:p w:rsidR="00D55CAA" w:rsidRDefault="00D55CAA" w:rsidP="000F6AEB"/>
    <w:p w:rsidR="00E76484" w:rsidRDefault="00E76484" w:rsidP="00D55CAA">
      <w:pPr>
        <w:tabs>
          <w:tab w:val="left" w:pos="2835"/>
        </w:tabs>
      </w:pPr>
      <w:r>
        <w:rPr>
          <w:noProof/>
          <w:lang w:eastAsia="en-AU"/>
        </w:rPr>
        <w:drawing>
          <wp:inline distT="0" distB="0" distL="0" distR="0" wp14:anchorId="1443E201" wp14:editId="0B420D3E">
            <wp:extent cx="1458000" cy="2084400"/>
            <wp:effectExtent l="0" t="0" r="8890" b="0"/>
            <wp:docPr id="5" name="Picture 5" descr="Alison McCel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GRB\Personal folders\Anthony\Current Annual Report\Photos\140909PCEXecWebRes\140909-Productivity-Commission-Portraits-016.72dpi.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8000" cy="2084400"/>
                    </a:xfrm>
                    <a:prstGeom prst="rect">
                      <a:avLst/>
                    </a:prstGeom>
                    <a:noFill/>
                    <a:ln>
                      <a:noFill/>
                    </a:ln>
                  </pic:spPr>
                </pic:pic>
              </a:graphicData>
            </a:graphic>
          </wp:inline>
        </w:drawing>
      </w:r>
      <w:r w:rsidR="00DD2DA8">
        <w:tab/>
      </w:r>
      <w:r w:rsidR="00DD2DA8">
        <w:rPr>
          <w:noProof/>
          <w:lang w:eastAsia="en-AU"/>
        </w:rPr>
        <w:drawing>
          <wp:inline distT="0" distB="0" distL="0" distR="0" wp14:anchorId="311D9195" wp14:editId="5666BD38">
            <wp:extent cx="3265200" cy="2120400"/>
            <wp:effectExtent l="0" t="0" r="0" b="0"/>
            <wp:docPr id="22" name="Picture 22" descr="Mike  Woods (Deputy Chairman) &amp; Wendy Cra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W&amp;WC-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65200" cy="2120400"/>
                    </a:xfrm>
                    <a:prstGeom prst="rect">
                      <a:avLst/>
                    </a:prstGeom>
                    <a:noFill/>
                    <a:ln w="6350" cmpd="sng">
                      <a:noFill/>
                      <a:miter lim="800000"/>
                      <a:headEnd/>
                      <a:tailEnd/>
                    </a:ln>
                    <a:effectLst/>
                  </pic:spPr>
                </pic:pic>
              </a:graphicData>
            </a:graphic>
          </wp:inline>
        </w:drawing>
      </w:r>
    </w:p>
    <w:p w:rsidR="004B49BA" w:rsidRPr="00D55CAA" w:rsidRDefault="00D55CAA" w:rsidP="00D55CAA">
      <w:pPr>
        <w:tabs>
          <w:tab w:val="left" w:pos="426"/>
          <w:tab w:val="left" w:pos="3544"/>
        </w:tabs>
        <w:spacing w:before="120"/>
        <w:rPr>
          <w:rFonts w:asciiTheme="minorHAnsi" w:hAnsiTheme="minorHAnsi" w:cstheme="minorHAnsi"/>
          <w:sz w:val="18"/>
          <w:szCs w:val="18"/>
        </w:rPr>
      </w:pPr>
      <w:r>
        <w:rPr>
          <w:rFonts w:asciiTheme="minorHAnsi" w:hAnsiTheme="minorHAnsi" w:cstheme="minorHAnsi"/>
          <w:sz w:val="18"/>
          <w:szCs w:val="18"/>
        </w:rPr>
        <w:tab/>
      </w:r>
      <w:r w:rsidRPr="00D55CAA">
        <w:rPr>
          <w:rFonts w:asciiTheme="minorHAnsi" w:hAnsiTheme="minorHAnsi" w:cstheme="minorHAnsi"/>
          <w:sz w:val="18"/>
          <w:szCs w:val="18"/>
        </w:rPr>
        <w:t xml:space="preserve">Alison </w:t>
      </w:r>
      <w:proofErr w:type="spellStart"/>
      <w:r w:rsidRPr="00D55CAA">
        <w:rPr>
          <w:rFonts w:asciiTheme="minorHAnsi" w:hAnsiTheme="minorHAnsi" w:cstheme="minorHAnsi"/>
          <w:sz w:val="18"/>
          <w:szCs w:val="18"/>
        </w:rPr>
        <w:t>McCelland</w:t>
      </w:r>
      <w:proofErr w:type="spellEnd"/>
      <w:r w:rsidRPr="00D55CAA">
        <w:rPr>
          <w:rFonts w:asciiTheme="minorHAnsi" w:hAnsiTheme="minorHAnsi" w:cstheme="minorHAnsi"/>
          <w:sz w:val="18"/>
          <w:szCs w:val="18"/>
        </w:rPr>
        <w:tab/>
      </w:r>
      <w:proofErr w:type="gramStart"/>
      <w:r w:rsidRPr="00D55CAA">
        <w:rPr>
          <w:rFonts w:asciiTheme="minorHAnsi" w:hAnsiTheme="minorHAnsi" w:cstheme="minorHAnsi"/>
          <w:sz w:val="18"/>
          <w:szCs w:val="18"/>
        </w:rPr>
        <w:t>Mike  Woods</w:t>
      </w:r>
      <w:proofErr w:type="gramEnd"/>
      <w:r w:rsidRPr="00D55CAA">
        <w:rPr>
          <w:rFonts w:asciiTheme="minorHAnsi" w:hAnsiTheme="minorHAnsi" w:cstheme="minorHAnsi"/>
          <w:sz w:val="18"/>
          <w:szCs w:val="18"/>
        </w:rPr>
        <w:t xml:space="preserve"> (Deputy Chairman) &amp; Wendy Craik</w:t>
      </w:r>
    </w:p>
    <w:p w:rsidR="004B49BA" w:rsidRPr="004B49BA" w:rsidRDefault="004B49BA" w:rsidP="004B49BA">
      <w:pPr>
        <w:pStyle w:val="Heading1"/>
        <w:spacing w:after="240"/>
        <w:rPr>
          <w:sz w:val="28"/>
          <w:szCs w:val="28"/>
        </w:rPr>
      </w:pPr>
      <w:bookmarkStart w:id="3" w:name="_Toc400950816"/>
      <w:r w:rsidRPr="004B49BA">
        <w:rPr>
          <w:sz w:val="28"/>
          <w:szCs w:val="28"/>
        </w:rPr>
        <w:lastRenderedPageBreak/>
        <w:t>Acknowledgments</w:t>
      </w:r>
      <w:bookmarkEnd w:id="3"/>
    </w:p>
    <w:p w:rsidR="004B49BA" w:rsidRDefault="004B49BA" w:rsidP="004B49BA">
      <w:pPr>
        <w:pStyle w:val="BodyText"/>
      </w:pPr>
      <w:r>
        <w:t>The Commission wishes to thank its staff for their continued efforts, commitment and support during the past year.</w:t>
      </w:r>
    </w:p>
    <w:p w:rsidR="004B49BA" w:rsidRDefault="004B49BA" w:rsidP="00E76484">
      <w:pPr>
        <w:jc w:val="center"/>
      </w:pPr>
    </w:p>
    <w:p w:rsidR="00E76484" w:rsidRDefault="00E76484">
      <w:pPr>
        <w:rPr>
          <w:kern w:val="28"/>
          <w:sz w:val="52"/>
        </w:rPr>
        <w:sectPr w:rsidR="00E76484" w:rsidSect="00E76484">
          <w:headerReference w:type="default" r:id="rId25"/>
          <w:footerReference w:type="default" r:id="rId26"/>
          <w:type w:val="oddPage"/>
          <w:pgSz w:w="11906" w:h="16838" w:code="9"/>
          <w:pgMar w:top="1985" w:right="1304" w:bottom="1247" w:left="1814" w:header="1701" w:footer="397" w:gutter="0"/>
          <w:pgNumType w:fmt="lowerRoman"/>
          <w:cols w:space="708"/>
          <w:docGrid w:linePitch="360"/>
        </w:sectPr>
      </w:pPr>
    </w:p>
    <w:p w:rsidR="00E76484" w:rsidRDefault="00E76484">
      <w:pPr>
        <w:pStyle w:val="Heading1"/>
      </w:pPr>
      <w:bookmarkStart w:id="4" w:name="_Toc400950817"/>
      <w:r>
        <w:lastRenderedPageBreak/>
        <w:t>Foreword</w:t>
      </w:r>
      <w:bookmarkEnd w:id="4"/>
    </w:p>
    <w:p w:rsidR="00D55CAA" w:rsidRPr="00D55CAA" w:rsidRDefault="00D55CAA" w:rsidP="00D55CAA">
      <w:pPr>
        <w:pStyle w:val="BodyText"/>
      </w:pPr>
      <w:r w:rsidRPr="00D55CAA">
        <w:t xml:space="preserve">2013-14 has been an unusual year. </w:t>
      </w:r>
    </w:p>
    <w:p w:rsidR="00D55CAA" w:rsidRPr="00D55CAA" w:rsidRDefault="00D55CAA" w:rsidP="00D55CAA">
      <w:pPr>
        <w:pStyle w:val="BodyText"/>
      </w:pPr>
      <w:r w:rsidRPr="00D55CAA">
        <w:t>In an intense period between October and May, inquiries were commenced and completed into:</w:t>
      </w:r>
    </w:p>
    <w:p w:rsidR="00D55CAA" w:rsidRPr="00D55CAA" w:rsidRDefault="00D55CAA" w:rsidP="00D55CAA">
      <w:pPr>
        <w:pStyle w:val="ListBullet"/>
        <w:spacing w:before="80"/>
      </w:pPr>
      <w:r w:rsidRPr="00D55CAA">
        <w:t xml:space="preserve">Infrastructure Costs and Finance; </w:t>
      </w:r>
    </w:p>
    <w:p w:rsidR="00D55CAA" w:rsidRPr="00D55CAA" w:rsidRDefault="00D55CAA" w:rsidP="00D55CAA">
      <w:pPr>
        <w:pStyle w:val="ListBullet"/>
        <w:spacing w:before="80"/>
      </w:pPr>
      <w:r w:rsidRPr="00D55CAA">
        <w:t xml:space="preserve">Motor Vehicles; and </w:t>
      </w:r>
    </w:p>
    <w:p w:rsidR="00D55CAA" w:rsidRPr="00D55CAA" w:rsidRDefault="00D55CAA" w:rsidP="00D55CAA">
      <w:pPr>
        <w:pStyle w:val="ListBullet"/>
        <w:spacing w:before="80"/>
      </w:pPr>
      <w:r w:rsidRPr="00D55CAA">
        <w:t xml:space="preserve">Tasmanian Shipping and Freight. </w:t>
      </w:r>
    </w:p>
    <w:p w:rsidR="00D55CAA" w:rsidRPr="00756413" w:rsidRDefault="00D55CAA" w:rsidP="00D55CAA">
      <w:pPr>
        <w:pStyle w:val="BodyText"/>
      </w:pPr>
      <w:r w:rsidRPr="00756413">
        <w:t>In the same period, studies and inquiries referred to us by the previous Government were completed into</w:t>
      </w:r>
      <w:r>
        <w:t>:</w:t>
      </w:r>
      <w:r w:rsidRPr="00756413">
        <w:t xml:space="preserve"> </w:t>
      </w:r>
    </w:p>
    <w:p w:rsidR="00D55CAA" w:rsidRPr="00756413" w:rsidRDefault="00D55CAA" w:rsidP="00D55CAA">
      <w:pPr>
        <w:pStyle w:val="ListBullet"/>
        <w:spacing w:before="80"/>
      </w:pPr>
      <w:r w:rsidRPr="00756413">
        <w:t xml:space="preserve">SPC Ardmona’s call for emergency tariff assistance; </w:t>
      </w:r>
    </w:p>
    <w:p w:rsidR="00D55CAA" w:rsidRPr="00756413" w:rsidRDefault="00D55CAA" w:rsidP="00D55CAA">
      <w:pPr>
        <w:pStyle w:val="ListBullet"/>
        <w:spacing w:before="80"/>
      </w:pPr>
      <w:r w:rsidRPr="00756413">
        <w:t xml:space="preserve">Labour Mobility; </w:t>
      </w:r>
    </w:p>
    <w:p w:rsidR="00D55CAA" w:rsidRPr="00756413" w:rsidRDefault="00D55CAA" w:rsidP="00D55CAA">
      <w:pPr>
        <w:pStyle w:val="ListBullet"/>
        <w:spacing w:before="80"/>
      </w:pPr>
      <w:r w:rsidRPr="00756413">
        <w:t xml:space="preserve">the Access Regime in the Competition and Consumer Act; </w:t>
      </w:r>
    </w:p>
    <w:p w:rsidR="00D55CAA" w:rsidRPr="00756413" w:rsidRDefault="00D55CAA" w:rsidP="00D55CAA">
      <w:pPr>
        <w:pStyle w:val="ListBullet"/>
        <w:spacing w:before="80"/>
      </w:pPr>
      <w:r w:rsidRPr="00756413">
        <w:t xml:space="preserve">Major Project </w:t>
      </w:r>
      <w:r>
        <w:t>A</w:t>
      </w:r>
      <w:r w:rsidRPr="00756413">
        <w:t xml:space="preserve">ssessments; and </w:t>
      </w:r>
    </w:p>
    <w:p w:rsidR="00D55CAA" w:rsidRPr="00756413" w:rsidRDefault="00D55CAA" w:rsidP="00D55CAA">
      <w:pPr>
        <w:pStyle w:val="ListBullet"/>
        <w:spacing w:before="80"/>
      </w:pPr>
      <w:r w:rsidRPr="00756413">
        <w:t>Regulator</w:t>
      </w:r>
      <w:r>
        <w:t xml:space="preserve"> Engagement with </w:t>
      </w:r>
      <w:r w:rsidRPr="00756413">
        <w:t xml:space="preserve">Small Business.  </w:t>
      </w:r>
    </w:p>
    <w:p w:rsidR="00D55CAA" w:rsidRPr="00681514" w:rsidRDefault="00D55CAA" w:rsidP="00D55CAA">
      <w:pPr>
        <w:pStyle w:val="BodyText"/>
      </w:pPr>
      <w:r w:rsidRPr="00681514">
        <w:t>And we released our first flagship research paper, on An Ageing Australia.</w:t>
      </w:r>
    </w:p>
    <w:p w:rsidR="00D55CAA" w:rsidRPr="00681514" w:rsidRDefault="00D55CAA" w:rsidP="00D55CAA">
      <w:pPr>
        <w:pStyle w:val="BodyText"/>
      </w:pPr>
      <w:r w:rsidRPr="00681514">
        <w:t xml:space="preserve">Moreover, two major </w:t>
      </w:r>
      <w:r>
        <w:t>i</w:t>
      </w:r>
      <w:r w:rsidRPr="00681514">
        <w:t xml:space="preserve">nquiries continued throughout that period: </w:t>
      </w:r>
    </w:p>
    <w:p w:rsidR="00D55CAA" w:rsidRPr="00681514" w:rsidRDefault="00D55CAA" w:rsidP="00D55CAA">
      <w:pPr>
        <w:pStyle w:val="ListBullet"/>
        <w:spacing w:before="80"/>
      </w:pPr>
      <w:r w:rsidRPr="00681514">
        <w:t xml:space="preserve">Access to Justice; and </w:t>
      </w:r>
    </w:p>
    <w:p w:rsidR="00D55CAA" w:rsidRPr="00681514" w:rsidRDefault="00D55CAA" w:rsidP="00D55CAA">
      <w:pPr>
        <w:pStyle w:val="ListBullet"/>
        <w:spacing w:before="80"/>
      </w:pPr>
      <w:r w:rsidRPr="00681514">
        <w:t>Early Education and Child Care</w:t>
      </w:r>
      <w:r>
        <w:t>.</w:t>
      </w:r>
    </w:p>
    <w:p w:rsidR="00D55CAA" w:rsidRPr="00681514" w:rsidRDefault="00D55CAA" w:rsidP="00D55CAA">
      <w:pPr>
        <w:pStyle w:val="BodyText"/>
      </w:pPr>
      <w:r w:rsidRPr="00681514">
        <w:t>And another commenced (</w:t>
      </w:r>
      <w:r>
        <w:t xml:space="preserve">on </w:t>
      </w:r>
      <w:r w:rsidRPr="00681514">
        <w:t xml:space="preserve">National Disaster </w:t>
      </w:r>
      <w:r>
        <w:t>Funding Arrangements</w:t>
      </w:r>
      <w:r w:rsidRPr="00681514">
        <w:t xml:space="preserve">). </w:t>
      </w:r>
    </w:p>
    <w:p w:rsidR="00D55CAA" w:rsidRPr="00681514" w:rsidRDefault="00D55CAA" w:rsidP="00D55CAA">
      <w:pPr>
        <w:pStyle w:val="BodyText"/>
      </w:pPr>
      <w:r w:rsidRPr="00681514">
        <w:t xml:space="preserve">At the same time, the Commission reduced its staff level by around 10 per cent and reduced its </w:t>
      </w:r>
      <w:r>
        <w:t>expenditure</w:t>
      </w:r>
      <w:r w:rsidRPr="00681514">
        <w:t xml:space="preserve"> on a range of administrative costs and sponsorship of economic forums.</w:t>
      </w:r>
    </w:p>
    <w:p w:rsidR="00D55CAA" w:rsidRPr="00681514" w:rsidRDefault="00D55CAA" w:rsidP="00D55CAA">
      <w:pPr>
        <w:pStyle w:val="BodyText"/>
      </w:pPr>
      <w:r w:rsidRPr="00681514">
        <w:t xml:space="preserve">However, the rate of new work being referred to us has </w:t>
      </w:r>
      <w:bookmarkStart w:id="5" w:name="_GoBack"/>
      <w:bookmarkEnd w:id="5"/>
      <w:r w:rsidRPr="00681514">
        <w:t xml:space="preserve">decreased since May. </w:t>
      </w:r>
      <w:r>
        <w:t xml:space="preserve"> </w:t>
      </w:r>
      <w:r w:rsidRPr="00681514">
        <w:t>We are consequently now making new research tasks the order of the day.  The 2014 flagship research project on public housing policy will accordingly be supplemented by additional similar projects, with publication dates in the first quarter of 2015, in order that we continue to develop and publish significant public policy input work.</w:t>
      </w:r>
    </w:p>
    <w:p w:rsidR="00D55CAA" w:rsidRPr="00D55CAA" w:rsidRDefault="00D55CAA" w:rsidP="00D55CAA">
      <w:pPr>
        <w:pStyle w:val="BodyText"/>
      </w:pPr>
      <w:r w:rsidRPr="00D55CAA">
        <w:t xml:space="preserve">There can be a perception, due to their high profile, that traditional areas of operation – tariff reform, policies that affect markets and assistance to industry – remain dominant.  However, micro economic policy has generally been more soundly-based in the past two </w:t>
      </w:r>
      <w:r w:rsidRPr="00D55CAA">
        <w:lastRenderedPageBreak/>
        <w:t xml:space="preserve">decades than in preceding periods, slowly reducing the scope for what may be seen as our traditional work areas.  </w:t>
      </w:r>
    </w:p>
    <w:p w:rsidR="00D55CAA" w:rsidRPr="00D55CAA" w:rsidRDefault="00D55CAA" w:rsidP="00D55CAA">
      <w:pPr>
        <w:pStyle w:val="BodyText"/>
      </w:pPr>
      <w:r w:rsidRPr="00D55CAA">
        <w:t>While the claims of firms seeking special assistance will always require continuous scrutiny - and examples have arisen again this year – they are unlikely to be the main game in the future for an organisation with ability to design detailed and effective policy responses to broader social and economic needs.</w:t>
      </w:r>
    </w:p>
    <w:p w:rsidR="00D55CAA" w:rsidRPr="00D55CAA" w:rsidRDefault="00D55CAA" w:rsidP="00D55CAA">
      <w:pPr>
        <w:pStyle w:val="BodyText"/>
      </w:pPr>
      <w:r w:rsidRPr="00D55CAA">
        <w:t>It is our hope that the Government will increasingly choose to call on the Commission for advice on social reform; and in the services sectors.  The Commission has produced work that the Government has chosen to adopt as a basis for the development of significant social policy initiatives.</w:t>
      </w:r>
    </w:p>
    <w:p w:rsidR="00D55CAA" w:rsidRPr="00D55CAA" w:rsidRDefault="00D55CAA" w:rsidP="00D55CAA">
      <w:pPr>
        <w:pStyle w:val="BodyText"/>
      </w:pPr>
      <w:r w:rsidRPr="00D55CAA">
        <w:t xml:space="preserve">Many services – private and public – are provided where markets are not easily discerned or are weakened by poor incentives for efficiency and government purchasing arrangements.  </w:t>
      </w:r>
    </w:p>
    <w:p w:rsidR="00D55CAA" w:rsidRPr="00D55CAA" w:rsidRDefault="00D55CAA" w:rsidP="00D55CAA">
      <w:pPr>
        <w:pStyle w:val="BodyText"/>
      </w:pPr>
      <w:r w:rsidRPr="00D55CAA">
        <w:t xml:space="preserve">These areas have been at the forefront of some of our most prominent recent work; and the need for good analysis is likely to grow as governments (State, as well as Federal) come under more pressure to improve both the quality but also the efficient targeting of health, education and training, aged care, wealth management, transport and housing.  </w:t>
      </w:r>
    </w:p>
    <w:p w:rsidR="00D55CAA" w:rsidRDefault="00D55CAA" w:rsidP="00D55CAA">
      <w:pPr>
        <w:pStyle w:val="BodyText"/>
      </w:pPr>
      <w:r w:rsidRPr="00D55CAA">
        <w:t xml:space="preserve">The Commission is ready and able to provide this analysis. </w:t>
      </w:r>
    </w:p>
    <w:p w:rsidR="00D55CAA" w:rsidRDefault="000F717D" w:rsidP="00D55CAA">
      <w:pPr>
        <w:pStyle w:val="BodyText"/>
      </w:pPr>
      <w:r>
        <w:rPr>
          <w:noProof/>
        </w:rPr>
        <w:drawing>
          <wp:anchor distT="0" distB="0" distL="114300" distR="114300" simplePos="0" relativeHeight="251660288" behindDoc="1" locked="0" layoutInCell="1" allowOverlap="1" wp14:anchorId="16145033" wp14:editId="24557471">
            <wp:simplePos x="0" y="0"/>
            <wp:positionH relativeFrom="column">
              <wp:posOffset>128187</wp:posOffset>
            </wp:positionH>
            <wp:positionV relativeFrom="paragraph">
              <wp:posOffset>330720</wp:posOffset>
            </wp:positionV>
            <wp:extent cx="1119613" cy="775970"/>
            <wp:effectExtent l="0" t="0" r="4445" b="5080"/>
            <wp:wrapNone/>
            <wp:docPr id="7" name="Picture 7"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Foreword.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19613" cy="775970"/>
                    </a:xfrm>
                    <a:prstGeom prst="rect">
                      <a:avLst/>
                    </a:prstGeom>
                  </pic:spPr>
                </pic:pic>
              </a:graphicData>
            </a:graphic>
            <wp14:sizeRelH relativeFrom="margin">
              <wp14:pctWidth>0</wp14:pctWidth>
            </wp14:sizeRelH>
            <wp14:sizeRelV relativeFrom="margin">
              <wp14:pctHeight>0</wp14:pctHeight>
            </wp14:sizeRelV>
          </wp:anchor>
        </w:drawing>
      </w:r>
    </w:p>
    <w:p w:rsidR="00D55CAA" w:rsidRPr="00D55CAA" w:rsidRDefault="00D55CAA" w:rsidP="00D55CAA">
      <w:pPr>
        <w:pStyle w:val="BodyText"/>
      </w:pPr>
    </w:p>
    <w:p w:rsidR="00D55CAA" w:rsidRDefault="00681514" w:rsidP="00D55CAA">
      <w:pPr>
        <w:pStyle w:val="BodyText"/>
      </w:pPr>
      <w:r w:rsidRPr="00D55CAA">
        <w:t>Peter Harris</w:t>
      </w:r>
    </w:p>
    <w:p w:rsidR="00756413" w:rsidRPr="00D55CAA" w:rsidRDefault="00681514" w:rsidP="00D55CAA">
      <w:pPr>
        <w:pStyle w:val="BodyText"/>
        <w:spacing w:before="120"/>
      </w:pPr>
      <w:r w:rsidRPr="00D55CAA">
        <w:t>Chair</w:t>
      </w:r>
    </w:p>
    <w:p w:rsidR="00E76484" w:rsidRDefault="00E76484" w:rsidP="00634771">
      <w:pPr>
        <w:pStyle w:val="BodyText"/>
        <w:rPr>
          <w:lang w:eastAsia="en-US"/>
        </w:rPr>
      </w:pPr>
    </w:p>
    <w:p w:rsidR="00D354A1" w:rsidRDefault="00D354A1" w:rsidP="008206EE">
      <w:pPr>
        <w:pStyle w:val="Heading1NotTOC"/>
        <w:sectPr w:rsidR="00D354A1" w:rsidSect="00883E8C">
          <w:headerReference w:type="even" r:id="rId28"/>
          <w:headerReference w:type="default" r:id="rId29"/>
          <w:footerReference w:type="even" r:id="rId30"/>
          <w:footerReference w:type="default" r:id="rId31"/>
          <w:pgSz w:w="11906" w:h="16838" w:code="9"/>
          <w:pgMar w:top="1985" w:right="1304" w:bottom="1247" w:left="1814" w:header="1701" w:footer="397" w:gutter="0"/>
          <w:pgNumType w:fmt="lowerRoman"/>
          <w:cols w:space="708"/>
          <w:docGrid w:linePitch="360"/>
        </w:sectPr>
      </w:pPr>
      <w:bookmarkStart w:id="6" w:name="Contents"/>
      <w:bookmarkEnd w:id="6"/>
    </w:p>
    <w:p w:rsidR="00B9425C" w:rsidRDefault="00735FEA" w:rsidP="008206EE">
      <w:pPr>
        <w:pStyle w:val="Heading1NotTOC"/>
        <w:rPr>
          <w:noProof/>
        </w:rPr>
      </w:pPr>
      <w:r w:rsidRPr="00B153C3">
        <w:lastRenderedPageBreak/>
        <w:t>Contents</w:t>
      </w:r>
      <w:bookmarkStart w:id="7" w:name="InsertContents"/>
      <w:bookmarkEnd w:id="7"/>
    </w:p>
    <w:p w:rsidR="00B9425C" w:rsidRDefault="00B9425C">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Pr="00B9425C">
        <w:rPr>
          <w:noProof/>
          <w:sz w:val="22"/>
          <w:szCs w:val="22"/>
        </w:rPr>
        <w:t>vi</w:t>
      </w:r>
    </w:p>
    <w:p w:rsidR="00B9425C" w:rsidRDefault="00B9425C">
      <w:pPr>
        <w:pStyle w:val="TOC1"/>
        <w:rPr>
          <w:rFonts w:asciiTheme="minorHAnsi" w:eastAsiaTheme="minorEastAsia" w:hAnsiTheme="minorHAnsi" w:cstheme="minorBidi"/>
          <w:b w:val="0"/>
          <w:noProof/>
          <w:sz w:val="22"/>
          <w:szCs w:val="22"/>
          <w:lang w:eastAsia="en-AU"/>
        </w:rPr>
      </w:pPr>
      <w:r>
        <w:rPr>
          <w:noProof/>
        </w:rPr>
        <w:t>Foreword</w:t>
      </w:r>
      <w:r>
        <w:rPr>
          <w:noProof/>
        </w:rPr>
        <w:tab/>
      </w:r>
      <w:r w:rsidRPr="00B9425C">
        <w:rPr>
          <w:noProof/>
          <w:sz w:val="22"/>
          <w:szCs w:val="22"/>
        </w:rPr>
        <w:t>vii</w:t>
      </w:r>
    </w:p>
    <w:p w:rsidR="00B9425C" w:rsidRDefault="00B9425C">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Pr="00B9425C">
        <w:rPr>
          <w:noProof/>
          <w:sz w:val="22"/>
          <w:szCs w:val="22"/>
        </w:rPr>
        <w:t>x</w:t>
      </w:r>
    </w:p>
    <w:p w:rsidR="00B9425C" w:rsidRDefault="00B9425C" w:rsidP="00B9425C">
      <w:pPr>
        <w:pStyle w:val="TOC1"/>
        <w:spacing w:before="240"/>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Review of Commission activities and performance</w:t>
      </w:r>
      <w:r>
        <w:rPr>
          <w:noProof/>
        </w:rPr>
        <w:tab/>
        <w:t>1</w:t>
      </w:r>
    </w:p>
    <w:p w:rsidR="00B9425C" w:rsidRDefault="00B9425C">
      <w:pPr>
        <w:pStyle w:val="TOC2"/>
        <w:rPr>
          <w:rFonts w:asciiTheme="minorHAnsi" w:eastAsiaTheme="minorEastAsia" w:hAnsiTheme="minorHAnsi" w:cstheme="minorBidi"/>
          <w:noProof/>
          <w:sz w:val="22"/>
          <w:szCs w:val="22"/>
          <w:lang w:eastAsia="en-AU"/>
        </w:rPr>
      </w:pPr>
      <w:r>
        <w:rPr>
          <w:noProof/>
        </w:rPr>
        <w:t>Overview</w:t>
      </w:r>
      <w:r>
        <w:rPr>
          <w:noProof/>
        </w:rPr>
        <w:tab/>
        <w:t>2</w:t>
      </w:r>
    </w:p>
    <w:p w:rsidR="00B9425C" w:rsidRDefault="00B9425C">
      <w:pPr>
        <w:pStyle w:val="TOC2"/>
        <w:rPr>
          <w:rFonts w:asciiTheme="minorHAnsi" w:eastAsiaTheme="minorEastAsia" w:hAnsiTheme="minorHAnsi" w:cstheme="minorBidi"/>
          <w:noProof/>
          <w:sz w:val="22"/>
          <w:szCs w:val="22"/>
          <w:lang w:eastAsia="en-AU"/>
        </w:rPr>
      </w:pPr>
      <w:r>
        <w:rPr>
          <w:noProof/>
        </w:rPr>
        <w:t>Year in review</w:t>
      </w:r>
      <w:r>
        <w:rPr>
          <w:noProof/>
        </w:rPr>
        <w:tab/>
        <w:t>3</w:t>
      </w:r>
    </w:p>
    <w:p w:rsidR="00B9425C" w:rsidRDefault="00B9425C">
      <w:pPr>
        <w:pStyle w:val="TOC2"/>
        <w:rPr>
          <w:rFonts w:asciiTheme="minorHAnsi" w:eastAsiaTheme="minorEastAsia" w:hAnsiTheme="minorHAnsi" w:cstheme="minorBidi"/>
          <w:noProof/>
          <w:sz w:val="22"/>
          <w:szCs w:val="22"/>
          <w:lang w:eastAsia="en-AU"/>
        </w:rPr>
      </w:pPr>
      <w:r>
        <w:rPr>
          <w:noProof/>
        </w:rPr>
        <w:t>Transparency and public consultation</w:t>
      </w:r>
      <w:r>
        <w:rPr>
          <w:noProof/>
        </w:rPr>
        <w:tab/>
        <w:t>8</w:t>
      </w:r>
    </w:p>
    <w:p w:rsidR="00B9425C" w:rsidRDefault="00B9425C">
      <w:pPr>
        <w:pStyle w:val="TOC2"/>
        <w:rPr>
          <w:rFonts w:asciiTheme="minorHAnsi" w:eastAsiaTheme="minorEastAsia" w:hAnsiTheme="minorHAnsi" w:cstheme="minorBidi"/>
          <w:noProof/>
          <w:sz w:val="22"/>
          <w:szCs w:val="22"/>
          <w:lang w:eastAsia="en-AU"/>
        </w:rPr>
      </w:pPr>
      <w:r>
        <w:rPr>
          <w:noProof/>
        </w:rPr>
        <w:t>Feedback on the Commission’s work</w:t>
      </w:r>
      <w:r>
        <w:rPr>
          <w:noProof/>
        </w:rPr>
        <w:tab/>
        <w:t>11</w:t>
      </w:r>
    </w:p>
    <w:p w:rsidR="00B9425C" w:rsidRDefault="00B9425C">
      <w:pPr>
        <w:pStyle w:val="TOC2"/>
        <w:rPr>
          <w:rFonts w:asciiTheme="minorHAnsi" w:eastAsiaTheme="minorEastAsia" w:hAnsiTheme="minorHAnsi" w:cstheme="minorBidi"/>
          <w:noProof/>
          <w:sz w:val="22"/>
          <w:szCs w:val="22"/>
          <w:lang w:eastAsia="en-AU"/>
        </w:rPr>
      </w:pPr>
      <w:r>
        <w:rPr>
          <w:noProof/>
        </w:rPr>
        <w:t>Policy and wider impacts</w:t>
      </w:r>
      <w:r>
        <w:rPr>
          <w:noProof/>
        </w:rPr>
        <w:tab/>
        <w:t>13</w:t>
      </w:r>
    </w:p>
    <w:p w:rsidR="00B9425C" w:rsidRDefault="00B9425C">
      <w:pPr>
        <w:pStyle w:val="TOC2"/>
        <w:rPr>
          <w:rFonts w:asciiTheme="minorHAnsi" w:eastAsiaTheme="minorEastAsia" w:hAnsiTheme="minorHAnsi" w:cstheme="minorBidi"/>
          <w:noProof/>
          <w:sz w:val="22"/>
          <w:szCs w:val="22"/>
          <w:lang w:eastAsia="en-AU"/>
        </w:rPr>
      </w:pPr>
      <w:r>
        <w:rPr>
          <w:noProof/>
        </w:rPr>
        <w:t>Associated reporting</w:t>
      </w:r>
      <w:r>
        <w:rPr>
          <w:noProof/>
        </w:rPr>
        <w:tab/>
        <w:t>17</w:t>
      </w:r>
    </w:p>
    <w:p w:rsidR="00B9425C" w:rsidRDefault="00B9425C">
      <w:pPr>
        <w:pStyle w:val="TOC1"/>
        <w:rPr>
          <w:noProof/>
        </w:rPr>
      </w:pPr>
    </w:p>
    <w:p w:rsidR="00B9425C" w:rsidRDefault="00B9425C">
      <w:pPr>
        <w:pStyle w:val="TOC1"/>
        <w:rPr>
          <w:noProof/>
        </w:rPr>
      </w:pPr>
      <w:r>
        <w:rPr>
          <w:noProof/>
        </w:rPr>
        <w:t>APPENDICES</w:t>
      </w:r>
    </w:p>
    <w:p w:rsidR="00B9425C" w:rsidRDefault="00B9425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Management and accountability</w:t>
      </w:r>
      <w:r>
        <w:rPr>
          <w:noProof/>
        </w:rPr>
        <w:tab/>
        <w:t>19</w:t>
      </w:r>
    </w:p>
    <w:p w:rsidR="00B9425C" w:rsidRDefault="00B9425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Program performance</w:t>
      </w:r>
      <w:r>
        <w:rPr>
          <w:noProof/>
        </w:rPr>
        <w:tab/>
        <w:t>43</w:t>
      </w:r>
    </w:p>
    <w:p w:rsidR="00B9425C" w:rsidRDefault="00B9425C">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Competitive neutrality complaints</w:t>
      </w:r>
      <w:r>
        <w:rPr>
          <w:noProof/>
        </w:rPr>
        <w:tab/>
        <w:t>79</w:t>
      </w:r>
    </w:p>
    <w:p w:rsidR="00B9425C" w:rsidRDefault="00B9425C">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Government commissioned projects</w:t>
      </w:r>
      <w:r>
        <w:rPr>
          <w:noProof/>
        </w:rPr>
        <w:tab/>
        <w:t>81</w:t>
      </w:r>
    </w:p>
    <w:p w:rsidR="00B9425C" w:rsidRDefault="00B9425C">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Supporting research and related activities</w:t>
      </w:r>
      <w:r>
        <w:rPr>
          <w:noProof/>
        </w:rPr>
        <w:tab/>
        <w:t>103</w:t>
      </w:r>
    </w:p>
    <w:p w:rsidR="00B9425C" w:rsidRDefault="00B9425C">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Publications</w:t>
      </w:r>
      <w:r>
        <w:rPr>
          <w:noProof/>
        </w:rPr>
        <w:tab/>
        <w:t>119</w:t>
      </w:r>
    </w:p>
    <w:p w:rsidR="00B9425C" w:rsidRDefault="00B9425C">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Financial statements</w:t>
      </w:r>
      <w:r>
        <w:rPr>
          <w:noProof/>
        </w:rPr>
        <w:tab/>
        <w:t>123</w:t>
      </w:r>
    </w:p>
    <w:p w:rsidR="00B9425C" w:rsidRDefault="00B9425C">
      <w:pPr>
        <w:pStyle w:val="TOC1"/>
        <w:rPr>
          <w:rFonts w:asciiTheme="minorHAnsi" w:eastAsiaTheme="minorEastAsia" w:hAnsiTheme="minorHAnsi" w:cstheme="minorBidi"/>
          <w:b w:val="0"/>
          <w:noProof/>
          <w:sz w:val="22"/>
          <w:szCs w:val="22"/>
          <w:lang w:eastAsia="en-AU"/>
        </w:rPr>
      </w:pPr>
      <w:r>
        <w:rPr>
          <w:noProof/>
        </w:rPr>
        <w:t>References</w:t>
      </w:r>
      <w:r>
        <w:rPr>
          <w:noProof/>
        </w:rPr>
        <w:tab/>
        <w:t>173</w:t>
      </w:r>
    </w:p>
    <w:p w:rsidR="00B9425C" w:rsidRDefault="00B9425C">
      <w:pPr>
        <w:pStyle w:val="TOC1"/>
        <w:rPr>
          <w:rFonts w:asciiTheme="minorHAnsi" w:eastAsiaTheme="minorEastAsia" w:hAnsiTheme="minorHAnsi" w:cstheme="minorBidi"/>
          <w:b w:val="0"/>
          <w:noProof/>
          <w:sz w:val="22"/>
          <w:szCs w:val="22"/>
          <w:lang w:eastAsia="en-AU"/>
        </w:rPr>
      </w:pPr>
      <w:r>
        <w:rPr>
          <w:noProof/>
        </w:rPr>
        <w:t>Index</w:t>
      </w:r>
      <w:r>
        <w:rPr>
          <w:noProof/>
        </w:rPr>
        <w:tab/>
        <w:t>189</w:t>
      </w:r>
    </w:p>
    <w:p w:rsidR="00E76484" w:rsidRPr="00883E8C" w:rsidRDefault="00E76484" w:rsidP="004B49BA">
      <w:pPr>
        <w:pStyle w:val="Heading1NotTOC"/>
      </w:pPr>
      <w:bookmarkStart w:id="8" w:name="Abbreviations"/>
      <w:bookmarkStart w:id="9" w:name="RDnote"/>
      <w:bookmarkEnd w:id="8"/>
      <w:bookmarkEnd w:id="9"/>
    </w:p>
    <w:p w:rsidR="00E76484" w:rsidRDefault="00E76484">
      <w:pPr>
        <w:pStyle w:val="BodyText"/>
        <w:sectPr w:rsidR="00E76484" w:rsidSect="00D354A1">
          <w:footerReference w:type="default" r:id="rId32"/>
          <w:type w:val="oddPage"/>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0" w:name="EndContents"/>
      <w:bookmarkStart w:id="11" w:name="_Toc400950818"/>
      <w:bookmarkEnd w:id="10"/>
      <w:r>
        <w:lastRenderedPageBreak/>
        <w:t>Abbreviations</w:t>
      </w:r>
      <w:bookmarkEnd w:id="11"/>
      <w:r>
        <w:t xml:space="preserve"> </w:t>
      </w:r>
    </w:p>
    <w:p w:rsidR="00A1433B" w:rsidRDefault="00A1433B" w:rsidP="00A1433B">
      <w:pPr>
        <w:pStyle w:val="Abbreviation"/>
        <w:tabs>
          <w:tab w:val="left" w:pos="1701"/>
        </w:tabs>
        <w:spacing w:before="80"/>
        <w:ind w:left="1985" w:hanging="1985"/>
      </w:pPr>
      <w:r>
        <w:t>ABS</w:t>
      </w:r>
      <w:r>
        <w:tab/>
        <w:t>Australian Bureau of Statistics</w:t>
      </w:r>
    </w:p>
    <w:p w:rsidR="00A1433B" w:rsidRDefault="00A1433B" w:rsidP="00A1433B">
      <w:pPr>
        <w:pStyle w:val="Abbreviation"/>
        <w:tabs>
          <w:tab w:val="left" w:pos="1701"/>
        </w:tabs>
        <w:spacing w:before="80"/>
        <w:ind w:left="1985" w:hanging="1985"/>
      </w:pPr>
      <w:r>
        <w:t>ACCC</w:t>
      </w:r>
      <w:r>
        <w:tab/>
        <w:t>Australian Competition and Consumer Commission</w:t>
      </w:r>
    </w:p>
    <w:p w:rsidR="00A1433B" w:rsidRDefault="00A1433B" w:rsidP="00A1433B">
      <w:pPr>
        <w:pStyle w:val="Abbreviation"/>
        <w:tabs>
          <w:tab w:val="left" w:pos="1701"/>
        </w:tabs>
        <w:spacing w:before="80"/>
        <w:ind w:left="1985" w:hanging="1985"/>
      </w:pPr>
      <w:r>
        <w:t>ACCI</w:t>
      </w:r>
      <w:r>
        <w:tab/>
        <w:t>Australian Chamber of Commerce and Industry</w:t>
      </w:r>
    </w:p>
    <w:p w:rsidR="00A1433B" w:rsidRDefault="00A1433B" w:rsidP="00A1433B">
      <w:pPr>
        <w:pStyle w:val="Abbreviation"/>
        <w:tabs>
          <w:tab w:val="left" w:pos="1701"/>
        </w:tabs>
        <w:spacing w:before="80"/>
        <w:ind w:left="1985" w:hanging="1985"/>
      </w:pPr>
      <w:r>
        <w:t>AGCNCO</w:t>
      </w:r>
      <w:r>
        <w:tab/>
        <w:t>Australian Government Competitive Neutrality Complaints Office</w:t>
      </w:r>
    </w:p>
    <w:p w:rsidR="00A1433B" w:rsidRDefault="00A1433B" w:rsidP="00A1433B">
      <w:pPr>
        <w:pStyle w:val="Abbreviation"/>
        <w:tabs>
          <w:tab w:val="left" w:pos="1701"/>
        </w:tabs>
        <w:spacing w:before="80"/>
        <w:ind w:left="1985" w:hanging="1985"/>
      </w:pPr>
      <w:r>
        <w:t>AIHW</w:t>
      </w:r>
      <w:r>
        <w:tab/>
        <w:t>Australian Institute of Health and Welfare</w:t>
      </w:r>
    </w:p>
    <w:p w:rsidR="00A1433B" w:rsidRDefault="00A1433B" w:rsidP="00A1433B">
      <w:pPr>
        <w:pStyle w:val="Abbreviation"/>
        <w:tabs>
          <w:tab w:val="left" w:pos="1701"/>
        </w:tabs>
        <w:spacing w:before="80"/>
        <w:ind w:left="1985" w:hanging="1985"/>
      </w:pPr>
      <w:r>
        <w:t>ALGA</w:t>
      </w:r>
      <w:r>
        <w:tab/>
        <w:t>Australian Local Government Association</w:t>
      </w:r>
    </w:p>
    <w:p w:rsidR="00A1433B" w:rsidRDefault="00A1433B" w:rsidP="00A1433B">
      <w:pPr>
        <w:pStyle w:val="Abbreviation"/>
        <w:tabs>
          <w:tab w:val="left" w:pos="1701"/>
        </w:tabs>
        <w:spacing w:before="80"/>
        <w:ind w:left="1985" w:hanging="1985"/>
      </w:pPr>
      <w:r>
        <w:t>ANAO</w:t>
      </w:r>
      <w:r>
        <w:tab/>
        <w:t>Australian National Audit Office</w:t>
      </w:r>
    </w:p>
    <w:p w:rsidR="00A1433B" w:rsidRDefault="00A1433B" w:rsidP="00A1433B">
      <w:pPr>
        <w:pStyle w:val="Abbreviation"/>
        <w:tabs>
          <w:tab w:val="left" w:pos="1701"/>
        </w:tabs>
        <w:spacing w:before="80"/>
        <w:ind w:left="1985" w:hanging="1985"/>
      </w:pPr>
      <w:r>
        <w:t>ANU</w:t>
      </w:r>
      <w:r>
        <w:tab/>
        <w:t>Australian National University</w:t>
      </w:r>
    </w:p>
    <w:p w:rsidR="00A1433B" w:rsidRDefault="00A1433B" w:rsidP="00A1433B">
      <w:pPr>
        <w:pStyle w:val="Abbreviation"/>
        <w:tabs>
          <w:tab w:val="left" w:pos="1701"/>
        </w:tabs>
        <w:spacing w:before="80"/>
        <w:ind w:left="1985" w:hanging="1985"/>
      </w:pPr>
      <w:r>
        <w:t>ANZSIC</w:t>
      </w:r>
      <w:r>
        <w:tab/>
        <w:t>Australian and New Zealand Standard Industrial Classification</w:t>
      </w:r>
    </w:p>
    <w:p w:rsidR="00A1433B" w:rsidRDefault="00A1433B" w:rsidP="00A1433B">
      <w:pPr>
        <w:pStyle w:val="Abbreviation"/>
        <w:tabs>
          <w:tab w:val="left" w:pos="1701"/>
        </w:tabs>
        <w:spacing w:before="80"/>
        <w:ind w:left="1985" w:hanging="1985"/>
      </w:pPr>
      <w:r>
        <w:t>ANZSOG</w:t>
      </w:r>
      <w:r>
        <w:tab/>
        <w:t>Australia and New Zealand School of Government</w:t>
      </w:r>
    </w:p>
    <w:p w:rsidR="00A1433B" w:rsidRDefault="00A1433B" w:rsidP="00A1433B">
      <w:pPr>
        <w:pStyle w:val="Abbreviation"/>
        <w:tabs>
          <w:tab w:val="left" w:pos="1701"/>
        </w:tabs>
        <w:spacing w:before="80"/>
        <w:ind w:left="1985" w:hanging="1985"/>
      </w:pPr>
      <w:r>
        <w:t>APEC</w:t>
      </w:r>
      <w:r>
        <w:tab/>
        <w:t>Asia-Pacific Economic Cooperation</w:t>
      </w:r>
    </w:p>
    <w:p w:rsidR="00A1433B" w:rsidRDefault="00A1433B" w:rsidP="00A1433B">
      <w:pPr>
        <w:pStyle w:val="Abbreviation"/>
        <w:tabs>
          <w:tab w:val="left" w:pos="1701"/>
        </w:tabs>
        <w:spacing w:before="80"/>
        <w:ind w:left="1985" w:hanging="1985"/>
      </w:pPr>
      <w:r>
        <w:t>APRA</w:t>
      </w:r>
      <w:r>
        <w:tab/>
        <w:t>Australian Prudential Regulation Authority</w:t>
      </w:r>
    </w:p>
    <w:p w:rsidR="00A1433B" w:rsidRDefault="00A1433B" w:rsidP="00A1433B">
      <w:pPr>
        <w:pStyle w:val="Abbreviation"/>
        <w:tabs>
          <w:tab w:val="left" w:pos="1701"/>
        </w:tabs>
        <w:spacing w:before="80"/>
        <w:ind w:left="1985" w:hanging="1985"/>
      </w:pPr>
      <w:r>
        <w:t>APS</w:t>
      </w:r>
      <w:r>
        <w:tab/>
        <w:t>Australian Public Service</w:t>
      </w:r>
    </w:p>
    <w:p w:rsidR="00A1433B" w:rsidRDefault="00A1433B" w:rsidP="00A1433B">
      <w:pPr>
        <w:pStyle w:val="Abbreviation"/>
        <w:tabs>
          <w:tab w:val="left" w:pos="1701"/>
        </w:tabs>
        <w:spacing w:before="80"/>
        <w:ind w:left="1985" w:hanging="1985"/>
      </w:pPr>
      <w:r>
        <w:t>BRCWG</w:t>
      </w:r>
      <w:r>
        <w:tab/>
        <w:t>Business Regulation and Competition Working Group (COAG)</w:t>
      </w:r>
    </w:p>
    <w:p w:rsidR="00A1433B" w:rsidRDefault="00A1433B" w:rsidP="00A1433B">
      <w:pPr>
        <w:pStyle w:val="Abbreviation"/>
        <w:tabs>
          <w:tab w:val="left" w:pos="1701"/>
        </w:tabs>
        <w:spacing w:before="80"/>
        <w:ind w:left="1985" w:hanging="1985"/>
      </w:pPr>
      <w:r>
        <w:t>CEDA</w:t>
      </w:r>
      <w:r>
        <w:tab/>
        <w:t>Committee for Economic Development of Australia</w:t>
      </w:r>
    </w:p>
    <w:p w:rsidR="00A1433B" w:rsidRDefault="00A1433B" w:rsidP="00A1433B">
      <w:pPr>
        <w:pStyle w:val="Abbreviation"/>
        <w:tabs>
          <w:tab w:val="left" w:pos="1701"/>
        </w:tabs>
        <w:spacing w:before="80"/>
        <w:ind w:left="1985" w:hanging="1985"/>
      </w:pPr>
      <w:r>
        <w:t>COAG</w:t>
      </w:r>
      <w:r>
        <w:tab/>
        <w:t>Council of Australian Governments</w:t>
      </w:r>
    </w:p>
    <w:p w:rsidR="00A1433B" w:rsidRDefault="00A1433B" w:rsidP="00A1433B">
      <w:pPr>
        <w:pStyle w:val="Abbreviation"/>
        <w:tabs>
          <w:tab w:val="left" w:pos="1701"/>
        </w:tabs>
        <w:spacing w:before="80"/>
        <w:ind w:left="1985" w:hanging="1985"/>
      </w:pPr>
      <w:r>
        <w:t>CRC</w:t>
      </w:r>
      <w:r>
        <w:tab/>
        <w:t>COAG Reform Council</w:t>
      </w:r>
    </w:p>
    <w:p w:rsidR="00A1433B" w:rsidRDefault="00A1433B" w:rsidP="00A1433B">
      <w:pPr>
        <w:pStyle w:val="Abbreviation"/>
        <w:tabs>
          <w:tab w:val="left" w:pos="1701"/>
        </w:tabs>
        <w:spacing w:before="80"/>
        <w:ind w:left="1985" w:hanging="1985"/>
      </w:pPr>
      <w:r>
        <w:t>EFIC</w:t>
      </w:r>
      <w:r>
        <w:tab/>
        <w:t>Export Finance and Investment Corporation</w:t>
      </w:r>
    </w:p>
    <w:p w:rsidR="00A1433B" w:rsidRDefault="00A1433B" w:rsidP="00A1433B">
      <w:pPr>
        <w:pStyle w:val="Abbreviation"/>
        <w:tabs>
          <w:tab w:val="left" w:pos="1701"/>
        </w:tabs>
        <w:spacing w:before="80"/>
        <w:ind w:left="1985" w:hanging="1985"/>
      </w:pPr>
      <w:r>
        <w:t>GDP</w:t>
      </w:r>
      <w:r>
        <w:tab/>
        <w:t>Gross Domestic Product</w:t>
      </w:r>
    </w:p>
    <w:p w:rsidR="00A1433B" w:rsidRDefault="00A1433B" w:rsidP="00A1433B">
      <w:pPr>
        <w:pStyle w:val="Abbreviation"/>
        <w:tabs>
          <w:tab w:val="left" w:pos="1701"/>
        </w:tabs>
        <w:spacing w:before="80"/>
        <w:ind w:left="1985" w:hanging="1985"/>
      </w:pPr>
      <w:r>
        <w:t>GTAP</w:t>
      </w:r>
      <w:r>
        <w:tab/>
        <w:t>Global Trade Analysis Project</w:t>
      </w:r>
    </w:p>
    <w:p w:rsidR="00A1433B" w:rsidRDefault="00A1433B" w:rsidP="00A1433B">
      <w:pPr>
        <w:pStyle w:val="Abbreviation"/>
        <w:tabs>
          <w:tab w:val="left" w:pos="1701"/>
        </w:tabs>
        <w:spacing w:before="80"/>
        <w:ind w:left="1985" w:hanging="1985"/>
      </w:pPr>
      <w:r>
        <w:t>GTEs</w:t>
      </w:r>
      <w:r>
        <w:tab/>
        <w:t>Government trading enterprises</w:t>
      </w:r>
    </w:p>
    <w:p w:rsidR="00A1433B" w:rsidRDefault="00A1433B" w:rsidP="00A1433B">
      <w:pPr>
        <w:pStyle w:val="Abbreviation"/>
        <w:tabs>
          <w:tab w:val="left" w:pos="1701"/>
        </w:tabs>
        <w:spacing w:before="80"/>
        <w:ind w:left="1985" w:hanging="1985"/>
      </w:pPr>
      <w:r>
        <w:t>HILDA</w:t>
      </w:r>
      <w:r>
        <w:tab/>
        <w:t>Household, Income and Labour Dynamics</w:t>
      </w:r>
    </w:p>
    <w:p w:rsidR="00A1433B" w:rsidRDefault="00A1433B" w:rsidP="00A1433B">
      <w:pPr>
        <w:pStyle w:val="Abbreviation"/>
        <w:tabs>
          <w:tab w:val="left" w:pos="1701"/>
        </w:tabs>
        <w:spacing w:before="80"/>
        <w:ind w:left="1985" w:hanging="1985"/>
      </w:pPr>
      <w:r>
        <w:t>IAC</w:t>
      </w:r>
      <w:r>
        <w:tab/>
        <w:t>Industries Assistance Commission</w:t>
      </w:r>
    </w:p>
    <w:p w:rsidR="00A1433B" w:rsidRDefault="00A1433B" w:rsidP="00A1433B">
      <w:pPr>
        <w:pStyle w:val="Abbreviation"/>
        <w:tabs>
          <w:tab w:val="left" w:pos="1701"/>
        </w:tabs>
        <w:spacing w:before="80"/>
        <w:ind w:left="1985" w:hanging="1985"/>
      </w:pPr>
      <w:r>
        <w:t>IC</w:t>
      </w:r>
      <w:r>
        <w:tab/>
        <w:t>Industry Commission</w:t>
      </w:r>
    </w:p>
    <w:p w:rsidR="00A1433B" w:rsidRDefault="00A1433B" w:rsidP="00A1433B">
      <w:pPr>
        <w:pStyle w:val="Abbreviation"/>
        <w:tabs>
          <w:tab w:val="left" w:pos="1701"/>
        </w:tabs>
        <w:spacing w:before="80"/>
        <w:ind w:left="1985" w:hanging="1985"/>
      </w:pPr>
      <w:r>
        <w:t>ICTs</w:t>
      </w:r>
      <w:r>
        <w:tab/>
        <w:t>Information and communication technologies</w:t>
      </w:r>
    </w:p>
    <w:p w:rsidR="00A1433B" w:rsidRDefault="00A1433B" w:rsidP="00A1433B">
      <w:pPr>
        <w:pStyle w:val="Abbreviation"/>
        <w:tabs>
          <w:tab w:val="left" w:pos="1701"/>
        </w:tabs>
        <w:spacing w:before="80"/>
        <w:ind w:left="1985" w:hanging="1985"/>
      </w:pPr>
      <w:r>
        <w:t>IMF</w:t>
      </w:r>
      <w:r>
        <w:tab/>
        <w:t>International Monetary Fund</w:t>
      </w:r>
    </w:p>
    <w:p w:rsidR="00A1433B" w:rsidRDefault="00A1433B" w:rsidP="00A1433B">
      <w:pPr>
        <w:pStyle w:val="Abbreviation"/>
        <w:tabs>
          <w:tab w:val="left" w:pos="1701"/>
        </w:tabs>
        <w:spacing w:before="80"/>
        <w:ind w:left="1985" w:hanging="1985"/>
      </w:pPr>
      <w:r>
        <w:t>LP</w:t>
      </w:r>
      <w:r>
        <w:tab/>
        <w:t xml:space="preserve">labour productivity </w:t>
      </w:r>
    </w:p>
    <w:p w:rsidR="00A1433B" w:rsidRDefault="00A1433B" w:rsidP="00A1433B">
      <w:pPr>
        <w:pStyle w:val="Abbreviation"/>
        <w:tabs>
          <w:tab w:val="left" w:pos="1701"/>
        </w:tabs>
        <w:spacing w:before="80"/>
        <w:ind w:left="1985" w:hanging="1985"/>
      </w:pPr>
      <w:r>
        <w:t>MFP</w:t>
      </w:r>
      <w:r>
        <w:tab/>
        <w:t>multifactor productivity</w:t>
      </w:r>
    </w:p>
    <w:p w:rsidR="00A1433B" w:rsidRDefault="00A1433B" w:rsidP="00A1433B">
      <w:pPr>
        <w:pStyle w:val="Abbreviation"/>
        <w:tabs>
          <w:tab w:val="left" w:pos="1701"/>
        </w:tabs>
        <w:spacing w:before="80"/>
        <w:ind w:left="1985" w:hanging="1985"/>
      </w:pPr>
      <w:r>
        <w:t>NATSEM</w:t>
      </w:r>
      <w:r>
        <w:tab/>
        <w:t>National Centre for Social and Economic Modelling</w:t>
      </w:r>
    </w:p>
    <w:p w:rsidR="00A1433B" w:rsidRDefault="00A1433B" w:rsidP="00A1433B">
      <w:pPr>
        <w:pStyle w:val="Abbreviation"/>
        <w:tabs>
          <w:tab w:val="left" w:pos="1701"/>
        </w:tabs>
        <w:spacing w:before="80"/>
        <w:ind w:left="1985" w:hanging="1985"/>
      </w:pPr>
      <w:r>
        <w:t>NBN</w:t>
      </w:r>
      <w:r>
        <w:tab/>
        <w:t>National Broadband Network</w:t>
      </w:r>
    </w:p>
    <w:p w:rsidR="00A1433B" w:rsidRDefault="00A1433B" w:rsidP="00A1433B">
      <w:pPr>
        <w:pStyle w:val="Abbreviation"/>
        <w:tabs>
          <w:tab w:val="left" w:pos="1701"/>
        </w:tabs>
        <w:spacing w:before="80"/>
        <w:ind w:left="1985" w:hanging="1985"/>
      </w:pPr>
      <w:r>
        <w:lastRenderedPageBreak/>
        <w:t>NCP</w:t>
      </w:r>
      <w:r>
        <w:tab/>
        <w:t>National Competition Policy</w:t>
      </w:r>
    </w:p>
    <w:p w:rsidR="00A1433B" w:rsidRDefault="00A1433B" w:rsidP="00A1433B">
      <w:pPr>
        <w:pStyle w:val="Abbreviation"/>
        <w:tabs>
          <w:tab w:val="left" w:pos="1701"/>
        </w:tabs>
        <w:spacing w:before="80"/>
        <w:ind w:left="1985" w:hanging="1985"/>
      </w:pPr>
      <w:r>
        <w:t>NRA</w:t>
      </w:r>
      <w:r>
        <w:tab/>
        <w:t>National Reform Agenda</w:t>
      </w:r>
    </w:p>
    <w:p w:rsidR="00A1433B" w:rsidRDefault="00A1433B" w:rsidP="00A1433B">
      <w:pPr>
        <w:pStyle w:val="Abbreviation"/>
        <w:tabs>
          <w:tab w:val="left" w:pos="1701"/>
        </w:tabs>
        <w:spacing w:before="80"/>
        <w:ind w:left="1985" w:hanging="1985"/>
      </w:pPr>
      <w:r>
        <w:t>OECD</w:t>
      </w:r>
      <w:r>
        <w:tab/>
        <w:t>Organisation for Economic Cooperation and Development</w:t>
      </w:r>
    </w:p>
    <w:p w:rsidR="00A1433B" w:rsidRDefault="00A1433B" w:rsidP="00A1433B">
      <w:pPr>
        <w:pStyle w:val="Abbreviation"/>
        <w:tabs>
          <w:tab w:val="left" w:pos="1701"/>
        </w:tabs>
        <w:spacing w:before="80"/>
        <w:ind w:left="1985" w:hanging="1985"/>
      </w:pPr>
      <w:r>
        <w:t>OHS</w:t>
      </w:r>
      <w:r>
        <w:tab/>
        <w:t>Occupation health and safety</w:t>
      </w:r>
    </w:p>
    <w:p w:rsidR="00A1433B" w:rsidRPr="00797748" w:rsidRDefault="00A1433B" w:rsidP="00A1433B">
      <w:pPr>
        <w:pStyle w:val="Abbreviation"/>
        <w:tabs>
          <w:tab w:val="left" w:pos="1701"/>
        </w:tabs>
        <w:spacing w:before="80"/>
        <w:ind w:left="1985" w:hanging="1985"/>
      </w:pPr>
      <w:r>
        <w:t>OID</w:t>
      </w:r>
      <w:r>
        <w:tab/>
      </w:r>
      <w:r w:rsidRPr="00797748">
        <w:t>Overcoming Indigenous Disadvantage report</w:t>
      </w:r>
    </w:p>
    <w:p w:rsidR="00A1433B" w:rsidRDefault="00A1433B" w:rsidP="00A1433B">
      <w:pPr>
        <w:pStyle w:val="Abbreviation"/>
        <w:tabs>
          <w:tab w:val="left" w:pos="1701"/>
        </w:tabs>
        <w:spacing w:before="80"/>
        <w:ind w:left="1985" w:hanging="1985"/>
      </w:pPr>
      <w:r>
        <w:t>PBS</w:t>
      </w:r>
      <w:r>
        <w:tab/>
        <w:t>Pharmaceutical Benefits scheme</w:t>
      </w:r>
    </w:p>
    <w:p w:rsidR="00A1433B" w:rsidRDefault="00A1433B" w:rsidP="00A1433B">
      <w:pPr>
        <w:pStyle w:val="Abbreviation"/>
        <w:tabs>
          <w:tab w:val="left" w:pos="1701"/>
        </w:tabs>
        <w:spacing w:before="80"/>
        <w:ind w:left="1985" w:hanging="1985"/>
      </w:pPr>
      <w:r>
        <w:t>PC</w:t>
      </w:r>
      <w:r>
        <w:tab/>
        <w:t>Productivity Commission</w:t>
      </w:r>
    </w:p>
    <w:p w:rsidR="00A1433B" w:rsidRDefault="00A1433B" w:rsidP="00A1433B">
      <w:pPr>
        <w:pStyle w:val="Abbreviation"/>
        <w:tabs>
          <w:tab w:val="left" w:pos="1701"/>
        </w:tabs>
        <w:spacing w:before="80"/>
        <w:ind w:left="1985" w:hanging="1985"/>
      </w:pPr>
      <w:r>
        <w:t>RBA</w:t>
      </w:r>
      <w:r>
        <w:tab/>
        <w:t>Reserve Bank of Australia</w:t>
      </w:r>
    </w:p>
    <w:p w:rsidR="00A1433B" w:rsidRDefault="00A1433B" w:rsidP="00A1433B">
      <w:pPr>
        <w:pStyle w:val="Abbreviation"/>
        <w:tabs>
          <w:tab w:val="left" w:pos="1701"/>
        </w:tabs>
        <w:spacing w:before="80"/>
        <w:ind w:left="1985" w:hanging="1985"/>
      </w:pPr>
      <w:r>
        <w:t>R&amp;D</w:t>
      </w:r>
      <w:r>
        <w:tab/>
        <w:t>Research and development</w:t>
      </w:r>
    </w:p>
    <w:p w:rsidR="00A1433B" w:rsidRPr="00797748" w:rsidRDefault="00A1433B" w:rsidP="00A1433B">
      <w:pPr>
        <w:pStyle w:val="Abbreviation"/>
        <w:tabs>
          <w:tab w:val="left" w:pos="1701"/>
        </w:tabs>
        <w:spacing w:before="80"/>
        <w:ind w:left="1985" w:hanging="1985"/>
      </w:pPr>
      <w:r>
        <w:t>ROGS</w:t>
      </w:r>
      <w:r>
        <w:tab/>
      </w:r>
      <w:r w:rsidRPr="00797748">
        <w:t>Report on Government Services</w:t>
      </w:r>
    </w:p>
    <w:p w:rsidR="00A1433B" w:rsidRDefault="00A1433B" w:rsidP="00A1433B">
      <w:pPr>
        <w:pStyle w:val="Abbreviation"/>
        <w:tabs>
          <w:tab w:val="left" w:pos="1701"/>
        </w:tabs>
        <w:spacing w:before="80"/>
        <w:ind w:left="1985" w:hanging="1985"/>
      </w:pPr>
      <w:r>
        <w:t>SES</w:t>
      </w:r>
      <w:r>
        <w:tab/>
        <w:t>Senior Executive Service</w:t>
      </w:r>
    </w:p>
    <w:p w:rsidR="00A1433B" w:rsidRDefault="00A1433B" w:rsidP="00A1433B">
      <w:pPr>
        <w:pStyle w:val="Abbreviation"/>
        <w:tabs>
          <w:tab w:val="left" w:pos="1701"/>
        </w:tabs>
        <w:spacing w:before="80"/>
        <w:ind w:left="1985" w:hanging="1985"/>
      </w:pPr>
      <w:r>
        <w:t>TCF</w:t>
      </w:r>
      <w:r>
        <w:tab/>
        <w:t>Textiles, clothing and footwear</w:t>
      </w:r>
    </w:p>
    <w:p w:rsidR="00A1433B" w:rsidRDefault="00A1433B">
      <w:pPr>
        <w:pStyle w:val="Abbreviation"/>
      </w:pPr>
    </w:p>
    <w:p w:rsidR="00B9425C" w:rsidRPr="00A57ED7" w:rsidRDefault="00B9425C" w:rsidP="00743A27">
      <w:pPr>
        <w:pStyle w:val="BodyText"/>
        <w:rPr>
          <w:rStyle w:val="CommentReference"/>
          <w:vanish w:val="0"/>
        </w:rPr>
      </w:pPr>
      <w:bookmarkStart w:id="12" w:name="Glossary"/>
      <w:bookmarkEnd w:id="12"/>
    </w:p>
    <w:sectPr w:rsidR="00B9425C" w:rsidRPr="00A57ED7"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484" w:rsidRDefault="00E76484">
      <w:r>
        <w:separator/>
      </w:r>
    </w:p>
    <w:p w:rsidR="00E76484" w:rsidRDefault="00E76484"/>
    <w:p w:rsidR="00E76484" w:rsidRDefault="00E76484"/>
  </w:endnote>
  <w:endnote w:type="continuationSeparator" w:id="0">
    <w:p w:rsidR="00E76484" w:rsidRDefault="00E76484">
      <w:r>
        <w:continuationSeparator/>
      </w:r>
    </w:p>
    <w:p w:rsidR="00E76484" w:rsidRDefault="00E76484"/>
    <w:p w:rsidR="00E76484" w:rsidRDefault="00E76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pPr>
      <w:pStyle w:val="FooterEnd"/>
    </w:pPr>
  </w:p>
  <w:p w:rsidR="00E76484" w:rsidRDefault="00E7648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pPr>
      <w:pStyle w:val="FooterEnd"/>
    </w:pPr>
  </w:p>
  <w:p w:rsidR="00E76484" w:rsidRDefault="00E7648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6484" w:rsidTr="005F48ED">
      <w:trPr>
        <w:trHeight w:hRule="exact" w:val="567"/>
      </w:trPr>
      <w:tc>
        <w:tcPr>
          <w:tcW w:w="510" w:type="dxa"/>
        </w:tcPr>
        <w:p w:rsidR="00E76484" w:rsidRPr="00A24443" w:rsidRDefault="00E7648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03965">
            <w:rPr>
              <w:rStyle w:val="PageNumber"/>
              <w:caps w:val="0"/>
              <w:noProof/>
            </w:rPr>
            <w:t>viii</w:t>
          </w:r>
          <w:r w:rsidRPr="00A24443">
            <w:rPr>
              <w:rStyle w:val="PageNumber"/>
              <w:caps w:val="0"/>
            </w:rPr>
            <w:fldChar w:fldCharType="end"/>
          </w:r>
        </w:p>
      </w:tc>
      <w:tc>
        <w:tcPr>
          <w:tcW w:w="7767" w:type="dxa"/>
        </w:tcPr>
        <w:p w:rsidR="00E76484" w:rsidRPr="0013739A" w:rsidRDefault="00E76484"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55D62">
            <w:rPr>
              <w:rFonts w:cs="Arial"/>
            </w:rPr>
            <w:t>Annual Report 2013-14</w:t>
          </w:r>
          <w:r w:rsidRPr="00BA5B14">
            <w:rPr>
              <w:rFonts w:cs="Arial"/>
            </w:rPr>
            <w:fldChar w:fldCharType="end"/>
          </w:r>
        </w:p>
      </w:tc>
      <w:tc>
        <w:tcPr>
          <w:tcW w:w="510" w:type="dxa"/>
        </w:tcPr>
        <w:p w:rsidR="00E76484" w:rsidRDefault="00E76484" w:rsidP="0019293B">
          <w:pPr>
            <w:pStyle w:val="Footer"/>
          </w:pPr>
        </w:p>
      </w:tc>
    </w:tr>
  </w:tbl>
  <w:p w:rsidR="00E76484" w:rsidRDefault="00E76484" w:rsidP="0019293B">
    <w:pPr>
      <w:pStyle w:val="FooterEnd"/>
    </w:pPr>
  </w:p>
  <w:p w:rsidR="00E76484" w:rsidRDefault="00E7648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6484" w:rsidTr="005F48ED">
      <w:trPr>
        <w:trHeight w:hRule="exact" w:val="567"/>
      </w:trPr>
      <w:tc>
        <w:tcPr>
          <w:tcW w:w="510" w:type="dxa"/>
        </w:tcPr>
        <w:p w:rsidR="00E76484" w:rsidRDefault="00E76484">
          <w:pPr>
            <w:pStyle w:val="Footer"/>
            <w:ind w:right="360" w:firstLine="360"/>
          </w:pPr>
        </w:p>
      </w:tc>
      <w:tc>
        <w:tcPr>
          <w:tcW w:w="7767" w:type="dxa"/>
        </w:tcPr>
        <w:p w:rsidR="00E76484" w:rsidRPr="00A90DAF" w:rsidRDefault="00E76484"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B03965" w:rsidRPr="00B03965">
            <w:rPr>
              <w:bCs/>
              <w:noProof/>
              <w:lang w:val="en-US"/>
            </w:rPr>
            <w:t>Foreword</w:t>
          </w:r>
          <w:r w:rsidRPr="00A90DAF">
            <w:rPr>
              <w:noProof/>
            </w:rPr>
            <w:fldChar w:fldCharType="end"/>
          </w:r>
        </w:p>
      </w:tc>
      <w:tc>
        <w:tcPr>
          <w:tcW w:w="510" w:type="dxa"/>
        </w:tcPr>
        <w:p w:rsidR="00E76484" w:rsidRPr="00A24443" w:rsidRDefault="00E7648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03965">
            <w:rPr>
              <w:rStyle w:val="PageNumber"/>
              <w:caps w:val="0"/>
              <w:noProof/>
            </w:rPr>
            <w:t>vii</w:t>
          </w:r>
          <w:r w:rsidRPr="00A24443">
            <w:rPr>
              <w:rStyle w:val="PageNumber"/>
              <w:caps w:val="0"/>
            </w:rPr>
            <w:fldChar w:fldCharType="end"/>
          </w:r>
        </w:p>
      </w:tc>
    </w:tr>
  </w:tbl>
  <w:p w:rsidR="00E76484" w:rsidRDefault="00E76484">
    <w:pPr>
      <w:pStyle w:val="FooterEnd"/>
    </w:pPr>
  </w:p>
  <w:p w:rsidR="00E76484" w:rsidRDefault="00E7648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D7CFA" w:rsidTr="005F48ED">
      <w:trPr>
        <w:trHeight w:hRule="exact" w:val="567"/>
      </w:trPr>
      <w:tc>
        <w:tcPr>
          <w:tcW w:w="510" w:type="dxa"/>
        </w:tcPr>
        <w:p w:rsidR="009D7CFA" w:rsidRDefault="009D7CFA">
          <w:pPr>
            <w:pStyle w:val="Footer"/>
            <w:ind w:right="360" w:firstLine="360"/>
          </w:pPr>
        </w:p>
      </w:tc>
      <w:tc>
        <w:tcPr>
          <w:tcW w:w="7767" w:type="dxa"/>
        </w:tcPr>
        <w:p w:rsidR="009D7CFA" w:rsidRPr="00A90DAF" w:rsidRDefault="009D7CFA" w:rsidP="00883E8C">
          <w:pPr>
            <w:pStyle w:val="Footer"/>
            <w:jc w:val="right"/>
            <w:rPr>
              <w:rFonts w:cs="Arial"/>
            </w:rPr>
          </w:pPr>
          <w:r>
            <w:rPr>
              <w:noProof/>
            </w:rPr>
            <w:t>contents</w:t>
          </w:r>
        </w:p>
      </w:tc>
      <w:tc>
        <w:tcPr>
          <w:tcW w:w="510" w:type="dxa"/>
        </w:tcPr>
        <w:p w:rsidR="009D7CFA" w:rsidRPr="00A24443" w:rsidRDefault="009D7CF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03965">
            <w:rPr>
              <w:rStyle w:val="PageNumber"/>
              <w:caps w:val="0"/>
              <w:noProof/>
            </w:rPr>
            <w:t>ix</w:t>
          </w:r>
          <w:r w:rsidRPr="00A24443">
            <w:rPr>
              <w:rStyle w:val="PageNumber"/>
              <w:caps w:val="0"/>
            </w:rPr>
            <w:fldChar w:fldCharType="end"/>
          </w:r>
        </w:p>
      </w:tc>
    </w:tr>
  </w:tbl>
  <w:p w:rsidR="009D7CFA" w:rsidRDefault="009D7CFA">
    <w:pPr>
      <w:pStyle w:val="FooterEnd"/>
    </w:pPr>
  </w:p>
  <w:p w:rsidR="009D7CFA" w:rsidRDefault="009D7CF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03965">
            <w:rPr>
              <w:rStyle w:val="PageNumber"/>
              <w:caps w:val="0"/>
              <w:noProof/>
            </w:rPr>
            <w:t>x</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55D62">
            <w:rPr>
              <w:rFonts w:cs="Arial"/>
            </w:rPr>
            <w:t>Annual Report 2013-14</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B03965" w:rsidRPr="00B03965">
            <w:rPr>
              <w:bCs/>
              <w:noProof/>
              <w:lang w:val="en-US"/>
            </w:rPr>
            <w:t>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03965">
            <w:rPr>
              <w:rStyle w:val="PageNumber"/>
              <w:caps w:val="0"/>
              <w:noProof/>
            </w:rPr>
            <w:t>xi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484" w:rsidRDefault="00E76484">
      <w:r>
        <w:separator/>
      </w:r>
    </w:p>
    <w:p w:rsidR="00E76484" w:rsidRDefault="00E76484"/>
    <w:p w:rsidR="00E76484" w:rsidRDefault="00E76484"/>
  </w:footnote>
  <w:footnote w:type="continuationSeparator" w:id="0">
    <w:p w:rsidR="00E76484" w:rsidRDefault="00E76484">
      <w:r>
        <w:continuationSeparator/>
      </w:r>
    </w:p>
    <w:p w:rsidR="00E76484" w:rsidRDefault="00E76484"/>
    <w:p w:rsidR="00E76484" w:rsidRDefault="00E764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484" w:rsidRDefault="00E7648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6484">
      <w:tc>
        <w:tcPr>
          <w:tcW w:w="2155" w:type="dxa"/>
          <w:tcBorders>
            <w:top w:val="single" w:sz="24" w:space="0" w:color="auto"/>
          </w:tcBorders>
        </w:tcPr>
        <w:p w:rsidR="00E76484" w:rsidRDefault="00E76484">
          <w:pPr>
            <w:pStyle w:val="HeaderEven"/>
          </w:pPr>
        </w:p>
      </w:tc>
      <w:tc>
        <w:tcPr>
          <w:tcW w:w="6634" w:type="dxa"/>
          <w:tcBorders>
            <w:top w:val="single" w:sz="6" w:space="0" w:color="auto"/>
          </w:tcBorders>
        </w:tcPr>
        <w:p w:rsidR="00E76484" w:rsidRDefault="00E76484">
          <w:pPr>
            <w:pStyle w:val="HeaderEven"/>
          </w:pPr>
        </w:p>
      </w:tc>
    </w:tr>
  </w:tbl>
  <w:p w:rsidR="00E76484" w:rsidRDefault="00E76484">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6484">
      <w:tc>
        <w:tcPr>
          <w:tcW w:w="6634" w:type="dxa"/>
          <w:tcBorders>
            <w:top w:val="single" w:sz="6" w:space="0" w:color="auto"/>
          </w:tcBorders>
        </w:tcPr>
        <w:p w:rsidR="00E76484" w:rsidRDefault="00E76484">
          <w:pPr>
            <w:pStyle w:val="HeaderOdd"/>
          </w:pPr>
        </w:p>
      </w:tc>
      <w:tc>
        <w:tcPr>
          <w:tcW w:w="2155" w:type="dxa"/>
          <w:tcBorders>
            <w:top w:val="single" w:sz="24" w:space="0" w:color="auto"/>
            <w:bottom w:val="nil"/>
          </w:tcBorders>
        </w:tcPr>
        <w:p w:rsidR="00E76484" w:rsidRDefault="00E76484">
          <w:pPr>
            <w:pStyle w:val="HeaderOdd"/>
          </w:pPr>
        </w:p>
      </w:tc>
    </w:tr>
  </w:tbl>
  <w:p w:rsidR="00E76484" w:rsidRDefault="00E76484">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84"/>
    <w:rsid w:val="00017AFC"/>
    <w:rsid w:val="00025878"/>
    <w:rsid w:val="00026B38"/>
    <w:rsid w:val="000323BB"/>
    <w:rsid w:val="000502D3"/>
    <w:rsid w:val="00052CB2"/>
    <w:rsid w:val="000623BF"/>
    <w:rsid w:val="00095EEA"/>
    <w:rsid w:val="00097C15"/>
    <w:rsid w:val="000A0A0E"/>
    <w:rsid w:val="000A5E12"/>
    <w:rsid w:val="000B416E"/>
    <w:rsid w:val="000F185F"/>
    <w:rsid w:val="000F2F5F"/>
    <w:rsid w:val="000F6AEB"/>
    <w:rsid w:val="000F717D"/>
    <w:rsid w:val="00106041"/>
    <w:rsid w:val="0010611E"/>
    <w:rsid w:val="00122FE9"/>
    <w:rsid w:val="00131572"/>
    <w:rsid w:val="00131D4F"/>
    <w:rsid w:val="0013399B"/>
    <w:rsid w:val="00180515"/>
    <w:rsid w:val="00181F4B"/>
    <w:rsid w:val="00190919"/>
    <w:rsid w:val="00196FB3"/>
    <w:rsid w:val="001A5071"/>
    <w:rsid w:val="001B4E73"/>
    <w:rsid w:val="001B7F1E"/>
    <w:rsid w:val="001C7AC2"/>
    <w:rsid w:val="001D4B1F"/>
    <w:rsid w:val="001D6629"/>
    <w:rsid w:val="001E3390"/>
    <w:rsid w:val="001F2270"/>
    <w:rsid w:val="00203B40"/>
    <w:rsid w:val="00205A82"/>
    <w:rsid w:val="00211BEE"/>
    <w:rsid w:val="002179C6"/>
    <w:rsid w:val="00255D62"/>
    <w:rsid w:val="00261607"/>
    <w:rsid w:val="00263DD1"/>
    <w:rsid w:val="00264D3B"/>
    <w:rsid w:val="00265685"/>
    <w:rsid w:val="00271B0C"/>
    <w:rsid w:val="00281D5F"/>
    <w:rsid w:val="002923AD"/>
    <w:rsid w:val="00296592"/>
    <w:rsid w:val="002A0A4B"/>
    <w:rsid w:val="002A499E"/>
    <w:rsid w:val="002B03E1"/>
    <w:rsid w:val="002B636E"/>
    <w:rsid w:val="002B64D6"/>
    <w:rsid w:val="002C12F5"/>
    <w:rsid w:val="002D6FCE"/>
    <w:rsid w:val="00326760"/>
    <w:rsid w:val="00340511"/>
    <w:rsid w:val="0038647D"/>
    <w:rsid w:val="00386916"/>
    <w:rsid w:val="00393A49"/>
    <w:rsid w:val="003B41E0"/>
    <w:rsid w:val="003C3D73"/>
    <w:rsid w:val="003D624D"/>
    <w:rsid w:val="003E7802"/>
    <w:rsid w:val="0042007A"/>
    <w:rsid w:val="00433C81"/>
    <w:rsid w:val="00446D6B"/>
    <w:rsid w:val="00457B3F"/>
    <w:rsid w:val="00463022"/>
    <w:rsid w:val="00481CF0"/>
    <w:rsid w:val="004B492A"/>
    <w:rsid w:val="004B49BA"/>
    <w:rsid w:val="004C0B0C"/>
    <w:rsid w:val="004D3F58"/>
    <w:rsid w:val="004E52E2"/>
    <w:rsid w:val="004E6BB4"/>
    <w:rsid w:val="004E7D3C"/>
    <w:rsid w:val="004F0534"/>
    <w:rsid w:val="00515D43"/>
    <w:rsid w:val="0052544D"/>
    <w:rsid w:val="00526B19"/>
    <w:rsid w:val="00551FB8"/>
    <w:rsid w:val="005537F6"/>
    <w:rsid w:val="00560F43"/>
    <w:rsid w:val="005654D0"/>
    <w:rsid w:val="005746C5"/>
    <w:rsid w:val="00585B3F"/>
    <w:rsid w:val="005B17AB"/>
    <w:rsid w:val="005C4858"/>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1514"/>
    <w:rsid w:val="00683849"/>
    <w:rsid w:val="00691AB5"/>
    <w:rsid w:val="006C7C15"/>
    <w:rsid w:val="006E1E6B"/>
    <w:rsid w:val="006F0EAC"/>
    <w:rsid w:val="006F6A85"/>
    <w:rsid w:val="0070328D"/>
    <w:rsid w:val="007057A0"/>
    <w:rsid w:val="00731F96"/>
    <w:rsid w:val="00734127"/>
    <w:rsid w:val="00735FEA"/>
    <w:rsid w:val="00743460"/>
    <w:rsid w:val="00743A27"/>
    <w:rsid w:val="007448F7"/>
    <w:rsid w:val="00753DC6"/>
    <w:rsid w:val="0075578C"/>
    <w:rsid w:val="00756413"/>
    <w:rsid w:val="00766DFB"/>
    <w:rsid w:val="007734B5"/>
    <w:rsid w:val="007809B8"/>
    <w:rsid w:val="007813A6"/>
    <w:rsid w:val="007D0EF8"/>
    <w:rsid w:val="00801A81"/>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021B"/>
    <w:rsid w:val="008C305F"/>
    <w:rsid w:val="008C3AD2"/>
    <w:rsid w:val="008C7C3D"/>
    <w:rsid w:val="008D5587"/>
    <w:rsid w:val="008D6F66"/>
    <w:rsid w:val="008E1BEA"/>
    <w:rsid w:val="008E242D"/>
    <w:rsid w:val="008E43D2"/>
    <w:rsid w:val="008E5248"/>
    <w:rsid w:val="008F04C9"/>
    <w:rsid w:val="008F7C50"/>
    <w:rsid w:val="008F7DB7"/>
    <w:rsid w:val="009064D3"/>
    <w:rsid w:val="00915300"/>
    <w:rsid w:val="00933B0C"/>
    <w:rsid w:val="00935676"/>
    <w:rsid w:val="00955EAC"/>
    <w:rsid w:val="0098401D"/>
    <w:rsid w:val="009A789F"/>
    <w:rsid w:val="009B12EF"/>
    <w:rsid w:val="009B48F7"/>
    <w:rsid w:val="009B6185"/>
    <w:rsid w:val="009C6C6D"/>
    <w:rsid w:val="009D7CFA"/>
    <w:rsid w:val="009E1E78"/>
    <w:rsid w:val="00A019CD"/>
    <w:rsid w:val="00A1433B"/>
    <w:rsid w:val="00A1597D"/>
    <w:rsid w:val="00A46989"/>
    <w:rsid w:val="00A469AA"/>
    <w:rsid w:val="00A57ED7"/>
    <w:rsid w:val="00A71CE9"/>
    <w:rsid w:val="00A72A19"/>
    <w:rsid w:val="00A75885"/>
    <w:rsid w:val="00A75A30"/>
    <w:rsid w:val="00A93C82"/>
    <w:rsid w:val="00AB2A48"/>
    <w:rsid w:val="00AC3236"/>
    <w:rsid w:val="00AD4874"/>
    <w:rsid w:val="00AE1F8A"/>
    <w:rsid w:val="00AF4B6C"/>
    <w:rsid w:val="00B036B2"/>
    <w:rsid w:val="00B03965"/>
    <w:rsid w:val="00B04D19"/>
    <w:rsid w:val="00B153C3"/>
    <w:rsid w:val="00B22087"/>
    <w:rsid w:val="00B57D6A"/>
    <w:rsid w:val="00B722F2"/>
    <w:rsid w:val="00B80355"/>
    <w:rsid w:val="00B90958"/>
    <w:rsid w:val="00B9425C"/>
    <w:rsid w:val="00B95339"/>
    <w:rsid w:val="00BA0B81"/>
    <w:rsid w:val="00BB334E"/>
    <w:rsid w:val="00BB5DCF"/>
    <w:rsid w:val="00BC2476"/>
    <w:rsid w:val="00BF59EA"/>
    <w:rsid w:val="00BF79CD"/>
    <w:rsid w:val="00C058AB"/>
    <w:rsid w:val="00C0721B"/>
    <w:rsid w:val="00C20D4F"/>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15CE6"/>
    <w:rsid w:val="00D310F0"/>
    <w:rsid w:val="00D354A1"/>
    <w:rsid w:val="00D37AC2"/>
    <w:rsid w:val="00D500A9"/>
    <w:rsid w:val="00D55CAA"/>
    <w:rsid w:val="00D61180"/>
    <w:rsid w:val="00D64121"/>
    <w:rsid w:val="00D67119"/>
    <w:rsid w:val="00D732FE"/>
    <w:rsid w:val="00D74E25"/>
    <w:rsid w:val="00D772E9"/>
    <w:rsid w:val="00D82E10"/>
    <w:rsid w:val="00D969AE"/>
    <w:rsid w:val="00DA31AB"/>
    <w:rsid w:val="00DA3281"/>
    <w:rsid w:val="00DA6D3E"/>
    <w:rsid w:val="00DC02E8"/>
    <w:rsid w:val="00DC691B"/>
    <w:rsid w:val="00DC75C7"/>
    <w:rsid w:val="00DC78D3"/>
    <w:rsid w:val="00DD1077"/>
    <w:rsid w:val="00DD2DA8"/>
    <w:rsid w:val="00DF00FE"/>
    <w:rsid w:val="00DF4592"/>
    <w:rsid w:val="00E15FDC"/>
    <w:rsid w:val="00E2651B"/>
    <w:rsid w:val="00E30DDB"/>
    <w:rsid w:val="00E6632E"/>
    <w:rsid w:val="00E76484"/>
    <w:rsid w:val="00E90CF2"/>
    <w:rsid w:val="00EB18CF"/>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E76484"/>
    <w:rPr>
      <w:kern w:val="28"/>
      <w:sz w:val="52"/>
      <w:lang w:eastAsia="en-US"/>
    </w:rPr>
  </w:style>
  <w:style w:type="table" w:styleId="TableGrid">
    <w:name w:val="Table Grid"/>
    <w:basedOn w:val="TableNormal"/>
    <w:rsid w:val="00E7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E76484"/>
    <w:rPr>
      <w:kern w:val="28"/>
      <w:sz w:val="52"/>
      <w:lang w:eastAsia="en-US"/>
    </w:rPr>
  </w:style>
  <w:style w:type="table" w:styleId="TableGrid">
    <w:name w:val="Table Grid"/>
    <w:basedOn w:val="TableNormal"/>
    <w:rsid w:val="00E7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www.itsanhonour.gov.au/coat-arms/index.cfm" TargetMode="External"/><Relationship Id="rId17" Type="http://schemas.openxmlformats.org/officeDocument/2006/relationships/header" Target="header2.xml"/><Relationship Id="rId25" Type="http://schemas.openxmlformats.org/officeDocument/2006/relationships/header" Target="header3.xm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image" Target="media/image8.jpeg"/><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eader" Target="header4.xml"/><Relationship Id="rId36"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c.gov.au/" TargetMode="External"/><Relationship Id="rId22" Type="http://schemas.openxmlformats.org/officeDocument/2006/relationships/image" Target="media/image6.jpeg"/><Relationship Id="rId27" Type="http://schemas.openxmlformats.org/officeDocument/2006/relationships/image" Target="media/image9.png"/><Relationship Id="rId30" Type="http://schemas.openxmlformats.org/officeDocument/2006/relationships/footer" Target="footer4.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FF9273B-1CB0-4B85-B17A-EB4162756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32</TotalTime>
  <Pages>11</Pages>
  <Words>1132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Annual Report 2013-14</vt:lpstr>
    </vt:vector>
  </TitlesOfParts>
  <Company>Productivity Commission</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2013-14</dc:title>
  <dc:creator>Productivity Commission</dc:creator>
  <cp:lastModifiedBy>Mark Pimperl</cp:lastModifiedBy>
  <cp:revision>15</cp:revision>
  <cp:lastPrinted>2014-10-14T01:20:00Z</cp:lastPrinted>
  <dcterms:created xsi:type="dcterms:W3CDTF">2014-10-14T22:17:00Z</dcterms:created>
  <dcterms:modified xsi:type="dcterms:W3CDTF">2014-10-16T04:51:00Z</dcterms:modified>
</cp:coreProperties>
</file>