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67FA" w14:textId="31E60562" w:rsidR="007F0ABD" w:rsidRDefault="0040765A" w:rsidP="005734C7">
      <w:pPr>
        <w:pStyle w:val="Heading1"/>
        <w:spacing w:before="1560" w:after="240"/>
      </w:pPr>
      <w:r w:rsidRPr="00E267C0">
        <w:rPr>
          <w:bCs/>
        </w:rPr>
        <w:t>Annual Stakeholder Survey 2023-24 results</w:t>
      </w:r>
    </w:p>
    <w:p w14:paraId="5E46763E" w14:textId="77777777" w:rsidR="0040765A" w:rsidRDefault="0040765A" w:rsidP="00BB585F">
      <w:pPr>
        <w:spacing w:after="160"/>
      </w:pPr>
      <w:r>
        <w:t xml:space="preserve">As part of the Productivity Commission’s commitment to improving communications and engagement, we have established an Annual Stakeholder Survey. </w:t>
      </w:r>
    </w:p>
    <w:p w14:paraId="519A75D6" w14:textId="5C63FD46" w:rsidR="00850307" w:rsidRPr="00830675" w:rsidRDefault="0040765A" w:rsidP="00BB585F">
      <w:pPr>
        <w:spacing w:after="160"/>
        <w:rPr>
          <w:spacing w:val="-2"/>
        </w:rPr>
      </w:pPr>
      <w:r w:rsidRPr="00830675">
        <w:rPr>
          <w:spacing w:val="-2"/>
        </w:rPr>
        <w:t xml:space="preserve">This survey replaces our previous </w:t>
      </w:r>
      <w:hyperlink r:id="rId13" w:history="1">
        <w:r w:rsidRPr="00830675">
          <w:rPr>
            <w:rStyle w:val="Hyperlink"/>
            <w:spacing w:val="-2"/>
          </w:rPr>
          <w:t>Triennial Stakeholder Survey</w:t>
        </w:r>
      </w:hyperlink>
      <w:r w:rsidR="29F7BA7B" w:rsidRPr="00830675">
        <w:rPr>
          <w:spacing w:val="-2"/>
        </w:rPr>
        <w:t xml:space="preserve"> which was last undertaken in </w:t>
      </w:r>
      <w:r w:rsidR="06BA560F" w:rsidRPr="00830675">
        <w:rPr>
          <w:spacing w:val="-2"/>
        </w:rPr>
        <w:t>2021</w:t>
      </w:r>
      <w:r w:rsidR="00850307" w:rsidRPr="00830675">
        <w:rPr>
          <w:spacing w:val="-2"/>
        </w:rPr>
        <w:t>.</w:t>
      </w:r>
      <w:r w:rsidR="06BA560F" w:rsidRPr="00830675">
        <w:rPr>
          <w:spacing w:val="-2"/>
        </w:rPr>
        <w:t xml:space="preserve"> </w:t>
      </w:r>
    </w:p>
    <w:p w14:paraId="50331D90" w14:textId="0A6B4DF5" w:rsidR="0040765A" w:rsidRDefault="0040765A" w:rsidP="00BB585F">
      <w:pPr>
        <w:spacing w:after="160"/>
      </w:pPr>
      <w:r>
        <w:t xml:space="preserve">We undertook the Annual Stakeholder Survey 2023-24 from 31 July to 13 August 2024. </w:t>
      </w:r>
    </w:p>
    <w:p w14:paraId="5401EC83" w14:textId="3268313A" w:rsidR="0040765A" w:rsidRDefault="0040765A" w:rsidP="00BB585F">
      <w:pPr>
        <w:spacing w:after="160"/>
      </w:pPr>
      <w:r>
        <w:t xml:space="preserve">The survey contained 3 questions. These questions were designed to establish benchmarks for the performance metrics in our </w:t>
      </w:r>
      <w:hyperlink r:id="rId14" w:history="1">
        <w:r w:rsidRPr="00FB3DDD">
          <w:rPr>
            <w:rStyle w:val="Hyperlink"/>
          </w:rPr>
          <w:t>Portfolio Budget Statement 2024-25</w:t>
        </w:r>
      </w:hyperlink>
      <w:r>
        <w:t xml:space="preserve"> and </w:t>
      </w:r>
      <w:hyperlink r:id="rId15" w:history="1">
        <w:r w:rsidRPr="00FB3DDD">
          <w:rPr>
            <w:rStyle w:val="Hyperlink"/>
          </w:rPr>
          <w:t>Corporate Plan 2024-28</w:t>
        </w:r>
      </w:hyperlink>
      <w:r>
        <w:t xml:space="preserve">, and to collect qualitative feedback to help us improve the way we work. </w:t>
      </w:r>
    </w:p>
    <w:p w14:paraId="68DB3734" w14:textId="02F846A4" w:rsidR="0040765A" w:rsidRPr="0040765A" w:rsidRDefault="0040765A" w:rsidP="00BB585F">
      <w:pPr>
        <w:spacing w:after="160"/>
        <w:rPr>
          <w:spacing w:val="-2"/>
        </w:rPr>
      </w:pPr>
      <w:r w:rsidRPr="0040765A">
        <w:rPr>
          <w:spacing w:val="-2"/>
        </w:rPr>
        <w:t xml:space="preserve">We invited more than 5,000 stakeholders who engaged with our work in FY2023-24 to participate in the survey, and the survey was promoted on our social media channels. We received 180 survey responses, of which 76 included </w:t>
      </w:r>
      <w:r w:rsidR="150C406B" w:rsidRPr="0040765A">
        <w:rPr>
          <w:spacing w:val="-2"/>
        </w:rPr>
        <w:t xml:space="preserve">free-text </w:t>
      </w:r>
      <w:r w:rsidRPr="0040765A">
        <w:rPr>
          <w:spacing w:val="-2"/>
        </w:rPr>
        <w:t xml:space="preserve">comments. </w:t>
      </w:r>
    </w:p>
    <w:p w14:paraId="3CE1A905" w14:textId="77777777" w:rsidR="0040765A" w:rsidRDefault="0040765A" w:rsidP="0040765A">
      <w:pPr>
        <w:spacing w:after="0"/>
      </w:pPr>
      <w:r>
        <w:t>The respondents comprised:</w:t>
      </w:r>
    </w:p>
    <w:p w14:paraId="381E0A92" w14:textId="77777777" w:rsidR="0040765A" w:rsidRDefault="0040765A" w:rsidP="0040765A">
      <w:pPr>
        <w:pStyle w:val="ListBullet"/>
      </w:pPr>
      <w:r>
        <w:t>community organisations (27%)</w:t>
      </w:r>
    </w:p>
    <w:p w14:paraId="73885023" w14:textId="77777777" w:rsidR="0040765A" w:rsidRDefault="0040765A" w:rsidP="0040765A">
      <w:pPr>
        <w:pStyle w:val="ListBullet"/>
      </w:pPr>
      <w:r>
        <w:t>governments (22%)</w:t>
      </w:r>
    </w:p>
    <w:p w14:paraId="4F774B65" w14:textId="77777777" w:rsidR="0040765A" w:rsidRDefault="0040765A" w:rsidP="0040765A">
      <w:pPr>
        <w:pStyle w:val="ListBullet"/>
      </w:pPr>
      <w:r>
        <w:t>advocate/advisory groups (15%)</w:t>
      </w:r>
    </w:p>
    <w:p w14:paraId="2E94451F" w14:textId="77777777" w:rsidR="0040765A" w:rsidRDefault="0040765A" w:rsidP="0040765A">
      <w:pPr>
        <w:pStyle w:val="ListBullet"/>
      </w:pPr>
      <w:r>
        <w:t>interested community members (14%)</w:t>
      </w:r>
    </w:p>
    <w:p w14:paraId="092C9187" w14:textId="77777777" w:rsidR="0040765A" w:rsidRDefault="0040765A" w:rsidP="0040765A">
      <w:pPr>
        <w:pStyle w:val="ListBullet"/>
      </w:pPr>
      <w:r>
        <w:t>private sector (13%)</w:t>
      </w:r>
    </w:p>
    <w:p w14:paraId="0DD7A4AA" w14:textId="77777777" w:rsidR="0040765A" w:rsidRDefault="0040765A" w:rsidP="0040765A">
      <w:pPr>
        <w:pStyle w:val="ListBullet"/>
        <w:spacing w:after="240"/>
        <w:contextualSpacing w:val="0"/>
      </w:pPr>
      <w:r>
        <w:t>researchers (9%).</w:t>
      </w:r>
    </w:p>
    <w:p w14:paraId="1ACF188C" w14:textId="09BABDC0" w:rsidR="00CC44F0" w:rsidRDefault="00CC44F0" w:rsidP="00CC44F0">
      <w:pPr>
        <w:spacing w:after="160"/>
      </w:pPr>
      <w:r>
        <w:t xml:space="preserve">We analysed the survey responses using thematic analysis and analysed the </w:t>
      </w:r>
      <w:r w:rsidR="1EE2C705">
        <w:t xml:space="preserve">free text </w:t>
      </w:r>
      <w:r>
        <w:t xml:space="preserve">comments using sentiment coding. </w:t>
      </w:r>
    </w:p>
    <w:p w14:paraId="15ED80B6" w14:textId="5C0E1CC2" w:rsidR="00CC44F0" w:rsidRDefault="00CC44F0" w:rsidP="00CC44F0">
      <w:pPr>
        <w:spacing w:after="160"/>
      </w:pPr>
      <w:r>
        <w:t xml:space="preserve">The opt-in approach means the dataset </w:t>
      </w:r>
      <w:r w:rsidR="02604C74">
        <w:t xml:space="preserve">may </w:t>
      </w:r>
      <w:r>
        <w:t xml:space="preserve">not </w:t>
      </w:r>
      <w:r w:rsidR="19D34FDC">
        <w:t xml:space="preserve">be </w:t>
      </w:r>
      <w:r>
        <w:t xml:space="preserve">a representative sample of stakeholder views. However, the survey responses will help us to understand the views and experiences of some </w:t>
      </w:r>
      <w:r w:rsidR="5877865B">
        <w:t xml:space="preserve">engaged </w:t>
      </w:r>
      <w:r>
        <w:t xml:space="preserve">stakeholders and provide us with valuable insights that we can use to drive action. </w:t>
      </w:r>
    </w:p>
    <w:p w14:paraId="536F9564" w14:textId="77777777" w:rsidR="00CC44F0" w:rsidRDefault="00CC44F0" w:rsidP="00CC44F0">
      <w:pPr>
        <w:spacing w:after="120"/>
      </w:pPr>
      <w:r>
        <w:t>We are developing an action plan to respond to the survey findings and are considering ways to improve the survey in 2024-25.</w:t>
      </w:r>
    </w:p>
    <w:p w14:paraId="15904EE0" w14:textId="430EB9C0" w:rsidR="00740E62" w:rsidRPr="0097026D" w:rsidRDefault="00740E62" w:rsidP="009E5623">
      <w:pPr>
        <w:pStyle w:val="Heading2"/>
        <w:rPr>
          <w:color w:val="265A9A" w:themeColor="background2"/>
        </w:rPr>
      </w:pPr>
      <w:r w:rsidRPr="0097026D">
        <w:rPr>
          <w:color w:val="265A9A" w:themeColor="background2"/>
          <w:lang w:val="en-GB"/>
        </w:rPr>
        <w:lastRenderedPageBreak/>
        <w:t>Overview</w:t>
      </w:r>
    </w:p>
    <w:p w14:paraId="1890B096" w14:textId="66053DAE" w:rsidR="00B26846" w:rsidRDefault="001E175F" w:rsidP="00B26846">
      <w:pPr>
        <w:pStyle w:val="BodyText"/>
      </w:pPr>
      <w:r w:rsidRPr="001E175F">
        <w:rPr>
          <w:noProof/>
        </w:rPr>
        <w:drawing>
          <wp:inline distT="0" distB="0" distL="0" distR="0" wp14:anchorId="775084BA" wp14:editId="487E4CF5">
            <wp:extent cx="6120130" cy="3440430"/>
            <wp:effectExtent l="0" t="0" r="0" b="7620"/>
            <wp:docPr id="128334004" name="Picture 10" descr="Overview of survey results: Survey responses 180; Audience Groups 6 (Government 21.7%; Researcher 8.9%; Community organisation 27.2%; Private sector 13.3%; Interested community member 13.9%; Advocate/Advisory Group 15%).&#10;&#10;The PC has a reputation for delivering&#10;high quality, independent advice and&#10;information to governments - 77%. I am satisfied with my engagement with the PC - 55%. PC reports are easy to read and engaging 62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4004" name="Picture 10" descr="Overview of survey results: Survey responses 180; Audience Groups 6 (Government 21.7%; Researcher 8.9%; Community organisation 27.2%; Private sector 13.3%; Interested community member 13.9%; Advocate/Advisory Group 15%).&#10;&#10;The PC has a reputation for delivering&#10;high quality, independent advice and&#10;information to governments - 77%. I am satisfied with my engagement with the PC - 55%. PC reports are easy to read and engaging 62%.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60CD" w14:textId="21F03E3F" w:rsidR="00740E62" w:rsidRDefault="0011265D" w:rsidP="0045117E">
      <w:pPr>
        <w:pStyle w:val="Note"/>
      </w:pPr>
      <w:r>
        <w:t xml:space="preserve">Note: </w:t>
      </w:r>
      <w:r w:rsidR="00740E62" w:rsidRPr="002B66BA">
        <w:t>FY2024-25 performance benchmarks are 80% or more.</w:t>
      </w:r>
    </w:p>
    <w:p w14:paraId="048F3143" w14:textId="6C59CA95" w:rsidR="009B3EFA" w:rsidRDefault="00AC0EDB" w:rsidP="00B26846">
      <w:pPr>
        <w:pStyle w:val="FigureTableHeading"/>
        <w:keepNext w:val="0"/>
        <w:spacing w:before="480" w:after="240"/>
      </w:pPr>
      <w:r w:rsidRPr="00AC0EDB">
        <w:rPr>
          <w:noProof/>
        </w:rPr>
        <w:drawing>
          <wp:inline distT="0" distB="0" distL="0" distR="0" wp14:anchorId="196B1A7E" wp14:editId="4E57DCE1">
            <wp:extent cx="6120130" cy="3502025"/>
            <wp:effectExtent l="0" t="0" r="0" b="3175"/>
            <wp:docPr id="1446688133" name="Picture 5" descr="Comments received 73. &#10;Guidance on sentiment and themes. Sentiment:  Qualitative comments were manually coded positive, neutral or negative.  Themes: Qualitative comments were thematically analysed. Some comments were coded with&#10;multiple themes.&#10;&#10;The top themes were: Engagement, Transparency; Philanthropy; First Nations; Independence; Plain English; Relevance; Competence.&#10;Sentiment: Positive 33%; Neutral 20%; Negative 47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88133" name="Picture 5" descr="Comments received 73. &#10;Guidance on sentiment and themes. Sentiment:  Qualitative comments were manually coded positive, neutral or negative.  Themes: Qualitative comments were thematically analysed. Some comments were coded with&#10;multiple themes.&#10;&#10;The top themes were: Engagement, Transparency; Philanthropy; First Nations; Independence; Plain English; Relevance; Competence.&#10;Sentiment: Positive 33%; Neutral 20%; Negative 47%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C4AAD" w14:textId="77777777" w:rsidR="00D151FE" w:rsidRDefault="00D151FE" w:rsidP="00D151FE">
      <w:pPr>
        <w:pStyle w:val="FigureTableHeading"/>
        <w:keepNext w:val="0"/>
        <w:spacing w:after="240"/>
      </w:pPr>
    </w:p>
    <w:p w14:paraId="59A2511D" w14:textId="77777777" w:rsidR="009E5623" w:rsidRDefault="00F37CA3" w:rsidP="009E5623">
      <w:pPr>
        <w:pStyle w:val="Heading2"/>
        <w:rPr>
          <w:color w:val="265A9A" w:themeColor="background2"/>
        </w:rPr>
      </w:pPr>
      <w:r w:rsidRPr="0097026D">
        <w:rPr>
          <w:color w:val="265A9A" w:themeColor="background2"/>
        </w:rPr>
        <w:lastRenderedPageBreak/>
        <w:t xml:space="preserve">Top </w:t>
      </w:r>
      <w:r w:rsidR="00353E4E" w:rsidRPr="0097026D">
        <w:rPr>
          <w:color w:val="265A9A" w:themeColor="background2"/>
        </w:rPr>
        <w:t xml:space="preserve">4 </w:t>
      </w:r>
      <w:r w:rsidR="00801248" w:rsidRPr="0097026D">
        <w:rPr>
          <w:color w:val="265A9A" w:themeColor="background2"/>
        </w:rPr>
        <w:t>themes</w:t>
      </w:r>
    </w:p>
    <w:tbl>
      <w:tblPr>
        <w:tblStyle w:val="TableGrid"/>
        <w:tblW w:w="9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020"/>
        <w:gridCol w:w="3968"/>
        <w:gridCol w:w="1020"/>
        <w:gridCol w:w="3821"/>
      </w:tblGrid>
      <w:tr w:rsidR="002E3F88" w14:paraId="1A52D897" w14:textId="77777777" w:rsidTr="00925D01">
        <w:tc>
          <w:tcPr>
            <w:tcW w:w="1020" w:type="dxa"/>
            <w:shd w:val="clear" w:color="auto" w:fill="C1E4F0" w:themeFill="text2" w:themeFillTint="66"/>
            <w:vAlign w:val="center"/>
          </w:tcPr>
          <w:p w14:paraId="47C9E040" w14:textId="60F2EC41" w:rsidR="002E3F88" w:rsidRPr="002E3F88" w:rsidRDefault="00EC16A6" w:rsidP="00EC16A6">
            <w:pPr>
              <w:jc w:val="center"/>
            </w:pPr>
            <w:r w:rsidRPr="00EC16A6">
              <w:rPr>
                <w:noProof/>
              </w:rPr>
              <w:drawing>
                <wp:inline distT="0" distB="0" distL="0" distR="0" wp14:anchorId="2F3425B0" wp14:editId="2E705019">
                  <wp:extent cx="312420" cy="312420"/>
                  <wp:effectExtent l="0" t="0" r="0" b="0"/>
                  <wp:docPr id="320916747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1674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right w:val="single" w:sz="48" w:space="0" w:color="FFFFFF" w:themeColor="background1"/>
            </w:tcBorders>
            <w:shd w:val="clear" w:color="auto" w:fill="C1E4F0" w:themeFill="text2" w:themeFillTint="66"/>
          </w:tcPr>
          <w:p w14:paraId="0E157B72" w14:textId="77777777" w:rsidR="002E3F88" w:rsidRPr="002E3F88" w:rsidRDefault="002E3F88" w:rsidP="00D521CB">
            <w:pPr>
              <w:spacing w:before="120"/>
              <w:rPr>
                <w:color w:val="265A9A" w:themeColor="background2"/>
              </w:rPr>
            </w:pPr>
            <w:r w:rsidRPr="002E3F88">
              <w:rPr>
                <w:b/>
                <w:bCs/>
                <w:color w:val="265A9A" w:themeColor="background2"/>
              </w:rPr>
              <w:t xml:space="preserve">Engagement </w:t>
            </w:r>
          </w:p>
          <w:p w14:paraId="6E5D6871" w14:textId="7F0C3077" w:rsidR="002E3F88" w:rsidRPr="00D521CB" w:rsidRDefault="002E3F88" w:rsidP="00D521CB">
            <w:pPr>
              <w:spacing w:after="120"/>
              <w:rPr>
                <w:color w:val="265A9A" w:themeColor="background2"/>
              </w:rPr>
            </w:pPr>
            <w:r w:rsidRPr="002E3F88">
              <w:rPr>
                <w:color w:val="265A9A" w:themeColor="background2"/>
              </w:rPr>
              <w:t>26 mentions</w:t>
            </w:r>
          </w:p>
        </w:tc>
        <w:tc>
          <w:tcPr>
            <w:tcW w:w="1020" w:type="dxa"/>
            <w:tcBorders>
              <w:left w:val="single" w:sz="48" w:space="0" w:color="FFFFFF" w:themeColor="background1"/>
            </w:tcBorders>
            <w:shd w:val="clear" w:color="auto" w:fill="C1E4F0" w:themeFill="text2" w:themeFillTint="66"/>
            <w:vAlign w:val="center"/>
          </w:tcPr>
          <w:p w14:paraId="6888866D" w14:textId="1C913245" w:rsidR="002E3F88" w:rsidRPr="00D521CB" w:rsidRDefault="001674F6" w:rsidP="001674F6">
            <w:pPr>
              <w:jc w:val="center"/>
              <w:rPr>
                <w:color w:val="265A9A" w:themeColor="background2"/>
              </w:rPr>
            </w:pPr>
            <w:r w:rsidRPr="001674F6">
              <w:rPr>
                <w:noProof/>
                <w:color w:val="265A9A" w:themeColor="background2"/>
              </w:rPr>
              <w:drawing>
                <wp:inline distT="0" distB="0" distL="0" distR="0" wp14:anchorId="455859AC" wp14:editId="192EF690">
                  <wp:extent cx="312420" cy="312420"/>
                  <wp:effectExtent l="0" t="0" r="0" b="0"/>
                  <wp:docPr id="217121670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21670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shd w:val="clear" w:color="auto" w:fill="C1E4F0" w:themeFill="text2" w:themeFillTint="66"/>
          </w:tcPr>
          <w:p w14:paraId="1AB17B27" w14:textId="77777777" w:rsidR="00FB7951" w:rsidRPr="00FB7951" w:rsidRDefault="00FB7951" w:rsidP="00D521CB">
            <w:pPr>
              <w:spacing w:before="120"/>
              <w:rPr>
                <w:color w:val="265A9A" w:themeColor="background2"/>
              </w:rPr>
            </w:pPr>
            <w:r w:rsidRPr="00FB7951">
              <w:rPr>
                <w:b/>
                <w:bCs/>
                <w:color w:val="265A9A" w:themeColor="background2"/>
              </w:rPr>
              <w:t xml:space="preserve">Independence </w:t>
            </w:r>
          </w:p>
          <w:p w14:paraId="107CAF04" w14:textId="3D3D8074" w:rsidR="002E3F88" w:rsidRPr="00D521CB" w:rsidRDefault="00FB7951" w:rsidP="00D521CB">
            <w:pPr>
              <w:spacing w:after="120"/>
              <w:rPr>
                <w:color w:val="265A9A" w:themeColor="background2"/>
              </w:rPr>
            </w:pPr>
            <w:r w:rsidRPr="00FB7951">
              <w:rPr>
                <w:color w:val="265A9A" w:themeColor="background2"/>
              </w:rPr>
              <w:t>16 mentions</w:t>
            </w:r>
          </w:p>
        </w:tc>
      </w:tr>
      <w:tr w:rsidR="000469CE" w:rsidRPr="005471CB" w14:paraId="209C7B6C" w14:textId="77777777" w:rsidTr="00D06FE7">
        <w:tc>
          <w:tcPr>
            <w:tcW w:w="4988" w:type="dxa"/>
            <w:gridSpan w:val="2"/>
            <w:tcBorders>
              <w:right w:val="single" w:sz="48" w:space="0" w:color="FFFFFF" w:themeColor="background1"/>
            </w:tcBorders>
            <w:shd w:val="clear" w:color="auto" w:fill="E0F1F7" w:themeFill="text2" w:themeFillTint="33"/>
            <w:tcMar>
              <w:top w:w="113" w:type="dxa"/>
              <w:bottom w:w="113" w:type="dxa"/>
            </w:tcMar>
          </w:tcPr>
          <w:p w14:paraId="7222D059" w14:textId="7C945E22" w:rsidR="000E5A38" w:rsidRPr="000E5A38" w:rsidRDefault="000E5A38" w:rsidP="00A0277A">
            <w:pPr>
              <w:spacing w:before="120" w:after="160" w:line="240" w:lineRule="exact"/>
              <w:ind w:right="57"/>
              <w:rPr>
                <w:sz w:val="18"/>
                <w:szCs w:val="18"/>
              </w:rPr>
            </w:pPr>
            <w:r w:rsidRPr="000E5A38">
              <w:rPr>
                <w:sz w:val="18"/>
                <w:szCs w:val="18"/>
              </w:rPr>
              <w:t xml:space="preserve">“I have found discussions very good and inclusive- felt listened to and that that opinion was valid.” </w:t>
            </w:r>
            <w:r w:rsidRPr="000E5A38">
              <w:rPr>
                <w:i/>
                <w:iCs/>
                <w:sz w:val="18"/>
                <w:szCs w:val="18"/>
              </w:rPr>
              <w:t>(Response</w:t>
            </w:r>
            <w:r w:rsidR="00013653">
              <w:rPr>
                <w:color w:val="265A9A" w:themeColor="background2"/>
              </w:rPr>
              <w:t> </w:t>
            </w:r>
            <w:r w:rsidRPr="000E5A38">
              <w:rPr>
                <w:i/>
                <w:iCs/>
                <w:sz w:val="18"/>
                <w:szCs w:val="18"/>
              </w:rPr>
              <w:t>100, Community org)</w:t>
            </w:r>
          </w:p>
          <w:p w14:paraId="3C9FE8DC" w14:textId="01C75F5F" w:rsidR="000E5A38" w:rsidRPr="000E5A38" w:rsidRDefault="000E5A38" w:rsidP="00A0277A">
            <w:pPr>
              <w:spacing w:before="120" w:after="160" w:line="240" w:lineRule="exact"/>
              <w:ind w:right="57"/>
              <w:rPr>
                <w:sz w:val="18"/>
                <w:szCs w:val="18"/>
              </w:rPr>
            </w:pPr>
            <w:r w:rsidRPr="000E5A38">
              <w:rPr>
                <w:sz w:val="18"/>
                <w:szCs w:val="18"/>
              </w:rPr>
              <w:t xml:space="preserve">“The PC is an important </w:t>
            </w:r>
            <w:proofErr w:type="spellStart"/>
            <w:r w:rsidRPr="000E5A38">
              <w:rPr>
                <w:sz w:val="18"/>
                <w:szCs w:val="18"/>
              </w:rPr>
              <w:t>indepdent</w:t>
            </w:r>
            <w:proofErr w:type="spellEnd"/>
            <w:r w:rsidRPr="000E5A38">
              <w:rPr>
                <w:sz w:val="18"/>
                <w:szCs w:val="18"/>
              </w:rPr>
              <w:t xml:space="preserve"> [sic] policy advising institution. However it needs to come into the 21st century and undertake more and better engagement with industry and consumers. Calling for written submissions and holding a few roundtables doesn't cut it </w:t>
            </w:r>
            <w:proofErr w:type="gramStart"/>
            <w:r w:rsidRPr="000E5A38">
              <w:rPr>
                <w:sz w:val="18"/>
                <w:szCs w:val="18"/>
              </w:rPr>
              <w:t>any more</w:t>
            </w:r>
            <w:proofErr w:type="gramEnd"/>
            <w:r w:rsidRPr="000E5A38">
              <w:rPr>
                <w:sz w:val="18"/>
                <w:szCs w:val="18"/>
              </w:rPr>
              <w:t xml:space="preserve">. Regular and meaningful </w:t>
            </w:r>
            <w:proofErr w:type="spellStart"/>
            <w:r w:rsidRPr="000E5A38">
              <w:rPr>
                <w:sz w:val="18"/>
                <w:szCs w:val="18"/>
              </w:rPr>
              <w:t>enagement</w:t>
            </w:r>
            <w:proofErr w:type="spellEnd"/>
            <w:r w:rsidRPr="000E5A38">
              <w:rPr>
                <w:sz w:val="18"/>
                <w:szCs w:val="18"/>
              </w:rPr>
              <w:t xml:space="preserve"> [sic] is necessary for policy development... Commissioners need to be more </w:t>
            </w:r>
            <w:proofErr w:type="spellStart"/>
            <w:r w:rsidRPr="000E5A38">
              <w:rPr>
                <w:sz w:val="18"/>
                <w:szCs w:val="18"/>
              </w:rPr>
              <w:t>visbile</w:t>
            </w:r>
            <w:proofErr w:type="spellEnd"/>
            <w:r w:rsidRPr="000E5A38">
              <w:rPr>
                <w:sz w:val="18"/>
                <w:szCs w:val="18"/>
              </w:rPr>
              <w:t xml:space="preserve"> [sic] and get out and about”. </w:t>
            </w:r>
            <w:r w:rsidRPr="000E5A38">
              <w:rPr>
                <w:i/>
                <w:iCs/>
                <w:sz w:val="18"/>
                <w:szCs w:val="18"/>
              </w:rPr>
              <w:t>(Response 54, Government)</w:t>
            </w:r>
            <w:r w:rsidRPr="000E5A38">
              <w:rPr>
                <w:sz w:val="18"/>
                <w:szCs w:val="18"/>
              </w:rPr>
              <w:t> </w:t>
            </w:r>
          </w:p>
          <w:p w14:paraId="37D0EB8A" w14:textId="16CDF128" w:rsidR="000469CE" w:rsidRPr="00537FC6" w:rsidRDefault="000E5A38" w:rsidP="00A0277A">
            <w:pPr>
              <w:spacing w:before="120" w:after="160" w:line="240" w:lineRule="exact"/>
              <w:ind w:right="57"/>
              <w:rPr>
                <w:sz w:val="18"/>
                <w:szCs w:val="18"/>
              </w:rPr>
            </w:pPr>
            <w:r w:rsidRPr="000E5A38">
              <w:rPr>
                <w:sz w:val="18"/>
                <w:szCs w:val="18"/>
              </w:rPr>
              <w:t xml:space="preserve">“It would be useful to create institutional arrangements to foster connections between specific streams of PC work, relevant researchers and policy areas of the APS. An example could be a communities of practice around specific techniques or policy areas.” </w:t>
            </w:r>
            <w:r w:rsidR="00482CB5">
              <w:rPr>
                <w:sz w:val="18"/>
                <w:szCs w:val="18"/>
              </w:rPr>
              <w:br/>
            </w:r>
            <w:r w:rsidRPr="000E5A38">
              <w:rPr>
                <w:i/>
                <w:iCs/>
                <w:sz w:val="18"/>
                <w:szCs w:val="18"/>
              </w:rPr>
              <w:t>(Response 26, Researcher)</w:t>
            </w:r>
          </w:p>
        </w:tc>
        <w:tc>
          <w:tcPr>
            <w:tcW w:w="4841" w:type="dxa"/>
            <w:gridSpan w:val="2"/>
            <w:tcBorders>
              <w:left w:val="single" w:sz="48" w:space="0" w:color="FFFFFF" w:themeColor="background1"/>
            </w:tcBorders>
            <w:shd w:val="clear" w:color="auto" w:fill="E0F1F7" w:themeFill="text2" w:themeFillTint="33"/>
            <w:tcMar>
              <w:top w:w="113" w:type="dxa"/>
              <w:bottom w:w="113" w:type="dxa"/>
            </w:tcMar>
          </w:tcPr>
          <w:p w14:paraId="160F617B" w14:textId="77777777" w:rsidR="001040FA" w:rsidRPr="001040FA" w:rsidRDefault="001040FA" w:rsidP="00A0277A">
            <w:pPr>
              <w:spacing w:before="120" w:after="160" w:line="240" w:lineRule="exact"/>
              <w:ind w:left="57" w:right="57"/>
              <w:rPr>
                <w:sz w:val="18"/>
                <w:szCs w:val="18"/>
              </w:rPr>
            </w:pPr>
            <w:r w:rsidRPr="001040FA">
              <w:rPr>
                <w:sz w:val="18"/>
                <w:szCs w:val="18"/>
              </w:rPr>
              <w:t xml:space="preserve">“The Productivity Commission often lacks a degree of independence, in practice, from Government authorities and political priorities.” </w:t>
            </w:r>
            <w:r w:rsidRPr="001040FA">
              <w:rPr>
                <w:i/>
                <w:iCs/>
                <w:sz w:val="18"/>
                <w:szCs w:val="18"/>
              </w:rPr>
              <w:t xml:space="preserve">(Response 39, Researcher) </w:t>
            </w:r>
          </w:p>
          <w:p w14:paraId="21B98713" w14:textId="77777777" w:rsidR="001040FA" w:rsidRPr="001040FA" w:rsidRDefault="001040FA" w:rsidP="00A0277A">
            <w:pPr>
              <w:spacing w:before="120" w:after="160" w:line="240" w:lineRule="exact"/>
              <w:ind w:left="57" w:right="57"/>
              <w:rPr>
                <w:sz w:val="18"/>
                <w:szCs w:val="18"/>
              </w:rPr>
            </w:pPr>
            <w:r w:rsidRPr="001040FA">
              <w:rPr>
                <w:sz w:val="18"/>
                <w:szCs w:val="18"/>
              </w:rPr>
              <w:t>“</w:t>
            </w:r>
            <w:proofErr w:type="gramStart"/>
            <w:r w:rsidRPr="001040FA">
              <w:rPr>
                <w:sz w:val="18"/>
                <w:szCs w:val="18"/>
              </w:rPr>
              <w:t>the</w:t>
            </w:r>
            <w:proofErr w:type="gramEnd"/>
            <w:r w:rsidRPr="001040FA">
              <w:rPr>
                <w:sz w:val="18"/>
                <w:szCs w:val="18"/>
              </w:rPr>
              <w:t xml:space="preserve"> [sic] information is always bias [sic] an [sic] does not take into consideration all sectors”. </w:t>
            </w:r>
            <w:r w:rsidRPr="001040FA">
              <w:rPr>
                <w:i/>
                <w:iCs/>
                <w:sz w:val="18"/>
                <w:szCs w:val="18"/>
              </w:rPr>
              <w:t>(Response 79, Private sector) </w:t>
            </w:r>
          </w:p>
          <w:p w14:paraId="54176577" w14:textId="74D47971" w:rsidR="000469CE" w:rsidRPr="005471CB" w:rsidRDefault="001040FA" w:rsidP="00A0277A">
            <w:pPr>
              <w:spacing w:before="120" w:after="160" w:line="240" w:lineRule="exact"/>
              <w:ind w:left="57" w:right="57"/>
              <w:rPr>
                <w:sz w:val="18"/>
                <w:szCs w:val="18"/>
              </w:rPr>
            </w:pPr>
            <w:r w:rsidRPr="001040FA">
              <w:rPr>
                <w:sz w:val="18"/>
                <w:szCs w:val="18"/>
                <w:lang w:val="en-US"/>
              </w:rPr>
              <w:t>“</w:t>
            </w:r>
            <w:r w:rsidRPr="001040FA">
              <w:rPr>
                <w:spacing w:val="2"/>
                <w:sz w:val="18"/>
                <w:szCs w:val="18"/>
                <w:lang w:val="en-US"/>
              </w:rPr>
              <w:t xml:space="preserve">We welcome the broader focus that the PC has taken in recent years, which better reflects the wide range of factors in the lives of Australians that impact Australia's productivity.” </w:t>
            </w:r>
            <w:r w:rsidR="00482CB5" w:rsidRPr="00482CB5">
              <w:rPr>
                <w:spacing w:val="2"/>
                <w:sz w:val="18"/>
                <w:szCs w:val="18"/>
                <w:lang w:val="en-US"/>
              </w:rPr>
              <w:br/>
            </w:r>
            <w:r w:rsidRPr="001040FA">
              <w:rPr>
                <w:i/>
                <w:iCs/>
                <w:sz w:val="18"/>
                <w:szCs w:val="18"/>
                <w:lang w:val="en-US"/>
              </w:rPr>
              <w:t>(Response 128, Advocate/Advisory Group)</w:t>
            </w:r>
          </w:p>
        </w:tc>
      </w:tr>
    </w:tbl>
    <w:p w14:paraId="7EBA72AB" w14:textId="77777777" w:rsidR="00DE772E" w:rsidRPr="00CD2251" w:rsidRDefault="00DE772E" w:rsidP="00CD2251">
      <w:pPr>
        <w:spacing w:after="0"/>
        <w:rPr>
          <w:sz w:val="8"/>
          <w:szCs w:val="8"/>
        </w:rPr>
      </w:pPr>
    </w:p>
    <w:tbl>
      <w:tblPr>
        <w:tblStyle w:val="TableGrid"/>
        <w:tblW w:w="9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020"/>
        <w:gridCol w:w="3968"/>
        <w:gridCol w:w="1020"/>
        <w:gridCol w:w="3821"/>
      </w:tblGrid>
      <w:tr w:rsidR="00CD2251" w14:paraId="2F9A8716" w14:textId="77777777">
        <w:tc>
          <w:tcPr>
            <w:tcW w:w="1020" w:type="dxa"/>
            <w:shd w:val="clear" w:color="auto" w:fill="C1E4F0" w:themeFill="text2" w:themeFillTint="66"/>
            <w:vAlign w:val="center"/>
          </w:tcPr>
          <w:p w14:paraId="473155E3" w14:textId="60B73099" w:rsidR="00CD2251" w:rsidRPr="002E3F88" w:rsidRDefault="00C208A8">
            <w:pPr>
              <w:jc w:val="center"/>
            </w:pPr>
            <w:r w:rsidRPr="00C208A8">
              <w:rPr>
                <w:noProof/>
              </w:rPr>
              <w:drawing>
                <wp:inline distT="0" distB="0" distL="0" distR="0" wp14:anchorId="3C9F1478" wp14:editId="04D151FE">
                  <wp:extent cx="312420" cy="312420"/>
                  <wp:effectExtent l="0" t="0" r="0" b="0"/>
                  <wp:docPr id="2015898681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898681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right w:val="single" w:sz="48" w:space="0" w:color="FFFFFF" w:themeColor="background1"/>
            </w:tcBorders>
            <w:shd w:val="clear" w:color="auto" w:fill="C1E4F0" w:themeFill="text2" w:themeFillTint="66"/>
          </w:tcPr>
          <w:p w14:paraId="44EBEFEE" w14:textId="77777777" w:rsidR="00A62E2D" w:rsidRPr="00A62E2D" w:rsidRDefault="00A62E2D" w:rsidP="00A62E2D">
            <w:pPr>
              <w:spacing w:before="120"/>
              <w:rPr>
                <w:b/>
                <w:bCs/>
                <w:color w:val="265A9A" w:themeColor="background2"/>
              </w:rPr>
            </w:pPr>
            <w:r w:rsidRPr="00A62E2D">
              <w:rPr>
                <w:b/>
                <w:bCs/>
                <w:color w:val="265A9A" w:themeColor="background2"/>
              </w:rPr>
              <w:t>Transparency</w:t>
            </w:r>
          </w:p>
          <w:p w14:paraId="2AA45B20" w14:textId="0FA78A34" w:rsidR="00CD2251" w:rsidRPr="00A62E2D" w:rsidRDefault="00A62E2D" w:rsidP="00A62E2D">
            <w:pPr>
              <w:spacing w:after="120"/>
              <w:rPr>
                <w:b/>
                <w:bCs/>
                <w:color w:val="265A9A" w:themeColor="background2"/>
              </w:rPr>
            </w:pPr>
            <w:r w:rsidRPr="00A62E2D">
              <w:rPr>
                <w:color w:val="265A9A" w:themeColor="background2"/>
              </w:rPr>
              <w:t>15 mentions</w:t>
            </w:r>
          </w:p>
        </w:tc>
        <w:tc>
          <w:tcPr>
            <w:tcW w:w="1020" w:type="dxa"/>
            <w:tcBorders>
              <w:left w:val="single" w:sz="48" w:space="0" w:color="FFFFFF" w:themeColor="background1"/>
            </w:tcBorders>
            <w:shd w:val="clear" w:color="auto" w:fill="C1E4F0" w:themeFill="text2" w:themeFillTint="66"/>
            <w:vAlign w:val="center"/>
          </w:tcPr>
          <w:p w14:paraId="7E489BCF" w14:textId="59AE8671" w:rsidR="00CD2251" w:rsidRPr="00D521CB" w:rsidRDefault="00514F55">
            <w:pPr>
              <w:jc w:val="center"/>
              <w:rPr>
                <w:color w:val="265A9A" w:themeColor="background2"/>
              </w:rPr>
            </w:pPr>
            <w:r w:rsidRPr="00514F55">
              <w:rPr>
                <w:noProof/>
                <w:color w:val="265A9A" w:themeColor="background2"/>
              </w:rPr>
              <w:drawing>
                <wp:inline distT="0" distB="0" distL="0" distR="0" wp14:anchorId="17A45021" wp14:editId="65057415">
                  <wp:extent cx="312420" cy="312420"/>
                  <wp:effectExtent l="0" t="0" r="0" b="0"/>
                  <wp:docPr id="1927427729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427729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shd w:val="clear" w:color="auto" w:fill="C1E4F0" w:themeFill="text2" w:themeFillTint="66"/>
          </w:tcPr>
          <w:p w14:paraId="21E03A94" w14:textId="77777777" w:rsidR="000F5C5F" w:rsidRPr="000F5C5F" w:rsidRDefault="000F5C5F" w:rsidP="000F5C5F">
            <w:pPr>
              <w:spacing w:before="120"/>
              <w:rPr>
                <w:b/>
                <w:bCs/>
                <w:color w:val="265A9A" w:themeColor="background2"/>
              </w:rPr>
            </w:pPr>
            <w:r w:rsidRPr="000F5C5F">
              <w:rPr>
                <w:b/>
                <w:bCs/>
                <w:color w:val="265A9A" w:themeColor="background2"/>
              </w:rPr>
              <w:t>Plain English</w:t>
            </w:r>
          </w:p>
          <w:p w14:paraId="6971035A" w14:textId="7FA12638" w:rsidR="00CD2251" w:rsidRPr="00D521CB" w:rsidRDefault="000F5C5F">
            <w:pPr>
              <w:spacing w:after="120"/>
              <w:rPr>
                <w:color w:val="265A9A" w:themeColor="background2"/>
              </w:rPr>
            </w:pPr>
            <w:r w:rsidRPr="000F5C5F">
              <w:rPr>
                <w:color w:val="265A9A" w:themeColor="background2"/>
              </w:rPr>
              <w:t>12 mentions</w:t>
            </w:r>
          </w:p>
        </w:tc>
      </w:tr>
      <w:tr w:rsidR="00CD2251" w:rsidRPr="005471CB" w14:paraId="41968E07" w14:textId="77777777">
        <w:tc>
          <w:tcPr>
            <w:tcW w:w="4988" w:type="dxa"/>
            <w:gridSpan w:val="2"/>
            <w:tcBorders>
              <w:right w:val="single" w:sz="48" w:space="0" w:color="FFFFFF" w:themeColor="background1"/>
            </w:tcBorders>
            <w:shd w:val="clear" w:color="auto" w:fill="E0F1F7" w:themeFill="text2" w:themeFillTint="33"/>
            <w:tcMar>
              <w:top w:w="113" w:type="dxa"/>
              <w:bottom w:w="113" w:type="dxa"/>
            </w:tcMar>
          </w:tcPr>
          <w:p w14:paraId="2E7BFA76" w14:textId="77777777" w:rsidR="009E5659" w:rsidRPr="009E5659" w:rsidRDefault="009E5659" w:rsidP="00B36DB4">
            <w:pPr>
              <w:spacing w:before="120" w:after="160" w:line="240" w:lineRule="exact"/>
              <w:ind w:right="57"/>
              <w:rPr>
                <w:sz w:val="18"/>
                <w:szCs w:val="18"/>
              </w:rPr>
            </w:pPr>
            <w:r w:rsidRPr="009E5659">
              <w:rPr>
                <w:sz w:val="18"/>
                <w:szCs w:val="18"/>
              </w:rPr>
              <w:t>“Greater transparency around the methodology around assessment of progress in inquiry reports”.</w:t>
            </w:r>
            <w:r w:rsidRPr="009E5659">
              <w:rPr>
                <w:sz w:val="18"/>
                <w:szCs w:val="18"/>
              </w:rPr>
              <w:br/>
            </w:r>
            <w:r w:rsidRPr="009E5659">
              <w:rPr>
                <w:i/>
                <w:iCs/>
                <w:sz w:val="18"/>
                <w:szCs w:val="18"/>
              </w:rPr>
              <w:t>(Response 107, Government)</w:t>
            </w:r>
          </w:p>
          <w:p w14:paraId="654445CD" w14:textId="77777777" w:rsidR="009E5659" w:rsidRPr="009E5659" w:rsidRDefault="009E5659" w:rsidP="00B36DB4">
            <w:pPr>
              <w:spacing w:before="120" w:after="160" w:line="240" w:lineRule="exact"/>
              <w:ind w:right="57"/>
              <w:rPr>
                <w:sz w:val="18"/>
                <w:szCs w:val="18"/>
              </w:rPr>
            </w:pPr>
            <w:r w:rsidRPr="009E5659">
              <w:rPr>
                <w:sz w:val="18"/>
                <w:szCs w:val="18"/>
              </w:rPr>
              <w:t xml:space="preserve">“I appreciate the hard work that the PC Commission [sic] is undertaking to understand government policy. However, I believe that sometimes its methodologies are questionable and do not adequately reflect the full picture”. </w:t>
            </w:r>
            <w:r w:rsidRPr="009E5659">
              <w:rPr>
                <w:i/>
                <w:iCs/>
                <w:sz w:val="18"/>
                <w:szCs w:val="18"/>
              </w:rPr>
              <w:t>(Response 32, Government) </w:t>
            </w:r>
          </w:p>
          <w:p w14:paraId="02563C6C" w14:textId="7869786F" w:rsidR="00CD2251" w:rsidRPr="00537FC6" w:rsidRDefault="009E5659" w:rsidP="00B36DB4">
            <w:pPr>
              <w:spacing w:before="120" w:after="160" w:line="240" w:lineRule="exact"/>
              <w:ind w:right="57"/>
              <w:rPr>
                <w:sz w:val="18"/>
                <w:szCs w:val="18"/>
              </w:rPr>
            </w:pPr>
            <w:r w:rsidRPr="009E5659">
              <w:rPr>
                <w:i/>
                <w:iCs/>
                <w:sz w:val="18"/>
                <w:szCs w:val="18"/>
              </w:rPr>
              <w:t>“</w:t>
            </w:r>
            <w:r w:rsidRPr="009E5659">
              <w:rPr>
                <w:sz w:val="18"/>
                <w:szCs w:val="18"/>
                <w:lang w:val="en-US"/>
              </w:rPr>
              <w:t xml:space="preserve">Suggest that PC has a sector </w:t>
            </w:r>
            <w:proofErr w:type="spellStart"/>
            <w:r w:rsidRPr="009E5659">
              <w:rPr>
                <w:sz w:val="18"/>
                <w:szCs w:val="18"/>
                <w:lang w:val="en-US"/>
              </w:rPr>
              <w:t>represetative</w:t>
            </w:r>
            <w:proofErr w:type="spellEnd"/>
            <w:r w:rsidRPr="009E5659">
              <w:rPr>
                <w:sz w:val="18"/>
                <w:szCs w:val="18"/>
                <w:lang w:val="en-US"/>
              </w:rPr>
              <w:t xml:space="preserve"> [sic] on any review to ensure fundamentals are understood and advanced proactively and well ahead of community consultation.” (</w:t>
            </w:r>
            <w:r w:rsidRPr="009E5659">
              <w:rPr>
                <w:i/>
                <w:iCs/>
                <w:sz w:val="18"/>
                <w:szCs w:val="18"/>
                <w:lang w:val="en-US"/>
              </w:rPr>
              <w:t>Response 92, Government)</w:t>
            </w:r>
          </w:p>
        </w:tc>
        <w:tc>
          <w:tcPr>
            <w:tcW w:w="4841" w:type="dxa"/>
            <w:gridSpan w:val="2"/>
            <w:tcBorders>
              <w:left w:val="single" w:sz="48" w:space="0" w:color="FFFFFF" w:themeColor="background1"/>
            </w:tcBorders>
            <w:shd w:val="clear" w:color="auto" w:fill="E0F1F7" w:themeFill="text2" w:themeFillTint="33"/>
            <w:tcMar>
              <w:top w:w="113" w:type="dxa"/>
              <w:bottom w:w="113" w:type="dxa"/>
            </w:tcMar>
          </w:tcPr>
          <w:p w14:paraId="77AB61CD" w14:textId="77777777" w:rsidR="0093250F" w:rsidRPr="0093250F" w:rsidRDefault="0093250F" w:rsidP="00B36DB4">
            <w:pPr>
              <w:spacing w:before="120" w:after="160" w:line="240" w:lineRule="exact"/>
              <w:ind w:left="57" w:right="57"/>
              <w:rPr>
                <w:sz w:val="18"/>
                <w:szCs w:val="18"/>
              </w:rPr>
            </w:pPr>
            <w:r w:rsidRPr="0093250F">
              <w:rPr>
                <w:sz w:val="18"/>
                <w:szCs w:val="18"/>
              </w:rPr>
              <w:t>“</w:t>
            </w:r>
            <w:r w:rsidRPr="0093250F">
              <w:rPr>
                <w:sz w:val="18"/>
                <w:szCs w:val="18"/>
                <w:lang w:val="en-US"/>
              </w:rPr>
              <w:t xml:space="preserve">Please continue with the use of the easy-to-read formats. These have helped me to share the Closing the Gap learnings with my community.” </w:t>
            </w:r>
            <w:r w:rsidRPr="0093250F">
              <w:rPr>
                <w:i/>
                <w:iCs/>
                <w:sz w:val="18"/>
                <w:szCs w:val="18"/>
                <w:lang w:val="en-US"/>
              </w:rPr>
              <w:t>(Response 56, Community member)</w:t>
            </w:r>
          </w:p>
          <w:p w14:paraId="04D3F11C" w14:textId="77777777" w:rsidR="0093250F" w:rsidRPr="0093250F" w:rsidRDefault="0093250F" w:rsidP="00B36DB4">
            <w:pPr>
              <w:spacing w:before="120" w:after="160" w:line="240" w:lineRule="exact"/>
              <w:ind w:left="57" w:right="57"/>
              <w:rPr>
                <w:sz w:val="18"/>
                <w:szCs w:val="18"/>
              </w:rPr>
            </w:pPr>
            <w:r w:rsidRPr="0093250F">
              <w:rPr>
                <w:sz w:val="18"/>
                <w:szCs w:val="18"/>
              </w:rPr>
              <w:t xml:space="preserve">“A separate document summarising only the key findings/recs to support responses would save lots of time - I know all advocates spend time transcribing these points to a separate doc for their own use”. </w:t>
            </w:r>
            <w:r w:rsidRPr="0093250F">
              <w:rPr>
                <w:i/>
                <w:iCs/>
                <w:sz w:val="18"/>
                <w:szCs w:val="18"/>
              </w:rPr>
              <w:t xml:space="preserve">(Response 137, Advocate/Advisory Group) </w:t>
            </w:r>
          </w:p>
          <w:p w14:paraId="5255D343" w14:textId="4C27B1CE" w:rsidR="00CD2251" w:rsidRPr="005471CB" w:rsidRDefault="0093250F" w:rsidP="00B36DB4">
            <w:pPr>
              <w:spacing w:before="120" w:after="160" w:line="240" w:lineRule="exact"/>
              <w:ind w:left="57" w:right="57"/>
              <w:rPr>
                <w:sz w:val="18"/>
                <w:szCs w:val="18"/>
              </w:rPr>
            </w:pPr>
            <w:proofErr w:type="gramStart"/>
            <w:r w:rsidRPr="0093250F">
              <w:rPr>
                <w:sz w:val="18"/>
                <w:szCs w:val="18"/>
              </w:rPr>
              <w:t>”Please</w:t>
            </w:r>
            <w:proofErr w:type="gramEnd"/>
            <w:r w:rsidRPr="0093250F">
              <w:rPr>
                <w:sz w:val="18"/>
                <w:szCs w:val="18"/>
              </w:rPr>
              <w:t xml:space="preserve"> keep the videos coming, video usually presents a lower cognitive barrier than text. A companion 'highlights reel video' for a long webinar [sic] be useful. A single question live poll every now and then (on </w:t>
            </w:r>
            <w:proofErr w:type="spellStart"/>
            <w:proofErr w:type="gramStart"/>
            <w:r w:rsidRPr="0093250F">
              <w:rPr>
                <w:sz w:val="18"/>
                <w:szCs w:val="18"/>
              </w:rPr>
              <w:t>linkedin</w:t>
            </w:r>
            <w:proofErr w:type="spellEnd"/>
            <w:r w:rsidRPr="0093250F">
              <w:rPr>
                <w:sz w:val="18"/>
                <w:szCs w:val="18"/>
              </w:rPr>
              <w:t xml:space="preserve"> ?</w:t>
            </w:r>
            <w:proofErr w:type="gramEnd"/>
            <w:r w:rsidRPr="0093250F">
              <w:rPr>
                <w:sz w:val="18"/>
                <w:szCs w:val="18"/>
              </w:rPr>
              <w:t xml:space="preserve">) be good to see how accurate the info we've consumed / absorbed / retained.” </w:t>
            </w:r>
            <w:r w:rsidRPr="0093250F">
              <w:rPr>
                <w:i/>
                <w:iCs/>
                <w:sz w:val="18"/>
                <w:szCs w:val="18"/>
              </w:rPr>
              <w:t>(Response 113, Community member) </w:t>
            </w:r>
          </w:p>
        </w:tc>
      </w:tr>
    </w:tbl>
    <w:p w14:paraId="2B95C624" w14:textId="2F826CFC" w:rsidR="00B269A6" w:rsidRDefault="00B269A6" w:rsidP="00655A35">
      <w:pPr>
        <w:pStyle w:val="BodyText"/>
      </w:pPr>
    </w:p>
    <w:sectPr w:rsidR="00B269A6" w:rsidSect="0097026D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276" w:right="1134" w:bottom="1701" w:left="1134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B3B9C" w14:textId="77777777" w:rsidR="00CA122A" w:rsidRDefault="00CA122A" w:rsidP="00BF738A">
      <w:pPr>
        <w:spacing w:after="0" w:line="240" w:lineRule="auto"/>
      </w:pPr>
      <w:r>
        <w:separator/>
      </w:r>
    </w:p>
  </w:endnote>
  <w:endnote w:type="continuationSeparator" w:id="0">
    <w:p w14:paraId="1CF40C1C" w14:textId="77777777" w:rsidR="00CA122A" w:rsidRDefault="00CA122A" w:rsidP="00BF738A">
      <w:pPr>
        <w:spacing w:after="0" w:line="240" w:lineRule="auto"/>
      </w:pPr>
      <w:r>
        <w:continuationSeparator/>
      </w:r>
    </w:p>
  </w:endnote>
  <w:endnote w:type="continuationNotice" w:id="1">
    <w:p w14:paraId="4E1F5638" w14:textId="77777777" w:rsidR="00CA122A" w:rsidRDefault="00CA1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04ACE" w14:textId="6F87FE4C" w:rsidR="00BF738A" w:rsidRPr="00320931" w:rsidRDefault="0068697A" w:rsidP="00633D05">
    <w:pPr>
      <w:tabs>
        <w:tab w:val="left" w:pos="2552"/>
        <w:tab w:val="right" w:pos="9072"/>
      </w:tabs>
      <w:spacing w:after="0" w:line="260" w:lineRule="atLeast"/>
      <w:ind w:left="142" w:right="-427"/>
      <w:jc w:val="right"/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</w:pPr>
    <w:r w:rsidRPr="00320931"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  <w:fldChar w:fldCharType="begin"/>
    </w:r>
    <w:r w:rsidRPr="00320931"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  <w:instrText xml:space="preserve"> PAGE   \* MERGEFORMAT </w:instrText>
    </w:r>
    <w:r w:rsidRPr="00320931"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  <w:fldChar w:fldCharType="separate"/>
    </w:r>
    <w:r w:rsidRPr="00320931">
      <w:rPr>
        <w:rFonts w:ascii="Arial" w:eastAsia="Times New Roman" w:hAnsi="Arial" w:cs="Arial"/>
        <w:b/>
        <w:bCs/>
        <w:noProof/>
        <w:kern w:val="16"/>
        <w:sz w:val="20"/>
        <w:szCs w:val="20"/>
        <w:lang w:eastAsia="en-AU"/>
      </w:rPr>
      <w:t>1</w:t>
    </w:r>
    <w:r w:rsidRPr="00320931">
      <w:rPr>
        <w:rFonts w:ascii="Arial" w:eastAsia="Times New Roman" w:hAnsi="Arial" w:cs="Arial"/>
        <w:b/>
        <w:bCs/>
        <w:noProof/>
        <w:kern w:val="16"/>
        <w:sz w:val="20"/>
        <w:szCs w:val="20"/>
        <w:lang w:eastAsia="en-A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4E7D" w14:textId="6088E5A3" w:rsidR="00633D05" w:rsidRPr="00320931" w:rsidRDefault="00320931" w:rsidP="00320931">
    <w:pPr>
      <w:tabs>
        <w:tab w:val="left" w:pos="2552"/>
        <w:tab w:val="right" w:pos="9072"/>
      </w:tabs>
      <w:spacing w:after="0" w:line="260" w:lineRule="atLeast"/>
      <w:ind w:left="142" w:right="-427"/>
      <w:jc w:val="right"/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</w:pPr>
    <w:r w:rsidRPr="00320931"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  <w:fldChar w:fldCharType="begin"/>
    </w:r>
    <w:r w:rsidRPr="00320931"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  <w:instrText xml:space="preserve"> PAGE   \* MERGEFORMAT </w:instrText>
    </w:r>
    <w:r w:rsidRPr="00320931"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  <w:fldChar w:fldCharType="separate"/>
    </w:r>
    <w:r>
      <w:rPr>
        <w:rFonts w:ascii="Arial" w:eastAsia="Times New Roman" w:hAnsi="Arial" w:cs="Arial"/>
        <w:b/>
        <w:bCs/>
        <w:kern w:val="16"/>
        <w:sz w:val="20"/>
        <w:szCs w:val="20"/>
        <w:lang w:eastAsia="en-AU"/>
      </w:rPr>
      <w:t>2</w:t>
    </w:r>
    <w:r w:rsidRPr="00320931">
      <w:rPr>
        <w:rFonts w:ascii="Arial" w:eastAsia="Times New Roman" w:hAnsi="Arial" w:cs="Arial"/>
        <w:b/>
        <w:bCs/>
        <w:noProof/>
        <w:kern w:val="16"/>
        <w:sz w:val="20"/>
        <w:szCs w:val="20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8FD11" w14:textId="77777777" w:rsidR="00CA122A" w:rsidRDefault="00CA122A" w:rsidP="00BF738A">
      <w:pPr>
        <w:spacing w:after="0" w:line="240" w:lineRule="auto"/>
      </w:pPr>
      <w:r>
        <w:separator/>
      </w:r>
    </w:p>
  </w:footnote>
  <w:footnote w:type="continuationSeparator" w:id="0">
    <w:p w14:paraId="5F616057" w14:textId="77777777" w:rsidR="00CA122A" w:rsidRDefault="00CA122A" w:rsidP="00BF738A">
      <w:pPr>
        <w:spacing w:after="0" w:line="240" w:lineRule="auto"/>
      </w:pPr>
      <w:r>
        <w:continuationSeparator/>
      </w:r>
    </w:p>
  </w:footnote>
  <w:footnote w:type="continuationNotice" w:id="1">
    <w:p w14:paraId="327A7EDD" w14:textId="77777777" w:rsidR="00CA122A" w:rsidRDefault="00CA1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C8500" w14:textId="7FAEDF59" w:rsidR="00BF738A" w:rsidRPr="00ED20F1" w:rsidRDefault="00824D73" w:rsidP="00ED20F1">
    <w:pPr>
      <w:pStyle w:val="Header-KeylineRight"/>
    </w:pPr>
    <w:fldSimple w:instr="STYLEREF  &quot;Heading 1&quot;  \* MERGEFORMAT">
      <w:r w:rsidR="007D3A1D">
        <w:rPr>
          <w:noProof/>
        </w:rPr>
        <w:t>Annual Stakeholder Survey 2023-24 results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C107" w14:textId="79F78F10" w:rsidR="00C436C2" w:rsidRDefault="00C436C2">
    <w:pPr>
      <w:pStyle w:val="Header"/>
    </w:pPr>
    <w:r w:rsidRPr="00B42D01">
      <w:rPr>
        <w:rFonts w:ascii="Arial Black" w:hAnsi="Arial Black"/>
        <w:b/>
        <w:noProof/>
        <w:color w:val="265A9A" w:themeColor="background2"/>
        <w:sz w:val="36"/>
        <w:szCs w:val="36"/>
        <w:highlight w:val="yellow"/>
      </w:rPr>
      <w:drawing>
        <wp:anchor distT="0" distB="0" distL="114300" distR="114300" simplePos="0" relativeHeight="251658240" behindDoc="0" locked="0" layoutInCell="1" allowOverlap="1" wp14:anchorId="29384E4D" wp14:editId="68DE6822">
          <wp:simplePos x="0" y="0"/>
          <wp:positionH relativeFrom="page">
            <wp:posOffset>-22860</wp:posOffset>
          </wp:positionH>
          <wp:positionV relativeFrom="page">
            <wp:posOffset>10160</wp:posOffset>
          </wp:positionV>
          <wp:extent cx="7596000" cy="1173843"/>
          <wp:effectExtent l="0" t="0" r="5080" b="7620"/>
          <wp:wrapNone/>
          <wp:docPr id="5" name="Picture 5" descr="Australian Government Productivi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ustralian Government Productivity Commission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2" r="2793"/>
                  <a:stretch/>
                </pic:blipFill>
                <pic:spPr bwMode="auto">
                  <a:xfrm>
                    <a:off x="0" y="0"/>
                    <a:ext cx="7596000" cy="1173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04ACB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316FB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E20ED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592E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E6C9D"/>
    <w:multiLevelType w:val="multilevel"/>
    <w:tmpl w:val="FF8069A4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»"/>
      <w:lvlJc w:val="left"/>
      <w:pPr>
        <w:ind w:left="907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907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211"/>
        </w:tabs>
        <w:ind w:left="2041" w:hanging="227"/>
      </w:pPr>
      <w:rPr>
        <w:rFonts w:ascii="Arial" w:hAnsi="Arial" w:hint="default"/>
      </w:rPr>
    </w:lvl>
  </w:abstractNum>
  <w:abstractNum w:abstractNumId="5" w15:restartNumberingAfterBreak="0">
    <w:nsid w:val="3BA31FB5"/>
    <w:multiLevelType w:val="hybridMultilevel"/>
    <w:tmpl w:val="30464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426C"/>
    <w:multiLevelType w:val="hybridMultilevel"/>
    <w:tmpl w:val="D0D052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D5342B"/>
    <w:multiLevelType w:val="hybridMultilevel"/>
    <w:tmpl w:val="49CA21AC"/>
    <w:lvl w:ilvl="0" w:tplc="BA7E0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618D1"/>
    <w:multiLevelType w:val="hybridMultilevel"/>
    <w:tmpl w:val="6F9419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B1079C"/>
    <w:multiLevelType w:val="hybridMultilevel"/>
    <w:tmpl w:val="E6FABC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34650">
    <w:abstractNumId w:val="8"/>
  </w:num>
  <w:num w:numId="2" w16cid:durableId="1866675968">
    <w:abstractNumId w:val="9"/>
  </w:num>
  <w:num w:numId="3" w16cid:durableId="1179663490">
    <w:abstractNumId w:val="6"/>
  </w:num>
  <w:num w:numId="4" w16cid:durableId="350035988">
    <w:abstractNumId w:val="5"/>
  </w:num>
  <w:num w:numId="5" w16cid:durableId="1117136233">
    <w:abstractNumId w:val="3"/>
  </w:num>
  <w:num w:numId="6" w16cid:durableId="491332420">
    <w:abstractNumId w:val="4"/>
  </w:num>
  <w:num w:numId="7" w16cid:durableId="2004240212">
    <w:abstractNumId w:val="1"/>
  </w:num>
  <w:num w:numId="8" w16cid:durableId="1515922346">
    <w:abstractNumId w:val="4"/>
  </w:num>
  <w:num w:numId="9" w16cid:durableId="1911842486">
    <w:abstractNumId w:val="0"/>
  </w:num>
  <w:num w:numId="10" w16cid:durableId="1089695764">
    <w:abstractNumId w:val="4"/>
  </w:num>
  <w:num w:numId="11" w16cid:durableId="1616405246">
    <w:abstractNumId w:val="2"/>
  </w:num>
  <w:num w:numId="12" w16cid:durableId="147326164">
    <w:abstractNumId w:val="2"/>
  </w:num>
  <w:num w:numId="13" w16cid:durableId="755857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5A"/>
    <w:rsid w:val="00004D43"/>
    <w:rsid w:val="00010CB0"/>
    <w:rsid w:val="00011CBB"/>
    <w:rsid w:val="000135AF"/>
    <w:rsid w:val="00013653"/>
    <w:rsid w:val="000160F5"/>
    <w:rsid w:val="00016658"/>
    <w:rsid w:val="000169FD"/>
    <w:rsid w:val="00021BF0"/>
    <w:rsid w:val="000265CA"/>
    <w:rsid w:val="00033C05"/>
    <w:rsid w:val="000437D6"/>
    <w:rsid w:val="00043F40"/>
    <w:rsid w:val="000444EB"/>
    <w:rsid w:val="000469CE"/>
    <w:rsid w:val="000514B4"/>
    <w:rsid w:val="000528D9"/>
    <w:rsid w:val="000555D8"/>
    <w:rsid w:val="00055DFC"/>
    <w:rsid w:val="00057037"/>
    <w:rsid w:val="00061109"/>
    <w:rsid w:val="00062901"/>
    <w:rsid w:val="00066279"/>
    <w:rsid w:val="0006686C"/>
    <w:rsid w:val="00072E20"/>
    <w:rsid w:val="00072F09"/>
    <w:rsid w:val="00073117"/>
    <w:rsid w:val="00076050"/>
    <w:rsid w:val="00081DC2"/>
    <w:rsid w:val="000842D1"/>
    <w:rsid w:val="00084C7A"/>
    <w:rsid w:val="00085CB5"/>
    <w:rsid w:val="00095CA4"/>
    <w:rsid w:val="000A5214"/>
    <w:rsid w:val="000B061F"/>
    <w:rsid w:val="000B1346"/>
    <w:rsid w:val="000B27A0"/>
    <w:rsid w:val="000B6943"/>
    <w:rsid w:val="000C7CE8"/>
    <w:rsid w:val="000D0D80"/>
    <w:rsid w:val="000D1977"/>
    <w:rsid w:val="000E556A"/>
    <w:rsid w:val="000E5A38"/>
    <w:rsid w:val="000E65F5"/>
    <w:rsid w:val="000F08ED"/>
    <w:rsid w:val="000F19DA"/>
    <w:rsid w:val="000F5C5F"/>
    <w:rsid w:val="000F6264"/>
    <w:rsid w:val="00100413"/>
    <w:rsid w:val="00100C76"/>
    <w:rsid w:val="001040FA"/>
    <w:rsid w:val="00110FCE"/>
    <w:rsid w:val="001112F1"/>
    <w:rsid w:val="0011265D"/>
    <w:rsid w:val="00115538"/>
    <w:rsid w:val="001155F8"/>
    <w:rsid w:val="001228C4"/>
    <w:rsid w:val="0012539B"/>
    <w:rsid w:val="00133FF4"/>
    <w:rsid w:val="00136C87"/>
    <w:rsid w:val="00136DF7"/>
    <w:rsid w:val="00137D86"/>
    <w:rsid w:val="00140B87"/>
    <w:rsid w:val="00142A55"/>
    <w:rsid w:val="00144D24"/>
    <w:rsid w:val="0015003B"/>
    <w:rsid w:val="001529D5"/>
    <w:rsid w:val="00162EF3"/>
    <w:rsid w:val="00164E41"/>
    <w:rsid w:val="001674F6"/>
    <w:rsid w:val="001700C8"/>
    <w:rsid w:val="00171337"/>
    <w:rsid w:val="00174E15"/>
    <w:rsid w:val="00180927"/>
    <w:rsid w:val="00181FC7"/>
    <w:rsid w:val="0018255B"/>
    <w:rsid w:val="001836DA"/>
    <w:rsid w:val="00183CF4"/>
    <w:rsid w:val="001868CD"/>
    <w:rsid w:val="001906C5"/>
    <w:rsid w:val="00193134"/>
    <w:rsid w:val="00195F25"/>
    <w:rsid w:val="0019755E"/>
    <w:rsid w:val="001A01E5"/>
    <w:rsid w:val="001A1E39"/>
    <w:rsid w:val="001A524E"/>
    <w:rsid w:val="001A6205"/>
    <w:rsid w:val="001B2E6F"/>
    <w:rsid w:val="001B2EF7"/>
    <w:rsid w:val="001B3AEC"/>
    <w:rsid w:val="001B44AA"/>
    <w:rsid w:val="001B781C"/>
    <w:rsid w:val="001C1D2C"/>
    <w:rsid w:val="001C23BA"/>
    <w:rsid w:val="001C2564"/>
    <w:rsid w:val="001C303B"/>
    <w:rsid w:val="001C413D"/>
    <w:rsid w:val="001D28F4"/>
    <w:rsid w:val="001D41CF"/>
    <w:rsid w:val="001E01F1"/>
    <w:rsid w:val="001E175F"/>
    <w:rsid w:val="001E3805"/>
    <w:rsid w:val="001E5B5C"/>
    <w:rsid w:val="001F5529"/>
    <w:rsid w:val="00202A51"/>
    <w:rsid w:val="00202B22"/>
    <w:rsid w:val="002043E9"/>
    <w:rsid w:val="00205654"/>
    <w:rsid w:val="00211050"/>
    <w:rsid w:val="0021156F"/>
    <w:rsid w:val="002130F7"/>
    <w:rsid w:val="002132C4"/>
    <w:rsid w:val="00213768"/>
    <w:rsid w:val="00213D49"/>
    <w:rsid w:val="002160C2"/>
    <w:rsid w:val="002238BC"/>
    <w:rsid w:val="00226C31"/>
    <w:rsid w:val="00230261"/>
    <w:rsid w:val="0023580E"/>
    <w:rsid w:val="002372BC"/>
    <w:rsid w:val="0025184F"/>
    <w:rsid w:val="002525D5"/>
    <w:rsid w:val="002532BD"/>
    <w:rsid w:val="0025388F"/>
    <w:rsid w:val="002556D8"/>
    <w:rsid w:val="00260DBA"/>
    <w:rsid w:val="00262D64"/>
    <w:rsid w:val="002647C2"/>
    <w:rsid w:val="00264E8A"/>
    <w:rsid w:val="0026579A"/>
    <w:rsid w:val="00266368"/>
    <w:rsid w:val="00273334"/>
    <w:rsid w:val="002735B5"/>
    <w:rsid w:val="002747B5"/>
    <w:rsid w:val="002769E7"/>
    <w:rsid w:val="00280000"/>
    <w:rsid w:val="00291C6A"/>
    <w:rsid w:val="00291F53"/>
    <w:rsid w:val="002924C7"/>
    <w:rsid w:val="002943DD"/>
    <w:rsid w:val="00296B5D"/>
    <w:rsid w:val="002973EE"/>
    <w:rsid w:val="00297CAC"/>
    <w:rsid w:val="002A0886"/>
    <w:rsid w:val="002A18AE"/>
    <w:rsid w:val="002A1BB0"/>
    <w:rsid w:val="002A2B4F"/>
    <w:rsid w:val="002A3754"/>
    <w:rsid w:val="002A661B"/>
    <w:rsid w:val="002A6AC2"/>
    <w:rsid w:val="002B1758"/>
    <w:rsid w:val="002B66BA"/>
    <w:rsid w:val="002C2962"/>
    <w:rsid w:val="002C29DE"/>
    <w:rsid w:val="002C66BD"/>
    <w:rsid w:val="002D1209"/>
    <w:rsid w:val="002D1DF8"/>
    <w:rsid w:val="002D45F8"/>
    <w:rsid w:val="002D7BCB"/>
    <w:rsid w:val="002E2DFE"/>
    <w:rsid w:val="002E3F88"/>
    <w:rsid w:val="002E52E2"/>
    <w:rsid w:val="002E686F"/>
    <w:rsid w:val="002F16F5"/>
    <w:rsid w:val="002F5C89"/>
    <w:rsid w:val="0030093B"/>
    <w:rsid w:val="00302171"/>
    <w:rsid w:val="003022F0"/>
    <w:rsid w:val="00302649"/>
    <w:rsid w:val="0030383B"/>
    <w:rsid w:val="0030457A"/>
    <w:rsid w:val="0031267E"/>
    <w:rsid w:val="00317C7B"/>
    <w:rsid w:val="00320931"/>
    <w:rsid w:val="00335AF4"/>
    <w:rsid w:val="00340A12"/>
    <w:rsid w:val="00344540"/>
    <w:rsid w:val="003453B7"/>
    <w:rsid w:val="0035265B"/>
    <w:rsid w:val="00353E4E"/>
    <w:rsid w:val="003579C8"/>
    <w:rsid w:val="003620A9"/>
    <w:rsid w:val="00367246"/>
    <w:rsid w:val="00367C9F"/>
    <w:rsid w:val="0037037E"/>
    <w:rsid w:val="00371C93"/>
    <w:rsid w:val="003720CA"/>
    <w:rsid w:val="00373B42"/>
    <w:rsid w:val="0038338E"/>
    <w:rsid w:val="00391805"/>
    <w:rsid w:val="00392BFB"/>
    <w:rsid w:val="00393731"/>
    <w:rsid w:val="003A0F98"/>
    <w:rsid w:val="003A3EDB"/>
    <w:rsid w:val="003A7E08"/>
    <w:rsid w:val="003B0F8F"/>
    <w:rsid w:val="003B4B22"/>
    <w:rsid w:val="003B4E71"/>
    <w:rsid w:val="003B696E"/>
    <w:rsid w:val="003B70DC"/>
    <w:rsid w:val="003B7610"/>
    <w:rsid w:val="003C4AFD"/>
    <w:rsid w:val="003C53B6"/>
    <w:rsid w:val="003D19DE"/>
    <w:rsid w:val="003D1F83"/>
    <w:rsid w:val="003D5F85"/>
    <w:rsid w:val="003D6CE5"/>
    <w:rsid w:val="003E1700"/>
    <w:rsid w:val="003E3EB1"/>
    <w:rsid w:val="003E4408"/>
    <w:rsid w:val="003F13EE"/>
    <w:rsid w:val="003F43D6"/>
    <w:rsid w:val="003F4471"/>
    <w:rsid w:val="0040026C"/>
    <w:rsid w:val="004003DE"/>
    <w:rsid w:val="004004CC"/>
    <w:rsid w:val="00402C39"/>
    <w:rsid w:val="004053E0"/>
    <w:rsid w:val="0040765A"/>
    <w:rsid w:val="004103C4"/>
    <w:rsid w:val="004132E1"/>
    <w:rsid w:val="004140A3"/>
    <w:rsid w:val="0041547F"/>
    <w:rsid w:val="004175DF"/>
    <w:rsid w:val="00421E8F"/>
    <w:rsid w:val="00422C4E"/>
    <w:rsid w:val="00424FE5"/>
    <w:rsid w:val="0043058B"/>
    <w:rsid w:val="00430656"/>
    <w:rsid w:val="004307F3"/>
    <w:rsid w:val="00430C34"/>
    <w:rsid w:val="00430F71"/>
    <w:rsid w:val="0043395B"/>
    <w:rsid w:val="00434943"/>
    <w:rsid w:val="0043566A"/>
    <w:rsid w:val="00437F19"/>
    <w:rsid w:val="0044033C"/>
    <w:rsid w:val="004442EE"/>
    <w:rsid w:val="00445F99"/>
    <w:rsid w:val="00447914"/>
    <w:rsid w:val="0045117E"/>
    <w:rsid w:val="00452FB0"/>
    <w:rsid w:val="0045671A"/>
    <w:rsid w:val="0046076A"/>
    <w:rsid w:val="00461CE9"/>
    <w:rsid w:val="0046472D"/>
    <w:rsid w:val="00465523"/>
    <w:rsid w:val="004728DF"/>
    <w:rsid w:val="004728ED"/>
    <w:rsid w:val="00472B19"/>
    <w:rsid w:val="0047321F"/>
    <w:rsid w:val="00482CB5"/>
    <w:rsid w:val="00486916"/>
    <w:rsid w:val="00490D0C"/>
    <w:rsid w:val="004912D1"/>
    <w:rsid w:val="00491EE1"/>
    <w:rsid w:val="00494DE7"/>
    <w:rsid w:val="00496919"/>
    <w:rsid w:val="00497278"/>
    <w:rsid w:val="00497633"/>
    <w:rsid w:val="004A4C10"/>
    <w:rsid w:val="004A7AE4"/>
    <w:rsid w:val="004B1EAA"/>
    <w:rsid w:val="004B3799"/>
    <w:rsid w:val="004B4B12"/>
    <w:rsid w:val="004B61FF"/>
    <w:rsid w:val="004C45A8"/>
    <w:rsid w:val="004C5548"/>
    <w:rsid w:val="004C61EF"/>
    <w:rsid w:val="004C7DC2"/>
    <w:rsid w:val="004D1235"/>
    <w:rsid w:val="004D1B31"/>
    <w:rsid w:val="004D3620"/>
    <w:rsid w:val="004E0F81"/>
    <w:rsid w:val="004E639F"/>
    <w:rsid w:val="004E64F6"/>
    <w:rsid w:val="004E6A7F"/>
    <w:rsid w:val="004F10C4"/>
    <w:rsid w:val="004F2031"/>
    <w:rsid w:val="004F2308"/>
    <w:rsid w:val="004F28F5"/>
    <w:rsid w:val="004F3088"/>
    <w:rsid w:val="004F4123"/>
    <w:rsid w:val="004F4E67"/>
    <w:rsid w:val="0050192D"/>
    <w:rsid w:val="005076F2"/>
    <w:rsid w:val="005105D0"/>
    <w:rsid w:val="005115FD"/>
    <w:rsid w:val="0051262C"/>
    <w:rsid w:val="00512B84"/>
    <w:rsid w:val="00514F55"/>
    <w:rsid w:val="00520A72"/>
    <w:rsid w:val="00523033"/>
    <w:rsid w:val="005276A5"/>
    <w:rsid w:val="005323D4"/>
    <w:rsid w:val="00537FC6"/>
    <w:rsid w:val="0054070C"/>
    <w:rsid w:val="00541EEA"/>
    <w:rsid w:val="00542524"/>
    <w:rsid w:val="0054282A"/>
    <w:rsid w:val="00543696"/>
    <w:rsid w:val="005470C2"/>
    <w:rsid w:val="005471CB"/>
    <w:rsid w:val="00550066"/>
    <w:rsid w:val="00551434"/>
    <w:rsid w:val="00551FC2"/>
    <w:rsid w:val="00553586"/>
    <w:rsid w:val="00555A78"/>
    <w:rsid w:val="005734C7"/>
    <w:rsid w:val="005766D7"/>
    <w:rsid w:val="00585771"/>
    <w:rsid w:val="00591C14"/>
    <w:rsid w:val="00592556"/>
    <w:rsid w:val="00592FCB"/>
    <w:rsid w:val="005979D1"/>
    <w:rsid w:val="005B28A0"/>
    <w:rsid w:val="005B2AB3"/>
    <w:rsid w:val="005B58AA"/>
    <w:rsid w:val="005B7CB8"/>
    <w:rsid w:val="005C46DA"/>
    <w:rsid w:val="005D1DEC"/>
    <w:rsid w:val="005D342F"/>
    <w:rsid w:val="005D4AA8"/>
    <w:rsid w:val="005D5BBF"/>
    <w:rsid w:val="005E73A5"/>
    <w:rsid w:val="005E7618"/>
    <w:rsid w:val="005F0479"/>
    <w:rsid w:val="005F1EB6"/>
    <w:rsid w:val="005F6F39"/>
    <w:rsid w:val="00603DB6"/>
    <w:rsid w:val="00604B3D"/>
    <w:rsid w:val="006068B8"/>
    <w:rsid w:val="00613E38"/>
    <w:rsid w:val="0062262C"/>
    <w:rsid w:val="00626B5C"/>
    <w:rsid w:val="00626F0D"/>
    <w:rsid w:val="00633D05"/>
    <w:rsid w:val="006349CB"/>
    <w:rsid w:val="006352A7"/>
    <w:rsid w:val="0063569C"/>
    <w:rsid w:val="00640858"/>
    <w:rsid w:val="00642DDD"/>
    <w:rsid w:val="0064624B"/>
    <w:rsid w:val="0064657A"/>
    <w:rsid w:val="00652926"/>
    <w:rsid w:val="0065373D"/>
    <w:rsid w:val="00655A35"/>
    <w:rsid w:val="0066036D"/>
    <w:rsid w:val="006608FF"/>
    <w:rsid w:val="006619E3"/>
    <w:rsid w:val="00665233"/>
    <w:rsid w:val="006716AC"/>
    <w:rsid w:val="00672ECA"/>
    <w:rsid w:val="006847AF"/>
    <w:rsid w:val="0068697A"/>
    <w:rsid w:val="00692AB7"/>
    <w:rsid w:val="00693AA2"/>
    <w:rsid w:val="0069412C"/>
    <w:rsid w:val="006970F8"/>
    <w:rsid w:val="006A0522"/>
    <w:rsid w:val="006A454F"/>
    <w:rsid w:val="006A63B4"/>
    <w:rsid w:val="006B1D89"/>
    <w:rsid w:val="006B32B0"/>
    <w:rsid w:val="006B7D6D"/>
    <w:rsid w:val="006C03CB"/>
    <w:rsid w:val="006C16EE"/>
    <w:rsid w:val="006C2AA6"/>
    <w:rsid w:val="006C2DB8"/>
    <w:rsid w:val="006C5622"/>
    <w:rsid w:val="006C6CC3"/>
    <w:rsid w:val="006D0A2A"/>
    <w:rsid w:val="006D3641"/>
    <w:rsid w:val="006D440C"/>
    <w:rsid w:val="006E6FD8"/>
    <w:rsid w:val="006E710F"/>
    <w:rsid w:val="006F202C"/>
    <w:rsid w:val="006F24AB"/>
    <w:rsid w:val="006F41A6"/>
    <w:rsid w:val="00701648"/>
    <w:rsid w:val="00701EFC"/>
    <w:rsid w:val="00706153"/>
    <w:rsid w:val="00706AEE"/>
    <w:rsid w:val="00710666"/>
    <w:rsid w:val="00713AEE"/>
    <w:rsid w:val="007141B2"/>
    <w:rsid w:val="00715361"/>
    <w:rsid w:val="00717E68"/>
    <w:rsid w:val="00720CD5"/>
    <w:rsid w:val="00722345"/>
    <w:rsid w:val="00724381"/>
    <w:rsid w:val="00724E26"/>
    <w:rsid w:val="00726908"/>
    <w:rsid w:val="00736117"/>
    <w:rsid w:val="007365D8"/>
    <w:rsid w:val="0073694C"/>
    <w:rsid w:val="0074038D"/>
    <w:rsid w:val="00740E62"/>
    <w:rsid w:val="0074673F"/>
    <w:rsid w:val="007536E8"/>
    <w:rsid w:val="0076217B"/>
    <w:rsid w:val="007621E4"/>
    <w:rsid w:val="00766290"/>
    <w:rsid w:val="007708AB"/>
    <w:rsid w:val="00771E10"/>
    <w:rsid w:val="007738A1"/>
    <w:rsid w:val="00773A1A"/>
    <w:rsid w:val="0077554A"/>
    <w:rsid w:val="0078122A"/>
    <w:rsid w:val="00787EAD"/>
    <w:rsid w:val="00791CEC"/>
    <w:rsid w:val="0079221B"/>
    <w:rsid w:val="00792774"/>
    <w:rsid w:val="00792F7F"/>
    <w:rsid w:val="00794A31"/>
    <w:rsid w:val="00796415"/>
    <w:rsid w:val="00797B0A"/>
    <w:rsid w:val="007A26CB"/>
    <w:rsid w:val="007A7F12"/>
    <w:rsid w:val="007B235A"/>
    <w:rsid w:val="007B293E"/>
    <w:rsid w:val="007B5EAE"/>
    <w:rsid w:val="007B6131"/>
    <w:rsid w:val="007B6BCC"/>
    <w:rsid w:val="007C5173"/>
    <w:rsid w:val="007D0189"/>
    <w:rsid w:val="007D0634"/>
    <w:rsid w:val="007D0BA7"/>
    <w:rsid w:val="007D3A1D"/>
    <w:rsid w:val="007D5576"/>
    <w:rsid w:val="007D7388"/>
    <w:rsid w:val="007E19CC"/>
    <w:rsid w:val="007E2E5B"/>
    <w:rsid w:val="007E31DD"/>
    <w:rsid w:val="007E4C9F"/>
    <w:rsid w:val="007F0ABD"/>
    <w:rsid w:val="007F0CAC"/>
    <w:rsid w:val="007F3981"/>
    <w:rsid w:val="007F3BC2"/>
    <w:rsid w:val="007F41DE"/>
    <w:rsid w:val="007F4BD6"/>
    <w:rsid w:val="00800A45"/>
    <w:rsid w:val="00800D50"/>
    <w:rsid w:val="00801248"/>
    <w:rsid w:val="00804888"/>
    <w:rsid w:val="00810085"/>
    <w:rsid w:val="0081336B"/>
    <w:rsid w:val="008206D7"/>
    <w:rsid w:val="0082218E"/>
    <w:rsid w:val="008231E4"/>
    <w:rsid w:val="0082474C"/>
    <w:rsid w:val="00824D73"/>
    <w:rsid w:val="008252D1"/>
    <w:rsid w:val="00830675"/>
    <w:rsid w:val="00833677"/>
    <w:rsid w:val="00833854"/>
    <w:rsid w:val="00834B17"/>
    <w:rsid w:val="008364AE"/>
    <w:rsid w:val="008400A7"/>
    <w:rsid w:val="008437B9"/>
    <w:rsid w:val="00846060"/>
    <w:rsid w:val="00846EBB"/>
    <w:rsid w:val="00850307"/>
    <w:rsid w:val="00853775"/>
    <w:rsid w:val="00861969"/>
    <w:rsid w:val="00861999"/>
    <w:rsid w:val="00863150"/>
    <w:rsid w:val="0086652A"/>
    <w:rsid w:val="008677D1"/>
    <w:rsid w:val="008813BA"/>
    <w:rsid w:val="0088150F"/>
    <w:rsid w:val="008818D4"/>
    <w:rsid w:val="00883BB3"/>
    <w:rsid w:val="008906A2"/>
    <w:rsid w:val="008923DD"/>
    <w:rsid w:val="0089558D"/>
    <w:rsid w:val="008A00A7"/>
    <w:rsid w:val="008A0D8B"/>
    <w:rsid w:val="008A4F9C"/>
    <w:rsid w:val="008A5F5D"/>
    <w:rsid w:val="008B6E2F"/>
    <w:rsid w:val="008D167E"/>
    <w:rsid w:val="008D175C"/>
    <w:rsid w:val="008D7BDD"/>
    <w:rsid w:val="008D7C9E"/>
    <w:rsid w:val="008E2A86"/>
    <w:rsid w:val="008E3A0F"/>
    <w:rsid w:val="008E3B1F"/>
    <w:rsid w:val="008E6D23"/>
    <w:rsid w:val="008F0287"/>
    <w:rsid w:val="008F4593"/>
    <w:rsid w:val="008F6991"/>
    <w:rsid w:val="008F752C"/>
    <w:rsid w:val="008F7952"/>
    <w:rsid w:val="009012A5"/>
    <w:rsid w:val="00904CF6"/>
    <w:rsid w:val="00905BA1"/>
    <w:rsid w:val="00911E08"/>
    <w:rsid w:val="00922CBB"/>
    <w:rsid w:val="009251C4"/>
    <w:rsid w:val="00925906"/>
    <w:rsid w:val="00925D01"/>
    <w:rsid w:val="00927FC7"/>
    <w:rsid w:val="0093064C"/>
    <w:rsid w:val="00931F15"/>
    <w:rsid w:val="00932253"/>
    <w:rsid w:val="0093250F"/>
    <w:rsid w:val="00934932"/>
    <w:rsid w:val="00935E2B"/>
    <w:rsid w:val="009463A1"/>
    <w:rsid w:val="00953FFC"/>
    <w:rsid w:val="009679C9"/>
    <w:rsid w:val="0097026D"/>
    <w:rsid w:val="009744DC"/>
    <w:rsid w:val="00974C2A"/>
    <w:rsid w:val="0097540D"/>
    <w:rsid w:val="00981BA3"/>
    <w:rsid w:val="00985BE6"/>
    <w:rsid w:val="00986A7A"/>
    <w:rsid w:val="009A009D"/>
    <w:rsid w:val="009A0E3C"/>
    <w:rsid w:val="009A6092"/>
    <w:rsid w:val="009A7E69"/>
    <w:rsid w:val="009B16D8"/>
    <w:rsid w:val="009B3EFA"/>
    <w:rsid w:val="009B4E7E"/>
    <w:rsid w:val="009B5724"/>
    <w:rsid w:val="009B5D48"/>
    <w:rsid w:val="009B6B62"/>
    <w:rsid w:val="009C4A90"/>
    <w:rsid w:val="009C689C"/>
    <w:rsid w:val="009C7A1F"/>
    <w:rsid w:val="009D010E"/>
    <w:rsid w:val="009D1918"/>
    <w:rsid w:val="009D2B66"/>
    <w:rsid w:val="009E1E25"/>
    <w:rsid w:val="009E2D5A"/>
    <w:rsid w:val="009E5623"/>
    <w:rsid w:val="009E5659"/>
    <w:rsid w:val="009F1F19"/>
    <w:rsid w:val="009F696C"/>
    <w:rsid w:val="009F6E58"/>
    <w:rsid w:val="00A0277A"/>
    <w:rsid w:val="00A036AF"/>
    <w:rsid w:val="00A037CE"/>
    <w:rsid w:val="00A049EE"/>
    <w:rsid w:val="00A127E1"/>
    <w:rsid w:val="00A143CE"/>
    <w:rsid w:val="00A15554"/>
    <w:rsid w:val="00A15F55"/>
    <w:rsid w:val="00A17366"/>
    <w:rsid w:val="00A22DF9"/>
    <w:rsid w:val="00A239C3"/>
    <w:rsid w:val="00A301D4"/>
    <w:rsid w:val="00A34FAF"/>
    <w:rsid w:val="00A35AE7"/>
    <w:rsid w:val="00A37F97"/>
    <w:rsid w:val="00A47CAC"/>
    <w:rsid w:val="00A5239B"/>
    <w:rsid w:val="00A569ED"/>
    <w:rsid w:val="00A57408"/>
    <w:rsid w:val="00A60B39"/>
    <w:rsid w:val="00A62E2D"/>
    <w:rsid w:val="00A63F7C"/>
    <w:rsid w:val="00A63FA7"/>
    <w:rsid w:val="00A64AA9"/>
    <w:rsid w:val="00A64B91"/>
    <w:rsid w:val="00A658F7"/>
    <w:rsid w:val="00A6718D"/>
    <w:rsid w:val="00A674EA"/>
    <w:rsid w:val="00A679F7"/>
    <w:rsid w:val="00A734F7"/>
    <w:rsid w:val="00A73FE2"/>
    <w:rsid w:val="00A769BE"/>
    <w:rsid w:val="00A8011D"/>
    <w:rsid w:val="00A81431"/>
    <w:rsid w:val="00A8448C"/>
    <w:rsid w:val="00A84963"/>
    <w:rsid w:val="00A873CC"/>
    <w:rsid w:val="00A87F16"/>
    <w:rsid w:val="00A87F3C"/>
    <w:rsid w:val="00A9047A"/>
    <w:rsid w:val="00A9271C"/>
    <w:rsid w:val="00A92BA3"/>
    <w:rsid w:val="00AA1219"/>
    <w:rsid w:val="00AA3E39"/>
    <w:rsid w:val="00AA5DB7"/>
    <w:rsid w:val="00AA620A"/>
    <w:rsid w:val="00AA6B8B"/>
    <w:rsid w:val="00AB4723"/>
    <w:rsid w:val="00AB609F"/>
    <w:rsid w:val="00AB6D1C"/>
    <w:rsid w:val="00AB7F89"/>
    <w:rsid w:val="00AC0EDB"/>
    <w:rsid w:val="00AD3099"/>
    <w:rsid w:val="00AD544D"/>
    <w:rsid w:val="00AD69FC"/>
    <w:rsid w:val="00AE1D56"/>
    <w:rsid w:val="00AE29FA"/>
    <w:rsid w:val="00AE4FCF"/>
    <w:rsid w:val="00AE737C"/>
    <w:rsid w:val="00AF0603"/>
    <w:rsid w:val="00AF14A8"/>
    <w:rsid w:val="00AF4B21"/>
    <w:rsid w:val="00AF5830"/>
    <w:rsid w:val="00AF59F3"/>
    <w:rsid w:val="00AF5C1A"/>
    <w:rsid w:val="00AF7F2F"/>
    <w:rsid w:val="00B00048"/>
    <w:rsid w:val="00B007F2"/>
    <w:rsid w:val="00B00A13"/>
    <w:rsid w:val="00B040EA"/>
    <w:rsid w:val="00B05917"/>
    <w:rsid w:val="00B05FD1"/>
    <w:rsid w:val="00B0725A"/>
    <w:rsid w:val="00B0773F"/>
    <w:rsid w:val="00B154A9"/>
    <w:rsid w:val="00B21038"/>
    <w:rsid w:val="00B2178F"/>
    <w:rsid w:val="00B23F92"/>
    <w:rsid w:val="00B24D5A"/>
    <w:rsid w:val="00B26846"/>
    <w:rsid w:val="00B269A6"/>
    <w:rsid w:val="00B330E7"/>
    <w:rsid w:val="00B36DB4"/>
    <w:rsid w:val="00B40F7E"/>
    <w:rsid w:val="00B42D01"/>
    <w:rsid w:val="00B43566"/>
    <w:rsid w:val="00B44838"/>
    <w:rsid w:val="00B53857"/>
    <w:rsid w:val="00B567F3"/>
    <w:rsid w:val="00B63E70"/>
    <w:rsid w:val="00B64D53"/>
    <w:rsid w:val="00B67B2D"/>
    <w:rsid w:val="00B70520"/>
    <w:rsid w:val="00B72AAF"/>
    <w:rsid w:val="00B7514D"/>
    <w:rsid w:val="00B80120"/>
    <w:rsid w:val="00B80617"/>
    <w:rsid w:val="00B80F3E"/>
    <w:rsid w:val="00B84879"/>
    <w:rsid w:val="00B96B13"/>
    <w:rsid w:val="00B97053"/>
    <w:rsid w:val="00BA0CAC"/>
    <w:rsid w:val="00BA28B4"/>
    <w:rsid w:val="00BA2E93"/>
    <w:rsid w:val="00BA396C"/>
    <w:rsid w:val="00BA514B"/>
    <w:rsid w:val="00BB0610"/>
    <w:rsid w:val="00BB1723"/>
    <w:rsid w:val="00BB1866"/>
    <w:rsid w:val="00BB585F"/>
    <w:rsid w:val="00BB59FA"/>
    <w:rsid w:val="00BB77A3"/>
    <w:rsid w:val="00BC2B85"/>
    <w:rsid w:val="00BC37EB"/>
    <w:rsid w:val="00BC5C0E"/>
    <w:rsid w:val="00BC7001"/>
    <w:rsid w:val="00BD51CD"/>
    <w:rsid w:val="00BE1E61"/>
    <w:rsid w:val="00BE4961"/>
    <w:rsid w:val="00BE4FAF"/>
    <w:rsid w:val="00BE6F18"/>
    <w:rsid w:val="00BF0930"/>
    <w:rsid w:val="00BF341C"/>
    <w:rsid w:val="00BF3505"/>
    <w:rsid w:val="00BF3AEE"/>
    <w:rsid w:val="00BF56EF"/>
    <w:rsid w:val="00BF738A"/>
    <w:rsid w:val="00C016E5"/>
    <w:rsid w:val="00C065C3"/>
    <w:rsid w:val="00C13267"/>
    <w:rsid w:val="00C208A8"/>
    <w:rsid w:val="00C2189C"/>
    <w:rsid w:val="00C21EF8"/>
    <w:rsid w:val="00C226DB"/>
    <w:rsid w:val="00C25EA6"/>
    <w:rsid w:val="00C2675E"/>
    <w:rsid w:val="00C313DD"/>
    <w:rsid w:val="00C414D2"/>
    <w:rsid w:val="00C421BE"/>
    <w:rsid w:val="00C426E5"/>
    <w:rsid w:val="00C436C2"/>
    <w:rsid w:val="00C43F7D"/>
    <w:rsid w:val="00C45296"/>
    <w:rsid w:val="00C45562"/>
    <w:rsid w:val="00C47ED2"/>
    <w:rsid w:val="00C50122"/>
    <w:rsid w:val="00C51414"/>
    <w:rsid w:val="00C571BD"/>
    <w:rsid w:val="00C57AFE"/>
    <w:rsid w:val="00C57FAF"/>
    <w:rsid w:val="00C61F5D"/>
    <w:rsid w:val="00C63A5F"/>
    <w:rsid w:val="00C63B78"/>
    <w:rsid w:val="00C65B05"/>
    <w:rsid w:val="00C71681"/>
    <w:rsid w:val="00C7580A"/>
    <w:rsid w:val="00C80C81"/>
    <w:rsid w:val="00C94337"/>
    <w:rsid w:val="00CA122A"/>
    <w:rsid w:val="00CA395B"/>
    <w:rsid w:val="00CA485A"/>
    <w:rsid w:val="00CA4A9B"/>
    <w:rsid w:val="00CA6C45"/>
    <w:rsid w:val="00CA6F8D"/>
    <w:rsid w:val="00CA7089"/>
    <w:rsid w:val="00CA753F"/>
    <w:rsid w:val="00CB41C4"/>
    <w:rsid w:val="00CB46EE"/>
    <w:rsid w:val="00CB4BB4"/>
    <w:rsid w:val="00CC0868"/>
    <w:rsid w:val="00CC093B"/>
    <w:rsid w:val="00CC44F0"/>
    <w:rsid w:val="00CC7DC5"/>
    <w:rsid w:val="00CD15F5"/>
    <w:rsid w:val="00CD2251"/>
    <w:rsid w:val="00CD2998"/>
    <w:rsid w:val="00CD5007"/>
    <w:rsid w:val="00CD5028"/>
    <w:rsid w:val="00CD6563"/>
    <w:rsid w:val="00CE089E"/>
    <w:rsid w:val="00CE193E"/>
    <w:rsid w:val="00CE449C"/>
    <w:rsid w:val="00CF1820"/>
    <w:rsid w:val="00CF4246"/>
    <w:rsid w:val="00CF5E26"/>
    <w:rsid w:val="00CF6DA3"/>
    <w:rsid w:val="00D0056D"/>
    <w:rsid w:val="00D00911"/>
    <w:rsid w:val="00D03E14"/>
    <w:rsid w:val="00D04073"/>
    <w:rsid w:val="00D06FE7"/>
    <w:rsid w:val="00D07BD1"/>
    <w:rsid w:val="00D100F5"/>
    <w:rsid w:val="00D14C04"/>
    <w:rsid w:val="00D151FE"/>
    <w:rsid w:val="00D16E47"/>
    <w:rsid w:val="00D16FBD"/>
    <w:rsid w:val="00D20A25"/>
    <w:rsid w:val="00D2453B"/>
    <w:rsid w:val="00D37915"/>
    <w:rsid w:val="00D4677C"/>
    <w:rsid w:val="00D479C3"/>
    <w:rsid w:val="00D521CB"/>
    <w:rsid w:val="00D52CBE"/>
    <w:rsid w:val="00D530FD"/>
    <w:rsid w:val="00D57238"/>
    <w:rsid w:val="00D657E1"/>
    <w:rsid w:val="00D759E2"/>
    <w:rsid w:val="00D8008D"/>
    <w:rsid w:val="00D808A6"/>
    <w:rsid w:val="00D82573"/>
    <w:rsid w:val="00D84018"/>
    <w:rsid w:val="00D86D6E"/>
    <w:rsid w:val="00D87026"/>
    <w:rsid w:val="00D877C5"/>
    <w:rsid w:val="00D9360D"/>
    <w:rsid w:val="00D95CFD"/>
    <w:rsid w:val="00D97E5A"/>
    <w:rsid w:val="00DA03E6"/>
    <w:rsid w:val="00DA0DAF"/>
    <w:rsid w:val="00DA1A0B"/>
    <w:rsid w:val="00DA1BCA"/>
    <w:rsid w:val="00DA4D01"/>
    <w:rsid w:val="00DB5E34"/>
    <w:rsid w:val="00DD07D5"/>
    <w:rsid w:val="00DD27AA"/>
    <w:rsid w:val="00DD7916"/>
    <w:rsid w:val="00DE2A15"/>
    <w:rsid w:val="00DE3153"/>
    <w:rsid w:val="00DE4B3E"/>
    <w:rsid w:val="00DE517C"/>
    <w:rsid w:val="00DE764F"/>
    <w:rsid w:val="00DE772E"/>
    <w:rsid w:val="00DE7756"/>
    <w:rsid w:val="00DF00A4"/>
    <w:rsid w:val="00DF0103"/>
    <w:rsid w:val="00DF1C93"/>
    <w:rsid w:val="00DF65CF"/>
    <w:rsid w:val="00E06ED0"/>
    <w:rsid w:val="00E12FC6"/>
    <w:rsid w:val="00E16779"/>
    <w:rsid w:val="00E2415F"/>
    <w:rsid w:val="00E25709"/>
    <w:rsid w:val="00E312C4"/>
    <w:rsid w:val="00E31855"/>
    <w:rsid w:val="00E40BE3"/>
    <w:rsid w:val="00E443AB"/>
    <w:rsid w:val="00E4697A"/>
    <w:rsid w:val="00E47FD2"/>
    <w:rsid w:val="00E509CB"/>
    <w:rsid w:val="00E52EAC"/>
    <w:rsid w:val="00E621E5"/>
    <w:rsid w:val="00E6288D"/>
    <w:rsid w:val="00E63769"/>
    <w:rsid w:val="00E63C85"/>
    <w:rsid w:val="00E907FF"/>
    <w:rsid w:val="00E90F1D"/>
    <w:rsid w:val="00E939C7"/>
    <w:rsid w:val="00EA2502"/>
    <w:rsid w:val="00EA44DB"/>
    <w:rsid w:val="00EA59A9"/>
    <w:rsid w:val="00EB0513"/>
    <w:rsid w:val="00EB073E"/>
    <w:rsid w:val="00EB3003"/>
    <w:rsid w:val="00EC04DD"/>
    <w:rsid w:val="00EC16A6"/>
    <w:rsid w:val="00EC77C5"/>
    <w:rsid w:val="00ED20F1"/>
    <w:rsid w:val="00ED237C"/>
    <w:rsid w:val="00ED36A6"/>
    <w:rsid w:val="00ED65C2"/>
    <w:rsid w:val="00ED6E43"/>
    <w:rsid w:val="00EE2C83"/>
    <w:rsid w:val="00EE425A"/>
    <w:rsid w:val="00EE4FB2"/>
    <w:rsid w:val="00EE635C"/>
    <w:rsid w:val="00EF137A"/>
    <w:rsid w:val="00EF1D64"/>
    <w:rsid w:val="00EF2BB6"/>
    <w:rsid w:val="00EF3180"/>
    <w:rsid w:val="00EF46F7"/>
    <w:rsid w:val="00EF7B1A"/>
    <w:rsid w:val="00F02DA3"/>
    <w:rsid w:val="00F12FF1"/>
    <w:rsid w:val="00F14913"/>
    <w:rsid w:val="00F25854"/>
    <w:rsid w:val="00F273F1"/>
    <w:rsid w:val="00F3078E"/>
    <w:rsid w:val="00F32043"/>
    <w:rsid w:val="00F32AC1"/>
    <w:rsid w:val="00F343B3"/>
    <w:rsid w:val="00F35CE6"/>
    <w:rsid w:val="00F36A3F"/>
    <w:rsid w:val="00F37CA3"/>
    <w:rsid w:val="00F401DA"/>
    <w:rsid w:val="00F411BC"/>
    <w:rsid w:val="00F43ECD"/>
    <w:rsid w:val="00F47294"/>
    <w:rsid w:val="00F53178"/>
    <w:rsid w:val="00F54647"/>
    <w:rsid w:val="00F574CD"/>
    <w:rsid w:val="00F6011F"/>
    <w:rsid w:val="00F72B43"/>
    <w:rsid w:val="00F72B5B"/>
    <w:rsid w:val="00F74628"/>
    <w:rsid w:val="00F7467A"/>
    <w:rsid w:val="00F74765"/>
    <w:rsid w:val="00F7549E"/>
    <w:rsid w:val="00F77B5F"/>
    <w:rsid w:val="00F801ED"/>
    <w:rsid w:val="00F81586"/>
    <w:rsid w:val="00F83DA8"/>
    <w:rsid w:val="00F94864"/>
    <w:rsid w:val="00F95F3A"/>
    <w:rsid w:val="00FA0412"/>
    <w:rsid w:val="00FA20D4"/>
    <w:rsid w:val="00FA28BE"/>
    <w:rsid w:val="00FA30A8"/>
    <w:rsid w:val="00FA4024"/>
    <w:rsid w:val="00FA55A6"/>
    <w:rsid w:val="00FB061B"/>
    <w:rsid w:val="00FB1C47"/>
    <w:rsid w:val="00FB7951"/>
    <w:rsid w:val="00FC16C5"/>
    <w:rsid w:val="00FC1C65"/>
    <w:rsid w:val="00FC603D"/>
    <w:rsid w:val="00FE1A33"/>
    <w:rsid w:val="00FE42B4"/>
    <w:rsid w:val="00FE4347"/>
    <w:rsid w:val="00FE531F"/>
    <w:rsid w:val="00FF05F6"/>
    <w:rsid w:val="02604C74"/>
    <w:rsid w:val="06BA560F"/>
    <w:rsid w:val="0C1DE0B5"/>
    <w:rsid w:val="150C406B"/>
    <w:rsid w:val="1778FBBE"/>
    <w:rsid w:val="19D34FDC"/>
    <w:rsid w:val="1EE2C705"/>
    <w:rsid w:val="25CFD445"/>
    <w:rsid w:val="29F7BA7B"/>
    <w:rsid w:val="31CA1562"/>
    <w:rsid w:val="345167EA"/>
    <w:rsid w:val="3E596EA6"/>
    <w:rsid w:val="40362C4E"/>
    <w:rsid w:val="57C58C09"/>
    <w:rsid w:val="5877865B"/>
    <w:rsid w:val="5CF9C441"/>
    <w:rsid w:val="71EB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43B0E"/>
  <w15:docId w15:val="{03EBFC8A-68E0-406D-A91B-CEC8770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51"/>
  </w:style>
  <w:style w:type="paragraph" w:styleId="Heading1">
    <w:name w:val="heading 1"/>
    <w:basedOn w:val="Normal"/>
    <w:next w:val="Normal"/>
    <w:link w:val="Heading1Char"/>
    <w:uiPriority w:val="9"/>
    <w:qFormat/>
    <w:rsid w:val="00033C0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2653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C05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color w:val="31A2C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5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AAF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i/>
      <w:iCs/>
      <w:color w:val="265A9A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65A9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0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33C05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33C05"/>
    <w:rPr>
      <w:color w:val="BFBFB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33C05"/>
    <w:pPr>
      <w:tabs>
        <w:tab w:val="left" w:pos="2552"/>
        <w:tab w:val="right" w:pos="9072"/>
      </w:tabs>
      <w:spacing w:before="100" w:beforeAutospacing="1" w:after="100" w:afterAutospacing="1" w:line="260" w:lineRule="atLeast"/>
      <w:ind w:left="284" w:right="-427"/>
    </w:pPr>
    <w:rPr>
      <w:rFonts w:ascii="Arial" w:eastAsia="Times New Roman" w:hAnsi="Arial" w:cs="Arial"/>
      <w:noProof/>
      <w:kern w:val="16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033C05"/>
    <w:rPr>
      <w:rFonts w:ascii="Arial" w:eastAsia="Times New Roman" w:hAnsi="Arial" w:cs="Arial"/>
      <w:noProof/>
      <w:kern w:val="16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33C05"/>
    <w:pPr>
      <w:spacing w:before="200" w:after="0" w:line="240" w:lineRule="auto"/>
      <w:ind w:right="-567"/>
      <w:contextualSpacing/>
      <w:jc w:val="right"/>
    </w:pPr>
    <w:rPr>
      <w:rFonts w:ascii="Arial" w:eastAsia="Times New Roman" w:hAnsi="Arial" w:cs="Arial"/>
      <w:color w:val="000000" w:themeColor="text1"/>
      <w:spacing w:val="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33C05"/>
    <w:rPr>
      <w:rFonts w:asciiTheme="majorHAnsi" w:eastAsiaTheme="majorEastAsia" w:hAnsiTheme="majorHAnsi" w:cstheme="majorBidi"/>
      <w:b/>
      <w:color w:val="26539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3C05"/>
    <w:rPr>
      <w:rFonts w:asciiTheme="majorHAnsi" w:eastAsiaTheme="majorEastAsia" w:hAnsiTheme="majorHAnsi" w:cstheme="majorBidi"/>
      <w:b/>
      <w:color w:val="31A2C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5C2"/>
    <w:rPr>
      <w:rFonts w:asciiTheme="majorHAnsi" w:eastAsiaTheme="majorEastAsia" w:hAnsiTheme="majorHAnsi" w:cstheme="majorBidi"/>
      <w:b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3C05"/>
    <w:rPr>
      <w:rFonts w:ascii="Arial" w:eastAsia="Times New Roman" w:hAnsi="Arial" w:cs="Arial"/>
      <w:color w:val="000000" w:themeColor="text1"/>
      <w:spacing w:val="2"/>
      <w:lang w:eastAsia="en-AU"/>
    </w:rPr>
  </w:style>
  <w:style w:type="character" w:styleId="Hyperlink">
    <w:name w:val="Hyperlink"/>
    <w:basedOn w:val="DefaultParagraphFont"/>
    <w:uiPriority w:val="99"/>
    <w:qFormat/>
    <w:rsid w:val="00033C05"/>
    <w:rPr>
      <w:color w:val="265A9A"/>
      <w:u w:val="single"/>
    </w:rPr>
  </w:style>
  <w:style w:type="character" w:styleId="IntenseEmphasis">
    <w:name w:val="Intense Emphasis"/>
    <w:basedOn w:val="DefaultParagraphFont"/>
    <w:uiPriority w:val="21"/>
    <w:rsid w:val="00033C05"/>
    <w:rPr>
      <w:i/>
      <w:iCs/>
      <w:color w:val="265A9A" w:themeColor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B72AAF"/>
    <w:rPr>
      <w:rFonts w:asciiTheme="majorHAnsi" w:eastAsiaTheme="majorEastAsia" w:hAnsiTheme="majorHAnsi" w:cstheme="majorBidi"/>
      <w:i/>
      <w:iCs/>
      <w:color w:val="265A9A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33C05"/>
    <w:pPr>
      <w:pBdr>
        <w:top w:val="single" w:sz="4" w:space="10" w:color="265A9A" w:themeColor="background2"/>
        <w:bottom w:val="single" w:sz="4" w:space="10" w:color="265A9A" w:themeColor="background2"/>
      </w:pBdr>
      <w:spacing w:before="360" w:after="360"/>
      <w:ind w:left="864" w:right="864"/>
      <w:jc w:val="center"/>
    </w:pPr>
    <w:rPr>
      <w:i/>
      <w:iCs/>
      <w:color w:val="265A9A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13AEE"/>
    <w:rPr>
      <w:i/>
      <w:iCs/>
      <w:color w:val="265A9A"/>
    </w:rPr>
  </w:style>
  <w:style w:type="paragraph" w:styleId="ListBullet">
    <w:name w:val="List Bullet"/>
    <w:basedOn w:val="Normal"/>
    <w:link w:val="ListBulletChar"/>
    <w:uiPriority w:val="1"/>
    <w:qFormat/>
    <w:rsid w:val="00033C05"/>
    <w:pPr>
      <w:numPr>
        <w:numId w:val="10"/>
      </w:numPr>
      <w:spacing w:before="60" w:after="60"/>
      <w:contextualSpacing/>
    </w:pPr>
    <w:rPr>
      <w:szCs w:val="20"/>
    </w:rPr>
  </w:style>
  <w:style w:type="character" w:customStyle="1" w:styleId="ListBulletChar">
    <w:name w:val="List Bullet Char"/>
    <w:basedOn w:val="DefaultParagraphFont"/>
    <w:link w:val="ListBullet"/>
    <w:uiPriority w:val="1"/>
    <w:rsid w:val="00033C05"/>
    <w:rPr>
      <w:szCs w:val="20"/>
    </w:rPr>
  </w:style>
  <w:style w:type="paragraph" w:styleId="ListBullet2">
    <w:name w:val="List Bullet 2"/>
    <w:basedOn w:val="Normal"/>
    <w:uiPriority w:val="1"/>
    <w:qFormat/>
    <w:rsid w:val="00033C05"/>
    <w:pPr>
      <w:numPr>
        <w:ilvl w:val="1"/>
        <w:numId w:val="10"/>
      </w:numPr>
      <w:spacing w:before="60" w:after="60"/>
      <w:contextualSpacing/>
    </w:pPr>
    <w:rPr>
      <w:sz w:val="20"/>
      <w:szCs w:val="20"/>
    </w:rPr>
  </w:style>
  <w:style w:type="paragraph" w:styleId="ListBullet3">
    <w:name w:val="List Bullet 3"/>
    <w:basedOn w:val="Normal"/>
    <w:uiPriority w:val="1"/>
    <w:qFormat/>
    <w:rsid w:val="00033C05"/>
    <w:pPr>
      <w:numPr>
        <w:ilvl w:val="2"/>
        <w:numId w:val="10"/>
      </w:numPr>
      <w:spacing w:before="60" w:after="60" w:line="274" w:lineRule="auto"/>
      <w:contextualSpacing/>
    </w:pPr>
    <w:rPr>
      <w:szCs w:val="20"/>
    </w:rPr>
  </w:style>
  <w:style w:type="paragraph" w:styleId="ListNumber">
    <w:name w:val="List Number"/>
    <w:basedOn w:val="Normal"/>
    <w:uiPriority w:val="2"/>
    <w:qFormat/>
    <w:rsid w:val="00FE4347"/>
    <w:pPr>
      <w:numPr>
        <w:numId w:val="12"/>
      </w:numPr>
      <w:ind w:left="227" w:hanging="227"/>
      <w:contextualSpacing/>
    </w:pPr>
  </w:style>
  <w:style w:type="paragraph" w:styleId="ListParagraph">
    <w:name w:val="List Paragraph"/>
    <w:basedOn w:val="Normal"/>
    <w:uiPriority w:val="34"/>
    <w:rsid w:val="00033C05"/>
    <w:pPr>
      <w:ind w:left="720"/>
      <w:contextualSpacing/>
    </w:pPr>
  </w:style>
  <w:style w:type="paragraph" w:styleId="NoSpacing">
    <w:name w:val="No Spacing"/>
    <w:uiPriority w:val="2"/>
    <w:unhideWhenUsed/>
    <w:rsid w:val="00033C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033C05"/>
    <w:pPr>
      <w:spacing w:before="200" w:after="160"/>
      <w:ind w:left="1134" w:right="113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C05"/>
    <w:rPr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33C0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13AE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033C05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semiHidden/>
    <w:rsid w:val="00033C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1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A6"/>
    <w:rPr>
      <w:rFonts w:asciiTheme="majorHAnsi" w:eastAsiaTheme="majorEastAsia" w:hAnsiTheme="majorHAnsi" w:cstheme="majorBidi"/>
      <w:color w:val="265A9A"/>
    </w:rPr>
  </w:style>
  <w:style w:type="paragraph" w:customStyle="1" w:styleId="FigureTableHeading">
    <w:name w:val="Figure/Table Heading"/>
    <w:basedOn w:val="Caption"/>
    <w:uiPriority w:val="4"/>
    <w:qFormat/>
    <w:rsid w:val="005115FD"/>
    <w:pPr>
      <w:keepNext/>
      <w:spacing w:before="240" w:after="40" w:line="280" w:lineRule="atLeast"/>
    </w:pPr>
    <w:rPr>
      <w:rFonts w:asciiTheme="majorHAnsi" w:hAnsiTheme="majorHAnsi"/>
      <w:i w:val="0"/>
      <w:color w:val="000000" w:themeColor="text1"/>
      <w:sz w:val="20"/>
    </w:rPr>
  </w:style>
  <w:style w:type="paragraph" w:customStyle="1" w:styleId="Note">
    <w:name w:val="Note"/>
    <w:basedOn w:val="Normal"/>
    <w:uiPriority w:val="9"/>
    <w:qFormat/>
    <w:rsid w:val="005115FD"/>
    <w:pPr>
      <w:spacing w:before="80" w:after="20" w:line="216" w:lineRule="atLeast"/>
    </w:pPr>
    <w:rPr>
      <w:sz w:val="18"/>
      <w:szCs w:val="20"/>
    </w:rPr>
  </w:style>
  <w:style w:type="paragraph" w:styleId="BodyText">
    <w:name w:val="Body Text"/>
    <w:basedOn w:val="Normal"/>
    <w:link w:val="BodyTextChar"/>
    <w:qFormat/>
    <w:rsid w:val="005115FD"/>
    <w:pPr>
      <w:spacing w:before="120" w:after="120" w:line="280" w:lineRule="atLeas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115FD"/>
    <w:rPr>
      <w:sz w:val="20"/>
      <w:szCs w:val="20"/>
    </w:rPr>
  </w:style>
  <w:style w:type="paragraph" w:customStyle="1" w:styleId="FigureTableSubheading">
    <w:name w:val="Figure/Table Subheading"/>
    <w:basedOn w:val="FigureTableHeading"/>
    <w:uiPriority w:val="4"/>
    <w:qFormat/>
    <w:rsid w:val="005115FD"/>
    <w:pPr>
      <w:spacing w:before="40"/>
    </w:pPr>
    <w:rPr>
      <w:color w:val="58585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5FD"/>
    <w:pPr>
      <w:spacing w:line="240" w:lineRule="auto"/>
    </w:pPr>
    <w:rPr>
      <w:i/>
      <w:iCs/>
      <w:color w:val="66BCDB" w:themeColor="text2"/>
      <w:sz w:val="18"/>
      <w:szCs w:val="18"/>
    </w:rPr>
  </w:style>
  <w:style w:type="paragraph" w:customStyle="1" w:styleId="Header-KeylineRight">
    <w:name w:val="Header - Keyline Right"/>
    <w:basedOn w:val="Normal"/>
    <w:uiPriority w:val="99"/>
    <w:rsid w:val="00ED20F1"/>
    <w:pPr>
      <w:pBdr>
        <w:bottom w:val="single" w:sz="4" w:space="31" w:color="66BCDB" w:themeColor="text2"/>
      </w:pBdr>
      <w:tabs>
        <w:tab w:val="center" w:pos="4513"/>
        <w:tab w:val="right" w:pos="9026"/>
      </w:tabs>
      <w:spacing w:before="120" w:after="600" w:line="240" w:lineRule="auto"/>
      <w:jc w:val="right"/>
    </w:pPr>
    <w:rPr>
      <w:sz w:val="16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E65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F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c.gov.au/about/annual-report/2020-21/pc-stakeholder-survey-2021.pdf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e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c.gov.au/about/corporate-plan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reasury.gov.au/publication/portfolio-budget-statements-2024-25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ross\AppData\Local\Temp\Templafy\WordVsto\Generic_blank%20template.dotx" TargetMode="External"/></Relationships>
</file>

<file path=word/theme/theme1.xml><?xml version="1.0" encoding="utf-8"?>
<a:theme xmlns:a="http://schemas.openxmlformats.org/drawingml/2006/main" name="ProdCommTheme">
  <a:themeElements>
    <a:clrScheme name="PC colour themeNew">
      <a:dk1>
        <a:sysClr val="windowText" lastClr="000000"/>
      </a:dk1>
      <a:lt1>
        <a:sysClr val="window" lastClr="FFFFFF"/>
      </a:lt1>
      <a:dk2>
        <a:srgbClr val="66BCDB"/>
      </a:dk2>
      <a:lt2>
        <a:srgbClr val="265A9A"/>
      </a:lt2>
      <a:accent1>
        <a:srgbClr val="78A22F"/>
      </a:accent1>
      <a:accent2>
        <a:srgbClr val="4D7028"/>
      </a:accent2>
      <a:accent3>
        <a:srgbClr val="F4B123"/>
      </a:accent3>
      <a:accent4>
        <a:srgbClr val="F15A25"/>
      </a:accent4>
      <a:accent5>
        <a:srgbClr val="A52828"/>
      </a:accent5>
      <a:accent6>
        <a:srgbClr val="8956A3"/>
      </a:accent6>
      <a:hlink>
        <a:srgbClr val="000000"/>
      </a:hlink>
      <a:folHlink>
        <a:srgbClr val="BFBFBF"/>
      </a:folHlink>
    </a:clrScheme>
    <a:fontScheme name="PC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393cdf-440a-4521-8f19-00ba43423d00">MPWT-2140667901-70044</_dlc_DocId>
    <_Flow_SignoffStatus xmlns="3d385984-9344-419b-a80b-49c06a2bdab8" xsi:nil="true"/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Url xmlns="20393cdf-440a-4521-8f19-00ba43423d00">
      <Url>https://pcgov.sharepoint.com/sites/sceteam/_layouts/15/DocIdRedir.aspx?ID=MPWT-2140667901-70044</Url>
      <Description>MPWT-2140667901-70044</Description>
    </_dlc_DocIdUrl>
    <thumbnail xmlns="3d385984-9344-419b-a80b-49c06a2bdab8" xsi:nil="true"/>
    <lcf76f155ced4ddcb4097134ff3c332f xmlns="3d385984-9344-419b-a80b-49c06a2bdab8">
      <Terms xmlns="http://schemas.microsoft.com/office/infopath/2007/PartnerControls"/>
    </lcf76f155ced4ddcb4097134ff3c332f>
    <TaxCatchAll xmlns="20393cdf-440a-4521-8f19-00ba43423d00">
      <Value>1</Value>
    </TaxCatchAll>
    <Status xmlns="3d385984-9344-419b-a80b-49c06a2bda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c95b9a2f1d0187bc9136aa8fffd6874d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99b54d4c38b17c83571712fceb502f87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],"templateName":"Generic/blank template","templateDescription":"Can be used for material that requires external circulation, eg. workshop agendas, schedules, public forums.","enableDocumentContentUpdater":false,"version":"2.0"}]]></TemplafyTemplate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75316-D3A4-40CE-950A-27C860930D41}">
  <ds:schemaRefs>
    <ds:schemaRef ds:uri="http://schemas.microsoft.com/office/2006/metadata/properties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2.xml><?xml version="1.0" encoding="utf-8"?>
<ds:datastoreItem xmlns:ds="http://schemas.openxmlformats.org/officeDocument/2006/customXml" ds:itemID="{28EBC783-C5A8-4737-91AD-3B4A54DD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FF9C5-B034-4600-82A2-2277E194B5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19CA9F-ABC7-4FFF-B255-B54B178AF274}">
  <ds:schemaRefs/>
</ds:datastoreItem>
</file>

<file path=customXml/itemProps5.xml><?xml version="1.0" encoding="utf-8"?>
<ds:datastoreItem xmlns:ds="http://schemas.openxmlformats.org/officeDocument/2006/customXml" ds:itemID="{14406B56-6FF0-41D4-8377-FD5ACA5BD276}">
  <ds:schemaRefs/>
</ds:datastoreItem>
</file>

<file path=customXml/itemProps6.xml><?xml version="1.0" encoding="utf-8"?>
<ds:datastoreItem xmlns:ds="http://schemas.openxmlformats.org/officeDocument/2006/customXml" ds:itemID="{F2925528-4246-49E1-BDAF-274E75EA7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Generic_blank template.dotx</Template>
  <TotalTime>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Stakeholder Survey 2023-24 results</vt:lpstr>
    </vt:vector>
  </TitlesOfParts>
  <Company>Productivity Commission</Company>
  <LinksUpToDate>false</LinksUpToDate>
  <CharactersWithSpaces>4708</CharactersWithSpaces>
  <SharedDoc>false</SharedDoc>
  <HLinks>
    <vt:vector size="18" baseType="variant"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https://www.pc.gov.au/about/corporate-plan</vt:lpwstr>
      </vt:variant>
      <vt:variant>
        <vt:lpwstr/>
      </vt:variant>
      <vt:variant>
        <vt:i4>3407907</vt:i4>
      </vt:variant>
      <vt:variant>
        <vt:i4>3</vt:i4>
      </vt:variant>
      <vt:variant>
        <vt:i4>0</vt:i4>
      </vt:variant>
      <vt:variant>
        <vt:i4>5</vt:i4>
      </vt:variant>
      <vt:variant>
        <vt:lpwstr>https://treasury.gov.au/publication/portfolio-budget-statements-2024-25</vt:lpwstr>
      </vt:variant>
      <vt:variant>
        <vt:lpwstr/>
      </vt:variant>
      <vt:variant>
        <vt:i4>4849743</vt:i4>
      </vt:variant>
      <vt:variant>
        <vt:i4>0</vt:i4>
      </vt:variant>
      <vt:variant>
        <vt:i4>0</vt:i4>
      </vt:variant>
      <vt:variant>
        <vt:i4>5</vt:i4>
      </vt:variant>
      <vt:variant>
        <vt:lpwstr>https://www.pc.gov.au/about/annual-report/2020-21/pc-stakeholder-survey-2021.pdf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Stakeholder Survey 2023-24 results</dc:title>
  <dc:subject/>
  <dc:creator>Productivity Commission</dc:creator>
  <cp:keywords/>
  <cp:lastModifiedBy>Chris Alston</cp:lastModifiedBy>
  <cp:revision>3</cp:revision>
  <cp:lastPrinted>2024-10-30T22:40:00Z</cp:lastPrinted>
  <dcterms:created xsi:type="dcterms:W3CDTF">2024-10-30T22:40:00Z</dcterms:created>
  <dcterms:modified xsi:type="dcterms:W3CDTF">2024-10-30T22:40:00Z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productivitycommission</vt:lpwstr>
  </property>
  <property fmtid="{D5CDD505-2E9C-101B-9397-08002B2CF9AE}" pid="3" name="TemplafyTemplateId">
    <vt:lpwstr>637845660006567033</vt:lpwstr>
  </property>
  <property fmtid="{D5CDD505-2E9C-101B-9397-08002B2CF9AE}" pid="4" name="TemplafyUserProfileId">
    <vt:lpwstr>637610559223843913</vt:lpwstr>
  </property>
  <property fmtid="{D5CDD505-2E9C-101B-9397-08002B2CF9AE}" pid="5" name="TemplafyFromBlank">
    <vt:bool>false</vt:bool>
  </property>
  <property fmtid="{D5CDD505-2E9C-101B-9397-08002B2CF9AE}" pid="6" name="MSIP_Label_c1f2b1ce-4212-46db-a901-dd8453f57141_Enabled">
    <vt:lpwstr>true</vt:lpwstr>
  </property>
  <property fmtid="{D5CDD505-2E9C-101B-9397-08002B2CF9AE}" pid="7" name="MSIP_Label_c1f2b1ce-4212-46db-a901-dd8453f57141_SetDate">
    <vt:lpwstr>2024-10-24T04:16:27Z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iteId">
    <vt:lpwstr>29f9330b-c0fe-4244-830e-ba9f275d6c34</vt:lpwstr>
  </property>
  <property fmtid="{D5CDD505-2E9C-101B-9397-08002B2CF9AE}" pid="11" name="MSIP_Label_c1f2b1ce-4212-46db-a901-dd8453f57141_ActionId">
    <vt:lpwstr>901bfb5a-c5a7-42d7-a48f-aee090c72824</vt:lpwstr>
  </property>
  <property fmtid="{D5CDD505-2E9C-101B-9397-08002B2CF9AE}" pid="12" name="MSIP_Label_c1f2b1ce-4212-46db-a901-dd8453f57141_ContentBits">
    <vt:lpwstr>0</vt:lpwstr>
  </property>
  <property fmtid="{D5CDD505-2E9C-101B-9397-08002B2CF9AE}" pid="13" name="ContentTypeId">
    <vt:lpwstr>0x0101006C0B5E815648EF46B6FA6D42F17E5E9F000C963E276195B04F83BC027CFDC94A8D</vt:lpwstr>
  </property>
  <property fmtid="{D5CDD505-2E9C-101B-9397-08002B2CF9AE}" pid="14" name="_dlc_DocIdItemGuid">
    <vt:lpwstr>e6b8101f-ab9e-48c9-a934-bf9694d5781a</vt:lpwstr>
  </property>
  <property fmtid="{D5CDD505-2E9C-101B-9397-08002B2CF9AE}" pid="15" name="RevIMBCS">
    <vt:lpwstr>1;#Unclassified|3955eeb1-2d18-4582-aeb2-00144ec3aaf5</vt:lpwstr>
  </property>
  <property fmtid="{D5CDD505-2E9C-101B-9397-08002B2CF9AE}" pid="16" name="MediaServiceImageTags">
    <vt:lpwstr/>
  </property>
</Properties>
</file>