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55C" w:rsidRPr="001E355C" w:rsidRDefault="00E314BF" w:rsidP="001E355C">
      <w:pPr>
        <w:pStyle w:val="Heading1"/>
        <w:rPr>
          <w:color w:val="FFFFFF" w:themeColor="background1"/>
          <w:sz w:val="16"/>
          <w:szCs w:val="16"/>
        </w:rPr>
      </w:pPr>
      <w:r>
        <w:rPr>
          <w:noProof/>
          <w:color w:val="FFFFFF" w:themeColor="background1"/>
          <w:sz w:val="16"/>
          <w:szCs w:val="16"/>
          <w:lang w:eastAsia="en-AU"/>
        </w:rPr>
        <w:drawing>
          <wp:anchor distT="0" distB="0" distL="114300" distR="114300" simplePos="0" relativeHeight="251658240" behindDoc="0" locked="0" layoutInCell="1" allowOverlap="1" wp14:anchorId="330F2BD3" wp14:editId="68111970">
            <wp:simplePos x="0" y="0"/>
            <wp:positionH relativeFrom="column">
              <wp:posOffset>-1161415</wp:posOffset>
            </wp:positionH>
            <wp:positionV relativeFrom="paragraph">
              <wp:posOffset>-227965</wp:posOffset>
            </wp:positionV>
            <wp:extent cx="7552800" cy="10116000"/>
            <wp:effectExtent l="0" t="0" r="0" b="0"/>
            <wp:wrapNone/>
            <wp:docPr id="9" name="Picture 9" descr="Cover to Access to Justice Arrangements: Appendices B to K. Productivity Commission Inquiry Report. No. 72, 5 September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Justice-Vol1-FINAL300-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2800" cy="10116000"/>
                    </a:xfrm>
                    <a:prstGeom prst="rect">
                      <a:avLst/>
                    </a:prstGeom>
                  </pic:spPr>
                </pic:pic>
              </a:graphicData>
            </a:graphic>
            <wp14:sizeRelH relativeFrom="margin">
              <wp14:pctWidth>0</wp14:pctWidth>
            </wp14:sizeRelH>
            <wp14:sizeRelV relativeFrom="margin">
              <wp14:pctHeight>0</wp14:pctHeight>
            </wp14:sizeRelV>
          </wp:anchor>
        </w:drawing>
      </w:r>
      <w:r w:rsidR="001E355C" w:rsidRPr="001E355C">
        <w:rPr>
          <w:color w:val="FFFFFF" w:themeColor="background1"/>
          <w:sz w:val="16"/>
          <w:szCs w:val="16"/>
        </w:rPr>
        <w:t xml:space="preserve">Access to Justice Arrangements: </w:t>
      </w:r>
      <w:proofErr w:type="spellStart"/>
      <w:r w:rsidR="001E355C" w:rsidRPr="001E355C">
        <w:rPr>
          <w:color w:val="FFFFFF" w:themeColor="background1"/>
          <w:sz w:val="16"/>
          <w:szCs w:val="16"/>
        </w:rPr>
        <w:t>Appendices</w:t>
      </w:r>
      <w:proofErr w:type="spellEnd"/>
      <w:r w:rsidR="001E355C" w:rsidRPr="001E355C">
        <w:rPr>
          <w:color w:val="FFFFFF" w:themeColor="background1"/>
          <w:sz w:val="16"/>
          <w:szCs w:val="16"/>
        </w:rPr>
        <w:t xml:space="preserve"> B to K. Productivity Commission Inquiry Report. No. 72, 5 September 2014.</w:t>
      </w:r>
    </w:p>
    <w:p w:rsidR="00B04D19" w:rsidRPr="001E355C" w:rsidRDefault="00B04D19" w:rsidP="001E355C">
      <w:pPr>
        <w:pStyle w:val="BodyText"/>
      </w:pPr>
      <w:r w:rsidRPr="001E355C">
        <w:br w:type="page"/>
      </w:r>
    </w:p>
    <w:p w:rsidR="003E7802" w:rsidRPr="001E355C" w:rsidRDefault="003E7802" w:rsidP="00D969AE">
      <w:pPr>
        <w:pStyle w:val="Copyrightheading"/>
      </w:pPr>
      <w:r w:rsidRPr="001E355C">
        <w:lastRenderedPageBreak/>
        <w:fldChar w:fldCharType="begin"/>
      </w:r>
      <w:r w:rsidRPr="001E355C">
        <w:instrText>SYMBOL 227 \f "Symbol"</w:instrText>
      </w:r>
      <w:r w:rsidRPr="001E355C">
        <w:fldChar w:fldCharType="end"/>
      </w:r>
      <w:r w:rsidRPr="001E355C">
        <w:t xml:space="preserve"> Commonwealth of Australia </w:t>
      </w:r>
      <w:r w:rsidR="00D74E25" w:rsidRPr="001E355C">
        <w:t>2014</w:t>
      </w:r>
    </w:p>
    <w:p w:rsidR="00E91F35" w:rsidRPr="001E355C" w:rsidRDefault="00E91F35" w:rsidP="006F7F5B">
      <w:pPr>
        <w:pStyle w:val="BodyText"/>
        <w:tabs>
          <w:tab w:val="left" w:pos="851"/>
        </w:tabs>
        <w:spacing w:before="200" w:after="120"/>
        <w:jc w:val="left"/>
        <w:rPr>
          <w:b/>
        </w:rPr>
      </w:pPr>
      <w:bookmarkStart w:id="0" w:name="ISSN"/>
      <w:bookmarkEnd w:id="0"/>
      <w:r w:rsidRPr="001E355C">
        <w:rPr>
          <w:b/>
        </w:rPr>
        <w:t>ISSN</w:t>
      </w:r>
      <w:r w:rsidRPr="001E355C">
        <w:rPr>
          <w:b/>
        </w:rPr>
        <w:tab/>
      </w:r>
      <w:r w:rsidR="006F7F5B" w:rsidRPr="001E355C">
        <w:rPr>
          <w:b/>
        </w:rPr>
        <w:t>1447-1329</w:t>
      </w:r>
      <w:r w:rsidRPr="001E355C">
        <w:rPr>
          <w:b/>
        </w:rPr>
        <w:br/>
        <w:t>ISBN</w:t>
      </w:r>
      <w:r w:rsidRPr="001E355C">
        <w:rPr>
          <w:b/>
        </w:rPr>
        <w:tab/>
      </w:r>
      <w:r w:rsidR="00530E6D" w:rsidRPr="001E355C">
        <w:rPr>
          <w:b/>
        </w:rPr>
        <w:t>978-1-74037-494-1</w:t>
      </w:r>
      <w:r w:rsidR="00AF215C" w:rsidRPr="001E355C">
        <w:rPr>
          <w:b/>
        </w:rPr>
        <w:t xml:space="preserve"> (PDF</w:t>
      </w:r>
      <w:r w:rsidRPr="001E355C">
        <w:rPr>
          <w:b/>
        </w:rPr>
        <w:t>)</w:t>
      </w:r>
    </w:p>
    <w:p w:rsidR="008A3857" w:rsidRPr="001E355C" w:rsidRDefault="008A3857" w:rsidP="008E242D">
      <w:pPr>
        <w:pStyle w:val="BodyText"/>
        <w:spacing w:after="120"/>
      </w:pPr>
      <w:r w:rsidRPr="001E355C">
        <w:rPr>
          <w:noProof/>
          <w:sz w:val="22"/>
          <w:szCs w:val="22"/>
        </w:rPr>
        <w:drawing>
          <wp:inline distT="0" distB="0" distL="0" distR="0" wp14:anchorId="7F379698" wp14:editId="12994E6B">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1E355C" w:rsidRDefault="008A3857" w:rsidP="00BA0B81">
      <w:pPr>
        <w:pStyle w:val="Copyrightbodytext"/>
      </w:pPr>
      <w:r w:rsidRPr="001E355C">
        <w:t>Except for the Commonwealth Coat of Arms and content supplied by third parties, this copyright work is licensed under a Creative Commons Attribution 3.0 Australia licence. To view a copy of this licence, visit http://creativecommons.org/licenses/by/3.0/au</w:t>
      </w:r>
      <w:r w:rsidRPr="001E355C">
        <w:rPr>
          <w:sz w:val="24"/>
          <w:szCs w:val="24"/>
        </w:rPr>
        <w:t>.</w:t>
      </w:r>
      <w:r w:rsidRPr="001E355C">
        <w:t xml:space="preserve"> In essence, you are free to copy, communicate and adapt the work, as long as you attribute the work to the Productivity Commission (but not in any way that suggests the Commission </w:t>
      </w:r>
      <w:proofErr w:type="gramStart"/>
      <w:r w:rsidRPr="001E355C">
        <w:t>endorses</w:t>
      </w:r>
      <w:proofErr w:type="gramEnd"/>
      <w:r w:rsidRPr="001E355C">
        <w:t xml:space="preserve"> you or your use) and abide by the other licence terms.</w:t>
      </w:r>
    </w:p>
    <w:p w:rsidR="008A3857" w:rsidRPr="001E355C" w:rsidRDefault="008A3857" w:rsidP="008A3857">
      <w:pPr>
        <w:pStyle w:val="Copyrightsubtitle"/>
      </w:pPr>
      <w:r w:rsidRPr="001E355C">
        <w:t>Use of the Commonwealth Coat of Arms</w:t>
      </w:r>
    </w:p>
    <w:p w:rsidR="008A3857" w:rsidRPr="001E355C" w:rsidRDefault="008A3857" w:rsidP="00BA0B81">
      <w:pPr>
        <w:pStyle w:val="Copyrightbodytext"/>
      </w:pPr>
      <w:r w:rsidRPr="001E355C">
        <w:t>For terms of use of the Coat of Arms visit the ‘It’s an Honour’ website</w:t>
      </w:r>
      <w:r w:rsidR="00122FE9" w:rsidRPr="001E355C">
        <w:t>:</w:t>
      </w:r>
      <w:r w:rsidRPr="001E355C">
        <w:t xml:space="preserve"> </w:t>
      </w:r>
      <w:r w:rsidR="00BA0B81" w:rsidRPr="001E355C">
        <w:t>http://www.itsanhonour.gov.au</w:t>
      </w:r>
    </w:p>
    <w:p w:rsidR="008A3857" w:rsidRPr="001E355C" w:rsidRDefault="008A3857" w:rsidP="008A3857">
      <w:pPr>
        <w:pStyle w:val="Copyrightsubtitle"/>
      </w:pPr>
      <w:r w:rsidRPr="001E355C">
        <w:t>Third party copyright</w:t>
      </w:r>
    </w:p>
    <w:p w:rsidR="008A3857" w:rsidRPr="001E355C" w:rsidRDefault="008A3857" w:rsidP="00BA0B81">
      <w:pPr>
        <w:pStyle w:val="Copyrightbodytext"/>
      </w:pPr>
      <w:r w:rsidRPr="001E355C">
        <w:t>Wherever a third party holds copyright in this material, the copyright remains with that party. Their permission may be required to use the material, please contact them directly.</w:t>
      </w:r>
    </w:p>
    <w:p w:rsidR="008A3857" w:rsidRPr="001E355C" w:rsidRDefault="008A3857" w:rsidP="008A3857">
      <w:pPr>
        <w:pStyle w:val="Copyrightsubtitle"/>
      </w:pPr>
      <w:r w:rsidRPr="001E355C">
        <w:t>Attribution</w:t>
      </w:r>
    </w:p>
    <w:p w:rsidR="008A3857" w:rsidRPr="001E355C" w:rsidRDefault="008A3857" w:rsidP="00BA0B81">
      <w:pPr>
        <w:pStyle w:val="Copyrightbodytext"/>
      </w:pPr>
      <w:r w:rsidRPr="001E355C">
        <w:t xml:space="preserve">This work should be attributed as follows, </w:t>
      </w:r>
      <w:r w:rsidRPr="001E355C">
        <w:rPr>
          <w:i/>
        </w:rPr>
        <w:t xml:space="preserve">Source: Productivity Commission, </w:t>
      </w:r>
      <w:r w:rsidR="006F7F5B" w:rsidRPr="001E355C">
        <w:rPr>
          <w:i/>
        </w:rPr>
        <w:t>Access to Justice Arrangements</w:t>
      </w:r>
      <w:r w:rsidRPr="001E355C">
        <w:t>.</w:t>
      </w:r>
    </w:p>
    <w:p w:rsidR="008A3857" w:rsidRPr="001E355C" w:rsidRDefault="008A3857" w:rsidP="00BA0B81">
      <w:pPr>
        <w:pStyle w:val="Copyrightbodytext"/>
        <w:spacing w:before="120"/>
      </w:pPr>
      <w:r w:rsidRPr="001E355C">
        <w:t xml:space="preserve">If you have adapted, modified or transformed this work in anyway, please use the following, </w:t>
      </w:r>
      <w:r w:rsidRPr="001E355C">
        <w:rPr>
          <w:i/>
        </w:rPr>
        <w:t>Source: based on Productivity Commission</w:t>
      </w:r>
      <w:r w:rsidR="00122FE9" w:rsidRPr="001E355C">
        <w:rPr>
          <w:i/>
        </w:rPr>
        <w:t xml:space="preserve"> </w:t>
      </w:r>
      <w:r w:rsidRPr="001E355C">
        <w:rPr>
          <w:i/>
        </w:rPr>
        <w:t>data</w:t>
      </w:r>
      <w:r w:rsidR="008E242D" w:rsidRPr="001E355C">
        <w:rPr>
          <w:i/>
        </w:rPr>
        <w:t xml:space="preserve">, </w:t>
      </w:r>
      <w:r w:rsidR="006F7F5B" w:rsidRPr="001E355C">
        <w:rPr>
          <w:i/>
        </w:rPr>
        <w:t>Access to Justice Arrangements</w:t>
      </w:r>
      <w:r w:rsidRPr="001E355C">
        <w:t>.</w:t>
      </w:r>
    </w:p>
    <w:p w:rsidR="008A3857" w:rsidRPr="001E355C" w:rsidRDefault="008A3857" w:rsidP="008A3857">
      <w:pPr>
        <w:pStyle w:val="Copyrightsubtitle"/>
      </w:pPr>
      <w:r w:rsidRPr="001E355C">
        <w:t xml:space="preserve">An appropriate </w:t>
      </w:r>
      <w:r w:rsidR="00122FE9" w:rsidRPr="001E355C">
        <w:t>reference</w:t>
      </w:r>
      <w:r w:rsidRPr="001E355C">
        <w:t xml:space="preserve"> for this publication is:</w:t>
      </w:r>
    </w:p>
    <w:p w:rsidR="008A3857" w:rsidRPr="001E355C" w:rsidRDefault="001C3B99" w:rsidP="008A3857">
      <w:pPr>
        <w:pStyle w:val="Copyrightbodytext"/>
      </w:pPr>
      <w:r w:rsidRPr="001E355C">
        <w:t xml:space="preserve">Productivity Commission 2014, </w:t>
      </w:r>
      <w:r w:rsidRPr="001E355C">
        <w:rPr>
          <w:i/>
        </w:rPr>
        <w:t>Access to Justice Arrangements</w:t>
      </w:r>
      <w:r w:rsidR="00530E6D" w:rsidRPr="001E355C">
        <w:rPr>
          <w:i/>
        </w:rPr>
        <w:t xml:space="preserve">: </w:t>
      </w:r>
      <w:proofErr w:type="spellStart"/>
      <w:r w:rsidR="00530E6D" w:rsidRPr="001E355C">
        <w:rPr>
          <w:i/>
        </w:rPr>
        <w:t>Appendices</w:t>
      </w:r>
      <w:proofErr w:type="spellEnd"/>
      <w:r w:rsidR="00530E6D" w:rsidRPr="001E355C">
        <w:rPr>
          <w:i/>
        </w:rPr>
        <w:t xml:space="preserve"> B to K</w:t>
      </w:r>
      <w:r w:rsidRPr="001E355C">
        <w:t>, Inquiry Report No. 72, Canberra.</w:t>
      </w:r>
    </w:p>
    <w:p w:rsidR="008A3857" w:rsidRPr="001E355C" w:rsidRDefault="008A3857" w:rsidP="008A3857">
      <w:pPr>
        <w:pStyle w:val="Copyrightsubtitle"/>
      </w:pPr>
      <w:bookmarkStart w:id="1" w:name="JEL"/>
      <w:bookmarkEnd w:id="1"/>
      <w:r w:rsidRPr="001E355C">
        <w:t>Publications enquiries</w:t>
      </w:r>
    </w:p>
    <w:p w:rsidR="00E30DDB" w:rsidRPr="001E355C" w:rsidRDefault="008A3857" w:rsidP="00EC38C1">
      <w:pPr>
        <w:pStyle w:val="Copyrightbodytext"/>
      </w:pPr>
      <w:r w:rsidRPr="001E355C">
        <w:t xml:space="preserve">Media and Publications, </w:t>
      </w:r>
      <w:r w:rsidR="00EC38C1" w:rsidRPr="001E355C">
        <w:rPr>
          <w:szCs w:val="24"/>
        </w:rPr>
        <w:t>phone: (03) 9653 2244 or email: maps@pc.gov.au</w:t>
      </w:r>
    </w:p>
    <w:p w:rsidR="008A3857" w:rsidRPr="001E355C"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E355C" w:rsidRPr="001E355C" w:rsidTr="001E2225">
        <w:tc>
          <w:tcPr>
            <w:tcW w:w="8771" w:type="dxa"/>
            <w:tcBorders>
              <w:top w:val="single" w:sz="6" w:space="0" w:color="78A22F"/>
              <w:left w:val="nil"/>
              <w:bottom w:val="nil"/>
              <w:right w:val="nil"/>
            </w:tcBorders>
            <w:shd w:val="clear" w:color="auto" w:fill="F2F2F2" w:themeFill="background1" w:themeFillShade="F2"/>
          </w:tcPr>
          <w:p w:rsidR="008A3857" w:rsidRPr="001E355C" w:rsidRDefault="008A3857" w:rsidP="001E2225">
            <w:pPr>
              <w:pStyle w:val="BoxTitle"/>
              <w:rPr>
                <w:sz w:val="22"/>
                <w:szCs w:val="22"/>
              </w:rPr>
            </w:pPr>
            <w:r w:rsidRPr="001E355C">
              <w:rPr>
                <w:sz w:val="22"/>
                <w:szCs w:val="22"/>
              </w:rPr>
              <w:t>The Productivity Commission</w:t>
            </w:r>
          </w:p>
        </w:tc>
      </w:tr>
      <w:tr w:rsidR="001E355C" w:rsidRPr="001E355C" w:rsidTr="001E2225">
        <w:trPr>
          <w:cantSplit/>
        </w:trPr>
        <w:tc>
          <w:tcPr>
            <w:tcW w:w="8771" w:type="dxa"/>
            <w:tcBorders>
              <w:top w:val="nil"/>
              <w:left w:val="nil"/>
              <w:bottom w:val="nil"/>
              <w:right w:val="nil"/>
            </w:tcBorders>
            <w:shd w:val="clear" w:color="auto" w:fill="F2F2F2" w:themeFill="background1" w:themeFillShade="F2"/>
          </w:tcPr>
          <w:p w:rsidR="008A3857" w:rsidRPr="001E355C" w:rsidRDefault="008A3857" w:rsidP="001E2225">
            <w:pPr>
              <w:pStyle w:val="Box"/>
            </w:pPr>
            <w:r w:rsidRPr="001E355C">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Pr="001E355C" w:rsidRDefault="008A3857" w:rsidP="001E2225">
            <w:pPr>
              <w:pStyle w:val="Box"/>
            </w:pPr>
            <w:r w:rsidRPr="001E355C">
              <w:t>The Commission’s independence is underpinned by an Act of Parliament. Its processes and outputs are open to public scrutiny and are driven by concern for the wellbeing of the community as a whole.</w:t>
            </w:r>
          </w:p>
          <w:p w:rsidR="008A3857" w:rsidRPr="001E355C" w:rsidRDefault="008A3857" w:rsidP="00EC38C1">
            <w:pPr>
              <w:pStyle w:val="Box"/>
            </w:pPr>
            <w:r w:rsidRPr="001E355C">
              <w:rPr>
                <w:szCs w:val="24"/>
              </w:rPr>
              <w:t>Further information on the Productivity Commission can be obtained from the Commission’s website (</w:t>
            </w:r>
            <w:r w:rsidRPr="001E355C">
              <w:t>www.pc.gov.au</w:t>
            </w:r>
            <w:r w:rsidRPr="001E355C">
              <w:rPr>
                <w:szCs w:val="24"/>
              </w:rPr>
              <w:t>)</w:t>
            </w:r>
            <w:r w:rsidR="00EC38C1" w:rsidRPr="001E355C">
              <w:rPr>
                <w:szCs w:val="24"/>
              </w:rPr>
              <w:t>.</w:t>
            </w:r>
          </w:p>
        </w:tc>
      </w:tr>
      <w:tr w:rsidR="001E355C" w:rsidRPr="001E355C" w:rsidTr="001E2225">
        <w:trPr>
          <w:cantSplit/>
        </w:trPr>
        <w:tc>
          <w:tcPr>
            <w:tcW w:w="8771" w:type="dxa"/>
            <w:tcBorders>
              <w:top w:val="nil"/>
              <w:left w:val="nil"/>
              <w:bottom w:val="single" w:sz="6" w:space="0" w:color="78A22F"/>
              <w:right w:val="nil"/>
            </w:tcBorders>
            <w:shd w:val="clear" w:color="auto" w:fill="F2F2F2" w:themeFill="background1" w:themeFillShade="F2"/>
          </w:tcPr>
          <w:p w:rsidR="008A3857" w:rsidRPr="001E355C" w:rsidRDefault="008A3857" w:rsidP="001E2225">
            <w:pPr>
              <w:pStyle w:val="Box"/>
              <w:spacing w:before="0" w:line="120" w:lineRule="exact"/>
            </w:pPr>
          </w:p>
        </w:tc>
      </w:tr>
    </w:tbl>
    <w:p w:rsidR="00E91F35" w:rsidRPr="001E355C" w:rsidRDefault="00E91F35" w:rsidP="00E91F35">
      <w:pPr>
        <w:pStyle w:val="BodyText"/>
      </w:pPr>
      <w:bookmarkStart w:id="2" w:name="cov"/>
      <w:bookmarkEnd w:id="2"/>
    </w:p>
    <w:p w:rsidR="00E91F35" w:rsidRPr="001E355C" w:rsidRDefault="00E91F35"/>
    <w:p w:rsidR="00735FEA" w:rsidRPr="001E355C" w:rsidRDefault="00735FEA">
      <w:pPr>
        <w:pStyle w:val="BodyText"/>
        <w:sectPr w:rsidR="00735FEA" w:rsidRPr="001E355C" w:rsidSect="00122FE9">
          <w:type w:val="oddPage"/>
          <w:pgSz w:w="11907" w:h="16840" w:code="9"/>
          <w:pgMar w:top="1304" w:right="1304" w:bottom="567" w:left="1814" w:header="1701" w:footer="397" w:gutter="0"/>
          <w:pgNumType w:fmt="lowerRoman" w:start="1"/>
          <w:cols w:space="720"/>
          <w:titlePg/>
        </w:sectPr>
      </w:pPr>
    </w:p>
    <w:p w:rsidR="00B163C3" w:rsidRPr="001E355C" w:rsidRDefault="00735FEA" w:rsidP="00B163C3">
      <w:pPr>
        <w:pStyle w:val="Heading1NotTOC"/>
        <w:rPr>
          <w:noProof/>
        </w:rPr>
      </w:pPr>
      <w:bookmarkStart w:id="3" w:name="Contents"/>
      <w:bookmarkEnd w:id="3"/>
      <w:r w:rsidRPr="001E355C">
        <w:lastRenderedPageBreak/>
        <w:t>Contents</w:t>
      </w:r>
      <w:bookmarkStart w:id="4" w:name="InsertContents"/>
      <w:bookmarkEnd w:id="4"/>
    </w:p>
    <w:p w:rsidR="00C0179B" w:rsidRPr="001E355C" w:rsidRDefault="00C0179B" w:rsidP="00530E6D">
      <w:pPr>
        <w:pStyle w:val="BodyText"/>
        <w:rPr>
          <w:noProof/>
          <w:spacing w:val="-2"/>
        </w:rPr>
      </w:pPr>
      <w:r w:rsidRPr="001E355C">
        <w:rPr>
          <w:noProof/>
          <w:spacing w:val="-2"/>
        </w:rPr>
        <w:t xml:space="preserve">Appendices B to K </w:t>
      </w:r>
      <w:r w:rsidR="00530E6D" w:rsidRPr="001E355C">
        <w:rPr>
          <w:noProof/>
          <w:spacing w:val="-2"/>
        </w:rPr>
        <w:t xml:space="preserve">for the </w:t>
      </w:r>
      <w:r w:rsidR="00530E6D" w:rsidRPr="001E355C">
        <w:rPr>
          <w:i/>
          <w:noProof/>
          <w:spacing w:val="-2"/>
        </w:rPr>
        <w:t>Access to Justice Arrangements</w:t>
      </w:r>
      <w:r w:rsidR="00530E6D" w:rsidRPr="001E355C">
        <w:rPr>
          <w:noProof/>
          <w:spacing w:val="-2"/>
        </w:rPr>
        <w:t xml:space="preserve"> inquiry report </w:t>
      </w:r>
      <w:r w:rsidRPr="001E355C">
        <w:rPr>
          <w:noProof/>
          <w:spacing w:val="-2"/>
        </w:rPr>
        <w:t xml:space="preserve">are referred to in the chapters but are not included in the </w:t>
      </w:r>
      <w:r w:rsidR="00530E6D" w:rsidRPr="001E355C">
        <w:rPr>
          <w:noProof/>
          <w:spacing w:val="-2"/>
        </w:rPr>
        <w:t xml:space="preserve">two volume </w:t>
      </w:r>
      <w:r w:rsidRPr="001E355C">
        <w:rPr>
          <w:noProof/>
          <w:spacing w:val="-2"/>
        </w:rPr>
        <w:t>report</w:t>
      </w:r>
      <w:r w:rsidR="00530E6D" w:rsidRPr="001E355C">
        <w:rPr>
          <w:noProof/>
          <w:spacing w:val="-2"/>
        </w:rPr>
        <w:t xml:space="preserve">. They are </w:t>
      </w:r>
      <w:r w:rsidRPr="001E355C">
        <w:rPr>
          <w:noProof/>
          <w:spacing w:val="-2"/>
        </w:rPr>
        <w:t xml:space="preserve">available </w:t>
      </w:r>
      <w:r w:rsidR="00530E6D" w:rsidRPr="001E355C">
        <w:rPr>
          <w:noProof/>
          <w:spacing w:val="-2"/>
        </w:rPr>
        <w:t xml:space="preserve">online </w:t>
      </w:r>
      <w:r w:rsidRPr="001E355C">
        <w:rPr>
          <w:noProof/>
          <w:spacing w:val="-2"/>
        </w:rPr>
        <w:t>from the Commission’s website (www.pc.gov.au).</w:t>
      </w:r>
    </w:p>
    <w:p w:rsidR="00C0179B" w:rsidRPr="001E355C" w:rsidRDefault="00C0179B" w:rsidP="00C0179B">
      <w:pPr>
        <w:pStyle w:val="TOC1"/>
        <w:rPr>
          <w:noProof/>
          <w:sz w:val="22"/>
          <w:szCs w:val="22"/>
        </w:rPr>
      </w:pPr>
      <w:r w:rsidRPr="001E355C">
        <w:rPr>
          <w:noProof/>
          <w:sz w:val="22"/>
          <w:szCs w:val="22"/>
        </w:rPr>
        <w:t>B</w:t>
      </w:r>
      <w:r w:rsidRPr="001E355C">
        <w:rPr>
          <w:noProof/>
          <w:sz w:val="22"/>
          <w:szCs w:val="22"/>
        </w:rPr>
        <w:tab/>
      </w:r>
      <w:r w:rsidR="00E943FC" w:rsidRPr="001E355C">
        <w:rPr>
          <w:noProof/>
          <w:sz w:val="22"/>
          <w:szCs w:val="22"/>
        </w:rPr>
        <w:t>L</w:t>
      </w:r>
      <w:r w:rsidRPr="001E355C">
        <w:rPr>
          <w:noProof/>
          <w:sz w:val="22"/>
          <w:szCs w:val="22"/>
        </w:rPr>
        <w:t>egal need</w:t>
      </w:r>
      <w:r w:rsidR="00806422" w:rsidRPr="001E355C">
        <w:rPr>
          <w:noProof/>
          <w:sz w:val="22"/>
          <w:szCs w:val="22"/>
        </w:rPr>
        <w:tab/>
        <w:t>969</w:t>
      </w:r>
    </w:p>
    <w:p w:rsidR="00C0179B" w:rsidRPr="001E355C" w:rsidRDefault="00C0179B" w:rsidP="00C0179B">
      <w:pPr>
        <w:pStyle w:val="TOC1"/>
        <w:rPr>
          <w:noProof/>
          <w:sz w:val="22"/>
          <w:szCs w:val="22"/>
        </w:rPr>
      </w:pPr>
      <w:r w:rsidRPr="001E355C">
        <w:rPr>
          <w:noProof/>
          <w:sz w:val="22"/>
          <w:szCs w:val="22"/>
        </w:rPr>
        <w:t>C</w:t>
      </w:r>
      <w:r w:rsidRPr="001E355C">
        <w:rPr>
          <w:noProof/>
          <w:sz w:val="22"/>
          <w:szCs w:val="22"/>
        </w:rPr>
        <w:tab/>
        <w:t>Survey of court users</w:t>
      </w:r>
      <w:r w:rsidR="00806422" w:rsidRPr="001E355C">
        <w:rPr>
          <w:noProof/>
          <w:sz w:val="22"/>
          <w:szCs w:val="22"/>
        </w:rPr>
        <w:tab/>
        <w:t>985</w:t>
      </w:r>
    </w:p>
    <w:p w:rsidR="00C0179B" w:rsidRPr="001E355C" w:rsidRDefault="00C0179B" w:rsidP="00C0179B">
      <w:pPr>
        <w:pStyle w:val="TOC1"/>
        <w:rPr>
          <w:noProof/>
          <w:sz w:val="22"/>
          <w:szCs w:val="22"/>
        </w:rPr>
      </w:pPr>
      <w:r w:rsidRPr="001E355C">
        <w:rPr>
          <w:noProof/>
          <w:sz w:val="22"/>
          <w:szCs w:val="22"/>
        </w:rPr>
        <w:t>D</w:t>
      </w:r>
      <w:r w:rsidRPr="001E355C">
        <w:rPr>
          <w:noProof/>
          <w:sz w:val="22"/>
          <w:szCs w:val="22"/>
        </w:rPr>
        <w:tab/>
        <w:t>List of tribunals and ombudsmen</w:t>
      </w:r>
      <w:r w:rsidR="00806422" w:rsidRPr="001E355C">
        <w:rPr>
          <w:noProof/>
          <w:sz w:val="22"/>
          <w:szCs w:val="22"/>
        </w:rPr>
        <w:tab/>
        <w:t>991</w:t>
      </w:r>
    </w:p>
    <w:p w:rsidR="00C0179B" w:rsidRPr="001E355C" w:rsidRDefault="00C0179B" w:rsidP="00C0179B">
      <w:pPr>
        <w:pStyle w:val="TOC1"/>
        <w:rPr>
          <w:noProof/>
          <w:sz w:val="22"/>
          <w:szCs w:val="22"/>
        </w:rPr>
      </w:pPr>
      <w:r w:rsidRPr="001E355C">
        <w:rPr>
          <w:noProof/>
          <w:sz w:val="22"/>
          <w:szCs w:val="22"/>
        </w:rPr>
        <w:t>E</w:t>
      </w:r>
      <w:r w:rsidRPr="001E355C">
        <w:rPr>
          <w:noProof/>
          <w:sz w:val="22"/>
          <w:szCs w:val="22"/>
        </w:rPr>
        <w:tab/>
        <w:t>Expert evidence reforms</w:t>
      </w:r>
      <w:r w:rsidR="00806422" w:rsidRPr="001E355C">
        <w:rPr>
          <w:noProof/>
          <w:sz w:val="22"/>
          <w:szCs w:val="22"/>
        </w:rPr>
        <w:tab/>
        <w:t>995</w:t>
      </w:r>
    </w:p>
    <w:p w:rsidR="00C0179B" w:rsidRPr="001E355C" w:rsidRDefault="00C0179B" w:rsidP="00C0179B">
      <w:pPr>
        <w:pStyle w:val="TOC1"/>
        <w:rPr>
          <w:noProof/>
          <w:sz w:val="22"/>
          <w:szCs w:val="22"/>
        </w:rPr>
      </w:pPr>
      <w:r w:rsidRPr="001E355C">
        <w:rPr>
          <w:noProof/>
          <w:sz w:val="22"/>
          <w:szCs w:val="22"/>
        </w:rPr>
        <w:t>F</w:t>
      </w:r>
      <w:r w:rsidRPr="001E355C">
        <w:rPr>
          <w:noProof/>
          <w:sz w:val="22"/>
          <w:szCs w:val="22"/>
        </w:rPr>
        <w:tab/>
        <w:t>Data on self-represented litigants</w:t>
      </w:r>
      <w:r w:rsidR="00806422" w:rsidRPr="001E355C">
        <w:rPr>
          <w:noProof/>
          <w:sz w:val="22"/>
          <w:szCs w:val="22"/>
        </w:rPr>
        <w:tab/>
      </w:r>
      <w:r w:rsidR="00F1450C">
        <w:rPr>
          <w:noProof/>
          <w:sz w:val="22"/>
          <w:szCs w:val="22"/>
        </w:rPr>
        <w:t>997</w:t>
      </w:r>
    </w:p>
    <w:p w:rsidR="00C0179B" w:rsidRPr="001E355C" w:rsidRDefault="00C0179B" w:rsidP="00C0179B">
      <w:pPr>
        <w:pStyle w:val="TOC1"/>
        <w:rPr>
          <w:noProof/>
          <w:sz w:val="22"/>
          <w:szCs w:val="22"/>
        </w:rPr>
      </w:pPr>
      <w:r w:rsidRPr="001E355C">
        <w:rPr>
          <w:noProof/>
          <w:sz w:val="22"/>
          <w:szCs w:val="22"/>
        </w:rPr>
        <w:t>G</w:t>
      </w:r>
      <w:r w:rsidRPr="001E355C">
        <w:rPr>
          <w:noProof/>
          <w:sz w:val="22"/>
          <w:szCs w:val="22"/>
        </w:rPr>
        <w:tab/>
      </w:r>
      <w:r w:rsidR="00FD00FB" w:rsidRPr="00FD00FB">
        <w:rPr>
          <w:noProof/>
          <w:sz w:val="22"/>
          <w:szCs w:val="22"/>
        </w:rPr>
        <w:t>Approaches to cost allocation in court fees</w:t>
      </w:r>
      <w:r w:rsidR="00806422" w:rsidRPr="001E355C">
        <w:rPr>
          <w:noProof/>
          <w:sz w:val="22"/>
          <w:szCs w:val="22"/>
        </w:rPr>
        <w:tab/>
        <w:t>100</w:t>
      </w:r>
      <w:r w:rsidR="00F1450C">
        <w:rPr>
          <w:noProof/>
          <w:sz w:val="22"/>
          <w:szCs w:val="22"/>
        </w:rPr>
        <w:t>7</w:t>
      </w:r>
    </w:p>
    <w:p w:rsidR="00C0179B" w:rsidRPr="001E355C" w:rsidRDefault="00C0179B" w:rsidP="00C0179B">
      <w:pPr>
        <w:pStyle w:val="TOC1"/>
        <w:rPr>
          <w:noProof/>
          <w:sz w:val="22"/>
          <w:szCs w:val="22"/>
        </w:rPr>
      </w:pPr>
      <w:r w:rsidRPr="001E355C">
        <w:rPr>
          <w:noProof/>
          <w:sz w:val="22"/>
          <w:szCs w:val="22"/>
        </w:rPr>
        <w:t>H</w:t>
      </w:r>
      <w:r w:rsidRPr="001E355C">
        <w:rPr>
          <w:noProof/>
          <w:sz w:val="22"/>
          <w:szCs w:val="22"/>
        </w:rPr>
        <w:tab/>
      </w:r>
      <w:r w:rsidR="00FD00FB" w:rsidRPr="00FD00FB">
        <w:rPr>
          <w:noProof/>
          <w:sz w:val="22"/>
          <w:szCs w:val="22"/>
        </w:rPr>
        <w:t>Eligibility for legal aid and the cost of extending it</w:t>
      </w:r>
      <w:bookmarkStart w:id="5" w:name="_GoBack"/>
      <w:bookmarkEnd w:id="5"/>
      <w:r w:rsidR="00806422" w:rsidRPr="001E355C">
        <w:rPr>
          <w:noProof/>
          <w:sz w:val="22"/>
          <w:szCs w:val="22"/>
        </w:rPr>
        <w:tab/>
        <w:t>101</w:t>
      </w:r>
      <w:r w:rsidR="00F1450C">
        <w:rPr>
          <w:noProof/>
          <w:sz w:val="22"/>
          <w:szCs w:val="22"/>
        </w:rPr>
        <w:t>3</w:t>
      </w:r>
    </w:p>
    <w:p w:rsidR="00C0179B" w:rsidRPr="001E355C" w:rsidRDefault="00C0179B" w:rsidP="00C0179B">
      <w:pPr>
        <w:pStyle w:val="TOC1"/>
        <w:rPr>
          <w:noProof/>
          <w:sz w:val="22"/>
          <w:szCs w:val="22"/>
        </w:rPr>
      </w:pPr>
      <w:r w:rsidRPr="001E355C">
        <w:rPr>
          <w:noProof/>
          <w:sz w:val="22"/>
          <w:szCs w:val="22"/>
        </w:rPr>
        <w:t>I</w:t>
      </w:r>
      <w:r w:rsidRPr="001E355C">
        <w:rPr>
          <w:noProof/>
          <w:sz w:val="22"/>
          <w:szCs w:val="22"/>
        </w:rPr>
        <w:tab/>
        <w:t>Location of community legal centres and disadvantage</w:t>
      </w:r>
      <w:r w:rsidR="00806422" w:rsidRPr="001E355C">
        <w:rPr>
          <w:noProof/>
          <w:sz w:val="22"/>
          <w:szCs w:val="22"/>
        </w:rPr>
        <w:tab/>
        <w:t>102</w:t>
      </w:r>
      <w:r w:rsidR="00F1450C">
        <w:rPr>
          <w:noProof/>
          <w:sz w:val="22"/>
          <w:szCs w:val="22"/>
        </w:rPr>
        <w:t>9</w:t>
      </w:r>
    </w:p>
    <w:p w:rsidR="00C0179B" w:rsidRPr="001E355C" w:rsidRDefault="00C0179B" w:rsidP="00C0179B">
      <w:pPr>
        <w:pStyle w:val="TOC1"/>
        <w:rPr>
          <w:noProof/>
          <w:sz w:val="22"/>
          <w:szCs w:val="22"/>
        </w:rPr>
      </w:pPr>
      <w:r w:rsidRPr="001E355C">
        <w:rPr>
          <w:noProof/>
          <w:sz w:val="22"/>
          <w:szCs w:val="22"/>
        </w:rPr>
        <w:t>J</w:t>
      </w:r>
      <w:r w:rsidRPr="001E355C">
        <w:rPr>
          <w:noProof/>
          <w:sz w:val="22"/>
          <w:szCs w:val="22"/>
        </w:rPr>
        <w:tab/>
        <w:t>Building the evidence base</w:t>
      </w:r>
      <w:r w:rsidR="00806422" w:rsidRPr="001E355C">
        <w:rPr>
          <w:noProof/>
          <w:sz w:val="22"/>
          <w:szCs w:val="22"/>
        </w:rPr>
        <w:tab/>
        <w:t>103</w:t>
      </w:r>
      <w:r w:rsidR="00F1450C">
        <w:rPr>
          <w:noProof/>
          <w:sz w:val="22"/>
          <w:szCs w:val="22"/>
        </w:rPr>
        <w:t>3</w:t>
      </w:r>
    </w:p>
    <w:p w:rsidR="0039611A" w:rsidRPr="001E355C" w:rsidRDefault="00E943FC" w:rsidP="00530E6D">
      <w:pPr>
        <w:pStyle w:val="TOC1"/>
        <w:rPr>
          <w:rStyle w:val="CommentReference"/>
          <w:b/>
          <w:vanish w:val="0"/>
          <w:color w:val="auto"/>
          <w:sz w:val="24"/>
        </w:rPr>
      </w:pPr>
      <w:r w:rsidRPr="001E355C">
        <w:rPr>
          <w:noProof/>
          <w:sz w:val="22"/>
          <w:szCs w:val="22"/>
        </w:rPr>
        <w:t>K</w:t>
      </w:r>
      <w:r w:rsidRPr="001E355C">
        <w:rPr>
          <w:noProof/>
          <w:sz w:val="22"/>
          <w:szCs w:val="22"/>
        </w:rPr>
        <w:tab/>
        <w:t>Measuring the benefits of legal assistance services</w:t>
      </w:r>
      <w:r w:rsidR="00530E6D" w:rsidRPr="001E355C">
        <w:rPr>
          <w:noProof/>
          <w:sz w:val="22"/>
          <w:szCs w:val="22"/>
        </w:rPr>
        <w:tab/>
      </w:r>
      <w:bookmarkStart w:id="6" w:name="Abbreviations"/>
      <w:bookmarkStart w:id="7" w:name="RDnote"/>
      <w:bookmarkEnd w:id="6"/>
      <w:bookmarkEnd w:id="7"/>
      <w:r w:rsidR="00806422" w:rsidRPr="001E355C">
        <w:rPr>
          <w:noProof/>
          <w:sz w:val="22"/>
          <w:szCs w:val="22"/>
        </w:rPr>
        <w:t>104</w:t>
      </w:r>
      <w:r w:rsidR="00F1450C">
        <w:rPr>
          <w:noProof/>
          <w:sz w:val="22"/>
          <w:szCs w:val="22"/>
        </w:rPr>
        <w:t>9</w:t>
      </w:r>
    </w:p>
    <w:sectPr w:rsidR="0039611A" w:rsidRPr="001E355C" w:rsidSect="00530E6D">
      <w:headerReference w:type="even" r:id="rId11"/>
      <w:headerReference w:type="default" r:id="rId12"/>
      <w:footerReference w:type="even" r:id="rId13"/>
      <w:footerReference w:type="default" r:id="rId14"/>
      <w:pgSz w:w="11906" w:h="16838" w:code="9"/>
      <w:pgMar w:top="1985" w:right="1304" w:bottom="1247" w:left="1814" w:header="1701" w:footer="397" w:gutter="0"/>
      <w:pgNumType w:fmt="lowerRoma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79B" w:rsidRDefault="00C0179B">
      <w:r>
        <w:separator/>
      </w:r>
    </w:p>
    <w:p w:rsidR="00C0179B" w:rsidRDefault="00C0179B"/>
    <w:p w:rsidR="00C0179B" w:rsidRDefault="00C0179B"/>
  </w:endnote>
  <w:endnote w:type="continuationSeparator" w:id="0">
    <w:p w:rsidR="00C0179B" w:rsidRDefault="00C0179B">
      <w:r>
        <w:continuationSeparator/>
      </w:r>
    </w:p>
    <w:p w:rsidR="00C0179B" w:rsidRDefault="00C0179B"/>
    <w:p w:rsidR="00C0179B" w:rsidRDefault="00C017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0179B" w:rsidTr="001E2225">
      <w:trPr>
        <w:trHeight w:hRule="exact" w:val="567"/>
      </w:trPr>
      <w:tc>
        <w:tcPr>
          <w:tcW w:w="510" w:type="dxa"/>
        </w:tcPr>
        <w:p w:rsidR="00C0179B" w:rsidRPr="007448F7" w:rsidRDefault="00C0179B" w:rsidP="001E2225">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E355C">
            <w:rPr>
              <w:rStyle w:val="PageNumber"/>
              <w:caps w:val="0"/>
              <w:noProof/>
            </w:rPr>
            <w:t>iv</w:t>
          </w:r>
          <w:r w:rsidRPr="007448F7">
            <w:rPr>
              <w:rStyle w:val="PageNumber"/>
              <w:caps w:val="0"/>
            </w:rPr>
            <w:fldChar w:fldCharType="end"/>
          </w:r>
        </w:p>
      </w:tc>
      <w:tc>
        <w:tcPr>
          <w:tcW w:w="7767" w:type="dxa"/>
        </w:tcPr>
        <w:p w:rsidR="00C0179B" w:rsidRPr="0013739A" w:rsidRDefault="00C0179B" w:rsidP="00C919BB">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C56B2D">
            <w:rPr>
              <w:rFonts w:cs="Arial"/>
            </w:rPr>
            <w:t>Access to Justice Arrangements</w:t>
          </w:r>
          <w:r w:rsidRPr="00BA5B14">
            <w:rPr>
              <w:rFonts w:cs="Arial"/>
            </w:rPr>
            <w:fldChar w:fldCharType="end"/>
          </w:r>
        </w:p>
      </w:tc>
      <w:tc>
        <w:tcPr>
          <w:tcW w:w="510" w:type="dxa"/>
        </w:tcPr>
        <w:p w:rsidR="00C0179B" w:rsidRDefault="00C0179B" w:rsidP="001E2225">
          <w:pPr>
            <w:pStyle w:val="Footer"/>
          </w:pPr>
        </w:p>
      </w:tc>
    </w:tr>
  </w:tbl>
  <w:p w:rsidR="00C0179B" w:rsidRDefault="00C0179B" w:rsidP="001E2225">
    <w:pPr>
      <w:pStyle w:val="FooterEnd"/>
    </w:pPr>
  </w:p>
  <w:p w:rsidR="00C0179B" w:rsidRDefault="00C0179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0179B" w:rsidTr="001E2225">
      <w:trPr>
        <w:trHeight w:hRule="exact" w:val="567"/>
      </w:trPr>
      <w:tc>
        <w:tcPr>
          <w:tcW w:w="510" w:type="dxa"/>
        </w:tcPr>
        <w:p w:rsidR="00C0179B" w:rsidRDefault="00C0179B">
          <w:pPr>
            <w:pStyle w:val="Footer"/>
            <w:ind w:right="360" w:firstLine="360"/>
          </w:pPr>
        </w:p>
      </w:tc>
      <w:tc>
        <w:tcPr>
          <w:tcW w:w="7767" w:type="dxa"/>
        </w:tcPr>
        <w:p w:rsidR="00C0179B" w:rsidRPr="00340511" w:rsidRDefault="00530E6D" w:rsidP="00340511">
          <w:pPr>
            <w:pStyle w:val="Footer"/>
            <w:jc w:val="right"/>
            <w:rPr>
              <w:rFonts w:cs="Arial"/>
            </w:rPr>
          </w:pPr>
          <w:r>
            <w:rPr>
              <w:noProof/>
            </w:rPr>
            <w:t>Contents</w:t>
          </w:r>
        </w:p>
      </w:tc>
      <w:tc>
        <w:tcPr>
          <w:tcW w:w="510" w:type="dxa"/>
        </w:tcPr>
        <w:p w:rsidR="00C0179B" w:rsidRPr="00A24443" w:rsidRDefault="00C0179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D00FB">
            <w:rPr>
              <w:rStyle w:val="PageNumber"/>
              <w:caps w:val="0"/>
              <w:noProof/>
            </w:rPr>
            <w:t>iii</w:t>
          </w:r>
          <w:r w:rsidRPr="00A24443">
            <w:rPr>
              <w:rStyle w:val="PageNumber"/>
              <w:caps w:val="0"/>
            </w:rPr>
            <w:fldChar w:fldCharType="end"/>
          </w:r>
        </w:p>
      </w:tc>
    </w:tr>
  </w:tbl>
  <w:p w:rsidR="00C0179B" w:rsidRDefault="00C0179B">
    <w:pPr>
      <w:pStyle w:val="FooterEnd"/>
    </w:pPr>
  </w:p>
  <w:p w:rsidR="00C0179B" w:rsidRDefault="00C0179B"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79B" w:rsidRDefault="00C0179B">
      <w:r>
        <w:separator/>
      </w:r>
    </w:p>
    <w:p w:rsidR="00C0179B" w:rsidRDefault="00C0179B"/>
    <w:p w:rsidR="00C0179B" w:rsidRDefault="00C0179B"/>
  </w:footnote>
  <w:footnote w:type="continuationSeparator" w:id="0">
    <w:p w:rsidR="00C0179B" w:rsidRDefault="00C0179B">
      <w:r>
        <w:continuationSeparator/>
      </w:r>
    </w:p>
    <w:p w:rsidR="00C0179B" w:rsidRDefault="00C0179B"/>
    <w:p w:rsidR="00C0179B" w:rsidRDefault="00C017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0179B" w:rsidTr="005C68FE">
      <w:tc>
        <w:tcPr>
          <w:tcW w:w="2155" w:type="dxa"/>
          <w:tcBorders>
            <w:top w:val="single" w:sz="24" w:space="0" w:color="auto"/>
          </w:tcBorders>
        </w:tcPr>
        <w:p w:rsidR="00C0179B" w:rsidRDefault="00C0179B" w:rsidP="005C68FE">
          <w:pPr>
            <w:pStyle w:val="HeaderEven"/>
          </w:pPr>
        </w:p>
      </w:tc>
      <w:tc>
        <w:tcPr>
          <w:tcW w:w="6634" w:type="dxa"/>
          <w:tcBorders>
            <w:top w:val="single" w:sz="6" w:space="0" w:color="auto"/>
          </w:tcBorders>
        </w:tcPr>
        <w:p w:rsidR="00C0179B" w:rsidRDefault="00C0179B" w:rsidP="005C68FE">
          <w:pPr>
            <w:pStyle w:val="HeaderEven"/>
          </w:pPr>
        </w:p>
      </w:tc>
    </w:tr>
  </w:tbl>
  <w:p w:rsidR="00C0179B" w:rsidRDefault="00C0179B" w:rsidP="00D732F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0179B">
      <w:tc>
        <w:tcPr>
          <w:tcW w:w="6634" w:type="dxa"/>
          <w:tcBorders>
            <w:top w:val="single" w:sz="6" w:space="0" w:color="auto"/>
          </w:tcBorders>
        </w:tcPr>
        <w:p w:rsidR="00C0179B" w:rsidRDefault="00C0179B">
          <w:pPr>
            <w:pStyle w:val="HeaderOdd"/>
          </w:pPr>
        </w:p>
      </w:tc>
      <w:tc>
        <w:tcPr>
          <w:tcW w:w="2155" w:type="dxa"/>
          <w:tcBorders>
            <w:top w:val="single" w:sz="24" w:space="0" w:color="auto"/>
          </w:tcBorders>
        </w:tcPr>
        <w:p w:rsidR="00C0179B" w:rsidRDefault="00C0179B">
          <w:pPr>
            <w:pStyle w:val="HeaderOdd"/>
          </w:pPr>
        </w:p>
      </w:tc>
    </w:tr>
  </w:tbl>
  <w:p w:rsidR="00C0179B" w:rsidRDefault="00C0179B"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5">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4"/>
  </w:num>
  <w:num w:numId="3">
    <w:abstractNumId w:val="7"/>
  </w:num>
  <w:num w:numId="4">
    <w:abstractNumId w:val="1"/>
  </w:num>
  <w:num w:numId="5">
    <w:abstractNumId w:val="13"/>
  </w:num>
  <w:num w:numId="6">
    <w:abstractNumId w:val="12"/>
  </w:num>
  <w:num w:numId="7">
    <w:abstractNumId w:val="2"/>
  </w:num>
  <w:num w:numId="8">
    <w:abstractNumId w:val="6"/>
  </w:num>
  <w:num w:numId="9">
    <w:abstractNumId w:val="14"/>
  </w:num>
  <w:num w:numId="10">
    <w:abstractNumId w:val="9"/>
  </w:num>
  <w:num w:numId="11">
    <w:abstractNumId w:val="8"/>
  </w:num>
  <w:num w:numId="12">
    <w:abstractNumId w:val="0"/>
  </w:num>
  <w:num w:numId="13">
    <w:abstractNumId w:val="3"/>
  </w:num>
  <w:num w:numId="14">
    <w:abstractNumId w:val="11"/>
  </w:num>
  <w:num w:numId="15">
    <w:abstractNumId w:val="1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F35"/>
    <w:rsid w:val="00012FCC"/>
    <w:rsid w:val="00017AFC"/>
    <w:rsid w:val="00025878"/>
    <w:rsid w:val="00026B38"/>
    <w:rsid w:val="000502D3"/>
    <w:rsid w:val="00052CB2"/>
    <w:rsid w:val="000623BF"/>
    <w:rsid w:val="00083236"/>
    <w:rsid w:val="00095EEA"/>
    <w:rsid w:val="00097C15"/>
    <w:rsid w:val="000A0A0E"/>
    <w:rsid w:val="000A5E12"/>
    <w:rsid w:val="000B416E"/>
    <w:rsid w:val="000C1F66"/>
    <w:rsid w:val="000D1F1A"/>
    <w:rsid w:val="000F185F"/>
    <w:rsid w:val="000F2604"/>
    <w:rsid w:val="000F2F5F"/>
    <w:rsid w:val="00106041"/>
    <w:rsid w:val="0010611E"/>
    <w:rsid w:val="00122FE9"/>
    <w:rsid w:val="00131572"/>
    <w:rsid w:val="00131D4F"/>
    <w:rsid w:val="0013399B"/>
    <w:rsid w:val="001766AD"/>
    <w:rsid w:val="00180515"/>
    <w:rsid w:val="00181F4B"/>
    <w:rsid w:val="00186F85"/>
    <w:rsid w:val="00190919"/>
    <w:rsid w:val="00196FB3"/>
    <w:rsid w:val="001A5071"/>
    <w:rsid w:val="001B4E73"/>
    <w:rsid w:val="001B7F1E"/>
    <w:rsid w:val="001C3B99"/>
    <w:rsid w:val="001D464E"/>
    <w:rsid w:val="001D4B1F"/>
    <w:rsid w:val="001D6629"/>
    <w:rsid w:val="001E2225"/>
    <w:rsid w:val="001E3390"/>
    <w:rsid w:val="001E355C"/>
    <w:rsid w:val="001F2270"/>
    <w:rsid w:val="001F59AD"/>
    <w:rsid w:val="00203B40"/>
    <w:rsid w:val="00205A82"/>
    <w:rsid w:val="00211BEE"/>
    <w:rsid w:val="002179C6"/>
    <w:rsid w:val="00244BEE"/>
    <w:rsid w:val="00261607"/>
    <w:rsid w:val="00263DD1"/>
    <w:rsid w:val="00264D3B"/>
    <w:rsid w:val="00265685"/>
    <w:rsid w:val="00271B0C"/>
    <w:rsid w:val="00277A54"/>
    <w:rsid w:val="00281D5F"/>
    <w:rsid w:val="002923AD"/>
    <w:rsid w:val="00296592"/>
    <w:rsid w:val="002A0A4B"/>
    <w:rsid w:val="002A499E"/>
    <w:rsid w:val="002B636E"/>
    <w:rsid w:val="002B64D6"/>
    <w:rsid w:val="002C12F5"/>
    <w:rsid w:val="002D27C1"/>
    <w:rsid w:val="002D6FCE"/>
    <w:rsid w:val="00324F6F"/>
    <w:rsid w:val="00340511"/>
    <w:rsid w:val="00354E77"/>
    <w:rsid w:val="0038647D"/>
    <w:rsid w:val="00393A49"/>
    <w:rsid w:val="0039611A"/>
    <w:rsid w:val="003A2D6B"/>
    <w:rsid w:val="003B41E0"/>
    <w:rsid w:val="003C268A"/>
    <w:rsid w:val="003C3D73"/>
    <w:rsid w:val="003D624D"/>
    <w:rsid w:val="003E7802"/>
    <w:rsid w:val="003F7472"/>
    <w:rsid w:val="0042007A"/>
    <w:rsid w:val="00433C81"/>
    <w:rsid w:val="00441350"/>
    <w:rsid w:val="00446D6B"/>
    <w:rsid w:val="00457B3F"/>
    <w:rsid w:val="00463022"/>
    <w:rsid w:val="00481CF0"/>
    <w:rsid w:val="004B057B"/>
    <w:rsid w:val="004B492A"/>
    <w:rsid w:val="004C0B0C"/>
    <w:rsid w:val="004C4FFD"/>
    <w:rsid w:val="004D3F58"/>
    <w:rsid w:val="004E3D69"/>
    <w:rsid w:val="004E52E2"/>
    <w:rsid w:val="004E6BB4"/>
    <w:rsid w:val="004E7D3C"/>
    <w:rsid w:val="00515D43"/>
    <w:rsid w:val="0052544D"/>
    <w:rsid w:val="00526B19"/>
    <w:rsid w:val="00530E6D"/>
    <w:rsid w:val="0053599E"/>
    <w:rsid w:val="00551FB8"/>
    <w:rsid w:val="005537F6"/>
    <w:rsid w:val="00560F43"/>
    <w:rsid w:val="005654D0"/>
    <w:rsid w:val="00573EAF"/>
    <w:rsid w:val="00585B3F"/>
    <w:rsid w:val="005B17AB"/>
    <w:rsid w:val="005C68FE"/>
    <w:rsid w:val="005D10A6"/>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96801"/>
    <w:rsid w:val="006E1E6B"/>
    <w:rsid w:val="006E763E"/>
    <w:rsid w:val="006F0EAC"/>
    <w:rsid w:val="006F6A85"/>
    <w:rsid w:val="006F7F5B"/>
    <w:rsid w:val="00701F72"/>
    <w:rsid w:val="007031AC"/>
    <w:rsid w:val="0070328D"/>
    <w:rsid w:val="00706184"/>
    <w:rsid w:val="00706319"/>
    <w:rsid w:val="00721132"/>
    <w:rsid w:val="0072504C"/>
    <w:rsid w:val="00731F96"/>
    <w:rsid w:val="00734127"/>
    <w:rsid w:val="00735FEA"/>
    <w:rsid w:val="00743460"/>
    <w:rsid w:val="00743A27"/>
    <w:rsid w:val="007448F7"/>
    <w:rsid w:val="00753DC6"/>
    <w:rsid w:val="0075578C"/>
    <w:rsid w:val="00766DFB"/>
    <w:rsid w:val="007734B5"/>
    <w:rsid w:val="007809B8"/>
    <w:rsid w:val="007813A6"/>
    <w:rsid w:val="00785DDA"/>
    <w:rsid w:val="007B02FB"/>
    <w:rsid w:val="007C3618"/>
    <w:rsid w:val="007D0209"/>
    <w:rsid w:val="00805FD7"/>
    <w:rsid w:val="00806422"/>
    <w:rsid w:val="00806E54"/>
    <w:rsid w:val="008206EE"/>
    <w:rsid w:val="008214B1"/>
    <w:rsid w:val="008273A9"/>
    <w:rsid w:val="00836ED7"/>
    <w:rsid w:val="0084355E"/>
    <w:rsid w:val="00845147"/>
    <w:rsid w:val="008453AC"/>
    <w:rsid w:val="008530AA"/>
    <w:rsid w:val="0085631D"/>
    <w:rsid w:val="00860D09"/>
    <w:rsid w:val="00862044"/>
    <w:rsid w:val="00880BF7"/>
    <w:rsid w:val="0089269F"/>
    <w:rsid w:val="008A2133"/>
    <w:rsid w:val="008A3857"/>
    <w:rsid w:val="008B2205"/>
    <w:rsid w:val="008B4C76"/>
    <w:rsid w:val="008C305F"/>
    <w:rsid w:val="008C374A"/>
    <w:rsid w:val="008C3AD2"/>
    <w:rsid w:val="008C7C3D"/>
    <w:rsid w:val="008D5029"/>
    <w:rsid w:val="008D6F66"/>
    <w:rsid w:val="008E1BEA"/>
    <w:rsid w:val="008E242D"/>
    <w:rsid w:val="008E43D2"/>
    <w:rsid w:val="008E5248"/>
    <w:rsid w:val="008F04C9"/>
    <w:rsid w:val="008F6F72"/>
    <w:rsid w:val="008F7C50"/>
    <w:rsid w:val="008F7DB7"/>
    <w:rsid w:val="009064D3"/>
    <w:rsid w:val="00915300"/>
    <w:rsid w:val="00921A48"/>
    <w:rsid w:val="00933B0C"/>
    <w:rsid w:val="00935676"/>
    <w:rsid w:val="0098396B"/>
    <w:rsid w:val="0098401D"/>
    <w:rsid w:val="00992158"/>
    <w:rsid w:val="009A155D"/>
    <w:rsid w:val="009A789F"/>
    <w:rsid w:val="009B12EF"/>
    <w:rsid w:val="009B48F7"/>
    <w:rsid w:val="009B6185"/>
    <w:rsid w:val="009C6C6D"/>
    <w:rsid w:val="009C6DA2"/>
    <w:rsid w:val="009E1E78"/>
    <w:rsid w:val="009E2C3C"/>
    <w:rsid w:val="009F2A51"/>
    <w:rsid w:val="00A1597D"/>
    <w:rsid w:val="00A46989"/>
    <w:rsid w:val="00A469AA"/>
    <w:rsid w:val="00A54B3F"/>
    <w:rsid w:val="00A6042A"/>
    <w:rsid w:val="00A63361"/>
    <w:rsid w:val="00A67A44"/>
    <w:rsid w:val="00A71CE9"/>
    <w:rsid w:val="00A72A19"/>
    <w:rsid w:val="00A75A30"/>
    <w:rsid w:val="00A75FF3"/>
    <w:rsid w:val="00A93C82"/>
    <w:rsid w:val="00AB2734"/>
    <w:rsid w:val="00AB2A48"/>
    <w:rsid w:val="00AC3236"/>
    <w:rsid w:val="00AC48DC"/>
    <w:rsid w:val="00AD20C0"/>
    <w:rsid w:val="00AD4874"/>
    <w:rsid w:val="00AE1F8A"/>
    <w:rsid w:val="00AF05A1"/>
    <w:rsid w:val="00AF215C"/>
    <w:rsid w:val="00B036B2"/>
    <w:rsid w:val="00B04D19"/>
    <w:rsid w:val="00B142F1"/>
    <w:rsid w:val="00B153C3"/>
    <w:rsid w:val="00B163C3"/>
    <w:rsid w:val="00B22087"/>
    <w:rsid w:val="00B722F2"/>
    <w:rsid w:val="00B80355"/>
    <w:rsid w:val="00B90958"/>
    <w:rsid w:val="00B95339"/>
    <w:rsid w:val="00BA0B81"/>
    <w:rsid w:val="00BB334E"/>
    <w:rsid w:val="00BB52B0"/>
    <w:rsid w:val="00BB5DCF"/>
    <w:rsid w:val="00BC2476"/>
    <w:rsid w:val="00BF59EA"/>
    <w:rsid w:val="00BF79CD"/>
    <w:rsid w:val="00C0179B"/>
    <w:rsid w:val="00C058AB"/>
    <w:rsid w:val="00C0721B"/>
    <w:rsid w:val="00C16BA2"/>
    <w:rsid w:val="00C23BC5"/>
    <w:rsid w:val="00C25109"/>
    <w:rsid w:val="00C30C77"/>
    <w:rsid w:val="00C34C8C"/>
    <w:rsid w:val="00C5046D"/>
    <w:rsid w:val="00C50792"/>
    <w:rsid w:val="00C51371"/>
    <w:rsid w:val="00C55A45"/>
    <w:rsid w:val="00C56B2D"/>
    <w:rsid w:val="00C73F43"/>
    <w:rsid w:val="00C83D45"/>
    <w:rsid w:val="00C904D9"/>
    <w:rsid w:val="00C919BB"/>
    <w:rsid w:val="00C94C06"/>
    <w:rsid w:val="00CA48BF"/>
    <w:rsid w:val="00CB3ACC"/>
    <w:rsid w:val="00CB4745"/>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A6DDB"/>
    <w:rsid w:val="00DC02E8"/>
    <w:rsid w:val="00DC75C7"/>
    <w:rsid w:val="00DC78D3"/>
    <w:rsid w:val="00DD1077"/>
    <w:rsid w:val="00DF00FE"/>
    <w:rsid w:val="00DF4592"/>
    <w:rsid w:val="00E15FDC"/>
    <w:rsid w:val="00E2651B"/>
    <w:rsid w:val="00E270F4"/>
    <w:rsid w:val="00E30DDB"/>
    <w:rsid w:val="00E314BF"/>
    <w:rsid w:val="00E6632E"/>
    <w:rsid w:val="00E73AE1"/>
    <w:rsid w:val="00E90CF2"/>
    <w:rsid w:val="00E91F35"/>
    <w:rsid w:val="00E943FC"/>
    <w:rsid w:val="00EC38C1"/>
    <w:rsid w:val="00EC628B"/>
    <w:rsid w:val="00ED0F61"/>
    <w:rsid w:val="00EE3F6D"/>
    <w:rsid w:val="00EE73E1"/>
    <w:rsid w:val="00EF5D55"/>
    <w:rsid w:val="00F0405B"/>
    <w:rsid w:val="00F12107"/>
    <w:rsid w:val="00F13165"/>
    <w:rsid w:val="00F1450C"/>
    <w:rsid w:val="00F4234E"/>
    <w:rsid w:val="00F61429"/>
    <w:rsid w:val="00F7477E"/>
    <w:rsid w:val="00F76C02"/>
    <w:rsid w:val="00F76C78"/>
    <w:rsid w:val="00F85393"/>
    <w:rsid w:val="00FA4A24"/>
    <w:rsid w:val="00FC41B4"/>
    <w:rsid w:val="00FC5A6B"/>
    <w:rsid w:val="00FD00F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E91F35"/>
    <w:pPr>
      <w:spacing w:before="480" w:after="240" w:line="300" w:lineRule="exact"/>
    </w:pPr>
    <w:rPr>
      <w:noProof/>
      <w:sz w:val="24"/>
      <w:lang w:eastAsia="en-AU"/>
    </w:rPr>
  </w:style>
  <w:style w:type="character" w:customStyle="1" w:styleId="SalutationChar">
    <w:name w:val="Salutation Char"/>
    <w:basedOn w:val="DefaultParagraphFont"/>
    <w:link w:val="Salutation"/>
    <w:rsid w:val="00E91F35"/>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91F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91F35"/>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E91F35"/>
    <w:pPr>
      <w:spacing w:before="480" w:after="240" w:line="300" w:lineRule="exact"/>
    </w:pPr>
    <w:rPr>
      <w:noProof/>
      <w:sz w:val="24"/>
      <w:lang w:eastAsia="en-AU"/>
    </w:rPr>
  </w:style>
  <w:style w:type="character" w:customStyle="1" w:styleId="SalutationChar">
    <w:name w:val="Salutation Char"/>
    <w:basedOn w:val="DefaultParagraphFont"/>
    <w:link w:val="Salutation"/>
    <w:rsid w:val="00E91F35"/>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91F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91F35"/>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124585606">
      <w:bodyDiv w:val="1"/>
      <w:marLeft w:val="0"/>
      <w:marRight w:val="0"/>
      <w:marTop w:val="0"/>
      <w:marBottom w:val="0"/>
      <w:divBdr>
        <w:top w:val="none" w:sz="0" w:space="0" w:color="auto"/>
        <w:left w:val="none" w:sz="0" w:space="0" w:color="auto"/>
        <w:bottom w:val="none" w:sz="0" w:space="0" w:color="auto"/>
        <w:right w:val="none" w:sz="0" w:space="0" w:color="auto"/>
      </w:divBdr>
    </w:div>
    <w:div w:id="422797246">
      <w:bodyDiv w:val="1"/>
      <w:marLeft w:val="0"/>
      <w:marRight w:val="0"/>
      <w:marTop w:val="0"/>
      <w:marBottom w:val="0"/>
      <w:divBdr>
        <w:top w:val="none" w:sz="0" w:space="0" w:color="auto"/>
        <w:left w:val="none" w:sz="0" w:space="0" w:color="auto"/>
        <w:bottom w:val="none" w:sz="0" w:space="0" w:color="auto"/>
        <w:right w:val="none" w:sz="0" w:space="0" w:color="auto"/>
      </w:divBdr>
    </w:div>
    <w:div w:id="719747024">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000888485">
      <w:bodyDiv w:val="1"/>
      <w:marLeft w:val="0"/>
      <w:marRight w:val="0"/>
      <w:marTop w:val="0"/>
      <w:marBottom w:val="0"/>
      <w:divBdr>
        <w:top w:val="none" w:sz="0" w:space="0" w:color="auto"/>
        <w:left w:val="none" w:sz="0" w:space="0" w:color="auto"/>
        <w:bottom w:val="none" w:sz="0" w:space="0" w:color="auto"/>
        <w:right w:val="none" w:sz="0" w:space="0" w:color="auto"/>
      </w:divBdr>
    </w:div>
    <w:div w:id="1050038187">
      <w:bodyDiv w:val="1"/>
      <w:marLeft w:val="0"/>
      <w:marRight w:val="0"/>
      <w:marTop w:val="0"/>
      <w:marBottom w:val="0"/>
      <w:divBdr>
        <w:top w:val="none" w:sz="0" w:space="0" w:color="auto"/>
        <w:left w:val="none" w:sz="0" w:space="0" w:color="auto"/>
        <w:bottom w:val="none" w:sz="0" w:space="0" w:color="auto"/>
        <w:right w:val="none" w:sz="0" w:space="0" w:color="auto"/>
      </w:divBdr>
    </w:div>
    <w:div w:id="1468887434">
      <w:bodyDiv w:val="1"/>
      <w:marLeft w:val="0"/>
      <w:marRight w:val="0"/>
      <w:marTop w:val="0"/>
      <w:marBottom w:val="0"/>
      <w:divBdr>
        <w:top w:val="none" w:sz="0" w:space="0" w:color="auto"/>
        <w:left w:val="none" w:sz="0" w:space="0" w:color="auto"/>
        <w:bottom w:val="none" w:sz="0" w:space="0" w:color="auto"/>
        <w:right w:val="none" w:sz="0" w:space="0" w:color="auto"/>
      </w:divBdr>
    </w:div>
    <w:div w:id="1722173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6FB95FA5-60E5-4B98-B4AA-BE0BE447A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160</TotalTime>
  <Pages>3</Pages>
  <Words>442</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Access to Justice Arrangements</vt:lpstr>
    </vt:vector>
  </TitlesOfParts>
  <Company>Productivity Commission</Company>
  <LinksUpToDate>false</LinksUpToDate>
  <CharactersWithSpaces>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 to Justice Arrangements</dc:title>
  <dc:creator>Productivity Commission</dc:creator>
  <cp:lastModifiedBy>Mark Pimperl</cp:lastModifiedBy>
  <cp:revision>13</cp:revision>
  <cp:lastPrinted>2014-09-16T02:46:00Z</cp:lastPrinted>
  <dcterms:created xsi:type="dcterms:W3CDTF">2014-09-16T02:34:00Z</dcterms:created>
  <dcterms:modified xsi:type="dcterms:W3CDTF">2014-10-01T00:41:00Z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