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B0DA1" w:rsidP="00CB0DA1">
      <w:pPr>
        <w:pStyle w:val="Chapter"/>
        <w:ind w:left="907" w:hanging="907"/>
      </w:pPr>
      <w:bookmarkStart w:id="0" w:name="_AppendixNotByChapter"/>
      <w:bookmarkStart w:id="1" w:name="ChapterNumber"/>
      <w:bookmarkStart w:id="2" w:name="_GoBack"/>
      <w:bookmarkEnd w:id="0"/>
      <w:bookmarkEnd w:id="2"/>
      <w:r>
        <w:t>H</w:t>
      </w:r>
      <w:bookmarkEnd w:id="1"/>
      <w:r>
        <w:tab/>
      </w:r>
      <w:bookmarkStart w:id="3" w:name="ChapterTitle"/>
      <w:r>
        <w:t>Eligibility for legal aid and the cost of extending it</w:t>
      </w:r>
      <w:bookmarkEnd w:id="3"/>
    </w:p>
    <w:p w:rsidR="009E778B" w:rsidRDefault="009E778B" w:rsidP="00F15784">
      <w:pPr>
        <w:pStyle w:val="BodyText"/>
      </w:pPr>
      <w:bookmarkStart w:id="4" w:name="begin"/>
      <w:bookmarkEnd w:id="4"/>
      <w:r>
        <w:t xml:space="preserve">This appendix describes the means test applied by legal aid commissions (LACs) to determine eligibility for grants of legal aid. Estimates of the number of households eligible for these services </w:t>
      </w:r>
      <w:r w:rsidR="007A2583">
        <w:t xml:space="preserve">are discussed in section </w:t>
      </w:r>
      <w:r w:rsidR="00C12E9C">
        <w:t>H</w:t>
      </w:r>
      <w:r w:rsidR="007A2583">
        <w:t>.1</w:t>
      </w:r>
      <w:r>
        <w:t>.</w:t>
      </w:r>
      <w:r w:rsidR="007A2583">
        <w:t xml:space="preserve"> </w:t>
      </w:r>
      <w:r w:rsidR="00BA40F0">
        <w:t xml:space="preserve">Section </w:t>
      </w:r>
      <w:r w:rsidR="00C12E9C">
        <w:t>H</w:t>
      </w:r>
      <w:r w:rsidR="00BA40F0">
        <w:t xml:space="preserve">.2 </w:t>
      </w:r>
      <w:r w:rsidR="007A2583">
        <w:t>details the Commission’s approach to estimating the additional cost ass</w:t>
      </w:r>
      <w:r w:rsidR="00CF2F66">
        <w:t>ociated with recommendation 21.4</w:t>
      </w:r>
      <w:r w:rsidR="007A2583">
        <w:t>.</w:t>
      </w:r>
    </w:p>
    <w:p w:rsidR="00114F5E" w:rsidRDefault="004330FD" w:rsidP="00591CEF">
      <w:pPr>
        <w:pStyle w:val="Heading2"/>
      </w:pPr>
      <w:r>
        <w:fldChar w:fldCharType="begin"/>
      </w:r>
      <w:r>
        <w:instrText xml:space="preserve"> COMMENTS  \* MERGEFORMAT </w:instrText>
      </w:r>
      <w:r>
        <w:fldChar w:fldCharType="separate"/>
      </w:r>
      <w:proofErr w:type="gramStart"/>
      <w:r w:rsidR="00CB0DA1">
        <w:t>H.</w:t>
      </w:r>
      <w:proofErr w:type="gramEnd"/>
      <w:r>
        <w:fldChar w:fldCharType="end"/>
      </w:r>
      <w:fldSimple w:instr=" SEQ Heading2 ">
        <w:r w:rsidR="00CB0DA1">
          <w:rPr>
            <w:noProof/>
          </w:rPr>
          <w:t>1</w:t>
        </w:r>
      </w:fldSimple>
      <w:r w:rsidR="00591CEF">
        <w:tab/>
      </w:r>
      <w:r w:rsidR="00405D87">
        <w:t>Who is eligible for legal aid?</w:t>
      </w:r>
      <w:r w:rsidR="00E8701C">
        <w:t xml:space="preserve"> </w:t>
      </w:r>
    </w:p>
    <w:p w:rsidR="00591CEF" w:rsidRDefault="00527D3C" w:rsidP="00591CEF">
      <w:pPr>
        <w:pStyle w:val="BodyText"/>
      </w:pPr>
      <w:r>
        <w:t>The LACs</w:t>
      </w:r>
      <w:r w:rsidR="00A34CA5">
        <w:t xml:space="preserve"> </w:t>
      </w:r>
      <w:r w:rsidR="00F77B00">
        <w:t>ration their service</w:t>
      </w:r>
      <w:r w:rsidR="00C77611">
        <w:t>s</w:t>
      </w:r>
      <w:r w:rsidR="00F77B00">
        <w:t xml:space="preserve"> by means, merit and matter. The means tests determine a threshold of income and assets above which applicants are denied legal aid</w:t>
      </w:r>
      <w:r w:rsidR="0059047E">
        <w:t>,</w:t>
      </w:r>
      <w:r w:rsidR="00F77B00">
        <w:t xml:space="preserve"> or are required to make a contribution towards the cost of their case.</w:t>
      </w:r>
      <w:r w:rsidR="00901F6D">
        <w:t xml:space="preserve"> Some types of legal aid services are not means tested, including minor assistance and information services (chapter</w:t>
      </w:r>
      <w:r w:rsidR="002373E6">
        <w:t> </w:t>
      </w:r>
      <w:r w:rsidR="00901F6D">
        <w:t>2</w:t>
      </w:r>
      <w:r w:rsidR="004368AD">
        <w:t>0)</w:t>
      </w:r>
      <w:r>
        <w:t>. This appendix focuses on those services that are means tested — specifically the grants of aid that comprise the bulk of LAC expenditure on civil</w:t>
      </w:r>
      <w:r w:rsidR="003F242D">
        <w:t>, including</w:t>
      </w:r>
      <w:r>
        <w:t xml:space="preserve"> family matters.</w:t>
      </w:r>
    </w:p>
    <w:p w:rsidR="00273CB4" w:rsidRDefault="00A57374" w:rsidP="00591CEF">
      <w:pPr>
        <w:pStyle w:val="BodyText"/>
      </w:pPr>
      <w:r>
        <w:t xml:space="preserve">The means tests vary </w:t>
      </w:r>
      <w:r w:rsidR="00EF5A62">
        <w:t xml:space="preserve">considerably </w:t>
      </w:r>
      <w:r>
        <w:t xml:space="preserve">between </w:t>
      </w:r>
      <w:r w:rsidR="006A4019">
        <w:t>LACs</w:t>
      </w:r>
      <w:r>
        <w:t xml:space="preserve">, but </w:t>
      </w:r>
      <w:r w:rsidR="00DB2188">
        <w:t>all</w:t>
      </w:r>
      <w:r>
        <w:t xml:space="preserve"> comprise an income and assets test</w:t>
      </w:r>
      <w:r w:rsidR="008249CF">
        <w:t xml:space="preserve"> component</w:t>
      </w:r>
      <w:r>
        <w:t xml:space="preserve">. </w:t>
      </w:r>
      <w:r w:rsidR="00EB7205">
        <w:t>The LACs typically use a measure of disposable income — that is, one that takes into account tax and welfare transfers — for the purposes of administering the income test, although some jurisdictions assess gross income.</w:t>
      </w:r>
      <w:r w:rsidR="00DF2C2B">
        <w:t xml:space="preserve"> Additional allowances are</w:t>
      </w:r>
      <w:r w:rsidR="00DE0EB0">
        <w:t xml:space="preserve"> also often made for the number of </w:t>
      </w:r>
      <w:r w:rsidR="005D34EF">
        <w:t xml:space="preserve">dependants </w:t>
      </w:r>
      <w:r w:rsidR="00DE0EB0">
        <w:t>and household expenses</w:t>
      </w:r>
      <w:r w:rsidR="00DF2C2B">
        <w:t xml:space="preserve">. The income tests imposed by </w:t>
      </w:r>
      <w:r w:rsidR="003A70AB">
        <w:t xml:space="preserve">the different </w:t>
      </w:r>
      <w:r w:rsidR="00DF2C2B">
        <w:t>LACs</w:t>
      </w:r>
      <w:r w:rsidR="00CA4386">
        <w:t xml:space="preserve"> for grants of legal aid</w:t>
      </w:r>
      <w:r w:rsidR="00DF2C2B">
        <w:t xml:space="preserve"> </w:t>
      </w:r>
      <w:r w:rsidR="003A70AB">
        <w:t>are</w:t>
      </w:r>
      <w:r w:rsidR="00DF2C2B">
        <w:t xml:space="preserve"> summarised in table</w:t>
      </w:r>
      <w:r w:rsidR="008F38DC">
        <w:t> </w:t>
      </w:r>
      <w:r w:rsidR="00EE4967">
        <w:t>H.1</w:t>
      </w:r>
      <w:r w:rsidR="00276DC9">
        <w:t>.</w:t>
      </w:r>
    </w:p>
    <w:p w:rsidR="004278F6" w:rsidRDefault="004278F6" w:rsidP="00591CEF">
      <w:pPr>
        <w:pStyle w:val="BodyText"/>
      </w:pPr>
      <w:r w:rsidRPr="00E048E3">
        <w:t xml:space="preserve">The assets test </w:t>
      </w:r>
      <w:r w:rsidR="009B614E" w:rsidRPr="00E048E3">
        <w:t xml:space="preserve">also </w:t>
      </w:r>
      <w:r w:rsidR="007D3EF7" w:rsidRPr="00E048E3">
        <w:t xml:space="preserve">varies </w:t>
      </w:r>
      <w:r w:rsidRPr="00E048E3">
        <w:t>considerably</w:t>
      </w:r>
      <w:r>
        <w:t xml:space="preserve"> across legal aid providers,</w:t>
      </w:r>
      <w:r w:rsidR="00164165">
        <w:t xml:space="preserve"> with</w:t>
      </w:r>
      <w:r>
        <w:t xml:space="preserve"> </w:t>
      </w:r>
      <w:r w:rsidR="001A00BD">
        <w:t>different</w:t>
      </w:r>
      <w:r w:rsidR="003642D4">
        <w:t xml:space="preserve"> allowances for equity in housing, vehicles, businesses and other assets. Where an applicant’s </w:t>
      </w:r>
      <w:r w:rsidR="003C54DE">
        <w:t xml:space="preserve">total assets exceed the threshold allowed, then they are usually expected to make </w:t>
      </w:r>
      <w:r w:rsidR="00775027">
        <w:t xml:space="preserve">a </w:t>
      </w:r>
      <w:r w:rsidR="003C54DE">
        <w:t>contribution towards the cost of their case. The asset</w:t>
      </w:r>
      <w:r w:rsidR="009A0D59">
        <w:t>s test</w:t>
      </w:r>
      <w:r w:rsidR="003C54DE">
        <w:t xml:space="preserve"> used by t</w:t>
      </w:r>
      <w:r w:rsidR="00027ACC">
        <w:t>he LACs</w:t>
      </w:r>
      <w:r w:rsidR="00B252A5">
        <w:t xml:space="preserve"> for grants of legal aid</w:t>
      </w:r>
      <w:r w:rsidR="00027ACC">
        <w:t xml:space="preserve"> are summarised in table</w:t>
      </w:r>
      <w:r>
        <w:t xml:space="preserve"> </w:t>
      </w:r>
      <w:r w:rsidR="00EE4967">
        <w:t>H.2</w:t>
      </w:r>
      <w:r w:rsidR="00F66A74">
        <w:t>.</w:t>
      </w:r>
    </w:p>
    <w:p w:rsidR="00AA3746" w:rsidRDefault="00AA3746">
      <w:pPr>
        <w:pStyle w:val="BodyText"/>
      </w:pPr>
    </w:p>
    <w:p w:rsidR="00AA3746" w:rsidRDefault="00AA3746">
      <w:pPr>
        <w:pStyle w:val="BodyText"/>
        <w:sectPr w:rsidR="00AA3746" w:rsidSect="00522E27">
          <w:headerReference w:type="even" r:id="rId9"/>
          <w:headerReference w:type="default" r:id="rId10"/>
          <w:footerReference w:type="even" r:id="rId11"/>
          <w:footerReference w:type="default" r:id="rId12"/>
          <w:pgSz w:w="11907" w:h="16840" w:code="9"/>
          <w:pgMar w:top="1985" w:right="1304" w:bottom="1418" w:left="1814" w:header="1701" w:footer="567" w:gutter="0"/>
          <w:pgNumType w:start="1013" w:chapStyle="1" w:chapSep="period"/>
          <w:cols w:space="720"/>
        </w:sectPr>
      </w:pPr>
    </w:p>
    <w:tbl>
      <w:tblPr>
        <w:tblW w:w="14132"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4132"/>
      </w:tblGrid>
      <w:tr w:rsidR="00AA3746" w:rsidTr="00B34E2A">
        <w:tc>
          <w:tcPr>
            <w:tcW w:w="14132" w:type="dxa"/>
            <w:tcBorders>
              <w:top w:val="single" w:sz="6" w:space="0" w:color="78A22F" w:themeColor="accent1"/>
              <w:left w:val="nil"/>
              <w:bottom w:val="nil"/>
              <w:right w:val="nil"/>
            </w:tcBorders>
            <w:shd w:val="clear" w:color="auto" w:fill="auto"/>
          </w:tcPr>
          <w:p w:rsidR="00AA3746" w:rsidRPr="00784A05" w:rsidRDefault="00AA3746" w:rsidP="00AA3746">
            <w:pPr>
              <w:pStyle w:val="TableTitle"/>
            </w:pPr>
            <w:r>
              <w:rPr>
                <w:b w:val="0"/>
              </w:rPr>
              <w:lastRenderedPageBreak/>
              <w:t xml:space="preserve">Table </w:t>
            </w:r>
            <w:bookmarkStart w:id="5" w:name="OLE_LINK3"/>
            <w:r>
              <w:rPr>
                <w:b w:val="0"/>
              </w:rPr>
              <w:fldChar w:fldCharType="begin"/>
            </w:r>
            <w:r>
              <w:rPr>
                <w:b w:val="0"/>
              </w:rPr>
              <w:instrText xml:space="preserve"> COMMENTS  \* MERGEFORMAT </w:instrText>
            </w:r>
            <w:r>
              <w:rPr>
                <w:b w:val="0"/>
              </w:rPr>
              <w:fldChar w:fldCharType="separate"/>
            </w:r>
            <w:r w:rsidR="00CB0DA1">
              <w:rPr>
                <w:b w:val="0"/>
              </w:rPr>
              <w:t>H.</w:t>
            </w:r>
            <w:r>
              <w:rPr>
                <w:b w:val="0"/>
              </w:rPr>
              <w:fldChar w:fldCharType="end"/>
            </w:r>
            <w:r>
              <w:rPr>
                <w:b w:val="0"/>
              </w:rPr>
              <w:fldChar w:fldCharType="begin"/>
            </w:r>
            <w:r>
              <w:rPr>
                <w:b w:val="0"/>
              </w:rPr>
              <w:instrText xml:space="preserve"> SEQ Table \* ARABIC </w:instrText>
            </w:r>
            <w:r>
              <w:rPr>
                <w:b w:val="0"/>
              </w:rPr>
              <w:fldChar w:fldCharType="separate"/>
            </w:r>
            <w:r w:rsidR="00CB0DA1">
              <w:rPr>
                <w:b w:val="0"/>
                <w:noProof/>
              </w:rPr>
              <w:t>1</w:t>
            </w:r>
            <w:r>
              <w:rPr>
                <w:b w:val="0"/>
              </w:rPr>
              <w:fldChar w:fldCharType="end"/>
            </w:r>
            <w:bookmarkEnd w:id="5"/>
            <w:r>
              <w:tab/>
              <w:t>Summary of income test thresholds for which no further contribution is required</w:t>
            </w:r>
            <w:r w:rsidRPr="00230905">
              <w:rPr>
                <w:rStyle w:val="NoteLabel"/>
                <w:b/>
              </w:rPr>
              <w:t>a</w:t>
            </w:r>
          </w:p>
        </w:tc>
      </w:tr>
      <w:tr w:rsidR="00AA3746" w:rsidTr="00B34E2A">
        <w:trPr>
          <w:cantSplit/>
        </w:trPr>
        <w:tc>
          <w:tcPr>
            <w:tcW w:w="14132" w:type="dxa"/>
            <w:tcBorders>
              <w:top w:val="nil"/>
              <w:left w:val="nil"/>
              <w:bottom w:val="single" w:sz="4" w:space="0" w:color="BFBFBF" w:themeColor="background2"/>
              <w:right w:val="nil"/>
            </w:tcBorders>
            <w:shd w:val="clear" w:color="auto" w:fill="auto"/>
          </w:tcPr>
          <w:tbl>
            <w:tblPr>
              <w:tblW w:w="13848" w:type="dxa"/>
              <w:tblCellMar>
                <w:left w:w="0" w:type="dxa"/>
                <w:right w:w="0" w:type="dxa"/>
              </w:tblCellMar>
              <w:tblLook w:val="0000" w:firstRow="0" w:lastRow="0" w:firstColumn="0" w:lastColumn="0" w:noHBand="0" w:noVBand="0"/>
            </w:tblPr>
            <w:tblGrid>
              <w:gridCol w:w="1369"/>
              <w:gridCol w:w="1304"/>
              <w:gridCol w:w="141"/>
              <w:gridCol w:w="3119"/>
              <w:gridCol w:w="2127"/>
              <w:gridCol w:w="141"/>
              <w:gridCol w:w="5647"/>
            </w:tblGrid>
            <w:tr w:rsidR="006D34F7" w:rsidTr="002A3785">
              <w:tc>
                <w:tcPr>
                  <w:tcW w:w="494" w:type="pct"/>
                  <w:tcBorders>
                    <w:top w:val="single" w:sz="6" w:space="0" w:color="BFBFBF" w:themeColor="background2"/>
                    <w:bottom w:val="single" w:sz="6" w:space="0" w:color="BFBFBF" w:themeColor="background2"/>
                  </w:tcBorders>
                  <w:shd w:val="clear" w:color="auto" w:fill="auto"/>
                </w:tcPr>
                <w:p w:rsidR="008E279C" w:rsidRDefault="008E279C" w:rsidP="00CD3009">
                  <w:pPr>
                    <w:pStyle w:val="TableColumnHeading"/>
                    <w:jc w:val="left"/>
                  </w:pPr>
                  <w:r>
                    <w:t xml:space="preserve">Legal </w:t>
                  </w:r>
                  <w:r w:rsidR="00CD3009">
                    <w:t>aid commission</w:t>
                  </w:r>
                </w:p>
              </w:tc>
              <w:tc>
                <w:tcPr>
                  <w:tcW w:w="471" w:type="pct"/>
                  <w:tcBorders>
                    <w:top w:val="single" w:sz="6" w:space="0" w:color="BFBFBF" w:themeColor="background2"/>
                    <w:bottom w:val="single" w:sz="6" w:space="0" w:color="BFBFBF" w:themeColor="background2"/>
                  </w:tcBorders>
                </w:tcPr>
                <w:p w:rsidR="008E279C" w:rsidRPr="00A005DC" w:rsidRDefault="008E279C" w:rsidP="008E279C">
                  <w:pPr>
                    <w:pStyle w:val="TableColumnHeading"/>
                    <w:ind w:right="28"/>
                    <w:rPr>
                      <w:b/>
                    </w:rPr>
                  </w:pPr>
                  <w:r>
                    <w:rPr>
                      <w:b/>
                    </w:rPr>
                    <w:t>Threshold of income, above which a contribution is required (net of allowances)</w:t>
                  </w:r>
                </w:p>
              </w:tc>
              <w:tc>
                <w:tcPr>
                  <w:tcW w:w="51" w:type="pct"/>
                  <w:tcBorders>
                    <w:top w:val="single" w:sz="6" w:space="0" w:color="BFBFBF" w:themeColor="background2"/>
                    <w:bottom w:val="single" w:sz="6" w:space="0" w:color="BFBFBF" w:themeColor="background2"/>
                  </w:tcBorders>
                </w:tcPr>
                <w:p w:rsidR="008E279C" w:rsidRDefault="008E279C" w:rsidP="008E279C">
                  <w:pPr>
                    <w:pStyle w:val="TableColumnHeading"/>
                    <w:ind w:right="28"/>
                  </w:pPr>
                </w:p>
              </w:tc>
              <w:tc>
                <w:tcPr>
                  <w:tcW w:w="1126" w:type="pct"/>
                  <w:tcBorders>
                    <w:top w:val="single" w:sz="6" w:space="0" w:color="BFBFBF" w:themeColor="background2"/>
                    <w:bottom w:val="single" w:sz="6" w:space="0" w:color="BFBFBF" w:themeColor="background2"/>
                  </w:tcBorders>
                </w:tcPr>
                <w:p w:rsidR="008E279C" w:rsidRDefault="008E279C" w:rsidP="008E279C">
                  <w:pPr>
                    <w:pStyle w:val="TableColumnHeading"/>
                    <w:ind w:right="28"/>
                  </w:pPr>
                  <w:r>
                    <w:t>Allowance for children and dependants</w:t>
                  </w:r>
                </w:p>
              </w:tc>
              <w:tc>
                <w:tcPr>
                  <w:tcW w:w="768" w:type="pct"/>
                  <w:tcBorders>
                    <w:top w:val="single" w:sz="6" w:space="0" w:color="BFBFBF" w:themeColor="background2"/>
                    <w:bottom w:val="single" w:sz="6" w:space="0" w:color="BFBFBF" w:themeColor="background2"/>
                  </w:tcBorders>
                </w:tcPr>
                <w:p w:rsidR="008E279C" w:rsidRDefault="008E279C" w:rsidP="008E279C">
                  <w:pPr>
                    <w:pStyle w:val="TableColumnHeading"/>
                    <w:ind w:right="28"/>
                  </w:pPr>
                  <w:r>
                    <w:t>Allowances for rental assistance and other household costs</w:t>
                  </w:r>
                </w:p>
              </w:tc>
              <w:tc>
                <w:tcPr>
                  <w:tcW w:w="51" w:type="pct"/>
                  <w:tcBorders>
                    <w:top w:val="single" w:sz="6" w:space="0" w:color="BFBFBF" w:themeColor="background2"/>
                    <w:bottom w:val="single" w:sz="6" w:space="0" w:color="BFBFBF" w:themeColor="background2"/>
                  </w:tcBorders>
                </w:tcPr>
                <w:p w:rsidR="008E279C" w:rsidRDefault="008E279C" w:rsidP="008E279C">
                  <w:pPr>
                    <w:pStyle w:val="TableColumnHeading"/>
                    <w:ind w:right="28"/>
                  </w:pPr>
                </w:p>
              </w:tc>
              <w:tc>
                <w:tcPr>
                  <w:tcW w:w="2039" w:type="pct"/>
                  <w:tcBorders>
                    <w:top w:val="single" w:sz="6" w:space="0" w:color="BFBFBF" w:themeColor="background2"/>
                    <w:bottom w:val="single" w:sz="6" w:space="0" w:color="BFBFBF" w:themeColor="background2"/>
                  </w:tcBorders>
                  <w:shd w:val="clear" w:color="auto" w:fill="auto"/>
                </w:tcPr>
                <w:p w:rsidR="008E279C" w:rsidRDefault="008E279C" w:rsidP="008E279C">
                  <w:pPr>
                    <w:pStyle w:val="TableColumnHeading"/>
                    <w:ind w:right="28"/>
                  </w:pPr>
                  <w:r>
                    <w:t>Other allowances, notes</w:t>
                  </w:r>
                </w:p>
              </w:tc>
            </w:tr>
            <w:tr w:rsidR="006D34F7" w:rsidTr="002A3785">
              <w:tc>
                <w:tcPr>
                  <w:tcW w:w="494" w:type="pct"/>
                  <w:shd w:val="clear" w:color="auto" w:fill="F2F2F2" w:themeFill="background1" w:themeFillShade="F2"/>
                </w:tcPr>
                <w:p w:rsidR="008E279C" w:rsidRDefault="008E279C" w:rsidP="008E279C">
                  <w:pPr>
                    <w:pStyle w:val="TableBodyText"/>
                    <w:jc w:val="left"/>
                  </w:pPr>
                  <w:r>
                    <w:t>Legal Aid New South Wales</w:t>
                  </w:r>
                </w:p>
              </w:tc>
              <w:tc>
                <w:tcPr>
                  <w:tcW w:w="471" w:type="pct"/>
                  <w:shd w:val="clear" w:color="auto" w:fill="F2F2F2" w:themeFill="background1" w:themeFillShade="F2"/>
                </w:tcPr>
                <w:p w:rsidR="008E279C" w:rsidRDefault="008E279C" w:rsidP="008E279C">
                  <w:pPr>
                    <w:pStyle w:val="TableBodyText"/>
                    <w:ind w:right="28"/>
                  </w:pPr>
                  <w:r>
                    <w:t>$213 per week</w:t>
                  </w:r>
                </w:p>
              </w:tc>
              <w:tc>
                <w:tcPr>
                  <w:tcW w:w="51" w:type="pct"/>
                  <w:shd w:val="clear" w:color="auto" w:fill="F2F2F2" w:themeFill="background1" w:themeFillShade="F2"/>
                </w:tcPr>
                <w:p w:rsidR="008E279C" w:rsidRDefault="008E279C" w:rsidP="008E279C">
                  <w:pPr>
                    <w:pStyle w:val="TableBodyText"/>
                    <w:ind w:right="28"/>
                  </w:pPr>
                </w:p>
              </w:tc>
              <w:tc>
                <w:tcPr>
                  <w:tcW w:w="1126" w:type="pct"/>
                  <w:shd w:val="clear" w:color="auto" w:fill="F2F2F2" w:themeFill="background1" w:themeFillShade="F2"/>
                </w:tcPr>
                <w:p w:rsidR="008E279C" w:rsidRDefault="008E279C" w:rsidP="008E279C">
                  <w:pPr>
                    <w:pStyle w:val="TableBodyText"/>
                    <w:ind w:right="28"/>
                  </w:pPr>
                  <w:r>
                    <w:t>$120 per week per dependant</w:t>
                  </w:r>
                </w:p>
              </w:tc>
              <w:tc>
                <w:tcPr>
                  <w:tcW w:w="768" w:type="pct"/>
                  <w:shd w:val="clear" w:color="auto" w:fill="F2F2F2" w:themeFill="background1" w:themeFillShade="F2"/>
                </w:tcPr>
                <w:p w:rsidR="008E279C" w:rsidRDefault="008E279C" w:rsidP="008E279C">
                  <w:pPr>
                    <w:pStyle w:val="TableBodyText"/>
                    <w:ind w:right="28"/>
                  </w:pPr>
                  <w:r>
                    <w:t>$320-</w:t>
                  </w:r>
                  <w:r w:rsidR="00C719E8">
                    <w:t>$</w:t>
                  </w:r>
                  <w:r>
                    <w:t>455 per week</w:t>
                  </w:r>
                </w:p>
              </w:tc>
              <w:tc>
                <w:tcPr>
                  <w:tcW w:w="51" w:type="pct"/>
                  <w:shd w:val="clear" w:color="auto" w:fill="F2F2F2" w:themeFill="background1" w:themeFillShade="F2"/>
                </w:tcPr>
                <w:p w:rsidR="008E279C" w:rsidRDefault="008E279C" w:rsidP="008E279C">
                  <w:pPr>
                    <w:pStyle w:val="TableBodyText"/>
                    <w:ind w:right="28"/>
                  </w:pPr>
                </w:p>
              </w:tc>
              <w:tc>
                <w:tcPr>
                  <w:tcW w:w="2039" w:type="pct"/>
                  <w:shd w:val="clear" w:color="auto" w:fill="F2F2F2" w:themeFill="background1" w:themeFillShade="F2"/>
                </w:tcPr>
                <w:p w:rsidR="008E279C" w:rsidRDefault="008E279C" w:rsidP="00B96092">
                  <w:pPr>
                    <w:pStyle w:val="TableBodyText"/>
                    <w:ind w:right="28"/>
                  </w:pPr>
                  <w:r>
                    <w:t>Net of income tax and Medicare levy, family tax benefits, carer allowance, rent assistance, NDIS amounts</w:t>
                  </w:r>
                  <w:r w:rsidR="00B96092">
                    <w:t xml:space="preserve">; </w:t>
                  </w:r>
                  <w:r>
                    <w:t>up to $250 per week in childcare costs; up to $120 per week per child in child support payments</w:t>
                  </w:r>
                </w:p>
              </w:tc>
            </w:tr>
            <w:tr w:rsidR="006D34F7" w:rsidTr="002A3785">
              <w:tc>
                <w:tcPr>
                  <w:tcW w:w="494" w:type="pct"/>
                </w:tcPr>
                <w:p w:rsidR="008E279C" w:rsidRDefault="008E279C" w:rsidP="008E279C">
                  <w:pPr>
                    <w:pStyle w:val="TableBodyText"/>
                    <w:jc w:val="left"/>
                  </w:pPr>
                  <w:r>
                    <w:t>Victoria Legal Aid</w:t>
                  </w:r>
                </w:p>
              </w:tc>
              <w:tc>
                <w:tcPr>
                  <w:tcW w:w="471" w:type="pct"/>
                </w:tcPr>
                <w:p w:rsidR="008E279C" w:rsidRDefault="008E279C" w:rsidP="008E279C">
                  <w:pPr>
                    <w:pStyle w:val="TableBodyText"/>
                    <w:ind w:right="28"/>
                  </w:pPr>
                  <w:r>
                    <w:t>$255 per week</w:t>
                  </w:r>
                </w:p>
              </w:tc>
              <w:tc>
                <w:tcPr>
                  <w:tcW w:w="51" w:type="pct"/>
                </w:tcPr>
                <w:p w:rsidR="008E279C" w:rsidRDefault="008E279C" w:rsidP="008E279C">
                  <w:pPr>
                    <w:pStyle w:val="TableBodyText"/>
                    <w:ind w:right="28"/>
                  </w:pPr>
                </w:p>
              </w:tc>
              <w:tc>
                <w:tcPr>
                  <w:tcW w:w="1126" w:type="pct"/>
                </w:tcPr>
                <w:p w:rsidR="008E279C" w:rsidRDefault="008E279C" w:rsidP="008E279C">
                  <w:pPr>
                    <w:pStyle w:val="TableBodyText"/>
                    <w:ind w:right="28"/>
                  </w:pPr>
                  <w:r>
                    <w:t>$130 per week for first dependant, $125 per week for each dependant thereafter</w:t>
                  </w:r>
                </w:p>
              </w:tc>
              <w:tc>
                <w:tcPr>
                  <w:tcW w:w="768" w:type="pct"/>
                </w:tcPr>
                <w:p w:rsidR="008E279C" w:rsidRDefault="008E279C" w:rsidP="008E279C">
                  <w:pPr>
                    <w:pStyle w:val="TableBodyText"/>
                    <w:ind w:right="28"/>
                  </w:pPr>
                  <w:r>
                    <w:t>$240 per week</w:t>
                  </w:r>
                </w:p>
              </w:tc>
              <w:tc>
                <w:tcPr>
                  <w:tcW w:w="51" w:type="pct"/>
                </w:tcPr>
                <w:p w:rsidR="008E279C" w:rsidRDefault="008E279C" w:rsidP="008E279C">
                  <w:pPr>
                    <w:pStyle w:val="TableBodyText"/>
                    <w:ind w:right="28"/>
                  </w:pPr>
                </w:p>
              </w:tc>
              <w:tc>
                <w:tcPr>
                  <w:tcW w:w="2039" w:type="pct"/>
                </w:tcPr>
                <w:p w:rsidR="008E279C" w:rsidRDefault="008E279C" w:rsidP="00B96092">
                  <w:pPr>
                    <w:pStyle w:val="TableBodyText"/>
                    <w:ind w:right="28"/>
                  </w:pPr>
                  <w:r>
                    <w:t>Income tax, the Medicare levy, business expenses</w:t>
                  </w:r>
                  <w:r w:rsidR="00B96092">
                    <w:t xml:space="preserve">; </w:t>
                  </w:r>
                  <w:r>
                    <w:t>up to $240 per week in childcare costs</w:t>
                  </w:r>
                  <w:r w:rsidR="00B96092">
                    <w:t xml:space="preserve">; </w:t>
                  </w:r>
                  <w:r>
                    <w:t>up to</w:t>
                  </w:r>
                  <w:r w:rsidR="003C4012">
                    <w:t xml:space="preserve"> </w:t>
                  </w:r>
                  <w:r>
                    <w:t>$125</w:t>
                  </w:r>
                  <w:r>
                    <w:noBreakHyphen/>
                    <w:t>130</w:t>
                  </w:r>
                  <w:r w:rsidR="007B2E44">
                    <w:t xml:space="preserve"> per week</w:t>
                  </w:r>
                  <w:r>
                    <w:t xml:space="preserve"> in child support payments</w:t>
                  </w:r>
                </w:p>
              </w:tc>
            </w:tr>
            <w:tr w:rsidR="006D34F7" w:rsidTr="002A3785">
              <w:tc>
                <w:tcPr>
                  <w:tcW w:w="494" w:type="pct"/>
                  <w:shd w:val="clear" w:color="auto" w:fill="F2F2F2" w:themeFill="background1" w:themeFillShade="F2"/>
                </w:tcPr>
                <w:p w:rsidR="008E279C" w:rsidRDefault="008E279C" w:rsidP="00E76D98">
                  <w:pPr>
                    <w:pStyle w:val="TableBodyText"/>
                    <w:jc w:val="left"/>
                  </w:pPr>
                  <w:r>
                    <w:t xml:space="preserve">Legal Aid </w:t>
                  </w:r>
                  <w:r w:rsidR="00E76D98">
                    <w:t>Qld</w:t>
                  </w:r>
                </w:p>
              </w:tc>
              <w:tc>
                <w:tcPr>
                  <w:tcW w:w="471" w:type="pct"/>
                  <w:shd w:val="clear" w:color="auto" w:fill="F2F2F2" w:themeFill="background1" w:themeFillShade="F2"/>
                </w:tcPr>
                <w:p w:rsidR="008E279C" w:rsidRDefault="008E279C" w:rsidP="008E279C">
                  <w:pPr>
                    <w:pStyle w:val="TableBodyText"/>
                    <w:ind w:right="28"/>
                  </w:pPr>
                  <w:r>
                    <w:t>$370</w:t>
                  </w:r>
                  <w:r>
                    <w:noBreakHyphen/>
                  </w:r>
                  <w:r w:rsidR="00C719E8">
                    <w:t>$</w:t>
                  </w:r>
                  <w:r>
                    <w:t>1</w:t>
                  </w:r>
                  <w:r w:rsidR="003C4012">
                    <w:t> </w:t>
                  </w:r>
                  <w:r>
                    <w:t xml:space="preserve">370 </w:t>
                  </w:r>
                  <w:r>
                    <w:br/>
                    <w:t>per week</w:t>
                  </w:r>
                </w:p>
              </w:tc>
              <w:tc>
                <w:tcPr>
                  <w:tcW w:w="51" w:type="pct"/>
                  <w:shd w:val="clear" w:color="auto" w:fill="F2F2F2" w:themeFill="background1" w:themeFillShade="F2"/>
                </w:tcPr>
                <w:p w:rsidR="008E279C" w:rsidRDefault="008E279C" w:rsidP="008E279C">
                  <w:pPr>
                    <w:pStyle w:val="TableBodyText"/>
                    <w:ind w:right="28"/>
                  </w:pPr>
                </w:p>
              </w:tc>
              <w:tc>
                <w:tcPr>
                  <w:tcW w:w="1126" w:type="pct"/>
                  <w:shd w:val="clear" w:color="auto" w:fill="F2F2F2" w:themeFill="background1" w:themeFillShade="F2"/>
                </w:tcPr>
                <w:p w:rsidR="008E279C" w:rsidRDefault="008E279C" w:rsidP="008E279C">
                  <w:pPr>
                    <w:pStyle w:val="TableBodyText"/>
                    <w:ind w:right="28"/>
                  </w:pPr>
                </w:p>
              </w:tc>
              <w:tc>
                <w:tcPr>
                  <w:tcW w:w="768" w:type="pct"/>
                  <w:shd w:val="clear" w:color="auto" w:fill="F2F2F2" w:themeFill="background1" w:themeFillShade="F2"/>
                </w:tcPr>
                <w:p w:rsidR="008E279C" w:rsidRDefault="008E279C" w:rsidP="008E279C">
                  <w:pPr>
                    <w:pStyle w:val="TableBodyText"/>
                    <w:ind w:right="28"/>
                  </w:pPr>
                </w:p>
              </w:tc>
              <w:tc>
                <w:tcPr>
                  <w:tcW w:w="51" w:type="pct"/>
                  <w:shd w:val="clear" w:color="auto" w:fill="F2F2F2" w:themeFill="background1" w:themeFillShade="F2"/>
                </w:tcPr>
                <w:p w:rsidR="008E279C" w:rsidRDefault="008E279C" w:rsidP="008E279C">
                  <w:pPr>
                    <w:pStyle w:val="TableBodyText"/>
                    <w:ind w:right="28"/>
                  </w:pPr>
                </w:p>
              </w:tc>
              <w:tc>
                <w:tcPr>
                  <w:tcW w:w="2039" w:type="pct"/>
                  <w:shd w:val="clear" w:color="auto" w:fill="F2F2F2" w:themeFill="background1" w:themeFillShade="F2"/>
                </w:tcPr>
                <w:p w:rsidR="008E279C" w:rsidRDefault="008E279C" w:rsidP="008E279C">
                  <w:pPr>
                    <w:pStyle w:val="TableBodyText"/>
                    <w:ind w:right="28"/>
                  </w:pPr>
                  <w:r>
                    <w:t>Gross income measure that depends on number of children</w:t>
                  </w:r>
                </w:p>
              </w:tc>
            </w:tr>
            <w:tr w:rsidR="006D34F7" w:rsidTr="002A3785">
              <w:tc>
                <w:tcPr>
                  <w:tcW w:w="494" w:type="pct"/>
                </w:tcPr>
                <w:p w:rsidR="008E279C" w:rsidRDefault="008E279C" w:rsidP="008E279C">
                  <w:pPr>
                    <w:pStyle w:val="TableBodyText"/>
                    <w:jc w:val="left"/>
                  </w:pPr>
                  <w:r>
                    <w:t>Legal Services Commission of South Australia</w:t>
                  </w:r>
                </w:p>
              </w:tc>
              <w:tc>
                <w:tcPr>
                  <w:tcW w:w="471" w:type="pct"/>
                </w:tcPr>
                <w:p w:rsidR="008E279C" w:rsidRDefault="008E279C" w:rsidP="008E279C">
                  <w:pPr>
                    <w:pStyle w:val="TableBodyText"/>
                    <w:ind w:right="28"/>
                  </w:pPr>
                  <w:r>
                    <w:t>$342 per week</w:t>
                  </w:r>
                </w:p>
              </w:tc>
              <w:tc>
                <w:tcPr>
                  <w:tcW w:w="51" w:type="pct"/>
                </w:tcPr>
                <w:p w:rsidR="008E279C" w:rsidRDefault="008E279C" w:rsidP="008E279C">
                  <w:pPr>
                    <w:pStyle w:val="TableBodyText"/>
                    <w:ind w:right="28"/>
                  </w:pPr>
                </w:p>
              </w:tc>
              <w:tc>
                <w:tcPr>
                  <w:tcW w:w="1126" w:type="pct"/>
                </w:tcPr>
                <w:p w:rsidR="008E279C" w:rsidRDefault="008E279C" w:rsidP="008E279C">
                  <w:pPr>
                    <w:pStyle w:val="TableBodyText"/>
                    <w:ind w:right="28"/>
                  </w:pPr>
                  <w:r>
                    <w:t>$128 per week for first dependant, $120 per week for each dependant thereafter</w:t>
                  </w:r>
                </w:p>
              </w:tc>
              <w:tc>
                <w:tcPr>
                  <w:tcW w:w="768" w:type="pct"/>
                </w:tcPr>
                <w:p w:rsidR="008E279C" w:rsidRDefault="008E279C" w:rsidP="008E279C">
                  <w:pPr>
                    <w:pStyle w:val="TableBodyText"/>
                    <w:ind w:right="28"/>
                  </w:pPr>
                  <w:r>
                    <w:t>See note</w:t>
                  </w:r>
                  <w:r>
                    <w:rPr>
                      <w:rStyle w:val="NoteLabel"/>
                    </w:rPr>
                    <w:t>b</w:t>
                  </w:r>
                </w:p>
              </w:tc>
              <w:tc>
                <w:tcPr>
                  <w:tcW w:w="51" w:type="pct"/>
                </w:tcPr>
                <w:p w:rsidR="008E279C" w:rsidRDefault="008E279C" w:rsidP="008E279C">
                  <w:pPr>
                    <w:pStyle w:val="TableBodyText"/>
                    <w:ind w:right="28"/>
                  </w:pPr>
                </w:p>
              </w:tc>
              <w:tc>
                <w:tcPr>
                  <w:tcW w:w="2039" w:type="pct"/>
                </w:tcPr>
                <w:p w:rsidR="008E279C" w:rsidRDefault="008E279C" w:rsidP="008E279C">
                  <w:pPr>
                    <w:pStyle w:val="TableBodyText"/>
                    <w:ind w:right="28"/>
                  </w:pPr>
                  <w:r>
                    <w:t>Allows a range of deductions for expenses such as tax, childcare and household expenses, but only up to a maximum level linked to the Henderson poverty line</w:t>
                  </w:r>
                </w:p>
              </w:tc>
            </w:tr>
            <w:tr w:rsidR="006D34F7" w:rsidTr="002A3785">
              <w:tc>
                <w:tcPr>
                  <w:tcW w:w="494" w:type="pct"/>
                  <w:shd w:val="clear" w:color="auto" w:fill="F2F2F2" w:themeFill="background1" w:themeFillShade="F2"/>
                </w:tcPr>
                <w:p w:rsidR="008E279C" w:rsidRDefault="008E279C" w:rsidP="009D1BBB">
                  <w:pPr>
                    <w:pStyle w:val="TableBodyText"/>
                    <w:jc w:val="left"/>
                  </w:pPr>
                  <w:r>
                    <w:t xml:space="preserve">Legal Aid </w:t>
                  </w:r>
                  <w:r w:rsidR="009D1BBB">
                    <w:t>WA</w:t>
                  </w:r>
                </w:p>
              </w:tc>
              <w:tc>
                <w:tcPr>
                  <w:tcW w:w="471" w:type="pct"/>
                  <w:shd w:val="clear" w:color="auto" w:fill="F2F2F2" w:themeFill="background1" w:themeFillShade="F2"/>
                </w:tcPr>
                <w:p w:rsidR="008E279C" w:rsidRDefault="008E279C" w:rsidP="008E279C">
                  <w:pPr>
                    <w:pStyle w:val="TableBodyText"/>
                    <w:ind w:right="28"/>
                  </w:pPr>
                  <w:r>
                    <w:t>$264 per week</w:t>
                  </w:r>
                </w:p>
              </w:tc>
              <w:tc>
                <w:tcPr>
                  <w:tcW w:w="51" w:type="pct"/>
                  <w:shd w:val="clear" w:color="auto" w:fill="F2F2F2" w:themeFill="background1" w:themeFillShade="F2"/>
                </w:tcPr>
                <w:p w:rsidR="008E279C" w:rsidRDefault="008E279C" w:rsidP="008E279C">
                  <w:pPr>
                    <w:pStyle w:val="TableBodyText"/>
                    <w:ind w:right="28"/>
                  </w:pPr>
                </w:p>
              </w:tc>
              <w:tc>
                <w:tcPr>
                  <w:tcW w:w="1126" w:type="pct"/>
                  <w:shd w:val="clear" w:color="auto" w:fill="F2F2F2" w:themeFill="background1" w:themeFillShade="F2"/>
                </w:tcPr>
                <w:p w:rsidR="008E279C" w:rsidRDefault="008E279C" w:rsidP="008E279C">
                  <w:pPr>
                    <w:pStyle w:val="TableBodyText"/>
                    <w:ind w:right="28"/>
                  </w:pPr>
                  <w:r>
                    <w:t>$99 for first dependant, $93 for each dependant thereafter</w:t>
                  </w:r>
                </w:p>
              </w:tc>
              <w:tc>
                <w:tcPr>
                  <w:tcW w:w="768" w:type="pct"/>
                  <w:shd w:val="clear" w:color="auto" w:fill="F2F2F2" w:themeFill="background1" w:themeFillShade="F2"/>
                </w:tcPr>
                <w:p w:rsidR="008E279C" w:rsidRDefault="008E279C" w:rsidP="008E279C">
                  <w:pPr>
                    <w:pStyle w:val="TableBodyText"/>
                    <w:ind w:right="28"/>
                  </w:pPr>
                  <w:r>
                    <w:t>$260</w:t>
                  </w:r>
                  <w:r>
                    <w:noBreakHyphen/>
                  </w:r>
                  <w:r w:rsidR="00C719E8">
                    <w:t>$</w:t>
                  </w:r>
                  <w:r>
                    <w:t xml:space="preserve">390 per week </w:t>
                  </w:r>
                </w:p>
              </w:tc>
              <w:tc>
                <w:tcPr>
                  <w:tcW w:w="51" w:type="pct"/>
                  <w:shd w:val="clear" w:color="auto" w:fill="F2F2F2" w:themeFill="background1" w:themeFillShade="F2"/>
                </w:tcPr>
                <w:p w:rsidR="008E279C" w:rsidRDefault="008E279C" w:rsidP="008E279C">
                  <w:pPr>
                    <w:pStyle w:val="TableBodyText"/>
                    <w:ind w:right="28"/>
                  </w:pPr>
                </w:p>
              </w:tc>
              <w:tc>
                <w:tcPr>
                  <w:tcW w:w="2039" w:type="pct"/>
                  <w:shd w:val="clear" w:color="auto" w:fill="F2F2F2" w:themeFill="background1" w:themeFillShade="F2"/>
                </w:tcPr>
                <w:p w:rsidR="008E279C" w:rsidRDefault="008E279C" w:rsidP="008E279C">
                  <w:pPr>
                    <w:pStyle w:val="TableBodyText"/>
                    <w:ind w:right="28"/>
                  </w:pPr>
                  <w:r>
                    <w:t xml:space="preserve">Net of income tax and the Medicare levy; $148 per week in childcare costs; child support payments using the same scale as the allowance for children and dependants </w:t>
                  </w:r>
                </w:p>
              </w:tc>
            </w:tr>
            <w:tr w:rsidR="006D34F7" w:rsidTr="002A3785">
              <w:tc>
                <w:tcPr>
                  <w:tcW w:w="494" w:type="pct"/>
                </w:tcPr>
                <w:p w:rsidR="008E279C" w:rsidRDefault="008E279C" w:rsidP="008E279C">
                  <w:pPr>
                    <w:pStyle w:val="TableBodyText"/>
                    <w:jc w:val="left"/>
                  </w:pPr>
                  <w:r>
                    <w:t>Legal Aid Commission of Tasmania</w:t>
                  </w:r>
                </w:p>
              </w:tc>
              <w:tc>
                <w:tcPr>
                  <w:tcW w:w="471" w:type="pct"/>
                </w:tcPr>
                <w:p w:rsidR="008E279C" w:rsidRDefault="008E279C" w:rsidP="008E279C">
                  <w:pPr>
                    <w:pStyle w:val="TableBodyText"/>
                    <w:ind w:right="28"/>
                  </w:pPr>
                  <w:r>
                    <w:t>$450</w:t>
                  </w:r>
                  <w:r>
                    <w:noBreakHyphen/>
                    <w:t>$1</w:t>
                  </w:r>
                  <w:r w:rsidR="003C4012">
                    <w:t> </w:t>
                  </w:r>
                  <w:r>
                    <w:t>005 per week</w:t>
                  </w:r>
                </w:p>
              </w:tc>
              <w:tc>
                <w:tcPr>
                  <w:tcW w:w="51" w:type="pct"/>
                </w:tcPr>
                <w:p w:rsidR="008E279C" w:rsidRDefault="008E279C" w:rsidP="008E279C">
                  <w:pPr>
                    <w:pStyle w:val="TableBodyText"/>
                    <w:ind w:right="28"/>
                  </w:pPr>
                </w:p>
              </w:tc>
              <w:tc>
                <w:tcPr>
                  <w:tcW w:w="1126" w:type="pct"/>
                </w:tcPr>
                <w:p w:rsidR="008E279C" w:rsidRDefault="008E279C" w:rsidP="008E279C">
                  <w:pPr>
                    <w:pStyle w:val="TableBodyText"/>
                    <w:ind w:right="28"/>
                  </w:pPr>
                </w:p>
              </w:tc>
              <w:tc>
                <w:tcPr>
                  <w:tcW w:w="768" w:type="pct"/>
                </w:tcPr>
                <w:p w:rsidR="008E279C" w:rsidRDefault="008E279C" w:rsidP="008E279C">
                  <w:pPr>
                    <w:pStyle w:val="TableBodyText"/>
                    <w:ind w:right="28"/>
                  </w:pPr>
                </w:p>
              </w:tc>
              <w:tc>
                <w:tcPr>
                  <w:tcW w:w="51" w:type="pct"/>
                </w:tcPr>
                <w:p w:rsidR="008E279C" w:rsidRDefault="008E279C" w:rsidP="008E279C">
                  <w:pPr>
                    <w:pStyle w:val="TableBodyText"/>
                    <w:ind w:right="28"/>
                  </w:pPr>
                </w:p>
              </w:tc>
              <w:tc>
                <w:tcPr>
                  <w:tcW w:w="2039" w:type="pct"/>
                </w:tcPr>
                <w:p w:rsidR="008E279C" w:rsidRDefault="008E279C" w:rsidP="008E279C">
                  <w:pPr>
                    <w:pStyle w:val="TableBodyText"/>
                    <w:ind w:right="28"/>
                  </w:pPr>
                  <w:r>
                    <w:t>Gross income measure that depends on number of children</w:t>
                  </w:r>
                </w:p>
              </w:tc>
            </w:tr>
            <w:tr w:rsidR="006D34F7" w:rsidTr="002A3785">
              <w:tc>
                <w:tcPr>
                  <w:tcW w:w="494" w:type="pct"/>
                  <w:shd w:val="clear" w:color="auto" w:fill="F2F2F2" w:themeFill="background1" w:themeFillShade="F2"/>
                </w:tcPr>
                <w:p w:rsidR="008E279C" w:rsidRDefault="008E279C" w:rsidP="008E279C">
                  <w:pPr>
                    <w:pStyle w:val="TableBodyText"/>
                    <w:jc w:val="left"/>
                  </w:pPr>
                  <w:r>
                    <w:t>NT Legal Aid Commission</w:t>
                  </w:r>
                </w:p>
              </w:tc>
              <w:tc>
                <w:tcPr>
                  <w:tcW w:w="471" w:type="pct"/>
                  <w:shd w:val="clear" w:color="auto" w:fill="F2F2F2" w:themeFill="background1" w:themeFillShade="F2"/>
                </w:tcPr>
                <w:p w:rsidR="008E279C" w:rsidRDefault="008E279C" w:rsidP="008E279C">
                  <w:pPr>
                    <w:pStyle w:val="TableBodyText"/>
                    <w:ind w:right="28"/>
                  </w:pPr>
                  <w:r>
                    <w:t xml:space="preserve">$271 per week </w:t>
                  </w:r>
                </w:p>
              </w:tc>
              <w:tc>
                <w:tcPr>
                  <w:tcW w:w="51" w:type="pct"/>
                  <w:shd w:val="clear" w:color="auto" w:fill="F2F2F2" w:themeFill="background1" w:themeFillShade="F2"/>
                </w:tcPr>
                <w:p w:rsidR="008E279C" w:rsidRDefault="008E279C" w:rsidP="008E279C">
                  <w:pPr>
                    <w:pStyle w:val="TableBodyText"/>
                    <w:ind w:right="28"/>
                  </w:pPr>
                </w:p>
              </w:tc>
              <w:tc>
                <w:tcPr>
                  <w:tcW w:w="1126" w:type="pct"/>
                  <w:shd w:val="clear" w:color="auto" w:fill="F2F2F2" w:themeFill="background1" w:themeFillShade="F2"/>
                </w:tcPr>
                <w:p w:rsidR="008E279C" w:rsidRDefault="008E279C" w:rsidP="008E279C">
                  <w:pPr>
                    <w:pStyle w:val="TableBodyText"/>
                    <w:ind w:right="28"/>
                  </w:pPr>
                  <w:r>
                    <w:t>$101 for first dependant, $96 for each dependant thereafter</w:t>
                  </w:r>
                </w:p>
              </w:tc>
              <w:tc>
                <w:tcPr>
                  <w:tcW w:w="768" w:type="pct"/>
                  <w:shd w:val="clear" w:color="auto" w:fill="F2F2F2" w:themeFill="background1" w:themeFillShade="F2"/>
                </w:tcPr>
                <w:p w:rsidR="008E279C" w:rsidRDefault="008E279C" w:rsidP="008E279C">
                  <w:pPr>
                    <w:pStyle w:val="TableBodyText"/>
                    <w:ind w:right="28"/>
                  </w:pPr>
                  <w:r>
                    <w:t xml:space="preserve">Equal to rental </w:t>
                  </w:r>
                  <w:r w:rsidR="003C4012">
                    <w:t>‘</w:t>
                  </w:r>
                  <w:r>
                    <w:t>cost of 2 bedroom flat in Darwin</w:t>
                  </w:r>
                  <w:r w:rsidR="003C4012">
                    <w:t>’</w:t>
                  </w:r>
                </w:p>
              </w:tc>
              <w:tc>
                <w:tcPr>
                  <w:tcW w:w="51" w:type="pct"/>
                  <w:shd w:val="clear" w:color="auto" w:fill="F2F2F2" w:themeFill="background1" w:themeFillShade="F2"/>
                </w:tcPr>
                <w:p w:rsidR="008E279C" w:rsidRDefault="008E279C" w:rsidP="008E279C">
                  <w:pPr>
                    <w:pStyle w:val="TableBodyText"/>
                    <w:ind w:right="28"/>
                  </w:pPr>
                </w:p>
              </w:tc>
              <w:tc>
                <w:tcPr>
                  <w:tcW w:w="2039" w:type="pct"/>
                  <w:shd w:val="clear" w:color="auto" w:fill="F2F2F2" w:themeFill="background1" w:themeFillShade="F2"/>
                </w:tcPr>
                <w:p w:rsidR="008E279C" w:rsidRDefault="008E279C" w:rsidP="00B96092">
                  <w:pPr>
                    <w:pStyle w:val="TableBodyText"/>
                    <w:ind w:right="28"/>
                  </w:pPr>
                  <w:r>
                    <w:t>Net of income tax and Medicare levy</w:t>
                  </w:r>
                  <w:r w:rsidR="00B96092">
                    <w:t xml:space="preserve">; </w:t>
                  </w:r>
                  <w:r>
                    <w:t>$140.50 per week in childcare costs</w:t>
                  </w:r>
                </w:p>
              </w:tc>
            </w:tr>
            <w:tr w:rsidR="006D34F7" w:rsidTr="002A3785">
              <w:tc>
                <w:tcPr>
                  <w:tcW w:w="494" w:type="pct"/>
                </w:tcPr>
                <w:p w:rsidR="008E279C" w:rsidRDefault="008E279C" w:rsidP="008E279C">
                  <w:pPr>
                    <w:pStyle w:val="TableBodyText"/>
                    <w:jc w:val="left"/>
                  </w:pPr>
                  <w:r>
                    <w:t>ACT Legal Aid Commission</w:t>
                  </w:r>
                </w:p>
              </w:tc>
              <w:tc>
                <w:tcPr>
                  <w:tcW w:w="471" w:type="pct"/>
                </w:tcPr>
                <w:p w:rsidR="008E279C" w:rsidRDefault="008E279C" w:rsidP="008E279C">
                  <w:pPr>
                    <w:pStyle w:val="TableBodyText"/>
                    <w:ind w:right="28"/>
                  </w:pPr>
                  <w:r>
                    <w:t>$396 per week</w:t>
                  </w:r>
                  <w:r w:rsidDel="00DF7E5C">
                    <w:t xml:space="preserve"> </w:t>
                  </w:r>
                </w:p>
              </w:tc>
              <w:tc>
                <w:tcPr>
                  <w:tcW w:w="51" w:type="pct"/>
                </w:tcPr>
                <w:p w:rsidR="008E279C" w:rsidRDefault="008E279C" w:rsidP="008E279C">
                  <w:pPr>
                    <w:pStyle w:val="TableBodyText"/>
                    <w:ind w:right="28"/>
                  </w:pPr>
                </w:p>
              </w:tc>
              <w:tc>
                <w:tcPr>
                  <w:tcW w:w="1126" w:type="pct"/>
                </w:tcPr>
                <w:p w:rsidR="008E279C" w:rsidRDefault="008E279C" w:rsidP="008E279C">
                  <w:pPr>
                    <w:pStyle w:val="TableBodyText"/>
                    <w:ind w:right="28"/>
                  </w:pPr>
                  <w:r>
                    <w:t>$185 for the first dependant, around $174 for each dependant thereafter</w:t>
                  </w:r>
                </w:p>
              </w:tc>
              <w:tc>
                <w:tcPr>
                  <w:tcW w:w="768" w:type="pct"/>
                </w:tcPr>
                <w:p w:rsidR="008E279C" w:rsidRDefault="008E279C" w:rsidP="008E279C">
                  <w:pPr>
                    <w:pStyle w:val="TableBodyText"/>
                    <w:ind w:right="28"/>
                  </w:pPr>
                  <w:r>
                    <w:t>$450 per week</w:t>
                  </w:r>
                </w:p>
              </w:tc>
              <w:tc>
                <w:tcPr>
                  <w:tcW w:w="51" w:type="pct"/>
                </w:tcPr>
                <w:p w:rsidR="008E279C" w:rsidRDefault="008E279C" w:rsidP="008E279C">
                  <w:pPr>
                    <w:pStyle w:val="TableBodyText"/>
                    <w:ind w:right="28"/>
                  </w:pPr>
                </w:p>
              </w:tc>
              <w:tc>
                <w:tcPr>
                  <w:tcW w:w="2039" w:type="pct"/>
                </w:tcPr>
                <w:p w:rsidR="008E279C" w:rsidRDefault="008E279C" w:rsidP="00B96092">
                  <w:pPr>
                    <w:pStyle w:val="TableBodyText"/>
                    <w:ind w:right="28"/>
                  </w:pPr>
                  <w:r>
                    <w:t>Net of income tax and Medicare levy</w:t>
                  </w:r>
                  <w:r w:rsidR="00B96092">
                    <w:t xml:space="preserve">; </w:t>
                  </w:r>
                  <w:r>
                    <w:t>childcare costs up to $208 per week</w:t>
                  </w:r>
                </w:p>
              </w:tc>
            </w:tr>
          </w:tbl>
          <w:p w:rsidR="00AA3746" w:rsidRDefault="00AA3746" w:rsidP="008E279C">
            <w:pPr>
              <w:pStyle w:val="Box"/>
            </w:pPr>
          </w:p>
        </w:tc>
      </w:tr>
      <w:tr w:rsidR="00AA3746" w:rsidTr="00B34E2A">
        <w:trPr>
          <w:cantSplit/>
        </w:trPr>
        <w:tc>
          <w:tcPr>
            <w:tcW w:w="14132" w:type="dxa"/>
            <w:tcBorders>
              <w:top w:val="single" w:sz="4" w:space="0" w:color="BFBFBF" w:themeColor="background2"/>
              <w:left w:val="nil"/>
              <w:bottom w:val="nil"/>
              <w:right w:val="nil"/>
            </w:tcBorders>
            <w:shd w:val="clear" w:color="auto" w:fill="auto"/>
          </w:tcPr>
          <w:p w:rsidR="00AA3746" w:rsidRDefault="000B1716" w:rsidP="00E3152A">
            <w:pPr>
              <w:pStyle w:val="Note"/>
              <w:rPr>
                <w:i/>
              </w:rPr>
            </w:pPr>
            <w:proofErr w:type="spellStart"/>
            <w:proofErr w:type="gramStart"/>
            <w:r w:rsidRPr="008E77FE">
              <w:rPr>
                <w:rStyle w:val="NoteLabel"/>
              </w:rPr>
              <w:t>a</w:t>
            </w:r>
            <w:proofErr w:type="spellEnd"/>
            <w:proofErr w:type="gramEnd"/>
            <w:r>
              <w:t xml:space="preserve"> In practice, most LACs require an initial contribution from clients for a grant of aid. This initial cost ranges from $20 to $110 depending on the jurisdiction and matter. </w:t>
            </w:r>
            <w:r>
              <w:rPr>
                <w:rStyle w:val="NoteLabel"/>
              </w:rPr>
              <w:t>b</w:t>
            </w:r>
            <w:r w:rsidR="00E3152A">
              <w:rPr>
                <w:rStyle w:val="NoteLabel"/>
              </w:rPr>
              <w:t> </w:t>
            </w:r>
            <w:r>
              <w:t xml:space="preserve">Equal to the ‘childcare relief figure’ set by the Commonwealth Department of Human Services for up to 50 hours </w:t>
            </w:r>
            <w:r>
              <w:fldChar w:fldCharType="begin"/>
            </w:r>
            <w:r>
              <w:instrText xml:space="preserve"> ADDIN ZOTERO_ITEM CSL_CITATION {"citationID":"76ipp05af","properties":{"formattedCitation":"{\\rtf (Legal Services Commission of South Australia\\uc0\\u160{}2014a)}","plainCitation":"(Legal Services Commission of South Australia 2014a)"},"citationItems":[{"id":2438,"uris":["http://zotero.org/groups/177820/items/NAK5DVW5"],"uri":["http://zotero.org/groups/177820/items/NAK5DVW5"],"itemData":{"id":2438,"type":"webpage","title":"Eligibility for Legal Aid","URL":"http://www.lsc.sa.gov.au/cb_pages/practitioners_eligibility.php","author":[{"family":"Legal Services Commission of South Australia","given":""}],"issued":{"date-parts":[["2014"]]},"accessed":{"date-parts":[["2014",8,28]]}}}],"schema":"https://github.com/citation-style-language/schema/raw/master/csl-citation.json"} </w:instrText>
            </w:r>
            <w:r>
              <w:fldChar w:fldCharType="separate"/>
            </w:r>
            <w:r w:rsidRPr="003259ED">
              <w:rPr>
                <w:rFonts w:cs="Arial"/>
                <w:szCs w:val="24"/>
              </w:rPr>
              <w:t>(Legal Services Commission of South Australia 2014a)</w:t>
            </w:r>
            <w:r>
              <w:fldChar w:fldCharType="end"/>
            </w:r>
            <w:r>
              <w:t>.</w:t>
            </w:r>
          </w:p>
        </w:tc>
      </w:tr>
      <w:tr w:rsidR="00AA3746" w:rsidTr="006D34F7">
        <w:trPr>
          <w:cantSplit/>
        </w:trPr>
        <w:tc>
          <w:tcPr>
            <w:tcW w:w="14132" w:type="dxa"/>
            <w:tcBorders>
              <w:top w:val="nil"/>
              <w:left w:val="nil"/>
              <w:bottom w:val="nil"/>
              <w:right w:val="nil"/>
            </w:tcBorders>
            <w:shd w:val="clear" w:color="auto" w:fill="auto"/>
          </w:tcPr>
          <w:p w:rsidR="00AA3746" w:rsidRDefault="000B1716" w:rsidP="005F2E8D">
            <w:pPr>
              <w:pStyle w:val="Source"/>
            </w:pPr>
            <w:r>
              <w:rPr>
                <w:i/>
              </w:rPr>
              <w:t>Sources</w:t>
            </w:r>
            <w:r w:rsidRPr="00167F06">
              <w:t>:</w:t>
            </w:r>
            <w:r>
              <w:t xml:space="preserve"> Commission research based on</w:t>
            </w:r>
            <w:r w:rsidR="003C4012">
              <w:t xml:space="preserve"> </w:t>
            </w:r>
            <w:r>
              <w:t xml:space="preserve">Legal Aid NSW </w:t>
            </w:r>
            <w:r>
              <w:fldChar w:fldCharType="begin"/>
            </w:r>
            <w:r w:rsidR="00E10B23">
              <w:instrText xml:space="preserve"> ADDIN ZOTERO_ITEM CSL_CITATION {"citationID":"bPasL8Yj","properties":{"formattedCitation":"(2010a, 2010b)","plainCitation":"(2010a, 2010b)"},"citationItems":[{"id":2429,"uris":["http://zotero.org/groups/177820/items/625RIRFH"],"uri":["http://zotero.org/groups/177820/items/625RIRFH"],"itemData":{"id":2429,"type":"webpage","title":"7.5 Income Test","container-title":"Policy Online","URL":"http://www.legalaid.nsw.gov.au/for-lawyers/policyonline/policies/7.-means-test/7.5.-income-test","author":[{"family":"Legal Aid NSW","given":""}],"issued":{"date-parts":[["2010"]]},"accessed":{"date-parts":[["2014",8,22]]}},"suppress-author":true},{"id":2111,"uris":["http://zotero.org/groups/177820/items/NH924HP6"],"uri":["http://zotero.org/groups/177820/items/NH924HP6"],"itemData":{"id":2111,"type":"webpage","title":"7.6 Assets Test","container-title":"Policy Online","URL":"http://www.legalaid.nsw.gov.au/for-lawyers/policyonline/policies/7.-means-test/7.6.-assets-test","author":[{"family":"Legal Aid NSW","given":""}],"issued":{"date-parts":[["2010"]]},"accessed":{"date-parts":[["2014",3,26]]}},"suppress-author":true}],"schema":"https://github.com/citation-style-language/schema/raw/master/csl-citation.json"} </w:instrText>
            </w:r>
            <w:r>
              <w:fldChar w:fldCharType="separate"/>
            </w:r>
            <w:r w:rsidR="00E10B23" w:rsidRPr="00E10B23">
              <w:rPr>
                <w:rFonts w:cs="Arial"/>
              </w:rPr>
              <w:t>(2010a, 2010b)</w:t>
            </w:r>
            <w:r>
              <w:fldChar w:fldCharType="end"/>
            </w:r>
            <w:r w:rsidR="004043AF">
              <w:t>;</w:t>
            </w:r>
            <w:r>
              <w:t xml:space="preserve"> Victoria Legal Aid</w:t>
            </w:r>
            <w:r w:rsidR="005A4505">
              <w:t xml:space="preserve"> </w:t>
            </w:r>
            <w:r w:rsidR="005F2E8D">
              <w:fldChar w:fldCharType="begin"/>
            </w:r>
            <w:r w:rsidR="005F2E8D">
              <w:instrText xml:space="preserve"> ADDIN ZOTERO_ITEM CSL_CITATION {"citationID":"27i41dsoo1","properties":{"formattedCitation":"(2010a, 2010b, 2010c, 2010d)","plainCitation":"(2010a, 2010b, 2010c, 2010d)"},"citationItems":[{"id":2445,"uris":["http://zotero.org/groups/177820/items/IFZ93BCI"],"uri":["http://zotero.org/groups/177820/items/IFZ93BCI"],"itemData":{"id":2445,"type":"webpage","title":"Allowable Assets","container-title":"VLA Handbook for Lawyers","URL":"http://handbook.vla.vic.gov.au/handbook/248.htm","author":[{"family":"Victoria Legal Aid","given":""}],"translator":[{"family":"VLA","given":""}],"issued":{"date-parts":[["2010"]]},"accessed":{"date-parts":[["2014",8,22]]}},"suppress-author":true},{"id":2435,"uris":["http://zotero.org/groups/177820/items/R99QQJSQ"],"uri":["http://zotero.org/groups/177820/items/R99QQJSQ"],"itemData":{"id":2435,"type":"webpage","title":"Allowable Deductions","container-title":"VLA Handbook for Lawyers","URL":"http://handbook.vla.vic.gov.au/handbook/238.htm","author":[{"family":"Victoria Legal Aid","given":""}],"translator":[{"family":"VLA","given":""}],"issued":{"date-parts":[["2010"]]},"accessed":{"date-parts":[["2014",8,22]]}},"suppress-author":true},{"id":2444,"uris":["http://zotero.org/groups/177820/items/CMIXHK6G"],"uri":["http://zotero.org/groups/177820/items/CMIXHK6G"],"itemData":{"id":2444,"type":"webpage","title":"Assets Test","container-title":"VLA Handbook for Lawyers","URL":"http://handbook.vla.vic.gov.au/handbook/244.htm","author":[{"family":"Victoria Legal Aid","given":""}],"translator":[{"family":"VLA","given":""}],"issued":{"date-parts":[["2010"]]},"accessed":{"date-parts":[["2014",8,22]]}},"suppress-author":true},{"id":2433,"uris":["http://zotero.org/groups/177820/items/TENINA72"],"uri":["http://zotero.org/groups/177820/items/TENINA72"],"itemData":{"id":2433,"type":"webpage","title":"Income Test","container-title":"VLA Handbook for Lawyers","URL":"http://handbook.vla.vic.gov.au/handbook/238.htm","author":[{"family":"Victoria Legal Aid","given":""}],"translator":[{"family":"VLA","given":""}],"issued":{"date-parts":[["2010"]]},"accessed":{"date-parts":[["2014",8,22]]}},"suppress-author":true}],"schema":"https://github.com/citation-style-language/schema/raw/master/csl-citation.json"} </w:instrText>
            </w:r>
            <w:r w:rsidR="005F2E8D">
              <w:fldChar w:fldCharType="separate"/>
            </w:r>
            <w:r w:rsidR="005F2E8D" w:rsidRPr="005F2E8D">
              <w:rPr>
                <w:rFonts w:cs="Arial"/>
              </w:rPr>
              <w:t>(2010a, 2010b, 2010c, 2010d)</w:t>
            </w:r>
            <w:r w:rsidR="005F2E8D">
              <w:fldChar w:fldCharType="end"/>
            </w:r>
            <w:r w:rsidR="004043AF">
              <w:t>;</w:t>
            </w:r>
            <w:r>
              <w:t xml:space="preserve"> Legal Aid Queensland </w:t>
            </w:r>
            <w:r>
              <w:fldChar w:fldCharType="begin"/>
            </w:r>
            <w:r>
              <w:instrText xml:space="preserve"> ADDIN ZOTERO_ITEM CSL_CITATION {"citationID":"5j155f3e8","properties":{"formattedCitation":"(2014)","plainCitation":"(2014)"},"citationItems":[{"id":2436,"uris":["http://zotero.org/groups/177820/items/CJHRJJWV"],"uri":["http://zotero.org/groups/177820/items/CJHRJJWV"],"itemData":{"id":2436,"type":"webpage","title":"Can I Get Legal Aid?","URL":"http://www.legalaid.qld.gov.au/publications/Factsheets-and-guides/Factsheets/Pages/Can-I-get-legal-aid.aspx","author":[{"family":"Legal Aid Queensland","given":""}],"issued":{"date-parts":[["2014"]]},"accessed":{"date-parts":[["2014",8,22]]}},"suppress-author":true}],"schema":"https://github.com/citation-style-language/schema/raw/master/csl-citation.json"} </w:instrText>
            </w:r>
            <w:r>
              <w:fldChar w:fldCharType="separate"/>
            </w:r>
            <w:r w:rsidRPr="00012875">
              <w:rPr>
                <w:rFonts w:cs="Arial"/>
              </w:rPr>
              <w:t>(2014)</w:t>
            </w:r>
            <w:r>
              <w:fldChar w:fldCharType="end"/>
            </w:r>
            <w:r w:rsidR="004043AF">
              <w:t>;</w:t>
            </w:r>
            <w:r>
              <w:t xml:space="preserve"> Legal Services Commission of South Australia </w:t>
            </w:r>
            <w:r>
              <w:fldChar w:fldCharType="begin"/>
            </w:r>
            <w:r w:rsidR="00A1000C">
              <w:instrText xml:space="preserve"> ADDIN ZOTERO_ITEM CSL_CITATION {"citationID":"l9P9yu15","properties":{"formattedCitation":"(2014a, 2014b)","plainCitation":"(2014a, 2014b)"},"citationItems":[{"id":2438,"uris":["http://zotero.org/groups/177820/items/NAK5DVW5"],"uri":["http://zotero.org/groups/177820/items/NAK5DVW5"],"itemData":{"id":2438,"type":"webpage","title":"Eligibility for Legal Aid","URL":"http://www.lsc.sa.gov.au/cb_pages/practitioners_eligibility.php","author":[{"family":"Legal Services Commission of South Australia","given":""}],"issued":{"date-parts":[["2014"]]},"accessed":{"date-parts":[["2014",8,28]]}},"suppress-author":true},{"id":2437,"uris":["http://zotero.org/groups/177820/items/T2DGSSJC"],"uri":["http://zotero.org/groups/177820/items/T2DGSSJC"],"itemData":{"id":2437,"type":"webpage","title":"Legal Aid Costs","URL":"http://www.lsc.sa.gov.au/cb_pages/legal_aid_costs.php","author":[{"family":"Legal Services Commission of South Australia","given":""}],"issued":{"date-parts":[["2014"]]},"accessed":{"date-parts":[["2014",8,22]]}},"suppress-author":true}],"schema":"https://github.com/citation-style-language/schema/raw/master/csl-citation.json"} </w:instrText>
            </w:r>
            <w:r>
              <w:fldChar w:fldCharType="separate"/>
            </w:r>
            <w:r w:rsidR="00A1000C" w:rsidRPr="00A1000C">
              <w:rPr>
                <w:rFonts w:cs="Arial"/>
              </w:rPr>
              <w:t>(2014a, 2014b)</w:t>
            </w:r>
            <w:r>
              <w:fldChar w:fldCharType="end"/>
            </w:r>
            <w:r w:rsidR="004043AF">
              <w:t>;</w:t>
            </w:r>
            <w:r>
              <w:t xml:space="preserve"> Legal Aid </w:t>
            </w:r>
            <w:r w:rsidR="009D1BBB">
              <w:t>WA</w:t>
            </w:r>
            <w:r>
              <w:t xml:space="preserve"> </w:t>
            </w:r>
            <w:r>
              <w:fldChar w:fldCharType="begin"/>
            </w:r>
            <w:r w:rsidR="00791CA6">
              <w:instrText xml:space="preserve"> ADDIN ZOTERO_ITEM CSL_CITATION {"citationID":"N9Zvp7Zn","properties":{"formattedCitation":"(2010a, 2010b, 2010c)","plainCitation":"(2010a, 2010b, 2010c)"},"citationItems":[{"id":2446,"uris":["http://zotero.org/groups/177820/items/4GZ5S983"],"uri":["http://zotero.org/groups/177820/items/4GZ5S983"],"itemData":{"id":2446,"type":"webpage","title":"Assets Test Thresholds","URL":"http://www.legalaid.wa.gov.au/LegalAidServices/applyingforLegalAid/Pages/Assetstestthresholds.aspx","author":[{"family":"Legal Aid Western Australia","given":""}],"issued":{"date-parts":[["2010"]]},"accessed":{"date-parts":[["2014",8,22]]}},"suppress-author":true},{"id":2440,"uris":["http://zotero.org/groups/177820/items/HXT4C57S"],"uri":["http://zotero.org/groups/177820/items/HXT4C57S"],"itemData":{"id":2440,"type":"webpage","title":"Income Test","URL":"http://www.legalaid.wa.gov.au/LegalAidServices/applyingforLegalAid/Pages/Incometest.aspx","author":[{"family":"Legal Aid Western Australia","given":""}],"issued":{"date-parts":[["2010"]]},"accessed":{"date-parts":[["2014",8,28]]}},"suppress-author":true},{"id":2439,"uris":["http://zotero.org/groups/177820/items/FTPKT9KC"],"uri":["http://zotero.org/groups/177820/items/FTPKT9KC"],"itemData":{"id":2439,"type":"webpage","title":"Means","URL":"http://www.legalaid.wa.gov.au/LegalAidServices/applyingforLegalAid/Pages/Means.aspx","author":[{"family":"Legal Aid Western Australia","given":""}],"issued":{"date-parts":[["2010"]]},"accessed":{"date-parts":[["2014",8,22]]}},"suppress-author":true}],"schema":"https://github.com/citation-style-language/schema/raw/master/csl-citation.json"} </w:instrText>
            </w:r>
            <w:r>
              <w:fldChar w:fldCharType="separate"/>
            </w:r>
            <w:r w:rsidR="00791CA6" w:rsidRPr="00791CA6">
              <w:rPr>
                <w:rFonts w:cs="Arial"/>
              </w:rPr>
              <w:t>(2010a, 2010b, 2010c)</w:t>
            </w:r>
            <w:r>
              <w:fldChar w:fldCharType="end"/>
            </w:r>
            <w:r w:rsidR="004043AF">
              <w:t>;</w:t>
            </w:r>
            <w:r>
              <w:t xml:space="preserve"> Legal Aid Commission of Tasmania </w:t>
            </w:r>
            <w:r>
              <w:fldChar w:fldCharType="begin"/>
            </w:r>
            <w:r w:rsidR="00552216">
              <w:instrText xml:space="preserve"> ADDIN ZOTERO_ITEM CSL_CITATION {"citationID":"xj9URXb3","properties":{"formattedCitation":"(2003, 2010, 2014)","plainCitation":"(2003, 2010, 2014)"},"citationItems":[{"id":2447,"uris":["http://zotero.org/groups/177820/items/DIJRAS2N"],"uri":["http://zotero.org/groups/177820/items/DIJRAS2N"],"itemData":{"id":2447,"type":"webpage","title":"Assets Test - National Means","URL":"https://www.legalaid.tas.gov.au/Guidelines/2%20Means%20Test/2B%20National%20Means%20Test/2B%20(ii)%20Assets.htm","author":[{"family":"Legal Aid Commission of Tasmania","given":""}],"issued":{"date-parts":[["2003"]]},"accessed":{"date-parts":[["2014",8,22]]}},"suppress-author":true},{"id":2448,"uris":["http://zotero.org/groups/177820/items/Z7AVWX7W"],"uri":["http://zotero.org/groups/177820/items/Z7AVWX7W"],"itemData":{"id":2448,"type":"webpage","title":"Schedule B Assets Test Benchmark Amounts - National Means Test","URL":"https://www.legalaid.tas.gov.au/Guidelines/2%20Means%20Test/2B%20National%20Means%20Test/2B%20(ii)%20Schedule%20B.htm","author":[{"family":"Legal Aid Commission of Tasmania","given":""}],"issued":{"date-parts":[["2010"]]},"accessed":{"date-parts":[["2014",8,22]]}},"suppress-author":true},{"id":2441,"uris":["http://zotero.org/groups/177820/items/DP5BU2EH"],"uri":["http://zotero.org/groups/177820/items/DP5BU2EH"],"itemData":{"id":2441,"type":"webpage","title":"Simplified Contributions on Income: Assessment Table 1","URL":"http://www.legalaid.tas.gov.au/Guidelines/6%20Contributions/6B%20(i)%20Simplified%20Contributions%20Assessment/Table%201%20Simplified%20Contributions%20on%20Income.htm","author":[{"family":"Legal Aid Commission of Tasmania","given":""}],"issued":{"date-parts":[["2014"]]},"accessed":{"date-parts":[["2014",8,22]]}},"suppress-author":true}],"schema":"https://github.com/citation-style-language/schema/raw/master/csl-citation.json"} </w:instrText>
            </w:r>
            <w:r>
              <w:fldChar w:fldCharType="separate"/>
            </w:r>
            <w:r w:rsidR="00552216" w:rsidRPr="00552216">
              <w:rPr>
                <w:rFonts w:cs="Arial"/>
              </w:rPr>
              <w:t>(2003, 2010, 2014)</w:t>
            </w:r>
            <w:r>
              <w:fldChar w:fldCharType="end"/>
            </w:r>
            <w:r w:rsidR="004043AF">
              <w:t>;</w:t>
            </w:r>
            <w:r>
              <w:t xml:space="preserve"> Northern Territory Legal Aid Commission </w:t>
            </w:r>
            <w:r>
              <w:fldChar w:fldCharType="begin"/>
            </w:r>
            <w:r>
              <w:instrText xml:space="preserve"> ADDIN ZOTERO_ITEM CSL_CITATION {"citationID":"1qt6ds73f2","properties":{"formattedCitation":"(2005)","plainCitation":"(2005)"},"citationItems":[{"id":2442,"uris":["http://zotero.org/groups/177820/items/M3PJHUSV"],"uri":["http://zotero.org/groups/177820/items/M3PJHUSV"],"itemData":{"id":2442,"type":"webpage","title":"Guidelines - Chapter 6","URL":"http://www.ntlac.nt.gov.au/left_menucontent/guidelines/Chapter%206%20-%20Guidelines.pdf","author":[{"family":"Northern Territory Legal Aid Commission","given":""}],"issued":{"date-parts":[["2005"]]},"accessed":{"date-parts":[["2014",8,22]]}},"suppress-author":true}],"schema":"https://github.com/citation-style-language/schema/raw/master/csl-citation.json"} </w:instrText>
            </w:r>
            <w:r>
              <w:fldChar w:fldCharType="separate"/>
            </w:r>
            <w:r w:rsidRPr="00006C88">
              <w:rPr>
                <w:rFonts w:cs="Arial"/>
              </w:rPr>
              <w:t>(2005)</w:t>
            </w:r>
            <w:r>
              <w:fldChar w:fldCharType="end"/>
            </w:r>
            <w:r w:rsidR="004043AF">
              <w:t>;</w:t>
            </w:r>
            <w:r>
              <w:t xml:space="preserve"> Legal Aid ACT </w:t>
            </w:r>
            <w:r>
              <w:fldChar w:fldCharType="begin"/>
            </w:r>
            <w:r>
              <w:instrText xml:space="preserve"> ADDIN ZOTERO_ITEM CSL_CITATION {"citationID":"21frclp2uq","properties":{"formattedCitation":"(2013)","plainCitation":"(2013)"},"citationItems":[{"id":2443,"uris":["http://zotero.org/groups/177820/items/DRU4TBXD"],"uri":["http://zotero.org/groups/177820/items/DRU4TBXD"],"itemData":{"id":2443,"type":"webpage","title":"Legal Assistance Guidelines","URL":"http://www.legalaidact.org.au/pdf/la_act_guidelines_nov_2013.pdf","author":[{"family":"Legal Aid ACT","given":""}],"issued":{"date-parts":[["2013",11]]},"accessed":{"date-parts":[["2014",8,22]]}},"suppress-author":true}],"schema":"https://github.com/citation-style-language/schema/raw/master/csl-citation.json"} </w:instrText>
            </w:r>
            <w:r>
              <w:fldChar w:fldCharType="separate"/>
            </w:r>
            <w:r w:rsidRPr="00006C88">
              <w:rPr>
                <w:rFonts w:cs="Arial"/>
              </w:rPr>
              <w:t>(2013)</w:t>
            </w:r>
            <w:r>
              <w:fldChar w:fldCharType="end"/>
            </w:r>
            <w:r w:rsidR="004043AF">
              <w:t>;</w:t>
            </w:r>
            <w:r>
              <w:t xml:space="preserve"> Melbourne Institute of Applied Economics and Social Research </w:t>
            </w:r>
            <w:r>
              <w:fldChar w:fldCharType="begin"/>
            </w:r>
            <w:r>
              <w:instrText xml:space="preserve"> ADDIN ZOTERO_ITEM CSL_CITATION {"citationID":"264ucmeu4g","properties":{"formattedCitation":"(2014)","plainCitation":"(2014)"},"citationItems":[{"id":2482,"uris":["http://zotero.org/groups/177820/items/KGKK6ZWX"],"uri":["http://zotero.org/groups/177820/items/KGKK6ZWX"],"itemData":{"id":2482,"type":"report","title":"Poverty Lines: Australia, March Quarter 2014","publisher-place":"Melbourne","event-place":"Melbourne","author":[{"family":"Melbourne Institute of Applied Economics and Social Research","given":""}],"issued":{"date-parts":[["2014"]]}},"suppress-author":true}],"schema":"https://github.com/citation-style-language/schema/raw/master/csl-citation.json"} </w:instrText>
            </w:r>
            <w:r>
              <w:fldChar w:fldCharType="separate"/>
            </w:r>
            <w:r w:rsidRPr="00B00332">
              <w:rPr>
                <w:rFonts w:cs="Arial"/>
              </w:rPr>
              <w:t>(2014)</w:t>
            </w:r>
            <w:r>
              <w:fldChar w:fldCharType="end"/>
            </w:r>
            <w:r>
              <w:t>.</w:t>
            </w:r>
          </w:p>
        </w:tc>
      </w:tr>
      <w:tr w:rsidR="00AA3746" w:rsidTr="006D34F7">
        <w:trPr>
          <w:cantSplit/>
        </w:trPr>
        <w:tc>
          <w:tcPr>
            <w:tcW w:w="14132" w:type="dxa"/>
            <w:tcBorders>
              <w:top w:val="nil"/>
              <w:left w:val="nil"/>
              <w:bottom w:val="single" w:sz="6" w:space="0" w:color="78A22F" w:themeColor="accent1"/>
              <w:right w:val="nil"/>
            </w:tcBorders>
            <w:shd w:val="clear" w:color="auto" w:fill="auto"/>
          </w:tcPr>
          <w:p w:rsidR="00AA3746" w:rsidRDefault="00AA3746" w:rsidP="008E279C">
            <w:pPr>
              <w:pStyle w:val="Box"/>
              <w:spacing w:before="0" w:line="120" w:lineRule="exact"/>
            </w:pPr>
          </w:p>
        </w:tc>
      </w:tr>
      <w:tr w:rsidR="00AA3746" w:rsidRPr="000863A5" w:rsidTr="006D34F7">
        <w:tc>
          <w:tcPr>
            <w:tcW w:w="14132" w:type="dxa"/>
            <w:tcBorders>
              <w:top w:val="single" w:sz="6" w:space="0" w:color="78A22F" w:themeColor="accent1"/>
              <w:left w:val="nil"/>
              <w:bottom w:val="nil"/>
              <w:right w:val="nil"/>
            </w:tcBorders>
          </w:tcPr>
          <w:p w:rsidR="00AA3746" w:rsidRPr="00626D32" w:rsidRDefault="00AA3746" w:rsidP="008E279C">
            <w:pPr>
              <w:pStyle w:val="BoxSpaceBelow"/>
            </w:pPr>
          </w:p>
        </w:tc>
      </w:tr>
      <w:tr w:rsidR="007D6FE1" w:rsidTr="00B34E2A">
        <w:tc>
          <w:tcPr>
            <w:tcW w:w="14132" w:type="dxa"/>
            <w:tcBorders>
              <w:top w:val="single" w:sz="6" w:space="0" w:color="78A22F" w:themeColor="accent1"/>
              <w:left w:val="nil"/>
              <w:bottom w:val="nil"/>
              <w:right w:val="nil"/>
            </w:tcBorders>
            <w:shd w:val="clear" w:color="auto" w:fill="auto"/>
          </w:tcPr>
          <w:p w:rsidR="007D6FE1" w:rsidRPr="00784A05" w:rsidRDefault="007D6FE1" w:rsidP="004567C1">
            <w:pPr>
              <w:pStyle w:val="TableTitle"/>
            </w:pPr>
            <w:r>
              <w:rPr>
                <w:b w:val="0"/>
              </w:rPr>
              <w:lastRenderedPageBreak/>
              <w:t xml:space="preserve">Table </w:t>
            </w:r>
            <w:bookmarkStart w:id="6" w:name="OLE_LINK4"/>
            <w:r>
              <w:rPr>
                <w:b w:val="0"/>
              </w:rPr>
              <w:fldChar w:fldCharType="begin"/>
            </w:r>
            <w:r>
              <w:rPr>
                <w:b w:val="0"/>
              </w:rPr>
              <w:instrText xml:space="preserve"> COMMENTS  \* MERGEFORMAT </w:instrText>
            </w:r>
            <w:r>
              <w:rPr>
                <w:b w:val="0"/>
              </w:rPr>
              <w:fldChar w:fldCharType="separate"/>
            </w:r>
            <w:r w:rsidR="00CB0DA1">
              <w:rPr>
                <w:b w:val="0"/>
              </w:rPr>
              <w:t>H.</w:t>
            </w:r>
            <w:r>
              <w:rPr>
                <w:b w:val="0"/>
              </w:rPr>
              <w:fldChar w:fldCharType="end"/>
            </w:r>
            <w:r>
              <w:rPr>
                <w:b w:val="0"/>
              </w:rPr>
              <w:fldChar w:fldCharType="begin"/>
            </w:r>
            <w:r>
              <w:rPr>
                <w:b w:val="0"/>
              </w:rPr>
              <w:instrText xml:space="preserve"> SEQ Table \* ARABIC </w:instrText>
            </w:r>
            <w:r>
              <w:rPr>
                <w:b w:val="0"/>
              </w:rPr>
              <w:fldChar w:fldCharType="separate"/>
            </w:r>
            <w:r w:rsidR="00CB0DA1">
              <w:rPr>
                <w:b w:val="0"/>
                <w:noProof/>
              </w:rPr>
              <w:t>2</w:t>
            </w:r>
            <w:r>
              <w:rPr>
                <w:b w:val="0"/>
              </w:rPr>
              <w:fldChar w:fldCharType="end"/>
            </w:r>
            <w:bookmarkEnd w:id="6"/>
            <w:r>
              <w:tab/>
              <w:t xml:space="preserve">Summary of </w:t>
            </w:r>
            <w:r w:rsidR="00FD3CD5">
              <w:t>assets</w:t>
            </w:r>
            <w:r>
              <w:t xml:space="preserve"> test thresholds for which no further contribution is required</w:t>
            </w:r>
          </w:p>
        </w:tc>
      </w:tr>
      <w:tr w:rsidR="007D6FE1" w:rsidTr="00B34E2A">
        <w:trPr>
          <w:cantSplit/>
        </w:trPr>
        <w:tc>
          <w:tcPr>
            <w:tcW w:w="14132" w:type="dxa"/>
            <w:tcBorders>
              <w:top w:val="nil"/>
              <w:left w:val="nil"/>
              <w:bottom w:val="single" w:sz="4" w:space="0" w:color="BFBFBF" w:themeColor="background2"/>
              <w:right w:val="nil"/>
            </w:tcBorders>
            <w:shd w:val="clear" w:color="auto" w:fill="auto"/>
          </w:tcPr>
          <w:tbl>
            <w:tblPr>
              <w:tblW w:w="13848" w:type="dxa"/>
              <w:tblCellMar>
                <w:left w:w="0" w:type="dxa"/>
                <w:right w:w="0" w:type="dxa"/>
              </w:tblCellMar>
              <w:tblLook w:val="0000" w:firstRow="0" w:lastRow="0" w:firstColumn="0" w:lastColumn="0" w:noHBand="0" w:noVBand="0"/>
            </w:tblPr>
            <w:tblGrid>
              <w:gridCol w:w="1360"/>
              <w:gridCol w:w="1454"/>
              <w:gridCol w:w="141"/>
              <w:gridCol w:w="1133"/>
              <w:gridCol w:w="1277"/>
              <w:gridCol w:w="141"/>
              <w:gridCol w:w="8342"/>
            </w:tblGrid>
            <w:tr w:rsidR="00FD3CD5" w:rsidTr="00983360">
              <w:tc>
                <w:tcPr>
                  <w:tcW w:w="491" w:type="pct"/>
                  <w:tcBorders>
                    <w:top w:val="single" w:sz="6" w:space="0" w:color="BFBFBF" w:themeColor="background2"/>
                    <w:bottom w:val="single" w:sz="6" w:space="0" w:color="BFBFBF" w:themeColor="background2"/>
                  </w:tcBorders>
                  <w:shd w:val="clear" w:color="auto" w:fill="auto"/>
                </w:tcPr>
                <w:p w:rsidR="006909AC" w:rsidRDefault="006909AC" w:rsidP="000D0F9B">
                  <w:pPr>
                    <w:pStyle w:val="TableColumnHeading"/>
                    <w:jc w:val="left"/>
                  </w:pPr>
                  <w:r>
                    <w:t xml:space="preserve">Legal </w:t>
                  </w:r>
                  <w:r w:rsidR="000D0F9B">
                    <w:t>aid c</w:t>
                  </w:r>
                  <w:r>
                    <w:t>ommission</w:t>
                  </w:r>
                </w:p>
              </w:tc>
              <w:tc>
                <w:tcPr>
                  <w:tcW w:w="525" w:type="pct"/>
                  <w:tcBorders>
                    <w:top w:val="single" w:sz="6" w:space="0" w:color="BFBFBF" w:themeColor="background2"/>
                    <w:bottom w:val="single" w:sz="6" w:space="0" w:color="BFBFBF" w:themeColor="background2"/>
                  </w:tcBorders>
                </w:tcPr>
                <w:p w:rsidR="006909AC" w:rsidRPr="00D63174" w:rsidRDefault="006909AC" w:rsidP="00563575">
                  <w:pPr>
                    <w:pStyle w:val="TableColumnHeading"/>
                    <w:ind w:right="28"/>
                    <w:rPr>
                      <w:b/>
                    </w:rPr>
                  </w:pPr>
                  <w:r>
                    <w:rPr>
                      <w:b/>
                    </w:rPr>
                    <w:t>Threshold of assets, above which a contribution is required (net of allowances)</w:t>
                  </w:r>
                </w:p>
              </w:tc>
              <w:tc>
                <w:tcPr>
                  <w:tcW w:w="51" w:type="pct"/>
                  <w:tcBorders>
                    <w:top w:val="single" w:sz="6" w:space="0" w:color="BFBFBF" w:themeColor="background2"/>
                    <w:bottom w:val="single" w:sz="6" w:space="0" w:color="BFBFBF" w:themeColor="background2"/>
                  </w:tcBorders>
                </w:tcPr>
                <w:p w:rsidR="006909AC" w:rsidRDefault="006909AC" w:rsidP="00563575">
                  <w:pPr>
                    <w:pStyle w:val="TableColumnHeading"/>
                    <w:ind w:right="28"/>
                  </w:pPr>
                </w:p>
              </w:tc>
              <w:tc>
                <w:tcPr>
                  <w:tcW w:w="409" w:type="pct"/>
                  <w:tcBorders>
                    <w:top w:val="single" w:sz="6" w:space="0" w:color="BFBFBF" w:themeColor="background2"/>
                    <w:bottom w:val="single" w:sz="6" w:space="0" w:color="BFBFBF" w:themeColor="background2"/>
                  </w:tcBorders>
                </w:tcPr>
                <w:p w:rsidR="006909AC" w:rsidRPr="000D55DF" w:rsidRDefault="006909AC" w:rsidP="00563575">
                  <w:pPr>
                    <w:pStyle w:val="TableColumnHeading"/>
                    <w:ind w:right="28"/>
                  </w:pPr>
                  <w:r>
                    <w:t>Home equity allowed</w:t>
                  </w:r>
                  <w:r w:rsidRPr="008E77FE">
                    <w:rPr>
                      <w:rStyle w:val="NoteLabel"/>
                    </w:rPr>
                    <w:t>a</w:t>
                  </w:r>
                </w:p>
              </w:tc>
              <w:tc>
                <w:tcPr>
                  <w:tcW w:w="461" w:type="pct"/>
                  <w:tcBorders>
                    <w:top w:val="single" w:sz="6" w:space="0" w:color="BFBFBF" w:themeColor="background2"/>
                    <w:bottom w:val="single" w:sz="6" w:space="0" w:color="BFBFBF" w:themeColor="background2"/>
                  </w:tcBorders>
                </w:tcPr>
                <w:p w:rsidR="006909AC" w:rsidRDefault="006909AC" w:rsidP="00563575">
                  <w:pPr>
                    <w:pStyle w:val="TableColumnHeading"/>
                    <w:ind w:right="28"/>
                  </w:pPr>
                  <w:r>
                    <w:t>Vehicle equity allowed</w:t>
                  </w:r>
                  <w:r>
                    <w:rPr>
                      <w:rStyle w:val="NoteLabel"/>
                    </w:rPr>
                    <w:t>b</w:t>
                  </w:r>
                </w:p>
              </w:tc>
              <w:tc>
                <w:tcPr>
                  <w:tcW w:w="51" w:type="pct"/>
                  <w:tcBorders>
                    <w:top w:val="single" w:sz="6" w:space="0" w:color="BFBFBF" w:themeColor="background2"/>
                    <w:bottom w:val="single" w:sz="6" w:space="0" w:color="BFBFBF" w:themeColor="background2"/>
                  </w:tcBorders>
                </w:tcPr>
                <w:p w:rsidR="006909AC" w:rsidRDefault="006909AC" w:rsidP="00563575">
                  <w:pPr>
                    <w:pStyle w:val="TableColumnHeading"/>
                    <w:ind w:right="28"/>
                  </w:pPr>
                </w:p>
              </w:tc>
              <w:tc>
                <w:tcPr>
                  <w:tcW w:w="3012" w:type="pct"/>
                  <w:tcBorders>
                    <w:top w:val="single" w:sz="6" w:space="0" w:color="BFBFBF" w:themeColor="background2"/>
                    <w:bottom w:val="single" w:sz="6" w:space="0" w:color="BFBFBF" w:themeColor="background2"/>
                  </w:tcBorders>
                  <w:shd w:val="clear" w:color="auto" w:fill="auto"/>
                </w:tcPr>
                <w:p w:rsidR="006909AC" w:rsidRPr="00CC2734" w:rsidRDefault="006909AC" w:rsidP="001E0692">
                  <w:pPr>
                    <w:pStyle w:val="TableColumnHeading"/>
                  </w:pPr>
                  <w:r w:rsidRPr="00CC2734">
                    <w:t>Other allowances, notes</w:t>
                  </w:r>
                </w:p>
              </w:tc>
            </w:tr>
            <w:tr w:rsidR="00FD3CD5" w:rsidTr="00983360">
              <w:tc>
                <w:tcPr>
                  <w:tcW w:w="491" w:type="pct"/>
                  <w:shd w:val="clear" w:color="auto" w:fill="F2F2F2" w:themeFill="background1" w:themeFillShade="F2"/>
                </w:tcPr>
                <w:p w:rsidR="006909AC" w:rsidRDefault="006909AC" w:rsidP="00563575">
                  <w:pPr>
                    <w:pStyle w:val="TableBodyText"/>
                    <w:jc w:val="left"/>
                  </w:pPr>
                  <w:r>
                    <w:t>Legal Aid New South Wales</w:t>
                  </w:r>
                </w:p>
              </w:tc>
              <w:tc>
                <w:tcPr>
                  <w:tcW w:w="525" w:type="pct"/>
                  <w:shd w:val="clear" w:color="auto" w:fill="F2F2F2" w:themeFill="background1" w:themeFillShade="F2"/>
                </w:tcPr>
                <w:p w:rsidR="006909AC" w:rsidRPr="00984DFE" w:rsidRDefault="006909AC" w:rsidP="00563575">
                  <w:pPr>
                    <w:pStyle w:val="TableBodyText"/>
                    <w:ind w:right="28"/>
                  </w:pPr>
                  <w:r w:rsidRPr="00984DFE">
                    <w:t>$100</w:t>
                  </w:r>
                  <w:r>
                    <w:noBreakHyphen/>
                  </w:r>
                  <w:r w:rsidRPr="00984DFE">
                    <w:t>$1</w:t>
                  </w:r>
                  <w:r w:rsidR="003C4012">
                    <w:t> </w:t>
                  </w:r>
                  <w:r w:rsidRPr="00984DFE">
                    <w:t>500 depending on the matter</w:t>
                  </w:r>
                </w:p>
              </w:tc>
              <w:tc>
                <w:tcPr>
                  <w:tcW w:w="51" w:type="pct"/>
                  <w:shd w:val="clear" w:color="auto" w:fill="F2F2F2" w:themeFill="background1" w:themeFillShade="F2"/>
                </w:tcPr>
                <w:p w:rsidR="006909AC" w:rsidRDefault="006909AC" w:rsidP="00563575">
                  <w:pPr>
                    <w:pStyle w:val="TableBodyText"/>
                    <w:ind w:right="28"/>
                  </w:pPr>
                </w:p>
              </w:tc>
              <w:tc>
                <w:tcPr>
                  <w:tcW w:w="409" w:type="pct"/>
                  <w:shd w:val="clear" w:color="auto" w:fill="F2F2F2" w:themeFill="background1" w:themeFillShade="F2"/>
                </w:tcPr>
                <w:p w:rsidR="006909AC" w:rsidRDefault="006909AC" w:rsidP="00563575">
                  <w:pPr>
                    <w:pStyle w:val="TableBodyText"/>
                    <w:ind w:right="28"/>
                  </w:pPr>
                  <w:r>
                    <w:t>$260 550 to $521 000</w:t>
                  </w:r>
                </w:p>
              </w:tc>
              <w:tc>
                <w:tcPr>
                  <w:tcW w:w="461" w:type="pct"/>
                  <w:shd w:val="clear" w:color="auto" w:fill="F2F2F2" w:themeFill="background1" w:themeFillShade="F2"/>
                </w:tcPr>
                <w:p w:rsidR="006909AC" w:rsidRDefault="006909AC" w:rsidP="00563575">
                  <w:pPr>
                    <w:pStyle w:val="TableBodyText"/>
                    <w:ind w:right="28"/>
                  </w:pPr>
                  <w:r>
                    <w:t>$15 100</w:t>
                  </w:r>
                </w:p>
              </w:tc>
              <w:tc>
                <w:tcPr>
                  <w:tcW w:w="51" w:type="pct"/>
                  <w:shd w:val="clear" w:color="auto" w:fill="F2F2F2" w:themeFill="background1" w:themeFillShade="F2"/>
                </w:tcPr>
                <w:p w:rsidR="006909AC" w:rsidRDefault="006909AC" w:rsidP="00563575">
                  <w:pPr>
                    <w:pStyle w:val="TableBodyText"/>
                    <w:ind w:right="28"/>
                  </w:pPr>
                </w:p>
              </w:tc>
              <w:tc>
                <w:tcPr>
                  <w:tcW w:w="3012" w:type="pct"/>
                  <w:shd w:val="clear" w:color="auto" w:fill="F2F2F2" w:themeFill="background1" w:themeFillShade="F2"/>
                </w:tcPr>
                <w:p w:rsidR="006909AC" w:rsidRPr="00CC2734" w:rsidRDefault="006909AC" w:rsidP="007739A0">
                  <w:pPr>
                    <w:pStyle w:val="TableBodyText"/>
                  </w:pPr>
                  <w:r w:rsidRPr="00CC2734">
                    <w:t>Allowance is made for the reasonable value of household furniture, clothing and tools of trade</w:t>
                  </w:r>
                  <w:r w:rsidR="00311765">
                    <w:t>;</w:t>
                  </w:r>
                  <w:r w:rsidR="00311765" w:rsidRPr="00CC2734">
                    <w:t xml:space="preserve"> </w:t>
                  </w:r>
                  <w:r w:rsidR="00311765">
                    <w:t>b</w:t>
                  </w:r>
                  <w:r w:rsidR="00311765" w:rsidRPr="00CC2734">
                    <w:t xml:space="preserve">aby </w:t>
                  </w:r>
                  <w:r w:rsidRPr="00CC2734">
                    <w:t>bonus and NDIS are exempt, as are lump sum compensation payments if the applicant and family members are not working</w:t>
                  </w:r>
                  <w:r w:rsidR="007739A0">
                    <w:t>;</w:t>
                  </w:r>
                  <w:r w:rsidR="007739A0" w:rsidRPr="00CC2734">
                    <w:t xml:space="preserve"> </w:t>
                  </w:r>
                  <w:r w:rsidR="007739A0">
                    <w:t>a</w:t>
                  </w:r>
                  <w:r w:rsidR="007739A0" w:rsidRPr="00CC2734">
                    <w:t xml:space="preserve">llowance </w:t>
                  </w:r>
                  <w:r w:rsidRPr="00CC2734">
                    <w:t>of up to $287 750 is allowed for farm or business equity</w:t>
                  </w:r>
                </w:p>
              </w:tc>
            </w:tr>
            <w:tr w:rsidR="00FD3CD5" w:rsidTr="00983360">
              <w:tc>
                <w:tcPr>
                  <w:tcW w:w="491" w:type="pct"/>
                </w:tcPr>
                <w:p w:rsidR="006909AC" w:rsidRDefault="006909AC" w:rsidP="00563575">
                  <w:pPr>
                    <w:pStyle w:val="TableBodyText"/>
                    <w:jc w:val="left"/>
                  </w:pPr>
                  <w:r>
                    <w:t>Victoria Legal Aid</w:t>
                  </w:r>
                </w:p>
              </w:tc>
              <w:tc>
                <w:tcPr>
                  <w:tcW w:w="525" w:type="pct"/>
                </w:tcPr>
                <w:p w:rsidR="006909AC" w:rsidRPr="00984DFE" w:rsidRDefault="006909AC" w:rsidP="00563575">
                  <w:pPr>
                    <w:pStyle w:val="TableBodyText"/>
                    <w:ind w:right="28"/>
                  </w:pPr>
                  <w:r w:rsidRPr="00984DFE">
                    <w:t>$865</w:t>
                  </w:r>
                </w:p>
              </w:tc>
              <w:tc>
                <w:tcPr>
                  <w:tcW w:w="51" w:type="pct"/>
                </w:tcPr>
                <w:p w:rsidR="006909AC" w:rsidRDefault="006909AC" w:rsidP="00563575">
                  <w:pPr>
                    <w:pStyle w:val="TableBodyText"/>
                    <w:ind w:right="28"/>
                  </w:pPr>
                </w:p>
              </w:tc>
              <w:tc>
                <w:tcPr>
                  <w:tcW w:w="409" w:type="pct"/>
                </w:tcPr>
                <w:p w:rsidR="006909AC" w:rsidRDefault="006909AC" w:rsidP="00563575">
                  <w:pPr>
                    <w:pStyle w:val="TableBodyText"/>
                    <w:ind w:right="28"/>
                  </w:pPr>
                  <w:r>
                    <w:t>$300 000</w:t>
                  </w:r>
                </w:p>
              </w:tc>
              <w:tc>
                <w:tcPr>
                  <w:tcW w:w="461" w:type="pct"/>
                </w:tcPr>
                <w:p w:rsidR="006909AC" w:rsidRDefault="006909AC" w:rsidP="00563575">
                  <w:pPr>
                    <w:pStyle w:val="TableBodyText"/>
                    <w:ind w:right="28"/>
                  </w:pPr>
                  <w:r>
                    <w:t>$11 280</w:t>
                  </w:r>
                </w:p>
              </w:tc>
              <w:tc>
                <w:tcPr>
                  <w:tcW w:w="51" w:type="pct"/>
                </w:tcPr>
                <w:p w:rsidR="006909AC" w:rsidRDefault="006909AC" w:rsidP="00563575">
                  <w:pPr>
                    <w:pStyle w:val="TableBodyText"/>
                    <w:ind w:right="28"/>
                  </w:pPr>
                </w:p>
              </w:tc>
              <w:tc>
                <w:tcPr>
                  <w:tcW w:w="3012" w:type="pct"/>
                </w:tcPr>
                <w:p w:rsidR="006909AC" w:rsidRPr="00CC2734" w:rsidRDefault="006909AC" w:rsidP="00C504D2">
                  <w:pPr>
                    <w:pStyle w:val="TableBodyText"/>
                  </w:pPr>
                  <w:r w:rsidRPr="00CC2734">
                    <w:t>Household furniture, clothing and tools of trade are excluded from assessable assets</w:t>
                  </w:r>
                  <w:r w:rsidR="00C504D2">
                    <w:t>;</w:t>
                  </w:r>
                  <w:r w:rsidR="00C504D2" w:rsidRPr="00CC2734">
                    <w:t xml:space="preserve"> </w:t>
                  </w:r>
                  <w:r w:rsidR="00C504D2">
                    <w:t>a</w:t>
                  </w:r>
                  <w:r w:rsidR="00C504D2" w:rsidRPr="00CC2734">
                    <w:t xml:space="preserve">llowance </w:t>
                  </w:r>
                  <w:r w:rsidRPr="00CC2734">
                    <w:t>for farm/business equity between $161 500 and $336 500 depending on number of dependents</w:t>
                  </w:r>
                  <w:r w:rsidR="00C504D2">
                    <w:t>;</w:t>
                  </w:r>
                  <w:r w:rsidR="00C504D2" w:rsidRPr="00CC2734">
                    <w:t xml:space="preserve"> </w:t>
                  </w:r>
                  <w:r w:rsidRPr="00CC2734">
                    <w:t>lump sum payments are excluded unless they affect the receipt of a Commonwealth benefit</w:t>
                  </w:r>
                </w:p>
              </w:tc>
            </w:tr>
            <w:tr w:rsidR="00FD3CD5" w:rsidTr="00983360">
              <w:tc>
                <w:tcPr>
                  <w:tcW w:w="491" w:type="pct"/>
                  <w:shd w:val="clear" w:color="auto" w:fill="F2F2F2" w:themeFill="background1" w:themeFillShade="F2"/>
                </w:tcPr>
                <w:p w:rsidR="006909AC" w:rsidRDefault="006909AC" w:rsidP="00C53E0E">
                  <w:pPr>
                    <w:pStyle w:val="TableBodyText"/>
                    <w:jc w:val="left"/>
                  </w:pPr>
                  <w:r>
                    <w:t xml:space="preserve">Legal Aid </w:t>
                  </w:r>
                  <w:r w:rsidR="00C53E0E">
                    <w:t>Qld</w:t>
                  </w:r>
                </w:p>
              </w:tc>
              <w:tc>
                <w:tcPr>
                  <w:tcW w:w="525" w:type="pct"/>
                  <w:shd w:val="clear" w:color="auto" w:fill="F2F2F2" w:themeFill="background1" w:themeFillShade="F2"/>
                </w:tcPr>
                <w:p w:rsidR="006909AC" w:rsidRPr="00984DFE" w:rsidRDefault="006909AC" w:rsidP="00563575">
                  <w:pPr>
                    <w:pStyle w:val="TableBodyText"/>
                    <w:ind w:right="28"/>
                  </w:pPr>
                  <w:r w:rsidRPr="00984DFE">
                    <w:t>$930</w:t>
                  </w:r>
                  <w:r>
                    <w:noBreakHyphen/>
                  </w:r>
                  <w:r w:rsidRPr="00984DFE">
                    <w:t>$1</w:t>
                  </w:r>
                  <w:r w:rsidR="003C4012">
                    <w:t> </w:t>
                  </w:r>
                  <w:r w:rsidRPr="00984DFE">
                    <w:t>880</w:t>
                  </w:r>
                  <w:r w:rsidRPr="00984DFE">
                    <w:rPr>
                      <w:rStyle w:val="NoteLabel"/>
                    </w:rPr>
                    <w:t>c</w:t>
                  </w:r>
                  <w:r w:rsidRPr="00984DFE">
                    <w:t xml:space="preserve"> </w:t>
                  </w:r>
                </w:p>
              </w:tc>
              <w:tc>
                <w:tcPr>
                  <w:tcW w:w="51" w:type="pct"/>
                  <w:shd w:val="clear" w:color="auto" w:fill="F2F2F2" w:themeFill="background1" w:themeFillShade="F2"/>
                </w:tcPr>
                <w:p w:rsidR="006909AC" w:rsidRDefault="006909AC" w:rsidP="00563575">
                  <w:pPr>
                    <w:pStyle w:val="TableBodyText"/>
                    <w:ind w:right="28"/>
                  </w:pPr>
                </w:p>
              </w:tc>
              <w:tc>
                <w:tcPr>
                  <w:tcW w:w="409" w:type="pct"/>
                  <w:shd w:val="clear" w:color="auto" w:fill="F2F2F2" w:themeFill="background1" w:themeFillShade="F2"/>
                </w:tcPr>
                <w:p w:rsidR="006909AC" w:rsidRDefault="006909AC" w:rsidP="00563575">
                  <w:pPr>
                    <w:pStyle w:val="TableBodyText"/>
                    <w:ind w:right="28"/>
                  </w:pPr>
                  <w:r>
                    <w:t>$</w:t>
                  </w:r>
                  <w:r w:rsidRPr="006C6BE3">
                    <w:t>146</w:t>
                  </w:r>
                  <w:r>
                    <w:t> </w:t>
                  </w:r>
                  <w:r w:rsidRPr="006C6BE3">
                    <w:t>000</w:t>
                  </w:r>
                  <w:r>
                    <w:rPr>
                      <w:rStyle w:val="NoteLabel"/>
                    </w:rPr>
                    <w:t>d</w:t>
                  </w:r>
                </w:p>
              </w:tc>
              <w:tc>
                <w:tcPr>
                  <w:tcW w:w="461" w:type="pct"/>
                  <w:shd w:val="clear" w:color="auto" w:fill="F2F2F2" w:themeFill="background1" w:themeFillShade="F2"/>
                </w:tcPr>
                <w:p w:rsidR="006909AC" w:rsidRDefault="006909AC" w:rsidP="00563575">
                  <w:pPr>
                    <w:pStyle w:val="TableBodyText"/>
                    <w:ind w:right="28"/>
                  </w:pPr>
                  <w:r>
                    <w:t>$16 000</w:t>
                  </w:r>
                </w:p>
              </w:tc>
              <w:tc>
                <w:tcPr>
                  <w:tcW w:w="51" w:type="pct"/>
                  <w:shd w:val="clear" w:color="auto" w:fill="F2F2F2" w:themeFill="background1" w:themeFillShade="F2"/>
                </w:tcPr>
                <w:p w:rsidR="006909AC" w:rsidRDefault="006909AC" w:rsidP="00563575">
                  <w:pPr>
                    <w:pStyle w:val="TableBodyText"/>
                    <w:ind w:right="28"/>
                  </w:pPr>
                </w:p>
              </w:tc>
              <w:tc>
                <w:tcPr>
                  <w:tcW w:w="3012" w:type="pct"/>
                  <w:shd w:val="clear" w:color="auto" w:fill="F2F2F2" w:themeFill="background1" w:themeFillShade="F2"/>
                </w:tcPr>
                <w:p w:rsidR="006909AC" w:rsidRPr="00CC2734" w:rsidRDefault="006909AC" w:rsidP="006909AC">
                  <w:pPr>
                    <w:pStyle w:val="TableBodyText"/>
                  </w:pPr>
                  <w:r w:rsidRPr="00CC2734">
                    <w:t xml:space="preserve">Household furniture and tools of trade are exempt unless they are of ‘exceptional value’ </w:t>
                  </w:r>
                </w:p>
              </w:tc>
            </w:tr>
            <w:tr w:rsidR="00FD3CD5" w:rsidTr="00983360">
              <w:tc>
                <w:tcPr>
                  <w:tcW w:w="491" w:type="pct"/>
                </w:tcPr>
                <w:p w:rsidR="006909AC" w:rsidRDefault="006909AC" w:rsidP="00563575">
                  <w:pPr>
                    <w:pStyle w:val="TableBodyText"/>
                    <w:jc w:val="left"/>
                  </w:pPr>
                  <w:r>
                    <w:t>Legal Services Commission of South Australia</w:t>
                  </w:r>
                </w:p>
              </w:tc>
              <w:tc>
                <w:tcPr>
                  <w:tcW w:w="525" w:type="pct"/>
                </w:tcPr>
                <w:p w:rsidR="006909AC" w:rsidRPr="00984DFE" w:rsidRDefault="006909AC" w:rsidP="00563575">
                  <w:pPr>
                    <w:pStyle w:val="TableBodyText"/>
                    <w:ind w:right="28"/>
                  </w:pPr>
                  <w:r>
                    <w:t>See note</w:t>
                  </w:r>
                  <w:r>
                    <w:rPr>
                      <w:rStyle w:val="NoteLabel"/>
                    </w:rPr>
                    <w:t>e</w:t>
                  </w:r>
                </w:p>
              </w:tc>
              <w:tc>
                <w:tcPr>
                  <w:tcW w:w="51" w:type="pct"/>
                </w:tcPr>
                <w:p w:rsidR="006909AC" w:rsidRDefault="006909AC" w:rsidP="00563575">
                  <w:pPr>
                    <w:pStyle w:val="TableBodyText"/>
                    <w:ind w:right="28"/>
                  </w:pPr>
                </w:p>
              </w:tc>
              <w:tc>
                <w:tcPr>
                  <w:tcW w:w="409" w:type="pct"/>
                </w:tcPr>
                <w:p w:rsidR="006909AC" w:rsidRDefault="006909AC" w:rsidP="00563575">
                  <w:pPr>
                    <w:pStyle w:val="TableBodyText"/>
                    <w:ind w:right="28"/>
                  </w:pPr>
                  <w:r>
                    <w:t>See note</w:t>
                  </w:r>
                  <w:r>
                    <w:rPr>
                      <w:rStyle w:val="NoteLabel"/>
                    </w:rPr>
                    <w:t>f</w:t>
                  </w:r>
                </w:p>
              </w:tc>
              <w:tc>
                <w:tcPr>
                  <w:tcW w:w="461" w:type="pct"/>
                </w:tcPr>
                <w:p w:rsidR="006909AC" w:rsidRDefault="006909AC" w:rsidP="00563575">
                  <w:pPr>
                    <w:pStyle w:val="TableBodyText"/>
                    <w:ind w:right="28"/>
                  </w:pPr>
                  <w:r>
                    <w:t>See note</w:t>
                  </w:r>
                  <w:r>
                    <w:rPr>
                      <w:rStyle w:val="NoteLabel"/>
                    </w:rPr>
                    <w:t>g</w:t>
                  </w:r>
                </w:p>
              </w:tc>
              <w:tc>
                <w:tcPr>
                  <w:tcW w:w="51" w:type="pct"/>
                </w:tcPr>
                <w:p w:rsidR="006909AC" w:rsidRDefault="006909AC" w:rsidP="00563575">
                  <w:pPr>
                    <w:pStyle w:val="TableBodyText"/>
                    <w:ind w:right="28"/>
                  </w:pPr>
                </w:p>
              </w:tc>
              <w:tc>
                <w:tcPr>
                  <w:tcW w:w="3012" w:type="pct"/>
                </w:tcPr>
                <w:p w:rsidR="006909AC" w:rsidRPr="00CC2734" w:rsidRDefault="006909AC" w:rsidP="006909AC">
                  <w:pPr>
                    <w:pStyle w:val="TableBodyText"/>
                  </w:pPr>
                  <w:r w:rsidRPr="00CC2734">
                    <w:t xml:space="preserve">Household furniture, clothing, and tools of trade; equity in a farm or business up to assets limit under various Centrelink benefit tests </w:t>
                  </w:r>
                </w:p>
              </w:tc>
            </w:tr>
            <w:tr w:rsidR="00FD3CD5" w:rsidTr="00983360">
              <w:tc>
                <w:tcPr>
                  <w:tcW w:w="491" w:type="pct"/>
                  <w:shd w:val="clear" w:color="auto" w:fill="F2F2F2" w:themeFill="background1" w:themeFillShade="F2"/>
                </w:tcPr>
                <w:p w:rsidR="006909AC" w:rsidRDefault="006909AC" w:rsidP="005F1EC2">
                  <w:pPr>
                    <w:pStyle w:val="TableBodyText"/>
                    <w:jc w:val="left"/>
                  </w:pPr>
                  <w:r>
                    <w:t xml:space="preserve">Legal Aid </w:t>
                  </w:r>
                  <w:r w:rsidR="005F1EC2">
                    <w:t>WA</w:t>
                  </w:r>
                </w:p>
              </w:tc>
              <w:tc>
                <w:tcPr>
                  <w:tcW w:w="525" w:type="pct"/>
                  <w:shd w:val="clear" w:color="auto" w:fill="F2F2F2" w:themeFill="background1" w:themeFillShade="F2"/>
                </w:tcPr>
                <w:p w:rsidR="006909AC" w:rsidRPr="00984DFE" w:rsidRDefault="006909AC" w:rsidP="00563575">
                  <w:pPr>
                    <w:pStyle w:val="TableBodyText"/>
                    <w:ind w:right="28"/>
                  </w:pPr>
                  <w:r w:rsidRPr="00984DFE">
                    <w:t>$950</w:t>
                  </w:r>
                  <w:r>
                    <w:noBreakHyphen/>
                  </w:r>
                  <w:r w:rsidRPr="00984DFE">
                    <w:t>$1</w:t>
                  </w:r>
                  <w:r w:rsidR="003C4012">
                    <w:t> </w:t>
                  </w:r>
                  <w:r w:rsidRPr="00984DFE">
                    <w:t>900</w:t>
                  </w:r>
                  <w:r w:rsidRPr="00984DFE">
                    <w:rPr>
                      <w:rStyle w:val="NoteLabel"/>
                    </w:rPr>
                    <w:t>c</w:t>
                  </w:r>
                  <w:r w:rsidRPr="00984DFE">
                    <w:t xml:space="preserve"> </w:t>
                  </w:r>
                </w:p>
              </w:tc>
              <w:tc>
                <w:tcPr>
                  <w:tcW w:w="51" w:type="pct"/>
                  <w:shd w:val="clear" w:color="auto" w:fill="F2F2F2" w:themeFill="background1" w:themeFillShade="F2"/>
                </w:tcPr>
                <w:p w:rsidR="006909AC" w:rsidRDefault="006909AC" w:rsidP="00563575">
                  <w:pPr>
                    <w:pStyle w:val="TableBodyText"/>
                    <w:ind w:right="28"/>
                  </w:pPr>
                </w:p>
              </w:tc>
              <w:tc>
                <w:tcPr>
                  <w:tcW w:w="409" w:type="pct"/>
                  <w:shd w:val="clear" w:color="auto" w:fill="F2F2F2" w:themeFill="background1" w:themeFillShade="F2"/>
                </w:tcPr>
                <w:p w:rsidR="006909AC" w:rsidRDefault="006909AC" w:rsidP="00563575">
                  <w:pPr>
                    <w:pStyle w:val="TableBodyText"/>
                    <w:ind w:right="28"/>
                  </w:pPr>
                  <w:r>
                    <w:t>$299 614 to $355 051</w:t>
                  </w:r>
                </w:p>
              </w:tc>
              <w:tc>
                <w:tcPr>
                  <w:tcW w:w="461" w:type="pct"/>
                  <w:shd w:val="clear" w:color="auto" w:fill="F2F2F2" w:themeFill="background1" w:themeFillShade="F2"/>
                </w:tcPr>
                <w:p w:rsidR="006909AC" w:rsidRDefault="006909AC" w:rsidP="00563575">
                  <w:pPr>
                    <w:pStyle w:val="TableBodyText"/>
                    <w:ind w:right="28"/>
                  </w:pPr>
                  <w:r>
                    <w:t>$14 600</w:t>
                  </w:r>
                </w:p>
              </w:tc>
              <w:tc>
                <w:tcPr>
                  <w:tcW w:w="51" w:type="pct"/>
                  <w:shd w:val="clear" w:color="auto" w:fill="F2F2F2" w:themeFill="background1" w:themeFillShade="F2"/>
                </w:tcPr>
                <w:p w:rsidR="006909AC" w:rsidRDefault="006909AC" w:rsidP="00563575">
                  <w:pPr>
                    <w:pStyle w:val="TableBodyText"/>
                    <w:ind w:right="28"/>
                  </w:pPr>
                </w:p>
              </w:tc>
              <w:tc>
                <w:tcPr>
                  <w:tcW w:w="3012" w:type="pct"/>
                  <w:shd w:val="clear" w:color="auto" w:fill="F2F2F2" w:themeFill="background1" w:themeFillShade="F2"/>
                </w:tcPr>
                <w:p w:rsidR="006909AC" w:rsidRPr="00CC2734" w:rsidRDefault="006909AC" w:rsidP="006909AC">
                  <w:pPr>
                    <w:pStyle w:val="TableBodyText"/>
                  </w:pPr>
                  <w:r w:rsidRPr="00CC2734">
                    <w:t xml:space="preserve">Household furniture, clothing, and tools of trade; equity in a farm or business between $161 500 and $346 000 depending on home ownership and partner status. </w:t>
                  </w:r>
                </w:p>
              </w:tc>
            </w:tr>
            <w:tr w:rsidR="00FD3CD5" w:rsidTr="00983360">
              <w:tc>
                <w:tcPr>
                  <w:tcW w:w="491" w:type="pct"/>
                </w:tcPr>
                <w:p w:rsidR="006909AC" w:rsidRDefault="006909AC" w:rsidP="00563575">
                  <w:pPr>
                    <w:pStyle w:val="TableBodyText"/>
                    <w:jc w:val="left"/>
                  </w:pPr>
                  <w:r>
                    <w:t>Legal Aid Commission of Tasmania</w:t>
                  </w:r>
                </w:p>
              </w:tc>
              <w:tc>
                <w:tcPr>
                  <w:tcW w:w="525" w:type="pct"/>
                </w:tcPr>
                <w:p w:rsidR="006909AC" w:rsidRPr="00984DFE" w:rsidRDefault="006909AC" w:rsidP="00563575">
                  <w:pPr>
                    <w:pStyle w:val="TableBodyText"/>
                    <w:ind w:right="28"/>
                  </w:pPr>
                  <w:r w:rsidRPr="00984DFE">
                    <w:t>$740</w:t>
                  </w:r>
                  <w:r>
                    <w:noBreakHyphen/>
                  </w:r>
                  <w:r w:rsidRPr="00984DFE">
                    <w:t>$1</w:t>
                  </w:r>
                  <w:r w:rsidR="003C4012">
                    <w:t> </w:t>
                  </w:r>
                  <w:r w:rsidRPr="00984DFE">
                    <w:t>490</w:t>
                  </w:r>
                  <w:r w:rsidRPr="00984DFE">
                    <w:rPr>
                      <w:rStyle w:val="NoteLabel"/>
                    </w:rPr>
                    <w:t>c</w:t>
                  </w:r>
                </w:p>
              </w:tc>
              <w:tc>
                <w:tcPr>
                  <w:tcW w:w="51" w:type="pct"/>
                </w:tcPr>
                <w:p w:rsidR="006909AC" w:rsidRDefault="006909AC" w:rsidP="00563575">
                  <w:pPr>
                    <w:pStyle w:val="TableBodyText"/>
                    <w:ind w:right="28"/>
                  </w:pPr>
                </w:p>
              </w:tc>
              <w:tc>
                <w:tcPr>
                  <w:tcW w:w="409" w:type="pct"/>
                </w:tcPr>
                <w:p w:rsidR="006909AC" w:rsidRDefault="006909AC" w:rsidP="00563575">
                  <w:pPr>
                    <w:pStyle w:val="TableBodyText"/>
                    <w:ind w:right="28"/>
                  </w:pPr>
                  <w:r>
                    <w:t>$169 000 to $215 750</w:t>
                  </w:r>
                </w:p>
              </w:tc>
              <w:tc>
                <w:tcPr>
                  <w:tcW w:w="461" w:type="pct"/>
                </w:tcPr>
                <w:p w:rsidR="006909AC" w:rsidRDefault="006909AC" w:rsidP="00563575">
                  <w:pPr>
                    <w:pStyle w:val="TableBodyText"/>
                    <w:ind w:right="28"/>
                  </w:pPr>
                  <w:r>
                    <w:t>$11 500</w:t>
                  </w:r>
                </w:p>
              </w:tc>
              <w:tc>
                <w:tcPr>
                  <w:tcW w:w="51" w:type="pct"/>
                </w:tcPr>
                <w:p w:rsidR="006909AC" w:rsidRDefault="006909AC" w:rsidP="00563575">
                  <w:pPr>
                    <w:pStyle w:val="TableBodyText"/>
                    <w:ind w:right="28"/>
                  </w:pPr>
                </w:p>
              </w:tc>
              <w:tc>
                <w:tcPr>
                  <w:tcW w:w="3012" w:type="pct"/>
                </w:tcPr>
                <w:p w:rsidR="006909AC" w:rsidRPr="00CC2734" w:rsidRDefault="006909AC" w:rsidP="006909AC">
                  <w:pPr>
                    <w:pStyle w:val="TableBodyText"/>
                  </w:pPr>
                  <w:r w:rsidRPr="00CC2734">
                    <w:t>Equity in a farm or business between $118 000 and $251 000 depending on home ownership and partner status</w:t>
                  </w:r>
                </w:p>
              </w:tc>
            </w:tr>
            <w:tr w:rsidR="00FD3CD5" w:rsidTr="00983360">
              <w:tc>
                <w:tcPr>
                  <w:tcW w:w="491" w:type="pct"/>
                  <w:shd w:val="clear" w:color="auto" w:fill="F2F2F2" w:themeFill="background1" w:themeFillShade="F2"/>
                </w:tcPr>
                <w:p w:rsidR="006909AC" w:rsidRDefault="006909AC" w:rsidP="00563575">
                  <w:pPr>
                    <w:pStyle w:val="TableBodyText"/>
                    <w:jc w:val="left"/>
                  </w:pPr>
                  <w:r>
                    <w:t>NT Legal Aid Commission</w:t>
                  </w:r>
                </w:p>
              </w:tc>
              <w:tc>
                <w:tcPr>
                  <w:tcW w:w="525" w:type="pct"/>
                  <w:shd w:val="clear" w:color="auto" w:fill="F2F2F2" w:themeFill="background1" w:themeFillShade="F2"/>
                </w:tcPr>
                <w:p w:rsidR="006909AC" w:rsidRPr="00984DFE" w:rsidRDefault="006909AC" w:rsidP="00563575">
                  <w:pPr>
                    <w:pStyle w:val="TableBodyText"/>
                    <w:ind w:right="28"/>
                  </w:pPr>
                  <w:r w:rsidRPr="00984DFE">
                    <w:t>$950</w:t>
                  </w:r>
                  <w:r>
                    <w:noBreakHyphen/>
                  </w:r>
                  <w:r w:rsidRPr="00984DFE">
                    <w:t>$1</w:t>
                  </w:r>
                  <w:r w:rsidR="003C4012">
                    <w:t> </w:t>
                  </w:r>
                  <w:r w:rsidRPr="00984DFE">
                    <w:t>950</w:t>
                  </w:r>
                  <w:r w:rsidRPr="00984DFE">
                    <w:rPr>
                      <w:rStyle w:val="NoteLabel"/>
                    </w:rPr>
                    <w:t>c</w:t>
                  </w:r>
                </w:p>
              </w:tc>
              <w:tc>
                <w:tcPr>
                  <w:tcW w:w="51" w:type="pct"/>
                  <w:shd w:val="clear" w:color="auto" w:fill="F2F2F2" w:themeFill="background1" w:themeFillShade="F2"/>
                </w:tcPr>
                <w:p w:rsidR="006909AC" w:rsidRDefault="006909AC" w:rsidP="00563575">
                  <w:pPr>
                    <w:pStyle w:val="TableBodyText"/>
                    <w:ind w:right="28"/>
                  </w:pPr>
                </w:p>
              </w:tc>
              <w:tc>
                <w:tcPr>
                  <w:tcW w:w="409" w:type="pct"/>
                  <w:shd w:val="clear" w:color="auto" w:fill="F2F2F2" w:themeFill="background1" w:themeFillShade="F2"/>
                </w:tcPr>
                <w:p w:rsidR="006909AC" w:rsidRDefault="006909AC" w:rsidP="00563575">
                  <w:pPr>
                    <w:pStyle w:val="TableBodyText"/>
                    <w:ind w:right="28"/>
                  </w:pPr>
                  <w:r>
                    <w:t>$310 000</w:t>
                  </w:r>
                </w:p>
              </w:tc>
              <w:tc>
                <w:tcPr>
                  <w:tcW w:w="461" w:type="pct"/>
                  <w:shd w:val="clear" w:color="auto" w:fill="F2F2F2" w:themeFill="background1" w:themeFillShade="F2"/>
                </w:tcPr>
                <w:p w:rsidR="006909AC" w:rsidRDefault="006909AC" w:rsidP="00563575">
                  <w:pPr>
                    <w:pStyle w:val="TableBodyText"/>
                    <w:ind w:right="28"/>
                  </w:pPr>
                  <w:r>
                    <w:t xml:space="preserve">$13 500 </w:t>
                  </w:r>
                </w:p>
              </w:tc>
              <w:tc>
                <w:tcPr>
                  <w:tcW w:w="51" w:type="pct"/>
                  <w:shd w:val="clear" w:color="auto" w:fill="F2F2F2" w:themeFill="background1" w:themeFillShade="F2"/>
                </w:tcPr>
                <w:p w:rsidR="006909AC" w:rsidRDefault="006909AC" w:rsidP="00563575">
                  <w:pPr>
                    <w:pStyle w:val="TableBodyText"/>
                    <w:ind w:right="28"/>
                  </w:pPr>
                </w:p>
              </w:tc>
              <w:tc>
                <w:tcPr>
                  <w:tcW w:w="3012" w:type="pct"/>
                  <w:shd w:val="clear" w:color="auto" w:fill="F2F2F2" w:themeFill="background1" w:themeFillShade="F2"/>
                </w:tcPr>
                <w:p w:rsidR="006909AC" w:rsidRPr="00CC2734" w:rsidRDefault="006909AC" w:rsidP="006909AC">
                  <w:pPr>
                    <w:pStyle w:val="TableBodyText"/>
                  </w:pPr>
                  <w:r w:rsidRPr="00CC2734">
                    <w:t xml:space="preserve">Household furniture, clothing, and tools of trade; some lump sum payments if the applicant and family members are not working </w:t>
                  </w:r>
                </w:p>
              </w:tc>
            </w:tr>
            <w:tr w:rsidR="00FD3CD5" w:rsidTr="00983360">
              <w:tc>
                <w:tcPr>
                  <w:tcW w:w="491" w:type="pct"/>
                </w:tcPr>
                <w:p w:rsidR="006909AC" w:rsidRDefault="006909AC" w:rsidP="00563575">
                  <w:pPr>
                    <w:pStyle w:val="TableBodyText"/>
                    <w:jc w:val="left"/>
                  </w:pPr>
                  <w:r>
                    <w:t>ACT Legal Aid Commission</w:t>
                  </w:r>
                </w:p>
              </w:tc>
              <w:tc>
                <w:tcPr>
                  <w:tcW w:w="525" w:type="pct"/>
                </w:tcPr>
                <w:p w:rsidR="006909AC" w:rsidRDefault="006909AC" w:rsidP="00563575">
                  <w:pPr>
                    <w:pStyle w:val="TableBodyText"/>
                    <w:ind w:right="28"/>
                  </w:pPr>
                  <w:r w:rsidRPr="00984DFE">
                    <w:t>$</w:t>
                  </w:r>
                  <w:r>
                    <w:t>1</w:t>
                  </w:r>
                  <w:r w:rsidR="003C4012">
                    <w:t> </w:t>
                  </w:r>
                  <w:r>
                    <w:t>100</w:t>
                  </w:r>
                  <w:r>
                    <w:noBreakHyphen/>
                  </w:r>
                  <w:r w:rsidRPr="00984DFE">
                    <w:t>$</w:t>
                  </w:r>
                  <w:r>
                    <w:t>2</w:t>
                  </w:r>
                  <w:r w:rsidR="003C4012">
                    <w:t> </w:t>
                  </w:r>
                  <w:r>
                    <w:t>200</w:t>
                  </w:r>
                  <w:r w:rsidRPr="00984DFE">
                    <w:rPr>
                      <w:rStyle w:val="NoteLabel"/>
                    </w:rPr>
                    <w:t>c</w:t>
                  </w:r>
                </w:p>
              </w:tc>
              <w:tc>
                <w:tcPr>
                  <w:tcW w:w="51" w:type="pct"/>
                </w:tcPr>
                <w:p w:rsidR="006909AC" w:rsidRDefault="006909AC" w:rsidP="00563575">
                  <w:pPr>
                    <w:pStyle w:val="TableBodyText"/>
                    <w:ind w:right="28"/>
                  </w:pPr>
                </w:p>
              </w:tc>
              <w:tc>
                <w:tcPr>
                  <w:tcW w:w="409" w:type="pct"/>
                </w:tcPr>
                <w:p w:rsidR="006909AC" w:rsidRDefault="006909AC" w:rsidP="00563575">
                  <w:pPr>
                    <w:pStyle w:val="TableBodyText"/>
                    <w:ind w:right="28"/>
                  </w:pPr>
                  <w:r>
                    <w:t>$507 250</w:t>
                  </w:r>
                  <w:r>
                    <w:rPr>
                      <w:rStyle w:val="NoteLabel"/>
                    </w:rPr>
                    <w:t>h</w:t>
                  </w:r>
                </w:p>
              </w:tc>
              <w:tc>
                <w:tcPr>
                  <w:tcW w:w="461" w:type="pct"/>
                </w:tcPr>
                <w:p w:rsidR="006909AC" w:rsidRDefault="006909AC" w:rsidP="00563575">
                  <w:pPr>
                    <w:pStyle w:val="TableBodyText"/>
                    <w:ind w:right="28"/>
                  </w:pPr>
                  <w:r>
                    <w:t>$16 315</w:t>
                  </w:r>
                  <w:r>
                    <w:rPr>
                      <w:rStyle w:val="NoteLabel"/>
                    </w:rPr>
                    <w:t>g</w:t>
                  </w:r>
                </w:p>
              </w:tc>
              <w:tc>
                <w:tcPr>
                  <w:tcW w:w="51" w:type="pct"/>
                </w:tcPr>
                <w:p w:rsidR="006909AC" w:rsidRDefault="006909AC" w:rsidP="00563575">
                  <w:pPr>
                    <w:pStyle w:val="TableBodyText"/>
                    <w:ind w:right="28"/>
                  </w:pPr>
                </w:p>
              </w:tc>
              <w:tc>
                <w:tcPr>
                  <w:tcW w:w="3012" w:type="pct"/>
                </w:tcPr>
                <w:p w:rsidR="006909AC" w:rsidRDefault="006909AC" w:rsidP="00CB060E">
                  <w:pPr>
                    <w:pStyle w:val="TableBodyText"/>
                  </w:pPr>
                  <w:r w:rsidRPr="00CC2734">
                    <w:t>Household furniture and effects that are not of exceptionally high value, clothing, tools of trade, lump sum compensation payments if the applicant and dependants are not working, lump sum child or spouse maintenance where the applicant is receiving a pension/benefit at a</w:t>
                  </w:r>
                  <w:r w:rsidR="003C4012">
                    <w:t xml:space="preserve"> </w:t>
                  </w:r>
                  <w:r w:rsidRPr="00CC2734">
                    <w:t>reduced rate. Between $196 750 and $421</w:t>
                  </w:r>
                  <w:r w:rsidR="00CB060E">
                    <w:t> </w:t>
                  </w:r>
                  <w:r w:rsidRPr="00CC2734">
                    <w:t>500 in farm or business equity depending on home ownership and partner status</w:t>
                  </w:r>
                </w:p>
              </w:tc>
            </w:tr>
          </w:tbl>
          <w:p w:rsidR="007D6FE1" w:rsidRDefault="007D6FE1" w:rsidP="00563575">
            <w:pPr>
              <w:pStyle w:val="Box"/>
            </w:pPr>
          </w:p>
        </w:tc>
      </w:tr>
      <w:tr w:rsidR="00955F30" w:rsidTr="00B34E2A">
        <w:trPr>
          <w:cantSplit/>
        </w:trPr>
        <w:tc>
          <w:tcPr>
            <w:tcW w:w="14132" w:type="dxa"/>
            <w:tcBorders>
              <w:top w:val="single" w:sz="4" w:space="0" w:color="BFBFBF" w:themeColor="background2"/>
              <w:left w:val="nil"/>
              <w:bottom w:val="nil"/>
              <w:right w:val="nil"/>
            </w:tcBorders>
            <w:shd w:val="clear" w:color="auto" w:fill="auto"/>
          </w:tcPr>
          <w:p w:rsidR="00955F30" w:rsidRDefault="00955F30" w:rsidP="00A0524A">
            <w:pPr>
              <w:pStyle w:val="Note"/>
              <w:rPr>
                <w:i/>
              </w:rPr>
            </w:pPr>
            <w:proofErr w:type="gramStart"/>
            <w:r w:rsidRPr="008E77FE">
              <w:rPr>
                <w:rStyle w:val="NoteLabel"/>
              </w:rPr>
              <w:t>a</w:t>
            </w:r>
            <w:proofErr w:type="gramEnd"/>
            <w:r>
              <w:t xml:space="preserve"> Typically, these allowances are made for the principal home of the person applying for assistance, with any other real estate being counted against the net assessable assets allowed. Those aged over 60 years are often provided with more leeway in several jurisdictions.</w:t>
            </w:r>
            <w:r>
              <w:rPr>
                <w:rStyle w:val="NoteLabel"/>
              </w:rPr>
              <w:t xml:space="preserve"> </w:t>
            </w:r>
            <w:proofErr w:type="gramStart"/>
            <w:r>
              <w:rPr>
                <w:rStyle w:val="NoteLabel"/>
              </w:rPr>
              <w:t>b</w:t>
            </w:r>
            <w:proofErr w:type="gramEnd"/>
            <w:r>
              <w:t xml:space="preserve"> Equity allowed is usually up to two vehicles, with any equity in additional vehicles being assessed as assets.</w:t>
            </w:r>
            <w:r>
              <w:rPr>
                <w:rStyle w:val="NoteLabel"/>
              </w:rPr>
              <w:t xml:space="preserve"> </w:t>
            </w:r>
            <w:proofErr w:type="gramStart"/>
            <w:r>
              <w:rPr>
                <w:rStyle w:val="NoteLabel"/>
              </w:rPr>
              <w:t>c</w:t>
            </w:r>
            <w:proofErr w:type="gramEnd"/>
            <w:r>
              <w:t xml:space="preserve"> Varies by number of dependants. </w:t>
            </w:r>
            <w:proofErr w:type="gramStart"/>
            <w:r>
              <w:rPr>
                <w:rStyle w:val="NoteLabel"/>
              </w:rPr>
              <w:t>d</w:t>
            </w:r>
            <w:proofErr w:type="gramEnd"/>
            <w:r>
              <w:t xml:space="preserve"> Also allows for savings of up to this amount for the purpose of buying a home, provided that contracts were exchanged prior to knowledge of the legal problem. </w:t>
            </w:r>
            <w:proofErr w:type="gramStart"/>
            <w:r>
              <w:rPr>
                <w:rStyle w:val="NoteLabel"/>
              </w:rPr>
              <w:t>e</w:t>
            </w:r>
            <w:proofErr w:type="gramEnd"/>
            <w:r>
              <w:rPr>
                <w:rStyle w:val="NoteLabel"/>
              </w:rPr>
              <w:t xml:space="preserve"> </w:t>
            </w:r>
            <w:r>
              <w:t xml:space="preserve">The figure is set and updated in accordance with the weighted average of the Consumer Price Index and Average Weekly Earnings, with an allowance for dependants. </w:t>
            </w:r>
            <w:proofErr w:type="gramStart"/>
            <w:r>
              <w:rPr>
                <w:rStyle w:val="NoteLabel"/>
              </w:rPr>
              <w:t>f</w:t>
            </w:r>
            <w:proofErr w:type="gramEnd"/>
            <w:r>
              <w:rPr>
                <w:rStyle w:val="NoteLabel"/>
              </w:rPr>
              <w:t xml:space="preserve"> </w:t>
            </w:r>
            <w:r>
              <w:t>U</w:t>
            </w:r>
            <w:r w:rsidRPr="00F31FB5">
              <w:t>p to the amount equal to the median value of an established home in Adelaide.</w:t>
            </w:r>
            <w:r>
              <w:t xml:space="preserve"> </w:t>
            </w:r>
            <w:proofErr w:type="gramStart"/>
            <w:r>
              <w:rPr>
                <w:rStyle w:val="NoteLabel"/>
              </w:rPr>
              <w:t>g</w:t>
            </w:r>
            <w:proofErr w:type="gramEnd"/>
            <w:r>
              <w:t xml:space="preserve"> Equity allowed up to  </w:t>
            </w:r>
            <w:r w:rsidRPr="00844EEC">
              <w:t xml:space="preserve">the published re-sale </w:t>
            </w:r>
            <w:r w:rsidR="00A0524A">
              <w:t>value</w:t>
            </w:r>
            <w:r w:rsidRPr="00844EEC">
              <w:t xml:space="preserve"> for a 5 year old 6 cylinder family car</w:t>
            </w:r>
            <w:r>
              <w:t>.</w:t>
            </w:r>
            <w:r>
              <w:rPr>
                <w:rStyle w:val="NoteLabel"/>
              </w:rPr>
              <w:t xml:space="preserve"> </w:t>
            </w:r>
            <w:proofErr w:type="gramStart"/>
            <w:r>
              <w:rPr>
                <w:rStyle w:val="NoteLabel"/>
              </w:rPr>
              <w:t>h</w:t>
            </w:r>
            <w:proofErr w:type="gramEnd"/>
            <w:r>
              <w:t> Equity allowed up to a maximum equal to the median price of an established house in the ACT.</w:t>
            </w:r>
          </w:p>
        </w:tc>
      </w:tr>
      <w:tr w:rsidR="00955F30" w:rsidTr="00563575">
        <w:trPr>
          <w:cantSplit/>
        </w:trPr>
        <w:tc>
          <w:tcPr>
            <w:tcW w:w="14132" w:type="dxa"/>
            <w:tcBorders>
              <w:top w:val="nil"/>
              <w:left w:val="nil"/>
              <w:bottom w:val="nil"/>
              <w:right w:val="nil"/>
            </w:tcBorders>
            <w:shd w:val="clear" w:color="auto" w:fill="auto"/>
          </w:tcPr>
          <w:p w:rsidR="00955F30" w:rsidRDefault="00955F30" w:rsidP="00563575">
            <w:pPr>
              <w:pStyle w:val="Source"/>
            </w:pPr>
            <w:r w:rsidRPr="00955F30">
              <w:t>Source: As per table H.1.</w:t>
            </w:r>
          </w:p>
        </w:tc>
      </w:tr>
      <w:tr w:rsidR="00955F30" w:rsidTr="00563575">
        <w:trPr>
          <w:cantSplit/>
        </w:trPr>
        <w:tc>
          <w:tcPr>
            <w:tcW w:w="14132" w:type="dxa"/>
            <w:tcBorders>
              <w:top w:val="nil"/>
              <w:left w:val="nil"/>
              <w:bottom w:val="single" w:sz="6" w:space="0" w:color="78A22F" w:themeColor="accent1"/>
              <w:right w:val="nil"/>
            </w:tcBorders>
            <w:shd w:val="clear" w:color="auto" w:fill="auto"/>
          </w:tcPr>
          <w:p w:rsidR="00955F30" w:rsidRDefault="00955F30" w:rsidP="00563575">
            <w:pPr>
              <w:pStyle w:val="Box"/>
              <w:spacing w:before="0" w:line="120" w:lineRule="exact"/>
            </w:pPr>
          </w:p>
        </w:tc>
      </w:tr>
      <w:tr w:rsidR="00955F30" w:rsidRPr="000863A5" w:rsidTr="00563575">
        <w:tc>
          <w:tcPr>
            <w:tcW w:w="14132" w:type="dxa"/>
            <w:tcBorders>
              <w:top w:val="single" w:sz="6" w:space="0" w:color="78A22F" w:themeColor="accent1"/>
              <w:left w:val="nil"/>
              <w:bottom w:val="nil"/>
              <w:right w:val="nil"/>
            </w:tcBorders>
          </w:tcPr>
          <w:p w:rsidR="00955F30" w:rsidRPr="00626D32" w:rsidRDefault="00955F30" w:rsidP="00563575">
            <w:pPr>
              <w:pStyle w:val="BoxSpaceBelow"/>
            </w:pPr>
          </w:p>
        </w:tc>
      </w:tr>
    </w:tbl>
    <w:p w:rsidR="00AA3746" w:rsidRDefault="00AA3746">
      <w:pPr>
        <w:pStyle w:val="BodyText"/>
        <w:sectPr w:rsidR="00AA3746">
          <w:headerReference w:type="even" r:id="rId13"/>
          <w:headerReference w:type="default" r:id="rId14"/>
          <w:footerReference w:type="even" r:id="rId15"/>
          <w:footerReference w:type="default" r:id="rId16"/>
          <w:pgSz w:w="16840" w:h="11907" w:orient="landscape" w:code="9"/>
          <w:pgMar w:top="1814" w:right="1985" w:bottom="1304" w:left="1418" w:header="1701" w:footer="567" w:gutter="0"/>
          <w:pgNumType w:chapSep="period"/>
          <w:cols w:space="720"/>
        </w:sectPr>
      </w:pPr>
    </w:p>
    <w:p w:rsidR="002012E2" w:rsidRDefault="006A70C7" w:rsidP="00BE084F">
      <w:pPr>
        <w:pStyle w:val="Heading3"/>
        <w:spacing w:before="0"/>
      </w:pPr>
      <w:r>
        <w:lastRenderedPageBreak/>
        <w:t>Few are eligible</w:t>
      </w:r>
      <w:r w:rsidR="00605D61">
        <w:t xml:space="preserve"> for legal aid</w:t>
      </w:r>
    </w:p>
    <w:p w:rsidR="007D19B5" w:rsidRDefault="007D19B5" w:rsidP="00172433">
      <w:pPr>
        <w:pStyle w:val="BodyText"/>
      </w:pPr>
      <w:r>
        <w:t xml:space="preserve">It is difficult to </w:t>
      </w:r>
      <w:r w:rsidR="008A2817">
        <w:t>determine a</w:t>
      </w:r>
      <w:r w:rsidR="00FE18E3">
        <w:t xml:space="preserve"> ‘notional’</w:t>
      </w:r>
      <w:r w:rsidR="008A2817">
        <w:t xml:space="preserve"> national means test given the way that eligibility requirements vary considerably between</w:t>
      </w:r>
      <w:r w:rsidR="008401E7">
        <w:t xml:space="preserve"> jurisdictions</w:t>
      </w:r>
      <w:r w:rsidR="00065C7E">
        <w:t>.</w:t>
      </w:r>
      <w:r w:rsidR="008A2817">
        <w:t xml:space="preserve"> </w:t>
      </w:r>
      <w:r w:rsidR="007075ED">
        <w:t>That said</w:t>
      </w:r>
      <w:proofErr w:type="gramStart"/>
      <w:r w:rsidR="007075ED">
        <w:t>,</w:t>
      </w:r>
      <w:proofErr w:type="gramEnd"/>
      <w:r w:rsidR="008A2817">
        <w:t xml:space="preserve"> </w:t>
      </w:r>
      <w:r w:rsidR="007075ED">
        <w:t xml:space="preserve">the </w:t>
      </w:r>
      <w:r w:rsidR="00E97F08">
        <w:t xml:space="preserve">Commission has </w:t>
      </w:r>
      <w:r w:rsidR="00A72C7B">
        <w:t>derive</w:t>
      </w:r>
      <w:r w:rsidR="007075ED">
        <w:t>d</w:t>
      </w:r>
      <w:r w:rsidR="00A72C7B">
        <w:t xml:space="preserve"> such a </w:t>
      </w:r>
      <w:r w:rsidR="007075ED">
        <w:t xml:space="preserve">notional </w:t>
      </w:r>
      <w:r w:rsidR="00A72C7B">
        <w:t xml:space="preserve">national means test, in an effort </w:t>
      </w:r>
      <w:r w:rsidR="007A7809">
        <w:t xml:space="preserve">to understand </w:t>
      </w:r>
      <w:r w:rsidR="00977B87">
        <w:t>the</w:t>
      </w:r>
      <w:r w:rsidR="007A7809">
        <w:t xml:space="preserve"> </w:t>
      </w:r>
      <w:r w:rsidR="0001522C">
        <w:t>proportion</w:t>
      </w:r>
      <w:r w:rsidR="007A7809">
        <w:t xml:space="preserve"> of households </w:t>
      </w:r>
      <w:r w:rsidR="004A6CBC">
        <w:t>that would be eligible for legal aid without having to make a contribution.</w:t>
      </w:r>
      <w:r w:rsidR="00B83EFD">
        <w:t xml:space="preserve"> To do so, </w:t>
      </w:r>
      <w:r w:rsidR="00680C37">
        <w:t>the Commission has used</w:t>
      </w:r>
      <w:r w:rsidR="004E2DC5">
        <w:t xml:space="preserve"> the ABS</w:t>
      </w:r>
      <w:r w:rsidR="00680C37">
        <w:t xml:space="preserve"> 2009</w:t>
      </w:r>
      <w:r w:rsidR="00DF1C80">
        <w:noBreakHyphen/>
      </w:r>
      <w:r w:rsidR="00680C37">
        <w:t>10 Hous</w:t>
      </w:r>
      <w:r w:rsidR="00660EA0">
        <w:t>e</w:t>
      </w:r>
      <w:r w:rsidR="00680C37">
        <w:t xml:space="preserve">hold Expenditure Survey </w:t>
      </w:r>
      <w:r w:rsidR="00B87107">
        <w:t>(HES)</w:t>
      </w:r>
      <w:r w:rsidR="00DF7369">
        <w:t>,</w:t>
      </w:r>
      <w:r w:rsidR="00B87107">
        <w:t xml:space="preserve"> </w:t>
      </w:r>
      <w:r w:rsidR="00BB5CF6">
        <w:t xml:space="preserve">as this data source provides </w:t>
      </w:r>
      <w:r w:rsidR="002941D6">
        <w:t xml:space="preserve">consistent information on a range of different income measures and assets. </w:t>
      </w:r>
      <w:r w:rsidR="00B42334">
        <w:t>It does not, however, provide detail down to the level that LACs frequently consider — such as the value of tools and household furniture.</w:t>
      </w:r>
    </w:p>
    <w:p w:rsidR="009A69EC" w:rsidRDefault="007F67CC" w:rsidP="0074617A">
      <w:pPr>
        <w:pStyle w:val="BodyText"/>
      </w:pPr>
      <w:r>
        <w:t>The Commission estimates that around 8 per cent of households</w:t>
      </w:r>
      <w:r w:rsidR="00A82AC4">
        <w:t xml:space="preserve"> across Australia</w:t>
      </w:r>
      <w:r>
        <w:t xml:space="preserve"> are eligible for legal aid without having to make a contribution</w:t>
      </w:r>
      <w:r w:rsidR="002B5098">
        <w:t xml:space="preserve"> towards their c</w:t>
      </w:r>
      <w:r w:rsidR="00717E43">
        <w:t>osts. Based on the income test alone, around 19 per cent of households meet the ‘average’ LAC criteria, while 1</w:t>
      </w:r>
      <w:r w:rsidR="00871B5F">
        <w:t>5</w:t>
      </w:r>
      <w:r w:rsidR="00717E43">
        <w:t xml:space="preserve"> per cent of households meet the asset</w:t>
      </w:r>
      <w:r w:rsidR="00A82AC4">
        <w:t>s</w:t>
      </w:r>
      <w:r w:rsidR="00717E43">
        <w:t xml:space="preserve"> criteria</w:t>
      </w:r>
      <w:r w:rsidR="00DC2706">
        <w:t xml:space="preserve"> alone</w:t>
      </w:r>
      <w:r w:rsidR="00717E43">
        <w:t xml:space="preserve">. </w:t>
      </w:r>
      <w:r w:rsidR="00521DFA">
        <w:t>Figure</w:t>
      </w:r>
      <w:r w:rsidR="005B13BE">
        <w:t> </w:t>
      </w:r>
      <w:r w:rsidR="00EE4967">
        <w:t>H.1</w:t>
      </w:r>
      <w:r w:rsidR="00521DFA">
        <w:t xml:space="preserve"> summarises the result</w:t>
      </w:r>
      <w:r w:rsidR="00A57A2B">
        <w:t>s of the Commission’s estimates</w:t>
      </w:r>
      <w:r w:rsidR="00ED66F2">
        <w:t>,</w:t>
      </w:r>
      <w:r w:rsidR="00A57A2B">
        <w:t xml:space="preserve"> and the assumptions used to derive it.</w:t>
      </w:r>
      <w:r w:rsidR="007F2271">
        <w:t xml:space="preserve"> It should be noted that the calculations are indicative only and rely on a number of assumptions, which</w:t>
      </w:r>
      <w:r w:rsidR="00E026BE">
        <w:t>,</w:t>
      </w:r>
      <w:r w:rsidR="007F2271">
        <w:t xml:space="preserve"> if incorrect, could </w:t>
      </w:r>
      <w:r w:rsidR="00D8238A">
        <w:t xml:space="preserve">significantly </w:t>
      </w:r>
      <w:r w:rsidR="007F2271">
        <w:t>change the estimated proportion of eligible households.</w:t>
      </w:r>
    </w:p>
    <w:p w:rsidR="002604D2" w:rsidRDefault="002604D2" w:rsidP="003A29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04D2" w:rsidTr="003A29D8">
        <w:tc>
          <w:tcPr>
            <w:tcW w:w="8771" w:type="dxa"/>
            <w:tcBorders>
              <w:top w:val="single" w:sz="6" w:space="0" w:color="78A22F"/>
              <w:left w:val="nil"/>
              <w:bottom w:val="nil"/>
              <w:right w:val="nil"/>
            </w:tcBorders>
            <w:shd w:val="clear" w:color="auto" w:fill="auto"/>
          </w:tcPr>
          <w:p w:rsidR="002604D2" w:rsidRPr="00176D3F" w:rsidRDefault="002604D2" w:rsidP="00E86A56">
            <w:pPr>
              <w:pStyle w:val="FigureTitle"/>
            </w:pPr>
            <w:r w:rsidRPr="00784A05">
              <w:rPr>
                <w:b w:val="0"/>
              </w:rPr>
              <w:t xml:space="preserve">Figure </w:t>
            </w:r>
            <w:bookmarkStart w:id="7" w:name="OLE_LINK1"/>
            <w:r w:rsidRPr="00784A05">
              <w:rPr>
                <w:b w:val="0"/>
              </w:rPr>
              <w:fldChar w:fldCharType="begin"/>
            </w:r>
            <w:r w:rsidRPr="00784A05">
              <w:rPr>
                <w:b w:val="0"/>
              </w:rPr>
              <w:instrText xml:space="preserve"> COMMENTS  \* MERGEFORMAT </w:instrText>
            </w:r>
            <w:r w:rsidRPr="00784A05">
              <w:rPr>
                <w:b w:val="0"/>
              </w:rPr>
              <w:fldChar w:fldCharType="separate"/>
            </w:r>
            <w:r w:rsidR="00CB0DA1">
              <w:rPr>
                <w:b w:val="0"/>
              </w:rPr>
              <w:t>H.</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CB0DA1">
              <w:rPr>
                <w:b w:val="0"/>
                <w:noProof/>
              </w:rPr>
              <w:t>1</w:t>
            </w:r>
            <w:r w:rsidRPr="00784A05">
              <w:rPr>
                <w:b w:val="0"/>
              </w:rPr>
              <w:fldChar w:fldCharType="end"/>
            </w:r>
            <w:bookmarkEnd w:id="7"/>
            <w:r>
              <w:tab/>
            </w:r>
            <w:r w:rsidR="00E86A56">
              <w:t>Estimated p</w:t>
            </w:r>
            <w:r w:rsidR="00CD13CD">
              <w:t>roportion of households eligible for legal aid</w:t>
            </w:r>
            <w:r w:rsidR="00C274A8" w:rsidRPr="00C274A8">
              <w:rPr>
                <w:rStyle w:val="NoteLabel"/>
                <w:b/>
              </w:rPr>
              <w:t>a</w:t>
            </w:r>
          </w:p>
        </w:tc>
      </w:tr>
      <w:tr w:rsidR="002604D2" w:rsidTr="003A29D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2604D2" w:rsidTr="00225724">
              <w:tc>
                <w:tcPr>
                  <w:tcW w:w="8487" w:type="dxa"/>
                  <w:tcBorders>
                    <w:top w:val="nil"/>
                    <w:bottom w:val="nil"/>
                  </w:tcBorders>
                </w:tcPr>
                <w:p w:rsidR="002604D2" w:rsidRDefault="00F95F24" w:rsidP="003A29D8">
                  <w:pPr>
                    <w:pStyle w:val="Figure"/>
                    <w:spacing w:before="60" w:after="60"/>
                  </w:pPr>
                  <w:r>
                    <w:rPr>
                      <w:noProof/>
                    </w:rPr>
                    <w:drawing>
                      <wp:inline distT="0" distB="0" distL="0" distR="0" wp14:anchorId="697BAA95" wp14:editId="484C0E17">
                        <wp:extent cx="5248910" cy="2802890"/>
                        <wp:effectExtent l="0" t="0" r="8890" b="0"/>
                        <wp:docPr id="1" name="Picture 1" descr="This figure shows the proportion of households eligible for legal aid under the Commission’s notional national eligibility thresholds; derived from tables H.1 and H.2. It indicates that around 8 per cent of households are eligible for legal aid based on their income and assets; that 15 per cent of households pass the asset test (alone) and that nearly 20 per cent of households pass the income test (alone)." title="Figure H.1 Estimated proportion of households eligible for legal 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48910" cy="2802890"/>
                                </a:xfrm>
                                <a:prstGeom prst="rect">
                                  <a:avLst/>
                                </a:prstGeom>
                                <a:noFill/>
                                <a:ln>
                                  <a:noFill/>
                                </a:ln>
                              </pic:spPr>
                            </pic:pic>
                          </a:graphicData>
                        </a:graphic>
                      </wp:inline>
                    </w:drawing>
                  </w:r>
                </w:p>
              </w:tc>
            </w:tr>
          </w:tbl>
          <w:p w:rsidR="002604D2" w:rsidRDefault="002604D2" w:rsidP="003A29D8">
            <w:pPr>
              <w:pStyle w:val="Figure"/>
            </w:pPr>
          </w:p>
        </w:tc>
      </w:tr>
      <w:tr w:rsidR="002604D2" w:rsidRPr="00176D3F" w:rsidTr="003A29D8">
        <w:tc>
          <w:tcPr>
            <w:tcW w:w="8771" w:type="dxa"/>
            <w:tcBorders>
              <w:top w:val="nil"/>
              <w:left w:val="nil"/>
              <w:bottom w:val="nil"/>
              <w:right w:val="nil"/>
            </w:tcBorders>
            <w:shd w:val="clear" w:color="auto" w:fill="auto"/>
          </w:tcPr>
          <w:p w:rsidR="002604D2" w:rsidRPr="00176D3F" w:rsidRDefault="002604D2" w:rsidP="000A3C09">
            <w:pPr>
              <w:pStyle w:val="Note"/>
            </w:pPr>
            <w:r>
              <w:rPr>
                <w:rStyle w:val="NoteLabel"/>
              </w:rPr>
              <w:t>a</w:t>
            </w:r>
            <w:r>
              <w:t xml:space="preserve"> </w:t>
            </w:r>
            <w:r w:rsidR="00D87485">
              <w:t xml:space="preserve">Based on an income test that </w:t>
            </w:r>
            <w:r w:rsidR="00CD66A4">
              <w:t xml:space="preserve">allows for $300 per week base income, </w:t>
            </w:r>
            <w:r w:rsidR="00CD66A4">
              <w:tab/>
              <w:t>$150 per week per depend</w:t>
            </w:r>
            <w:r w:rsidR="00A73438">
              <w:t>a</w:t>
            </w:r>
            <w:r w:rsidR="00CD66A4">
              <w:t>nt under 15 years of age, $300 per week per household in rental assistance, and $100 per week per household for other household expenses</w:t>
            </w:r>
            <w:r w:rsidR="003E7553">
              <w:t>; and an assets test</w:t>
            </w:r>
            <w:r w:rsidR="004629C3">
              <w:t xml:space="preserve"> that allows for </w:t>
            </w:r>
            <w:r w:rsidR="00935F0A">
              <w:t>$500 000 in home equity for the place of residence, $250 000 in business equity, $15 000 in vehicle equity</w:t>
            </w:r>
            <w:r w:rsidR="00047196">
              <w:t xml:space="preserve">, and </w:t>
            </w:r>
            <w:r w:rsidR="00935F0A">
              <w:t>$1000 for other assets</w:t>
            </w:r>
            <w:r w:rsidR="00354B9A">
              <w:t>.</w:t>
            </w:r>
            <w:r w:rsidR="002E362F">
              <w:t xml:space="preserve"> Other assets includes the value of accounts in financial institutions, private trusts, shares, debentures </w:t>
            </w:r>
            <w:r w:rsidR="000A3C09">
              <w:t>and</w:t>
            </w:r>
            <w:r w:rsidR="002E362F">
              <w:t xml:space="preserve"> bonds, residential property besides the place of residence, non-residential property,</w:t>
            </w:r>
            <w:r w:rsidR="00D57977">
              <w:t xml:space="preserve"> and</w:t>
            </w:r>
            <w:r w:rsidR="002E362F">
              <w:t xml:space="preserve"> </w:t>
            </w:r>
            <w:r w:rsidR="00D57977">
              <w:t>‘other assets not elsewhere classified’</w:t>
            </w:r>
            <w:r w:rsidR="00AE1109">
              <w:t xml:space="preserve"> by the </w:t>
            </w:r>
            <w:r w:rsidR="00A73438">
              <w:t>Household Expenditure Survey</w:t>
            </w:r>
            <w:r w:rsidR="00AE1109">
              <w:t>.</w:t>
            </w:r>
            <w:r w:rsidR="00D57977">
              <w:t xml:space="preserve"> </w:t>
            </w:r>
          </w:p>
        </w:tc>
      </w:tr>
      <w:tr w:rsidR="002604D2" w:rsidRPr="00176D3F" w:rsidTr="003A29D8">
        <w:tc>
          <w:tcPr>
            <w:tcW w:w="8771" w:type="dxa"/>
            <w:tcBorders>
              <w:top w:val="nil"/>
              <w:left w:val="nil"/>
              <w:bottom w:val="nil"/>
              <w:right w:val="nil"/>
            </w:tcBorders>
            <w:shd w:val="clear" w:color="auto" w:fill="auto"/>
          </w:tcPr>
          <w:p w:rsidR="002604D2" w:rsidRPr="00176D3F" w:rsidRDefault="002604D2" w:rsidP="00101CB9">
            <w:pPr>
              <w:pStyle w:val="Source"/>
            </w:pPr>
            <w:r w:rsidRPr="00784A05">
              <w:rPr>
                <w:i/>
              </w:rPr>
              <w:t>Data source</w:t>
            </w:r>
            <w:r w:rsidRPr="00176D3F">
              <w:t xml:space="preserve">: </w:t>
            </w:r>
            <w:r w:rsidR="00984251">
              <w:t>Commi</w:t>
            </w:r>
            <w:r w:rsidR="0018630A">
              <w:t>ssion estimates based on</w:t>
            </w:r>
            <w:r w:rsidR="00746BFF">
              <w:t xml:space="preserve"> ABS </w:t>
            </w:r>
            <w:r w:rsidR="00101CB9">
              <w:t>(</w:t>
            </w:r>
            <w:r w:rsidR="007C2DF1">
              <w:rPr>
                <w:i/>
              </w:rPr>
              <w:t>Household Expenditure Survey</w:t>
            </w:r>
            <w:r w:rsidR="00101CB9">
              <w:rPr>
                <w:i/>
              </w:rPr>
              <w:t>, 2009</w:t>
            </w:r>
            <w:r w:rsidR="003C4012">
              <w:rPr>
                <w:i/>
              </w:rPr>
              <w:noBreakHyphen/>
            </w:r>
            <w:r w:rsidR="00101CB9">
              <w:rPr>
                <w:i/>
              </w:rPr>
              <w:t>10</w:t>
            </w:r>
            <w:r w:rsidR="00746BFF">
              <w:t>, Cat</w:t>
            </w:r>
            <w:r w:rsidR="00556191">
              <w:t>.</w:t>
            </w:r>
            <w:r w:rsidR="00101CB9">
              <w:t> </w:t>
            </w:r>
            <w:r w:rsidR="00746BFF">
              <w:t>no.</w:t>
            </w:r>
            <w:r w:rsidR="00101CB9">
              <w:t> </w:t>
            </w:r>
            <w:r w:rsidR="00746BFF">
              <w:t xml:space="preserve">6503.0, </w:t>
            </w:r>
            <w:proofErr w:type="spellStart"/>
            <w:r w:rsidR="00746BFF">
              <w:t>Co</w:t>
            </w:r>
            <w:r w:rsidR="00101CB9">
              <w:t>nfidentialised</w:t>
            </w:r>
            <w:proofErr w:type="spellEnd"/>
            <w:r w:rsidR="00101CB9">
              <w:t xml:space="preserve"> Unit Record File)</w:t>
            </w:r>
            <w:r w:rsidR="00746BFF">
              <w:t>.</w:t>
            </w:r>
          </w:p>
        </w:tc>
      </w:tr>
      <w:tr w:rsidR="002604D2" w:rsidTr="003A29D8">
        <w:tc>
          <w:tcPr>
            <w:tcW w:w="8771" w:type="dxa"/>
            <w:tcBorders>
              <w:top w:val="nil"/>
              <w:left w:val="nil"/>
              <w:bottom w:val="single" w:sz="6" w:space="0" w:color="78A22F"/>
              <w:right w:val="nil"/>
            </w:tcBorders>
            <w:shd w:val="clear" w:color="auto" w:fill="auto"/>
          </w:tcPr>
          <w:p w:rsidR="002604D2" w:rsidRDefault="002604D2" w:rsidP="003A29D8">
            <w:pPr>
              <w:pStyle w:val="Figurespace"/>
            </w:pPr>
          </w:p>
        </w:tc>
      </w:tr>
      <w:tr w:rsidR="002604D2" w:rsidRPr="000863A5" w:rsidTr="003A29D8">
        <w:tc>
          <w:tcPr>
            <w:tcW w:w="8771" w:type="dxa"/>
            <w:tcBorders>
              <w:top w:val="single" w:sz="6" w:space="0" w:color="78A22F"/>
              <w:left w:val="nil"/>
              <w:bottom w:val="nil"/>
              <w:right w:val="nil"/>
            </w:tcBorders>
          </w:tcPr>
          <w:p w:rsidR="002604D2" w:rsidRPr="00626D32" w:rsidRDefault="002604D2" w:rsidP="003A29D8">
            <w:pPr>
              <w:pStyle w:val="BoxSpaceBelow"/>
            </w:pPr>
          </w:p>
        </w:tc>
      </w:tr>
    </w:tbl>
    <w:p w:rsidR="00175C54" w:rsidRDefault="00175C54" w:rsidP="00175C54">
      <w:pPr>
        <w:pStyle w:val="BodyText"/>
      </w:pPr>
      <w:r>
        <w:lastRenderedPageBreak/>
        <w:t>Very different proportions of households are eligible for the different criteria of the assets test. Most households are not constrained by the allowances made for business and home equity — possibly because many households do not own businesses and rent their principal place of residence. The vehicle constraint is more binding, but still not applicable for most households. However, the low threshold for assessable assets means that the constraint on other assets — predominantly liquid assets — renders about 80 per cent of households ineligible for aid without making a contribution.</w:t>
      </w:r>
    </w:p>
    <w:p w:rsidR="000C58DB" w:rsidRDefault="004330FD" w:rsidP="00034C07">
      <w:pPr>
        <w:pStyle w:val="Heading2"/>
      </w:pPr>
      <w:r>
        <w:fldChar w:fldCharType="begin"/>
      </w:r>
      <w:r>
        <w:instrText xml:space="preserve"> COMMENTS  \* MERGEFORMAT </w:instrText>
      </w:r>
      <w:r>
        <w:fldChar w:fldCharType="separate"/>
      </w:r>
      <w:proofErr w:type="gramStart"/>
      <w:r w:rsidR="00CB0DA1">
        <w:t>H.</w:t>
      </w:r>
      <w:proofErr w:type="gramEnd"/>
      <w:r>
        <w:fldChar w:fldCharType="end"/>
      </w:r>
      <w:fldSimple w:instr=" SEQ Heading2 ">
        <w:r w:rsidR="00CB0DA1">
          <w:rPr>
            <w:noProof/>
          </w:rPr>
          <w:t>2</w:t>
        </w:r>
      </w:fldSimple>
      <w:r w:rsidR="00034C07">
        <w:tab/>
        <w:t>How much would it cost to provide more legal aid services?</w:t>
      </w:r>
    </w:p>
    <w:p w:rsidR="00351BE6" w:rsidRDefault="00351BE6" w:rsidP="00700AC1">
      <w:pPr>
        <w:pStyle w:val="BodyText"/>
      </w:pPr>
      <w:r>
        <w:t>The Commission</w:t>
      </w:r>
      <w:r w:rsidR="00E60A4B">
        <w:t>, in recommendation 21.</w:t>
      </w:r>
      <w:r w:rsidR="004A15AD">
        <w:t>4</w:t>
      </w:r>
      <w:r w:rsidR="00E60A4B">
        <w:t xml:space="preserve">, proposes more </w:t>
      </w:r>
      <w:r>
        <w:t xml:space="preserve">funding be provided to legal assistance </w:t>
      </w:r>
      <w:r w:rsidR="00D010BF">
        <w:t xml:space="preserve">services </w:t>
      </w:r>
      <w:r>
        <w:t>for three purposes:</w:t>
      </w:r>
    </w:p>
    <w:p w:rsidR="00351BE6" w:rsidRDefault="00351BE6" w:rsidP="00351BE6">
      <w:pPr>
        <w:pStyle w:val="ListBullet"/>
      </w:pPr>
      <w:r>
        <w:t>to maintain existing frontline services tha</w:t>
      </w:r>
      <w:r w:rsidR="007672C4">
        <w:t>t have a demonstrated benefit to the community</w:t>
      </w:r>
    </w:p>
    <w:p w:rsidR="007672C4" w:rsidRDefault="00C4313B" w:rsidP="00351BE6">
      <w:pPr>
        <w:pStyle w:val="ListBullet"/>
      </w:pPr>
      <w:r>
        <w:t>to relax the means test</w:t>
      </w:r>
      <w:r w:rsidR="001459D1">
        <w:t>s</w:t>
      </w:r>
      <w:r>
        <w:t xml:space="preserve"> </w:t>
      </w:r>
      <w:r w:rsidR="00D17B88">
        <w:t xml:space="preserve">applied by the LACs </w:t>
      </w:r>
      <w:r>
        <w:t>and allow more households to be eligible to receive their grants of legal aid</w:t>
      </w:r>
    </w:p>
    <w:p w:rsidR="00C4313B" w:rsidRDefault="003600E7" w:rsidP="00351BE6">
      <w:pPr>
        <w:pStyle w:val="ListBullet"/>
      </w:pPr>
      <w:proofErr w:type="gramStart"/>
      <w:r>
        <w:t>to</w:t>
      </w:r>
      <w:proofErr w:type="gramEnd"/>
      <w:r>
        <w:t xml:space="preserve"> provide grants of legal aid in areas of law where there is </w:t>
      </w:r>
      <w:r w:rsidR="00D152F7">
        <w:t>little assistance being currently provided, by either LACs or other legal assistance services.</w:t>
      </w:r>
    </w:p>
    <w:p w:rsidR="00CC6BA7" w:rsidRDefault="00E523FE" w:rsidP="00E523FE">
      <w:pPr>
        <w:pStyle w:val="BodyText"/>
      </w:pPr>
      <w:r>
        <w:t>The Commission estima</w:t>
      </w:r>
      <w:r w:rsidR="00DE4A68">
        <w:t>tes that the collective cost of this recommendation is around $200</w:t>
      </w:r>
      <w:r w:rsidR="00DF7369">
        <w:t> </w:t>
      </w:r>
      <w:r w:rsidR="00DE4A68">
        <w:t>million</w:t>
      </w:r>
      <w:r w:rsidR="006A79CF">
        <w:t xml:space="preserve"> per annum, </w:t>
      </w:r>
      <w:r w:rsidR="00651683">
        <w:t xml:space="preserve">and </w:t>
      </w:r>
      <w:r w:rsidR="00C70DAC">
        <w:t>should</w:t>
      </w:r>
      <w:r w:rsidR="00651683">
        <w:t xml:space="preserve"> </w:t>
      </w:r>
      <w:r w:rsidR="00B65D95">
        <w:t>continue</w:t>
      </w:r>
      <w:r w:rsidR="00651683">
        <w:t xml:space="preserve"> as an interim arrangement </w:t>
      </w:r>
      <w:r w:rsidR="006A79CF">
        <w:t xml:space="preserve">until </w:t>
      </w:r>
      <w:r w:rsidR="00A239CB">
        <w:t>sufficient data can be collected to better inform funding of legal assistance services (chapter</w:t>
      </w:r>
      <w:r w:rsidR="00E116EF">
        <w:t>s</w:t>
      </w:r>
      <w:r w:rsidR="003C4012">
        <w:t> </w:t>
      </w:r>
      <w:r w:rsidR="00E116EF">
        <w:t xml:space="preserve">21 </w:t>
      </w:r>
      <w:r w:rsidR="0028402F">
        <w:t>and </w:t>
      </w:r>
      <w:r w:rsidR="00A239CB">
        <w:t>25)</w:t>
      </w:r>
      <w:r w:rsidR="00DE4A68">
        <w:t xml:space="preserve">. This section describes in detail </w:t>
      </w:r>
      <w:r w:rsidR="001C7ABE">
        <w:t>how these estimates were derived.</w:t>
      </w:r>
    </w:p>
    <w:p w:rsidR="003B1C8A" w:rsidRDefault="007E085A" w:rsidP="00C651CE">
      <w:pPr>
        <w:pStyle w:val="Heading3"/>
      </w:pPr>
      <w:r w:rsidRPr="007E085A">
        <w:t xml:space="preserve">Providing </w:t>
      </w:r>
      <w:r w:rsidR="000A1442">
        <w:t>f</w:t>
      </w:r>
      <w:r w:rsidRPr="007E085A">
        <w:t>unding to maintain existing frontline services</w:t>
      </w:r>
    </w:p>
    <w:p w:rsidR="007E085A" w:rsidRDefault="00E614D3" w:rsidP="007E085A">
      <w:pPr>
        <w:pStyle w:val="BodyText"/>
      </w:pPr>
      <w:r>
        <w:t xml:space="preserve">Recent </w:t>
      </w:r>
      <w:r w:rsidR="00E41631">
        <w:t>decisions taken in the 2013</w:t>
      </w:r>
      <w:r w:rsidR="003C4012">
        <w:noBreakHyphen/>
      </w:r>
      <w:r w:rsidR="001050B2">
        <w:t>14</w:t>
      </w:r>
      <w:r w:rsidR="00E41631">
        <w:t xml:space="preserve"> Mid-Year Economic and Fi</w:t>
      </w:r>
      <w:r w:rsidR="001050B2">
        <w:t>s</w:t>
      </w:r>
      <w:r w:rsidR="00E41631">
        <w:t>cal Outlook</w:t>
      </w:r>
      <w:r w:rsidR="00687025" w:rsidRPr="00687025">
        <w:t xml:space="preserve"> </w:t>
      </w:r>
      <w:r w:rsidR="00E41631">
        <w:t xml:space="preserve">(MYEFO) </w:t>
      </w:r>
      <w:r w:rsidR="00823CAC">
        <w:t xml:space="preserve">Statement </w:t>
      </w:r>
      <w:r w:rsidR="0034081D">
        <w:t>and 2014</w:t>
      </w:r>
      <w:r w:rsidR="003C4012">
        <w:noBreakHyphen/>
      </w:r>
      <w:r w:rsidR="0034081D">
        <w:t xml:space="preserve">15 </w:t>
      </w:r>
      <w:r w:rsidR="00451975">
        <w:t xml:space="preserve">Budget </w:t>
      </w:r>
      <w:r w:rsidR="00414F41">
        <w:t>reduced funding to all four legal assistance providers</w:t>
      </w:r>
      <w:r w:rsidR="00477652">
        <w:t xml:space="preserve"> </w:t>
      </w:r>
      <w:r w:rsidR="00477652">
        <w:fldChar w:fldCharType="begin"/>
      </w:r>
      <w:r w:rsidR="00477652">
        <w:instrText xml:space="preserve"> ADDIN ZOTERO_ITEM CSL_CITATION {"citationID":"1ouo84fb6b","properties":{"formattedCitation":"{\\rtf (Australian Government\\uc0\\u160{}2013)}","plainCitation":"(Australian Government 2013)"},"citationItems":[{"id":2451,"uris":["http://zotero.org/groups/177820/items/MBJ6WUJS"],"uri":["http://zotero.org/groups/177820/items/MBJ6WUJS"],"itemData":{"id":2451,"type":"article","title":"Mid-Year Economic and Fiscal Outlook 2013-14","publisher":"Commonwealth of Australia","author":[{"family":"Australian Government","given":""}],"issued":{"date-parts":[["2013"]]}}}],"schema":"https://github.com/citation-style-language/schema/raw/master/csl-citation.json"} </w:instrText>
      </w:r>
      <w:r w:rsidR="00477652">
        <w:fldChar w:fldCharType="separate"/>
      </w:r>
      <w:r w:rsidR="00477652" w:rsidRPr="00477652">
        <w:rPr>
          <w:szCs w:val="24"/>
        </w:rPr>
        <w:t>(Australian Government 2013)</w:t>
      </w:r>
      <w:r w:rsidR="00477652">
        <w:fldChar w:fldCharType="end"/>
      </w:r>
      <w:r w:rsidR="00414F41">
        <w:t xml:space="preserve">. The </w:t>
      </w:r>
      <w:r w:rsidR="00477652">
        <w:t xml:space="preserve">announced </w:t>
      </w:r>
      <w:r w:rsidR="00414F41">
        <w:t xml:space="preserve">reductions in funding from MYEFO totalled around $43 million over four years, and </w:t>
      </w:r>
      <w:r w:rsidR="00813F00">
        <w:t xml:space="preserve">were designed to </w:t>
      </w:r>
      <w:r w:rsidR="00127E83">
        <w:t>limit</w:t>
      </w:r>
      <w:r w:rsidR="009636C7">
        <w:t xml:space="preserve"> policy reform and advocacy activities:</w:t>
      </w:r>
    </w:p>
    <w:p w:rsidR="00414F41" w:rsidRPr="00414F41" w:rsidRDefault="00414F41" w:rsidP="00414F41">
      <w:pPr>
        <w:pStyle w:val="Quote"/>
        <w:rPr>
          <w:b/>
        </w:rPr>
      </w:pPr>
      <w:r>
        <w:t>The Government will achieve savings of $43.1 million over four years by removing funding support for policy reform and advocacy activities provided to four legal assistance programmes. Funding for the provision of frontline legal services will not be affected.</w:t>
      </w:r>
      <w:r w:rsidR="003A0F1A">
        <w:t xml:space="preserve"> </w:t>
      </w:r>
      <w:r w:rsidR="003A0F1A">
        <w:fldChar w:fldCharType="begin"/>
      </w:r>
      <w:r w:rsidR="00503A5E">
        <w:instrText xml:space="preserve"> ADDIN ZOTERO_ITEM CSL_CITATION {"citationID":"7tXjcPyB","properties":{"formattedCitation":"{\\rtf (Australian Government\\uc0\\u160{}2013, p.\\uc0\\u160{}119)}","plainCitation":"(Australian Government 2013, p. 119)"},"citationItems":[{"id":2451,"uris":["http://zotero.org/groups/177820/items/MBJ6WUJS"],"uri":["http://zotero.org/groups/177820/items/MBJ6WUJS"],"itemData":{"id":2451,"type":"article","title":"Mid-Year Economic and Fiscal Outlook 2013-14","publisher":"Commonwealth of Australia","author":[{"family":"Australian Government","given":""}],"issued":{"date-parts":[["2013"]]}},"locator":"119"}],"schema":"https://github.com/citation-style-language/schema/raw/master/csl-citation.json"} </w:instrText>
      </w:r>
      <w:r w:rsidR="003A0F1A">
        <w:fldChar w:fldCharType="separate"/>
      </w:r>
      <w:r w:rsidR="00503A5E" w:rsidRPr="00503A5E">
        <w:rPr>
          <w:szCs w:val="24"/>
        </w:rPr>
        <w:t>(Australian Government 2013, p. 119)</w:t>
      </w:r>
      <w:r w:rsidR="003A0F1A">
        <w:fldChar w:fldCharType="end"/>
      </w:r>
    </w:p>
    <w:p w:rsidR="00DF01BD" w:rsidRDefault="00DF01BD">
      <w:pPr>
        <w:rPr>
          <w:szCs w:val="20"/>
        </w:rPr>
      </w:pPr>
      <w:r>
        <w:br w:type="page"/>
      </w:r>
    </w:p>
    <w:p w:rsidR="00D55E84" w:rsidRPr="00E57688" w:rsidRDefault="00E15EE1" w:rsidP="007E085A">
      <w:pPr>
        <w:pStyle w:val="BodyText"/>
      </w:pPr>
      <w:r w:rsidRPr="00E57688">
        <w:lastRenderedPageBreak/>
        <w:t xml:space="preserve">The distribution of </w:t>
      </w:r>
      <w:r w:rsidR="005E2DD0" w:rsidRPr="00E57688">
        <w:t>these changes in funding</w:t>
      </w:r>
      <w:r w:rsidRPr="00E57688">
        <w:t>, over four years</w:t>
      </w:r>
      <w:r w:rsidR="00687025" w:rsidRPr="00E57688">
        <w:t xml:space="preserve"> (2013</w:t>
      </w:r>
      <w:r w:rsidR="003C4012" w:rsidRPr="00E57688">
        <w:noBreakHyphen/>
      </w:r>
      <w:r w:rsidR="00687025" w:rsidRPr="00E57688">
        <w:t>14 to 2016</w:t>
      </w:r>
      <w:r w:rsidR="003C4012" w:rsidRPr="00E57688">
        <w:noBreakHyphen/>
      </w:r>
      <w:r w:rsidR="00687025" w:rsidRPr="00E57688">
        <w:t>17)</w:t>
      </w:r>
      <w:r w:rsidRPr="00E57688">
        <w:t>, comprised:</w:t>
      </w:r>
    </w:p>
    <w:p w:rsidR="00E15EE1" w:rsidRPr="00E57688" w:rsidRDefault="00A7640F" w:rsidP="00E15EE1">
      <w:pPr>
        <w:pStyle w:val="ListBullet"/>
      </w:pPr>
      <w:r w:rsidRPr="00E57688">
        <w:t xml:space="preserve">a </w:t>
      </w:r>
      <w:r w:rsidR="00E15EE1" w:rsidRPr="00E57688">
        <w:t>$6.5 million</w:t>
      </w:r>
      <w:r w:rsidRPr="00E57688">
        <w:t xml:space="preserve"> reduction</w:t>
      </w:r>
      <w:r w:rsidR="00E15EE1" w:rsidRPr="00E57688">
        <w:t xml:space="preserve"> </w:t>
      </w:r>
      <w:r w:rsidR="00CC5519" w:rsidRPr="00E57688">
        <w:t>to</w:t>
      </w:r>
      <w:r w:rsidR="00E15EE1" w:rsidRPr="00E57688">
        <w:t xml:space="preserve"> the LACs</w:t>
      </w:r>
    </w:p>
    <w:p w:rsidR="00D301D2" w:rsidRPr="00E57688" w:rsidRDefault="00A7640F" w:rsidP="00D301D2">
      <w:pPr>
        <w:pStyle w:val="ListBullet"/>
      </w:pPr>
      <w:r w:rsidRPr="00E57688">
        <w:t xml:space="preserve">a </w:t>
      </w:r>
      <w:r w:rsidR="00D301D2" w:rsidRPr="00E57688">
        <w:t>$19.6 million</w:t>
      </w:r>
      <w:r w:rsidRPr="00E57688">
        <w:t xml:space="preserve"> reduction</w:t>
      </w:r>
      <w:r w:rsidR="00D301D2" w:rsidRPr="00E57688">
        <w:t xml:space="preserve"> to the Community Legal Services Program (CLSP), directed to the </w:t>
      </w:r>
      <w:r w:rsidR="00B32427" w:rsidRPr="00E57688">
        <w:t>community legal centres (CLCs)</w:t>
      </w:r>
    </w:p>
    <w:p w:rsidR="00E15EE1" w:rsidRPr="00E57688" w:rsidRDefault="00A7640F" w:rsidP="00E15EE1">
      <w:pPr>
        <w:pStyle w:val="ListBullet"/>
      </w:pPr>
      <w:r w:rsidRPr="00E57688">
        <w:t xml:space="preserve">a </w:t>
      </w:r>
      <w:r w:rsidR="00E15EE1" w:rsidRPr="00E57688">
        <w:t>$13.3 million</w:t>
      </w:r>
      <w:r w:rsidRPr="00E57688">
        <w:t xml:space="preserve"> reduction</w:t>
      </w:r>
      <w:r w:rsidR="00E15EE1" w:rsidRPr="00E57688">
        <w:t xml:space="preserve"> </w:t>
      </w:r>
      <w:r w:rsidR="00CC5519" w:rsidRPr="00E57688">
        <w:t>to</w:t>
      </w:r>
      <w:r w:rsidR="00E15EE1" w:rsidRPr="00E57688">
        <w:t xml:space="preserve"> the A</w:t>
      </w:r>
      <w:r w:rsidR="00B32427" w:rsidRPr="00E57688">
        <w:t>boriginal and Torres Strait Islander Legal Services (A</w:t>
      </w:r>
      <w:r w:rsidR="00E15EE1" w:rsidRPr="00E57688">
        <w:t>TSILS</w:t>
      </w:r>
      <w:r w:rsidR="00B32427" w:rsidRPr="00E57688">
        <w:t>)</w:t>
      </w:r>
    </w:p>
    <w:p w:rsidR="00E15EE1" w:rsidRPr="00E57688" w:rsidRDefault="00A7640F" w:rsidP="00E15EE1">
      <w:pPr>
        <w:pStyle w:val="ListBullet"/>
      </w:pPr>
      <w:proofErr w:type="gramStart"/>
      <w:r w:rsidRPr="00E57688">
        <w:t>a</w:t>
      </w:r>
      <w:proofErr w:type="gramEnd"/>
      <w:r w:rsidRPr="00E57688">
        <w:t xml:space="preserve"> </w:t>
      </w:r>
      <w:r w:rsidR="00E15EE1" w:rsidRPr="00E57688">
        <w:t>$3.7 million</w:t>
      </w:r>
      <w:r w:rsidRPr="00E57688">
        <w:t xml:space="preserve"> reduction</w:t>
      </w:r>
      <w:r w:rsidR="00E15EE1" w:rsidRPr="00E57688">
        <w:t xml:space="preserve"> </w:t>
      </w:r>
      <w:r w:rsidR="00CC5519" w:rsidRPr="00E57688">
        <w:t>to</w:t>
      </w:r>
      <w:r w:rsidR="00E15EE1" w:rsidRPr="00E57688">
        <w:t xml:space="preserve"> the F</w:t>
      </w:r>
      <w:r w:rsidR="00691312" w:rsidRPr="00E57688">
        <w:t xml:space="preserve">amily </w:t>
      </w:r>
      <w:r w:rsidR="00E15EE1" w:rsidRPr="00E57688">
        <w:t>V</w:t>
      </w:r>
      <w:r w:rsidR="00691312" w:rsidRPr="00E57688">
        <w:t xml:space="preserve">iolence </w:t>
      </w:r>
      <w:r w:rsidR="00E15EE1" w:rsidRPr="00E57688">
        <w:t>P</w:t>
      </w:r>
      <w:r w:rsidR="00691312" w:rsidRPr="00E57688">
        <w:t xml:space="preserve">revention and </w:t>
      </w:r>
      <w:r w:rsidR="00E15EE1" w:rsidRPr="00E57688">
        <w:t>L</w:t>
      </w:r>
      <w:r w:rsidR="00691312" w:rsidRPr="00E57688">
        <w:t xml:space="preserve">egal </w:t>
      </w:r>
      <w:r w:rsidR="00E15EE1" w:rsidRPr="00E57688">
        <w:t>S</w:t>
      </w:r>
      <w:r w:rsidR="00691312" w:rsidRPr="00E57688">
        <w:t>ervices (FVPLS)</w:t>
      </w:r>
      <w:r w:rsidR="00A55E7A" w:rsidRPr="00E57688">
        <w:t xml:space="preserve"> — however, this change in funding did not eventuate</w:t>
      </w:r>
      <w:r w:rsidR="002C6589" w:rsidRPr="00E57688">
        <w:t xml:space="preserve"> (</w:t>
      </w:r>
      <w:r w:rsidR="00234757" w:rsidRPr="00E57688">
        <w:t>table</w:t>
      </w:r>
      <w:r w:rsidR="003C4012" w:rsidRPr="00E57688">
        <w:t> </w:t>
      </w:r>
      <w:r w:rsidR="00234757" w:rsidRPr="00E57688">
        <w:t>20.</w:t>
      </w:r>
      <w:r w:rsidR="003B10BF" w:rsidRPr="00E57688">
        <w:t>4</w:t>
      </w:r>
      <w:r w:rsidR="00237285" w:rsidRPr="00E57688">
        <w:t>).</w:t>
      </w:r>
    </w:p>
    <w:p w:rsidR="00A54F21" w:rsidRPr="00D8005C" w:rsidRDefault="00A54F21" w:rsidP="00434971">
      <w:pPr>
        <w:pStyle w:val="BodyText"/>
        <w:rPr>
          <w:b/>
        </w:rPr>
      </w:pPr>
      <w:r>
        <w:t>A further reduction of $15 million to LACs was made in the 2014</w:t>
      </w:r>
      <w:r w:rsidR="003C4012">
        <w:noBreakHyphen/>
      </w:r>
      <w:r>
        <w:t xml:space="preserve">15 </w:t>
      </w:r>
      <w:r w:rsidR="00451975">
        <w:t xml:space="preserve">Budget </w:t>
      </w:r>
      <w:r>
        <w:t xml:space="preserve">for </w:t>
      </w:r>
      <w:r w:rsidR="00451975">
        <w:t xml:space="preserve">that </w:t>
      </w:r>
      <w:r>
        <w:t>financial year.</w:t>
      </w:r>
      <w:r w:rsidRPr="00467EAE">
        <w:t xml:space="preserve"> </w:t>
      </w:r>
    </w:p>
    <w:p w:rsidR="00E15EE1" w:rsidRDefault="00A7640F" w:rsidP="00434971">
      <w:pPr>
        <w:pStyle w:val="BodyText"/>
      </w:pPr>
      <w:r>
        <w:t>However, these adjustments to funding</w:t>
      </w:r>
      <w:r w:rsidR="00434971">
        <w:t xml:space="preserve"> should be considered against the wider context of additional funding that was provided in the </w:t>
      </w:r>
      <w:r w:rsidR="004C6217">
        <w:t>2013</w:t>
      </w:r>
      <w:r w:rsidR="003C4012">
        <w:noBreakHyphen/>
      </w:r>
      <w:r w:rsidR="004C6217">
        <w:t xml:space="preserve">14 </w:t>
      </w:r>
      <w:r w:rsidR="003F391C">
        <w:t>Budget</w:t>
      </w:r>
      <w:r w:rsidR="004C6217">
        <w:t xml:space="preserve">. In that budget, additional funds of $30 million were provided to LACs </w:t>
      </w:r>
      <w:r w:rsidR="004A4FFD">
        <w:t>over two years to undertake work in civil areas of law.</w:t>
      </w:r>
      <w:r w:rsidR="00D04351">
        <w:t xml:space="preserve"> </w:t>
      </w:r>
      <w:r w:rsidR="008D0B1F">
        <w:t>(</w:t>
      </w:r>
      <w:r w:rsidR="00D04351">
        <w:t>The</w:t>
      </w:r>
      <w:r w:rsidR="00C056D5">
        <w:t xml:space="preserve"> subsequent</w:t>
      </w:r>
      <w:r w:rsidR="00D04351">
        <w:t xml:space="preserve"> $15 million reduction in the 2014</w:t>
      </w:r>
      <w:r w:rsidR="003C4012">
        <w:noBreakHyphen/>
      </w:r>
      <w:r w:rsidR="00D04351">
        <w:t>15 Budget represented an early end to the provision of those funds</w:t>
      </w:r>
      <w:r w:rsidR="002A773C">
        <w:t>.</w:t>
      </w:r>
      <w:r w:rsidR="008D0B1F">
        <w:t>)</w:t>
      </w:r>
      <w:r w:rsidR="00B47D25">
        <w:t xml:space="preserve"> </w:t>
      </w:r>
      <w:r w:rsidR="004A4FFD">
        <w:t>An additional $10.4 million</w:t>
      </w:r>
      <w:r w:rsidR="0020427D">
        <w:t xml:space="preserve"> </w:t>
      </w:r>
      <w:r w:rsidR="00451975" w:rsidRPr="00D8005C">
        <w:t xml:space="preserve">for four years </w:t>
      </w:r>
      <w:r w:rsidR="004A4FFD">
        <w:t>was also provided through the CLSP</w:t>
      </w:r>
      <w:r w:rsidR="00E95892">
        <w:t xml:space="preserve"> (table</w:t>
      </w:r>
      <w:r w:rsidR="003C4012">
        <w:t> </w:t>
      </w:r>
      <w:r w:rsidR="00E95892">
        <w:t>20.4)</w:t>
      </w:r>
      <w:r w:rsidR="00AD702B" w:rsidRPr="00542AB7">
        <w:t>.</w:t>
      </w:r>
    </w:p>
    <w:p w:rsidR="00607D74" w:rsidRDefault="00D708EC" w:rsidP="007E085A">
      <w:pPr>
        <w:pStyle w:val="BodyText"/>
      </w:pPr>
      <w:r>
        <w:t>That said, many legal assistance services have stated that the</w:t>
      </w:r>
      <w:r w:rsidR="00607D74">
        <w:t xml:space="preserve"> changes to funding as part of the 2013</w:t>
      </w:r>
      <w:r w:rsidR="003C4012">
        <w:noBreakHyphen/>
      </w:r>
      <w:r w:rsidR="00607D74">
        <w:t>14 MYEFO and 2014</w:t>
      </w:r>
      <w:r w:rsidR="003C4012">
        <w:noBreakHyphen/>
      </w:r>
      <w:r w:rsidR="00607D74">
        <w:t xml:space="preserve">15 </w:t>
      </w:r>
      <w:r w:rsidR="00F86284">
        <w:t>B</w:t>
      </w:r>
      <w:r w:rsidR="00607D74">
        <w:t>udget have affected</w:t>
      </w:r>
      <w:r w:rsidR="000123B9">
        <w:t xml:space="preserve"> frontline services. For example, </w:t>
      </w:r>
      <w:r w:rsidR="00A90C2C">
        <w:t xml:space="preserve">the National Aboriginal and Torres Strait Islander Legal Services </w:t>
      </w:r>
      <w:r w:rsidR="000123B9">
        <w:t>stated</w:t>
      </w:r>
      <w:r w:rsidR="00DF587C">
        <w:t xml:space="preserve"> in respect to the changes outlined in </w:t>
      </w:r>
      <w:r w:rsidR="00982FDA">
        <w:t xml:space="preserve">the </w:t>
      </w:r>
      <w:r w:rsidR="00DF587C">
        <w:t>MYEFO</w:t>
      </w:r>
      <w:r w:rsidR="000123B9">
        <w:t>:</w:t>
      </w:r>
    </w:p>
    <w:p w:rsidR="000123B9" w:rsidRPr="00AD702B" w:rsidRDefault="000123B9" w:rsidP="000123B9">
      <w:pPr>
        <w:pStyle w:val="Quote"/>
      </w:pPr>
      <w:r>
        <w:t>[I]</w:t>
      </w:r>
      <w:proofErr w:type="spellStart"/>
      <w:r w:rsidRPr="00607D74">
        <w:t>mplementing</w:t>
      </w:r>
      <w:proofErr w:type="spellEnd"/>
      <w:r w:rsidRPr="00607D74">
        <w:t xml:space="preserve"> the announced funding cuts cannot simply be done by removing dedicated law reform and advocacy positions. Given how law reform and advocacy work is shared amongst multiple people with responsibility in areas of frontline services, the implementation of the announced funding cuts will mean that cuts to frontline service delivery will have to be made. Furthermore, ATSILS allocate very few resources to law reform and advocacy work, and the size of the announced funding cuts far exceed what is spent in this area meaning that in order to implement such, other frontline services are</w:t>
      </w:r>
      <w:r>
        <w:t xml:space="preserve"> going to have to be withdrawn.</w:t>
      </w:r>
      <w:r w:rsidRPr="00607D74">
        <w:t xml:space="preserve"> (</w:t>
      </w:r>
      <w:proofErr w:type="gramStart"/>
      <w:r w:rsidRPr="00607D74">
        <w:t>sub</w:t>
      </w:r>
      <w:proofErr w:type="gramEnd"/>
      <w:r w:rsidRPr="00607D74">
        <w:t>.</w:t>
      </w:r>
      <w:r w:rsidR="003C4012">
        <w:t> </w:t>
      </w:r>
      <w:r w:rsidR="005D01A2">
        <w:t>DR</w:t>
      </w:r>
      <w:r w:rsidR="00460759" w:rsidRPr="00C61E3C">
        <w:t>327</w:t>
      </w:r>
      <w:r w:rsidRPr="00607D74">
        <w:t>, p.</w:t>
      </w:r>
      <w:r w:rsidR="003C4012">
        <w:t> </w:t>
      </w:r>
      <w:r w:rsidRPr="00607D74">
        <w:t>2)</w:t>
      </w:r>
    </w:p>
    <w:p w:rsidR="00D62BA8" w:rsidRPr="005E6D42" w:rsidRDefault="002E30F5" w:rsidP="007E085A">
      <w:pPr>
        <w:pStyle w:val="BodyText"/>
      </w:pPr>
      <w:r>
        <w:t>The</w:t>
      </w:r>
      <w:r w:rsidR="005D32DD">
        <w:t xml:space="preserve"> Commission </w:t>
      </w:r>
      <w:r>
        <w:t>is satisfied</w:t>
      </w:r>
      <w:r w:rsidR="005D32DD">
        <w:t xml:space="preserve"> that the changes to funding as part of the 2013</w:t>
      </w:r>
      <w:r w:rsidR="003C4012">
        <w:noBreakHyphen/>
      </w:r>
      <w:r w:rsidR="005D32DD">
        <w:t>14 MYEFO and 2014</w:t>
      </w:r>
      <w:r w:rsidR="003C4012">
        <w:noBreakHyphen/>
      </w:r>
      <w:r w:rsidR="005D32DD">
        <w:t xml:space="preserve">15 </w:t>
      </w:r>
      <w:r w:rsidR="00951D97">
        <w:t xml:space="preserve">Budget </w:t>
      </w:r>
      <w:r w:rsidR="005D32DD">
        <w:t xml:space="preserve">have affected frontline </w:t>
      </w:r>
      <w:r w:rsidR="00D23958">
        <w:t xml:space="preserve">legal </w:t>
      </w:r>
      <w:r w:rsidR="005D32DD">
        <w:t>services</w:t>
      </w:r>
      <w:r w:rsidR="003E1EFA">
        <w:t xml:space="preserve"> (chapter</w:t>
      </w:r>
      <w:r w:rsidR="003C4012">
        <w:t> </w:t>
      </w:r>
      <w:r w:rsidR="003E1EFA">
        <w:t>21)</w:t>
      </w:r>
      <w:r w:rsidR="005D32DD">
        <w:t>.</w:t>
      </w:r>
      <w:r w:rsidR="00D23958">
        <w:t xml:space="preserve"> The Commission </w:t>
      </w:r>
      <w:r w:rsidR="00C056D5">
        <w:t>considers</w:t>
      </w:r>
      <w:r w:rsidR="00D23958">
        <w:t xml:space="preserve"> </w:t>
      </w:r>
      <w:r w:rsidR="009D76EB">
        <w:t xml:space="preserve">that these adjustments to funding be </w:t>
      </w:r>
      <w:r w:rsidR="00F80662">
        <w:t>altered</w:t>
      </w:r>
      <w:r w:rsidR="009D76EB">
        <w:t>, and funding restored to</w:t>
      </w:r>
      <w:r w:rsidR="00410CE3">
        <w:t xml:space="preserve"> the</w:t>
      </w:r>
      <w:r w:rsidR="009D76EB">
        <w:t xml:space="preserve"> </w:t>
      </w:r>
      <w:r w:rsidR="00D23958">
        <w:t>LACs</w:t>
      </w:r>
      <w:r w:rsidR="00482AFC">
        <w:t xml:space="preserve"> and </w:t>
      </w:r>
      <w:r w:rsidR="00D23958">
        <w:t>ATSILS.</w:t>
      </w:r>
      <w:r w:rsidR="008C6FA8">
        <w:t xml:space="preserve"> </w:t>
      </w:r>
      <w:r w:rsidR="00226A30">
        <w:t>The</w:t>
      </w:r>
      <w:r w:rsidR="001B4A78">
        <w:t xml:space="preserve"> </w:t>
      </w:r>
      <w:r w:rsidR="00BB2059">
        <w:t xml:space="preserve">resulting </w:t>
      </w:r>
      <w:r w:rsidR="001B4A78">
        <w:t>total</w:t>
      </w:r>
      <w:r w:rsidR="00226A30">
        <w:t xml:space="preserve"> cost to the Commonwealth would be around </w:t>
      </w:r>
      <w:r w:rsidR="001B4A78">
        <w:t>$</w:t>
      </w:r>
      <w:r w:rsidR="002139F4">
        <w:t>34.8</w:t>
      </w:r>
      <w:r w:rsidR="00D72C1B">
        <w:t xml:space="preserve"> million</w:t>
      </w:r>
      <w:r w:rsidR="009576C9">
        <w:t xml:space="preserve"> </w:t>
      </w:r>
      <w:r w:rsidR="0077680B">
        <w:t xml:space="preserve">over </w:t>
      </w:r>
      <w:r w:rsidR="0036597A">
        <w:t>four years (or around $</w:t>
      </w:r>
      <w:r w:rsidR="002139F4">
        <w:t>8.7</w:t>
      </w:r>
      <w:r w:rsidR="0036597A">
        <w:t xml:space="preserve"> million per year)</w:t>
      </w:r>
      <w:r w:rsidR="009576C9">
        <w:t xml:space="preserve">. </w:t>
      </w:r>
      <w:r w:rsidR="005E6D42">
        <w:t xml:space="preserve">Consistent with recommendation </w:t>
      </w:r>
      <w:r w:rsidR="005E6D42" w:rsidRPr="00A4433F">
        <w:t>21.</w:t>
      </w:r>
      <w:r w:rsidR="009A2A46" w:rsidRPr="00A4433F">
        <w:t>6</w:t>
      </w:r>
      <w:r w:rsidR="005E6D42" w:rsidRPr="00A4433F">
        <w:t>,</w:t>
      </w:r>
      <w:r w:rsidR="005E6D42">
        <w:t xml:space="preserve"> more information around appropriate funding levels should then be available to make a comprehensive assessment of what funding is needed for each legal assistance provider.</w:t>
      </w:r>
    </w:p>
    <w:p w:rsidR="00EF26A3" w:rsidRDefault="00956959" w:rsidP="005660FF">
      <w:pPr>
        <w:pStyle w:val="BodyText"/>
      </w:pPr>
      <w:r>
        <w:t>T</w:t>
      </w:r>
      <w:r w:rsidR="0073071C">
        <w:t>h</w:t>
      </w:r>
      <w:r>
        <w:t xml:space="preserve">e case for returning CLSP funding back to the </w:t>
      </w:r>
      <w:r w:rsidR="000846DA">
        <w:t xml:space="preserve">level of the </w:t>
      </w:r>
      <w:r>
        <w:t>2013</w:t>
      </w:r>
      <w:r w:rsidR="003C4012">
        <w:noBreakHyphen/>
      </w:r>
      <w:r>
        <w:t xml:space="preserve">14 </w:t>
      </w:r>
      <w:r w:rsidR="00BF3304">
        <w:t>B</w:t>
      </w:r>
      <w:r w:rsidR="007C0D52">
        <w:t>udget is not as strong</w:t>
      </w:r>
      <w:r w:rsidR="00F6783B">
        <w:t xml:space="preserve">. </w:t>
      </w:r>
      <w:r w:rsidR="009B0382">
        <w:t>The additional funding provided in that budget comprised of new</w:t>
      </w:r>
      <w:r w:rsidR="000A537A">
        <w:t>, additional</w:t>
      </w:r>
      <w:r w:rsidR="009B0382">
        <w:t xml:space="preserve"> funds as well as a transfer</w:t>
      </w:r>
      <w:r w:rsidR="00891602">
        <w:t xml:space="preserve"> of funds</w:t>
      </w:r>
      <w:r w:rsidR="00102BB7">
        <w:t xml:space="preserve"> previously</w:t>
      </w:r>
      <w:r w:rsidR="00B564D0">
        <w:t xml:space="preserve"> allocated</w:t>
      </w:r>
      <w:r w:rsidR="009B0382">
        <w:t xml:space="preserve"> </w:t>
      </w:r>
      <w:r w:rsidR="00B564D0">
        <w:t>to</w:t>
      </w:r>
      <w:r w:rsidR="009B0382">
        <w:t xml:space="preserve"> other government programs (summarised in table</w:t>
      </w:r>
      <w:r w:rsidR="003C4012">
        <w:t> </w:t>
      </w:r>
      <w:r w:rsidR="009B0382">
        <w:t xml:space="preserve">20.4). </w:t>
      </w:r>
      <w:r w:rsidR="00F66232">
        <w:t>In practice, it appears that Environmental Defender</w:t>
      </w:r>
      <w:r w:rsidR="001459D1">
        <w:t>s</w:t>
      </w:r>
      <w:r w:rsidR="00F66232">
        <w:t xml:space="preserve"> Offices</w:t>
      </w:r>
      <w:r w:rsidR="00D44E7D">
        <w:t xml:space="preserve"> </w:t>
      </w:r>
      <w:r w:rsidR="00D44E7D">
        <w:lastRenderedPageBreak/>
        <w:t>(EDOs)</w:t>
      </w:r>
      <w:r w:rsidR="00F66232">
        <w:t xml:space="preserve"> benefited from the additional funding in the 2013</w:t>
      </w:r>
      <w:r w:rsidR="003C4012">
        <w:noBreakHyphen/>
      </w:r>
      <w:r w:rsidR="00F66232">
        <w:t xml:space="preserve">14 </w:t>
      </w:r>
      <w:r w:rsidR="001459D1">
        <w:t>Budget</w:t>
      </w:r>
      <w:r w:rsidR="00F66232">
        <w:t>, but then lost these gains</w:t>
      </w:r>
      <w:r w:rsidR="009F2252">
        <w:t>, as well as funding for their</w:t>
      </w:r>
      <w:r w:rsidR="00F66232">
        <w:t xml:space="preserve"> operating budgets</w:t>
      </w:r>
      <w:r w:rsidR="009F2252">
        <w:t>,</w:t>
      </w:r>
      <w:r w:rsidR="00F66232">
        <w:t xml:space="preserve"> as part of the 2013</w:t>
      </w:r>
      <w:r w:rsidR="003C4012">
        <w:noBreakHyphen/>
      </w:r>
      <w:r w:rsidR="00F66232">
        <w:t xml:space="preserve">14 MYEFO decisions. </w:t>
      </w:r>
    </w:p>
    <w:p w:rsidR="006477D0" w:rsidRDefault="0044730E" w:rsidP="00B56B7F">
      <w:pPr>
        <w:pStyle w:val="BodyText"/>
      </w:pPr>
      <w:r w:rsidRPr="009668F6">
        <w:t>C</w:t>
      </w:r>
      <w:r w:rsidR="0011777A" w:rsidRPr="009668F6">
        <w:t xml:space="preserve">onsequently, the Commission </w:t>
      </w:r>
      <w:r w:rsidR="001C6B52" w:rsidRPr="009668F6">
        <w:t xml:space="preserve">considers </w:t>
      </w:r>
      <w:r w:rsidR="0011777A" w:rsidRPr="009668F6">
        <w:t>that the Commonwealth</w:t>
      </w:r>
      <w:r w:rsidR="00E57688" w:rsidRPr="009668F6">
        <w:t xml:space="preserve"> should</w:t>
      </w:r>
      <w:r w:rsidR="00883425" w:rsidRPr="009668F6">
        <w:t xml:space="preserve"> provide funding for</w:t>
      </w:r>
      <w:r w:rsidR="00C87287" w:rsidRPr="009668F6">
        <w:t xml:space="preserve"> the operating costs of the </w:t>
      </w:r>
      <w:r w:rsidR="00883425" w:rsidRPr="009668F6">
        <w:t xml:space="preserve">EDOs </w:t>
      </w:r>
      <w:r w:rsidR="00357BBD" w:rsidRPr="009668F6">
        <w:t>(</w:t>
      </w:r>
      <w:r w:rsidR="00C87287" w:rsidRPr="009668F6">
        <w:t>of around $1 million per year</w:t>
      </w:r>
      <w:r w:rsidR="004D7286" w:rsidRPr="009668F6">
        <w:t>,</w:t>
      </w:r>
      <w:r w:rsidR="00C87287" w:rsidRPr="009668F6">
        <w:t xml:space="preserve"> over four years</w:t>
      </w:r>
      <w:r w:rsidR="00357BBD" w:rsidRPr="009668F6">
        <w:t>),</w:t>
      </w:r>
      <w:r w:rsidR="002F206C" w:rsidRPr="009668F6">
        <w:t xml:space="preserve"> but</w:t>
      </w:r>
      <w:r w:rsidR="00B1045C" w:rsidRPr="009668F6">
        <w:t xml:space="preserve"> does</w:t>
      </w:r>
      <w:r w:rsidR="002F206C" w:rsidRPr="009668F6">
        <w:t xml:space="preserve"> not see merit in restoring </w:t>
      </w:r>
      <w:r w:rsidR="00EC5D8B" w:rsidRPr="009668F6">
        <w:t xml:space="preserve">to </w:t>
      </w:r>
      <w:r w:rsidR="009F2630" w:rsidRPr="009668F6">
        <w:t>the EDOs</w:t>
      </w:r>
      <w:r w:rsidR="00EC5D8B" w:rsidRPr="009668F6">
        <w:t xml:space="preserve"> </w:t>
      </w:r>
      <w:r w:rsidR="002F206C" w:rsidRPr="009668F6">
        <w:t xml:space="preserve">those additional funds that they received </w:t>
      </w:r>
      <w:r w:rsidR="00BF4E3D" w:rsidRPr="009668F6">
        <w:t>in the 2013</w:t>
      </w:r>
      <w:r w:rsidR="003C4012" w:rsidRPr="009668F6">
        <w:noBreakHyphen/>
      </w:r>
      <w:r w:rsidR="00BF4E3D" w:rsidRPr="009668F6">
        <w:t>14 Budget</w:t>
      </w:r>
      <w:r w:rsidR="002F206C" w:rsidRPr="009668F6">
        <w:t>.</w:t>
      </w:r>
      <w:r w:rsidR="00C87287" w:rsidRPr="009668F6">
        <w:t xml:space="preserve"> </w:t>
      </w:r>
      <w:r w:rsidR="001E43CB" w:rsidRPr="009668F6">
        <w:t>This adjustment, in conjunction with r</w:t>
      </w:r>
      <w:r w:rsidR="00F931AC" w:rsidRPr="009668F6">
        <w:t>eturning</w:t>
      </w:r>
      <w:r w:rsidR="001E43CB" w:rsidRPr="009668F6">
        <w:t xml:space="preserve"> </w:t>
      </w:r>
      <w:r w:rsidR="003C489F" w:rsidRPr="009668F6">
        <w:t>the other</w:t>
      </w:r>
      <w:r w:rsidR="001E43CB" w:rsidRPr="009668F6">
        <w:t xml:space="preserve"> CLSP funding </w:t>
      </w:r>
      <w:r w:rsidR="00056D8E" w:rsidRPr="009668F6">
        <w:t xml:space="preserve">that was withdrawn </w:t>
      </w:r>
      <w:r w:rsidR="001E43CB" w:rsidRPr="009668F6">
        <w:t xml:space="preserve">in the </w:t>
      </w:r>
      <w:r w:rsidR="002C036B" w:rsidRPr="009668F6">
        <w:t>2013</w:t>
      </w:r>
      <w:r w:rsidR="003C4012" w:rsidRPr="009668F6">
        <w:noBreakHyphen/>
      </w:r>
      <w:r w:rsidR="002C036B" w:rsidRPr="009668F6">
        <w:t>1</w:t>
      </w:r>
      <w:r w:rsidR="001E43CB" w:rsidRPr="009668F6">
        <w:t xml:space="preserve">4 MYEFO, </w:t>
      </w:r>
      <w:r w:rsidR="0067652B" w:rsidRPr="009668F6">
        <w:t xml:space="preserve">would cost the Commonwealth </w:t>
      </w:r>
      <w:r w:rsidR="006C34DF" w:rsidRPr="009668F6">
        <w:t xml:space="preserve">a total of $10.6 million </w:t>
      </w:r>
      <w:r w:rsidR="00056D8E" w:rsidRPr="009668F6">
        <w:t xml:space="preserve">over </w:t>
      </w:r>
      <w:r w:rsidR="006C34DF" w:rsidRPr="009668F6">
        <w:t>four years (or around $2.6 million per year)</w:t>
      </w:r>
      <w:r w:rsidR="001F2F34" w:rsidRPr="009668F6">
        <w:t>.</w:t>
      </w:r>
    </w:p>
    <w:p w:rsidR="00D23958" w:rsidRDefault="00B56B7F" w:rsidP="00B56B7F">
      <w:pPr>
        <w:pStyle w:val="BodyText"/>
      </w:pPr>
      <w:r>
        <w:t>In total, the cost of th</w:t>
      </w:r>
      <w:r w:rsidR="00C8352B">
        <w:t>ese</w:t>
      </w:r>
      <w:r>
        <w:t xml:space="preserve"> proposal</w:t>
      </w:r>
      <w:r w:rsidR="00A36D8A">
        <w:t>s</w:t>
      </w:r>
      <w:r>
        <w:t xml:space="preserve"> is $</w:t>
      </w:r>
      <w:r w:rsidR="001D0CDF">
        <w:t>45.4</w:t>
      </w:r>
      <w:r>
        <w:t xml:space="preserve"> million </w:t>
      </w:r>
      <w:r w:rsidR="00056D8E">
        <w:t xml:space="preserve">over </w:t>
      </w:r>
      <w:r>
        <w:t>four years (or around $</w:t>
      </w:r>
      <w:r w:rsidR="00AF2FAD">
        <w:t>11.4 </w:t>
      </w:r>
      <w:r w:rsidR="00D71B60">
        <w:t>million</w:t>
      </w:r>
      <w:r>
        <w:t xml:space="preserve"> per year).</w:t>
      </w:r>
      <w:r w:rsidR="00A2153B">
        <w:t xml:space="preserve"> </w:t>
      </w:r>
    </w:p>
    <w:p w:rsidR="003A29D8" w:rsidRPr="007E085A" w:rsidRDefault="000E7A09" w:rsidP="000E7A09">
      <w:pPr>
        <w:pStyle w:val="Heading3"/>
      </w:pPr>
      <w:r w:rsidRPr="000E7A09">
        <w:t>Providing additional funding to the LACs to relax the</w:t>
      </w:r>
      <w:r w:rsidR="00D16406">
        <w:t>ir</w:t>
      </w:r>
      <w:r w:rsidRPr="000E7A09">
        <w:t xml:space="preserve"> means test</w:t>
      </w:r>
      <w:r w:rsidR="00D16406">
        <w:t>s</w:t>
      </w:r>
    </w:p>
    <w:p w:rsidR="00242070" w:rsidRDefault="00242070" w:rsidP="00700AC1">
      <w:pPr>
        <w:pStyle w:val="BodyText"/>
      </w:pPr>
      <w:r>
        <w:t xml:space="preserve">The Commission has used a variety of data sources in order to cost the recommendation </w:t>
      </w:r>
      <w:r w:rsidR="00545484">
        <w:t>about</w:t>
      </w:r>
      <w:r>
        <w:t xml:space="preserve"> relaxing the means test</w:t>
      </w:r>
      <w:r w:rsidR="00512156">
        <w:t>s</w:t>
      </w:r>
      <w:r w:rsidR="00A57E9B">
        <w:t xml:space="preserve"> applied by the LACs for civil </w:t>
      </w:r>
      <w:r w:rsidR="008F01D1">
        <w:t>(</w:t>
      </w:r>
      <w:r w:rsidR="004E5BB7">
        <w:t xml:space="preserve">including </w:t>
      </w:r>
      <w:r w:rsidR="00A57E9B">
        <w:t>family</w:t>
      </w:r>
      <w:r w:rsidR="008F01D1">
        <w:t>)</w:t>
      </w:r>
      <w:r w:rsidR="00A57E9B">
        <w:t xml:space="preserve"> matters</w:t>
      </w:r>
      <w:r w:rsidR="009D02D4">
        <w:t>. These include</w:t>
      </w:r>
      <w:r w:rsidR="007E7305">
        <w:t>:</w:t>
      </w:r>
    </w:p>
    <w:p w:rsidR="009D02D4" w:rsidRDefault="004B35E3" w:rsidP="009D02D4">
      <w:pPr>
        <w:pStyle w:val="ListBullet"/>
      </w:pPr>
      <w:r>
        <w:t xml:space="preserve">unpublished </w:t>
      </w:r>
      <w:r w:rsidR="00F201D8">
        <w:t xml:space="preserve">administrative </w:t>
      </w:r>
      <w:r>
        <w:t>d</w:t>
      </w:r>
      <w:r w:rsidR="009D02D4">
        <w:t>ata from Victoria Legal Aid (VLA) on the number and average costs of services provided, by matter and method</w:t>
      </w:r>
      <w:r w:rsidR="008F1900">
        <w:t xml:space="preserve"> (</w:t>
      </w:r>
      <w:r w:rsidR="007E07CA">
        <w:t>grants of aid, duty lawyer services, minor assistance services, and information services)</w:t>
      </w:r>
    </w:p>
    <w:p w:rsidR="009D02D4" w:rsidRDefault="004B35E3" w:rsidP="009D02D4">
      <w:pPr>
        <w:pStyle w:val="ListBullet"/>
      </w:pPr>
      <w:r>
        <w:t>unpublished</w:t>
      </w:r>
      <w:r w:rsidR="00F201D8">
        <w:t xml:space="preserve"> administrative</w:t>
      </w:r>
      <w:r>
        <w:t xml:space="preserve"> d</w:t>
      </w:r>
      <w:r w:rsidR="009D02D4">
        <w:t>ata from Legal Aid New South Wales (LANSW) on the number of services provided by matter and method, along with the average cost of grants of aid fulfilled by private pra</w:t>
      </w:r>
      <w:r>
        <w:t>ctitioners</w:t>
      </w:r>
    </w:p>
    <w:p w:rsidR="004B35E3" w:rsidRDefault="004B35E3" w:rsidP="009D02D4">
      <w:pPr>
        <w:pStyle w:val="ListBullet"/>
      </w:pPr>
      <w:r>
        <w:t xml:space="preserve">published data from the </w:t>
      </w:r>
      <w:r w:rsidR="00F201D8">
        <w:t>N</w:t>
      </w:r>
      <w:r>
        <w:t xml:space="preserve">ational </w:t>
      </w:r>
      <w:r w:rsidR="00F201D8">
        <w:t>L</w:t>
      </w:r>
      <w:r>
        <w:t xml:space="preserve">egal </w:t>
      </w:r>
      <w:r w:rsidR="00F201D8">
        <w:t>A</w:t>
      </w:r>
      <w:r>
        <w:t>id</w:t>
      </w:r>
      <w:r w:rsidR="00F201D8">
        <w:t xml:space="preserve"> (NLA)</w:t>
      </w:r>
      <w:r>
        <w:t xml:space="preserve"> website, which shows the total expenses for each legal aid commission</w:t>
      </w:r>
    </w:p>
    <w:p w:rsidR="004B35E3" w:rsidRDefault="004B35E3" w:rsidP="009D02D4">
      <w:pPr>
        <w:pStyle w:val="ListBullet"/>
      </w:pPr>
      <w:proofErr w:type="gramStart"/>
      <w:r>
        <w:t>the</w:t>
      </w:r>
      <w:proofErr w:type="gramEnd"/>
      <w:r>
        <w:t xml:space="preserve"> ABS </w:t>
      </w:r>
      <w:r w:rsidR="000D7D8F">
        <w:t>2009</w:t>
      </w:r>
      <w:r w:rsidR="003C4012">
        <w:noBreakHyphen/>
      </w:r>
      <w:r w:rsidR="000D7D8F">
        <w:t xml:space="preserve">10 </w:t>
      </w:r>
      <w:r>
        <w:t>Household Expenditure Survey</w:t>
      </w:r>
      <w:r w:rsidR="007C70E5">
        <w:t xml:space="preserve"> (HES)</w:t>
      </w:r>
      <w:r>
        <w:t>, which provides information around the distribution of income and assets of households.</w:t>
      </w:r>
    </w:p>
    <w:p w:rsidR="00B62797" w:rsidRDefault="0055719A" w:rsidP="00B62797">
      <w:pPr>
        <w:pStyle w:val="BodyText"/>
      </w:pPr>
      <w:r>
        <w:t xml:space="preserve">However, </w:t>
      </w:r>
      <w:r w:rsidR="00E14DC4">
        <w:t xml:space="preserve">these data </w:t>
      </w:r>
      <w:r w:rsidR="00563575">
        <w:t>have some</w:t>
      </w:r>
      <w:r w:rsidR="00E14DC4">
        <w:t xml:space="preserve"> </w:t>
      </w:r>
      <w:r>
        <w:t>limitations.</w:t>
      </w:r>
      <w:r w:rsidR="00910FC2">
        <w:t xml:space="preserve"> </w:t>
      </w:r>
      <w:r w:rsidR="00B62797">
        <w:t>The data provided by the LACs contain</w:t>
      </w:r>
      <w:r w:rsidR="00397FCB">
        <w:t>s</w:t>
      </w:r>
      <w:r w:rsidR="00B62797">
        <w:t xml:space="preserve"> some gaps. </w:t>
      </w:r>
      <w:r w:rsidR="00397FCB">
        <w:t xml:space="preserve">For example, the </w:t>
      </w:r>
      <w:r w:rsidR="00B62797">
        <w:t xml:space="preserve">data from VLA only contains a sampling of costs for grants of legal aid (which make up the largest proportion of LAC expenditure) at private practitioner rates. Similarly, LANSW was only able to provide the average cost of grants of legal aid for private practitioner rates. This means that there </w:t>
      </w:r>
      <w:r w:rsidR="00397FCB">
        <w:t xml:space="preserve">are </w:t>
      </w:r>
      <w:r w:rsidR="00B62797">
        <w:t>no data on the cost of providing</w:t>
      </w:r>
      <w:r w:rsidR="00397FCB">
        <w:t xml:space="preserve"> ‘in</w:t>
      </w:r>
      <w:r w:rsidR="00397FCB">
        <w:noBreakHyphen/>
        <w:t>house’</w:t>
      </w:r>
      <w:r w:rsidR="00B62797">
        <w:t xml:space="preserve"> grants </w:t>
      </w:r>
      <w:r w:rsidR="00397FCB">
        <w:t>of legal aid</w:t>
      </w:r>
      <w:r w:rsidR="00B62797">
        <w:t>. To account for this, the Commission has calculated the total cost of grants of aid at private practitioner rates, then ‘scaled down’ the result by a factor equal to the number of grants of aid provided in-house as a share of total grants of aid.</w:t>
      </w:r>
      <w:r w:rsidR="00380417">
        <w:t xml:space="preserve"> Such a </w:t>
      </w:r>
      <w:r w:rsidR="00F436FB">
        <w:t>method</w:t>
      </w:r>
      <w:r w:rsidR="00380417">
        <w:t xml:space="preserve"> </w:t>
      </w:r>
      <w:r w:rsidR="00B72C64">
        <w:t>implicitly</w:t>
      </w:r>
      <w:r w:rsidR="00380417">
        <w:t xml:space="preserve"> assumes the same ratio of in-house grants of aid to </w:t>
      </w:r>
      <w:r w:rsidR="0051474D">
        <w:t>private practitioner grants in any costing calculation.</w:t>
      </w:r>
    </w:p>
    <w:p w:rsidR="00B62797" w:rsidRDefault="00B62797" w:rsidP="00B62797">
      <w:pPr>
        <w:pStyle w:val="BodyText"/>
      </w:pPr>
      <w:r>
        <w:t xml:space="preserve">Another </w:t>
      </w:r>
      <w:r w:rsidR="004B335C">
        <w:t xml:space="preserve">limitation </w:t>
      </w:r>
      <w:r>
        <w:t>is that LANSW was unable to provide cost estimates for providing duty lawyer</w:t>
      </w:r>
      <w:r w:rsidR="001942EC">
        <w:t xml:space="preserve"> services</w:t>
      </w:r>
      <w:r>
        <w:t xml:space="preserve">, minor assistance, and information services (but were able to provide the </w:t>
      </w:r>
      <w:r>
        <w:lastRenderedPageBreak/>
        <w:t xml:space="preserve">number of each). To cost these services, the VLA costs have been applied to the LANSW figure as they represent the closest substitute for which detailed data </w:t>
      </w:r>
      <w:r w:rsidR="001942EC">
        <w:t xml:space="preserve">are </w:t>
      </w:r>
      <w:r>
        <w:t>available. Such a process is</w:t>
      </w:r>
      <w:r w:rsidR="001339DC">
        <w:t xml:space="preserve"> not ideal, but is</w:t>
      </w:r>
      <w:r>
        <w:t xml:space="preserve"> consistent with cost-benefit analysis methods</w:t>
      </w:r>
      <w:r w:rsidR="001942EC">
        <w:t xml:space="preserve"> </w:t>
      </w:r>
      <w:r w:rsidR="001942EC">
        <w:fldChar w:fldCharType="begin"/>
      </w:r>
      <w:r w:rsidR="00F64ED9">
        <w:instrText xml:space="preserve"> ADDIN ZOTERO_ITEM CSL_CITATION {"citationID":"7g1r9nq7b","properties":{"formattedCitation":"{\\rtf (Department of Finance and Administration\\uc0\\u160{}2006)}","plainCitation":"(Department of Finance and Administration 2006)"},"citationItems":[{"id":358,"uris":["http://zotero.org/groups/177820/items/F7K7FADA"],"uri":["http://zotero.org/groups/177820/items/F7K7FADA"],"itemData":{"id":358,"type":"book","title":"Handbook of Cost-Benefit Analysis","publisher-place":"Canberra","event-place":"Canberra","author":[{"family":"Department of Finance and Administration","given":""}],"issued":{"date-parts":[["2006"]]}}}],"schema":"https://github.com/citation-style-language/schema/raw/master/csl-citation.json"} </w:instrText>
      </w:r>
      <w:r w:rsidR="001942EC">
        <w:fldChar w:fldCharType="separate"/>
      </w:r>
      <w:r w:rsidR="001942EC" w:rsidRPr="001942EC">
        <w:rPr>
          <w:szCs w:val="24"/>
        </w:rPr>
        <w:t>(Department of Finance and Administration 2006)</w:t>
      </w:r>
      <w:r w:rsidR="001942EC">
        <w:fldChar w:fldCharType="end"/>
      </w:r>
      <w:r w:rsidR="00072EC3">
        <w:fldChar w:fldCharType="begin"/>
      </w:r>
      <w:r w:rsidR="00F64ED9">
        <w:instrText xml:space="preserve"> ADDIN ZOTERO_ITEM CSL_CITATION {"citationID":"aw112GhZ","properties":{"formattedCitation":"{\\rtf (Department of Finance and Administration\\uc0\\u160{}2006, p.\\uc0\\u160{}121)}","plainCitation":"(Department of Finance and Administration 2006, p. 121)"},"citationItems":[{"id":358,"uris":["http://zotero.org/groups/177820/items/F7K7FADA"],"uri":["http://zotero.org/groups/177820/items/F7K7FADA"],"itemData":{"id":358,"type":"book","title":"Handbook of Cost-Benefit Analysis","publisher-place":"Canberra","event-place":"Canberra","author":[{"family":"Department of Finance and Administration","given":""}],"issued":{"date-parts":[["2006"]]}},"locator":"121"}],"schema":"https://github.com/citation-style-language/schema/raw/master/csl-citation.json"} </w:instrText>
      </w:r>
      <w:r w:rsidR="00072EC3">
        <w:fldChar w:fldCharType="end"/>
      </w:r>
      <w:r w:rsidR="00AC7623" w:rsidRPr="00D8005C">
        <w:t>.</w:t>
      </w:r>
    </w:p>
    <w:p w:rsidR="00FE479E" w:rsidRDefault="00FE479E" w:rsidP="00FE479E">
      <w:pPr>
        <w:pStyle w:val="BodyText"/>
      </w:pPr>
      <w:r>
        <w:t xml:space="preserve">The data provided by VLA and LANSW </w:t>
      </w:r>
      <w:r w:rsidR="009E0B83">
        <w:t xml:space="preserve">have </w:t>
      </w:r>
      <w:r>
        <w:t xml:space="preserve">been used to derive the total costs of providing legal services for </w:t>
      </w:r>
      <w:r w:rsidR="009E0B83">
        <w:t xml:space="preserve">civil </w:t>
      </w:r>
      <w:r w:rsidR="00E87FE3">
        <w:t>(including family)</w:t>
      </w:r>
      <w:r>
        <w:t xml:space="preserve"> law</w:t>
      </w:r>
      <w:r w:rsidR="009E0B83">
        <w:t xml:space="preserve"> matters</w:t>
      </w:r>
      <w:r>
        <w:t xml:space="preserve"> </w:t>
      </w:r>
      <w:r w:rsidR="009E0B83">
        <w:t xml:space="preserve">in </w:t>
      </w:r>
      <w:r>
        <w:t>those jurisdictions for 2012</w:t>
      </w:r>
      <w:r w:rsidR="003C4012">
        <w:noBreakHyphen/>
      </w:r>
      <w:r>
        <w:t>13. The resulting estimates, combined with the NLA data, allow for the proportion of costs associated with providing legal aid in those areas of law. This proportion was then applied nationally to determine an imputed total</w:t>
      </w:r>
      <w:r w:rsidR="008162D0">
        <w:t xml:space="preserve"> national</w:t>
      </w:r>
      <w:r>
        <w:t xml:space="preserve"> cost </w:t>
      </w:r>
      <w:r w:rsidR="0032747D">
        <w:t xml:space="preserve">for </w:t>
      </w:r>
      <w:r>
        <w:t xml:space="preserve">civil </w:t>
      </w:r>
      <w:r w:rsidR="003E1EFA">
        <w:t xml:space="preserve">(including family) </w:t>
      </w:r>
      <w:r>
        <w:t>law services</w:t>
      </w:r>
      <w:r w:rsidR="002554BD">
        <w:t xml:space="preserve"> — around 35</w:t>
      </w:r>
      <w:r w:rsidR="007949AA">
        <w:t> </w:t>
      </w:r>
      <w:r w:rsidR="002554BD">
        <w:t>per cent</w:t>
      </w:r>
      <w:r w:rsidR="00C47F39">
        <w:t xml:space="preserve"> of total expenses</w:t>
      </w:r>
      <w:r>
        <w:t xml:space="preserve">. </w:t>
      </w:r>
    </w:p>
    <w:p w:rsidR="00927677" w:rsidRDefault="00862699" w:rsidP="00862699">
      <w:pPr>
        <w:pStyle w:val="BodyText"/>
      </w:pPr>
      <w:r>
        <w:t xml:space="preserve">The HES data </w:t>
      </w:r>
      <w:r w:rsidR="009E0B83">
        <w:t xml:space="preserve">have </w:t>
      </w:r>
      <w:r>
        <w:t xml:space="preserve">been used to plot </w:t>
      </w:r>
      <w:r w:rsidR="00EA6979">
        <w:t xml:space="preserve">a distribution of income and assets that, depending on where thresholds are drawn, define how many people are in scope for legal aid. </w:t>
      </w:r>
      <w:r w:rsidR="00927677">
        <w:t xml:space="preserve">A baseline case is first set </w:t>
      </w:r>
      <w:r w:rsidR="00AB5122">
        <w:t>by picking a representative income and asset</w:t>
      </w:r>
      <w:r w:rsidR="007730F8">
        <w:t>s</w:t>
      </w:r>
      <w:r w:rsidR="00AB5122">
        <w:t xml:space="preserve"> test based on those estimated by the </w:t>
      </w:r>
      <w:r w:rsidR="00F769D2">
        <w:t>C</w:t>
      </w:r>
      <w:r w:rsidR="00AB5122">
        <w:t xml:space="preserve">ommission to be eligible for a grant of legal aid (section </w:t>
      </w:r>
      <w:r w:rsidR="00C12E9C">
        <w:t>H.</w:t>
      </w:r>
      <w:r w:rsidR="00AB5122">
        <w:t>1)</w:t>
      </w:r>
      <w:r w:rsidR="003D4BE0">
        <w:t xml:space="preserve"> —</w:t>
      </w:r>
      <w:r w:rsidR="00AB5122">
        <w:t xml:space="preserve"> around 8 per cent of households. Changes to the means test </w:t>
      </w:r>
      <w:r w:rsidR="004B2052">
        <w:t>allow</w:t>
      </w:r>
      <w:r w:rsidR="000C08F3">
        <w:t xml:space="preserve"> for a new proportion of households </w:t>
      </w:r>
      <w:r w:rsidR="00AB5122">
        <w:t xml:space="preserve">eligible for legal aid </w:t>
      </w:r>
      <w:r w:rsidR="004B2052">
        <w:t>to be estimated</w:t>
      </w:r>
      <w:r w:rsidR="00AB5122">
        <w:t>, and it is the proportionate change between this and the baseline case that determines the additional funding required (by applying it to the national total for civil</w:t>
      </w:r>
      <w:r w:rsidR="008736EE">
        <w:t xml:space="preserve">, including </w:t>
      </w:r>
      <w:r w:rsidR="00AB5122">
        <w:t>family</w:t>
      </w:r>
      <w:r w:rsidR="008736EE">
        <w:t>,</w:t>
      </w:r>
      <w:r w:rsidR="00AB5122">
        <w:t xml:space="preserve"> law matters). </w:t>
      </w:r>
    </w:p>
    <w:p w:rsidR="00CA15C8" w:rsidRDefault="00CA15C8" w:rsidP="00CA15C8">
      <w:pPr>
        <w:pStyle w:val="Heading4"/>
      </w:pPr>
      <w:r>
        <w:t>Choosing a ‘baseline’ set of eligibility requirements</w:t>
      </w:r>
    </w:p>
    <w:p w:rsidR="0081428C" w:rsidRDefault="00CA15C8" w:rsidP="003B394D">
      <w:pPr>
        <w:pStyle w:val="BodyText"/>
      </w:pPr>
      <w:r>
        <w:t xml:space="preserve">The Commission has used a simplified approach that considers </w:t>
      </w:r>
      <w:proofErr w:type="spellStart"/>
      <w:r>
        <w:t>equivalised</w:t>
      </w:r>
      <w:proofErr w:type="spellEnd"/>
      <w:r>
        <w:t xml:space="preserve"> household</w:t>
      </w:r>
      <w:r w:rsidR="006C3452">
        <w:t xml:space="preserve"> disposable</w:t>
      </w:r>
      <w:r>
        <w:t xml:space="preserve"> income </w:t>
      </w:r>
      <w:r w:rsidR="00466F50">
        <w:t xml:space="preserve">(box </w:t>
      </w:r>
      <w:r w:rsidR="0031148A">
        <w:t>H</w:t>
      </w:r>
      <w:r w:rsidR="00466F50">
        <w:t xml:space="preserve">.1) </w:t>
      </w:r>
      <w:r>
        <w:t>and a single</w:t>
      </w:r>
      <w:r w:rsidR="005535E1">
        <w:t>, combined</w:t>
      </w:r>
      <w:r>
        <w:t xml:space="preserve"> measure of net assets to determine </w:t>
      </w:r>
      <w:r w:rsidR="004724A5">
        <w:t>changes in eligibility</w:t>
      </w:r>
      <w:r w:rsidR="000A3D23">
        <w:t xml:space="preserve">. This is a </w:t>
      </w:r>
      <w:r>
        <w:t xml:space="preserve">simpler </w:t>
      </w:r>
      <w:r w:rsidR="000A3D23">
        <w:t xml:space="preserve">approach than the means tests commonly employed by the LACs </w:t>
      </w:r>
      <w:r>
        <w:t xml:space="preserve">as it does not </w:t>
      </w:r>
      <w:r w:rsidR="00CE448A">
        <w:t>make different allowances for different assets</w:t>
      </w:r>
      <w:r>
        <w:t>.</w:t>
      </w:r>
      <w:r w:rsidR="0063575A">
        <w:t xml:space="preserve"> </w:t>
      </w:r>
      <w:r w:rsidR="006D18C7">
        <w:t>The choice of this approach</w:t>
      </w:r>
      <w:r>
        <w:t xml:space="preserve"> has been</w:t>
      </w:r>
      <w:r w:rsidR="00AD0D66">
        <w:t xml:space="preserve"> made on the grounds that it is the</w:t>
      </w:r>
      <w:r w:rsidR="007C5062">
        <w:t xml:space="preserve"> limits on</w:t>
      </w:r>
      <w:r w:rsidR="00AD0D66">
        <w:t xml:space="preserve"> ‘other assets’ that are the </w:t>
      </w:r>
      <w:r w:rsidR="00B717E1">
        <w:t>main</w:t>
      </w:r>
      <w:r w:rsidR="00AD0D66">
        <w:t xml:space="preserve"> binding constraint</w:t>
      </w:r>
      <w:r w:rsidR="00B717E1">
        <w:t xml:space="preserve">, rather than the </w:t>
      </w:r>
      <w:r w:rsidR="005B7E84">
        <w:t xml:space="preserve">specific </w:t>
      </w:r>
      <w:r w:rsidR="00B717E1">
        <w:t>asset types</w:t>
      </w:r>
      <w:r w:rsidR="008F187B">
        <w:t xml:space="preserve"> commonly considered</w:t>
      </w:r>
      <w:r>
        <w:t xml:space="preserve"> (figure </w:t>
      </w:r>
      <w:r w:rsidR="0031148A">
        <w:t>H</w:t>
      </w:r>
      <w:r>
        <w:t>.1).</w:t>
      </w:r>
      <w:r w:rsidR="005B7E84" w:rsidRPr="006122C7">
        <w:rPr>
          <w:rStyle w:val="FootnoteReference"/>
        </w:rPr>
        <w:footnoteReference w:id="1"/>
      </w:r>
      <w:r>
        <w:t xml:space="preserve"> </w:t>
      </w:r>
    </w:p>
    <w:p w:rsidR="00A73B9F" w:rsidRDefault="00EF4EF6" w:rsidP="00A73B9F">
      <w:pPr>
        <w:pStyle w:val="BodyText"/>
      </w:pPr>
      <w:r>
        <w:t xml:space="preserve">An </w:t>
      </w:r>
      <w:proofErr w:type="gramStart"/>
      <w:r>
        <w:t>initial,</w:t>
      </w:r>
      <w:proofErr w:type="gramEnd"/>
      <w:r>
        <w:t xml:space="preserve"> or ‘baseline’ set of income and asset</w:t>
      </w:r>
      <w:r w:rsidR="0032747D">
        <w:t>s</w:t>
      </w:r>
      <w:r>
        <w:t xml:space="preserve"> parameters </w:t>
      </w:r>
      <w:r w:rsidR="001E70A0">
        <w:t>is</w:t>
      </w:r>
      <w:r>
        <w:t xml:space="preserve"> necessary </w:t>
      </w:r>
      <w:r w:rsidR="00F867D6">
        <w:t xml:space="preserve">in order to determine proportional changes </w:t>
      </w:r>
      <w:r w:rsidR="008109F3">
        <w:t>in the number of households eligible for legal aid.</w:t>
      </w:r>
      <w:r w:rsidR="005E6952">
        <w:t xml:space="preserve"> This baseline set of income and net assets is chosen by examining the distribution of income and assets for those households found to be </w:t>
      </w:r>
      <w:r w:rsidR="00A73B9F">
        <w:t xml:space="preserve">eligible under the </w:t>
      </w:r>
      <w:r w:rsidR="009C5B13">
        <w:t>‘notional’</w:t>
      </w:r>
      <w:r w:rsidR="00A73B9F">
        <w:t xml:space="preserve"> national parameters discussed in section </w:t>
      </w:r>
      <w:r w:rsidR="0031148A">
        <w:t>H</w:t>
      </w:r>
      <w:r w:rsidR="00A73B9F">
        <w:t>.1. This indicates that:</w:t>
      </w:r>
    </w:p>
    <w:p w:rsidR="006158E6" w:rsidRDefault="0035078A" w:rsidP="00A73B9F">
      <w:pPr>
        <w:pStyle w:val="ListBullet"/>
      </w:pPr>
      <w:r>
        <w:t>a</w:t>
      </w:r>
      <w:r w:rsidR="00CA15C8">
        <w:t xml:space="preserve"> median </w:t>
      </w:r>
      <w:proofErr w:type="spellStart"/>
      <w:r w:rsidR="00CA15C8">
        <w:t>equiv</w:t>
      </w:r>
      <w:r w:rsidR="00CC035B">
        <w:t>a</w:t>
      </w:r>
      <w:r w:rsidR="00CA15C8">
        <w:t>lised</w:t>
      </w:r>
      <w:proofErr w:type="spellEnd"/>
      <w:r w:rsidR="00CA15C8">
        <w:t xml:space="preserve"> disposable household income </w:t>
      </w:r>
      <w:r w:rsidR="006158E6">
        <w:t>of</w:t>
      </w:r>
      <w:r w:rsidR="00CA15C8">
        <w:t xml:space="preserve"> approximately $400 per week</w:t>
      </w:r>
      <w:r w:rsidR="00CB57FA">
        <w:t xml:space="preserve"> (</w:t>
      </w:r>
      <w:r w:rsidR="00CA15C8">
        <w:t>or around $20 000 per year</w:t>
      </w:r>
      <w:r w:rsidR="00CB57FA">
        <w:t>)</w:t>
      </w:r>
      <w:r w:rsidR="00CA15C8">
        <w:t xml:space="preserve"> </w:t>
      </w:r>
    </w:p>
    <w:p w:rsidR="009D6DBC" w:rsidRDefault="001E11B5" w:rsidP="009D6DBC">
      <w:pPr>
        <w:pStyle w:val="ListBullet"/>
      </w:pPr>
      <w:proofErr w:type="gramStart"/>
      <w:r>
        <w:t>most</w:t>
      </w:r>
      <w:proofErr w:type="gramEnd"/>
      <w:r>
        <w:t xml:space="preserve"> households had</w:t>
      </w:r>
      <w:r w:rsidR="0035078A">
        <w:t xml:space="preserve"> </w:t>
      </w:r>
      <w:r w:rsidR="006158E6">
        <w:t>net asset</w:t>
      </w:r>
      <w:r>
        <w:t>s of less than</w:t>
      </w:r>
      <w:r w:rsidR="00CA15C8">
        <w:t xml:space="preserve"> $150 000</w:t>
      </w:r>
      <w:r w:rsidR="00274C55">
        <w:t>.</w:t>
      </w:r>
      <w:r w:rsidR="00C31158" w:rsidRPr="006122C7">
        <w:rPr>
          <w:rStyle w:val="FootnoteReference"/>
        </w:rPr>
        <w:footnoteReference w:id="2"/>
      </w:r>
    </w:p>
    <w:p w:rsidR="00CA15C8" w:rsidRDefault="001E11B5" w:rsidP="00587488">
      <w:pPr>
        <w:pStyle w:val="BodyText"/>
      </w:pPr>
      <w:r w:rsidRPr="00C2737A">
        <w:lastRenderedPageBreak/>
        <w:t>These parameters</w:t>
      </w:r>
      <w:r w:rsidR="006B32C2" w:rsidRPr="00C2737A">
        <w:t xml:space="preserve"> were</w:t>
      </w:r>
      <w:r w:rsidRPr="00C2737A">
        <w:t xml:space="preserve"> used to calculate </w:t>
      </w:r>
      <w:r w:rsidR="00975116" w:rsidRPr="00C2737A">
        <w:t>the baseline case, which</w:t>
      </w:r>
      <w:r w:rsidR="005A4505">
        <w:t xml:space="preserve"> </w:t>
      </w:r>
      <w:r w:rsidR="00233CDA" w:rsidRPr="00C2737A">
        <w:t xml:space="preserve">in turn indicate that </w:t>
      </w:r>
      <w:r w:rsidR="006B32C2" w:rsidRPr="00C2737A">
        <w:t>around</w:t>
      </w:r>
      <w:r w:rsidR="000223B8" w:rsidRPr="00C2737A">
        <w:t xml:space="preserve"> </w:t>
      </w:r>
      <w:r w:rsidR="006B32C2" w:rsidRPr="00C2737A">
        <w:t>8 </w:t>
      </w:r>
      <w:r w:rsidR="00975116" w:rsidRPr="00C2737A">
        <w:t xml:space="preserve">per cent of households </w:t>
      </w:r>
      <w:r w:rsidR="008D570E" w:rsidRPr="00C2737A">
        <w:t>are eligible</w:t>
      </w:r>
      <w:r w:rsidR="005D7EB2" w:rsidRPr="00C2737A">
        <w:t xml:space="preserve"> for grants of legal aid.</w:t>
      </w:r>
    </w:p>
    <w:p w:rsidR="003B0D6A" w:rsidRDefault="003B0D6A" w:rsidP="003B0D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0D6A" w:rsidTr="00357BBD">
        <w:tc>
          <w:tcPr>
            <w:tcW w:w="8771" w:type="dxa"/>
            <w:tcBorders>
              <w:top w:val="single" w:sz="6" w:space="0" w:color="78A22F"/>
              <w:left w:val="nil"/>
              <w:bottom w:val="nil"/>
              <w:right w:val="nil"/>
            </w:tcBorders>
            <w:shd w:val="clear" w:color="auto" w:fill="F2F2F2" w:themeFill="background1" w:themeFillShade="F2"/>
          </w:tcPr>
          <w:p w:rsidR="003B0D6A" w:rsidRDefault="003B0D6A" w:rsidP="00357BBD">
            <w:pPr>
              <w:pStyle w:val="BoxTitle"/>
            </w:pPr>
            <w:r>
              <w:rPr>
                <w:b w:val="0"/>
              </w:rPr>
              <w:t xml:space="preserve">Box </w:t>
            </w:r>
            <w:bookmarkStart w:id="8" w:name="OLE_LINK2"/>
            <w:r>
              <w:rPr>
                <w:b w:val="0"/>
              </w:rPr>
              <w:fldChar w:fldCharType="begin"/>
            </w:r>
            <w:r>
              <w:rPr>
                <w:b w:val="0"/>
              </w:rPr>
              <w:instrText xml:space="preserve"> COMMENTS  \* MERGEFORMAT </w:instrText>
            </w:r>
            <w:r>
              <w:rPr>
                <w:b w:val="0"/>
              </w:rPr>
              <w:fldChar w:fldCharType="separate"/>
            </w:r>
            <w:r w:rsidR="00CB0DA1">
              <w:rPr>
                <w:b w:val="0"/>
              </w:rPr>
              <w:t>H.</w:t>
            </w:r>
            <w:r>
              <w:rPr>
                <w:b w:val="0"/>
              </w:rPr>
              <w:fldChar w:fldCharType="end"/>
            </w:r>
            <w:r>
              <w:rPr>
                <w:b w:val="0"/>
              </w:rPr>
              <w:fldChar w:fldCharType="begin"/>
            </w:r>
            <w:r>
              <w:rPr>
                <w:b w:val="0"/>
              </w:rPr>
              <w:instrText xml:space="preserve"> SEQ Box \* ARABIC </w:instrText>
            </w:r>
            <w:r>
              <w:rPr>
                <w:b w:val="0"/>
              </w:rPr>
              <w:fldChar w:fldCharType="separate"/>
            </w:r>
            <w:r w:rsidR="00CB0DA1">
              <w:rPr>
                <w:b w:val="0"/>
                <w:noProof/>
              </w:rPr>
              <w:t>1</w:t>
            </w:r>
            <w:r>
              <w:rPr>
                <w:b w:val="0"/>
              </w:rPr>
              <w:fldChar w:fldCharType="end"/>
            </w:r>
            <w:bookmarkEnd w:id="8"/>
            <w:r>
              <w:tab/>
            </w:r>
            <w:proofErr w:type="spellStart"/>
            <w:r>
              <w:t>Equivalised</w:t>
            </w:r>
            <w:proofErr w:type="spellEnd"/>
            <w:r>
              <w:t xml:space="preserve"> disposable household income</w:t>
            </w:r>
          </w:p>
        </w:tc>
      </w:tr>
      <w:tr w:rsidR="003B0D6A" w:rsidTr="00357BBD">
        <w:trPr>
          <w:cantSplit/>
        </w:trPr>
        <w:tc>
          <w:tcPr>
            <w:tcW w:w="8771" w:type="dxa"/>
            <w:tcBorders>
              <w:top w:val="nil"/>
              <w:left w:val="nil"/>
              <w:bottom w:val="nil"/>
              <w:right w:val="nil"/>
            </w:tcBorders>
            <w:shd w:val="clear" w:color="auto" w:fill="F2F2F2" w:themeFill="background1" w:themeFillShade="F2"/>
          </w:tcPr>
          <w:p w:rsidR="003B0D6A" w:rsidRDefault="003B0D6A" w:rsidP="00357BBD">
            <w:pPr>
              <w:pStyle w:val="Box"/>
            </w:pPr>
            <w:r>
              <w:t xml:space="preserve">Comparing the relative wellbeing and economic resources of households is difficult because different households can have different compositions. Comparing the income of a single-person household to that of a couple, who are both employed, with several </w:t>
            </w:r>
            <w:r w:rsidR="004D26A0">
              <w:t xml:space="preserve">dependants </w:t>
            </w:r>
            <w:r>
              <w:t>can be misleading. Some adjustment is necessary to take account of different compositions of households for meaningful analysis.</w:t>
            </w:r>
          </w:p>
          <w:p w:rsidR="003B0D6A" w:rsidRDefault="003B0D6A" w:rsidP="00357BBD">
            <w:pPr>
              <w:pStyle w:val="Box"/>
            </w:pPr>
            <w:r>
              <w:t>One established method to do this is to use ‘equivalence scales’ — factors that control for different compositions of households — to weight income in order to make meaningful comparisons. Applying these equivalence scales means that the resulting ‘</w:t>
            </w:r>
            <w:proofErr w:type="spellStart"/>
            <w:r>
              <w:t>equ</w:t>
            </w:r>
            <w:r w:rsidR="00866069">
              <w:t>ival</w:t>
            </w:r>
            <w:r>
              <w:t>ised</w:t>
            </w:r>
            <w:proofErr w:type="spellEnd"/>
            <w:r>
              <w:t>’ income can be viewed as an indicator of the economic resources available to a standardised household. This enables</w:t>
            </w:r>
            <w:r w:rsidR="00E43147">
              <w:t xml:space="preserve"> </w:t>
            </w:r>
            <w:r>
              <w:t>more</w:t>
            </w:r>
            <w:r w:rsidR="00E43147">
              <w:t xml:space="preserve"> accurate comparisons across households to be made.</w:t>
            </w:r>
          </w:p>
          <w:p w:rsidR="00983EF6" w:rsidRDefault="003B0D6A" w:rsidP="004D26A0">
            <w:pPr>
              <w:pStyle w:val="Box"/>
            </w:pPr>
            <w:r>
              <w:t xml:space="preserve">The ABS </w:t>
            </w:r>
            <w:r w:rsidR="004D26A0">
              <w:t>HES</w:t>
            </w:r>
            <w:r>
              <w:t xml:space="preserve"> contains equivalence scales based</w:t>
            </w:r>
            <w:r w:rsidR="00FC2DAC">
              <w:t xml:space="preserve"> on</w:t>
            </w:r>
            <w:r>
              <w:t xml:space="preserve"> a ‘modified OECD’ approach, and these scales are used by the Commission for its analysis.</w:t>
            </w:r>
          </w:p>
        </w:tc>
      </w:tr>
      <w:tr w:rsidR="003B0D6A" w:rsidTr="00357BBD">
        <w:trPr>
          <w:cantSplit/>
        </w:trPr>
        <w:tc>
          <w:tcPr>
            <w:tcW w:w="8771" w:type="dxa"/>
            <w:tcBorders>
              <w:top w:val="nil"/>
              <w:left w:val="nil"/>
              <w:bottom w:val="nil"/>
              <w:right w:val="nil"/>
            </w:tcBorders>
            <w:shd w:val="clear" w:color="auto" w:fill="F2F2F2" w:themeFill="background1" w:themeFillShade="F2"/>
          </w:tcPr>
          <w:p w:rsidR="003B0D6A" w:rsidRPr="00B557F7" w:rsidRDefault="003B0D6A" w:rsidP="00130615">
            <w:pPr>
              <w:pStyle w:val="BoxSource"/>
              <w:rPr>
                <w:b/>
              </w:rPr>
            </w:pPr>
            <w:r>
              <w:rPr>
                <w:i/>
              </w:rPr>
              <w:t>Source</w:t>
            </w:r>
            <w:r w:rsidRPr="00167F06">
              <w:t xml:space="preserve">: </w:t>
            </w:r>
            <w:r w:rsidR="0082622A">
              <w:t xml:space="preserve">ABS </w:t>
            </w:r>
            <w:r w:rsidR="00B928B3">
              <w:t>(</w:t>
            </w:r>
            <w:r w:rsidR="00B928B3" w:rsidRPr="00B928B3">
              <w:rPr>
                <w:i/>
              </w:rPr>
              <w:t>Household Expenditure Survey, 2009</w:t>
            </w:r>
            <w:r w:rsidR="003C4012">
              <w:rPr>
                <w:i/>
              </w:rPr>
              <w:noBreakHyphen/>
            </w:r>
            <w:r w:rsidR="00B928B3" w:rsidRPr="00B928B3">
              <w:rPr>
                <w:i/>
              </w:rPr>
              <w:t>10</w:t>
            </w:r>
            <w:r w:rsidR="00B928B3">
              <w:t>,</w:t>
            </w:r>
            <w:r w:rsidR="0082622A">
              <w:t xml:space="preserve"> Cat no. 6305.0, </w:t>
            </w:r>
            <w:r w:rsidR="0082622A">
              <w:rPr>
                <w:i/>
              </w:rPr>
              <w:t>Household Expenditure Survey User Guide</w:t>
            </w:r>
            <w:r w:rsidR="00B928B3">
              <w:t>, pp.</w:t>
            </w:r>
            <w:r w:rsidR="003C4012">
              <w:t> </w:t>
            </w:r>
            <w:r w:rsidR="00B928B3">
              <w:t>132</w:t>
            </w:r>
            <w:r w:rsidR="003C4012">
              <w:t>–</w:t>
            </w:r>
            <w:r w:rsidR="00B928B3">
              <w:t>137</w:t>
            </w:r>
            <w:r w:rsidR="00130615">
              <w:t>)</w:t>
            </w:r>
            <w:r w:rsidR="003C4012">
              <w:t>.</w:t>
            </w:r>
          </w:p>
        </w:tc>
      </w:tr>
      <w:tr w:rsidR="003B0D6A" w:rsidTr="00357BBD">
        <w:trPr>
          <w:cantSplit/>
        </w:trPr>
        <w:tc>
          <w:tcPr>
            <w:tcW w:w="8771" w:type="dxa"/>
            <w:tcBorders>
              <w:top w:val="nil"/>
              <w:left w:val="nil"/>
              <w:bottom w:val="single" w:sz="6" w:space="0" w:color="78A22F"/>
              <w:right w:val="nil"/>
            </w:tcBorders>
            <w:shd w:val="clear" w:color="auto" w:fill="F2F2F2" w:themeFill="background1" w:themeFillShade="F2"/>
          </w:tcPr>
          <w:p w:rsidR="003B0D6A" w:rsidRDefault="003B0D6A" w:rsidP="00357BBD">
            <w:pPr>
              <w:pStyle w:val="Box"/>
              <w:spacing w:before="0" w:line="120" w:lineRule="exact"/>
            </w:pPr>
          </w:p>
        </w:tc>
      </w:tr>
      <w:tr w:rsidR="003B0D6A" w:rsidRPr="000863A5" w:rsidTr="00357BBD">
        <w:tc>
          <w:tcPr>
            <w:tcW w:w="8771" w:type="dxa"/>
            <w:tcBorders>
              <w:top w:val="single" w:sz="6" w:space="0" w:color="78A22F"/>
              <w:left w:val="nil"/>
              <w:bottom w:val="nil"/>
              <w:right w:val="nil"/>
            </w:tcBorders>
          </w:tcPr>
          <w:p w:rsidR="003B0D6A" w:rsidRPr="00626D32" w:rsidRDefault="003B0D6A" w:rsidP="00357BBD">
            <w:pPr>
              <w:pStyle w:val="BoxSpaceBelow"/>
            </w:pPr>
          </w:p>
        </w:tc>
      </w:tr>
    </w:tbl>
    <w:p w:rsidR="00162E7C" w:rsidRDefault="00162E7C" w:rsidP="00162E7C">
      <w:pPr>
        <w:pStyle w:val="Heading4"/>
      </w:pPr>
      <w:r>
        <w:t xml:space="preserve">Increasing the number of households eligible for legal aid in civil </w:t>
      </w:r>
      <w:r w:rsidR="00C24FB0">
        <w:t xml:space="preserve">including </w:t>
      </w:r>
      <w:r>
        <w:t>family matters</w:t>
      </w:r>
    </w:p>
    <w:p w:rsidR="00162E7C" w:rsidRDefault="00C24FB0" w:rsidP="00162E7C">
      <w:pPr>
        <w:pStyle w:val="BodyText"/>
      </w:pPr>
      <w:r>
        <w:t xml:space="preserve">As discussed ion chapters 21 and 25, the </w:t>
      </w:r>
      <w:r w:rsidR="00162E7C">
        <w:t xml:space="preserve">Commission has recommended that, once further work has been done to improve the evidence base, further analysis and consideration should be given to the quantum of funds necessary to provide legal aid services for those where there is a net benefit </w:t>
      </w:r>
      <w:r w:rsidR="00866069">
        <w:t xml:space="preserve">from </w:t>
      </w:r>
      <w:r w:rsidR="00162E7C">
        <w:t>doing so.</w:t>
      </w:r>
    </w:p>
    <w:p w:rsidR="00162E7C" w:rsidRDefault="00162E7C" w:rsidP="00162E7C">
      <w:pPr>
        <w:pStyle w:val="BodyText"/>
      </w:pPr>
      <w:r>
        <w:t xml:space="preserve">At present, however, based on limited data, the number of households eligible for legal aid appears to be </w:t>
      </w:r>
      <w:r w:rsidR="001E6D28" w:rsidRPr="00D8005C">
        <w:t>very low</w:t>
      </w:r>
      <w:r w:rsidR="00B26E65">
        <w:t>. Indeed, some</w:t>
      </w:r>
      <w:r>
        <w:t xml:space="preserve"> means tests are below some common measures of </w:t>
      </w:r>
      <w:r w:rsidR="00F55ED3">
        <w:t>poverty</w:t>
      </w:r>
      <w:r>
        <w:t xml:space="preserve"> — such as the Henderson </w:t>
      </w:r>
      <w:r w:rsidR="004256B8">
        <w:t xml:space="preserve">Poverty Line </w:t>
      </w:r>
      <w:r>
        <w:t xml:space="preserve">and the OECD </w:t>
      </w:r>
      <w:r w:rsidR="004256B8">
        <w:t xml:space="preserve">Relative Poverty Line </w:t>
      </w:r>
      <w:r w:rsidR="00F87D5C">
        <w:t>(</w:t>
      </w:r>
      <w:r w:rsidR="00B571F1">
        <w:t xml:space="preserve">described in </w:t>
      </w:r>
      <w:r w:rsidR="00F87D5C">
        <w:t xml:space="preserve">box </w:t>
      </w:r>
      <w:r w:rsidR="00EE4967">
        <w:t>H.2</w:t>
      </w:r>
      <w:r w:rsidR="00F87D5C">
        <w:t>)</w:t>
      </w:r>
      <w:r>
        <w:t xml:space="preserve">. The Commission is not proposing to increase the means test to these levels, </w:t>
      </w:r>
      <w:r w:rsidR="007556D0">
        <w:t>although notes that</w:t>
      </w:r>
      <w:r>
        <w:t xml:space="preserve"> </w:t>
      </w:r>
      <w:r w:rsidR="00B37E16">
        <w:t>VLA</w:t>
      </w:r>
      <w:r>
        <w:t xml:space="preserve"> </w:t>
      </w:r>
      <w:r w:rsidR="00FA2340">
        <w:t>h</w:t>
      </w:r>
      <w:r w:rsidR="007556D0">
        <w:t xml:space="preserve">as </w:t>
      </w:r>
      <w:r>
        <w:t>indicated that the latter benchmark may be an ‘appropriate starting point’ when determining</w:t>
      </w:r>
      <w:r w:rsidR="007556D0">
        <w:t xml:space="preserve"> future</w:t>
      </w:r>
      <w:r>
        <w:t xml:space="preserve"> means tests:</w:t>
      </w:r>
    </w:p>
    <w:p w:rsidR="00162E7C" w:rsidRDefault="004256B8" w:rsidP="00162E7C">
      <w:pPr>
        <w:pStyle w:val="Quote"/>
      </w:pPr>
      <w:r>
        <w:t xml:space="preserve">We’ve </w:t>
      </w:r>
      <w:r w:rsidR="00162E7C">
        <w:t xml:space="preserve">acknowledged </w:t>
      </w:r>
      <w:r w:rsidR="00B37E16">
        <w:t xml:space="preserve">… </w:t>
      </w:r>
      <w:r w:rsidR="00162E7C">
        <w:t xml:space="preserve">the OECD as a starting point, </w:t>
      </w:r>
      <w:r w:rsidR="00C95062">
        <w:t xml:space="preserve">it’s </w:t>
      </w:r>
      <w:r w:rsidR="00162E7C">
        <w:t xml:space="preserve">not an end point, and we recognise that there would be different ways to approach the question of financial eligibility or </w:t>
      </w:r>
      <w:r w:rsidR="00CB4652">
        <w:t xml:space="preserve">someone’s </w:t>
      </w:r>
      <w:r w:rsidR="00162E7C">
        <w:t>lack of capacity to meet the full cost of their own legal representation for very severe life</w:t>
      </w:r>
      <w:r w:rsidR="00C95062">
        <w:noBreakHyphen/>
      </w:r>
      <w:r w:rsidR="00162E7C">
        <w:t xml:space="preserve">affecting issues. </w:t>
      </w:r>
      <w:r w:rsidR="00AA3F34">
        <w:t>(trans.</w:t>
      </w:r>
      <w:r w:rsidR="00E43147">
        <w:t>,</w:t>
      </w:r>
      <w:r w:rsidR="00AA3F34">
        <w:t xml:space="preserve"> p.</w:t>
      </w:r>
      <w:r w:rsidR="003C4012">
        <w:t> </w:t>
      </w:r>
      <w:r w:rsidR="00AA3F34">
        <w:t>741)</w:t>
      </w:r>
    </w:p>
    <w:p w:rsidR="00FB66BB" w:rsidRDefault="005F6615" w:rsidP="00BC4646">
      <w:pPr>
        <w:pStyle w:val="BodyText"/>
      </w:pPr>
      <w:r>
        <w:t>There are many measures of disadvantage that consider factors beyond relative income</w:t>
      </w:r>
      <w:r w:rsidR="00BB7BF8">
        <w:t>, such as including combinations of assets</w:t>
      </w:r>
      <w:r w:rsidR="00FC29C9">
        <w:t xml:space="preserve">, </w:t>
      </w:r>
      <w:r w:rsidR="00BB7BF8">
        <w:t>income</w:t>
      </w:r>
      <w:r w:rsidR="00FC29C9">
        <w:t xml:space="preserve"> and consumption</w:t>
      </w:r>
      <w:r w:rsidR="00BB7BF8">
        <w:t>, length of time in poverty, and broader measures of social exclusion</w:t>
      </w:r>
      <w:r w:rsidR="006074B4">
        <w:t xml:space="preserve"> </w:t>
      </w:r>
      <w:r w:rsidR="009A2053">
        <w:fldChar w:fldCharType="begin"/>
      </w:r>
      <w:r w:rsidR="00C2679D">
        <w:instrText xml:space="preserve"> ADDIN ZOTERO_ITEM CSL_CITATION {"citationID":"1r5ecurs5h","properties":{"formattedCitation":"{\\rtf (McLachlan, Gilfillan and Gordon\\uc0\\u160{}2013)}","plainCitation":"(McLachlan, Gilfillan and Gordon 2013)"},"citationItems":[{"id":535,"uris":["http://zotero.org/groups/177820/items/VBGERQ3D"],"uri":["http://zotero.org/groups/177820/items/VBGERQ3D"],"itemData":{"id":535,"type":"report","title":"Deep and Persistent Disadvantage in Australia","publisher":"Productivity Commission","publisher-place":"Canberra","genre":"Staff Working Paper","event-place":"Canberra","author":[{"family":"McLachlan","given":"R"},{"family":"Gilfillan","given":"G"},{"family":"Gordon","given":"J"}],"issued":{"date-parts":[["2013"]]}}}],"schema":"https://github.com/citation-style-language/schema/raw/master/csl-citation.json"} </w:instrText>
      </w:r>
      <w:r w:rsidR="009A2053">
        <w:fldChar w:fldCharType="separate"/>
      </w:r>
      <w:r w:rsidR="009A2053" w:rsidRPr="009A2053">
        <w:rPr>
          <w:szCs w:val="24"/>
        </w:rPr>
        <w:t>(McLachlan, Gilfillan and Gordon 2013)</w:t>
      </w:r>
      <w:r w:rsidR="009A2053">
        <w:fldChar w:fldCharType="end"/>
      </w:r>
      <w:r w:rsidR="00BB7BF8">
        <w:t>. Each of these</w:t>
      </w:r>
      <w:r w:rsidR="00BC3B7E">
        <w:t xml:space="preserve"> </w:t>
      </w:r>
      <w:r w:rsidR="00827324">
        <w:t xml:space="preserve">has </w:t>
      </w:r>
      <w:r w:rsidR="00BC3B7E">
        <w:t xml:space="preserve">benefits and drawbacks when considered </w:t>
      </w:r>
      <w:r w:rsidR="007C2847">
        <w:t xml:space="preserve">as </w:t>
      </w:r>
      <w:r w:rsidR="00827324">
        <w:t xml:space="preserve">a </w:t>
      </w:r>
      <w:r w:rsidR="007C2847">
        <w:t xml:space="preserve">measure to determine eligibility for legal aid. For example, measures of deprivation — which look at </w:t>
      </w:r>
      <w:r w:rsidR="007C2847">
        <w:lastRenderedPageBreak/>
        <w:t xml:space="preserve">going without or being unable to afford particular goods and services — may </w:t>
      </w:r>
      <w:r w:rsidR="007730F8">
        <w:t>be</w:t>
      </w:r>
      <w:r w:rsidR="007C2847">
        <w:t xml:space="preserve"> a poor measure to use to determine eligibility for legal aid as the deprivation in question may not be related to legal need.</w:t>
      </w:r>
    </w:p>
    <w:p w:rsidR="0031148A" w:rsidRDefault="0031148A" w:rsidP="003114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148A" w:rsidTr="008E279C">
        <w:tc>
          <w:tcPr>
            <w:tcW w:w="8771" w:type="dxa"/>
            <w:tcBorders>
              <w:top w:val="single" w:sz="6" w:space="0" w:color="78A22F"/>
              <w:left w:val="nil"/>
              <w:bottom w:val="nil"/>
              <w:right w:val="nil"/>
            </w:tcBorders>
            <w:shd w:val="clear" w:color="auto" w:fill="F2F2F2" w:themeFill="background1" w:themeFillShade="F2"/>
          </w:tcPr>
          <w:p w:rsidR="0031148A" w:rsidRDefault="0031148A" w:rsidP="008E279C">
            <w:pPr>
              <w:pStyle w:val="BoxTitle"/>
            </w:pPr>
            <w:r w:rsidRPr="0052411D">
              <w:rPr>
                <w:b w:val="0"/>
              </w:rPr>
              <w:t xml:space="preserve">Box </w:t>
            </w:r>
            <w:bookmarkStart w:id="9" w:name="OLE_LINK5"/>
            <w:r w:rsidRPr="0052411D">
              <w:rPr>
                <w:b w:val="0"/>
              </w:rPr>
              <w:fldChar w:fldCharType="begin"/>
            </w:r>
            <w:r w:rsidRPr="0052411D">
              <w:rPr>
                <w:b w:val="0"/>
              </w:rPr>
              <w:instrText xml:space="preserve"> COMMENTS  \* MERGEFORMAT </w:instrText>
            </w:r>
            <w:r w:rsidRPr="0052411D">
              <w:rPr>
                <w:b w:val="0"/>
              </w:rPr>
              <w:fldChar w:fldCharType="separate"/>
            </w:r>
            <w:r w:rsidR="00CB0DA1">
              <w:rPr>
                <w:b w:val="0"/>
              </w:rPr>
              <w:t>H.</w:t>
            </w:r>
            <w:r w:rsidRPr="0052411D">
              <w:rPr>
                <w:b w:val="0"/>
              </w:rPr>
              <w:fldChar w:fldCharType="end"/>
            </w:r>
            <w:r w:rsidRPr="0052411D">
              <w:rPr>
                <w:b w:val="0"/>
              </w:rPr>
              <w:fldChar w:fldCharType="begin"/>
            </w:r>
            <w:r w:rsidRPr="0052411D">
              <w:rPr>
                <w:b w:val="0"/>
              </w:rPr>
              <w:instrText xml:space="preserve"> SEQ Box \* ARABIC </w:instrText>
            </w:r>
            <w:r w:rsidRPr="0052411D">
              <w:rPr>
                <w:b w:val="0"/>
              </w:rPr>
              <w:fldChar w:fldCharType="separate"/>
            </w:r>
            <w:r w:rsidR="00CB0DA1">
              <w:rPr>
                <w:b w:val="0"/>
                <w:noProof/>
              </w:rPr>
              <w:t>2</w:t>
            </w:r>
            <w:r w:rsidRPr="0052411D">
              <w:rPr>
                <w:b w:val="0"/>
              </w:rPr>
              <w:fldChar w:fldCharType="end"/>
            </w:r>
            <w:bookmarkEnd w:id="9"/>
            <w:r w:rsidRPr="0052411D">
              <w:tab/>
              <w:t>Measures of relative poverty</w:t>
            </w:r>
          </w:p>
        </w:tc>
      </w:tr>
      <w:tr w:rsidR="0031148A" w:rsidTr="008E279C">
        <w:trPr>
          <w:cantSplit/>
        </w:trPr>
        <w:tc>
          <w:tcPr>
            <w:tcW w:w="8771" w:type="dxa"/>
            <w:tcBorders>
              <w:top w:val="nil"/>
              <w:left w:val="nil"/>
              <w:bottom w:val="nil"/>
              <w:right w:val="nil"/>
            </w:tcBorders>
            <w:shd w:val="clear" w:color="auto" w:fill="F2F2F2" w:themeFill="background1" w:themeFillShade="F2"/>
          </w:tcPr>
          <w:p w:rsidR="0031148A" w:rsidRDefault="0031148A" w:rsidP="008E279C">
            <w:pPr>
              <w:pStyle w:val="Box"/>
            </w:pPr>
            <w:r>
              <w:t xml:space="preserve">Two commonly used poverty lines are the Henderson </w:t>
            </w:r>
            <w:r w:rsidR="00CD7BA3">
              <w:t xml:space="preserve">Poverty Line </w:t>
            </w:r>
            <w:r>
              <w:t xml:space="preserve">and the OECD </w:t>
            </w:r>
            <w:r w:rsidR="00CD7BA3">
              <w:t>Relative Poverty Line</w:t>
            </w:r>
            <w:r>
              <w:t xml:space="preserve">. </w:t>
            </w:r>
          </w:p>
          <w:p w:rsidR="0031148A" w:rsidRPr="00CD7F5A" w:rsidRDefault="0031148A" w:rsidP="008E279C">
            <w:pPr>
              <w:pStyle w:val="BoxListBullet"/>
            </w:pPr>
            <w:r>
              <w:t xml:space="preserve">The Henderson </w:t>
            </w:r>
            <w:r w:rsidR="00C95F46">
              <w:t xml:space="preserve">Poverty Line </w:t>
            </w:r>
            <w:r>
              <w:t xml:space="preserve">defines benchmarks of poverty on the basis of </w:t>
            </w:r>
            <w:proofErr w:type="spellStart"/>
            <w:r>
              <w:t>equivalised</w:t>
            </w:r>
            <w:proofErr w:type="spellEnd"/>
            <w:r>
              <w:t xml:space="preserve"> disposable income for different household types. A recent estimate found that around 12.</w:t>
            </w:r>
            <w:r w:rsidR="00C95F46">
              <w:t>4 </w:t>
            </w:r>
            <w:r>
              <w:t xml:space="preserve">per cent of Australians were below this poverty line </w:t>
            </w:r>
            <w:r>
              <w:fldChar w:fldCharType="begin"/>
            </w:r>
            <w:r>
              <w:instrText xml:space="preserve"> ADDIN ZOTERO_ITEM CSL_CITATION {"citationID":"regmqhehn","properties":{"formattedCitation":"{\\rtf (Melbourne Institute of Applied Economics and Social Research\\uc0\\u160{}2013)}","plainCitation":"(Melbourne Institute of Applied Economics and Social Research 2013)"},"citationItems":[{"id":2449,"uris":["http://zotero.org/groups/177820/items/EFQVVQ3X"],"uri":["http://zotero.org/groups/177820/items/EFQVVQ3X"],"itemData":{"id":2449,"type":"report","title":"Families, Income and Jobs, Volume 8","publisher":"University of Melbourne","author":[{"family":"Melbourne Institute of Applied Economics and Social Research","given":""}],"issued":{"date-parts":[["2013"]]}}}],"schema":"https://github.com/citation-style-language/schema/raw/master/csl-citation.json"} </w:instrText>
            </w:r>
            <w:r>
              <w:fldChar w:fldCharType="separate"/>
            </w:r>
            <w:r w:rsidRPr="00106A0A">
              <w:rPr>
                <w:rFonts w:cs="Arial"/>
                <w:szCs w:val="24"/>
              </w:rPr>
              <w:t>(Melbourne Institute of Applied Economics and Social Research 2013)</w:t>
            </w:r>
            <w:r>
              <w:fldChar w:fldCharType="end"/>
            </w:r>
            <w:r>
              <w:t>.</w:t>
            </w:r>
          </w:p>
          <w:p w:rsidR="0031148A" w:rsidRPr="0052411D" w:rsidRDefault="0031148A" w:rsidP="008E279C">
            <w:pPr>
              <w:pStyle w:val="BoxListBullet"/>
            </w:pPr>
            <w:r w:rsidRPr="0052411D">
              <w:t xml:space="preserve">The OECD </w:t>
            </w:r>
            <w:r w:rsidR="00C95F46">
              <w:t>R</w:t>
            </w:r>
            <w:r w:rsidR="00C95F46" w:rsidRPr="0052411D">
              <w:t xml:space="preserve">elative </w:t>
            </w:r>
            <w:r w:rsidR="00C95F46">
              <w:t>P</w:t>
            </w:r>
            <w:r w:rsidR="00C95F46" w:rsidRPr="0052411D">
              <w:t xml:space="preserve">overty </w:t>
            </w:r>
            <w:r w:rsidR="00C95F46">
              <w:t>L</w:t>
            </w:r>
            <w:r w:rsidR="00C95F46" w:rsidRPr="0052411D">
              <w:t xml:space="preserve">ine </w:t>
            </w:r>
            <w:r w:rsidRPr="0052411D">
              <w:t xml:space="preserve">is defined as household income below 50 per cent of median </w:t>
            </w:r>
            <w:proofErr w:type="spellStart"/>
            <w:r w:rsidRPr="0052411D">
              <w:t>equivalised</w:t>
            </w:r>
            <w:proofErr w:type="spellEnd"/>
            <w:r w:rsidRPr="0052411D">
              <w:t xml:space="preserve"> household disposable income. </w:t>
            </w:r>
            <w:r>
              <w:t>Statistics from the OECD indicate that</w:t>
            </w:r>
            <w:r w:rsidRPr="0052411D">
              <w:t xml:space="preserve"> about 13.</w:t>
            </w:r>
            <w:r w:rsidR="00A23C20" w:rsidRPr="0052411D">
              <w:t>8</w:t>
            </w:r>
            <w:r w:rsidR="00A23C20">
              <w:t> </w:t>
            </w:r>
            <w:r w:rsidRPr="0052411D">
              <w:t>per cent of Australians were below this poverty line</w:t>
            </w:r>
            <w:r>
              <w:t xml:space="preserve"> </w:t>
            </w:r>
            <w:r>
              <w:fldChar w:fldCharType="begin"/>
            </w:r>
            <w:r>
              <w:instrText xml:space="preserve"> ADDIN ZOTERO_ITEM CSL_CITATION {"citationID":"3huvu6dk4","properties":{"formattedCitation":"{\\rtf (OECD\\uc0\\u160{}2014)}","plainCitation":"(OECD 2014)"},"citationItems":[{"id":2481,"uris":["http://zotero.org/groups/177820/items/J6NXTPIW"],"uri":["http://zotero.org/groups/177820/items/J6NXTPIW"],"itemData":{"id":2481,"type":"webpage","title":"Income Distribution and Poverty","URL":"http://stats.oecd.org/Index.aspx?DataSetCode=IDD","author":[{"family":"Organisation for Economic Cooperation and Development","given":""}],"translator":[{"family":"OECD","given":""}],"issued":{"date-parts":[["2014"]]},"accessed":{"date-parts":[["2014",8,27]]}}}],"schema":"https://github.com/citation-style-language/schema/raw/master/csl-citation.json"} </w:instrText>
            </w:r>
            <w:r>
              <w:fldChar w:fldCharType="separate"/>
            </w:r>
            <w:r w:rsidRPr="00C61E3C">
              <w:rPr>
                <w:rFonts w:cs="Arial"/>
                <w:szCs w:val="24"/>
              </w:rPr>
              <w:t>(OECD 2014)</w:t>
            </w:r>
            <w:r>
              <w:fldChar w:fldCharType="end"/>
            </w:r>
            <w:r>
              <w:t xml:space="preserve">. </w:t>
            </w:r>
            <w:r w:rsidRPr="0052411D">
              <w:t>Another estimate</w:t>
            </w:r>
            <w:r>
              <w:t>,</w:t>
            </w:r>
            <w:r w:rsidRPr="0052411D">
              <w:t xml:space="preserve"> </w:t>
            </w:r>
            <w:r>
              <w:t>which</w:t>
            </w:r>
            <w:r w:rsidRPr="0052411D">
              <w:t xml:space="preserve"> used a different measure of </w:t>
            </w:r>
            <w:proofErr w:type="spellStart"/>
            <w:r w:rsidRPr="0052411D">
              <w:t>equivalised</w:t>
            </w:r>
            <w:proofErr w:type="spellEnd"/>
            <w:r w:rsidRPr="0052411D">
              <w:t xml:space="preserve"> disposable income and other assumptions</w:t>
            </w:r>
            <w:r>
              <w:t>,</w:t>
            </w:r>
            <w:r w:rsidRPr="0052411D">
              <w:t xml:space="preserve"> found that around 10.3 per cent of Australians were impoverished</w:t>
            </w:r>
            <w:r>
              <w:t xml:space="preserve"> </w:t>
            </w:r>
            <w:r>
              <w:fldChar w:fldCharType="begin"/>
            </w:r>
            <w:r w:rsidR="00C2679D">
              <w:instrText xml:space="preserve"> ADDIN ZOTERO_ITEM CSL_CITATION {"citationID":"fh52q4so0","properties":{"formattedCitation":"{\\rtf (McLachlan, Gilfillan and Gordon\\uc0\\u160{}2013)}","plainCitation":"(McLachlan, Gilfillan and Gordon 2013)"},"citationItems":[{"id":535,"uris":["http://zotero.org/groups/177820/items/VBGERQ3D"],"uri":["http://zotero.org/groups/177820/items/VBGERQ3D"],"itemData":{"id":535,"type":"report","title":"Deep and Persistent Disadvantage in Australia","publisher":"Productivity Commission","publisher-place":"Canberra","genre":"Staff Working Paper","event-place":"Canberra","author":[{"family":"McLachlan","given":"R"},{"family":"Gilfillan","given":"G"},{"family":"Gordon","given":"J"}],"issued":{"date-parts":[["2013"]]}}}],"schema":"https://github.com/citation-style-language/schema/raw/master/csl-citation.json"} </w:instrText>
            </w:r>
            <w:r>
              <w:fldChar w:fldCharType="separate"/>
            </w:r>
            <w:r w:rsidRPr="00F11DCD">
              <w:rPr>
                <w:rFonts w:cs="Arial"/>
                <w:szCs w:val="24"/>
              </w:rPr>
              <w:t>(McLachlan, Gilfillan and Gordon 2013)</w:t>
            </w:r>
            <w:r>
              <w:fldChar w:fldCharType="end"/>
            </w:r>
            <w:r>
              <w:t>.</w:t>
            </w:r>
          </w:p>
          <w:p w:rsidR="0031148A" w:rsidRDefault="0031148A" w:rsidP="008E279C">
            <w:pPr>
              <w:pStyle w:val="Box"/>
            </w:pPr>
            <w:r>
              <w:t xml:space="preserve">However, these measures do not consider assets in their calculation. One measure that does — a measure of financial poverty </w:t>
            </w:r>
            <w:r>
              <w:fldChar w:fldCharType="begin"/>
            </w:r>
            <w:r>
              <w:instrText xml:space="preserve"> ADDIN ZOTERO_ITEM CSL_CITATION {"citationID":"tu59tk4mg","properties":{"formattedCitation":"{\\rtf (Headey, Krause and Wagner\\uc0\\u160{}2009)}","plainCitation":"(Headey, Krause and Wagner 2009)"},"citationItems":[{"id":2450,"uris":["http://zotero.org/groups/177820/items/I4U9MAJ2"],"uri":["http://zotero.org/groups/177820/items/I4U9MAJ2"],"itemData":{"id":2450,"type":"paper-conference","title":"Poverty redefined as low consumption and low wealth, not just low income: psychological consequences in Australia and Germany","container-title":"Joint OECD-University of Maryland Conference","publisher-place":"Paris","event":"Measuring Poverty, Inequality and Social Exclusion: Lessons from Europe","event-place":"Paris","author":[{"family":"Headey","given":"Bruce"},{"family":"Krause","given":"Peter"},{"family":"Wagner","given":"Gert"}],"issued":{"date-parts":[["2009"]]}}}],"schema":"https://github.com/citation-style-language/schema/raw/master/csl-citation.json"} </w:instrText>
            </w:r>
            <w:r>
              <w:fldChar w:fldCharType="separate"/>
            </w:r>
            <w:r w:rsidRPr="00A32681">
              <w:rPr>
                <w:rFonts w:cs="Arial"/>
                <w:szCs w:val="24"/>
              </w:rPr>
              <w:t>(Headey, Krause and Wagner 2009)</w:t>
            </w:r>
            <w:r>
              <w:fldChar w:fldCharType="end"/>
            </w:r>
            <w:r>
              <w:t xml:space="preserve"> — considers both </w:t>
            </w:r>
            <w:proofErr w:type="spellStart"/>
            <w:r>
              <w:t>equivalised</w:t>
            </w:r>
            <w:proofErr w:type="spellEnd"/>
            <w:r>
              <w:t xml:space="preserve"> household income as well as a household’s net worth. Households with less than $200</w:t>
            </w:r>
            <w:r w:rsidR="003C4012">
              <w:t> </w:t>
            </w:r>
            <w:r>
              <w:t>000 or little in the way of liquid assets are considered to be poor. It was estimated in 2008 that around 13.7 per cent of the population was</w:t>
            </w:r>
            <w:r w:rsidR="00930137">
              <w:t xml:space="preserve"> classified as</w:t>
            </w:r>
            <w:r>
              <w:t xml:space="preserve"> poor under this measure.</w:t>
            </w:r>
          </w:p>
          <w:p w:rsidR="0031148A" w:rsidRDefault="0031148A" w:rsidP="008E279C">
            <w:pPr>
              <w:pStyle w:val="Box"/>
            </w:pPr>
            <w:r>
              <w:t xml:space="preserve">Regardless of the relative poverty measure used, the proportion of the population considered poor is higher than </w:t>
            </w:r>
            <w:r w:rsidR="00C95F46">
              <w:t xml:space="preserve">the proportion of the population </w:t>
            </w:r>
            <w:r>
              <w:t xml:space="preserve">eligible for grants of legal aid from LACs under their means tests. This indicates that many households, despite being financially disadvantaged, may still fail the means tests for grants of legal assistance, or be required to make a contribution towards the cost of their case from a position of meagre resources. </w:t>
            </w:r>
          </w:p>
          <w:p w:rsidR="0031148A" w:rsidRPr="00A53BA3" w:rsidRDefault="0031148A" w:rsidP="00D05040">
            <w:pPr>
              <w:pStyle w:val="Box"/>
            </w:pPr>
            <w:r>
              <w:t>An even smaller proportion would be likely to receive a grant of</w:t>
            </w:r>
            <w:r w:rsidR="00930137">
              <w:t xml:space="preserve"> legal</w:t>
            </w:r>
            <w:r>
              <w:t xml:space="preserve"> aid once the other methods of rationing are considered (chapter</w:t>
            </w:r>
            <w:r w:rsidR="003C4012">
              <w:t> </w:t>
            </w:r>
            <w:r>
              <w:t>21).</w:t>
            </w:r>
          </w:p>
        </w:tc>
      </w:tr>
      <w:tr w:rsidR="0031148A" w:rsidTr="008E279C">
        <w:trPr>
          <w:cantSplit/>
        </w:trPr>
        <w:tc>
          <w:tcPr>
            <w:tcW w:w="8771" w:type="dxa"/>
            <w:tcBorders>
              <w:top w:val="nil"/>
              <w:left w:val="nil"/>
              <w:bottom w:val="single" w:sz="6" w:space="0" w:color="78A22F"/>
              <w:right w:val="nil"/>
            </w:tcBorders>
            <w:shd w:val="clear" w:color="auto" w:fill="F2F2F2" w:themeFill="background1" w:themeFillShade="F2"/>
          </w:tcPr>
          <w:p w:rsidR="0031148A" w:rsidRDefault="0031148A" w:rsidP="008E279C">
            <w:pPr>
              <w:pStyle w:val="Box"/>
              <w:spacing w:before="0" w:line="120" w:lineRule="exact"/>
            </w:pPr>
          </w:p>
        </w:tc>
      </w:tr>
      <w:tr w:rsidR="0031148A" w:rsidRPr="000863A5" w:rsidTr="008E279C">
        <w:tc>
          <w:tcPr>
            <w:tcW w:w="8771" w:type="dxa"/>
            <w:tcBorders>
              <w:top w:val="single" w:sz="6" w:space="0" w:color="78A22F"/>
              <w:left w:val="nil"/>
              <w:bottom w:val="nil"/>
              <w:right w:val="nil"/>
            </w:tcBorders>
          </w:tcPr>
          <w:p w:rsidR="0031148A" w:rsidRPr="00626D32" w:rsidRDefault="0031148A" w:rsidP="008E279C">
            <w:pPr>
              <w:pStyle w:val="BoxSpaceBelow"/>
            </w:pPr>
          </w:p>
        </w:tc>
      </w:tr>
    </w:tbl>
    <w:p w:rsidR="00B22755" w:rsidRPr="00C61E3C" w:rsidRDefault="00437D82" w:rsidP="00BC4646">
      <w:pPr>
        <w:pStyle w:val="BodyText"/>
        <w:rPr>
          <w:b/>
        </w:rPr>
      </w:pPr>
      <w:r>
        <w:t xml:space="preserve">The choice of a </w:t>
      </w:r>
      <w:r w:rsidR="00C21FB5">
        <w:t xml:space="preserve">measure of disadvantage </w:t>
      </w:r>
      <w:r w:rsidR="00E37730">
        <w:t xml:space="preserve">to </w:t>
      </w:r>
      <w:r w:rsidR="00C21FB5">
        <w:t>determine eligibility for legal assistance</w:t>
      </w:r>
      <w:r w:rsidR="00047D46">
        <w:t xml:space="preserve"> services should also be judged</w:t>
      </w:r>
      <w:r w:rsidR="005515C3">
        <w:t xml:space="preserve"> against</w:t>
      </w:r>
      <w:r w:rsidR="00047D46">
        <w:t xml:space="preserve"> </w:t>
      </w:r>
      <w:r w:rsidR="00C21FB5">
        <w:t>the cost</w:t>
      </w:r>
      <w:r w:rsidR="001230A7">
        <w:t>s</w:t>
      </w:r>
      <w:r w:rsidR="00C21FB5">
        <w:t xml:space="preserve"> and benefits of providing services </w:t>
      </w:r>
      <w:r w:rsidR="00C95F46">
        <w:t xml:space="preserve">for </w:t>
      </w:r>
      <w:r w:rsidR="001F08EB">
        <w:t xml:space="preserve">different matters to </w:t>
      </w:r>
      <w:r w:rsidR="003D3DC6">
        <w:t xml:space="preserve">those with </w:t>
      </w:r>
      <w:r w:rsidR="00C95F46">
        <w:t xml:space="preserve">other </w:t>
      </w:r>
      <w:r w:rsidR="003D3DC6">
        <w:t>dimensions of disadvantage</w:t>
      </w:r>
      <w:r w:rsidR="001F08EB">
        <w:t>.</w:t>
      </w:r>
      <w:r w:rsidR="009A1002">
        <w:t xml:space="preserve"> </w:t>
      </w:r>
      <w:r w:rsidR="001274BA">
        <w:t xml:space="preserve">While legal aid could be used </w:t>
      </w:r>
      <w:r w:rsidR="00256660">
        <w:t xml:space="preserve">to solve various legal needs, it may be the case that it is more cost effective to resolve those needs through, or in </w:t>
      </w:r>
      <w:r w:rsidR="00901553">
        <w:t>conjunction</w:t>
      </w:r>
      <w:r w:rsidR="00256660">
        <w:t xml:space="preserve"> with, other services (which in turn may have their own means tests).</w:t>
      </w:r>
      <w:r w:rsidR="001F08EB">
        <w:t xml:space="preserve"> </w:t>
      </w:r>
      <w:r w:rsidR="00D66E8E">
        <w:t>Accordingly, m</w:t>
      </w:r>
      <w:r w:rsidR="007D547B">
        <w:t>ore information is needed to best identify the measure or measures that should best be used to</w:t>
      </w:r>
      <w:r w:rsidR="007C3CAD">
        <w:t xml:space="preserve"> determine eligibility for legal aid</w:t>
      </w:r>
      <w:r w:rsidR="007178D5">
        <w:t>. T</w:t>
      </w:r>
      <w:r w:rsidR="00901553">
        <w:t>he recommendations in chapter</w:t>
      </w:r>
      <w:r w:rsidR="003C4012">
        <w:t> </w:t>
      </w:r>
      <w:r w:rsidR="00901553">
        <w:t xml:space="preserve">25 outline the best way to </w:t>
      </w:r>
      <w:r w:rsidR="00890922">
        <w:t>improve the evidence base in order to achieve this.</w:t>
      </w:r>
    </w:p>
    <w:p w:rsidR="00162E7C" w:rsidRPr="006D520D" w:rsidRDefault="00CA1090" w:rsidP="00162E7C">
      <w:pPr>
        <w:pStyle w:val="BodyText"/>
      </w:pPr>
      <w:r>
        <w:t>That said</w:t>
      </w:r>
      <w:proofErr w:type="gramStart"/>
      <w:r w:rsidR="00BF4CB8">
        <w:t>,</w:t>
      </w:r>
      <w:proofErr w:type="gramEnd"/>
      <w:r w:rsidR="00BF4CB8">
        <w:t xml:space="preserve"> there is </w:t>
      </w:r>
      <w:r w:rsidR="00D97A00">
        <w:t xml:space="preserve">clear </w:t>
      </w:r>
      <w:r w:rsidR="00BF4CB8">
        <w:t xml:space="preserve">evidence </w:t>
      </w:r>
      <w:r w:rsidR="007C3CAD">
        <w:t xml:space="preserve">at present </w:t>
      </w:r>
      <w:r w:rsidR="00BF4CB8">
        <w:t xml:space="preserve">to suggest that legal </w:t>
      </w:r>
      <w:r w:rsidR="004C3BD6">
        <w:t xml:space="preserve">assistance </w:t>
      </w:r>
      <w:r w:rsidR="00BF4CB8">
        <w:t xml:space="preserve">services are not </w:t>
      </w:r>
      <w:r w:rsidR="008F617F">
        <w:t xml:space="preserve">fully </w:t>
      </w:r>
      <w:r w:rsidR="00BF4CB8">
        <w:t>meeting the legal needs of either the impoverished or the disadvantaged as inten</w:t>
      </w:r>
      <w:r w:rsidR="0041026A">
        <w:t>d</w:t>
      </w:r>
      <w:r w:rsidR="00BF4CB8">
        <w:t>ed</w:t>
      </w:r>
      <w:r w:rsidR="00013B39">
        <w:t>,</w:t>
      </w:r>
      <w:r w:rsidR="0041026A">
        <w:t xml:space="preserve"> due to a lack of resources</w:t>
      </w:r>
      <w:r w:rsidR="004C3BD6">
        <w:t xml:space="preserve"> (chapters 21 and 22)</w:t>
      </w:r>
      <w:r w:rsidR="00BF4CB8">
        <w:t xml:space="preserve">. </w:t>
      </w:r>
      <w:r w:rsidR="00162E7C">
        <w:t xml:space="preserve">A review of the </w:t>
      </w:r>
      <w:r w:rsidR="008F617F">
        <w:t xml:space="preserve">National Partnership Agreement </w:t>
      </w:r>
      <w:r w:rsidR="00162E7C">
        <w:t>governing legal assistance services by</w:t>
      </w:r>
      <w:r w:rsidR="00793463">
        <w:t xml:space="preserve"> the</w:t>
      </w:r>
      <w:r w:rsidR="00162E7C">
        <w:t xml:space="preserve"> Allen Consulting Group</w:t>
      </w:r>
      <w:r w:rsidR="000A381F">
        <w:t xml:space="preserve"> </w:t>
      </w:r>
      <w:r w:rsidR="00804843">
        <w:t xml:space="preserve">found that </w:t>
      </w:r>
      <w:r w:rsidR="00804843">
        <w:lastRenderedPageBreak/>
        <w:t>present funding arrangements for LACs mean that legal aid is failing</w:t>
      </w:r>
      <w:r w:rsidR="00047184">
        <w:t xml:space="preserve"> to</w:t>
      </w:r>
      <w:r w:rsidR="00162E7C">
        <w:t xml:space="preserve"> provid</w:t>
      </w:r>
      <w:r w:rsidR="001712F6">
        <w:t>e</w:t>
      </w:r>
      <w:r w:rsidR="00162E7C">
        <w:t xml:space="preserve"> services to</w:t>
      </w:r>
      <w:r w:rsidR="001712F6">
        <w:t xml:space="preserve"> the</w:t>
      </w:r>
      <w:r w:rsidR="00162E7C">
        <w:t xml:space="preserve"> disadvantaged clients </w:t>
      </w:r>
      <w:r w:rsidR="001712F6">
        <w:t>that</w:t>
      </w:r>
      <w:r w:rsidR="00162E7C">
        <w:t xml:space="preserve"> need them:</w:t>
      </w:r>
    </w:p>
    <w:p w:rsidR="00162E7C" w:rsidRDefault="00162E7C" w:rsidP="00162E7C">
      <w:pPr>
        <w:pStyle w:val="Quote"/>
      </w:pPr>
      <w:r>
        <w:t xml:space="preserve">Current arrangements do not equip legal aid commissions to provide grants of legal aid to all disadvantaged clients in all matters within stated service priorities, nor do the eligibility principles and service priorities draw a clear line between the types of matters and clients that should attract Commonwealth funded legal assistance services, and those where services should not be provided, or should be provided through other mechanisms. </w:t>
      </w:r>
      <w:r>
        <w:fldChar w:fldCharType="begin"/>
      </w:r>
      <w:r w:rsidR="00503A5E">
        <w:instrText xml:space="preserve"> ADDIN ZOTERO_ITEM CSL_CITATION {"citationID":"QyTwVIVR","properties":{"formattedCitation":"{\\rtf (2014, p.\\uc0\\u160{}113)}","plainCitation":"(2014, p. 113)"},"citationItems":[{"id":2357,"uris":["http://zotero.org/groups/177820/items/8MPWFXM8"],"uri":["http://zotero.org/groups/177820/items/8MPWFXM8"],"itemData":{"id":2357,"type":"article","title":"Review of the National Partnership Agreement on Legal Assistance Services: Legal Aid Commissions","publisher":"ACIL Allen Consulting","URL":"http://www.acilallen.com.au/projects/23/justice/126/review-of-the-national-partnership-agreement-on-legal-assistance-services","author":[{"family":"Allen Consulting Group","given":""}],"translator":[{"family":"ACG","given":""}],"issued":{"date-parts":[["2014"]]},"accessed":{"date-parts":[["2014",8,18]]}},"locator":"113","suppress-author":true}],"schema":"https://github.com/citation-style-language/schema/raw/master/csl-citation.json"} </w:instrText>
      </w:r>
      <w:r>
        <w:fldChar w:fldCharType="separate"/>
      </w:r>
      <w:r w:rsidR="00503A5E" w:rsidRPr="00503A5E">
        <w:rPr>
          <w:szCs w:val="24"/>
        </w:rPr>
        <w:t>(2014, p. 113)</w:t>
      </w:r>
      <w:r>
        <w:fldChar w:fldCharType="end"/>
      </w:r>
    </w:p>
    <w:p w:rsidR="00127F94" w:rsidRDefault="00127F94" w:rsidP="00127F94">
      <w:pPr>
        <w:pStyle w:val="BodyText"/>
      </w:pPr>
      <w:r w:rsidRPr="00D8005C">
        <w:t xml:space="preserve">Given the low number of households eligible for grants of </w:t>
      </w:r>
      <w:r w:rsidR="00793463">
        <w:t xml:space="preserve">legal </w:t>
      </w:r>
      <w:r w:rsidRPr="00D8005C">
        <w:t xml:space="preserve">aid, and evidence to suggest that </w:t>
      </w:r>
      <w:r>
        <w:t>financially disadvantage</w:t>
      </w:r>
      <w:r w:rsidR="00854063">
        <w:t>d</w:t>
      </w:r>
      <w:r w:rsidRPr="00D8005C">
        <w:t xml:space="preserve"> households may be ineligible, the Commission has calculated the cost of relaxing the means test, relative to the ‘notional’ national case described above. Because there is a lack of data at present to indicate what proportion of households should be eligible for assistance, the Commission has </w:t>
      </w:r>
      <w:r w:rsidRPr="006D0A39">
        <w:t>calculated the cost of increasing the means test (both income and assets) by 10 per cent, relative to the baseline case</w:t>
      </w:r>
      <w:r w:rsidR="00D84224">
        <w:t xml:space="preserve"> described</w:t>
      </w:r>
      <w:r w:rsidRPr="006D0A39">
        <w:t xml:space="preserve"> above</w:t>
      </w:r>
      <w:r>
        <w:t>,</w:t>
      </w:r>
      <w:r w:rsidRPr="006122C7">
        <w:rPr>
          <w:rStyle w:val="FootnoteReference"/>
        </w:rPr>
        <w:footnoteReference w:id="3"/>
      </w:r>
      <w:r w:rsidRPr="00D8005C">
        <w:t xml:space="preserve"> on the grounds that such a policy represents a reasonable interim arrangement</w:t>
      </w:r>
      <w:r>
        <w:t xml:space="preserve">. </w:t>
      </w:r>
      <w:r w:rsidRPr="00445808">
        <w:t xml:space="preserve">Such an increase would lead to around </w:t>
      </w:r>
      <w:r w:rsidRPr="00102BB7">
        <w:t>10 per cent</w:t>
      </w:r>
      <w:r w:rsidRPr="009F2252">
        <w:t xml:space="preserve"> of households</w:t>
      </w:r>
      <w:r w:rsidR="004063D6">
        <w:t xml:space="preserve"> (or about </w:t>
      </w:r>
      <w:r w:rsidR="00CA1BC4">
        <w:t>9 </w:t>
      </w:r>
      <w:r w:rsidR="004063D6">
        <w:t>per cent of the population)</w:t>
      </w:r>
      <w:r w:rsidRPr="009F2252">
        <w:t xml:space="preserve"> being eligible for legal aid services in civil and family matters</w:t>
      </w:r>
      <w:r w:rsidRPr="00D8005C">
        <w:t xml:space="preserve"> — a proportion that more closely matches the share of households experiencing relative poverty. Such a shift would also move the eligibility requirements closer towards means tests applied to some </w:t>
      </w:r>
      <w:r w:rsidRPr="00445808">
        <w:t xml:space="preserve">other </w:t>
      </w:r>
      <w:r w:rsidRPr="00102BB7">
        <w:t>government benefits.</w:t>
      </w:r>
      <w:r>
        <w:t xml:space="preserve"> </w:t>
      </w:r>
    </w:p>
    <w:p w:rsidR="00E004D7" w:rsidRPr="00E004D7" w:rsidRDefault="006B7BF4" w:rsidP="00C61E3C">
      <w:pPr>
        <w:pStyle w:val="BodyText"/>
      </w:pPr>
      <w:r>
        <w:t xml:space="preserve">The Commission estimates that increasing the means test by 10 per cent for civil </w:t>
      </w:r>
      <w:r w:rsidR="001E2D57">
        <w:t xml:space="preserve">(including </w:t>
      </w:r>
      <w:r>
        <w:t>family</w:t>
      </w:r>
      <w:r w:rsidR="001E2D57">
        <w:t>)</w:t>
      </w:r>
      <w:r>
        <w:t xml:space="preserve"> matters would cost an additional $57 million per year. The </w:t>
      </w:r>
      <w:r w:rsidR="00930137">
        <w:t xml:space="preserve">Australian Government </w:t>
      </w:r>
      <w:r>
        <w:t xml:space="preserve">should provide the bulk of this funding </w:t>
      </w:r>
      <w:r w:rsidR="00CD2FE6">
        <w:t>(</w:t>
      </w:r>
      <w:r>
        <w:t>given that this money would be used to assist clients in areas of Commonwealth law under existing guidelines</w:t>
      </w:r>
      <w:r w:rsidR="00CD2FE6">
        <w:t>)</w:t>
      </w:r>
      <w:r>
        <w:t xml:space="preserve">. The Commission estimates that such a proposal would increase the number of people eligible for grants of aid in civil </w:t>
      </w:r>
      <w:r w:rsidR="001E2D57">
        <w:t>(including family)</w:t>
      </w:r>
      <w:r>
        <w:t xml:space="preserve"> matters from around 1.4 million to 1.9 million.</w:t>
      </w:r>
    </w:p>
    <w:p w:rsidR="00001250" w:rsidRDefault="00815D5E" w:rsidP="00815D5E">
      <w:pPr>
        <w:pStyle w:val="Heading5"/>
      </w:pPr>
      <w:r>
        <w:t xml:space="preserve">Sensitivity testing </w:t>
      </w:r>
      <w:r w:rsidR="00DD3229">
        <w:t>the</w:t>
      </w:r>
      <w:r w:rsidR="008A2F63">
        <w:t xml:space="preserve"> relaxing of</w:t>
      </w:r>
      <w:r w:rsidR="00DD3229">
        <w:t xml:space="preserve"> the means test</w:t>
      </w:r>
    </w:p>
    <w:p w:rsidR="00245BBD" w:rsidRDefault="00DC3192" w:rsidP="00245BBD">
      <w:pPr>
        <w:pStyle w:val="BodyText"/>
      </w:pPr>
      <w:r>
        <w:t xml:space="preserve">The accuracy of this </w:t>
      </w:r>
      <w:r w:rsidR="002F4F86">
        <w:t>add</w:t>
      </w:r>
      <w:r w:rsidR="00326A19">
        <w:t>i</w:t>
      </w:r>
      <w:r w:rsidR="002F4F86">
        <w:t xml:space="preserve">tional </w:t>
      </w:r>
      <w:r>
        <w:t xml:space="preserve">cost can be tested for sensitivity by </w:t>
      </w:r>
      <w:r w:rsidR="00EB26DA">
        <w:t xml:space="preserve">considering </w:t>
      </w:r>
      <w:r w:rsidR="002F4F86">
        <w:t>the estimate</w:t>
      </w:r>
      <w:r w:rsidR="009014BF">
        <w:t>d</w:t>
      </w:r>
      <w:r w:rsidR="002F4F86">
        <w:t xml:space="preserve"> </w:t>
      </w:r>
      <w:r w:rsidR="00EB26DA">
        <w:t xml:space="preserve">costs for different </w:t>
      </w:r>
      <w:r w:rsidR="00F328DE">
        <w:t xml:space="preserve">changes </w:t>
      </w:r>
      <w:r w:rsidR="004709A6">
        <w:t xml:space="preserve">to the baseline case </w:t>
      </w:r>
      <w:r w:rsidR="00A72E70">
        <w:t>(</w:t>
      </w:r>
      <w:r w:rsidR="00126397">
        <w:t xml:space="preserve">table </w:t>
      </w:r>
      <w:r w:rsidR="00EE4967">
        <w:t>H.3</w:t>
      </w:r>
      <w:r w:rsidR="00A72E70">
        <w:t>)</w:t>
      </w:r>
      <w:r w:rsidR="004709A6">
        <w:t xml:space="preserve">. </w:t>
      </w:r>
      <w:r w:rsidR="00E82FC5">
        <w:t>The sensitivity testing estimates</w:t>
      </w:r>
      <w:r w:rsidR="004709A6">
        <w:t xml:space="preserve"> </w:t>
      </w:r>
      <w:r w:rsidR="00CF1F83">
        <w:t>a range of costs from $</w:t>
      </w:r>
      <w:r w:rsidR="00D113AC">
        <w:t>38 </w:t>
      </w:r>
      <w:r w:rsidR="00CF1F83">
        <w:t>million to $</w:t>
      </w:r>
      <w:r w:rsidR="00D113AC">
        <w:t>122 </w:t>
      </w:r>
      <w:r w:rsidR="00CF1F83">
        <w:t>million</w:t>
      </w:r>
      <w:r w:rsidR="00A67DFC">
        <w:t xml:space="preserve">. The higher </w:t>
      </w:r>
      <w:r w:rsidR="00BC20BA">
        <w:t>estimates</w:t>
      </w:r>
      <w:r w:rsidR="00A67DFC">
        <w:t xml:space="preserve"> represent cases where the baseline considered often comprises a very small number of households, which in turn leads to large proportional increases when the means test is increased. </w:t>
      </w:r>
      <w:r w:rsidR="0016386D">
        <w:t xml:space="preserve">Conversely, the </w:t>
      </w:r>
      <w:r w:rsidR="00BC20BA">
        <w:t xml:space="preserve">lower estimates </w:t>
      </w:r>
      <w:r w:rsidR="00672832">
        <w:t>result from</w:t>
      </w:r>
      <w:r w:rsidR="0016386D">
        <w:t xml:space="preserve"> smaller proportional change</w:t>
      </w:r>
      <w:r w:rsidR="00A33856">
        <w:t>s</w:t>
      </w:r>
      <w:r w:rsidR="0016386D">
        <w:t xml:space="preserve"> in the number of households considered eligible.</w:t>
      </w:r>
    </w:p>
    <w:p w:rsidR="00824A85" w:rsidRDefault="00824A85" w:rsidP="00245BBD">
      <w:pPr>
        <w:pStyle w:val="BodyText"/>
      </w:pPr>
      <w:r>
        <w:t xml:space="preserve">One factor that should be noted is the small range of changes in estimates of cost within the income bands (the columns of table </w:t>
      </w:r>
      <w:r w:rsidR="00EE4967">
        <w:t>H.3</w:t>
      </w:r>
      <w:r>
        <w:t xml:space="preserve">). This indicates that once the ‘other assets’ test is relaxed, the binding variable that controls eligibility is </w:t>
      </w:r>
      <w:r w:rsidR="00BA4CC7">
        <w:t xml:space="preserve">primarily </w:t>
      </w:r>
      <w:r>
        <w:t xml:space="preserve">income. This highlights </w:t>
      </w:r>
      <w:r>
        <w:lastRenderedPageBreak/>
        <w:t>the importance of relaxing the means test on other assets (or raising the general assessable asset limit) when increasing eligibility.</w:t>
      </w:r>
    </w:p>
    <w:p w:rsidR="00A6491D" w:rsidRDefault="00A6491D" w:rsidP="00357BB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6491D" w:rsidTr="00357BBD">
        <w:tc>
          <w:tcPr>
            <w:tcW w:w="8771" w:type="dxa"/>
            <w:tcBorders>
              <w:top w:val="single" w:sz="6" w:space="0" w:color="78A22F" w:themeColor="accent1"/>
              <w:left w:val="nil"/>
              <w:bottom w:val="nil"/>
              <w:right w:val="nil"/>
            </w:tcBorders>
            <w:shd w:val="clear" w:color="auto" w:fill="auto"/>
          </w:tcPr>
          <w:p w:rsidR="00A6491D" w:rsidRPr="00784A05" w:rsidRDefault="00A6491D" w:rsidP="007E59E1">
            <w:pPr>
              <w:pStyle w:val="TableTitle"/>
            </w:pPr>
            <w:r>
              <w:rPr>
                <w:b w:val="0"/>
              </w:rPr>
              <w:t xml:space="preserve">Table </w:t>
            </w:r>
            <w:bookmarkStart w:id="10" w:name="OLE_LINK6"/>
            <w:r>
              <w:rPr>
                <w:b w:val="0"/>
              </w:rPr>
              <w:fldChar w:fldCharType="begin"/>
            </w:r>
            <w:r>
              <w:rPr>
                <w:b w:val="0"/>
              </w:rPr>
              <w:instrText xml:space="preserve"> COMMENTS  \* MERGEFORMAT </w:instrText>
            </w:r>
            <w:r>
              <w:rPr>
                <w:b w:val="0"/>
              </w:rPr>
              <w:fldChar w:fldCharType="separate"/>
            </w:r>
            <w:r w:rsidR="00CB0DA1">
              <w:rPr>
                <w:b w:val="0"/>
              </w:rPr>
              <w:t>H.</w:t>
            </w:r>
            <w:r>
              <w:rPr>
                <w:b w:val="0"/>
              </w:rPr>
              <w:fldChar w:fldCharType="end"/>
            </w:r>
            <w:r>
              <w:rPr>
                <w:b w:val="0"/>
              </w:rPr>
              <w:fldChar w:fldCharType="begin"/>
            </w:r>
            <w:r>
              <w:rPr>
                <w:b w:val="0"/>
              </w:rPr>
              <w:instrText xml:space="preserve"> SEQ Table \* ARABIC </w:instrText>
            </w:r>
            <w:r>
              <w:rPr>
                <w:b w:val="0"/>
              </w:rPr>
              <w:fldChar w:fldCharType="separate"/>
            </w:r>
            <w:r w:rsidR="00CB0DA1">
              <w:rPr>
                <w:b w:val="0"/>
                <w:noProof/>
              </w:rPr>
              <w:t>3</w:t>
            </w:r>
            <w:r>
              <w:rPr>
                <w:b w:val="0"/>
              </w:rPr>
              <w:fldChar w:fldCharType="end"/>
            </w:r>
            <w:bookmarkEnd w:id="10"/>
            <w:r>
              <w:tab/>
            </w:r>
            <w:r w:rsidR="00323B0A">
              <w:t xml:space="preserve">Sensitivity testing </w:t>
            </w:r>
            <w:r w:rsidR="00DC31B1">
              <w:t>of</w:t>
            </w:r>
            <w:r w:rsidR="007257C0">
              <w:t xml:space="preserve"> </w:t>
            </w:r>
            <w:r w:rsidR="00444152">
              <w:t>the</w:t>
            </w:r>
            <w:r w:rsidR="00DC31B1">
              <w:t xml:space="preserve"> cost </w:t>
            </w:r>
            <w:r w:rsidR="007E59E1">
              <w:t xml:space="preserve">of </w:t>
            </w:r>
            <w:r w:rsidR="00323B0A">
              <w:t>raising the means tests by around 10 per cent</w:t>
            </w:r>
            <w:r w:rsidR="00DC31B1">
              <w:t xml:space="preserve"> for civil and family matters</w:t>
            </w:r>
            <w:proofErr w:type="spellStart"/>
            <w:r w:rsidR="00E21344" w:rsidRPr="00E21344">
              <w:rPr>
                <w:rStyle w:val="NoteLabel"/>
                <w:b/>
              </w:rPr>
              <w:t>a</w:t>
            </w:r>
            <w:r w:rsidR="00ED0E84">
              <w:rPr>
                <w:rStyle w:val="NoteLabel"/>
                <w:b/>
              </w:rPr>
              <w:t>,b</w:t>
            </w:r>
            <w:proofErr w:type="spellEnd"/>
          </w:p>
        </w:tc>
      </w:tr>
      <w:tr w:rsidR="00A6491D" w:rsidTr="00357BBD">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15"/>
              <w:gridCol w:w="1416"/>
              <w:gridCol w:w="1416"/>
              <w:gridCol w:w="1414"/>
              <w:gridCol w:w="1414"/>
              <w:gridCol w:w="1412"/>
            </w:tblGrid>
            <w:tr w:rsidR="003F245B" w:rsidTr="00227697">
              <w:tc>
                <w:tcPr>
                  <w:tcW w:w="834" w:type="pct"/>
                  <w:tcBorders>
                    <w:top w:val="single" w:sz="6" w:space="0" w:color="BFBFBF" w:themeColor="background2"/>
                  </w:tcBorders>
                  <w:shd w:val="clear" w:color="auto" w:fill="auto"/>
                </w:tcPr>
                <w:p w:rsidR="003F245B" w:rsidRDefault="003F245B" w:rsidP="00357BBD">
                  <w:pPr>
                    <w:pStyle w:val="TableColumnHeading"/>
                    <w:jc w:val="left"/>
                  </w:pPr>
                </w:p>
              </w:tc>
              <w:tc>
                <w:tcPr>
                  <w:tcW w:w="4166" w:type="pct"/>
                  <w:gridSpan w:val="5"/>
                  <w:tcBorders>
                    <w:top w:val="single" w:sz="6" w:space="0" w:color="BFBFBF" w:themeColor="background2"/>
                  </w:tcBorders>
                  <w:shd w:val="clear" w:color="auto" w:fill="auto"/>
                </w:tcPr>
                <w:p w:rsidR="003F245B" w:rsidRDefault="003F245B" w:rsidP="00505D2F">
                  <w:pPr>
                    <w:pStyle w:val="TableColumnHeading"/>
                    <w:ind w:right="28"/>
                  </w:pPr>
                  <w:r>
                    <w:t xml:space="preserve">Change in </w:t>
                  </w:r>
                  <w:proofErr w:type="spellStart"/>
                  <w:r>
                    <w:t>equivalised</w:t>
                  </w:r>
                  <w:proofErr w:type="spellEnd"/>
                  <w:r>
                    <w:t xml:space="preserve"> net disposable </w:t>
                  </w:r>
                  <w:r w:rsidR="00252A43">
                    <w:t xml:space="preserve">household </w:t>
                  </w:r>
                  <w:r>
                    <w:t>income</w:t>
                  </w:r>
                </w:p>
              </w:tc>
            </w:tr>
            <w:tr w:rsidR="001061D8" w:rsidTr="008D464F">
              <w:tc>
                <w:tcPr>
                  <w:tcW w:w="834" w:type="pct"/>
                </w:tcPr>
                <w:p w:rsidR="001061D8" w:rsidRPr="00526506" w:rsidRDefault="00526506" w:rsidP="00357BBD">
                  <w:pPr>
                    <w:pStyle w:val="TableUnitsRow"/>
                    <w:jc w:val="left"/>
                    <w:rPr>
                      <w:i/>
                    </w:rPr>
                  </w:pPr>
                  <w:r w:rsidRPr="00526506">
                    <w:rPr>
                      <w:i/>
                    </w:rPr>
                    <w:t>Change in net household assets</w:t>
                  </w:r>
                </w:p>
              </w:tc>
              <w:tc>
                <w:tcPr>
                  <w:tcW w:w="834" w:type="pct"/>
                </w:tcPr>
                <w:p w:rsidR="001061D8" w:rsidRPr="001061D8" w:rsidRDefault="001061D8" w:rsidP="00976550">
                  <w:pPr>
                    <w:pStyle w:val="TableUnitsRow"/>
                    <w:rPr>
                      <w:i/>
                    </w:rPr>
                  </w:pPr>
                  <w:r>
                    <w:rPr>
                      <w:i/>
                    </w:rPr>
                    <w:t>$18 000 to $</w:t>
                  </w:r>
                  <w:r w:rsidR="00976550">
                    <w:rPr>
                      <w:i/>
                    </w:rPr>
                    <w:t>20</w:t>
                  </w:r>
                  <w:r>
                    <w:rPr>
                      <w:i/>
                    </w:rPr>
                    <w:t> 000</w:t>
                  </w:r>
                </w:p>
              </w:tc>
              <w:tc>
                <w:tcPr>
                  <w:tcW w:w="834" w:type="pct"/>
                </w:tcPr>
                <w:p w:rsidR="001061D8" w:rsidRPr="001061D8" w:rsidRDefault="001061D8" w:rsidP="00976550">
                  <w:pPr>
                    <w:pStyle w:val="TableUnitsRow"/>
                    <w:rPr>
                      <w:i/>
                    </w:rPr>
                  </w:pPr>
                  <w:r>
                    <w:rPr>
                      <w:i/>
                    </w:rPr>
                    <w:t>$19 000 to $2</w:t>
                  </w:r>
                  <w:r w:rsidR="00976550">
                    <w:rPr>
                      <w:i/>
                    </w:rPr>
                    <w:t>1</w:t>
                  </w:r>
                  <w:r>
                    <w:rPr>
                      <w:i/>
                    </w:rPr>
                    <w:t> 000</w:t>
                  </w:r>
                </w:p>
              </w:tc>
              <w:tc>
                <w:tcPr>
                  <w:tcW w:w="833" w:type="pct"/>
                </w:tcPr>
                <w:p w:rsidR="001061D8" w:rsidRPr="001061D8" w:rsidRDefault="001061D8" w:rsidP="001061D8">
                  <w:pPr>
                    <w:pStyle w:val="TableUnitsRow"/>
                    <w:rPr>
                      <w:b/>
                      <w:i/>
                    </w:rPr>
                  </w:pPr>
                  <w:r w:rsidRPr="001061D8">
                    <w:rPr>
                      <w:b/>
                      <w:i/>
                    </w:rPr>
                    <w:t>$20 000 to $22 000</w:t>
                  </w:r>
                </w:p>
              </w:tc>
              <w:tc>
                <w:tcPr>
                  <w:tcW w:w="833" w:type="pct"/>
                </w:tcPr>
                <w:p w:rsidR="001061D8" w:rsidRPr="001061D8" w:rsidRDefault="001061D8" w:rsidP="001061D8">
                  <w:pPr>
                    <w:pStyle w:val="TableUnitsRow"/>
                    <w:rPr>
                      <w:i/>
                    </w:rPr>
                  </w:pPr>
                  <w:r>
                    <w:rPr>
                      <w:i/>
                    </w:rPr>
                    <w:t>$21 000 to $23 000</w:t>
                  </w:r>
                </w:p>
              </w:tc>
              <w:tc>
                <w:tcPr>
                  <w:tcW w:w="832" w:type="pct"/>
                </w:tcPr>
                <w:p w:rsidR="001061D8" w:rsidRPr="001061D8" w:rsidRDefault="001061D8" w:rsidP="001061D8">
                  <w:pPr>
                    <w:pStyle w:val="TableUnitsRow"/>
                    <w:rPr>
                      <w:i/>
                    </w:rPr>
                  </w:pPr>
                  <w:r>
                    <w:rPr>
                      <w:i/>
                    </w:rPr>
                    <w:t>$22 000 to $24 000</w:t>
                  </w:r>
                </w:p>
              </w:tc>
            </w:tr>
            <w:tr w:rsidR="001E1ACB" w:rsidTr="00227697">
              <w:tc>
                <w:tcPr>
                  <w:tcW w:w="834" w:type="pct"/>
                  <w:tcBorders>
                    <w:bottom w:val="single" w:sz="6" w:space="0" w:color="BFBFBF" w:themeColor="background2"/>
                  </w:tcBorders>
                </w:tcPr>
                <w:p w:rsidR="001E1ACB" w:rsidRDefault="001E1ACB" w:rsidP="00357BBD">
                  <w:pPr>
                    <w:pStyle w:val="TableUnitsRow"/>
                    <w:jc w:val="left"/>
                  </w:pPr>
                </w:p>
              </w:tc>
              <w:tc>
                <w:tcPr>
                  <w:tcW w:w="834" w:type="pct"/>
                  <w:tcBorders>
                    <w:bottom w:val="single" w:sz="6" w:space="0" w:color="BFBFBF" w:themeColor="background2"/>
                  </w:tcBorders>
                </w:tcPr>
                <w:p w:rsidR="001E1ACB" w:rsidRDefault="001E1ACB" w:rsidP="00357BBD">
                  <w:pPr>
                    <w:pStyle w:val="TableUnitsRow"/>
                  </w:pPr>
                  <w:r>
                    <w:t>$m</w:t>
                  </w:r>
                </w:p>
              </w:tc>
              <w:tc>
                <w:tcPr>
                  <w:tcW w:w="834" w:type="pct"/>
                  <w:tcBorders>
                    <w:bottom w:val="single" w:sz="6" w:space="0" w:color="BFBFBF" w:themeColor="background2"/>
                  </w:tcBorders>
                </w:tcPr>
                <w:p w:rsidR="001E1ACB" w:rsidRDefault="001E1ACB" w:rsidP="00357BBD">
                  <w:pPr>
                    <w:pStyle w:val="TableUnitsRow"/>
                  </w:pPr>
                  <w:r>
                    <w:t>$m</w:t>
                  </w:r>
                </w:p>
              </w:tc>
              <w:tc>
                <w:tcPr>
                  <w:tcW w:w="833" w:type="pct"/>
                  <w:tcBorders>
                    <w:bottom w:val="single" w:sz="6" w:space="0" w:color="BFBFBF" w:themeColor="background2"/>
                  </w:tcBorders>
                </w:tcPr>
                <w:p w:rsidR="001E1ACB" w:rsidRDefault="001E1ACB" w:rsidP="00357BBD">
                  <w:pPr>
                    <w:pStyle w:val="TableUnitsRow"/>
                  </w:pPr>
                  <w:r>
                    <w:t>$m</w:t>
                  </w:r>
                </w:p>
              </w:tc>
              <w:tc>
                <w:tcPr>
                  <w:tcW w:w="833" w:type="pct"/>
                  <w:tcBorders>
                    <w:bottom w:val="single" w:sz="6" w:space="0" w:color="BFBFBF" w:themeColor="background2"/>
                  </w:tcBorders>
                </w:tcPr>
                <w:p w:rsidR="001E1ACB" w:rsidRDefault="001E1ACB" w:rsidP="00357BBD">
                  <w:pPr>
                    <w:pStyle w:val="TableUnitsRow"/>
                  </w:pPr>
                  <w:r>
                    <w:t>$m</w:t>
                  </w:r>
                </w:p>
              </w:tc>
              <w:tc>
                <w:tcPr>
                  <w:tcW w:w="832" w:type="pct"/>
                  <w:tcBorders>
                    <w:bottom w:val="single" w:sz="6" w:space="0" w:color="BFBFBF" w:themeColor="background2"/>
                  </w:tcBorders>
                </w:tcPr>
                <w:p w:rsidR="001E1ACB" w:rsidRDefault="001E1ACB" w:rsidP="00357BBD">
                  <w:pPr>
                    <w:pStyle w:val="TableUnitsRow"/>
                  </w:pPr>
                  <w:r>
                    <w:t>$m</w:t>
                  </w:r>
                </w:p>
              </w:tc>
            </w:tr>
            <w:tr w:rsidR="001061D8" w:rsidTr="009C5C49">
              <w:tc>
                <w:tcPr>
                  <w:tcW w:w="834" w:type="pct"/>
                  <w:tcBorders>
                    <w:top w:val="single" w:sz="6" w:space="0" w:color="BFBFBF" w:themeColor="background2"/>
                  </w:tcBorders>
                  <w:shd w:val="clear" w:color="auto" w:fill="F2F2F2" w:themeFill="background1" w:themeFillShade="F2"/>
                </w:tcPr>
                <w:p w:rsidR="001061D8" w:rsidRDefault="00F17090" w:rsidP="00357BBD">
                  <w:pPr>
                    <w:pStyle w:val="TableUnitsRow"/>
                    <w:jc w:val="left"/>
                  </w:pPr>
                  <w:r>
                    <w:t>$130 000 to $142 500</w:t>
                  </w:r>
                </w:p>
              </w:tc>
              <w:tc>
                <w:tcPr>
                  <w:tcW w:w="834" w:type="pct"/>
                  <w:tcBorders>
                    <w:top w:val="single" w:sz="6" w:space="0" w:color="BFBFBF" w:themeColor="background2"/>
                  </w:tcBorders>
                  <w:shd w:val="clear" w:color="auto" w:fill="F2F2F2" w:themeFill="background1" w:themeFillShade="F2"/>
                </w:tcPr>
                <w:p w:rsidR="001061D8" w:rsidRDefault="00CD7A81" w:rsidP="00357BBD">
                  <w:pPr>
                    <w:pStyle w:val="TableUnitsRow"/>
                  </w:pPr>
                  <w:r>
                    <w:t>116</w:t>
                  </w:r>
                </w:p>
              </w:tc>
              <w:tc>
                <w:tcPr>
                  <w:tcW w:w="834" w:type="pct"/>
                  <w:tcBorders>
                    <w:top w:val="single" w:sz="6" w:space="0" w:color="BFBFBF" w:themeColor="background2"/>
                  </w:tcBorders>
                  <w:shd w:val="clear" w:color="auto" w:fill="F2F2F2" w:themeFill="background1" w:themeFillShade="F2"/>
                </w:tcPr>
                <w:p w:rsidR="001061D8" w:rsidRDefault="002438E8" w:rsidP="00357BBD">
                  <w:pPr>
                    <w:pStyle w:val="TableUnitsRow"/>
                  </w:pPr>
                  <w:r>
                    <w:t>84</w:t>
                  </w:r>
                </w:p>
              </w:tc>
              <w:tc>
                <w:tcPr>
                  <w:tcW w:w="833" w:type="pct"/>
                  <w:tcBorders>
                    <w:top w:val="single" w:sz="6" w:space="0" w:color="BFBFBF" w:themeColor="background2"/>
                  </w:tcBorders>
                  <w:shd w:val="clear" w:color="auto" w:fill="F2F2F2" w:themeFill="background1" w:themeFillShade="F2"/>
                </w:tcPr>
                <w:p w:rsidR="001061D8" w:rsidRDefault="00602B94" w:rsidP="00357BBD">
                  <w:pPr>
                    <w:pStyle w:val="TableUnitsRow"/>
                  </w:pPr>
                  <w:r>
                    <w:t>56</w:t>
                  </w:r>
                </w:p>
              </w:tc>
              <w:tc>
                <w:tcPr>
                  <w:tcW w:w="833" w:type="pct"/>
                  <w:tcBorders>
                    <w:top w:val="single" w:sz="6" w:space="0" w:color="BFBFBF" w:themeColor="background2"/>
                  </w:tcBorders>
                  <w:shd w:val="clear" w:color="auto" w:fill="F2F2F2" w:themeFill="background1" w:themeFillShade="F2"/>
                </w:tcPr>
                <w:p w:rsidR="001061D8" w:rsidRDefault="00611E79" w:rsidP="00357BBD">
                  <w:pPr>
                    <w:pStyle w:val="TableUnitsRow"/>
                  </w:pPr>
                  <w:r>
                    <w:t>38</w:t>
                  </w:r>
                </w:p>
              </w:tc>
              <w:tc>
                <w:tcPr>
                  <w:tcW w:w="832" w:type="pct"/>
                  <w:tcBorders>
                    <w:top w:val="single" w:sz="6" w:space="0" w:color="BFBFBF" w:themeColor="background2"/>
                  </w:tcBorders>
                  <w:shd w:val="clear" w:color="auto" w:fill="F2F2F2" w:themeFill="background1" w:themeFillShade="F2"/>
                </w:tcPr>
                <w:p w:rsidR="001061D8" w:rsidRDefault="000136F1" w:rsidP="00357BBD">
                  <w:pPr>
                    <w:pStyle w:val="TableUnitsRow"/>
                    <w:ind w:right="28"/>
                  </w:pPr>
                  <w:r>
                    <w:t>39</w:t>
                  </w:r>
                </w:p>
              </w:tc>
            </w:tr>
            <w:tr w:rsidR="001061D8" w:rsidTr="001061D8">
              <w:tc>
                <w:tcPr>
                  <w:tcW w:w="834" w:type="pct"/>
                </w:tcPr>
                <w:p w:rsidR="001061D8" w:rsidRDefault="00F17090" w:rsidP="00F17090">
                  <w:pPr>
                    <w:pStyle w:val="TableBodyText"/>
                    <w:jc w:val="left"/>
                  </w:pPr>
                  <w:r>
                    <w:t>$140 000 to $155 000</w:t>
                  </w:r>
                </w:p>
              </w:tc>
              <w:tc>
                <w:tcPr>
                  <w:tcW w:w="834" w:type="pct"/>
                </w:tcPr>
                <w:p w:rsidR="001061D8" w:rsidRDefault="00CD7A81" w:rsidP="00357BBD">
                  <w:pPr>
                    <w:pStyle w:val="TableBodyText"/>
                  </w:pPr>
                  <w:r>
                    <w:t>122</w:t>
                  </w:r>
                </w:p>
              </w:tc>
              <w:tc>
                <w:tcPr>
                  <w:tcW w:w="834" w:type="pct"/>
                </w:tcPr>
                <w:p w:rsidR="001061D8" w:rsidRDefault="002438E8" w:rsidP="00357BBD">
                  <w:pPr>
                    <w:pStyle w:val="TableBodyText"/>
                  </w:pPr>
                  <w:r>
                    <w:t>89</w:t>
                  </w:r>
                </w:p>
              </w:tc>
              <w:tc>
                <w:tcPr>
                  <w:tcW w:w="833" w:type="pct"/>
                </w:tcPr>
                <w:p w:rsidR="001061D8" w:rsidRDefault="00611E79" w:rsidP="00357BBD">
                  <w:pPr>
                    <w:pStyle w:val="TableBodyText"/>
                  </w:pPr>
                  <w:r>
                    <w:t>61</w:t>
                  </w:r>
                </w:p>
              </w:tc>
              <w:tc>
                <w:tcPr>
                  <w:tcW w:w="833" w:type="pct"/>
                </w:tcPr>
                <w:p w:rsidR="001061D8" w:rsidRDefault="00611E79" w:rsidP="00357BBD">
                  <w:pPr>
                    <w:pStyle w:val="TableBodyText"/>
                  </w:pPr>
                  <w:r>
                    <w:t>42</w:t>
                  </w:r>
                </w:p>
              </w:tc>
              <w:tc>
                <w:tcPr>
                  <w:tcW w:w="832" w:type="pct"/>
                </w:tcPr>
                <w:p w:rsidR="001061D8" w:rsidRDefault="000136F1" w:rsidP="00357BBD">
                  <w:pPr>
                    <w:pStyle w:val="TableBodyText"/>
                    <w:ind w:right="28"/>
                  </w:pPr>
                  <w:r>
                    <w:t>43</w:t>
                  </w:r>
                </w:p>
              </w:tc>
            </w:tr>
            <w:tr w:rsidR="001061D8" w:rsidTr="009C5C49">
              <w:tc>
                <w:tcPr>
                  <w:tcW w:w="834" w:type="pct"/>
                  <w:shd w:val="clear" w:color="auto" w:fill="F2F2F2" w:themeFill="background1" w:themeFillShade="F2"/>
                </w:tcPr>
                <w:p w:rsidR="001061D8" w:rsidRPr="00A65762" w:rsidRDefault="00F17090" w:rsidP="008B0763">
                  <w:pPr>
                    <w:pStyle w:val="TableBodyText"/>
                    <w:jc w:val="left"/>
                    <w:rPr>
                      <w:b/>
                    </w:rPr>
                  </w:pPr>
                  <w:r>
                    <w:rPr>
                      <w:b/>
                    </w:rPr>
                    <w:t>$150 000 to $165 000</w:t>
                  </w:r>
                </w:p>
              </w:tc>
              <w:tc>
                <w:tcPr>
                  <w:tcW w:w="834" w:type="pct"/>
                  <w:shd w:val="clear" w:color="auto" w:fill="F2F2F2" w:themeFill="background1" w:themeFillShade="F2"/>
                </w:tcPr>
                <w:p w:rsidR="001061D8" w:rsidRDefault="00CD7A81" w:rsidP="00357BBD">
                  <w:pPr>
                    <w:pStyle w:val="TableBodyText"/>
                  </w:pPr>
                  <w:r>
                    <w:t>113</w:t>
                  </w:r>
                </w:p>
              </w:tc>
              <w:tc>
                <w:tcPr>
                  <w:tcW w:w="834" w:type="pct"/>
                  <w:shd w:val="clear" w:color="auto" w:fill="F2F2F2" w:themeFill="background1" w:themeFillShade="F2"/>
                </w:tcPr>
                <w:p w:rsidR="001061D8" w:rsidRDefault="00E03572" w:rsidP="00357BBD">
                  <w:pPr>
                    <w:pStyle w:val="TableBodyText"/>
                  </w:pPr>
                  <w:r>
                    <w:t>84</w:t>
                  </w:r>
                </w:p>
              </w:tc>
              <w:tc>
                <w:tcPr>
                  <w:tcW w:w="833" w:type="pct"/>
                  <w:shd w:val="clear" w:color="auto" w:fill="F2F2F2" w:themeFill="background1" w:themeFillShade="F2"/>
                </w:tcPr>
                <w:p w:rsidR="001061D8" w:rsidRPr="00310AF7" w:rsidRDefault="00611E79" w:rsidP="00357BBD">
                  <w:pPr>
                    <w:pStyle w:val="TableBodyText"/>
                    <w:rPr>
                      <w:b/>
                    </w:rPr>
                  </w:pPr>
                  <w:r>
                    <w:rPr>
                      <w:b/>
                    </w:rPr>
                    <w:t>57</w:t>
                  </w:r>
                </w:p>
              </w:tc>
              <w:tc>
                <w:tcPr>
                  <w:tcW w:w="833" w:type="pct"/>
                  <w:shd w:val="clear" w:color="auto" w:fill="F2F2F2" w:themeFill="background1" w:themeFillShade="F2"/>
                </w:tcPr>
                <w:p w:rsidR="001061D8" w:rsidRDefault="00611E79" w:rsidP="00357BBD">
                  <w:pPr>
                    <w:pStyle w:val="TableBodyText"/>
                  </w:pPr>
                  <w:r>
                    <w:t>39</w:t>
                  </w:r>
                </w:p>
              </w:tc>
              <w:tc>
                <w:tcPr>
                  <w:tcW w:w="832" w:type="pct"/>
                  <w:shd w:val="clear" w:color="auto" w:fill="F2F2F2" w:themeFill="background1" w:themeFillShade="F2"/>
                </w:tcPr>
                <w:p w:rsidR="001061D8" w:rsidRDefault="000136F1" w:rsidP="00357BBD">
                  <w:pPr>
                    <w:pStyle w:val="TableBodyText"/>
                    <w:ind w:right="28"/>
                  </w:pPr>
                  <w:r>
                    <w:t>40</w:t>
                  </w:r>
                </w:p>
              </w:tc>
            </w:tr>
            <w:tr w:rsidR="001061D8" w:rsidTr="001061D8">
              <w:tc>
                <w:tcPr>
                  <w:tcW w:w="834" w:type="pct"/>
                </w:tcPr>
                <w:p w:rsidR="008B0763" w:rsidRDefault="00F17090" w:rsidP="00E23AB2">
                  <w:pPr>
                    <w:pStyle w:val="TableBodyText"/>
                    <w:jc w:val="left"/>
                  </w:pPr>
                  <w:r>
                    <w:t>$160 000 to $175 000</w:t>
                  </w:r>
                </w:p>
              </w:tc>
              <w:tc>
                <w:tcPr>
                  <w:tcW w:w="834" w:type="pct"/>
                </w:tcPr>
                <w:p w:rsidR="001061D8" w:rsidRDefault="00CD7A81" w:rsidP="00357BBD">
                  <w:pPr>
                    <w:pStyle w:val="TableBodyText"/>
                  </w:pPr>
                  <w:r>
                    <w:t>113</w:t>
                  </w:r>
                </w:p>
              </w:tc>
              <w:tc>
                <w:tcPr>
                  <w:tcW w:w="834" w:type="pct"/>
                </w:tcPr>
                <w:p w:rsidR="001061D8" w:rsidRDefault="00602B94" w:rsidP="00357BBD">
                  <w:pPr>
                    <w:pStyle w:val="TableBodyText"/>
                  </w:pPr>
                  <w:r>
                    <w:t>84</w:t>
                  </w:r>
                </w:p>
              </w:tc>
              <w:tc>
                <w:tcPr>
                  <w:tcW w:w="833" w:type="pct"/>
                </w:tcPr>
                <w:p w:rsidR="001061D8" w:rsidRDefault="00611E79" w:rsidP="00357BBD">
                  <w:pPr>
                    <w:pStyle w:val="TableBodyText"/>
                  </w:pPr>
                  <w:r>
                    <w:t>57</w:t>
                  </w:r>
                </w:p>
              </w:tc>
              <w:tc>
                <w:tcPr>
                  <w:tcW w:w="833" w:type="pct"/>
                </w:tcPr>
                <w:p w:rsidR="001061D8" w:rsidRDefault="00F86042" w:rsidP="00357BBD">
                  <w:pPr>
                    <w:pStyle w:val="TableBodyText"/>
                  </w:pPr>
                  <w:r>
                    <w:t>39</w:t>
                  </w:r>
                </w:p>
              </w:tc>
              <w:tc>
                <w:tcPr>
                  <w:tcW w:w="832" w:type="pct"/>
                </w:tcPr>
                <w:p w:rsidR="001061D8" w:rsidRDefault="000136F1" w:rsidP="00357BBD">
                  <w:pPr>
                    <w:pStyle w:val="TableBodyText"/>
                    <w:ind w:right="28"/>
                  </w:pPr>
                  <w:r>
                    <w:t>41</w:t>
                  </w:r>
                </w:p>
              </w:tc>
            </w:tr>
            <w:tr w:rsidR="001061D8" w:rsidTr="009C5C49">
              <w:tc>
                <w:tcPr>
                  <w:tcW w:w="834" w:type="pct"/>
                  <w:tcBorders>
                    <w:bottom w:val="single" w:sz="6" w:space="0" w:color="BFBFBF" w:themeColor="background2"/>
                  </w:tcBorders>
                  <w:shd w:val="clear" w:color="auto" w:fill="F2F2F2" w:themeFill="background1" w:themeFillShade="F2"/>
                </w:tcPr>
                <w:p w:rsidR="001061D8" w:rsidRDefault="00F17090" w:rsidP="00357BBD">
                  <w:pPr>
                    <w:pStyle w:val="TableBodyText"/>
                    <w:jc w:val="left"/>
                  </w:pPr>
                  <w:r>
                    <w:t>$170 000 to $187 500</w:t>
                  </w:r>
                </w:p>
              </w:tc>
              <w:tc>
                <w:tcPr>
                  <w:tcW w:w="834" w:type="pct"/>
                  <w:tcBorders>
                    <w:bottom w:val="single" w:sz="6" w:space="0" w:color="BFBFBF" w:themeColor="background2"/>
                  </w:tcBorders>
                  <w:shd w:val="clear" w:color="auto" w:fill="F2F2F2" w:themeFill="background1" w:themeFillShade="F2"/>
                </w:tcPr>
                <w:p w:rsidR="001061D8" w:rsidRDefault="00CD7A81" w:rsidP="00357BBD">
                  <w:pPr>
                    <w:pStyle w:val="TableBodyText"/>
                  </w:pPr>
                  <w:r>
                    <w:t>112</w:t>
                  </w:r>
                </w:p>
              </w:tc>
              <w:tc>
                <w:tcPr>
                  <w:tcW w:w="834" w:type="pct"/>
                  <w:tcBorders>
                    <w:bottom w:val="single" w:sz="6" w:space="0" w:color="BFBFBF" w:themeColor="background2"/>
                  </w:tcBorders>
                  <w:shd w:val="clear" w:color="auto" w:fill="F2F2F2" w:themeFill="background1" w:themeFillShade="F2"/>
                </w:tcPr>
                <w:p w:rsidR="001061D8" w:rsidRDefault="00602B94" w:rsidP="00357BBD">
                  <w:pPr>
                    <w:pStyle w:val="TableBodyText"/>
                  </w:pPr>
                  <w:r>
                    <w:t>85</w:t>
                  </w:r>
                </w:p>
              </w:tc>
              <w:tc>
                <w:tcPr>
                  <w:tcW w:w="833" w:type="pct"/>
                  <w:tcBorders>
                    <w:bottom w:val="single" w:sz="6" w:space="0" w:color="BFBFBF" w:themeColor="background2"/>
                  </w:tcBorders>
                  <w:shd w:val="clear" w:color="auto" w:fill="F2F2F2" w:themeFill="background1" w:themeFillShade="F2"/>
                </w:tcPr>
                <w:p w:rsidR="001061D8" w:rsidRDefault="00611E79" w:rsidP="00357BBD">
                  <w:pPr>
                    <w:pStyle w:val="TableBodyText"/>
                  </w:pPr>
                  <w:r>
                    <w:t>59</w:t>
                  </w:r>
                </w:p>
              </w:tc>
              <w:tc>
                <w:tcPr>
                  <w:tcW w:w="833" w:type="pct"/>
                  <w:tcBorders>
                    <w:bottom w:val="single" w:sz="6" w:space="0" w:color="BFBFBF" w:themeColor="background2"/>
                  </w:tcBorders>
                  <w:shd w:val="clear" w:color="auto" w:fill="F2F2F2" w:themeFill="background1" w:themeFillShade="F2"/>
                </w:tcPr>
                <w:p w:rsidR="001061D8" w:rsidRDefault="00F86042" w:rsidP="00357BBD">
                  <w:pPr>
                    <w:pStyle w:val="TableBodyText"/>
                  </w:pPr>
                  <w:r>
                    <w:t>40</w:t>
                  </w:r>
                </w:p>
              </w:tc>
              <w:tc>
                <w:tcPr>
                  <w:tcW w:w="832" w:type="pct"/>
                  <w:tcBorders>
                    <w:bottom w:val="single" w:sz="6" w:space="0" w:color="BFBFBF" w:themeColor="background2"/>
                  </w:tcBorders>
                  <w:shd w:val="clear" w:color="auto" w:fill="F2F2F2" w:themeFill="background1" w:themeFillShade="F2"/>
                </w:tcPr>
                <w:p w:rsidR="001061D8" w:rsidRDefault="000136F1" w:rsidP="00357BBD">
                  <w:pPr>
                    <w:pStyle w:val="TableBodyText"/>
                    <w:ind w:right="28"/>
                  </w:pPr>
                  <w:r>
                    <w:t>42</w:t>
                  </w:r>
                </w:p>
              </w:tc>
            </w:tr>
          </w:tbl>
          <w:p w:rsidR="00A6491D" w:rsidRDefault="00A6491D" w:rsidP="00357BBD">
            <w:pPr>
              <w:pStyle w:val="Box"/>
            </w:pPr>
          </w:p>
        </w:tc>
      </w:tr>
      <w:tr w:rsidR="00A6491D" w:rsidTr="00357BBD">
        <w:trPr>
          <w:cantSplit/>
        </w:trPr>
        <w:tc>
          <w:tcPr>
            <w:tcW w:w="8771" w:type="dxa"/>
            <w:tcBorders>
              <w:top w:val="nil"/>
              <w:left w:val="nil"/>
              <w:bottom w:val="nil"/>
              <w:right w:val="nil"/>
            </w:tcBorders>
            <w:shd w:val="clear" w:color="auto" w:fill="auto"/>
          </w:tcPr>
          <w:p w:rsidR="00A6491D" w:rsidRDefault="00A6491D" w:rsidP="00ED0E84">
            <w:pPr>
              <w:pStyle w:val="Note"/>
              <w:rPr>
                <w:i/>
              </w:rPr>
            </w:pPr>
            <w:proofErr w:type="gramStart"/>
            <w:r w:rsidRPr="008E77FE">
              <w:rPr>
                <w:rStyle w:val="NoteLabel"/>
              </w:rPr>
              <w:t>a</w:t>
            </w:r>
            <w:proofErr w:type="gramEnd"/>
            <w:r>
              <w:t xml:space="preserve"> </w:t>
            </w:r>
            <w:r w:rsidR="00E21344">
              <w:rPr>
                <w:b/>
              </w:rPr>
              <w:t>Bold</w:t>
            </w:r>
            <w:r w:rsidR="00E21344">
              <w:t xml:space="preserve"> denotes the Commission’s preferred estimate</w:t>
            </w:r>
            <w:r w:rsidR="008D464F">
              <w:t>.</w:t>
            </w:r>
            <w:r w:rsidR="00E82FC5">
              <w:t xml:space="preserve"> </w:t>
            </w:r>
            <w:proofErr w:type="gramStart"/>
            <w:r w:rsidR="00A33F56">
              <w:rPr>
                <w:rStyle w:val="NoteLabel"/>
              </w:rPr>
              <w:t>b</w:t>
            </w:r>
            <w:proofErr w:type="gramEnd"/>
            <w:r w:rsidR="00A33F56">
              <w:t xml:space="preserve"> </w:t>
            </w:r>
            <w:r w:rsidR="00E82FC5">
              <w:t xml:space="preserve">The discreteness of the data does not always allow for an exact 10 per cent increase in </w:t>
            </w:r>
            <w:r w:rsidR="00ED0E84">
              <w:t>income and asset</w:t>
            </w:r>
            <w:r w:rsidR="007E59E1">
              <w:t>s</w:t>
            </w:r>
            <w:r w:rsidR="00ED0E84">
              <w:t xml:space="preserve"> measures</w:t>
            </w:r>
            <w:r w:rsidR="00981162">
              <w:t>, and so the proportional change in some categories may be gr</w:t>
            </w:r>
            <w:r w:rsidR="00807407">
              <w:t>eater than others</w:t>
            </w:r>
            <w:r w:rsidR="00E82FC5">
              <w:t>.</w:t>
            </w:r>
          </w:p>
        </w:tc>
      </w:tr>
      <w:tr w:rsidR="00A6491D" w:rsidTr="00357BBD">
        <w:trPr>
          <w:cantSplit/>
        </w:trPr>
        <w:tc>
          <w:tcPr>
            <w:tcW w:w="8771" w:type="dxa"/>
            <w:tcBorders>
              <w:top w:val="nil"/>
              <w:left w:val="nil"/>
              <w:bottom w:val="nil"/>
              <w:right w:val="nil"/>
            </w:tcBorders>
            <w:shd w:val="clear" w:color="auto" w:fill="auto"/>
          </w:tcPr>
          <w:p w:rsidR="00A6491D" w:rsidRDefault="00C07AAB" w:rsidP="005B0522">
            <w:pPr>
              <w:pStyle w:val="Source"/>
            </w:pPr>
            <w:r>
              <w:rPr>
                <w:i/>
              </w:rPr>
              <w:t>Sources</w:t>
            </w:r>
            <w:r w:rsidR="00A6491D" w:rsidRPr="00167F06">
              <w:t xml:space="preserve">: </w:t>
            </w:r>
            <w:r w:rsidR="009464CA">
              <w:t>Commission estimates based on unpublished VLA and LANSW data</w:t>
            </w:r>
            <w:r w:rsidR="00D64B27">
              <w:t>;</w:t>
            </w:r>
            <w:r w:rsidR="009464CA">
              <w:t xml:space="preserve"> </w:t>
            </w:r>
            <w:r w:rsidR="00C433EC">
              <w:t xml:space="preserve">ABS </w:t>
            </w:r>
            <w:r w:rsidR="005B0522">
              <w:t>(</w:t>
            </w:r>
            <w:r w:rsidR="005B0522">
              <w:rPr>
                <w:i/>
              </w:rPr>
              <w:t>House</w:t>
            </w:r>
            <w:r w:rsidR="00120F67">
              <w:rPr>
                <w:i/>
              </w:rPr>
              <w:t>hold Expenditure Survey</w:t>
            </w:r>
            <w:r w:rsidR="00497AFD">
              <w:rPr>
                <w:i/>
              </w:rPr>
              <w:t>,</w:t>
            </w:r>
            <w:r w:rsidR="00120F67">
              <w:rPr>
                <w:i/>
              </w:rPr>
              <w:t xml:space="preserve"> 2009</w:t>
            </w:r>
            <w:r w:rsidR="003C4012">
              <w:rPr>
                <w:i/>
              </w:rPr>
              <w:noBreakHyphen/>
            </w:r>
            <w:r w:rsidR="00120F67">
              <w:rPr>
                <w:i/>
              </w:rPr>
              <w:t>10</w:t>
            </w:r>
            <w:r w:rsidR="00C433EC">
              <w:t>, Cat</w:t>
            </w:r>
            <w:r w:rsidR="007257C0">
              <w:t>.</w:t>
            </w:r>
            <w:r w:rsidR="0073080D">
              <w:t> </w:t>
            </w:r>
            <w:r w:rsidR="00C433EC">
              <w:t>no.</w:t>
            </w:r>
            <w:r w:rsidR="0073080D">
              <w:t> </w:t>
            </w:r>
            <w:r w:rsidR="00C433EC">
              <w:t xml:space="preserve">6503.0, </w:t>
            </w:r>
            <w:proofErr w:type="spellStart"/>
            <w:r w:rsidR="00C433EC">
              <w:t>Confident</w:t>
            </w:r>
            <w:r w:rsidR="00591669">
              <w:t>ialised</w:t>
            </w:r>
            <w:proofErr w:type="spellEnd"/>
            <w:r w:rsidR="00591669">
              <w:t xml:space="preserve"> Unit Record File</w:t>
            </w:r>
            <w:r w:rsidR="00120F67">
              <w:t>).</w:t>
            </w:r>
          </w:p>
        </w:tc>
      </w:tr>
      <w:tr w:rsidR="00A6491D" w:rsidTr="00357BBD">
        <w:trPr>
          <w:cantSplit/>
        </w:trPr>
        <w:tc>
          <w:tcPr>
            <w:tcW w:w="8771" w:type="dxa"/>
            <w:tcBorders>
              <w:top w:val="nil"/>
              <w:left w:val="nil"/>
              <w:bottom w:val="single" w:sz="6" w:space="0" w:color="78A22F" w:themeColor="accent1"/>
              <w:right w:val="nil"/>
            </w:tcBorders>
            <w:shd w:val="clear" w:color="auto" w:fill="auto"/>
          </w:tcPr>
          <w:p w:rsidR="00A6491D" w:rsidRDefault="00A6491D" w:rsidP="00357BBD">
            <w:pPr>
              <w:pStyle w:val="Box"/>
              <w:spacing w:before="0" w:line="120" w:lineRule="exact"/>
            </w:pPr>
          </w:p>
        </w:tc>
      </w:tr>
      <w:tr w:rsidR="00A6491D" w:rsidRPr="000863A5" w:rsidTr="00357BBD">
        <w:tc>
          <w:tcPr>
            <w:tcW w:w="8771" w:type="dxa"/>
            <w:tcBorders>
              <w:top w:val="single" w:sz="6" w:space="0" w:color="78A22F" w:themeColor="accent1"/>
              <w:left w:val="nil"/>
              <w:bottom w:val="nil"/>
              <w:right w:val="nil"/>
            </w:tcBorders>
          </w:tcPr>
          <w:p w:rsidR="00A6491D" w:rsidRPr="00626D32" w:rsidRDefault="00A6491D" w:rsidP="00357BBD">
            <w:pPr>
              <w:pStyle w:val="BoxSpaceBelow"/>
            </w:pPr>
          </w:p>
        </w:tc>
      </w:tr>
    </w:tbl>
    <w:p w:rsidR="00162E7C" w:rsidRDefault="005660FF" w:rsidP="00D8005C">
      <w:pPr>
        <w:pStyle w:val="Heading3"/>
      </w:pPr>
      <w:r>
        <w:t>Providing additional funding for grants of aid in civil matters</w:t>
      </w:r>
    </w:p>
    <w:p w:rsidR="00162E7C" w:rsidRDefault="00162E7C" w:rsidP="00162E7C">
      <w:pPr>
        <w:pStyle w:val="BodyText"/>
      </w:pPr>
      <w:r>
        <w:t xml:space="preserve">Increasing the means test for the present range of services offered would still leave considerable gaps in coverage because LACs do not offer grants of aid in many civil matters. Some areas of civil law are covered by </w:t>
      </w:r>
      <w:r w:rsidR="007E19E8">
        <w:t>the other legal assistance services</w:t>
      </w:r>
      <w:r>
        <w:t>, but the Commission has heard many instances where coverage has been ‘wound back’ or where LACs have suggested that there is unmet legal need in particular areas, but do not have the resources to cover it</w:t>
      </w:r>
      <w:r w:rsidR="00F31BF9">
        <w:t xml:space="preserve"> (chapter</w:t>
      </w:r>
      <w:r w:rsidR="00E05731">
        <w:t> </w:t>
      </w:r>
      <w:r w:rsidR="00F31BF9">
        <w:t>21)</w:t>
      </w:r>
      <w:r>
        <w:t>.</w:t>
      </w:r>
      <w:r w:rsidR="00673D89">
        <w:t xml:space="preserve"> For example:</w:t>
      </w:r>
    </w:p>
    <w:p w:rsidR="00165B70" w:rsidRDefault="00165B70" w:rsidP="00165B70">
      <w:pPr>
        <w:pStyle w:val="Quote"/>
      </w:pPr>
      <w:r w:rsidRPr="0031647A">
        <w:t>Then there</w:t>
      </w:r>
      <w:r w:rsidR="00755422">
        <w:t>’</w:t>
      </w:r>
      <w:r w:rsidRPr="0031647A">
        <w:t>s looking at areas of law in which we</w:t>
      </w:r>
      <w:r w:rsidR="00755422">
        <w:t>’</w:t>
      </w:r>
      <w:r w:rsidRPr="0031647A">
        <w:t xml:space="preserve">re not adequately meeting unmet need. Particularly in the civil law space we accept that we will never be able to cover the field, but in running effective niche civil law practices which can spotlight systemic problems and tackle issues at their source </w:t>
      </w:r>
      <w:r w:rsidR="007E59E1">
        <w:t>…</w:t>
      </w:r>
      <w:r w:rsidRPr="0031647A">
        <w:t xml:space="preserve"> we can contribute to the avoidance of legal problems for other people who will never actually be a client. (</w:t>
      </w:r>
      <w:r w:rsidR="0031647A" w:rsidRPr="0031647A">
        <w:t>VLA</w:t>
      </w:r>
      <w:r w:rsidRPr="0031647A">
        <w:t>, trans.</w:t>
      </w:r>
      <w:r w:rsidR="009041A4">
        <w:t>,</w:t>
      </w:r>
      <w:r w:rsidRPr="0031647A">
        <w:t xml:space="preserve"> p.</w:t>
      </w:r>
      <w:r w:rsidR="003C4012">
        <w:t> </w:t>
      </w:r>
      <w:r w:rsidRPr="0031647A">
        <w:t>7</w:t>
      </w:r>
      <w:r w:rsidR="009041A4">
        <w:t>44</w:t>
      </w:r>
      <w:r w:rsidRPr="0031647A">
        <w:t>)</w:t>
      </w:r>
    </w:p>
    <w:p w:rsidR="00162E7C" w:rsidRDefault="00162E7C" w:rsidP="00162E7C">
      <w:pPr>
        <w:pStyle w:val="BodyText"/>
      </w:pPr>
      <w:r>
        <w:t xml:space="preserve">However, when pressed on the extent of unmet legal need for civil (as well as family matters), </w:t>
      </w:r>
      <w:r w:rsidR="00635428">
        <w:t xml:space="preserve">no </w:t>
      </w:r>
      <w:r w:rsidR="00C45BDB">
        <w:t>LAC</w:t>
      </w:r>
      <w:r>
        <w:t xml:space="preserve"> </w:t>
      </w:r>
      <w:r w:rsidR="00635428">
        <w:t>was able</w:t>
      </w:r>
      <w:r>
        <w:t xml:space="preserve"> to provide a </w:t>
      </w:r>
      <w:r w:rsidR="00635428">
        <w:t xml:space="preserve">concrete </w:t>
      </w:r>
      <w:r>
        <w:t xml:space="preserve">figure on the </w:t>
      </w:r>
      <w:r w:rsidR="00D20265">
        <w:t>level of</w:t>
      </w:r>
      <w:r>
        <w:t xml:space="preserve"> unmet need, or how much additional funding would be necessary to close </w:t>
      </w:r>
      <w:r w:rsidR="00004D03">
        <w:t xml:space="preserve">the perceived </w:t>
      </w:r>
      <w:r w:rsidR="002279C2">
        <w:t>‘</w:t>
      </w:r>
      <w:r w:rsidR="00004D03">
        <w:t>gap</w:t>
      </w:r>
      <w:r w:rsidR="002279C2">
        <w:t>’</w:t>
      </w:r>
      <w:r w:rsidR="00004D03">
        <w:t xml:space="preserve"> in legal services</w:t>
      </w:r>
      <w:r>
        <w:t xml:space="preserve">. The inquiry process revealed a number of anecdotes relating to unmet need in the civil </w:t>
      </w:r>
      <w:r>
        <w:lastRenderedPageBreak/>
        <w:t xml:space="preserve">space, but quantifying the costs </w:t>
      </w:r>
      <w:r w:rsidR="00D20265">
        <w:t xml:space="preserve">of </w:t>
      </w:r>
      <w:r>
        <w:t xml:space="preserve">resolving that need and the benefits from doing so is </w:t>
      </w:r>
      <w:r w:rsidR="00D20265">
        <w:t xml:space="preserve">not possible </w:t>
      </w:r>
      <w:r>
        <w:t xml:space="preserve">to do accurately </w:t>
      </w:r>
      <w:r w:rsidR="00521E9F">
        <w:t>on</w:t>
      </w:r>
      <w:r>
        <w:t xml:space="preserve"> such evidence.</w:t>
      </w:r>
    </w:p>
    <w:p w:rsidR="00790EF7" w:rsidRDefault="00D20265" w:rsidP="00162E7C">
      <w:pPr>
        <w:pStyle w:val="BodyText"/>
      </w:pPr>
      <w:r>
        <w:t>The observation that problems tend to be associated, or ‘cluster’, with family law matters suggests that more assistance is needed for</w:t>
      </w:r>
      <w:r w:rsidR="001F15F0">
        <w:t xml:space="preserve"> other</w:t>
      </w:r>
      <w:r w:rsidR="003C4012">
        <w:t xml:space="preserve"> </w:t>
      </w:r>
      <w:r>
        <w:t>civil law matters.</w:t>
      </w:r>
      <w:r w:rsidR="00752DFA">
        <w:t xml:space="preserve"> </w:t>
      </w:r>
      <w:r w:rsidR="008D0422">
        <w:t>T</w:t>
      </w:r>
      <w:r w:rsidR="00326189">
        <w:t xml:space="preserve">he </w:t>
      </w:r>
      <w:r w:rsidR="00326189" w:rsidRPr="00F60B38">
        <w:rPr>
          <w:i/>
        </w:rPr>
        <w:t>L</w:t>
      </w:r>
      <w:r w:rsidR="00923003">
        <w:rPr>
          <w:i/>
        </w:rPr>
        <w:t>egal Australia</w:t>
      </w:r>
      <w:r w:rsidR="00923003">
        <w:rPr>
          <w:i/>
        </w:rPr>
        <w:noBreakHyphen/>
        <w:t>Wide</w:t>
      </w:r>
      <w:r w:rsidR="00326189" w:rsidRPr="00F60B38">
        <w:rPr>
          <w:i/>
        </w:rPr>
        <w:t xml:space="preserve"> Survey</w:t>
      </w:r>
      <w:r w:rsidR="00326189">
        <w:t xml:space="preserve"> found that family problems often clustered with ‘credit and debt’ problems, and that those with family law problems also frequently had disputes in areas of consumer, criminal, government (including benefits), housing and rights </w:t>
      </w:r>
      <w:r w:rsidR="00326189">
        <w:fldChar w:fldCharType="begin"/>
      </w:r>
      <w:r w:rsidR="00326189">
        <w:instrText xml:space="preserve"> ADDIN ZOTERO_ITEM CSL_CITATION {"citationID":"1q50k1hgov","properties":{"formattedCitation":"{\\rtf (Coumarelos et al.\\uc0\\u160{}2012, pp.\\uc0\\u160{}88\\uc0\\u8211{}89)}","plainCitation":"(Coumarelos et al. 2012, pp. 88–89)"},"citationItems":[{"id":448,"uris":["http://zotero.org/groups/177820/items/NGSNWI3F"],"uri":["http://zotero.org/groups/177820/items/NGSNWI3F"],"itemData":{"id":448,"type":"report","title":"Legal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M."},{"family":"Wei","given":"Zhigang"},{"family":"Iriana","given":"Reiny"},{"family":"Ramsey","given":"Stephanie"}],"issued":{"date-parts":[["2012",8]]}},"locator":"88-89"}],"schema":"https://github.com/citation-style-language/schema/raw/master/csl-citation.json"} </w:instrText>
      </w:r>
      <w:r w:rsidR="00326189">
        <w:fldChar w:fldCharType="separate"/>
      </w:r>
      <w:r w:rsidR="00326189" w:rsidRPr="00F60B38">
        <w:rPr>
          <w:szCs w:val="24"/>
        </w:rPr>
        <w:t>(Coumarelos et al. 2012, pp. 88–89)</w:t>
      </w:r>
      <w:r w:rsidR="00326189">
        <w:fldChar w:fldCharType="end"/>
      </w:r>
      <w:r w:rsidR="00326189">
        <w:t>.</w:t>
      </w:r>
      <w:r w:rsidR="00790EF7">
        <w:t xml:space="preserve"> </w:t>
      </w:r>
      <w:r w:rsidR="00162E7C">
        <w:t xml:space="preserve">Given that </w:t>
      </w:r>
      <w:r w:rsidR="00434E4D">
        <w:t>LACs</w:t>
      </w:r>
      <w:r w:rsidR="00162E7C">
        <w:t xml:space="preserve"> have identified</w:t>
      </w:r>
      <w:r w:rsidR="005A6E7E">
        <w:t xml:space="preserve"> and provide services to those with family law matters</w:t>
      </w:r>
      <w:r w:rsidR="00790EF7">
        <w:t xml:space="preserve">, these data </w:t>
      </w:r>
      <w:r w:rsidR="00764044">
        <w:t>indicate that assistance is needed for</w:t>
      </w:r>
      <w:r w:rsidR="00923003">
        <w:t xml:space="preserve"> other</w:t>
      </w:r>
      <w:r w:rsidR="00764044">
        <w:t xml:space="preserve"> </w:t>
      </w:r>
      <w:r w:rsidR="00631A86">
        <w:t>civil matters as well.</w:t>
      </w:r>
    </w:p>
    <w:p w:rsidR="004C3D63" w:rsidRDefault="00162E7C" w:rsidP="00162E7C">
      <w:pPr>
        <w:pStyle w:val="BodyText"/>
      </w:pPr>
      <w:r>
        <w:t>On this basis, the Commission has examined the option of increasing the number of</w:t>
      </w:r>
      <w:r w:rsidR="00340BD2">
        <w:t xml:space="preserve"> (non</w:t>
      </w:r>
      <w:r w:rsidR="005A4505">
        <w:noBreakHyphen/>
      </w:r>
      <w:r w:rsidR="00340BD2">
        <w:t>family)</w:t>
      </w:r>
      <w:r>
        <w:t xml:space="preserve"> civil grants of aid to match </w:t>
      </w:r>
      <w:r w:rsidR="00000956">
        <w:t xml:space="preserve">the number of </w:t>
      </w:r>
      <w:r>
        <w:t xml:space="preserve">grants </w:t>
      </w:r>
      <w:r w:rsidR="00122AA0">
        <w:t xml:space="preserve">presently </w:t>
      </w:r>
      <w:r>
        <w:t>provided for family matters — an increase of around 40</w:t>
      </w:r>
      <w:r w:rsidR="003C4012">
        <w:t> </w:t>
      </w:r>
      <w:r>
        <w:t>000 grants</w:t>
      </w:r>
      <w:r w:rsidR="008A0A21">
        <w:t>, annually</w:t>
      </w:r>
      <w:r>
        <w:t>. This represents a substantial increase in the total grants of</w:t>
      </w:r>
      <w:r w:rsidR="00BF4234">
        <w:t xml:space="preserve"> legal</w:t>
      </w:r>
      <w:r>
        <w:t xml:space="preserve"> aid</w:t>
      </w:r>
      <w:r w:rsidR="007E59E1">
        <w:t>,</w:t>
      </w:r>
      <w:r>
        <w:t xml:space="preserve"> given that</w:t>
      </w:r>
      <w:r w:rsidR="00673D89">
        <w:t xml:space="preserve"> </w:t>
      </w:r>
      <w:r w:rsidR="00340BD2">
        <w:t>(</w:t>
      </w:r>
      <w:r w:rsidR="00673D89">
        <w:t>non-family</w:t>
      </w:r>
      <w:r w:rsidR="00340BD2">
        <w:t>)</w:t>
      </w:r>
      <w:r>
        <w:t xml:space="preserve"> civil matters are not well covered by LACs at present.</w:t>
      </w:r>
    </w:p>
    <w:p w:rsidR="00162E7C" w:rsidRDefault="009B7E20" w:rsidP="005054D2">
      <w:pPr>
        <w:pStyle w:val="BodyText"/>
      </w:pPr>
      <w:r>
        <w:t>The</w:t>
      </w:r>
      <w:r w:rsidR="00672A25">
        <w:t xml:space="preserve"> present lack of coverage</w:t>
      </w:r>
      <w:r w:rsidR="00510470">
        <w:t xml:space="preserve"> in</w:t>
      </w:r>
      <w:r w:rsidR="00BF4234">
        <w:t xml:space="preserve"> (non-family)</w:t>
      </w:r>
      <w:r w:rsidR="00510470">
        <w:t xml:space="preserve"> civil matters</w:t>
      </w:r>
      <w:r w:rsidR="00672A25">
        <w:t xml:space="preserve"> makes it difficult to cost </w:t>
      </w:r>
      <w:r w:rsidR="00897076">
        <w:t xml:space="preserve">such a proposal with accuracy. </w:t>
      </w:r>
      <w:r w:rsidR="006B2B3F">
        <w:t>Because the LACs do relatively little casework</w:t>
      </w:r>
      <w:r w:rsidR="00877209">
        <w:t xml:space="preserve"> for civil </w:t>
      </w:r>
      <w:r w:rsidR="008A54B6">
        <w:t xml:space="preserve">(other than family) </w:t>
      </w:r>
      <w:r w:rsidR="00877209">
        <w:t>matters</w:t>
      </w:r>
      <w:r w:rsidR="006B2B3F">
        <w:t>, the cost</w:t>
      </w:r>
      <w:r w:rsidR="00B14FD3">
        <w:t xml:space="preserve"> information </w:t>
      </w:r>
      <w:r w:rsidR="006813B0">
        <w:t xml:space="preserve">provided by </w:t>
      </w:r>
      <w:r w:rsidR="00B14FD3">
        <w:t xml:space="preserve">VLA and LANSW </w:t>
      </w:r>
      <w:r w:rsidR="006B2B3F">
        <w:t>may not be a good indicator of the funding they would require i</w:t>
      </w:r>
      <w:r w:rsidR="006E391C">
        <w:t>f they were to increase their caseload in this area of law.</w:t>
      </w:r>
      <w:r w:rsidR="00627221">
        <w:t xml:space="preserve"> Another issue is the relatively skewed nature of the</w:t>
      </w:r>
      <w:r w:rsidR="004B2B10">
        <w:t xml:space="preserve"> other</w:t>
      </w:r>
      <w:r w:rsidR="00627221">
        <w:t xml:space="preserve"> civil casework at present</w:t>
      </w:r>
      <w:r w:rsidR="00877209">
        <w:t xml:space="preserve"> — some areas of civil law</w:t>
      </w:r>
      <w:r w:rsidR="00FD53A0">
        <w:t xml:space="preserve"> (besides family)</w:t>
      </w:r>
      <w:r w:rsidR="00877209">
        <w:t xml:space="preserve"> </w:t>
      </w:r>
      <w:r w:rsidR="000D060A">
        <w:t xml:space="preserve">receive </w:t>
      </w:r>
      <w:r w:rsidR="0018247E">
        <w:t>a much greater number of</w:t>
      </w:r>
      <w:r w:rsidR="000D060A">
        <w:t xml:space="preserve"> grants of legal aid than others</w:t>
      </w:r>
      <w:r w:rsidR="00627221">
        <w:t xml:space="preserve">. </w:t>
      </w:r>
      <w:r w:rsidR="00022137">
        <w:t xml:space="preserve">However, while such data may be imperfect, </w:t>
      </w:r>
      <w:r w:rsidR="00082BC9">
        <w:t xml:space="preserve">it is the most reliable source that the Commission has </w:t>
      </w:r>
      <w:r w:rsidR="00A77336">
        <w:t>had access to</w:t>
      </w:r>
      <w:r w:rsidR="008905BF">
        <w:t xml:space="preserve"> at this particular level of disaggregation</w:t>
      </w:r>
      <w:r w:rsidR="009248CC">
        <w:t>.</w:t>
      </w:r>
    </w:p>
    <w:p w:rsidR="00FE1A56" w:rsidRDefault="00162E7C" w:rsidP="00162E7C">
      <w:pPr>
        <w:pStyle w:val="BodyText"/>
      </w:pPr>
      <w:r>
        <w:t>The</w:t>
      </w:r>
      <w:r w:rsidR="00DC122D">
        <w:t xml:space="preserve"> data about</w:t>
      </w:r>
      <w:r>
        <w:t xml:space="preserve"> </w:t>
      </w:r>
      <w:r w:rsidR="00DC122D">
        <w:t xml:space="preserve">grants of legal aid undertaken by </w:t>
      </w:r>
      <w:r>
        <w:t>private practitioner</w:t>
      </w:r>
      <w:r w:rsidR="00DC122D">
        <w:t>s</w:t>
      </w:r>
      <w:r>
        <w:t xml:space="preserve"> provided to the Commission indicate</w:t>
      </w:r>
      <w:r w:rsidR="00CA472B">
        <w:t>d</w:t>
      </w:r>
      <w:r>
        <w:t xml:space="preserve"> that the cost of </w:t>
      </w:r>
      <w:r w:rsidR="006A75D7">
        <w:t xml:space="preserve">a </w:t>
      </w:r>
      <w:r>
        <w:t xml:space="preserve">grant of aid for </w:t>
      </w:r>
      <w:r w:rsidR="006A75D7">
        <w:t xml:space="preserve">a </w:t>
      </w:r>
      <w:r>
        <w:t xml:space="preserve">civil matter </w:t>
      </w:r>
      <w:r w:rsidR="00CA472B">
        <w:t xml:space="preserve">ranged </w:t>
      </w:r>
      <w:r>
        <w:t xml:space="preserve">from </w:t>
      </w:r>
      <w:r w:rsidRPr="00D8005C">
        <w:t>$1923 (for matters relating to mental health in N</w:t>
      </w:r>
      <w:r w:rsidR="003C4012">
        <w:t xml:space="preserve">ew </w:t>
      </w:r>
      <w:r w:rsidRPr="00D8005C">
        <w:t>S</w:t>
      </w:r>
      <w:r w:rsidR="003C4012">
        <w:t xml:space="preserve">outh </w:t>
      </w:r>
      <w:r w:rsidRPr="00D8005C">
        <w:t>W</w:t>
      </w:r>
      <w:r w:rsidR="003C4012">
        <w:t>ales</w:t>
      </w:r>
      <w:r w:rsidRPr="00D8005C">
        <w:t>) to $24</w:t>
      </w:r>
      <w:r w:rsidR="003C4012">
        <w:t> </w:t>
      </w:r>
      <w:r w:rsidRPr="00D8005C">
        <w:t>988 (for consumer matters</w:t>
      </w:r>
      <w:r w:rsidR="009452AD">
        <w:t>, including consumer credit,</w:t>
      </w:r>
      <w:r w:rsidRPr="00D8005C">
        <w:t xml:space="preserve"> in N</w:t>
      </w:r>
      <w:r w:rsidR="003C4012">
        <w:t xml:space="preserve">ew </w:t>
      </w:r>
      <w:r w:rsidRPr="00D8005C">
        <w:t>S</w:t>
      </w:r>
      <w:r w:rsidR="003C4012">
        <w:t xml:space="preserve">outh </w:t>
      </w:r>
      <w:r w:rsidRPr="00D8005C">
        <w:t>W</w:t>
      </w:r>
      <w:r w:rsidR="003C4012">
        <w:t>ales</w:t>
      </w:r>
      <w:r w:rsidRPr="00D8005C">
        <w:t>).</w:t>
      </w:r>
      <w:r w:rsidR="0080441B" w:rsidRPr="006122C7">
        <w:rPr>
          <w:rStyle w:val="FootnoteReference"/>
        </w:rPr>
        <w:footnoteReference w:id="4"/>
      </w:r>
      <w:r>
        <w:t xml:space="preserve"> The weighted cost of </w:t>
      </w:r>
      <w:r w:rsidR="002F6FBC">
        <w:t xml:space="preserve">a </w:t>
      </w:r>
      <w:r>
        <w:t xml:space="preserve">civil </w:t>
      </w:r>
      <w:r w:rsidR="00DE6B3D">
        <w:t>grant of aid</w:t>
      </w:r>
      <w:r>
        <w:t xml:space="preserve"> currently undertaken by </w:t>
      </w:r>
      <w:r w:rsidR="005B73A9">
        <w:t>VLA and LANSW</w:t>
      </w:r>
      <w:r>
        <w:t xml:space="preserve"> — based on their cost weighted by their incidence —</w:t>
      </w:r>
      <w:r w:rsidR="00A1778C">
        <w:t xml:space="preserve"> </w:t>
      </w:r>
      <w:r w:rsidR="006213F3">
        <w:t>is</w:t>
      </w:r>
      <w:r>
        <w:t xml:space="preserve"> around $31</w:t>
      </w:r>
      <w:r w:rsidR="00EC0A38">
        <w:t>00</w:t>
      </w:r>
      <w:r>
        <w:t xml:space="preserve">. </w:t>
      </w:r>
    </w:p>
    <w:p w:rsidR="00162E7C" w:rsidRDefault="00162E7C" w:rsidP="00162E7C">
      <w:pPr>
        <w:pStyle w:val="BodyText"/>
      </w:pPr>
      <w:r>
        <w:t>Accordingly, the cost of providing an additional 40</w:t>
      </w:r>
      <w:r w:rsidR="003C4012">
        <w:t> </w:t>
      </w:r>
      <w:r>
        <w:t xml:space="preserve">000 grants of aid for civil matters </w:t>
      </w:r>
      <w:r w:rsidR="00872C74">
        <w:t xml:space="preserve">is </w:t>
      </w:r>
      <w:r>
        <w:t xml:space="preserve">in the order of $124 million. In practice, however, there are likely to be considerable savings </w:t>
      </w:r>
      <w:r w:rsidR="008A0E5A">
        <w:t xml:space="preserve">in achieving this goal </w:t>
      </w:r>
      <w:r>
        <w:t xml:space="preserve">if </w:t>
      </w:r>
      <w:r w:rsidR="00F945D8">
        <w:t>LACs</w:t>
      </w:r>
      <w:r>
        <w:t xml:space="preserve"> were able to use in-house lawyers to provide these grants instead of private practitioners.</w:t>
      </w:r>
      <w:r w:rsidR="00986064">
        <w:t xml:space="preserve"> Governments </w:t>
      </w:r>
      <w:r w:rsidR="00986064" w:rsidRPr="004E2ED4">
        <w:t xml:space="preserve">should give consideration to </w:t>
      </w:r>
      <w:r w:rsidR="00615FE6" w:rsidRPr="004E2ED4">
        <w:t>recommendation</w:t>
      </w:r>
      <w:r w:rsidR="00615FE6">
        <w:t> </w:t>
      </w:r>
      <w:r w:rsidR="00986064" w:rsidRPr="00D549E0">
        <w:t>21.</w:t>
      </w:r>
      <w:r w:rsidR="004A15AD">
        <w:t>3</w:t>
      </w:r>
      <w:r w:rsidR="00986064" w:rsidRPr="004E2ED4">
        <w:t xml:space="preserve"> </w:t>
      </w:r>
      <w:r w:rsidR="007E59E1">
        <w:t xml:space="preserve">(relaxing the constraints around the </w:t>
      </w:r>
      <w:r w:rsidR="000E367F">
        <w:t xml:space="preserve">use </w:t>
      </w:r>
      <w:r w:rsidR="007E59E1">
        <w:t xml:space="preserve">of in-house lawyers </w:t>
      </w:r>
      <w:r w:rsidR="000E367F">
        <w:t>by the</w:t>
      </w:r>
      <w:r w:rsidR="007E59E1">
        <w:t xml:space="preserve"> LACs) </w:t>
      </w:r>
      <w:r w:rsidR="00986064" w:rsidRPr="004E2ED4">
        <w:t>to allow</w:t>
      </w:r>
      <w:r w:rsidR="004C228C">
        <w:t xml:space="preserve"> such </w:t>
      </w:r>
      <w:r w:rsidR="00986064" w:rsidRPr="004E2ED4">
        <w:t xml:space="preserve">potential savings to be </w:t>
      </w:r>
      <w:r w:rsidR="004C228C">
        <w:t>fully realised</w:t>
      </w:r>
      <w:r w:rsidR="00986064" w:rsidRPr="004E2ED4">
        <w:t>.</w:t>
      </w:r>
      <w:r w:rsidR="00F62139" w:rsidRPr="004E2ED4">
        <w:t xml:space="preserve"> State</w:t>
      </w:r>
      <w:r w:rsidR="00F62139">
        <w:t xml:space="preserve"> and territory governments should provide the bulk of this funding on the grounds that most of the civil matters</w:t>
      </w:r>
      <w:r w:rsidR="00DE27D7">
        <w:t xml:space="preserve"> (outside of family matters)</w:t>
      </w:r>
      <w:r w:rsidR="00F62139">
        <w:t xml:space="preserve"> </w:t>
      </w:r>
      <w:r w:rsidR="000A4DEF">
        <w:t>relate to state and territory areas of law.</w:t>
      </w:r>
    </w:p>
    <w:p w:rsidR="00774728" w:rsidRDefault="00DD3229" w:rsidP="00DD3229">
      <w:pPr>
        <w:pStyle w:val="Heading5"/>
      </w:pPr>
      <w:r>
        <w:lastRenderedPageBreak/>
        <w:t xml:space="preserve">Sensitivity testing </w:t>
      </w:r>
      <w:r w:rsidR="00965088">
        <w:t>the provision of additional grants of civil aid</w:t>
      </w:r>
    </w:p>
    <w:p w:rsidR="00FB771F" w:rsidRDefault="00413F41" w:rsidP="00886993">
      <w:pPr>
        <w:pStyle w:val="BodyText"/>
      </w:pPr>
      <w:r>
        <w:t>A lack of compre</w:t>
      </w:r>
      <w:r w:rsidR="00082F42">
        <w:t>he</w:t>
      </w:r>
      <w:r>
        <w:t xml:space="preserve">nsive cost data for grants of aid in </w:t>
      </w:r>
      <w:r w:rsidR="00F03958">
        <w:t xml:space="preserve">civil matters means that it is difficult to </w:t>
      </w:r>
      <w:r w:rsidR="00A26342">
        <w:t xml:space="preserve">provide an exact </w:t>
      </w:r>
      <w:r w:rsidR="00D632B4">
        <w:t xml:space="preserve">figure or confidence interval around </w:t>
      </w:r>
      <w:r w:rsidR="00082F42">
        <w:t>the cost of providing the</w:t>
      </w:r>
      <w:r w:rsidR="00AB12F5">
        <w:t>se</w:t>
      </w:r>
      <w:r w:rsidR="00082F42">
        <w:t xml:space="preserve"> additional grants of aid.</w:t>
      </w:r>
      <w:r w:rsidR="00F82B4D">
        <w:t xml:space="preserve"> One method </w:t>
      </w:r>
      <w:r w:rsidR="0053427F">
        <w:t xml:space="preserve">of </w:t>
      </w:r>
      <w:r w:rsidR="00F82B4D">
        <w:t>sensitivity test</w:t>
      </w:r>
      <w:r w:rsidR="0053427F">
        <w:t>ing</w:t>
      </w:r>
      <w:r w:rsidR="00F82B4D">
        <w:t xml:space="preserve"> these additional grants of aid is to cost them </w:t>
      </w:r>
      <w:r w:rsidR="003623DE">
        <w:t xml:space="preserve">at the private practitioner rates in the areas of civil law most commonly provided by VLA and </w:t>
      </w:r>
      <w:r w:rsidR="00326A19">
        <w:t>LA</w:t>
      </w:r>
      <w:r w:rsidR="003623DE">
        <w:t>NSW. Two areas of law — financial matters and g</w:t>
      </w:r>
      <w:r w:rsidR="00712C6B">
        <w:t xml:space="preserve">overnment matters — are </w:t>
      </w:r>
      <w:r w:rsidR="002925C5">
        <w:t>currently provided more often</w:t>
      </w:r>
      <w:r w:rsidR="00712C6B">
        <w:t xml:space="preserve"> </w:t>
      </w:r>
      <w:r w:rsidR="001F2137">
        <w:t xml:space="preserve">than </w:t>
      </w:r>
      <w:r w:rsidR="00712C6B">
        <w:t xml:space="preserve">other </w:t>
      </w:r>
      <w:r w:rsidR="001340AB">
        <w:t xml:space="preserve">civil </w:t>
      </w:r>
      <w:r w:rsidR="002925C5">
        <w:t xml:space="preserve">matters </w:t>
      </w:r>
      <w:r w:rsidR="001340AB">
        <w:t>(although they themselves are far less common than areas of family law).</w:t>
      </w:r>
      <w:r w:rsidR="00340058">
        <w:t xml:space="preserve"> Costing an additional 40</w:t>
      </w:r>
      <w:r w:rsidR="003C4012">
        <w:t> </w:t>
      </w:r>
      <w:r w:rsidR="00340058">
        <w:t>000 grants of civil aid at those rates yields an estimate betwe</w:t>
      </w:r>
      <w:r w:rsidR="002925C5">
        <w:t>en $80 million and $130 million, respectively.</w:t>
      </w:r>
      <w:r w:rsidR="00FB771F">
        <w:t xml:space="preserve"> </w:t>
      </w:r>
    </w:p>
    <w:p w:rsidR="00886993" w:rsidRPr="00886993" w:rsidRDefault="00FB771F" w:rsidP="004C4B14">
      <w:pPr>
        <w:pStyle w:val="BodyText"/>
      </w:pPr>
      <w:r>
        <w:t>The Commission estimate of $124 million is towards the higher end of this estimate,</w:t>
      </w:r>
      <w:r w:rsidR="005E1366">
        <w:t xml:space="preserve"> </w:t>
      </w:r>
      <w:r w:rsidR="001B24B8">
        <w:t>reflecting</w:t>
      </w:r>
      <w:r>
        <w:t xml:space="preserve"> the</w:t>
      </w:r>
      <w:r w:rsidR="00506FDC">
        <w:t xml:space="preserve"> relatively</w:t>
      </w:r>
      <w:r w:rsidR="004374DC">
        <w:t xml:space="preserve"> high cost of grants of aid in civil areas</w:t>
      </w:r>
      <w:r w:rsidR="00663D98">
        <w:t xml:space="preserve"> </w:t>
      </w:r>
      <w:r w:rsidR="00B15034">
        <w:t xml:space="preserve">of </w:t>
      </w:r>
      <w:r w:rsidR="00663D98">
        <w:t>law (outside of family law)</w:t>
      </w:r>
      <w:r w:rsidR="00CF0903">
        <w:t xml:space="preserve"> </w:t>
      </w:r>
      <w:r w:rsidR="004374DC">
        <w:t xml:space="preserve">where there are </w:t>
      </w:r>
      <w:r w:rsidR="00EC481B">
        <w:t xml:space="preserve">currently </w:t>
      </w:r>
      <w:r w:rsidR="004374DC">
        <w:t>fewer cases</w:t>
      </w:r>
      <w:r w:rsidR="00E12CED">
        <w:t xml:space="preserve"> </w:t>
      </w:r>
      <w:r w:rsidR="004374DC">
        <w:t>undertaken</w:t>
      </w:r>
      <w:r w:rsidR="00E12CED">
        <w:t xml:space="preserve"> by VLA and </w:t>
      </w:r>
      <w:r w:rsidR="007548A0">
        <w:t>LA</w:t>
      </w:r>
      <w:r w:rsidR="00E12CED">
        <w:t>NSW</w:t>
      </w:r>
      <w:r w:rsidR="00B45465">
        <w:t xml:space="preserve"> —</w:t>
      </w:r>
      <w:r w:rsidR="00E12CED">
        <w:t xml:space="preserve"> </w:t>
      </w:r>
      <w:r w:rsidR="00500049">
        <w:t>such as</w:t>
      </w:r>
      <w:r w:rsidR="00E12CED">
        <w:t xml:space="preserve"> migration, housing and human rights.</w:t>
      </w:r>
      <w:r w:rsidR="0024088B">
        <w:t xml:space="preserve"> </w:t>
      </w:r>
      <w:r w:rsidR="00844841">
        <w:t>An</w:t>
      </w:r>
      <w:r w:rsidR="004C4B14">
        <w:t xml:space="preserve"> estimate towards the higher end of the band is </w:t>
      </w:r>
      <w:r w:rsidR="00147112">
        <w:t xml:space="preserve">considered </w:t>
      </w:r>
      <w:r w:rsidR="004C4B14">
        <w:t>credible as costs may rise if LACs expand into providing more services in these areas of law.</w:t>
      </w:r>
    </w:p>
    <w:p w:rsidR="00162E7C" w:rsidRDefault="00CB1767" w:rsidP="00CB1767">
      <w:pPr>
        <w:pStyle w:val="Heading3"/>
      </w:pPr>
      <w:r>
        <w:t>Summary</w:t>
      </w:r>
    </w:p>
    <w:p w:rsidR="00E257E3" w:rsidRDefault="0055690F" w:rsidP="00162E7C">
      <w:pPr>
        <w:pStyle w:val="BodyText"/>
      </w:pPr>
      <w:r>
        <w:t xml:space="preserve">The combined cost of these proposals </w:t>
      </w:r>
      <w:r w:rsidR="00CB06FE">
        <w:t>is around $</w:t>
      </w:r>
      <w:r w:rsidR="00AC1485">
        <w:t xml:space="preserve">192 </w:t>
      </w:r>
      <w:r w:rsidR="00CB06FE">
        <w:t>million per year</w:t>
      </w:r>
      <w:r w:rsidR="00E257E3">
        <w:t>, comprising:</w:t>
      </w:r>
    </w:p>
    <w:p w:rsidR="00E257E3" w:rsidRDefault="0055690F" w:rsidP="00D8005C">
      <w:pPr>
        <w:pStyle w:val="ListBullet"/>
      </w:pPr>
      <w:r>
        <w:t>$</w:t>
      </w:r>
      <w:r w:rsidR="00AC1485">
        <w:t>11.</w:t>
      </w:r>
      <w:r w:rsidR="001F5101">
        <w:t xml:space="preserve">4 </w:t>
      </w:r>
      <w:r>
        <w:t xml:space="preserve">million per year </w:t>
      </w:r>
      <w:r w:rsidR="00A2311E">
        <w:t>to maintain existing frontline services</w:t>
      </w:r>
    </w:p>
    <w:p w:rsidR="00E257E3" w:rsidRDefault="002E6456" w:rsidP="00D8005C">
      <w:pPr>
        <w:pStyle w:val="ListBullet"/>
      </w:pPr>
      <w:r>
        <w:t xml:space="preserve">around </w:t>
      </w:r>
      <w:r w:rsidR="0055690F">
        <w:t xml:space="preserve">$57 million per year to relax the means tests for LACs </w:t>
      </w:r>
    </w:p>
    <w:p w:rsidR="009B7E20" w:rsidRDefault="002E6456" w:rsidP="00D8005C">
      <w:pPr>
        <w:pStyle w:val="ListBullet"/>
      </w:pPr>
      <w:proofErr w:type="gramStart"/>
      <w:r>
        <w:t>around</w:t>
      </w:r>
      <w:proofErr w:type="gramEnd"/>
      <w:r>
        <w:t xml:space="preserve"> </w:t>
      </w:r>
      <w:r w:rsidR="0055690F">
        <w:t xml:space="preserve">$124 million per year to </w:t>
      </w:r>
      <w:r w:rsidR="00461FA0">
        <w:t>provide additional grants of aid in civil matters</w:t>
      </w:r>
      <w:r w:rsidR="00030439">
        <w:t>.</w:t>
      </w:r>
    </w:p>
    <w:p w:rsidR="00162E7C" w:rsidRDefault="00E257E3" w:rsidP="00162E7C">
      <w:pPr>
        <w:pStyle w:val="BodyText"/>
      </w:pPr>
      <w:r>
        <w:t>However,</w:t>
      </w:r>
      <w:r w:rsidR="00162E7C">
        <w:t xml:space="preserve"> the Commission has recommended a funding increase of around $200 million</w:t>
      </w:r>
      <w:r w:rsidR="002649C4">
        <w:t xml:space="preserve"> (recommendation 21.4)</w:t>
      </w:r>
      <w:r w:rsidR="00162E7C">
        <w:t>, due to a number of sensitivities around the methodology employed. These include:</w:t>
      </w:r>
    </w:p>
    <w:p w:rsidR="00162E7C" w:rsidRPr="00C01B2D" w:rsidRDefault="00FE1F8A" w:rsidP="00162E7C">
      <w:pPr>
        <w:pStyle w:val="ListBullet"/>
      </w:pPr>
      <w:r>
        <w:t>t</w:t>
      </w:r>
      <w:r w:rsidR="0052135D">
        <w:t>he potential for a higher cost of providing private practitioner service</w:t>
      </w:r>
      <w:r>
        <w:t>s than what is currently being paid at present (as an increase in the demand for the services has the scope to raise prices)</w:t>
      </w:r>
    </w:p>
    <w:p w:rsidR="00162E7C" w:rsidRDefault="00FE1F8A" w:rsidP="00162E7C">
      <w:pPr>
        <w:pStyle w:val="ListBullet"/>
      </w:pPr>
      <w:r>
        <w:t xml:space="preserve">concerns that increasing the means test </w:t>
      </w:r>
      <w:r w:rsidR="00162E7C">
        <w:t>could alter the ‘mix’ of problems faced by those seeking legal aid, and so alter the costs of grants of aid</w:t>
      </w:r>
    </w:p>
    <w:p w:rsidR="00162E7C" w:rsidRDefault="00043DA3" w:rsidP="00621387">
      <w:pPr>
        <w:pStyle w:val="ListBullet"/>
      </w:pPr>
      <w:proofErr w:type="gramStart"/>
      <w:r>
        <w:t>uncertainties</w:t>
      </w:r>
      <w:proofErr w:type="gramEnd"/>
      <w:r>
        <w:t xml:space="preserve"> around how the intensity, or number of problems per household, changes as the means test</w:t>
      </w:r>
      <w:r w:rsidR="001F2137">
        <w:t>s</w:t>
      </w:r>
      <w:r>
        <w:t xml:space="preserve"> </w:t>
      </w:r>
      <w:r w:rsidR="001F2137">
        <w:t xml:space="preserve">are </w:t>
      </w:r>
      <w:r>
        <w:t>relaxed</w:t>
      </w:r>
      <w:r w:rsidR="00162E7C">
        <w:t>.</w:t>
      </w:r>
    </w:p>
    <w:p w:rsidR="000A4170" w:rsidRDefault="000A4170" w:rsidP="000A4170">
      <w:pPr>
        <w:pStyle w:val="BodyText"/>
      </w:pPr>
      <w:r w:rsidRPr="000A4170">
        <w:t xml:space="preserve">These </w:t>
      </w:r>
      <w:r w:rsidR="009E3CD9">
        <w:t>factors</w:t>
      </w:r>
      <w:r w:rsidR="009E3CD9" w:rsidRPr="000A4170">
        <w:t xml:space="preserve"> </w:t>
      </w:r>
      <w:r w:rsidRPr="000A4170">
        <w:t>highlight the need for greater data collection to better understand the cost drivers and legal problems facing those who need legal assistance services. The challenges of building such an evidence base are discussed in chapter</w:t>
      </w:r>
      <w:r w:rsidR="003C4012">
        <w:t> </w:t>
      </w:r>
      <w:r w:rsidRPr="000A4170">
        <w:t>25.</w:t>
      </w:r>
    </w:p>
    <w:p w:rsidR="00F87B23" w:rsidRDefault="006E2578" w:rsidP="00F87B23">
      <w:pPr>
        <w:pStyle w:val="BodyText"/>
      </w:pPr>
      <w:r>
        <w:lastRenderedPageBreak/>
        <w:t>There is also a question as to wh</w:t>
      </w:r>
      <w:r w:rsidR="00EF60E7">
        <w:t>ich level of government should bear the cost</w:t>
      </w:r>
      <w:r w:rsidR="009E3CD9">
        <w:t xml:space="preserve"> of</w:t>
      </w:r>
      <w:r w:rsidR="00EF60E7">
        <w:t xml:space="preserve"> </w:t>
      </w:r>
      <w:r w:rsidR="004A15AD">
        <w:t>recommendation 21.4</w:t>
      </w:r>
      <w:r w:rsidR="0024157D">
        <w:t>.</w:t>
      </w:r>
      <w:r w:rsidR="00FF016C">
        <w:t xml:space="preserve"> </w:t>
      </w:r>
      <w:r w:rsidR="007953B5">
        <w:t>Based on the present principle</w:t>
      </w:r>
      <w:r w:rsidR="00FF016C">
        <w:t xml:space="preserve"> used</w:t>
      </w:r>
      <w:r w:rsidR="007953B5">
        <w:t xml:space="preserve"> under the </w:t>
      </w:r>
      <w:r w:rsidR="00AF3EA1">
        <w:t xml:space="preserve">current </w:t>
      </w:r>
      <w:r w:rsidR="007953B5">
        <w:t>National Partnership Agreement</w:t>
      </w:r>
      <w:r w:rsidR="00FF016C">
        <w:t xml:space="preserve"> — that ‘Commonwealth money should be attached to Commonwealth matters</w:t>
      </w:r>
      <w:r w:rsidR="007953B5">
        <w:t xml:space="preserve">’ — </w:t>
      </w:r>
      <w:r w:rsidR="00D5598D">
        <w:t>the Commission estimates that around 60 per cent of the cost associated with recommendation</w:t>
      </w:r>
      <w:r w:rsidR="00F42A74">
        <w:t xml:space="preserve"> 21.4</w:t>
      </w:r>
      <w:r w:rsidR="00D5598D">
        <w:t xml:space="preserve"> should be borne by the Commonwealth. This reflects the </w:t>
      </w:r>
      <w:r w:rsidR="00DB3F69">
        <w:t>cost of</w:t>
      </w:r>
      <w:r w:rsidR="009C1A74">
        <w:t xml:space="preserve"> changes in funding from MYEFO and the </w:t>
      </w:r>
      <w:r w:rsidR="003425C5">
        <w:t>B</w:t>
      </w:r>
      <w:r w:rsidR="009C1A74">
        <w:t>udget, and the</w:t>
      </w:r>
      <w:r w:rsidR="00B67029">
        <w:t xml:space="preserve"> cost of </w:t>
      </w:r>
      <w:r w:rsidR="009C1A74">
        <w:t>additional family law matters from relaxing the means test</w:t>
      </w:r>
      <w:r w:rsidR="00DD1A97">
        <w:t>s,</w:t>
      </w:r>
      <w:r w:rsidR="009C1A74">
        <w:t xml:space="preserve"> </w:t>
      </w:r>
      <w:r w:rsidR="001F5101">
        <w:t xml:space="preserve">which are </w:t>
      </w:r>
      <w:r w:rsidR="009C1A74">
        <w:t>largely Commonwealth responsibilities</w:t>
      </w:r>
      <w:r w:rsidR="005E509A">
        <w:t>.</w:t>
      </w:r>
      <w:r w:rsidR="009C1A74">
        <w:t xml:space="preserve"> </w:t>
      </w:r>
      <w:r w:rsidR="005E509A">
        <w:t>T</w:t>
      </w:r>
      <w:r w:rsidR="009C1A74">
        <w:t>he</w:t>
      </w:r>
      <w:r w:rsidR="00DD29B3">
        <w:t xml:space="preserve"> cost of providing grants of aid for</w:t>
      </w:r>
      <w:r w:rsidR="009C1A74">
        <w:t xml:space="preserve"> </w:t>
      </w:r>
      <w:r w:rsidR="00980232">
        <w:t xml:space="preserve">these </w:t>
      </w:r>
      <w:r w:rsidR="006C755F">
        <w:t>additional</w:t>
      </w:r>
      <w:r w:rsidR="00980232">
        <w:t xml:space="preserve"> non-family</w:t>
      </w:r>
      <w:r w:rsidR="006C755F">
        <w:t xml:space="preserve"> civil matters </w:t>
      </w:r>
      <w:r w:rsidR="0024091B">
        <w:t>would be more evenly shared between the Commonwealth and the states.</w:t>
      </w:r>
    </w:p>
    <w:sectPr w:rsidR="00F87B23" w:rsidSect="00AA3746">
      <w:headerReference w:type="even" r:id="rId18"/>
      <w:headerReference w:type="default" r:id="rId19"/>
      <w:footerReference w:type="even" r:id="rId20"/>
      <w:footerReference w:type="default" r:id="rId21"/>
      <w:headerReference w:type="first" r:id="rId22"/>
      <w:footerReference w:type="first" r:id="rId23"/>
      <w:pgSz w:w="11907" w:h="16840" w:code="9"/>
      <w:pgMar w:top="1985" w:right="1304" w:bottom="1247" w:left="1814" w:header="1701" w:footer="39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575" w:rsidRDefault="00563575">
      <w:r>
        <w:separator/>
      </w:r>
    </w:p>
  </w:endnote>
  <w:endnote w:type="continuationSeparator" w:id="0">
    <w:p w:rsidR="00563575" w:rsidRDefault="0056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E73AC" w:rsidTr="005F48ED">
      <w:trPr>
        <w:trHeight w:hRule="exact" w:val="567"/>
      </w:trPr>
      <w:tc>
        <w:tcPr>
          <w:tcW w:w="510" w:type="dxa"/>
        </w:tcPr>
        <w:p w:rsidR="005E73AC" w:rsidRDefault="005E73AC">
          <w:pPr>
            <w:pStyle w:val="Footer"/>
            <w:ind w:right="360" w:firstLine="360"/>
          </w:pPr>
        </w:p>
      </w:tc>
      <w:tc>
        <w:tcPr>
          <w:tcW w:w="7767" w:type="dxa"/>
        </w:tcPr>
        <w:p w:rsidR="005E73AC" w:rsidRPr="00BA5B14" w:rsidRDefault="005E73AC"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Eligibility for legal aid and the cost of extending it</w:t>
          </w:r>
          <w:r w:rsidRPr="00BA5B14">
            <w:rPr>
              <w:rFonts w:cs="Arial"/>
            </w:rPr>
            <w:fldChar w:fldCharType="end"/>
          </w:r>
        </w:p>
      </w:tc>
      <w:tc>
        <w:tcPr>
          <w:tcW w:w="510" w:type="dxa"/>
        </w:tcPr>
        <w:p w:rsidR="005E73AC" w:rsidRPr="00A24443" w:rsidRDefault="005E73A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B0DA1">
            <w:rPr>
              <w:rStyle w:val="PageNumber"/>
              <w:caps w:val="0"/>
              <w:noProof/>
            </w:rPr>
            <w:t>1012</w:t>
          </w:r>
          <w:r w:rsidRPr="00A24443">
            <w:rPr>
              <w:rStyle w:val="PageNumber"/>
              <w:caps w:val="0"/>
            </w:rPr>
            <w:fldChar w:fldCharType="end"/>
          </w:r>
        </w:p>
      </w:tc>
    </w:tr>
  </w:tbl>
  <w:p w:rsidR="005E73AC" w:rsidRDefault="005E73AC">
    <w:pPr>
      <w:pStyle w:val="FooterEnd"/>
    </w:pPr>
  </w:p>
  <w:p w:rsidR="00563575" w:rsidRDefault="0056357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63575" w:rsidTr="005F48ED">
      <w:trPr>
        <w:trHeight w:hRule="exact" w:val="567"/>
      </w:trPr>
      <w:tc>
        <w:tcPr>
          <w:tcW w:w="510" w:type="dxa"/>
        </w:tcPr>
        <w:p w:rsidR="00563575" w:rsidRDefault="00563575">
          <w:pPr>
            <w:pStyle w:val="Footer"/>
            <w:ind w:right="360" w:firstLine="360"/>
          </w:pPr>
        </w:p>
      </w:tc>
      <w:tc>
        <w:tcPr>
          <w:tcW w:w="7767" w:type="dxa"/>
        </w:tcPr>
        <w:p w:rsidR="00563575" w:rsidRPr="00BA5B14" w:rsidRDefault="00563575"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CB0DA1">
            <w:rPr>
              <w:rFonts w:cs="Arial"/>
            </w:rPr>
            <w:t>Eligibility for legal aid and the cost of extending it</w:t>
          </w:r>
          <w:r w:rsidRPr="00BA5B14">
            <w:rPr>
              <w:rFonts w:cs="Arial"/>
            </w:rPr>
            <w:fldChar w:fldCharType="end"/>
          </w:r>
        </w:p>
      </w:tc>
      <w:tc>
        <w:tcPr>
          <w:tcW w:w="510" w:type="dxa"/>
        </w:tcPr>
        <w:p w:rsidR="00563575" w:rsidRPr="00A24443" w:rsidRDefault="0056357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6D10">
            <w:rPr>
              <w:rStyle w:val="PageNumber"/>
              <w:caps w:val="0"/>
              <w:noProof/>
            </w:rPr>
            <w:t>1013</w:t>
          </w:r>
          <w:r w:rsidRPr="00A24443">
            <w:rPr>
              <w:rStyle w:val="PageNumber"/>
              <w:caps w:val="0"/>
            </w:rPr>
            <w:fldChar w:fldCharType="end"/>
          </w:r>
        </w:p>
      </w:tc>
    </w:tr>
  </w:tbl>
  <w:p w:rsidR="00563575" w:rsidRDefault="00563575">
    <w:pPr>
      <w:pStyle w:val="FooterEnd"/>
    </w:pPr>
  </w:p>
  <w:p w:rsidR="00563575" w:rsidRDefault="0056357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575" w:rsidRDefault="0056357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E26D10">
      <w:rPr>
        <w:rStyle w:val="PageNumber"/>
        <w:noProof/>
      </w:rPr>
      <w:t>1014</w:t>
    </w:r>
    <w:r>
      <w:rPr>
        <w:rStyle w:val="PageNumber"/>
      </w:rPr>
      <w:fldChar w:fldCharType="end"/>
    </w:r>
  </w:p>
  <w:p w:rsidR="00563575" w:rsidRDefault="00563575">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575" w:rsidRDefault="0056357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E26D10">
      <w:rPr>
        <w:rStyle w:val="PageNumber"/>
        <w:noProof/>
      </w:rPr>
      <w:t>1015</w:t>
    </w:r>
    <w:r>
      <w:rPr>
        <w:rStyle w:val="PageNumber"/>
      </w:rPr>
      <w:fldChar w:fldCharType="end"/>
    </w:r>
  </w:p>
  <w:p w:rsidR="00563575" w:rsidRDefault="00563575">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B0DA1" w:rsidTr="005F48ED">
      <w:trPr>
        <w:trHeight w:hRule="exact" w:val="567"/>
      </w:trPr>
      <w:tc>
        <w:tcPr>
          <w:tcW w:w="510" w:type="dxa"/>
        </w:tcPr>
        <w:p w:rsidR="00CB0DA1" w:rsidRPr="00A24443" w:rsidRDefault="00CB0DA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6D10">
            <w:rPr>
              <w:rStyle w:val="PageNumber"/>
              <w:caps w:val="0"/>
              <w:noProof/>
            </w:rPr>
            <w:t>1026</w:t>
          </w:r>
          <w:r w:rsidRPr="00A24443">
            <w:rPr>
              <w:rStyle w:val="PageNumber"/>
              <w:caps w:val="0"/>
            </w:rPr>
            <w:fldChar w:fldCharType="end"/>
          </w:r>
        </w:p>
      </w:tc>
      <w:tc>
        <w:tcPr>
          <w:tcW w:w="7767" w:type="dxa"/>
        </w:tcPr>
        <w:p w:rsidR="00CB0DA1" w:rsidRPr="0013739A" w:rsidRDefault="00CB0DA1"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Access to Justice arrangements</w:t>
          </w:r>
          <w:r w:rsidRPr="00BA5B14">
            <w:rPr>
              <w:rFonts w:cs="Arial"/>
            </w:rPr>
            <w:fldChar w:fldCharType="end"/>
          </w:r>
          <w:bookmarkStart w:id="11" w:name="DraftReportEven"/>
          <w:bookmarkEnd w:id="11"/>
        </w:p>
      </w:tc>
      <w:tc>
        <w:tcPr>
          <w:tcW w:w="510" w:type="dxa"/>
        </w:tcPr>
        <w:p w:rsidR="00CB0DA1" w:rsidRDefault="00CB0DA1" w:rsidP="0019293B">
          <w:pPr>
            <w:pStyle w:val="Footer"/>
          </w:pPr>
        </w:p>
      </w:tc>
    </w:tr>
  </w:tbl>
  <w:p w:rsidR="00CB0DA1" w:rsidRDefault="00CB0DA1" w:rsidP="0019293B">
    <w:pPr>
      <w:pStyle w:val="FooterEnd"/>
    </w:pPr>
  </w:p>
  <w:p w:rsidR="00563575" w:rsidRDefault="00563575"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B0DA1" w:rsidTr="005F48ED">
      <w:trPr>
        <w:trHeight w:hRule="exact" w:val="567"/>
      </w:trPr>
      <w:tc>
        <w:tcPr>
          <w:tcW w:w="510" w:type="dxa"/>
        </w:tcPr>
        <w:p w:rsidR="00CB0DA1" w:rsidRDefault="00CB0DA1">
          <w:pPr>
            <w:pStyle w:val="Footer"/>
            <w:ind w:right="360" w:firstLine="360"/>
          </w:pPr>
        </w:p>
      </w:tc>
      <w:tc>
        <w:tcPr>
          <w:tcW w:w="7767" w:type="dxa"/>
        </w:tcPr>
        <w:p w:rsidR="00CB0DA1" w:rsidRPr="00BA5B14" w:rsidRDefault="00CB0DA1"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Eligibility for legal aid and the cost of extending it</w:t>
          </w:r>
          <w:r w:rsidRPr="00BA5B14">
            <w:rPr>
              <w:rFonts w:cs="Arial"/>
            </w:rPr>
            <w:fldChar w:fldCharType="end"/>
          </w:r>
        </w:p>
      </w:tc>
      <w:tc>
        <w:tcPr>
          <w:tcW w:w="510" w:type="dxa"/>
        </w:tcPr>
        <w:p w:rsidR="00CB0DA1" w:rsidRPr="00A24443" w:rsidRDefault="00CB0DA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26D10">
            <w:rPr>
              <w:rStyle w:val="PageNumber"/>
              <w:caps w:val="0"/>
              <w:noProof/>
            </w:rPr>
            <w:t>1027</w:t>
          </w:r>
          <w:r w:rsidRPr="00A24443">
            <w:rPr>
              <w:rStyle w:val="PageNumber"/>
              <w:caps w:val="0"/>
            </w:rPr>
            <w:fldChar w:fldCharType="end"/>
          </w:r>
        </w:p>
      </w:tc>
    </w:tr>
  </w:tbl>
  <w:p w:rsidR="00CB0DA1" w:rsidRDefault="00CB0DA1">
    <w:pPr>
      <w:pStyle w:val="FooterEnd"/>
    </w:pPr>
  </w:p>
  <w:p w:rsidR="00563575" w:rsidRDefault="00563575">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575" w:rsidRDefault="005635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575" w:rsidRDefault="00563575">
      <w:r>
        <w:separator/>
      </w:r>
    </w:p>
  </w:footnote>
  <w:footnote w:type="continuationSeparator" w:id="0">
    <w:p w:rsidR="00563575" w:rsidRDefault="00563575">
      <w:r>
        <w:continuationSeparator/>
      </w:r>
    </w:p>
  </w:footnote>
  <w:footnote w:id="1">
    <w:p w:rsidR="00563575" w:rsidRDefault="00563575">
      <w:pPr>
        <w:pStyle w:val="FootnoteText"/>
      </w:pPr>
      <w:r w:rsidRPr="006122C7">
        <w:rPr>
          <w:rStyle w:val="FootnoteReference"/>
        </w:rPr>
        <w:footnoteRef/>
      </w:r>
      <w:r>
        <w:tab/>
        <w:t>In practice, moving towards a ‘pooled’ assets test is effectively equivalent to relaxing the most restrictive assets test first, and then the next most restrictive, and so forth.</w:t>
      </w:r>
    </w:p>
  </w:footnote>
  <w:footnote w:id="2">
    <w:p w:rsidR="00563575" w:rsidRDefault="00563575" w:rsidP="00C31158">
      <w:pPr>
        <w:pStyle w:val="FootnoteText"/>
      </w:pPr>
      <w:r w:rsidRPr="006122C7">
        <w:rPr>
          <w:rStyle w:val="FootnoteReference"/>
        </w:rPr>
        <w:footnoteRef/>
      </w:r>
      <w:r>
        <w:tab/>
        <w:t>While there could be concerns that such a baseline would omit those that are ‘asset-rich’ and ‘income-poor’, such as some Age Pension recipients, it should be noted that that those older than 65 comprise less than 3 per cent of VLA and LANSW clients, and so do not materially affect the costing estimates.</w:t>
      </w:r>
    </w:p>
  </w:footnote>
  <w:footnote w:id="3">
    <w:p w:rsidR="00563575" w:rsidRDefault="00563575" w:rsidP="00127F94">
      <w:pPr>
        <w:pStyle w:val="FootnoteText"/>
      </w:pPr>
      <w:r w:rsidRPr="006122C7">
        <w:rPr>
          <w:rStyle w:val="FootnoteReference"/>
        </w:rPr>
        <w:footnoteRef/>
      </w:r>
      <w:r>
        <w:tab/>
        <w:t xml:space="preserve">That is, to an </w:t>
      </w:r>
      <w:proofErr w:type="spellStart"/>
      <w:r>
        <w:t>equivalised</w:t>
      </w:r>
      <w:proofErr w:type="spellEnd"/>
      <w:r>
        <w:t xml:space="preserve"> disposable household income of $22 000 per year and total net assets of $165 000.</w:t>
      </w:r>
    </w:p>
  </w:footnote>
  <w:footnote w:id="4">
    <w:p w:rsidR="00563575" w:rsidRDefault="00563575">
      <w:pPr>
        <w:pStyle w:val="FootnoteText"/>
      </w:pPr>
      <w:r w:rsidRPr="006122C7">
        <w:rPr>
          <w:rStyle w:val="FootnoteReference"/>
        </w:rPr>
        <w:footnoteRef/>
      </w:r>
      <w:r>
        <w:tab/>
        <w:t xml:space="preserve">The number of grants of aid for consumer matters is relatively low in New South Wales, and the high average cost reported here reflects the effect of a few complex cases.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63575">
      <w:tc>
        <w:tcPr>
          <w:tcW w:w="2155" w:type="dxa"/>
          <w:tcBorders>
            <w:top w:val="single" w:sz="24" w:space="0" w:color="auto"/>
          </w:tcBorders>
        </w:tcPr>
        <w:p w:rsidR="00563575" w:rsidRDefault="00563575">
          <w:pPr>
            <w:pStyle w:val="HeaderEven"/>
          </w:pPr>
        </w:p>
      </w:tc>
      <w:tc>
        <w:tcPr>
          <w:tcW w:w="6634" w:type="dxa"/>
          <w:tcBorders>
            <w:top w:val="single" w:sz="6" w:space="0" w:color="auto"/>
          </w:tcBorders>
        </w:tcPr>
        <w:p w:rsidR="00563575" w:rsidRDefault="00563575">
          <w:pPr>
            <w:pStyle w:val="HeaderEven"/>
          </w:pPr>
        </w:p>
      </w:tc>
    </w:tr>
  </w:tbl>
  <w:p w:rsidR="00563575" w:rsidRDefault="0056357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63575">
      <w:tc>
        <w:tcPr>
          <w:tcW w:w="6634" w:type="dxa"/>
          <w:tcBorders>
            <w:top w:val="single" w:sz="6" w:space="0" w:color="auto"/>
          </w:tcBorders>
        </w:tcPr>
        <w:p w:rsidR="00563575" w:rsidRDefault="00563575">
          <w:pPr>
            <w:pStyle w:val="HeaderOdd"/>
          </w:pPr>
        </w:p>
      </w:tc>
      <w:tc>
        <w:tcPr>
          <w:tcW w:w="2155" w:type="dxa"/>
          <w:tcBorders>
            <w:top w:val="single" w:sz="24" w:space="0" w:color="auto"/>
          </w:tcBorders>
        </w:tcPr>
        <w:p w:rsidR="00563575" w:rsidRDefault="00563575">
          <w:pPr>
            <w:pStyle w:val="HeaderOdd"/>
          </w:pPr>
        </w:p>
      </w:tc>
    </w:tr>
  </w:tbl>
  <w:p w:rsidR="00563575" w:rsidRDefault="0056357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575" w:rsidRDefault="00563575">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575" w:rsidRDefault="0056357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63575">
      <w:tc>
        <w:tcPr>
          <w:tcW w:w="2155" w:type="dxa"/>
          <w:tcBorders>
            <w:top w:val="single" w:sz="24" w:space="0" w:color="auto"/>
          </w:tcBorders>
        </w:tcPr>
        <w:p w:rsidR="00563575" w:rsidRDefault="00563575" w:rsidP="0019293B">
          <w:pPr>
            <w:pStyle w:val="HeaderEven"/>
          </w:pPr>
        </w:p>
      </w:tc>
      <w:tc>
        <w:tcPr>
          <w:tcW w:w="6634" w:type="dxa"/>
          <w:tcBorders>
            <w:top w:val="single" w:sz="6" w:space="0" w:color="auto"/>
          </w:tcBorders>
        </w:tcPr>
        <w:p w:rsidR="00563575" w:rsidRDefault="00563575" w:rsidP="0019293B">
          <w:pPr>
            <w:pStyle w:val="HeaderEven"/>
          </w:pPr>
        </w:p>
      </w:tc>
    </w:tr>
  </w:tbl>
  <w:p w:rsidR="00563575" w:rsidRDefault="00563575" w:rsidP="0019293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63575">
      <w:tc>
        <w:tcPr>
          <w:tcW w:w="6634" w:type="dxa"/>
          <w:tcBorders>
            <w:top w:val="single" w:sz="6" w:space="0" w:color="auto"/>
          </w:tcBorders>
        </w:tcPr>
        <w:p w:rsidR="00563575" w:rsidRDefault="00563575" w:rsidP="00E669E2">
          <w:pPr>
            <w:pStyle w:val="HeaderOdd"/>
          </w:pPr>
        </w:p>
      </w:tc>
      <w:tc>
        <w:tcPr>
          <w:tcW w:w="2155" w:type="dxa"/>
          <w:tcBorders>
            <w:top w:val="single" w:sz="24" w:space="0" w:color="auto"/>
          </w:tcBorders>
        </w:tcPr>
        <w:p w:rsidR="00563575" w:rsidRDefault="00563575" w:rsidP="00E669E2">
          <w:pPr>
            <w:pStyle w:val="HeaderOdd"/>
          </w:pPr>
        </w:p>
      </w:tc>
    </w:tr>
  </w:tbl>
  <w:p w:rsidR="00563575" w:rsidRDefault="00563575" w:rsidP="00E669E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575" w:rsidRDefault="005635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4237A78"/>
    <w:multiLevelType w:val="hybridMultilevel"/>
    <w:tmpl w:val="DD9C5F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8327494"/>
    <w:multiLevelType w:val="hybridMultilevel"/>
    <w:tmpl w:val="14CC3F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3"/>
  </w:num>
  <w:num w:numId="3">
    <w:abstractNumId w:val="15"/>
  </w:num>
  <w:num w:numId="4">
    <w:abstractNumId w:val="4"/>
  </w:num>
  <w:num w:numId="5">
    <w:abstractNumId w:val="20"/>
  </w:num>
  <w:num w:numId="6">
    <w:abstractNumId w:val="17"/>
  </w:num>
  <w:num w:numId="7">
    <w:abstractNumId w:val="8"/>
  </w:num>
  <w:num w:numId="8">
    <w:abstractNumId w:val="16"/>
  </w:num>
  <w:num w:numId="9">
    <w:abstractNumId w:val="7"/>
  </w:num>
  <w:num w:numId="10">
    <w:abstractNumId w:val="6"/>
  </w:num>
  <w:num w:numId="11">
    <w:abstractNumId w:val="10"/>
  </w:num>
  <w:num w:numId="12">
    <w:abstractNumId w:val="12"/>
  </w:num>
  <w:num w:numId="13">
    <w:abstractNumId w:val="5"/>
  </w:num>
  <w:num w:numId="14">
    <w:abstractNumId w:val="18"/>
  </w:num>
  <w:num w:numId="15">
    <w:abstractNumId w:val="22"/>
  </w:num>
  <w:num w:numId="16">
    <w:abstractNumId w:val="14"/>
  </w:num>
  <w:num w:numId="17">
    <w:abstractNumId w:val="23"/>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9"/>
  </w:num>
  <w:num w:numId="22">
    <w:abstractNumId w:val="21"/>
  </w:num>
  <w:num w:numId="23">
    <w:abstractNumId w:val="11"/>
  </w:num>
  <w:num w:numId="24">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H"/>
    <w:docVar w:name="FindingOptions" w:val="1"/>
    <w:docVar w:name="RecOptions" w:val="111"/>
    <w:docVar w:name="ShortChapterTitle" w:val="Eligibility for legal aid and the cost of extending it"/>
    <w:docVar w:name="ShortReportTitle" w:val="Access to Justice arrangements"/>
  </w:docVars>
  <w:rsids>
    <w:rsidRoot w:val="00196C4F"/>
    <w:rsid w:val="0000043F"/>
    <w:rsid w:val="00000956"/>
    <w:rsid w:val="00000AF5"/>
    <w:rsid w:val="00001071"/>
    <w:rsid w:val="00001250"/>
    <w:rsid w:val="0000180D"/>
    <w:rsid w:val="00001A29"/>
    <w:rsid w:val="00003486"/>
    <w:rsid w:val="00003805"/>
    <w:rsid w:val="00004287"/>
    <w:rsid w:val="00004D03"/>
    <w:rsid w:val="00005103"/>
    <w:rsid w:val="0000553B"/>
    <w:rsid w:val="00006B64"/>
    <w:rsid w:val="00006C88"/>
    <w:rsid w:val="00007A40"/>
    <w:rsid w:val="00011A92"/>
    <w:rsid w:val="000123B9"/>
    <w:rsid w:val="00012875"/>
    <w:rsid w:val="00012E8A"/>
    <w:rsid w:val="000136F1"/>
    <w:rsid w:val="00013B39"/>
    <w:rsid w:val="000149F0"/>
    <w:rsid w:val="0001522C"/>
    <w:rsid w:val="0001562F"/>
    <w:rsid w:val="00015F7F"/>
    <w:rsid w:val="00015F81"/>
    <w:rsid w:val="00021CF8"/>
    <w:rsid w:val="00022137"/>
    <w:rsid w:val="000223B8"/>
    <w:rsid w:val="000227D5"/>
    <w:rsid w:val="000245AA"/>
    <w:rsid w:val="00025393"/>
    <w:rsid w:val="000263A1"/>
    <w:rsid w:val="000268E7"/>
    <w:rsid w:val="00026E77"/>
    <w:rsid w:val="00027ACC"/>
    <w:rsid w:val="00030439"/>
    <w:rsid w:val="00030DF5"/>
    <w:rsid w:val="000314DB"/>
    <w:rsid w:val="00032A8D"/>
    <w:rsid w:val="00034C07"/>
    <w:rsid w:val="00036119"/>
    <w:rsid w:val="0003664B"/>
    <w:rsid w:val="0003722C"/>
    <w:rsid w:val="00037A5C"/>
    <w:rsid w:val="00040FD9"/>
    <w:rsid w:val="0004110E"/>
    <w:rsid w:val="0004111F"/>
    <w:rsid w:val="00041479"/>
    <w:rsid w:val="000424D0"/>
    <w:rsid w:val="00042C32"/>
    <w:rsid w:val="00042C6F"/>
    <w:rsid w:val="00043DA3"/>
    <w:rsid w:val="0004573D"/>
    <w:rsid w:val="00046009"/>
    <w:rsid w:val="00046DAE"/>
    <w:rsid w:val="00047184"/>
    <w:rsid w:val="00047196"/>
    <w:rsid w:val="00047D46"/>
    <w:rsid w:val="00047DB9"/>
    <w:rsid w:val="00050B9C"/>
    <w:rsid w:val="00051A66"/>
    <w:rsid w:val="000528EA"/>
    <w:rsid w:val="00053647"/>
    <w:rsid w:val="00053A46"/>
    <w:rsid w:val="00055077"/>
    <w:rsid w:val="000559CB"/>
    <w:rsid w:val="00055F6C"/>
    <w:rsid w:val="000565B3"/>
    <w:rsid w:val="00056D8E"/>
    <w:rsid w:val="00056DFD"/>
    <w:rsid w:val="000572B7"/>
    <w:rsid w:val="00060892"/>
    <w:rsid w:val="000609D4"/>
    <w:rsid w:val="000609E1"/>
    <w:rsid w:val="000644C0"/>
    <w:rsid w:val="000644F2"/>
    <w:rsid w:val="00065C7E"/>
    <w:rsid w:val="00066800"/>
    <w:rsid w:val="0006724C"/>
    <w:rsid w:val="00067385"/>
    <w:rsid w:val="0007150B"/>
    <w:rsid w:val="00071C21"/>
    <w:rsid w:val="00072C45"/>
    <w:rsid w:val="00072EC3"/>
    <w:rsid w:val="00072F2E"/>
    <w:rsid w:val="0007407B"/>
    <w:rsid w:val="000740A2"/>
    <w:rsid w:val="00074137"/>
    <w:rsid w:val="000743F6"/>
    <w:rsid w:val="0007512D"/>
    <w:rsid w:val="00075533"/>
    <w:rsid w:val="0007574B"/>
    <w:rsid w:val="00075840"/>
    <w:rsid w:val="0007607D"/>
    <w:rsid w:val="0007682D"/>
    <w:rsid w:val="00077435"/>
    <w:rsid w:val="00077C14"/>
    <w:rsid w:val="00080013"/>
    <w:rsid w:val="00080C3E"/>
    <w:rsid w:val="00081031"/>
    <w:rsid w:val="00081175"/>
    <w:rsid w:val="00081BF8"/>
    <w:rsid w:val="000820B0"/>
    <w:rsid w:val="00082170"/>
    <w:rsid w:val="00082A5D"/>
    <w:rsid w:val="00082BC9"/>
    <w:rsid w:val="00082F42"/>
    <w:rsid w:val="000846DA"/>
    <w:rsid w:val="00084719"/>
    <w:rsid w:val="00084C01"/>
    <w:rsid w:val="000852DD"/>
    <w:rsid w:val="00085F47"/>
    <w:rsid w:val="0008624E"/>
    <w:rsid w:val="00086C6A"/>
    <w:rsid w:val="0009060A"/>
    <w:rsid w:val="00091707"/>
    <w:rsid w:val="00091F33"/>
    <w:rsid w:val="000922B4"/>
    <w:rsid w:val="00092710"/>
    <w:rsid w:val="000938F5"/>
    <w:rsid w:val="00093AB1"/>
    <w:rsid w:val="00095663"/>
    <w:rsid w:val="00096E55"/>
    <w:rsid w:val="0009783E"/>
    <w:rsid w:val="000A0A70"/>
    <w:rsid w:val="000A1442"/>
    <w:rsid w:val="000A1A44"/>
    <w:rsid w:val="000A1C82"/>
    <w:rsid w:val="000A1D6E"/>
    <w:rsid w:val="000A2634"/>
    <w:rsid w:val="000A27D5"/>
    <w:rsid w:val="000A2A46"/>
    <w:rsid w:val="000A3552"/>
    <w:rsid w:val="000A381F"/>
    <w:rsid w:val="000A3C09"/>
    <w:rsid w:val="000A3D23"/>
    <w:rsid w:val="000A4170"/>
    <w:rsid w:val="000A4DEF"/>
    <w:rsid w:val="000A5350"/>
    <w:rsid w:val="000A537A"/>
    <w:rsid w:val="000A78C1"/>
    <w:rsid w:val="000B08CC"/>
    <w:rsid w:val="000B1022"/>
    <w:rsid w:val="000B1716"/>
    <w:rsid w:val="000B2018"/>
    <w:rsid w:val="000B2C6F"/>
    <w:rsid w:val="000B336D"/>
    <w:rsid w:val="000B4133"/>
    <w:rsid w:val="000B4B8B"/>
    <w:rsid w:val="000B601B"/>
    <w:rsid w:val="000B6469"/>
    <w:rsid w:val="000B670C"/>
    <w:rsid w:val="000C08F3"/>
    <w:rsid w:val="000C162B"/>
    <w:rsid w:val="000C1718"/>
    <w:rsid w:val="000C1A90"/>
    <w:rsid w:val="000C207E"/>
    <w:rsid w:val="000C22D8"/>
    <w:rsid w:val="000C3E05"/>
    <w:rsid w:val="000C57CB"/>
    <w:rsid w:val="000C58DB"/>
    <w:rsid w:val="000C5B17"/>
    <w:rsid w:val="000C5C76"/>
    <w:rsid w:val="000C6F4C"/>
    <w:rsid w:val="000D025B"/>
    <w:rsid w:val="000D060A"/>
    <w:rsid w:val="000D0840"/>
    <w:rsid w:val="000D0F9B"/>
    <w:rsid w:val="000D3D6F"/>
    <w:rsid w:val="000D3ECB"/>
    <w:rsid w:val="000D41E9"/>
    <w:rsid w:val="000D50ED"/>
    <w:rsid w:val="000D55DF"/>
    <w:rsid w:val="000D5975"/>
    <w:rsid w:val="000D63E9"/>
    <w:rsid w:val="000D6CF8"/>
    <w:rsid w:val="000D6FE9"/>
    <w:rsid w:val="000D6FEB"/>
    <w:rsid w:val="000D7994"/>
    <w:rsid w:val="000D7D8F"/>
    <w:rsid w:val="000E1471"/>
    <w:rsid w:val="000E2857"/>
    <w:rsid w:val="000E367F"/>
    <w:rsid w:val="000E56A7"/>
    <w:rsid w:val="000E5E35"/>
    <w:rsid w:val="000E6862"/>
    <w:rsid w:val="000E7301"/>
    <w:rsid w:val="000E7A09"/>
    <w:rsid w:val="000E7A33"/>
    <w:rsid w:val="000F0035"/>
    <w:rsid w:val="000F060A"/>
    <w:rsid w:val="000F1CF8"/>
    <w:rsid w:val="000F2E0B"/>
    <w:rsid w:val="000F37DD"/>
    <w:rsid w:val="000F3D1E"/>
    <w:rsid w:val="000F420B"/>
    <w:rsid w:val="000F625E"/>
    <w:rsid w:val="000F6C47"/>
    <w:rsid w:val="000F7189"/>
    <w:rsid w:val="000F7D5D"/>
    <w:rsid w:val="001010E9"/>
    <w:rsid w:val="001010F7"/>
    <w:rsid w:val="0010155D"/>
    <w:rsid w:val="00101CB9"/>
    <w:rsid w:val="00102BB7"/>
    <w:rsid w:val="00103BC4"/>
    <w:rsid w:val="0010430D"/>
    <w:rsid w:val="00104EB3"/>
    <w:rsid w:val="001050B2"/>
    <w:rsid w:val="001055AE"/>
    <w:rsid w:val="001061D8"/>
    <w:rsid w:val="00106A0A"/>
    <w:rsid w:val="00106E5E"/>
    <w:rsid w:val="00110116"/>
    <w:rsid w:val="0011223C"/>
    <w:rsid w:val="00112711"/>
    <w:rsid w:val="00112EB6"/>
    <w:rsid w:val="00114F5E"/>
    <w:rsid w:val="001164E3"/>
    <w:rsid w:val="0011674C"/>
    <w:rsid w:val="0011724F"/>
    <w:rsid w:val="00117407"/>
    <w:rsid w:val="00117742"/>
    <w:rsid w:val="0011777A"/>
    <w:rsid w:val="00117B4F"/>
    <w:rsid w:val="00120072"/>
    <w:rsid w:val="001203BC"/>
    <w:rsid w:val="00120F67"/>
    <w:rsid w:val="00122601"/>
    <w:rsid w:val="00122AA0"/>
    <w:rsid w:val="001230A7"/>
    <w:rsid w:val="0012478A"/>
    <w:rsid w:val="00125969"/>
    <w:rsid w:val="001259C7"/>
    <w:rsid w:val="00126397"/>
    <w:rsid w:val="00126EB8"/>
    <w:rsid w:val="001272CD"/>
    <w:rsid w:val="001274BA"/>
    <w:rsid w:val="001274D4"/>
    <w:rsid w:val="00127E83"/>
    <w:rsid w:val="00127F94"/>
    <w:rsid w:val="00130615"/>
    <w:rsid w:val="00130F3C"/>
    <w:rsid w:val="00131D55"/>
    <w:rsid w:val="00132AF0"/>
    <w:rsid w:val="001339DC"/>
    <w:rsid w:val="001340AB"/>
    <w:rsid w:val="00136391"/>
    <w:rsid w:val="001363AA"/>
    <w:rsid w:val="00136A5C"/>
    <w:rsid w:val="0013739A"/>
    <w:rsid w:val="0014192D"/>
    <w:rsid w:val="00142165"/>
    <w:rsid w:val="001437AF"/>
    <w:rsid w:val="00143D3B"/>
    <w:rsid w:val="001459D1"/>
    <w:rsid w:val="00145A9D"/>
    <w:rsid w:val="0014650B"/>
    <w:rsid w:val="00146FBF"/>
    <w:rsid w:val="00147112"/>
    <w:rsid w:val="00150E71"/>
    <w:rsid w:val="00150F70"/>
    <w:rsid w:val="0015251F"/>
    <w:rsid w:val="00153B11"/>
    <w:rsid w:val="00153E9F"/>
    <w:rsid w:val="00153EF9"/>
    <w:rsid w:val="00154374"/>
    <w:rsid w:val="00155270"/>
    <w:rsid w:val="00156974"/>
    <w:rsid w:val="00156D9B"/>
    <w:rsid w:val="001608E6"/>
    <w:rsid w:val="00160EDD"/>
    <w:rsid w:val="001621A2"/>
    <w:rsid w:val="00162434"/>
    <w:rsid w:val="00162E7C"/>
    <w:rsid w:val="0016386D"/>
    <w:rsid w:val="00164165"/>
    <w:rsid w:val="0016449D"/>
    <w:rsid w:val="00164FAC"/>
    <w:rsid w:val="00165B70"/>
    <w:rsid w:val="0016698E"/>
    <w:rsid w:val="00166BDC"/>
    <w:rsid w:val="001710CE"/>
    <w:rsid w:val="001712F6"/>
    <w:rsid w:val="00171498"/>
    <w:rsid w:val="00172433"/>
    <w:rsid w:val="00172ACB"/>
    <w:rsid w:val="00172F5A"/>
    <w:rsid w:val="00173DCB"/>
    <w:rsid w:val="00173F64"/>
    <w:rsid w:val="0017482C"/>
    <w:rsid w:val="00174917"/>
    <w:rsid w:val="0017535B"/>
    <w:rsid w:val="00175B3C"/>
    <w:rsid w:val="00175C54"/>
    <w:rsid w:val="00176765"/>
    <w:rsid w:val="00176FBC"/>
    <w:rsid w:val="001776CF"/>
    <w:rsid w:val="00180351"/>
    <w:rsid w:val="00180914"/>
    <w:rsid w:val="00180FFA"/>
    <w:rsid w:val="0018247E"/>
    <w:rsid w:val="00182718"/>
    <w:rsid w:val="00183BBB"/>
    <w:rsid w:val="00183E82"/>
    <w:rsid w:val="001846EE"/>
    <w:rsid w:val="001856EA"/>
    <w:rsid w:val="0018630A"/>
    <w:rsid w:val="00186CAF"/>
    <w:rsid w:val="001878BB"/>
    <w:rsid w:val="00190B61"/>
    <w:rsid w:val="00191AE0"/>
    <w:rsid w:val="00192476"/>
    <w:rsid w:val="0019293B"/>
    <w:rsid w:val="0019426B"/>
    <w:rsid w:val="001942EC"/>
    <w:rsid w:val="001964A3"/>
    <w:rsid w:val="001968DF"/>
    <w:rsid w:val="00196C4F"/>
    <w:rsid w:val="001976F4"/>
    <w:rsid w:val="001A00BD"/>
    <w:rsid w:val="001A473D"/>
    <w:rsid w:val="001A5A7F"/>
    <w:rsid w:val="001A6A4B"/>
    <w:rsid w:val="001A7C54"/>
    <w:rsid w:val="001B019E"/>
    <w:rsid w:val="001B0C60"/>
    <w:rsid w:val="001B0D4D"/>
    <w:rsid w:val="001B112A"/>
    <w:rsid w:val="001B1545"/>
    <w:rsid w:val="001B24B8"/>
    <w:rsid w:val="001B4A78"/>
    <w:rsid w:val="001B664D"/>
    <w:rsid w:val="001B671D"/>
    <w:rsid w:val="001C0865"/>
    <w:rsid w:val="001C0AED"/>
    <w:rsid w:val="001C140C"/>
    <w:rsid w:val="001C1885"/>
    <w:rsid w:val="001C38AC"/>
    <w:rsid w:val="001C3ABA"/>
    <w:rsid w:val="001C3BE9"/>
    <w:rsid w:val="001C4B4E"/>
    <w:rsid w:val="001C5111"/>
    <w:rsid w:val="001C5A53"/>
    <w:rsid w:val="001C6B52"/>
    <w:rsid w:val="001C7ABE"/>
    <w:rsid w:val="001D0CDF"/>
    <w:rsid w:val="001D1063"/>
    <w:rsid w:val="001D1106"/>
    <w:rsid w:val="001D5F7B"/>
    <w:rsid w:val="001D709B"/>
    <w:rsid w:val="001E0692"/>
    <w:rsid w:val="001E11B5"/>
    <w:rsid w:val="001E13F9"/>
    <w:rsid w:val="001E1ACB"/>
    <w:rsid w:val="001E2439"/>
    <w:rsid w:val="001E2960"/>
    <w:rsid w:val="001E2D57"/>
    <w:rsid w:val="001E2F7C"/>
    <w:rsid w:val="001E2F8F"/>
    <w:rsid w:val="001E3377"/>
    <w:rsid w:val="001E414F"/>
    <w:rsid w:val="001E43CB"/>
    <w:rsid w:val="001E4428"/>
    <w:rsid w:val="001E5A76"/>
    <w:rsid w:val="001E6276"/>
    <w:rsid w:val="001E6611"/>
    <w:rsid w:val="001E6D28"/>
    <w:rsid w:val="001E6EA8"/>
    <w:rsid w:val="001E70A0"/>
    <w:rsid w:val="001E7493"/>
    <w:rsid w:val="001E7BE8"/>
    <w:rsid w:val="001F00D4"/>
    <w:rsid w:val="001F0248"/>
    <w:rsid w:val="001F08EB"/>
    <w:rsid w:val="001F15F0"/>
    <w:rsid w:val="001F2137"/>
    <w:rsid w:val="001F28E4"/>
    <w:rsid w:val="001F2F34"/>
    <w:rsid w:val="001F3EB3"/>
    <w:rsid w:val="001F3F51"/>
    <w:rsid w:val="001F41FE"/>
    <w:rsid w:val="001F4688"/>
    <w:rsid w:val="001F472B"/>
    <w:rsid w:val="001F4F86"/>
    <w:rsid w:val="001F5101"/>
    <w:rsid w:val="001F75AC"/>
    <w:rsid w:val="001F77DC"/>
    <w:rsid w:val="0020042E"/>
    <w:rsid w:val="002012E2"/>
    <w:rsid w:val="002023B1"/>
    <w:rsid w:val="00202ACE"/>
    <w:rsid w:val="00202C2C"/>
    <w:rsid w:val="00203050"/>
    <w:rsid w:val="0020427D"/>
    <w:rsid w:val="0020533C"/>
    <w:rsid w:val="00210E18"/>
    <w:rsid w:val="00211A83"/>
    <w:rsid w:val="002135AB"/>
    <w:rsid w:val="002139F4"/>
    <w:rsid w:val="002144BE"/>
    <w:rsid w:val="0021525E"/>
    <w:rsid w:val="00215E11"/>
    <w:rsid w:val="00220110"/>
    <w:rsid w:val="00221FDC"/>
    <w:rsid w:val="00222693"/>
    <w:rsid w:val="0022294B"/>
    <w:rsid w:val="00223220"/>
    <w:rsid w:val="00225724"/>
    <w:rsid w:val="00226A30"/>
    <w:rsid w:val="00227697"/>
    <w:rsid w:val="0022782E"/>
    <w:rsid w:val="002279C2"/>
    <w:rsid w:val="00227BD9"/>
    <w:rsid w:val="00230905"/>
    <w:rsid w:val="00230C53"/>
    <w:rsid w:val="00230F67"/>
    <w:rsid w:val="0023148C"/>
    <w:rsid w:val="002317D8"/>
    <w:rsid w:val="00233A4C"/>
    <w:rsid w:val="00233CDA"/>
    <w:rsid w:val="00234757"/>
    <w:rsid w:val="002348DC"/>
    <w:rsid w:val="00234D20"/>
    <w:rsid w:val="00237285"/>
    <w:rsid w:val="002372E6"/>
    <w:rsid w:val="002373E6"/>
    <w:rsid w:val="00237D22"/>
    <w:rsid w:val="00237D89"/>
    <w:rsid w:val="002400F2"/>
    <w:rsid w:val="0024088B"/>
    <w:rsid w:val="0024091B"/>
    <w:rsid w:val="0024157D"/>
    <w:rsid w:val="00242046"/>
    <w:rsid w:val="00242070"/>
    <w:rsid w:val="00242279"/>
    <w:rsid w:val="00243528"/>
    <w:rsid w:val="002438E8"/>
    <w:rsid w:val="00243997"/>
    <w:rsid w:val="00244D47"/>
    <w:rsid w:val="00244D94"/>
    <w:rsid w:val="00244E7A"/>
    <w:rsid w:val="0024516C"/>
    <w:rsid w:val="00245461"/>
    <w:rsid w:val="00245BBD"/>
    <w:rsid w:val="00245C82"/>
    <w:rsid w:val="00247F51"/>
    <w:rsid w:val="00250106"/>
    <w:rsid w:val="00250419"/>
    <w:rsid w:val="00250F78"/>
    <w:rsid w:val="002512D4"/>
    <w:rsid w:val="00251813"/>
    <w:rsid w:val="00252A43"/>
    <w:rsid w:val="00252A50"/>
    <w:rsid w:val="00254CD6"/>
    <w:rsid w:val="002552A7"/>
    <w:rsid w:val="002554BD"/>
    <w:rsid w:val="00256316"/>
    <w:rsid w:val="002564B5"/>
    <w:rsid w:val="00256660"/>
    <w:rsid w:val="002567C1"/>
    <w:rsid w:val="00256BC2"/>
    <w:rsid w:val="00257203"/>
    <w:rsid w:val="00257C7D"/>
    <w:rsid w:val="002604D2"/>
    <w:rsid w:val="002616B3"/>
    <w:rsid w:val="00263D34"/>
    <w:rsid w:val="002649C4"/>
    <w:rsid w:val="00265210"/>
    <w:rsid w:val="00265281"/>
    <w:rsid w:val="0026546E"/>
    <w:rsid w:val="0026552C"/>
    <w:rsid w:val="00270EC3"/>
    <w:rsid w:val="00271FC7"/>
    <w:rsid w:val="002724BA"/>
    <w:rsid w:val="00272A15"/>
    <w:rsid w:val="00272A86"/>
    <w:rsid w:val="00273CB4"/>
    <w:rsid w:val="00274C55"/>
    <w:rsid w:val="00276DC9"/>
    <w:rsid w:val="002775A3"/>
    <w:rsid w:val="00277CB2"/>
    <w:rsid w:val="00281138"/>
    <w:rsid w:val="0028210C"/>
    <w:rsid w:val="00282463"/>
    <w:rsid w:val="00282AB8"/>
    <w:rsid w:val="00283DBF"/>
    <w:rsid w:val="00283F0B"/>
    <w:rsid w:val="0028402F"/>
    <w:rsid w:val="002841C8"/>
    <w:rsid w:val="00284D83"/>
    <w:rsid w:val="0028524A"/>
    <w:rsid w:val="0028590B"/>
    <w:rsid w:val="00285AB5"/>
    <w:rsid w:val="0028618B"/>
    <w:rsid w:val="002867DA"/>
    <w:rsid w:val="00286DA9"/>
    <w:rsid w:val="00287C95"/>
    <w:rsid w:val="00287CFE"/>
    <w:rsid w:val="00290970"/>
    <w:rsid w:val="002918D0"/>
    <w:rsid w:val="00291B40"/>
    <w:rsid w:val="00291F7F"/>
    <w:rsid w:val="002925C5"/>
    <w:rsid w:val="00292B9F"/>
    <w:rsid w:val="00292F59"/>
    <w:rsid w:val="002930C4"/>
    <w:rsid w:val="002941D6"/>
    <w:rsid w:val="00294F45"/>
    <w:rsid w:val="00296056"/>
    <w:rsid w:val="002970D7"/>
    <w:rsid w:val="002A06A1"/>
    <w:rsid w:val="002A08D8"/>
    <w:rsid w:val="002A36B1"/>
    <w:rsid w:val="002A3767"/>
    <w:rsid w:val="002A3785"/>
    <w:rsid w:val="002A4EBC"/>
    <w:rsid w:val="002A6394"/>
    <w:rsid w:val="002A64DE"/>
    <w:rsid w:val="002A6725"/>
    <w:rsid w:val="002A75C1"/>
    <w:rsid w:val="002A773C"/>
    <w:rsid w:val="002B05F7"/>
    <w:rsid w:val="002B1263"/>
    <w:rsid w:val="002B2098"/>
    <w:rsid w:val="002B2824"/>
    <w:rsid w:val="002B2D79"/>
    <w:rsid w:val="002B2F2E"/>
    <w:rsid w:val="002B30BF"/>
    <w:rsid w:val="002B4008"/>
    <w:rsid w:val="002B5098"/>
    <w:rsid w:val="002B5C27"/>
    <w:rsid w:val="002B61F9"/>
    <w:rsid w:val="002B63F8"/>
    <w:rsid w:val="002B67B2"/>
    <w:rsid w:val="002C036B"/>
    <w:rsid w:val="002C3149"/>
    <w:rsid w:val="002C439F"/>
    <w:rsid w:val="002C6589"/>
    <w:rsid w:val="002C7AD4"/>
    <w:rsid w:val="002D0C42"/>
    <w:rsid w:val="002D0E8E"/>
    <w:rsid w:val="002D1368"/>
    <w:rsid w:val="002D455F"/>
    <w:rsid w:val="002D4A10"/>
    <w:rsid w:val="002D7486"/>
    <w:rsid w:val="002E2BDA"/>
    <w:rsid w:val="002E30F5"/>
    <w:rsid w:val="002E33F5"/>
    <w:rsid w:val="002E362F"/>
    <w:rsid w:val="002E5309"/>
    <w:rsid w:val="002E6456"/>
    <w:rsid w:val="002F1301"/>
    <w:rsid w:val="002F188A"/>
    <w:rsid w:val="002F206C"/>
    <w:rsid w:val="002F2CE2"/>
    <w:rsid w:val="002F4F86"/>
    <w:rsid w:val="002F60E4"/>
    <w:rsid w:val="002F63C9"/>
    <w:rsid w:val="002F6D92"/>
    <w:rsid w:val="002F6DA1"/>
    <w:rsid w:val="002F6EF4"/>
    <w:rsid w:val="002F6FBC"/>
    <w:rsid w:val="003004C0"/>
    <w:rsid w:val="00300992"/>
    <w:rsid w:val="00301189"/>
    <w:rsid w:val="003013E5"/>
    <w:rsid w:val="00301B89"/>
    <w:rsid w:val="00301E4A"/>
    <w:rsid w:val="00302515"/>
    <w:rsid w:val="0030497D"/>
    <w:rsid w:val="0030747C"/>
    <w:rsid w:val="00310187"/>
    <w:rsid w:val="003102B3"/>
    <w:rsid w:val="00310726"/>
    <w:rsid w:val="00310AF7"/>
    <w:rsid w:val="0031148A"/>
    <w:rsid w:val="00311765"/>
    <w:rsid w:val="003117FE"/>
    <w:rsid w:val="00311E3A"/>
    <w:rsid w:val="003128EE"/>
    <w:rsid w:val="00314192"/>
    <w:rsid w:val="0031585F"/>
    <w:rsid w:val="0031647A"/>
    <w:rsid w:val="003168B8"/>
    <w:rsid w:val="00316C66"/>
    <w:rsid w:val="003202D3"/>
    <w:rsid w:val="0032044C"/>
    <w:rsid w:val="00320DBD"/>
    <w:rsid w:val="00321646"/>
    <w:rsid w:val="00322D64"/>
    <w:rsid w:val="00322FF7"/>
    <w:rsid w:val="003236F8"/>
    <w:rsid w:val="00323A93"/>
    <w:rsid w:val="00323B0A"/>
    <w:rsid w:val="00323E09"/>
    <w:rsid w:val="00324455"/>
    <w:rsid w:val="003250ED"/>
    <w:rsid w:val="0032513D"/>
    <w:rsid w:val="003259ED"/>
    <w:rsid w:val="00326189"/>
    <w:rsid w:val="00326A19"/>
    <w:rsid w:val="0032747D"/>
    <w:rsid w:val="00327A84"/>
    <w:rsid w:val="0033068F"/>
    <w:rsid w:val="00330702"/>
    <w:rsid w:val="00331087"/>
    <w:rsid w:val="003328A4"/>
    <w:rsid w:val="00332902"/>
    <w:rsid w:val="003329E0"/>
    <w:rsid w:val="00333932"/>
    <w:rsid w:val="003339F6"/>
    <w:rsid w:val="0033502B"/>
    <w:rsid w:val="003374F7"/>
    <w:rsid w:val="00340058"/>
    <w:rsid w:val="0034081D"/>
    <w:rsid w:val="00340BD2"/>
    <w:rsid w:val="00341678"/>
    <w:rsid w:val="003425C5"/>
    <w:rsid w:val="0034279F"/>
    <w:rsid w:val="00343297"/>
    <w:rsid w:val="0034350B"/>
    <w:rsid w:val="00343924"/>
    <w:rsid w:val="00343931"/>
    <w:rsid w:val="003452CA"/>
    <w:rsid w:val="0035019A"/>
    <w:rsid w:val="0035033A"/>
    <w:rsid w:val="0035078A"/>
    <w:rsid w:val="003509C7"/>
    <w:rsid w:val="003517F1"/>
    <w:rsid w:val="003518AA"/>
    <w:rsid w:val="00351BE6"/>
    <w:rsid w:val="00352165"/>
    <w:rsid w:val="00353182"/>
    <w:rsid w:val="003535AE"/>
    <w:rsid w:val="00354B9A"/>
    <w:rsid w:val="00355430"/>
    <w:rsid w:val="003564E9"/>
    <w:rsid w:val="003565D9"/>
    <w:rsid w:val="00357BBD"/>
    <w:rsid w:val="003600E7"/>
    <w:rsid w:val="003602E1"/>
    <w:rsid w:val="00361352"/>
    <w:rsid w:val="003623DE"/>
    <w:rsid w:val="00362ADB"/>
    <w:rsid w:val="00362FD7"/>
    <w:rsid w:val="00363B70"/>
    <w:rsid w:val="003642D4"/>
    <w:rsid w:val="003647D0"/>
    <w:rsid w:val="003647E8"/>
    <w:rsid w:val="0036597A"/>
    <w:rsid w:val="00365E9A"/>
    <w:rsid w:val="00366F0E"/>
    <w:rsid w:val="00367215"/>
    <w:rsid w:val="0037026F"/>
    <w:rsid w:val="003702D8"/>
    <w:rsid w:val="003706B5"/>
    <w:rsid w:val="00371240"/>
    <w:rsid w:val="00373537"/>
    <w:rsid w:val="00374731"/>
    <w:rsid w:val="0037498C"/>
    <w:rsid w:val="00374B96"/>
    <w:rsid w:val="00374EAD"/>
    <w:rsid w:val="0037634B"/>
    <w:rsid w:val="00376E59"/>
    <w:rsid w:val="00377EC1"/>
    <w:rsid w:val="00380340"/>
    <w:rsid w:val="00380417"/>
    <w:rsid w:val="003805F7"/>
    <w:rsid w:val="00382A7A"/>
    <w:rsid w:val="00383DA3"/>
    <w:rsid w:val="00385E1A"/>
    <w:rsid w:val="00387C9C"/>
    <w:rsid w:val="003908B1"/>
    <w:rsid w:val="00390F0C"/>
    <w:rsid w:val="003919F9"/>
    <w:rsid w:val="003920CF"/>
    <w:rsid w:val="00392DB7"/>
    <w:rsid w:val="003933C7"/>
    <w:rsid w:val="00393F55"/>
    <w:rsid w:val="00394288"/>
    <w:rsid w:val="0039447F"/>
    <w:rsid w:val="0039495E"/>
    <w:rsid w:val="003950F2"/>
    <w:rsid w:val="00396C9A"/>
    <w:rsid w:val="00397A56"/>
    <w:rsid w:val="00397FCB"/>
    <w:rsid w:val="003A0D0E"/>
    <w:rsid w:val="003A0F1A"/>
    <w:rsid w:val="003A10D8"/>
    <w:rsid w:val="003A1331"/>
    <w:rsid w:val="003A24F2"/>
    <w:rsid w:val="003A29D8"/>
    <w:rsid w:val="003A2D4B"/>
    <w:rsid w:val="003A2E97"/>
    <w:rsid w:val="003A32A1"/>
    <w:rsid w:val="003A438E"/>
    <w:rsid w:val="003A4620"/>
    <w:rsid w:val="003A5874"/>
    <w:rsid w:val="003A626A"/>
    <w:rsid w:val="003A675C"/>
    <w:rsid w:val="003A6D5E"/>
    <w:rsid w:val="003A70AB"/>
    <w:rsid w:val="003B0105"/>
    <w:rsid w:val="003B0D6A"/>
    <w:rsid w:val="003B10BF"/>
    <w:rsid w:val="003B1C8A"/>
    <w:rsid w:val="003B23C2"/>
    <w:rsid w:val="003B394D"/>
    <w:rsid w:val="003B40C8"/>
    <w:rsid w:val="003B61D4"/>
    <w:rsid w:val="003B6AAD"/>
    <w:rsid w:val="003C2112"/>
    <w:rsid w:val="003C296B"/>
    <w:rsid w:val="003C38B5"/>
    <w:rsid w:val="003C4012"/>
    <w:rsid w:val="003C489F"/>
    <w:rsid w:val="003C54DE"/>
    <w:rsid w:val="003C5D99"/>
    <w:rsid w:val="003C6B37"/>
    <w:rsid w:val="003C7598"/>
    <w:rsid w:val="003D1087"/>
    <w:rsid w:val="003D2A44"/>
    <w:rsid w:val="003D37FE"/>
    <w:rsid w:val="003D3DC6"/>
    <w:rsid w:val="003D3E8C"/>
    <w:rsid w:val="003D4BE0"/>
    <w:rsid w:val="003D4F9F"/>
    <w:rsid w:val="003D65A1"/>
    <w:rsid w:val="003D7CBB"/>
    <w:rsid w:val="003E10F6"/>
    <w:rsid w:val="003E1EDA"/>
    <w:rsid w:val="003E1EFA"/>
    <w:rsid w:val="003E2F59"/>
    <w:rsid w:val="003E38E0"/>
    <w:rsid w:val="003E5D59"/>
    <w:rsid w:val="003E6A64"/>
    <w:rsid w:val="003E6E41"/>
    <w:rsid w:val="003E746B"/>
    <w:rsid w:val="003E7553"/>
    <w:rsid w:val="003F0789"/>
    <w:rsid w:val="003F0F41"/>
    <w:rsid w:val="003F105C"/>
    <w:rsid w:val="003F1402"/>
    <w:rsid w:val="003F242D"/>
    <w:rsid w:val="003F245B"/>
    <w:rsid w:val="003F391C"/>
    <w:rsid w:val="003F49AB"/>
    <w:rsid w:val="003F6513"/>
    <w:rsid w:val="003F7705"/>
    <w:rsid w:val="00401882"/>
    <w:rsid w:val="00402DCE"/>
    <w:rsid w:val="00403645"/>
    <w:rsid w:val="004043AF"/>
    <w:rsid w:val="0040524C"/>
    <w:rsid w:val="00405D87"/>
    <w:rsid w:val="00406230"/>
    <w:rsid w:val="004063D6"/>
    <w:rsid w:val="0040658E"/>
    <w:rsid w:val="00407FFD"/>
    <w:rsid w:val="004100C8"/>
    <w:rsid w:val="0041026A"/>
    <w:rsid w:val="00410CCF"/>
    <w:rsid w:val="00410CE3"/>
    <w:rsid w:val="00410F3E"/>
    <w:rsid w:val="00411DBD"/>
    <w:rsid w:val="0041208F"/>
    <w:rsid w:val="0041223E"/>
    <w:rsid w:val="00412ACE"/>
    <w:rsid w:val="00413F41"/>
    <w:rsid w:val="0041450C"/>
    <w:rsid w:val="004145D2"/>
    <w:rsid w:val="00414F41"/>
    <w:rsid w:val="00415201"/>
    <w:rsid w:val="004162A6"/>
    <w:rsid w:val="004201AE"/>
    <w:rsid w:val="00421238"/>
    <w:rsid w:val="00421460"/>
    <w:rsid w:val="00421AC4"/>
    <w:rsid w:val="004223C1"/>
    <w:rsid w:val="00424733"/>
    <w:rsid w:val="00425401"/>
    <w:rsid w:val="004256B8"/>
    <w:rsid w:val="00426CB4"/>
    <w:rsid w:val="004278F6"/>
    <w:rsid w:val="004304A0"/>
    <w:rsid w:val="00431249"/>
    <w:rsid w:val="00432CD7"/>
    <w:rsid w:val="004330FD"/>
    <w:rsid w:val="00433548"/>
    <w:rsid w:val="004335C3"/>
    <w:rsid w:val="00433644"/>
    <w:rsid w:val="004336CB"/>
    <w:rsid w:val="00434971"/>
    <w:rsid w:val="00434C19"/>
    <w:rsid w:val="00434E4D"/>
    <w:rsid w:val="00434E69"/>
    <w:rsid w:val="00435A66"/>
    <w:rsid w:val="00436135"/>
    <w:rsid w:val="00436801"/>
    <w:rsid w:val="004368AD"/>
    <w:rsid w:val="00436BA3"/>
    <w:rsid w:val="00436C23"/>
    <w:rsid w:val="004374DC"/>
    <w:rsid w:val="00437D82"/>
    <w:rsid w:val="00440904"/>
    <w:rsid w:val="00441B2A"/>
    <w:rsid w:val="004435A2"/>
    <w:rsid w:val="0044397F"/>
    <w:rsid w:val="00444152"/>
    <w:rsid w:val="00445808"/>
    <w:rsid w:val="00445A58"/>
    <w:rsid w:val="00446F9F"/>
    <w:rsid w:val="004470EA"/>
    <w:rsid w:val="0044730E"/>
    <w:rsid w:val="00450810"/>
    <w:rsid w:val="00451705"/>
    <w:rsid w:val="00451975"/>
    <w:rsid w:val="00451A63"/>
    <w:rsid w:val="0045594E"/>
    <w:rsid w:val="0045609E"/>
    <w:rsid w:val="004567C1"/>
    <w:rsid w:val="00460759"/>
    <w:rsid w:val="00460F7A"/>
    <w:rsid w:val="00461D23"/>
    <w:rsid w:val="00461FA0"/>
    <w:rsid w:val="0046239F"/>
    <w:rsid w:val="00462487"/>
    <w:rsid w:val="004629C3"/>
    <w:rsid w:val="00462A1A"/>
    <w:rsid w:val="00462A30"/>
    <w:rsid w:val="00462C59"/>
    <w:rsid w:val="00463369"/>
    <w:rsid w:val="00463D24"/>
    <w:rsid w:val="004642FC"/>
    <w:rsid w:val="004657D1"/>
    <w:rsid w:val="00466963"/>
    <w:rsid w:val="00466F50"/>
    <w:rsid w:val="00467EAE"/>
    <w:rsid w:val="00470737"/>
    <w:rsid w:val="004708BC"/>
    <w:rsid w:val="004709A6"/>
    <w:rsid w:val="00470C89"/>
    <w:rsid w:val="004716CC"/>
    <w:rsid w:val="004724A5"/>
    <w:rsid w:val="00477144"/>
    <w:rsid w:val="00477652"/>
    <w:rsid w:val="00477DEF"/>
    <w:rsid w:val="00480113"/>
    <w:rsid w:val="004806EA"/>
    <w:rsid w:val="00481C97"/>
    <w:rsid w:val="004828E4"/>
    <w:rsid w:val="00482AFC"/>
    <w:rsid w:val="0048455C"/>
    <w:rsid w:val="00485042"/>
    <w:rsid w:val="0048538F"/>
    <w:rsid w:val="004869D8"/>
    <w:rsid w:val="00487078"/>
    <w:rsid w:val="004879F6"/>
    <w:rsid w:val="00487AF3"/>
    <w:rsid w:val="00491016"/>
    <w:rsid w:val="00491380"/>
    <w:rsid w:val="00492EA4"/>
    <w:rsid w:val="00492F39"/>
    <w:rsid w:val="004943C2"/>
    <w:rsid w:val="0049459F"/>
    <w:rsid w:val="00495702"/>
    <w:rsid w:val="0049593D"/>
    <w:rsid w:val="00496814"/>
    <w:rsid w:val="00497A7F"/>
    <w:rsid w:val="00497AFD"/>
    <w:rsid w:val="004A0C2D"/>
    <w:rsid w:val="004A13A1"/>
    <w:rsid w:val="004A15AD"/>
    <w:rsid w:val="004A177F"/>
    <w:rsid w:val="004A1C95"/>
    <w:rsid w:val="004A1FF8"/>
    <w:rsid w:val="004A356A"/>
    <w:rsid w:val="004A38DD"/>
    <w:rsid w:val="004A4FFD"/>
    <w:rsid w:val="004A5481"/>
    <w:rsid w:val="004A575F"/>
    <w:rsid w:val="004A5F45"/>
    <w:rsid w:val="004A6CBC"/>
    <w:rsid w:val="004A7696"/>
    <w:rsid w:val="004B00FA"/>
    <w:rsid w:val="004B0BA7"/>
    <w:rsid w:val="004B0FD1"/>
    <w:rsid w:val="004B1FEE"/>
    <w:rsid w:val="004B2033"/>
    <w:rsid w:val="004B2052"/>
    <w:rsid w:val="004B2B10"/>
    <w:rsid w:val="004B335C"/>
    <w:rsid w:val="004B35E3"/>
    <w:rsid w:val="004B43AE"/>
    <w:rsid w:val="004B6D2D"/>
    <w:rsid w:val="004B6DC4"/>
    <w:rsid w:val="004B7326"/>
    <w:rsid w:val="004C08A3"/>
    <w:rsid w:val="004C228C"/>
    <w:rsid w:val="004C30ED"/>
    <w:rsid w:val="004C3B7A"/>
    <w:rsid w:val="004C3BD6"/>
    <w:rsid w:val="004C3D63"/>
    <w:rsid w:val="004C4B14"/>
    <w:rsid w:val="004C4C9D"/>
    <w:rsid w:val="004C5BB3"/>
    <w:rsid w:val="004C6217"/>
    <w:rsid w:val="004C64BE"/>
    <w:rsid w:val="004C6EF4"/>
    <w:rsid w:val="004C7ABA"/>
    <w:rsid w:val="004D0528"/>
    <w:rsid w:val="004D0B4E"/>
    <w:rsid w:val="004D1082"/>
    <w:rsid w:val="004D1248"/>
    <w:rsid w:val="004D1434"/>
    <w:rsid w:val="004D187B"/>
    <w:rsid w:val="004D1A3B"/>
    <w:rsid w:val="004D26A0"/>
    <w:rsid w:val="004D4D87"/>
    <w:rsid w:val="004D552C"/>
    <w:rsid w:val="004D5675"/>
    <w:rsid w:val="004D65C1"/>
    <w:rsid w:val="004D69DA"/>
    <w:rsid w:val="004D7131"/>
    <w:rsid w:val="004D7286"/>
    <w:rsid w:val="004E0961"/>
    <w:rsid w:val="004E1B8F"/>
    <w:rsid w:val="004E1C9A"/>
    <w:rsid w:val="004E2DC5"/>
    <w:rsid w:val="004E2ED4"/>
    <w:rsid w:val="004E431D"/>
    <w:rsid w:val="004E51A1"/>
    <w:rsid w:val="004E5BB7"/>
    <w:rsid w:val="004E5C23"/>
    <w:rsid w:val="004E6625"/>
    <w:rsid w:val="004E6737"/>
    <w:rsid w:val="004F13AA"/>
    <w:rsid w:val="004F34C1"/>
    <w:rsid w:val="004F5848"/>
    <w:rsid w:val="004F6000"/>
    <w:rsid w:val="004F65B9"/>
    <w:rsid w:val="004F72FD"/>
    <w:rsid w:val="00500049"/>
    <w:rsid w:val="00500643"/>
    <w:rsid w:val="0050078A"/>
    <w:rsid w:val="00500C06"/>
    <w:rsid w:val="005010B5"/>
    <w:rsid w:val="0050293F"/>
    <w:rsid w:val="00503A5E"/>
    <w:rsid w:val="00504485"/>
    <w:rsid w:val="005054D2"/>
    <w:rsid w:val="00505D2F"/>
    <w:rsid w:val="0050670B"/>
    <w:rsid w:val="00506FDC"/>
    <w:rsid w:val="00510470"/>
    <w:rsid w:val="0051056B"/>
    <w:rsid w:val="00511D0F"/>
    <w:rsid w:val="00512156"/>
    <w:rsid w:val="0051474D"/>
    <w:rsid w:val="00516913"/>
    <w:rsid w:val="00516B22"/>
    <w:rsid w:val="00516F38"/>
    <w:rsid w:val="00517795"/>
    <w:rsid w:val="0052059F"/>
    <w:rsid w:val="0052135D"/>
    <w:rsid w:val="00521DFA"/>
    <w:rsid w:val="00521E9F"/>
    <w:rsid w:val="00522E27"/>
    <w:rsid w:val="00522F00"/>
    <w:rsid w:val="00523639"/>
    <w:rsid w:val="0052411D"/>
    <w:rsid w:val="00526506"/>
    <w:rsid w:val="005272E4"/>
    <w:rsid w:val="00527D3C"/>
    <w:rsid w:val="00530673"/>
    <w:rsid w:val="00531FE5"/>
    <w:rsid w:val="0053210A"/>
    <w:rsid w:val="00533C11"/>
    <w:rsid w:val="00533D53"/>
    <w:rsid w:val="0053427F"/>
    <w:rsid w:val="00535A28"/>
    <w:rsid w:val="00537070"/>
    <w:rsid w:val="005402FA"/>
    <w:rsid w:val="00542AB7"/>
    <w:rsid w:val="0054406E"/>
    <w:rsid w:val="00545484"/>
    <w:rsid w:val="00545BB9"/>
    <w:rsid w:val="00546C77"/>
    <w:rsid w:val="005515C3"/>
    <w:rsid w:val="00551687"/>
    <w:rsid w:val="00552216"/>
    <w:rsid w:val="005524DE"/>
    <w:rsid w:val="00552FED"/>
    <w:rsid w:val="005535E1"/>
    <w:rsid w:val="005551AF"/>
    <w:rsid w:val="00555A21"/>
    <w:rsid w:val="00555D34"/>
    <w:rsid w:val="00556191"/>
    <w:rsid w:val="0055690F"/>
    <w:rsid w:val="0055719A"/>
    <w:rsid w:val="00557E36"/>
    <w:rsid w:val="0056316D"/>
    <w:rsid w:val="00563304"/>
    <w:rsid w:val="00563575"/>
    <w:rsid w:val="0056373C"/>
    <w:rsid w:val="005658C1"/>
    <w:rsid w:val="005660FF"/>
    <w:rsid w:val="00570ABB"/>
    <w:rsid w:val="0057109D"/>
    <w:rsid w:val="005729BD"/>
    <w:rsid w:val="00572D85"/>
    <w:rsid w:val="00573A74"/>
    <w:rsid w:val="00573F47"/>
    <w:rsid w:val="00574C08"/>
    <w:rsid w:val="005751E9"/>
    <w:rsid w:val="00575B21"/>
    <w:rsid w:val="0057606A"/>
    <w:rsid w:val="00576469"/>
    <w:rsid w:val="00580154"/>
    <w:rsid w:val="00580D5D"/>
    <w:rsid w:val="00582288"/>
    <w:rsid w:val="005827D5"/>
    <w:rsid w:val="00582B18"/>
    <w:rsid w:val="00583C39"/>
    <w:rsid w:val="00583DD9"/>
    <w:rsid w:val="00585067"/>
    <w:rsid w:val="00585992"/>
    <w:rsid w:val="00585A61"/>
    <w:rsid w:val="00586A90"/>
    <w:rsid w:val="00587488"/>
    <w:rsid w:val="00587F28"/>
    <w:rsid w:val="0059047E"/>
    <w:rsid w:val="005909CF"/>
    <w:rsid w:val="00591669"/>
    <w:rsid w:val="00591CEF"/>
    <w:rsid w:val="00591E71"/>
    <w:rsid w:val="00591FB6"/>
    <w:rsid w:val="005925E7"/>
    <w:rsid w:val="00592DC3"/>
    <w:rsid w:val="00593C4A"/>
    <w:rsid w:val="00594FBF"/>
    <w:rsid w:val="005951D5"/>
    <w:rsid w:val="0059581B"/>
    <w:rsid w:val="00597164"/>
    <w:rsid w:val="005A0BAE"/>
    <w:rsid w:val="005A0D41"/>
    <w:rsid w:val="005A1361"/>
    <w:rsid w:val="005A17F3"/>
    <w:rsid w:val="005A2266"/>
    <w:rsid w:val="005A33C0"/>
    <w:rsid w:val="005A3E33"/>
    <w:rsid w:val="005A4505"/>
    <w:rsid w:val="005A486B"/>
    <w:rsid w:val="005A56C7"/>
    <w:rsid w:val="005A6E7E"/>
    <w:rsid w:val="005A7710"/>
    <w:rsid w:val="005A789E"/>
    <w:rsid w:val="005A7B27"/>
    <w:rsid w:val="005B0522"/>
    <w:rsid w:val="005B0CC0"/>
    <w:rsid w:val="005B13BE"/>
    <w:rsid w:val="005B3EE7"/>
    <w:rsid w:val="005B3FFB"/>
    <w:rsid w:val="005B4488"/>
    <w:rsid w:val="005B490B"/>
    <w:rsid w:val="005B6593"/>
    <w:rsid w:val="005B6658"/>
    <w:rsid w:val="005B6EAF"/>
    <w:rsid w:val="005B73A9"/>
    <w:rsid w:val="005B7E84"/>
    <w:rsid w:val="005C022C"/>
    <w:rsid w:val="005C0611"/>
    <w:rsid w:val="005C11A4"/>
    <w:rsid w:val="005C137B"/>
    <w:rsid w:val="005C2DC9"/>
    <w:rsid w:val="005C37C1"/>
    <w:rsid w:val="005C3A39"/>
    <w:rsid w:val="005C6512"/>
    <w:rsid w:val="005C7247"/>
    <w:rsid w:val="005C7734"/>
    <w:rsid w:val="005D01A2"/>
    <w:rsid w:val="005D0230"/>
    <w:rsid w:val="005D0406"/>
    <w:rsid w:val="005D1535"/>
    <w:rsid w:val="005D2457"/>
    <w:rsid w:val="005D329F"/>
    <w:rsid w:val="005D32DD"/>
    <w:rsid w:val="005D34EF"/>
    <w:rsid w:val="005D3A9B"/>
    <w:rsid w:val="005D41D8"/>
    <w:rsid w:val="005D6213"/>
    <w:rsid w:val="005D7EB2"/>
    <w:rsid w:val="005E0B11"/>
    <w:rsid w:val="005E1366"/>
    <w:rsid w:val="005E2DD0"/>
    <w:rsid w:val="005E33B4"/>
    <w:rsid w:val="005E3D8F"/>
    <w:rsid w:val="005E509A"/>
    <w:rsid w:val="005E6679"/>
    <w:rsid w:val="005E684D"/>
    <w:rsid w:val="005E6952"/>
    <w:rsid w:val="005E6D42"/>
    <w:rsid w:val="005E7192"/>
    <w:rsid w:val="005E73AC"/>
    <w:rsid w:val="005E7FF1"/>
    <w:rsid w:val="005F038B"/>
    <w:rsid w:val="005F1EC2"/>
    <w:rsid w:val="005F2410"/>
    <w:rsid w:val="005F2B6B"/>
    <w:rsid w:val="005F2E8D"/>
    <w:rsid w:val="005F3FAD"/>
    <w:rsid w:val="005F48ED"/>
    <w:rsid w:val="005F6615"/>
    <w:rsid w:val="005F7C4E"/>
    <w:rsid w:val="0060036C"/>
    <w:rsid w:val="006020A9"/>
    <w:rsid w:val="0060268A"/>
    <w:rsid w:val="00602B94"/>
    <w:rsid w:val="00602EF3"/>
    <w:rsid w:val="006033DC"/>
    <w:rsid w:val="006040B8"/>
    <w:rsid w:val="0060464E"/>
    <w:rsid w:val="00605D61"/>
    <w:rsid w:val="0060604A"/>
    <w:rsid w:val="00606913"/>
    <w:rsid w:val="00606E1F"/>
    <w:rsid w:val="00606E78"/>
    <w:rsid w:val="006074B4"/>
    <w:rsid w:val="00607BF1"/>
    <w:rsid w:val="00607C73"/>
    <w:rsid w:val="00607D74"/>
    <w:rsid w:val="00610168"/>
    <w:rsid w:val="00610E9C"/>
    <w:rsid w:val="00611E4C"/>
    <w:rsid w:val="00611E79"/>
    <w:rsid w:val="006122C7"/>
    <w:rsid w:val="006130A8"/>
    <w:rsid w:val="006130C2"/>
    <w:rsid w:val="00613669"/>
    <w:rsid w:val="0061367D"/>
    <w:rsid w:val="006158E6"/>
    <w:rsid w:val="00615FE6"/>
    <w:rsid w:val="0061643F"/>
    <w:rsid w:val="00616F84"/>
    <w:rsid w:val="00620895"/>
    <w:rsid w:val="00621387"/>
    <w:rsid w:val="006213F3"/>
    <w:rsid w:val="006215CC"/>
    <w:rsid w:val="00622E0A"/>
    <w:rsid w:val="006237B8"/>
    <w:rsid w:val="00623A42"/>
    <w:rsid w:val="0062492C"/>
    <w:rsid w:val="00625FC4"/>
    <w:rsid w:val="006271B6"/>
    <w:rsid w:val="00627221"/>
    <w:rsid w:val="0063084A"/>
    <w:rsid w:val="00630D4D"/>
    <w:rsid w:val="00630DD3"/>
    <w:rsid w:val="00631A86"/>
    <w:rsid w:val="0063219B"/>
    <w:rsid w:val="00632A74"/>
    <w:rsid w:val="00634FC1"/>
    <w:rsid w:val="00635428"/>
    <w:rsid w:val="0063575A"/>
    <w:rsid w:val="00637AB9"/>
    <w:rsid w:val="00640E28"/>
    <w:rsid w:val="0064209A"/>
    <w:rsid w:val="00643DAF"/>
    <w:rsid w:val="006441C6"/>
    <w:rsid w:val="00644C66"/>
    <w:rsid w:val="006450A0"/>
    <w:rsid w:val="006454BC"/>
    <w:rsid w:val="0064748D"/>
    <w:rsid w:val="006477D0"/>
    <w:rsid w:val="00651017"/>
    <w:rsid w:val="00651683"/>
    <w:rsid w:val="00653161"/>
    <w:rsid w:val="00654D42"/>
    <w:rsid w:val="006555E5"/>
    <w:rsid w:val="00656C6F"/>
    <w:rsid w:val="00660EA0"/>
    <w:rsid w:val="00663D98"/>
    <w:rsid w:val="00665F53"/>
    <w:rsid w:val="00666E02"/>
    <w:rsid w:val="006678DF"/>
    <w:rsid w:val="00670ED9"/>
    <w:rsid w:val="006722A8"/>
    <w:rsid w:val="0067240B"/>
    <w:rsid w:val="00672683"/>
    <w:rsid w:val="00672832"/>
    <w:rsid w:val="00672A25"/>
    <w:rsid w:val="00673D89"/>
    <w:rsid w:val="00674B5B"/>
    <w:rsid w:val="00674D94"/>
    <w:rsid w:val="0067589A"/>
    <w:rsid w:val="00676298"/>
    <w:rsid w:val="0067652B"/>
    <w:rsid w:val="00680C37"/>
    <w:rsid w:val="006813B0"/>
    <w:rsid w:val="00681A9A"/>
    <w:rsid w:val="00685A23"/>
    <w:rsid w:val="00685B67"/>
    <w:rsid w:val="00685FB0"/>
    <w:rsid w:val="00687025"/>
    <w:rsid w:val="00687D4F"/>
    <w:rsid w:val="0069006E"/>
    <w:rsid w:val="006908A6"/>
    <w:rsid w:val="006909AC"/>
    <w:rsid w:val="00691312"/>
    <w:rsid w:val="00693812"/>
    <w:rsid w:val="006942EB"/>
    <w:rsid w:val="00694CFE"/>
    <w:rsid w:val="006951A6"/>
    <w:rsid w:val="00695E7F"/>
    <w:rsid w:val="0069629F"/>
    <w:rsid w:val="006974DD"/>
    <w:rsid w:val="006A0561"/>
    <w:rsid w:val="006A0AC8"/>
    <w:rsid w:val="006A0F2F"/>
    <w:rsid w:val="006A1101"/>
    <w:rsid w:val="006A11C4"/>
    <w:rsid w:val="006A1444"/>
    <w:rsid w:val="006A1C62"/>
    <w:rsid w:val="006A1FD4"/>
    <w:rsid w:val="006A2957"/>
    <w:rsid w:val="006A36D1"/>
    <w:rsid w:val="006A3F21"/>
    <w:rsid w:val="006A4019"/>
    <w:rsid w:val="006A4655"/>
    <w:rsid w:val="006A53A7"/>
    <w:rsid w:val="006A598B"/>
    <w:rsid w:val="006A6371"/>
    <w:rsid w:val="006A6585"/>
    <w:rsid w:val="006A70C7"/>
    <w:rsid w:val="006A75D7"/>
    <w:rsid w:val="006A79CF"/>
    <w:rsid w:val="006B1051"/>
    <w:rsid w:val="006B2B3C"/>
    <w:rsid w:val="006B2B3F"/>
    <w:rsid w:val="006B32C2"/>
    <w:rsid w:val="006B3609"/>
    <w:rsid w:val="006B3A8F"/>
    <w:rsid w:val="006B4CE0"/>
    <w:rsid w:val="006B5B18"/>
    <w:rsid w:val="006B6AEE"/>
    <w:rsid w:val="006B78F9"/>
    <w:rsid w:val="006B7BF4"/>
    <w:rsid w:val="006C1D81"/>
    <w:rsid w:val="006C2CAB"/>
    <w:rsid w:val="006C3452"/>
    <w:rsid w:val="006C34DF"/>
    <w:rsid w:val="006C3D43"/>
    <w:rsid w:val="006C4A95"/>
    <w:rsid w:val="006C548D"/>
    <w:rsid w:val="006C6BE3"/>
    <w:rsid w:val="006C7038"/>
    <w:rsid w:val="006C755F"/>
    <w:rsid w:val="006D0A39"/>
    <w:rsid w:val="006D141A"/>
    <w:rsid w:val="006D18C7"/>
    <w:rsid w:val="006D34F7"/>
    <w:rsid w:val="006D520D"/>
    <w:rsid w:val="006E1C3E"/>
    <w:rsid w:val="006E2578"/>
    <w:rsid w:val="006E391C"/>
    <w:rsid w:val="006E46FD"/>
    <w:rsid w:val="006E4A4D"/>
    <w:rsid w:val="006E5AFC"/>
    <w:rsid w:val="006E73EF"/>
    <w:rsid w:val="006F0899"/>
    <w:rsid w:val="006F0B5B"/>
    <w:rsid w:val="006F15CF"/>
    <w:rsid w:val="006F2119"/>
    <w:rsid w:val="006F2169"/>
    <w:rsid w:val="006F2840"/>
    <w:rsid w:val="006F380A"/>
    <w:rsid w:val="006F4843"/>
    <w:rsid w:val="006F5B5F"/>
    <w:rsid w:val="006F74E7"/>
    <w:rsid w:val="006F7E09"/>
    <w:rsid w:val="0070087A"/>
    <w:rsid w:val="00700AC1"/>
    <w:rsid w:val="007012B4"/>
    <w:rsid w:val="007013BF"/>
    <w:rsid w:val="00701DF1"/>
    <w:rsid w:val="0070384C"/>
    <w:rsid w:val="00703A22"/>
    <w:rsid w:val="00707570"/>
    <w:rsid w:val="007075ED"/>
    <w:rsid w:val="007079C9"/>
    <w:rsid w:val="00712224"/>
    <w:rsid w:val="00712C6B"/>
    <w:rsid w:val="00714D4D"/>
    <w:rsid w:val="00714F10"/>
    <w:rsid w:val="0071536A"/>
    <w:rsid w:val="00716108"/>
    <w:rsid w:val="007178D5"/>
    <w:rsid w:val="00717E43"/>
    <w:rsid w:val="00720F79"/>
    <w:rsid w:val="00721BEB"/>
    <w:rsid w:val="00721CDA"/>
    <w:rsid w:val="00725387"/>
    <w:rsid w:val="007257C0"/>
    <w:rsid w:val="007266D3"/>
    <w:rsid w:val="007271BB"/>
    <w:rsid w:val="00727277"/>
    <w:rsid w:val="0073071C"/>
    <w:rsid w:val="0073080D"/>
    <w:rsid w:val="00731488"/>
    <w:rsid w:val="00732029"/>
    <w:rsid w:val="00732AE9"/>
    <w:rsid w:val="0073459D"/>
    <w:rsid w:val="00735BB2"/>
    <w:rsid w:val="007366C5"/>
    <w:rsid w:val="007375E7"/>
    <w:rsid w:val="00742ABE"/>
    <w:rsid w:val="00742BDC"/>
    <w:rsid w:val="00743420"/>
    <w:rsid w:val="007438FC"/>
    <w:rsid w:val="00743B71"/>
    <w:rsid w:val="00744268"/>
    <w:rsid w:val="0074617A"/>
    <w:rsid w:val="0074687F"/>
    <w:rsid w:val="00746BFF"/>
    <w:rsid w:val="00750111"/>
    <w:rsid w:val="007507D4"/>
    <w:rsid w:val="00750942"/>
    <w:rsid w:val="00750EDD"/>
    <w:rsid w:val="00752DFA"/>
    <w:rsid w:val="00752EE9"/>
    <w:rsid w:val="00753CE6"/>
    <w:rsid w:val="007540D5"/>
    <w:rsid w:val="007548A0"/>
    <w:rsid w:val="00755422"/>
    <w:rsid w:val="007556D0"/>
    <w:rsid w:val="00756646"/>
    <w:rsid w:val="00756691"/>
    <w:rsid w:val="0075735D"/>
    <w:rsid w:val="00757CDB"/>
    <w:rsid w:val="007604BB"/>
    <w:rsid w:val="00763522"/>
    <w:rsid w:val="00764044"/>
    <w:rsid w:val="0076436D"/>
    <w:rsid w:val="0076573D"/>
    <w:rsid w:val="00766082"/>
    <w:rsid w:val="00766C83"/>
    <w:rsid w:val="007672C4"/>
    <w:rsid w:val="007674CE"/>
    <w:rsid w:val="00770152"/>
    <w:rsid w:val="00770AF1"/>
    <w:rsid w:val="00772909"/>
    <w:rsid w:val="007730F8"/>
    <w:rsid w:val="007739A0"/>
    <w:rsid w:val="00774728"/>
    <w:rsid w:val="00775027"/>
    <w:rsid w:val="007754B1"/>
    <w:rsid w:val="00775DFF"/>
    <w:rsid w:val="0077680B"/>
    <w:rsid w:val="00777787"/>
    <w:rsid w:val="00777E36"/>
    <w:rsid w:val="00780414"/>
    <w:rsid w:val="007813E5"/>
    <w:rsid w:val="00781A6F"/>
    <w:rsid w:val="00781D9D"/>
    <w:rsid w:val="00783FB7"/>
    <w:rsid w:val="00784187"/>
    <w:rsid w:val="00785232"/>
    <w:rsid w:val="007867EF"/>
    <w:rsid w:val="007877D0"/>
    <w:rsid w:val="007878C1"/>
    <w:rsid w:val="00787B90"/>
    <w:rsid w:val="00790EF7"/>
    <w:rsid w:val="00791CA6"/>
    <w:rsid w:val="00791D28"/>
    <w:rsid w:val="00793463"/>
    <w:rsid w:val="00793D45"/>
    <w:rsid w:val="007949AA"/>
    <w:rsid w:val="007953B5"/>
    <w:rsid w:val="0079701E"/>
    <w:rsid w:val="0079778D"/>
    <w:rsid w:val="007A08F3"/>
    <w:rsid w:val="007A0E21"/>
    <w:rsid w:val="007A21EB"/>
    <w:rsid w:val="007A2583"/>
    <w:rsid w:val="007A2AA2"/>
    <w:rsid w:val="007A4753"/>
    <w:rsid w:val="007A4B11"/>
    <w:rsid w:val="007A66F3"/>
    <w:rsid w:val="007A711A"/>
    <w:rsid w:val="007A7648"/>
    <w:rsid w:val="007A7809"/>
    <w:rsid w:val="007A79AE"/>
    <w:rsid w:val="007B1146"/>
    <w:rsid w:val="007B11E7"/>
    <w:rsid w:val="007B1A93"/>
    <w:rsid w:val="007B2B4B"/>
    <w:rsid w:val="007B2E44"/>
    <w:rsid w:val="007B2ED7"/>
    <w:rsid w:val="007B3368"/>
    <w:rsid w:val="007B536F"/>
    <w:rsid w:val="007B579F"/>
    <w:rsid w:val="007B7EC9"/>
    <w:rsid w:val="007C00A6"/>
    <w:rsid w:val="007C0D52"/>
    <w:rsid w:val="007C2847"/>
    <w:rsid w:val="007C2DF1"/>
    <w:rsid w:val="007C36C9"/>
    <w:rsid w:val="007C3CAD"/>
    <w:rsid w:val="007C3EC4"/>
    <w:rsid w:val="007C430E"/>
    <w:rsid w:val="007C5062"/>
    <w:rsid w:val="007C50FF"/>
    <w:rsid w:val="007C6773"/>
    <w:rsid w:val="007C70E5"/>
    <w:rsid w:val="007C7209"/>
    <w:rsid w:val="007C7240"/>
    <w:rsid w:val="007C7FE4"/>
    <w:rsid w:val="007D0AD5"/>
    <w:rsid w:val="007D0BDD"/>
    <w:rsid w:val="007D1177"/>
    <w:rsid w:val="007D18EF"/>
    <w:rsid w:val="007D19B5"/>
    <w:rsid w:val="007D308B"/>
    <w:rsid w:val="007D348F"/>
    <w:rsid w:val="007D3EF7"/>
    <w:rsid w:val="007D5122"/>
    <w:rsid w:val="007D517F"/>
    <w:rsid w:val="007D547B"/>
    <w:rsid w:val="007D6401"/>
    <w:rsid w:val="007D6F4E"/>
    <w:rsid w:val="007D6FE1"/>
    <w:rsid w:val="007D7663"/>
    <w:rsid w:val="007E01E4"/>
    <w:rsid w:val="007E07CA"/>
    <w:rsid w:val="007E085A"/>
    <w:rsid w:val="007E1879"/>
    <w:rsid w:val="007E19E8"/>
    <w:rsid w:val="007E2B79"/>
    <w:rsid w:val="007E3F6E"/>
    <w:rsid w:val="007E4CC1"/>
    <w:rsid w:val="007E53BC"/>
    <w:rsid w:val="007E55BA"/>
    <w:rsid w:val="007E59D0"/>
    <w:rsid w:val="007E59E1"/>
    <w:rsid w:val="007E653D"/>
    <w:rsid w:val="007E7305"/>
    <w:rsid w:val="007E7A12"/>
    <w:rsid w:val="007F003B"/>
    <w:rsid w:val="007F015F"/>
    <w:rsid w:val="007F065C"/>
    <w:rsid w:val="007F2271"/>
    <w:rsid w:val="007F29BE"/>
    <w:rsid w:val="007F3507"/>
    <w:rsid w:val="007F4A7A"/>
    <w:rsid w:val="007F4D10"/>
    <w:rsid w:val="007F582E"/>
    <w:rsid w:val="007F5E12"/>
    <w:rsid w:val="007F67CC"/>
    <w:rsid w:val="007F7107"/>
    <w:rsid w:val="0080036C"/>
    <w:rsid w:val="00800D4C"/>
    <w:rsid w:val="0080370B"/>
    <w:rsid w:val="008037C8"/>
    <w:rsid w:val="0080441B"/>
    <w:rsid w:val="00804843"/>
    <w:rsid w:val="00804E11"/>
    <w:rsid w:val="00805C58"/>
    <w:rsid w:val="008062DD"/>
    <w:rsid w:val="00806D39"/>
    <w:rsid w:val="00806FF4"/>
    <w:rsid w:val="00807407"/>
    <w:rsid w:val="0081030F"/>
    <w:rsid w:val="008109F3"/>
    <w:rsid w:val="00811B8B"/>
    <w:rsid w:val="0081257F"/>
    <w:rsid w:val="008129E1"/>
    <w:rsid w:val="00812EF0"/>
    <w:rsid w:val="00812F4A"/>
    <w:rsid w:val="008135C8"/>
    <w:rsid w:val="00813B04"/>
    <w:rsid w:val="00813BE5"/>
    <w:rsid w:val="00813F00"/>
    <w:rsid w:val="0081428C"/>
    <w:rsid w:val="00814A5F"/>
    <w:rsid w:val="00815D5E"/>
    <w:rsid w:val="008162D0"/>
    <w:rsid w:val="00817BCD"/>
    <w:rsid w:val="0082087D"/>
    <w:rsid w:val="00820D2C"/>
    <w:rsid w:val="008210C5"/>
    <w:rsid w:val="00822172"/>
    <w:rsid w:val="00822979"/>
    <w:rsid w:val="00822DCF"/>
    <w:rsid w:val="008232BB"/>
    <w:rsid w:val="00823CAC"/>
    <w:rsid w:val="00823FAA"/>
    <w:rsid w:val="00824854"/>
    <w:rsid w:val="008249CF"/>
    <w:rsid w:val="00824A85"/>
    <w:rsid w:val="00825DD1"/>
    <w:rsid w:val="0082622A"/>
    <w:rsid w:val="0082667C"/>
    <w:rsid w:val="00827324"/>
    <w:rsid w:val="00827E4A"/>
    <w:rsid w:val="008315B6"/>
    <w:rsid w:val="008321B7"/>
    <w:rsid w:val="008324A8"/>
    <w:rsid w:val="008346F9"/>
    <w:rsid w:val="00835771"/>
    <w:rsid w:val="0083628A"/>
    <w:rsid w:val="00836DE4"/>
    <w:rsid w:val="00837482"/>
    <w:rsid w:val="00837B5B"/>
    <w:rsid w:val="00837E2D"/>
    <w:rsid w:val="008401E7"/>
    <w:rsid w:val="00840AE1"/>
    <w:rsid w:val="00842033"/>
    <w:rsid w:val="00842815"/>
    <w:rsid w:val="00842933"/>
    <w:rsid w:val="00842ABE"/>
    <w:rsid w:val="00844533"/>
    <w:rsid w:val="00844841"/>
    <w:rsid w:val="00844EEC"/>
    <w:rsid w:val="008456D3"/>
    <w:rsid w:val="00845A52"/>
    <w:rsid w:val="00851AEE"/>
    <w:rsid w:val="008536D6"/>
    <w:rsid w:val="00853AF8"/>
    <w:rsid w:val="00854063"/>
    <w:rsid w:val="00857F11"/>
    <w:rsid w:val="0086082C"/>
    <w:rsid w:val="00861C76"/>
    <w:rsid w:val="00861F12"/>
    <w:rsid w:val="00862699"/>
    <w:rsid w:val="00862AF4"/>
    <w:rsid w:val="00863E49"/>
    <w:rsid w:val="0086404C"/>
    <w:rsid w:val="00864ADC"/>
    <w:rsid w:val="00865559"/>
    <w:rsid w:val="008657B4"/>
    <w:rsid w:val="00866069"/>
    <w:rsid w:val="00867673"/>
    <w:rsid w:val="008705F6"/>
    <w:rsid w:val="008707C6"/>
    <w:rsid w:val="0087132D"/>
    <w:rsid w:val="008713A8"/>
    <w:rsid w:val="00871B5F"/>
    <w:rsid w:val="00872AE4"/>
    <w:rsid w:val="00872C74"/>
    <w:rsid w:val="0087333A"/>
    <w:rsid w:val="008736EE"/>
    <w:rsid w:val="008755E9"/>
    <w:rsid w:val="00876906"/>
    <w:rsid w:val="00876DA8"/>
    <w:rsid w:val="00877209"/>
    <w:rsid w:val="008776B9"/>
    <w:rsid w:val="00880153"/>
    <w:rsid w:val="008803EE"/>
    <w:rsid w:val="0088065F"/>
    <w:rsid w:val="00880F97"/>
    <w:rsid w:val="00881317"/>
    <w:rsid w:val="0088133A"/>
    <w:rsid w:val="008815DB"/>
    <w:rsid w:val="00883425"/>
    <w:rsid w:val="00884A4D"/>
    <w:rsid w:val="00884E28"/>
    <w:rsid w:val="008865F4"/>
    <w:rsid w:val="0088677F"/>
    <w:rsid w:val="008867DC"/>
    <w:rsid w:val="00886993"/>
    <w:rsid w:val="008869D0"/>
    <w:rsid w:val="008905BF"/>
    <w:rsid w:val="00890922"/>
    <w:rsid w:val="00890AB1"/>
    <w:rsid w:val="00891602"/>
    <w:rsid w:val="0089285E"/>
    <w:rsid w:val="00892CE0"/>
    <w:rsid w:val="00893240"/>
    <w:rsid w:val="008933C0"/>
    <w:rsid w:val="00893AD4"/>
    <w:rsid w:val="0089436C"/>
    <w:rsid w:val="008949BC"/>
    <w:rsid w:val="00896760"/>
    <w:rsid w:val="00896C62"/>
    <w:rsid w:val="00897076"/>
    <w:rsid w:val="008A0A21"/>
    <w:rsid w:val="008A0E5A"/>
    <w:rsid w:val="008A12E7"/>
    <w:rsid w:val="008A1CB9"/>
    <w:rsid w:val="008A2817"/>
    <w:rsid w:val="008A2F63"/>
    <w:rsid w:val="008A2FA9"/>
    <w:rsid w:val="008A32BF"/>
    <w:rsid w:val="008A3D6D"/>
    <w:rsid w:val="008A417B"/>
    <w:rsid w:val="008A54B6"/>
    <w:rsid w:val="008A6A5B"/>
    <w:rsid w:val="008A742D"/>
    <w:rsid w:val="008B0763"/>
    <w:rsid w:val="008B2DBD"/>
    <w:rsid w:val="008B43CF"/>
    <w:rsid w:val="008B5147"/>
    <w:rsid w:val="008B64FA"/>
    <w:rsid w:val="008B76F7"/>
    <w:rsid w:val="008B78F6"/>
    <w:rsid w:val="008C0120"/>
    <w:rsid w:val="008C0BB8"/>
    <w:rsid w:val="008C13E2"/>
    <w:rsid w:val="008C1978"/>
    <w:rsid w:val="008C2579"/>
    <w:rsid w:val="008C2B4A"/>
    <w:rsid w:val="008C49C3"/>
    <w:rsid w:val="008C6C4F"/>
    <w:rsid w:val="008C6FA8"/>
    <w:rsid w:val="008C7B1B"/>
    <w:rsid w:val="008D0101"/>
    <w:rsid w:val="008D021F"/>
    <w:rsid w:val="008D0422"/>
    <w:rsid w:val="008D0B1F"/>
    <w:rsid w:val="008D1C72"/>
    <w:rsid w:val="008D26DB"/>
    <w:rsid w:val="008D365C"/>
    <w:rsid w:val="008D464F"/>
    <w:rsid w:val="008D570E"/>
    <w:rsid w:val="008D6F15"/>
    <w:rsid w:val="008D7622"/>
    <w:rsid w:val="008D7FDB"/>
    <w:rsid w:val="008E0F95"/>
    <w:rsid w:val="008E1765"/>
    <w:rsid w:val="008E1B7D"/>
    <w:rsid w:val="008E1FB6"/>
    <w:rsid w:val="008E2666"/>
    <w:rsid w:val="008E279C"/>
    <w:rsid w:val="008E387D"/>
    <w:rsid w:val="008E38F5"/>
    <w:rsid w:val="008E3BE2"/>
    <w:rsid w:val="008E6FBB"/>
    <w:rsid w:val="008E7491"/>
    <w:rsid w:val="008F01D1"/>
    <w:rsid w:val="008F0706"/>
    <w:rsid w:val="008F0DED"/>
    <w:rsid w:val="008F187B"/>
    <w:rsid w:val="008F1900"/>
    <w:rsid w:val="008F1D72"/>
    <w:rsid w:val="008F2340"/>
    <w:rsid w:val="008F2910"/>
    <w:rsid w:val="008F38DC"/>
    <w:rsid w:val="008F41DE"/>
    <w:rsid w:val="008F617F"/>
    <w:rsid w:val="009004A3"/>
    <w:rsid w:val="00900D7C"/>
    <w:rsid w:val="009010B2"/>
    <w:rsid w:val="009014BF"/>
    <w:rsid w:val="00901553"/>
    <w:rsid w:val="00901F6D"/>
    <w:rsid w:val="009021A6"/>
    <w:rsid w:val="009030BF"/>
    <w:rsid w:val="00903B52"/>
    <w:rsid w:val="00903D30"/>
    <w:rsid w:val="00903D90"/>
    <w:rsid w:val="009041A4"/>
    <w:rsid w:val="00904276"/>
    <w:rsid w:val="0090450D"/>
    <w:rsid w:val="00905400"/>
    <w:rsid w:val="00905C0D"/>
    <w:rsid w:val="00905CAF"/>
    <w:rsid w:val="00905D25"/>
    <w:rsid w:val="00905FCD"/>
    <w:rsid w:val="0091032F"/>
    <w:rsid w:val="00910FC2"/>
    <w:rsid w:val="00911313"/>
    <w:rsid w:val="00912482"/>
    <w:rsid w:val="00912826"/>
    <w:rsid w:val="00912D55"/>
    <w:rsid w:val="00912F35"/>
    <w:rsid w:val="0091329E"/>
    <w:rsid w:val="00914368"/>
    <w:rsid w:val="00916268"/>
    <w:rsid w:val="0092023D"/>
    <w:rsid w:val="00920676"/>
    <w:rsid w:val="00923003"/>
    <w:rsid w:val="00923732"/>
    <w:rsid w:val="009248CC"/>
    <w:rsid w:val="009257B3"/>
    <w:rsid w:val="00925A42"/>
    <w:rsid w:val="00927481"/>
    <w:rsid w:val="00927677"/>
    <w:rsid w:val="00927F6E"/>
    <w:rsid w:val="00930137"/>
    <w:rsid w:val="00931076"/>
    <w:rsid w:val="009313B2"/>
    <w:rsid w:val="009329D2"/>
    <w:rsid w:val="00933EB3"/>
    <w:rsid w:val="009345D9"/>
    <w:rsid w:val="00934B15"/>
    <w:rsid w:val="00935994"/>
    <w:rsid w:val="00935F0A"/>
    <w:rsid w:val="00936CD8"/>
    <w:rsid w:val="009379C7"/>
    <w:rsid w:val="00940C87"/>
    <w:rsid w:val="00941C7B"/>
    <w:rsid w:val="00942B62"/>
    <w:rsid w:val="0094358C"/>
    <w:rsid w:val="00943BE6"/>
    <w:rsid w:val="0094444F"/>
    <w:rsid w:val="009449DD"/>
    <w:rsid w:val="0094521B"/>
    <w:rsid w:val="00945272"/>
    <w:rsid w:val="009452AD"/>
    <w:rsid w:val="0094552B"/>
    <w:rsid w:val="00945AFE"/>
    <w:rsid w:val="00945DD6"/>
    <w:rsid w:val="009464CA"/>
    <w:rsid w:val="0094678F"/>
    <w:rsid w:val="00946D24"/>
    <w:rsid w:val="0094747F"/>
    <w:rsid w:val="00950133"/>
    <w:rsid w:val="00950370"/>
    <w:rsid w:val="009514C6"/>
    <w:rsid w:val="00951D97"/>
    <w:rsid w:val="0095323B"/>
    <w:rsid w:val="00955135"/>
    <w:rsid w:val="00955F30"/>
    <w:rsid w:val="009562C9"/>
    <w:rsid w:val="00956959"/>
    <w:rsid w:val="00956A0C"/>
    <w:rsid w:val="00956BD9"/>
    <w:rsid w:val="00956D9B"/>
    <w:rsid w:val="009576C9"/>
    <w:rsid w:val="00962489"/>
    <w:rsid w:val="00962F5C"/>
    <w:rsid w:val="00962FFA"/>
    <w:rsid w:val="009636C7"/>
    <w:rsid w:val="00964F2B"/>
    <w:rsid w:val="00965088"/>
    <w:rsid w:val="0096529C"/>
    <w:rsid w:val="009668F6"/>
    <w:rsid w:val="0096763E"/>
    <w:rsid w:val="00967AF8"/>
    <w:rsid w:val="00967CD3"/>
    <w:rsid w:val="0097251C"/>
    <w:rsid w:val="00974E73"/>
    <w:rsid w:val="00975116"/>
    <w:rsid w:val="009760F9"/>
    <w:rsid w:val="00976550"/>
    <w:rsid w:val="00977659"/>
    <w:rsid w:val="00977B87"/>
    <w:rsid w:val="0098010F"/>
    <w:rsid w:val="00980232"/>
    <w:rsid w:val="009807B2"/>
    <w:rsid w:val="00981162"/>
    <w:rsid w:val="00981670"/>
    <w:rsid w:val="00982FDA"/>
    <w:rsid w:val="00983360"/>
    <w:rsid w:val="00983683"/>
    <w:rsid w:val="00983D45"/>
    <w:rsid w:val="00983E0E"/>
    <w:rsid w:val="00983EF6"/>
    <w:rsid w:val="00984251"/>
    <w:rsid w:val="00984DFE"/>
    <w:rsid w:val="00986064"/>
    <w:rsid w:val="009869AF"/>
    <w:rsid w:val="00987388"/>
    <w:rsid w:val="00987D92"/>
    <w:rsid w:val="009908E2"/>
    <w:rsid w:val="00990C2C"/>
    <w:rsid w:val="0099155E"/>
    <w:rsid w:val="009917B0"/>
    <w:rsid w:val="009918A7"/>
    <w:rsid w:val="00991F07"/>
    <w:rsid w:val="00991FE4"/>
    <w:rsid w:val="0099226A"/>
    <w:rsid w:val="00992581"/>
    <w:rsid w:val="009934EE"/>
    <w:rsid w:val="00993856"/>
    <w:rsid w:val="009939CC"/>
    <w:rsid w:val="0099465C"/>
    <w:rsid w:val="00995753"/>
    <w:rsid w:val="00995BD0"/>
    <w:rsid w:val="00995CA1"/>
    <w:rsid w:val="00995E03"/>
    <w:rsid w:val="009969E3"/>
    <w:rsid w:val="009A0D59"/>
    <w:rsid w:val="009A1002"/>
    <w:rsid w:val="009A1533"/>
    <w:rsid w:val="009A1AF1"/>
    <w:rsid w:val="009A2053"/>
    <w:rsid w:val="009A238C"/>
    <w:rsid w:val="009A2A46"/>
    <w:rsid w:val="009A5171"/>
    <w:rsid w:val="009A5CE6"/>
    <w:rsid w:val="009A5D3C"/>
    <w:rsid w:val="009A64B2"/>
    <w:rsid w:val="009A66B1"/>
    <w:rsid w:val="009A69EC"/>
    <w:rsid w:val="009B0382"/>
    <w:rsid w:val="009B0482"/>
    <w:rsid w:val="009B1295"/>
    <w:rsid w:val="009B1685"/>
    <w:rsid w:val="009B268A"/>
    <w:rsid w:val="009B49F0"/>
    <w:rsid w:val="009B614E"/>
    <w:rsid w:val="009B7E20"/>
    <w:rsid w:val="009C03C6"/>
    <w:rsid w:val="009C058E"/>
    <w:rsid w:val="009C0BA7"/>
    <w:rsid w:val="009C0BB6"/>
    <w:rsid w:val="009C17EC"/>
    <w:rsid w:val="009C19CC"/>
    <w:rsid w:val="009C1A74"/>
    <w:rsid w:val="009C2703"/>
    <w:rsid w:val="009C2BA4"/>
    <w:rsid w:val="009C36B2"/>
    <w:rsid w:val="009C3F0E"/>
    <w:rsid w:val="009C530C"/>
    <w:rsid w:val="009C53AE"/>
    <w:rsid w:val="009C5B13"/>
    <w:rsid w:val="009C5C49"/>
    <w:rsid w:val="009D0016"/>
    <w:rsid w:val="009D02D4"/>
    <w:rsid w:val="009D1BBB"/>
    <w:rsid w:val="009D1FD2"/>
    <w:rsid w:val="009D4382"/>
    <w:rsid w:val="009D5161"/>
    <w:rsid w:val="009D6DBC"/>
    <w:rsid w:val="009D76EB"/>
    <w:rsid w:val="009E00EF"/>
    <w:rsid w:val="009E0B83"/>
    <w:rsid w:val="009E0FDA"/>
    <w:rsid w:val="009E1717"/>
    <w:rsid w:val="009E1844"/>
    <w:rsid w:val="009E2B22"/>
    <w:rsid w:val="009E2ED9"/>
    <w:rsid w:val="009E3CD9"/>
    <w:rsid w:val="009E42F0"/>
    <w:rsid w:val="009E448C"/>
    <w:rsid w:val="009E567B"/>
    <w:rsid w:val="009E6ECF"/>
    <w:rsid w:val="009E778B"/>
    <w:rsid w:val="009E7DDB"/>
    <w:rsid w:val="009F0833"/>
    <w:rsid w:val="009F0B86"/>
    <w:rsid w:val="009F0D1B"/>
    <w:rsid w:val="009F10F3"/>
    <w:rsid w:val="009F1D5C"/>
    <w:rsid w:val="009F2107"/>
    <w:rsid w:val="009F2252"/>
    <w:rsid w:val="009F2630"/>
    <w:rsid w:val="009F3182"/>
    <w:rsid w:val="009F390F"/>
    <w:rsid w:val="009F40A2"/>
    <w:rsid w:val="009F41F1"/>
    <w:rsid w:val="009F5BBD"/>
    <w:rsid w:val="009F6175"/>
    <w:rsid w:val="009F696D"/>
    <w:rsid w:val="009F6BC6"/>
    <w:rsid w:val="009F74EF"/>
    <w:rsid w:val="009F7629"/>
    <w:rsid w:val="00A005DC"/>
    <w:rsid w:val="00A014EF"/>
    <w:rsid w:val="00A01FC3"/>
    <w:rsid w:val="00A02480"/>
    <w:rsid w:val="00A02826"/>
    <w:rsid w:val="00A03CD4"/>
    <w:rsid w:val="00A0524A"/>
    <w:rsid w:val="00A07D1E"/>
    <w:rsid w:val="00A1000C"/>
    <w:rsid w:val="00A11307"/>
    <w:rsid w:val="00A11E0C"/>
    <w:rsid w:val="00A129C7"/>
    <w:rsid w:val="00A137E2"/>
    <w:rsid w:val="00A1523E"/>
    <w:rsid w:val="00A15D5A"/>
    <w:rsid w:val="00A15E69"/>
    <w:rsid w:val="00A170E0"/>
    <w:rsid w:val="00A17328"/>
    <w:rsid w:val="00A1778C"/>
    <w:rsid w:val="00A20391"/>
    <w:rsid w:val="00A2153B"/>
    <w:rsid w:val="00A2311E"/>
    <w:rsid w:val="00A239CB"/>
    <w:rsid w:val="00A23A20"/>
    <w:rsid w:val="00A23C20"/>
    <w:rsid w:val="00A23F08"/>
    <w:rsid w:val="00A2404F"/>
    <w:rsid w:val="00A24443"/>
    <w:rsid w:val="00A24AAF"/>
    <w:rsid w:val="00A26342"/>
    <w:rsid w:val="00A263AE"/>
    <w:rsid w:val="00A268B9"/>
    <w:rsid w:val="00A2703A"/>
    <w:rsid w:val="00A270BB"/>
    <w:rsid w:val="00A3124F"/>
    <w:rsid w:val="00A32160"/>
    <w:rsid w:val="00A32681"/>
    <w:rsid w:val="00A32E9D"/>
    <w:rsid w:val="00A33856"/>
    <w:rsid w:val="00A33DFF"/>
    <w:rsid w:val="00A33F56"/>
    <w:rsid w:val="00A34CA5"/>
    <w:rsid w:val="00A35115"/>
    <w:rsid w:val="00A36D8A"/>
    <w:rsid w:val="00A36D9A"/>
    <w:rsid w:val="00A3719F"/>
    <w:rsid w:val="00A4243F"/>
    <w:rsid w:val="00A43A60"/>
    <w:rsid w:val="00A4433F"/>
    <w:rsid w:val="00A4446A"/>
    <w:rsid w:val="00A451DC"/>
    <w:rsid w:val="00A45533"/>
    <w:rsid w:val="00A46C46"/>
    <w:rsid w:val="00A46D9C"/>
    <w:rsid w:val="00A4728A"/>
    <w:rsid w:val="00A501BA"/>
    <w:rsid w:val="00A50EBD"/>
    <w:rsid w:val="00A51AC5"/>
    <w:rsid w:val="00A522D8"/>
    <w:rsid w:val="00A53BA3"/>
    <w:rsid w:val="00A53BCD"/>
    <w:rsid w:val="00A5465F"/>
    <w:rsid w:val="00A54F21"/>
    <w:rsid w:val="00A554AB"/>
    <w:rsid w:val="00A55B41"/>
    <w:rsid w:val="00A55E7A"/>
    <w:rsid w:val="00A57062"/>
    <w:rsid w:val="00A57374"/>
    <w:rsid w:val="00A57A2B"/>
    <w:rsid w:val="00A57E9B"/>
    <w:rsid w:val="00A57F1A"/>
    <w:rsid w:val="00A601FC"/>
    <w:rsid w:val="00A6127F"/>
    <w:rsid w:val="00A61B5F"/>
    <w:rsid w:val="00A61F72"/>
    <w:rsid w:val="00A62220"/>
    <w:rsid w:val="00A63890"/>
    <w:rsid w:val="00A6491D"/>
    <w:rsid w:val="00A64CCE"/>
    <w:rsid w:val="00A65762"/>
    <w:rsid w:val="00A65CE7"/>
    <w:rsid w:val="00A67590"/>
    <w:rsid w:val="00A67781"/>
    <w:rsid w:val="00A6796F"/>
    <w:rsid w:val="00A67DFC"/>
    <w:rsid w:val="00A67F68"/>
    <w:rsid w:val="00A71922"/>
    <w:rsid w:val="00A71B52"/>
    <w:rsid w:val="00A7223B"/>
    <w:rsid w:val="00A72C7B"/>
    <w:rsid w:val="00A72E70"/>
    <w:rsid w:val="00A7312A"/>
    <w:rsid w:val="00A73438"/>
    <w:rsid w:val="00A736C7"/>
    <w:rsid w:val="00A73B9F"/>
    <w:rsid w:val="00A7502D"/>
    <w:rsid w:val="00A761D4"/>
    <w:rsid w:val="00A761F9"/>
    <w:rsid w:val="00A7640F"/>
    <w:rsid w:val="00A77336"/>
    <w:rsid w:val="00A77E5D"/>
    <w:rsid w:val="00A80118"/>
    <w:rsid w:val="00A810FD"/>
    <w:rsid w:val="00A81646"/>
    <w:rsid w:val="00A816CA"/>
    <w:rsid w:val="00A8234C"/>
    <w:rsid w:val="00A82AC4"/>
    <w:rsid w:val="00A8478F"/>
    <w:rsid w:val="00A908A5"/>
    <w:rsid w:val="00A90965"/>
    <w:rsid w:val="00A90BF1"/>
    <w:rsid w:val="00A90C2C"/>
    <w:rsid w:val="00A90FC4"/>
    <w:rsid w:val="00A92B53"/>
    <w:rsid w:val="00A92B8E"/>
    <w:rsid w:val="00A9395E"/>
    <w:rsid w:val="00A9445C"/>
    <w:rsid w:val="00A94B16"/>
    <w:rsid w:val="00A94FA6"/>
    <w:rsid w:val="00A95C0F"/>
    <w:rsid w:val="00A97277"/>
    <w:rsid w:val="00AA2150"/>
    <w:rsid w:val="00AA28AF"/>
    <w:rsid w:val="00AA2AFC"/>
    <w:rsid w:val="00AA2C0F"/>
    <w:rsid w:val="00AA3746"/>
    <w:rsid w:val="00AA387A"/>
    <w:rsid w:val="00AA3F34"/>
    <w:rsid w:val="00AA41EF"/>
    <w:rsid w:val="00AA45AC"/>
    <w:rsid w:val="00AA49A0"/>
    <w:rsid w:val="00AA54D2"/>
    <w:rsid w:val="00AA6710"/>
    <w:rsid w:val="00AA6933"/>
    <w:rsid w:val="00AA7CC6"/>
    <w:rsid w:val="00AB0681"/>
    <w:rsid w:val="00AB1257"/>
    <w:rsid w:val="00AB12F5"/>
    <w:rsid w:val="00AB26A5"/>
    <w:rsid w:val="00AB5122"/>
    <w:rsid w:val="00AB5F6E"/>
    <w:rsid w:val="00AB7029"/>
    <w:rsid w:val="00AB787D"/>
    <w:rsid w:val="00AC032E"/>
    <w:rsid w:val="00AC1485"/>
    <w:rsid w:val="00AC23A4"/>
    <w:rsid w:val="00AC3A15"/>
    <w:rsid w:val="00AC3ECB"/>
    <w:rsid w:val="00AC3EEB"/>
    <w:rsid w:val="00AC73AA"/>
    <w:rsid w:val="00AC7623"/>
    <w:rsid w:val="00AC76AC"/>
    <w:rsid w:val="00AD0D66"/>
    <w:rsid w:val="00AD1248"/>
    <w:rsid w:val="00AD27E9"/>
    <w:rsid w:val="00AD2E56"/>
    <w:rsid w:val="00AD3313"/>
    <w:rsid w:val="00AD36B7"/>
    <w:rsid w:val="00AD3999"/>
    <w:rsid w:val="00AD3D65"/>
    <w:rsid w:val="00AD4263"/>
    <w:rsid w:val="00AD4293"/>
    <w:rsid w:val="00AD520B"/>
    <w:rsid w:val="00AD5DA0"/>
    <w:rsid w:val="00AD6DF2"/>
    <w:rsid w:val="00AD702B"/>
    <w:rsid w:val="00AD77CF"/>
    <w:rsid w:val="00AE1109"/>
    <w:rsid w:val="00AE3BCC"/>
    <w:rsid w:val="00AE3F5D"/>
    <w:rsid w:val="00AE4228"/>
    <w:rsid w:val="00AE6437"/>
    <w:rsid w:val="00AE68CF"/>
    <w:rsid w:val="00AF000B"/>
    <w:rsid w:val="00AF0687"/>
    <w:rsid w:val="00AF2FAD"/>
    <w:rsid w:val="00AF30B3"/>
    <w:rsid w:val="00AF3155"/>
    <w:rsid w:val="00AF3EA1"/>
    <w:rsid w:val="00AF4822"/>
    <w:rsid w:val="00AF4F3B"/>
    <w:rsid w:val="00AF5909"/>
    <w:rsid w:val="00AF6FD8"/>
    <w:rsid w:val="00B00332"/>
    <w:rsid w:val="00B00F6B"/>
    <w:rsid w:val="00B03947"/>
    <w:rsid w:val="00B04617"/>
    <w:rsid w:val="00B06676"/>
    <w:rsid w:val="00B07060"/>
    <w:rsid w:val="00B1045C"/>
    <w:rsid w:val="00B11F09"/>
    <w:rsid w:val="00B13167"/>
    <w:rsid w:val="00B14FD3"/>
    <w:rsid w:val="00B15034"/>
    <w:rsid w:val="00B158B5"/>
    <w:rsid w:val="00B1626F"/>
    <w:rsid w:val="00B208D3"/>
    <w:rsid w:val="00B21A9D"/>
    <w:rsid w:val="00B22755"/>
    <w:rsid w:val="00B23D5C"/>
    <w:rsid w:val="00B24840"/>
    <w:rsid w:val="00B24906"/>
    <w:rsid w:val="00B252A5"/>
    <w:rsid w:val="00B25C9A"/>
    <w:rsid w:val="00B2630D"/>
    <w:rsid w:val="00B26E65"/>
    <w:rsid w:val="00B30F91"/>
    <w:rsid w:val="00B31072"/>
    <w:rsid w:val="00B312E8"/>
    <w:rsid w:val="00B318C1"/>
    <w:rsid w:val="00B31932"/>
    <w:rsid w:val="00B31B44"/>
    <w:rsid w:val="00B31F5D"/>
    <w:rsid w:val="00B32427"/>
    <w:rsid w:val="00B3287B"/>
    <w:rsid w:val="00B32E96"/>
    <w:rsid w:val="00B33B15"/>
    <w:rsid w:val="00B34759"/>
    <w:rsid w:val="00B34E2A"/>
    <w:rsid w:val="00B37E16"/>
    <w:rsid w:val="00B37E3F"/>
    <w:rsid w:val="00B40CB3"/>
    <w:rsid w:val="00B414FF"/>
    <w:rsid w:val="00B42035"/>
    <w:rsid w:val="00B42334"/>
    <w:rsid w:val="00B425C3"/>
    <w:rsid w:val="00B429CF"/>
    <w:rsid w:val="00B440AD"/>
    <w:rsid w:val="00B44134"/>
    <w:rsid w:val="00B44529"/>
    <w:rsid w:val="00B45465"/>
    <w:rsid w:val="00B45F14"/>
    <w:rsid w:val="00B461DD"/>
    <w:rsid w:val="00B46211"/>
    <w:rsid w:val="00B479BB"/>
    <w:rsid w:val="00B47D25"/>
    <w:rsid w:val="00B50560"/>
    <w:rsid w:val="00B512A5"/>
    <w:rsid w:val="00B52E8A"/>
    <w:rsid w:val="00B53E7E"/>
    <w:rsid w:val="00B557F7"/>
    <w:rsid w:val="00B564D0"/>
    <w:rsid w:val="00B56B7F"/>
    <w:rsid w:val="00B571F1"/>
    <w:rsid w:val="00B57A0C"/>
    <w:rsid w:val="00B608D3"/>
    <w:rsid w:val="00B608D8"/>
    <w:rsid w:val="00B61B72"/>
    <w:rsid w:val="00B62797"/>
    <w:rsid w:val="00B6342E"/>
    <w:rsid w:val="00B64A16"/>
    <w:rsid w:val="00B65D95"/>
    <w:rsid w:val="00B66155"/>
    <w:rsid w:val="00B67029"/>
    <w:rsid w:val="00B67A2A"/>
    <w:rsid w:val="00B7113F"/>
    <w:rsid w:val="00B711F9"/>
    <w:rsid w:val="00B715C5"/>
    <w:rsid w:val="00B717E1"/>
    <w:rsid w:val="00B72574"/>
    <w:rsid w:val="00B72C64"/>
    <w:rsid w:val="00B744BA"/>
    <w:rsid w:val="00B748FE"/>
    <w:rsid w:val="00B75799"/>
    <w:rsid w:val="00B75CE1"/>
    <w:rsid w:val="00B77690"/>
    <w:rsid w:val="00B77C4C"/>
    <w:rsid w:val="00B80741"/>
    <w:rsid w:val="00B832E3"/>
    <w:rsid w:val="00B83EFD"/>
    <w:rsid w:val="00B84848"/>
    <w:rsid w:val="00B84E8F"/>
    <w:rsid w:val="00B8599B"/>
    <w:rsid w:val="00B87107"/>
    <w:rsid w:val="00B8730F"/>
    <w:rsid w:val="00B87E9D"/>
    <w:rsid w:val="00B91056"/>
    <w:rsid w:val="00B91193"/>
    <w:rsid w:val="00B928B3"/>
    <w:rsid w:val="00B93665"/>
    <w:rsid w:val="00B93F4F"/>
    <w:rsid w:val="00B941A6"/>
    <w:rsid w:val="00B9580F"/>
    <w:rsid w:val="00B9581B"/>
    <w:rsid w:val="00B95993"/>
    <w:rsid w:val="00B9599E"/>
    <w:rsid w:val="00B95FE0"/>
    <w:rsid w:val="00B96092"/>
    <w:rsid w:val="00B96C5E"/>
    <w:rsid w:val="00B97014"/>
    <w:rsid w:val="00B97972"/>
    <w:rsid w:val="00BA05B5"/>
    <w:rsid w:val="00BA0BF5"/>
    <w:rsid w:val="00BA1A3B"/>
    <w:rsid w:val="00BA2BCF"/>
    <w:rsid w:val="00BA40F0"/>
    <w:rsid w:val="00BA4CC7"/>
    <w:rsid w:val="00BA51BE"/>
    <w:rsid w:val="00BA5226"/>
    <w:rsid w:val="00BA5B14"/>
    <w:rsid w:val="00BA73B6"/>
    <w:rsid w:val="00BA7D32"/>
    <w:rsid w:val="00BA7D4A"/>
    <w:rsid w:val="00BA7E27"/>
    <w:rsid w:val="00BB1DC4"/>
    <w:rsid w:val="00BB2059"/>
    <w:rsid w:val="00BB2603"/>
    <w:rsid w:val="00BB2923"/>
    <w:rsid w:val="00BB38C4"/>
    <w:rsid w:val="00BB3D8C"/>
    <w:rsid w:val="00BB426A"/>
    <w:rsid w:val="00BB4BD8"/>
    <w:rsid w:val="00BB4FCD"/>
    <w:rsid w:val="00BB5042"/>
    <w:rsid w:val="00BB5CF6"/>
    <w:rsid w:val="00BB6C64"/>
    <w:rsid w:val="00BB6FB2"/>
    <w:rsid w:val="00BB7BF8"/>
    <w:rsid w:val="00BC04E9"/>
    <w:rsid w:val="00BC064D"/>
    <w:rsid w:val="00BC0B96"/>
    <w:rsid w:val="00BC1F30"/>
    <w:rsid w:val="00BC20BA"/>
    <w:rsid w:val="00BC27CC"/>
    <w:rsid w:val="00BC31B2"/>
    <w:rsid w:val="00BC374E"/>
    <w:rsid w:val="00BC3B7E"/>
    <w:rsid w:val="00BC42D6"/>
    <w:rsid w:val="00BC457C"/>
    <w:rsid w:val="00BC4646"/>
    <w:rsid w:val="00BC677C"/>
    <w:rsid w:val="00BD028F"/>
    <w:rsid w:val="00BD09C9"/>
    <w:rsid w:val="00BD0ACC"/>
    <w:rsid w:val="00BD1059"/>
    <w:rsid w:val="00BD13EA"/>
    <w:rsid w:val="00BD23CF"/>
    <w:rsid w:val="00BD4E01"/>
    <w:rsid w:val="00BD530E"/>
    <w:rsid w:val="00BD542D"/>
    <w:rsid w:val="00BD666A"/>
    <w:rsid w:val="00BE084F"/>
    <w:rsid w:val="00BE11DF"/>
    <w:rsid w:val="00BE1EDC"/>
    <w:rsid w:val="00BE3808"/>
    <w:rsid w:val="00BE4C68"/>
    <w:rsid w:val="00BE5B6D"/>
    <w:rsid w:val="00BE644B"/>
    <w:rsid w:val="00BE6652"/>
    <w:rsid w:val="00BE75D2"/>
    <w:rsid w:val="00BE7B6B"/>
    <w:rsid w:val="00BF0638"/>
    <w:rsid w:val="00BF1598"/>
    <w:rsid w:val="00BF18EC"/>
    <w:rsid w:val="00BF3304"/>
    <w:rsid w:val="00BF38AC"/>
    <w:rsid w:val="00BF3E48"/>
    <w:rsid w:val="00BF4234"/>
    <w:rsid w:val="00BF4CA1"/>
    <w:rsid w:val="00BF4CB8"/>
    <w:rsid w:val="00BF4E3D"/>
    <w:rsid w:val="00BF623A"/>
    <w:rsid w:val="00BF73D0"/>
    <w:rsid w:val="00C00188"/>
    <w:rsid w:val="00C01414"/>
    <w:rsid w:val="00C01B2D"/>
    <w:rsid w:val="00C01CE7"/>
    <w:rsid w:val="00C03948"/>
    <w:rsid w:val="00C03B88"/>
    <w:rsid w:val="00C043CF"/>
    <w:rsid w:val="00C050E0"/>
    <w:rsid w:val="00C056D5"/>
    <w:rsid w:val="00C06281"/>
    <w:rsid w:val="00C062E9"/>
    <w:rsid w:val="00C07AAB"/>
    <w:rsid w:val="00C07B64"/>
    <w:rsid w:val="00C105B4"/>
    <w:rsid w:val="00C11318"/>
    <w:rsid w:val="00C12E9C"/>
    <w:rsid w:val="00C13721"/>
    <w:rsid w:val="00C14FE4"/>
    <w:rsid w:val="00C15717"/>
    <w:rsid w:val="00C15ED5"/>
    <w:rsid w:val="00C162C1"/>
    <w:rsid w:val="00C21488"/>
    <w:rsid w:val="00C21FB5"/>
    <w:rsid w:val="00C22038"/>
    <w:rsid w:val="00C22430"/>
    <w:rsid w:val="00C2307B"/>
    <w:rsid w:val="00C24FB0"/>
    <w:rsid w:val="00C25FD1"/>
    <w:rsid w:val="00C26243"/>
    <w:rsid w:val="00C2679D"/>
    <w:rsid w:val="00C2737A"/>
    <w:rsid w:val="00C274A8"/>
    <w:rsid w:val="00C27C40"/>
    <w:rsid w:val="00C27D06"/>
    <w:rsid w:val="00C3066D"/>
    <w:rsid w:val="00C30A60"/>
    <w:rsid w:val="00C31158"/>
    <w:rsid w:val="00C32EC3"/>
    <w:rsid w:val="00C34316"/>
    <w:rsid w:val="00C357DE"/>
    <w:rsid w:val="00C365CA"/>
    <w:rsid w:val="00C3784D"/>
    <w:rsid w:val="00C37B5F"/>
    <w:rsid w:val="00C4313B"/>
    <w:rsid w:val="00C433EC"/>
    <w:rsid w:val="00C447C4"/>
    <w:rsid w:val="00C44CDF"/>
    <w:rsid w:val="00C45BDB"/>
    <w:rsid w:val="00C47096"/>
    <w:rsid w:val="00C47F39"/>
    <w:rsid w:val="00C504D2"/>
    <w:rsid w:val="00C50525"/>
    <w:rsid w:val="00C51EA7"/>
    <w:rsid w:val="00C52416"/>
    <w:rsid w:val="00C529CA"/>
    <w:rsid w:val="00C53E0E"/>
    <w:rsid w:val="00C543F4"/>
    <w:rsid w:val="00C56F7F"/>
    <w:rsid w:val="00C57716"/>
    <w:rsid w:val="00C6083B"/>
    <w:rsid w:val="00C60FB9"/>
    <w:rsid w:val="00C61E3C"/>
    <w:rsid w:val="00C62864"/>
    <w:rsid w:val="00C6291C"/>
    <w:rsid w:val="00C631B4"/>
    <w:rsid w:val="00C633CB"/>
    <w:rsid w:val="00C6366B"/>
    <w:rsid w:val="00C642DB"/>
    <w:rsid w:val="00C6489B"/>
    <w:rsid w:val="00C64CF9"/>
    <w:rsid w:val="00C651CE"/>
    <w:rsid w:val="00C664CD"/>
    <w:rsid w:val="00C66B68"/>
    <w:rsid w:val="00C66E02"/>
    <w:rsid w:val="00C671E6"/>
    <w:rsid w:val="00C67D11"/>
    <w:rsid w:val="00C70DAC"/>
    <w:rsid w:val="00C71868"/>
    <w:rsid w:val="00C719E8"/>
    <w:rsid w:val="00C720B0"/>
    <w:rsid w:val="00C733FB"/>
    <w:rsid w:val="00C7360C"/>
    <w:rsid w:val="00C736B7"/>
    <w:rsid w:val="00C7680E"/>
    <w:rsid w:val="00C77611"/>
    <w:rsid w:val="00C81415"/>
    <w:rsid w:val="00C81BB3"/>
    <w:rsid w:val="00C81D4A"/>
    <w:rsid w:val="00C82BD9"/>
    <w:rsid w:val="00C82C57"/>
    <w:rsid w:val="00C8349D"/>
    <w:rsid w:val="00C8352B"/>
    <w:rsid w:val="00C83AF5"/>
    <w:rsid w:val="00C868BB"/>
    <w:rsid w:val="00C87287"/>
    <w:rsid w:val="00C8762C"/>
    <w:rsid w:val="00C915F8"/>
    <w:rsid w:val="00C92AE9"/>
    <w:rsid w:val="00C94DA1"/>
    <w:rsid w:val="00C95062"/>
    <w:rsid w:val="00C95F46"/>
    <w:rsid w:val="00C962A9"/>
    <w:rsid w:val="00CA00F9"/>
    <w:rsid w:val="00CA03F1"/>
    <w:rsid w:val="00CA08A9"/>
    <w:rsid w:val="00CA1090"/>
    <w:rsid w:val="00CA121A"/>
    <w:rsid w:val="00CA15C8"/>
    <w:rsid w:val="00CA1BB4"/>
    <w:rsid w:val="00CA1BC4"/>
    <w:rsid w:val="00CA2961"/>
    <w:rsid w:val="00CA39A9"/>
    <w:rsid w:val="00CA4386"/>
    <w:rsid w:val="00CA472B"/>
    <w:rsid w:val="00CA4F64"/>
    <w:rsid w:val="00CA5627"/>
    <w:rsid w:val="00CA564C"/>
    <w:rsid w:val="00CA5CC0"/>
    <w:rsid w:val="00CA6387"/>
    <w:rsid w:val="00CA71BD"/>
    <w:rsid w:val="00CA76DC"/>
    <w:rsid w:val="00CB060E"/>
    <w:rsid w:val="00CB06FE"/>
    <w:rsid w:val="00CB0DA1"/>
    <w:rsid w:val="00CB10FF"/>
    <w:rsid w:val="00CB1663"/>
    <w:rsid w:val="00CB1767"/>
    <w:rsid w:val="00CB2AE5"/>
    <w:rsid w:val="00CB4652"/>
    <w:rsid w:val="00CB4F73"/>
    <w:rsid w:val="00CB505F"/>
    <w:rsid w:val="00CB50D7"/>
    <w:rsid w:val="00CB51D6"/>
    <w:rsid w:val="00CB57FA"/>
    <w:rsid w:val="00CB5CCC"/>
    <w:rsid w:val="00CB7177"/>
    <w:rsid w:val="00CB723C"/>
    <w:rsid w:val="00CB7CED"/>
    <w:rsid w:val="00CC035B"/>
    <w:rsid w:val="00CC070F"/>
    <w:rsid w:val="00CC1711"/>
    <w:rsid w:val="00CC1998"/>
    <w:rsid w:val="00CC27F1"/>
    <w:rsid w:val="00CC2C75"/>
    <w:rsid w:val="00CC2E4C"/>
    <w:rsid w:val="00CC34DC"/>
    <w:rsid w:val="00CC448A"/>
    <w:rsid w:val="00CC4946"/>
    <w:rsid w:val="00CC4C37"/>
    <w:rsid w:val="00CC540D"/>
    <w:rsid w:val="00CC5519"/>
    <w:rsid w:val="00CC5C83"/>
    <w:rsid w:val="00CC5EB9"/>
    <w:rsid w:val="00CC638E"/>
    <w:rsid w:val="00CC64A1"/>
    <w:rsid w:val="00CC6879"/>
    <w:rsid w:val="00CC6BA7"/>
    <w:rsid w:val="00CD0FC5"/>
    <w:rsid w:val="00CD13CD"/>
    <w:rsid w:val="00CD18A9"/>
    <w:rsid w:val="00CD2FE6"/>
    <w:rsid w:val="00CD3009"/>
    <w:rsid w:val="00CD3C28"/>
    <w:rsid w:val="00CD5115"/>
    <w:rsid w:val="00CD513F"/>
    <w:rsid w:val="00CD58C6"/>
    <w:rsid w:val="00CD5975"/>
    <w:rsid w:val="00CD6350"/>
    <w:rsid w:val="00CD66A4"/>
    <w:rsid w:val="00CD7A81"/>
    <w:rsid w:val="00CD7BA3"/>
    <w:rsid w:val="00CD7F5A"/>
    <w:rsid w:val="00CE2303"/>
    <w:rsid w:val="00CE448A"/>
    <w:rsid w:val="00CE5CCB"/>
    <w:rsid w:val="00CE619D"/>
    <w:rsid w:val="00CE7033"/>
    <w:rsid w:val="00CE7E74"/>
    <w:rsid w:val="00CF009A"/>
    <w:rsid w:val="00CF0903"/>
    <w:rsid w:val="00CF1057"/>
    <w:rsid w:val="00CF1809"/>
    <w:rsid w:val="00CF1F83"/>
    <w:rsid w:val="00CF2E37"/>
    <w:rsid w:val="00CF2F66"/>
    <w:rsid w:val="00CF3B11"/>
    <w:rsid w:val="00CF591A"/>
    <w:rsid w:val="00CF5E60"/>
    <w:rsid w:val="00D0040E"/>
    <w:rsid w:val="00D00C0F"/>
    <w:rsid w:val="00D010BF"/>
    <w:rsid w:val="00D03790"/>
    <w:rsid w:val="00D04351"/>
    <w:rsid w:val="00D05040"/>
    <w:rsid w:val="00D067C7"/>
    <w:rsid w:val="00D06DA7"/>
    <w:rsid w:val="00D070CB"/>
    <w:rsid w:val="00D07AD2"/>
    <w:rsid w:val="00D10567"/>
    <w:rsid w:val="00D113AC"/>
    <w:rsid w:val="00D114A2"/>
    <w:rsid w:val="00D11AE2"/>
    <w:rsid w:val="00D11B63"/>
    <w:rsid w:val="00D11DD3"/>
    <w:rsid w:val="00D125D1"/>
    <w:rsid w:val="00D152F7"/>
    <w:rsid w:val="00D15785"/>
    <w:rsid w:val="00D16406"/>
    <w:rsid w:val="00D16EF1"/>
    <w:rsid w:val="00D16F65"/>
    <w:rsid w:val="00D172CA"/>
    <w:rsid w:val="00D17B88"/>
    <w:rsid w:val="00D17CF3"/>
    <w:rsid w:val="00D20265"/>
    <w:rsid w:val="00D205B2"/>
    <w:rsid w:val="00D2094D"/>
    <w:rsid w:val="00D21C4A"/>
    <w:rsid w:val="00D22E3F"/>
    <w:rsid w:val="00D23836"/>
    <w:rsid w:val="00D2393E"/>
    <w:rsid w:val="00D23958"/>
    <w:rsid w:val="00D24659"/>
    <w:rsid w:val="00D24713"/>
    <w:rsid w:val="00D257C3"/>
    <w:rsid w:val="00D26B74"/>
    <w:rsid w:val="00D270A4"/>
    <w:rsid w:val="00D301D2"/>
    <w:rsid w:val="00D31FE9"/>
    <w:rsid w:val="00D329CE"/>
    <w:rsid w:val="00D34E1B"/>
    <w:rsid w:val="00D353F9"/>
    <w:rsid w:val="00D369E7"/>
    <w:rsid w:val="00D37561"/>
    <w:rsid w:val="00D376BA"/>
    <w:rsid w:val="00D4026F"/>
    <w:rsid w:val="00D42234"/>
    <w:rsid w:val="00D42A30"/>
    <w:rsid w:val="00D434A0"/>
    <w:rsid w:val="00D436CF"/>
    <w:rsid w:val="00D43FB5"/>
    <w:rsid w:val="00D440B6"/>
    <w:rsid w:val="00D44309"/>
    <w:rsid w:val="00D44500"/>
    <w:rsid w:val="00D44E7D"/>
    <w:rsid w:val="00D45634"/>
    <w:rsid w:val="00D47FFE"/>
    <w:rsid w:val="00D52808"/>
    <w:rsid w:val="00D52B4E"/>
    <w:rsid w:val="00D52EC8"/>
    <w:rsid w:val="00D5439E"/>
    <w:rsid w:val="00D546C2"/>
    <w:rsid w:val="00D549E0"/>
    <w:rsid w:val="00D5568A"/>
    <w:rsid w:val="00D5598D"/>
    <w:rsid w:val="00D55E84"/>
    <w:rsid w:val="00D5672A"/>
    <w:rsid w:val="00D56739"/>
    <w:rsid w:val="00D5683D"/>
    <w:rsid w:val="00D57040"/>
    <w:rsid w:val="00D57977"/>
    <w:rsid w:val="00D57C33"/>
    <w:rsid w:val="00D57DBA"/>
    <w:rsid w:val="00D62BA8"/>
    <w:rsid w:val="00D62E0A"/>
    <w:rsid w:val="00D63174"/>
    <w:rsid w:val="00D632B4"/>
    <w:rsid w:val="00D63D73"/>
    <w:rsid w:val="00D6434D"/>
    <w:rsid w:val="00D64452"/>
    <w:rsid w:val="00D64B27"/>
    <w:rsid w:val="00D65EB7"/>
    <w:rsid w:val="00D66E1E"/>
    <w:rsid w:val="00D66E8E"/>
    <w:rsid w:val="00D70696"/>
    <w:rsid w:val="00D708EC"/>
    <w:rsid w:val="00D71AD3"/>
    <w:rsid w:val="00D71B60"/>
    <w:rsid w:val="00D72275"/>
    <w:rsid w:val="00D724BA"/>
    <w:rsid w:val="00D72C1B"/>
    <w:rsid w:val="00D730CC"/>
    <w:rsid w:val="00D75722"/>
    <w:rsid w:val="00D760CC"/>
    <w:rsid w:val="00D766C2"/>
    <w:rsid w:val="00D7785B"/>
    <w:rsid w:val="00D8005C"/>
    <w:rsid w:val="00D80679"/>
    <w:rsid w:val="00D80CF5"/>
    <w:rsid w:val="00D811D7"/>
    <w:rsid w:val="00D815F3"/>
    <w:rsid w:val="00D8163C"/>
    <w:rsid w:val="00D81926"/>
    <w:rsid w:val="00D81C40"/>
    <w:rsid w:val="00D81F36"/>
    <w:rsid w:val="00D82206"/>
    <w:rsid w:val="00D8238A"/>
    <w:rsid w:val="00D82874"/>
    <w:rsid w:val="00D830C3"/>
    <w:rsid w:val="00D83559"/>
    <w:rsid w:val="00D84224"/>
    <w:rsid w:val="00D857C5"/>
    <w:rsid w:val="00D85DA3"/>
    <w:rsid w:val="00D86FF0"/>
    <w:rsid w:val="00D870FF"/>
    <w:rsid w:val="00D87485"/>
    <w:rsid w:val="00D9636E"/>
    <w:rsid w:val="00D97A00"/>
    <w:rsid w:val="00D97FB3"/>
    <w:rsid w:val="00DA00A0"/>
    <w:rsid w:val="00DA0100"/>
    <w:rsid w:val="00DA0DE4"/>
    <w:rsid w:val="00DA1A01"/>
    <w:rsid w:val="00DA4533"/>
    <w:rsid w:val="00DA5BBA"/>
    <w:rsid w:val="00DA5E23"/>
    <w:rsid w:val="00DA61D3"/>
    <w:rsid w:val="00DA625F"/>
    <w:rsid w:val="00DB2188"/>
    <w:rsid w:val="00DB26D2"/>
    <w:rsid w:val="00DB3F69"/>
    <w:rsid w:val="00DB4397"/>
    <w:rsid w:val="00DB67C9"/>
    <w:rsid w:val="00DC0C95"/>
    <w:rsid w:val="00DC122D"/>
    <w:rsid w:val="00DC19F9"/>
    <w:rsid w:val="00DC22DC"/>
    <w:rsid w:val="00DC2706"/>
    <w:rsid w:val="00DC3192"/>
    <w:rsid w:val="00DC31B1"/>
    <w:rsid w:val="00DC34BC"/>
    <w:rsid w:val="00DC372A"/>
    <w:rsid w:val="00DC4B79"/>
    <w:rsid w:val="00DC4F0B"/>
    <w:rsid w:val="00DC51BA"/>
    <w:rsid w:val="00DC53A2"/>
    <w:rsid w:val="00DC5461"/>
    <w:rsid w:val="00DC7519"/>
    <w:rsid w:val="00DC7E7F"/>
    <w:rsid w:val="00DD1A97"/>
    <w:rsid w:val="00DD20B6"/>
    <w:rsid w:val="00DD29B3"/>
    <w:rsid w:val="00DD3229"/>
    <w:rsid w:val="00DD4DD3"/>
    <w:rsid w:val="00DD5EAF"/>
    <w:rsid w:val="00DD630C"/>
    <w:rsid w:val="00DD64AD"/>
    <w:rsid w:val="00DD6580"/>
    <w:rsid w:val="00DD686A"/>
    <w:rsid w:val="00DD7519"/>
    <w:rsid w:val="00DD7615"/>
    <w:rsid w:val="00DE0E32"/>
    <w:rsid w:val="00DE0EB0"/>
    <w:rsid w:val="00DE27D7"/>
    <w:rsid w:val="00DE3148"/>
    <w:rsid w:val="00DE49C0"/>
    <w:rsid w:val="00DE4A68"/>
    <w:rsid w:val="00DE5162"/>
    <w:rsid w:val="00DE53B7"/>
    <w:rsid w:val="00DE5CD6"/>
    <w:rsid w:val="00DE6B3D"/>
    <w:rsid w:val="00DE752C"/>
    <w:rsid w:val="00DE7C9B"/>
    <w:rsid w:val="00DF0199"/>
    <w:rsid w:val="00DF01BD"/>
    <w:rsid w:val="00DF0C36"/>
    <w:rsid w:val="00DF1C80"/>
    <w:rsid w:val="00DF1E9E"/>
    <w:rsid w:val="00DF221F"/>
    <w:rsid w:val="00DF2C2B"/>
    <w:rsid w:val="00DF45C9"/>
    <w:rsid w:val="00DF5038"/>
    <w:rsid w:val="00DF587C"/>
    <w:rsid w:val="00DF6A37"/>
    <w:rsid w:val="00DF7369"/>
    <w:rsid w:val="00DF7E5C"/>
    <w:rsid w:val="00E002BD"/>
    <w:rsid w:val="00E004D7"/>
    <w:rsid w:val="00E00549"/>
    <w:rsid w:val="00E00962"/>
    <w:rsid w:val="00E01A75"/>
    <w:rsid w:val="00E01D7F"/>
    <w:rsid w:val="00E026BE"/>
    <w:rsid w:val="00E03572"/>
    <w:rsid w:val="00E048E3"/>
    <w:rsid w:val="00E04EB1"/>
    <w:rsid w:val="00E05731"/>
    <w:rsid w:val="00E05C03"/>
    <w:rsid w:val="00E06254"/>
    <w:rsid w:val="00E0732A"/>
    <w:rsid w:val="00E10313"/>
    <w:rsid w:val="00E10B23"/>
    <w:rsid w:val="00E116EF"/>
    <w:rsid w:val="00E12A55"/>
    <w:rsid w:val="00E12CED"/>
    <w:rsid w:val="00E147D7"/>
    <w:rsid w:val="00E14DC4"/>
    <w:rsid w:val="00E15EE1"/>
    <w:rsid w:val="00E16409"/>
    <w:rsid w:val="00E164CA"/>
    <w:rsid w:val="00E16501"/>
    <w:rsid w:val="00E17AC8"/>
    <w:rsid w:val="00E17C72"/>
    <w:rsid w:val="00E17E7D"/>
    <w:rsid w:val="00E202D9"/>
    <w:rsid w:val="00E20834"/>
    <w:rsid w:val="00E20F08"/>
    <w:rsid w:val="00E21344"/>
    <w:rsid w:val="00E21FC6"/>
    <w:rsid w:val="00E22A17"/>
    <w:rsid w:val="00E23A36"/>
    <w:rsid w:val="00E23AB2"/>
    <w:rsid w:val="00E24B2C"/>
    <w:rsid w:val="00E257E3"/>
    <w:rsid w:val="00E2658F"/>
    <w:rsid w:val="00E26D10"/>
    <w:rsid w:val="00E2738B"/>
    <w:rsid w:val="00E27B36"/>
    <w:rsid w:val="00E27DE4"/>
    <w:rsid w:val="00E3152A"/>
    <w:rsid w:val="00E333F1"/>
    <w:rsid w:val="00E3504D"/>
    <w:rsid w:val="00E35206"/>
    <w:rsid w:val="00E36842"/>
    <w:rsid w:val="00E37730"/>
    <w:rsid w:val="00E40B6E"/>
    <w:rsid w:val="00E41631"/>
    <w:rsid w:val="00E41E7F"/>
    <w:rsid w:val="00E43147"/>
    <w:rsid w:val="00E4316D"/>
    <w:rsid w:val="00E431A9"/>
    <w:rsid w:val="00E43496"/>
    <w:rsid w:val="00E45671"/>
    <w:rsid w:val="00E46BE2"/>
    <w:rsid w:val="00E507DC"/>
    <w:rsid w:val="00E521FC"/>
    <w:rsid w:val="00E523FE"/>
    <w:rsid w:val="00E54C63"/>
    <w:rsid w:val="00E54D7C"/>
    <w:rsid w:val="00E55BE2"/>
    <w:rsid w:val="00E562C6"/>
    <w:rsid w:val="00E56799"/>
    <w:rsid w:val="00E56D50"/>
    <w:rsid w:val="00E57688"/>
    <w:rsid w:val="00E605D9"/>
    <w:rsid w:val="00E60A4B"/>
    <w:rsid w:val="00E60C9A"/>
    <w:rsid w:val="00E614D3"/>
    <w:rsid w:val="00E61891"/>
    <w:rsid w:val="00E62EAD"/>
    <w:rsid w:val="00E63BD7"/>
    <w:rsid w:val="00E669E2"/>
    <w:rsid w:val="00E66A88"/>
    <w:rsid w:val="00E677A6"/>
    <w:rsid w:val="00E705B5"/>
    <w:rsid w:val="00E7444B"/>
    <w:rsid w:val="00E74BEA"/>
    <w:rsid w:val="00E751FD"/>
    <w:rsid w:val="00E76135"/>
    <w:rsid w:val="00E76D98"/>
    <w:rsid w:val="00E80302"/>
    <w:rsid w:val="00E80B51"/>
    <w:rsid w:val="00E81AC5"/>
    <w:rsid w:val="00E82610"/>
    <w:rsid w:val="00E82F4F"/>
    <w:rsid w:val="00E82FC5"/>
    <w:rsid w:val="00E833E4"/>
    <w:rsid w:val="00E83CC2"/>
    <w:rsid w:val="00E846ED"/>
    <w:rsid w:val="00E85278"/>
    <w:rsid w:val="00E864DF"/>
    <w:rsid w:val="00E86A56"/>
    <w:rsid w:val="00E8701C"/>
    <w:rsid w:val="00E870D2"/>
    <w:rsid w:val="00E87FE3"/>
    <w:rsid w:val="00E90C19"/>
    <w:rsid w:val="00E90D08"/>
    <w:rsid w:val="00E915B2"/>
    <w:rsid w:val="00E91F0E"/>
    <w:rsid w:val="00E955CF"/>
    <w:rsid w:val="00E95791"/>
    <w:rsid w:val="00E95815"/>
    <w:rsid w:val="00E95892"/>
    <w:rsid w:val="00E96828"/>
    <w:rsid w:val="00E97F08"/>
    <w:rsid w:val="00EA07FE"/>
    <w:rsid w:val="00EA19AA"/>
    <w:rsid w:val="00EA3C4F"/>
    <w:rsid w:val="00EA4FCA"/>
    <w:rsid w:val="00EA56FE"/>
    <w:rsid w:val="00EA67CD"/>
    <w:rsid w:val="00EA6979"/>
    <w:rsid w:val="00EA72CB"/>
    <w:rsid w:val="00EA79CD"/>
    <w:rsid w:val="00EB0354"/>
    <w:rsid w:val="00EB1F64"/>
    <w:rsid w:val="00EB26DA"/>
    <w:rsid w:val="00EB2CC3"/>
    <w:rsid w:val="00EB546F"/>
    <w:rsid w:val="00EB5A1C"/>
    <w:rsid w:val="00EB5A9F"/>
    <w:rsid w:val="00EB5B59"/>
    <w:rsid w:val="00EB6593"/>
    <w:rsid w:val="00EB6DC9"/>
    <w:rsid w:val="00EB7205"/>
    <w:rsid w:val="00EB7DEF"/>
    <w:rsid w:val="00EC0A38"/>
    <w:rsid w:val="00EC16FA"/>
    <w:rsid w:val="00EC1C43"/>
    <w:rsid w:val="00EC1E4E"/>
    <w:rsid w:val="00EC2129"/>
    <w:rsid w:val="00EC21C6"/>
    <w:rsid w:val="00EC2844"/>
    <w:rsid w:val="00EC4479"/>
    <w:rsid w:val="00EC481B"/>
    <w:rsid w:val="00EC5500"/>
    <w:rsid w:val="00EC5D8B"/>
    <w:rsid w:val="00EC7A04"/>
    <w:rsid w:val="00ED0E84"/>
    <w:rsid w:val="00ED18F8"/>
    <w:rsid w:val="00ED26B1"/>
    <w:rsid w:val="00ED3FDB"/>
    <w:rsid w:val="00ED4398"/>
    <w:rsid w:val="00ED66F2"/>
    <w:rsid w:val="00EE0B78"/>
    <w:rsid w:val="00EE1573"/>
    <w:rsid w:val="00EE1802"/>
    <w:rsid w:val="00EE3E49"/>
    <w:rsid w:val="00EE4967"/>
    <w:rsid w:val="00EE6EDA"/>
    <w:rsid w:val="00EE778E"/>
    <w:rsid w:val="00EE7A0C"/>
    <w:rsid w:val="00EF0655"/>
    <w:rsid w:val="00EF1538"/>
    <w:rsid w:val="00EF2180"/>
    <w:rsid w:val="00EF26A3"/>
    <w:rsid w:val="00EF3C7E"/>
    <w:rsid w:val="00EF4EF6"/>
    <w:rsid w:val="00EF5603"/>
    <w:rsid w:val="00EF5A62"/>
    <w:rsid w:val="00EF60E7"/>
    <w:rsid w:val="00EF6719"/>
    <w:rsid w:val="00EF6C6C"/>
    <w:rsid w:val="00EF70B9"/>
    <w:rsid w:val="00F00202"/>
    <w:rsid w:val="00F03958"/>
    <w:rsid w:val="00F04BD4"/>
    <w:rsid w:val="00F056FC"/>
    <w:rsid w:val="00F05CBF"/>
    <w:rsid w:val="00F06096"/>
    <w:rsid w:val="00F0632F"/>
    <w:rsid w:val="00F0670B"/>
    <w:rsid w:val="00F067E9"/>
    <w:rsid w:val="00F069AE"/>
    <w:rsid w:val="00F07BA2"/>
    <w:rsid w:val="00F10476"/>
    <w:rsid w:val="00F10BE4"/>
    <w:rsid w:val="00F10D78"/>
    <w:rsid w:val="00F1108A"/>
    <w:rsid w:val="00F113EE"/>
    <w:rsid w:val="00F11679"/>
    <w:rsid w:val="00F11847"/>
    <w:rsid w:val="00F119E7"/>
    <w:rsid w:val="00F11DCD"/>
    <w:rsid w:val="00F12CD3"/>
    <w:rsid w:val="00F135D8"/>
    <w:rsid w:val="00F141EB"/>
    <w:rsid w:val="00F15515"/>
    <w:rsid w:val="00F15784"/>
    <w:rsid w:val="00F15C6B"/>
    <w:rsid w:val="00F15D72"/>
    <w:rsid w:val="00F16375"/>
    <w:rsid w:val="00F16783"/>
    <w:rsid w:val="00F17090"/>
    <w:rsid w:val="00F201D8"/>
    <w:rsid w:val="00F20673"/>
    <w:rsid w:val="00F20741"/>
    <w:rsid w:val="00F20E65"/>
    <w:rsid w:val="00F22384"/>
    <w:rsid w:val="00F225B2"/>
    <w:rsid w:val="00F22A3E"/>
    <w:rsid w:val="00F26005"/>
    <w:rsid w:val="00F2713A"/>
    <w:rsid w:val="00F277A1"/>
    <w:rsid w:val="00F27A99"/>
    <w:rsid w:val="00F27BEE"/>
    <w:rsid w:val="00F31299"/>
    <w:rsid w:val="00F31BF9"/>
    <w:rsid w:val="00F31FB5"/>
    <w:rsid w:val="00F328DE"/>
    <w:rsid w:val="00F332C3"/>
    <w:rsid w:val="00F3369D"/>
    <w:rsid w:val="00F3534A"/>
    <w:rsid w:val="00F35CA5"/>
    <w:rsid w:val="00F36ACC"/>
    <w:rsid w:val="00F40A3B"/>
    <w:rsid w:val="00F4136D"/>
    <w:rsid w:val="00F42A74"/>
    <w:rsid w:val="00F436FB"/>
    <w:rsid w:val="00F4488C"/>
    <w:rsid w:val="00F45C60"/>
    <w:rsid w:val="00F46A6B"/>
    <w:rsid w:val="00F46C63"/>
    <w:rsid w:val="00F46D1C"/>
    <w:rsid w:val="00F46F3E"/>
    <w:rsid w:val="00F4781E"/>
    <w:rsid w:val="00F47914"/>
    <w:rsid w:val="00F51609"/>
    <w:rsid w:val="00F52398"/>
    <w:rsid w:val="00F527F6"/>
    <w:rsid w:val="00F52EC0"/>
    <w:rsid w:val="00F535F1"/>
    <w:rsid w:val="00F54EF0"/>
    <w:rsid w:val="00F551C4"/>
    <w:rsid w:val="00F55C25"/>
    <w:rsid w:val="00F55ED3"/>
    <w:rsid w:val="00F5643E"/>
    <w:rsid w:val="00F56D41"/>
    <w:rsid w:val="00F609BA"/>
    <w:rsid w:val="00F60A8E"/>
    <w:rsid w:val="00F60B38"/>
    <w:rsid w:val="00F62139"/>
    <w:rsid w:val="00F62BD5"/>
    <w:rsid w:val="00F64462"/>
    <w:rsid w:val="00F64ED9"/>
    <w:rsid w:val="00F65435"/>
    <w:rsid w:val="00F66232"/>
    <w:rsid w:val="00F66A74"/>
    <w:rsid w:val="00F6783B"/>
    <w:rsid w:val="00F70884"/>
    <w:rsid w:val="00F708F1"/>
    <w:rsid w:val="00F709AA"/>
    <w:rsid w:val="00F72D6E"/>
    <w:rsid w:val="00F73727"/>
    <w:rsid w:val="00F75D86"/>
    <w:rsid w:val="00F766A7"/>
    <w:rsid w:val="00F7678E"/>
    <w:rsid w:val="00F769D2"/>
    <w:rsid w:val="00F76EBB"/>
    <w:rsid w:val="00F772B1"/>
    <w:rsid w:val="00F77B00"/>
    <w:rsid w:val="00F803C8"/>
    <w:rsid w:val="00F80662"/>
    <w:rsid w:val="00F81006"/>
    <w:rsid w:val="00F81DAA"/>
    <w:rsid w:val="00F822C2"/>
    <w:rsid w:val="00F82B4D"/>
    <w:rsid w:val="00F830EE"/>
    <w:rsid w:val="00F837A4"/>
    <w:rsid w:val="00F84790"/>
    <w:rsid w:val="00F84EF7"/>
    <w:rsid w:val="00F85300"/>
    <w:rsid w:val="00F85325"/>
    <w:rsid w:val="00F85551"/>
    <w:rsid w:val="00F86042"/>
    <w:rsid w:val="00F86284"/>
    <w:rsid w:val="00F867D6"/>
    <w:rsid w:val="00F86F16"/>
    <w:rsid w:val="00F87B23"/>
    <w:rsid w:val="00F87D5C"/>
    <w:rsid w:val="00F92D4B"/>
    <w:rsid w:val="00F931AC"/>
    <w:rsid w:val="00F932A9"/>
    <w:rsid w:val="00F945D8"/>
    <w:rsid w:val="00F95102"/>
    <w:rsid w:val="00F95F24"/>
    <w:rsid w:val="00F96B5C"/>
    <w:rsid w:val="00FA0A7A"/>
    <w:rsid w:val="00FA2340"/>
    <w:rsid w:val="00FA237E"/>
    <w:rsid w:val="00FA28AD"/>
    <w:rsid w:val="00FA52DE"/>
    <w:rsid w:val="00FA65D9"/>
    <w:rsid w:val="00FB06E6"/>
    <w:rsid w:val="00FB2010"/>
    <w:rsid w:val="00FB298A"/>
    <w:rsid w:val="00FB2E31"/>
    <w:rsid w:val="00FB5A26"/>
    <w:rsid w:val="00FB66BB"/>
    <w:rsid w:val="00FB68C0"/>
    <w:rsid w:val="00FB771F"/>
    <w:rsid w:val="00FB7FD3"/>
    <w:rsid w:val="00FC2394"/>
    <w:rsid w:val="00FC29C9"/>
    <w:rsid w:val="00FC2DAC"/>
    <w:rsid w:val="00FC398A"/>
    <w:rsid w:val="00FC420D"/>
    <w:rsid w:val="00FC5CAD"/>
    <w:rsid w:val="00FC7410"/>
    <w:rsid w:val="00FD07A0"/>
    <w:rsid w:val="00FD22B1"/>
    <w:rsid w:val="00FD2D80"/>
    <w:rsid w:val="00FD33F1"/>
    <w:rsid w:val="00FD3566"/>
    <w:rsid w:val="00FD3CD5"/>
    <w:rsid w:val="00FD412E"/>
    <w:rsid w:val="00FD53A0"/>
    <w:rsid w:val="00FD5EE9"/>
    <w:rsid w:val="00FD67E3"/>
    <w:rsid w:val="00FD681B"/>
    <w:rsid w:val="00FD6BC4"/>
    <w:rsid w:val="00FD79C1"/>
    <w:rsid w:val="00FD7D83"/>
    <w:rsid w:val="00FE16C7"/>
    <w:rsid w:val="00FE18E3"/>
    <w:rsid w:val="00FE1A56"/>
    <w:rsid w:val="00FE1F27"/>
    <w:rsid w:val="00FE1F8A"/>
    <w:rsid w:val="00FE2689"/>
    <w:rsid w:val="00FE390A"/>
    <w:rsid w:val="00FE39C0"/>
    <w:rsid w:val="00FE479E"/>
    <w:rsid w:val="00FE48EB"/>
    <w:rsid w:val="00FE50FB"/>
    <w:rsid w:val="00FE5397"/>
    <w:rsid w:val="00FE6A6D"/>
    <w:rsid w:val="00FE7B55"/>
    <w:rsid w:val="00FF016C"/>
    <w:rsid w:val="00FF228C"/>
    <w:rsid w:val="00FF62EA"/>
    <w:rsid w:val="00FF73B7"/>
    <w:rsid w:val="00FF7C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73727"/>
    <w:pPr>
      <w:ind w:left="1020"/>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3339F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339F6"/>
    <w:rPr>
      <w:szCs w:val="24"/>
    </w:rPr>
  </w:style>
  <w:style w:type="character" w:customStyle="1" w:styleId="CommentSubjectChar">
    <w:name w:val="Comment Subject Char"/>
    <w:basedOn w:val="CommentTextChar"/>
    <w:link w:val="CommentSubject"/>
    <w:rsid w:val="003339F6"/>
    <w:rPr>
      <w:b/>
      <w:bCs/>
      <w:szCs w:val="24"/>
    </w:rPr>
  </w:style>
  <w:style w:type="character" w:styleId="Hyperlink">
    <w:name w:val="Hyperlink"/>
    <w:basedOn w:val="DefaultParagraphFont"/>
    <w:rsid w:val="00CC448A"/>
    <w:rPr>
      <w:color w:val="78A22F" w:themeColor="hyperlink"/>
      <w:u w:val="single"/>
    </w:rPr>
  </w:style>
  <w:style w:type="character" w:styleId="FollowedHyperlink">
    <w:name w:val="FollowedHyperlink"/>
    <w:basedOn w:val="DefaultParagraphFont"/>
    <w:rsid w:val="00E95791"/>
    <w:rPr>
      <w:color w:val="387DD2" w:themeColor="followedHyperlink"/>
      <w:u w:val="single"/>
    </w:rPr>
  </w:style>
  <w:style w:type="character" w:styleId="EndnoteReference">
    <w:name w:val="endnote reference"/>
    <w:basedOn w:val="DefaultParagraphFont"/>
    <w:rsid w:val="00CB10FF"/>
    <w:rPr>
      <w:vertAlign w:val="superscript"/>
    </w:rPr>
  </w:style>
  <w:style w:type="character" w:customStyle="1" w:styleId="QuoteChar">
    <w:name w:val="Quote Char"/>
    <w:basedOn w:val="DefaultParagraphFont"/>
    <w:link w:val="Quote"/>
    <w:rsid w:val="00FB66BB"/>
    <w:rPr>
      <w:sz w:val="22"/>
    </w:rPr>
  </w:style>
  <w:style w:type="paragraph" w:styleId="Bibliography">
    <w:name w:val="Bibliography"/>
    <w:basedOn w:val="Normal"/>
    <w:next w:val="Normal"/>
    <w:uiPriority w:val="37"/>
    <w:unhideWhenUsed/>
    <w:rsid w:val="005C2DC9"/>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73727"/>
    <w:pPr>
      <w:ind w:left="1020"/>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3339F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339F6"/>
    <w:rPr>
      <w:szCs w:val="24"/>
    </w:rPr>
  </w:style>
  <w:style w:type="character" w:customStyle="1" w:styleId="CommentSubjectChar">
    <w:name w:val="Comment Subject Char"/>
    <w:basedOn w:val="CommentTextChar"/>
    <w:link w:val="CommentSubject"/>
    <w:rsid w:val="003339F6"/>
    <w:rPr>
      <w:b/>
      <w:bCs/>
      <w:szCs w:val="24"/>
    </w:rPr>
  </w:style>
  <w:style w:type="character" w:styleId="Hyperlink">
    <w:name w:val="Hyperlink"/>
    <w:basedOn w:val="DefaultParagraphFont"/>
    <w:rsid w:val="00CC448A"/>
    <w:rPr>
      <w:color w:val="78A22F" w:themeColor="hyperlink"/>
      <w:u w:val="single"/>
    </w:rPr>
  </w:style>
  <w:style w:type="character" w:styleId="FollowedHyperlink">
    <w:name w:val="FollowedHyperlink"/>
    <w:basedOn w:val="DefaultParagraphFont"/>
    <w:rsid w:val="00E95791"/>
    <w:rPr>
      <w:color w:val="387DD2" w:themeColor="followedHyperlink"/>
      <w:u w:val="single"/>
    </w:rPr>
  </w:style>
  <w:style w:type="character" w:styleId="EndnoteReference">
    <w:name w:val="endnote reference"/>
    <w:basedOn w:val="DefaultParagraphFont"/>
    <w:rsid w:val="00CB10FF"/>
    <w:rPr>
      <w:vertAlign w:val="superscript"/>
    </w:rPr>
  </w:style>
  <w:style w:type="character" w:customStyle="1" w:styleId="QuoteChar">
    <w:name w:val="Quote Char"/>
    <w:basedOn w:val="DefaultParagraphFont"/>
    <w:link w:val="Quote"/>
    <w:rsid w:val="00FB66BB"/>
    <w:rPr>
      <w:sz w:val="22"/>
    </w:rPr>
  </w:style>
  <w:style w:type="paragraph" w:styleId="Bibliography">
    <w:name w:val="Bibliography"/>
    <w:basedOn w:val="Normal"/>
    <w:next w:val="Normal"/>
    <w:uiPriority w:val="37"/>
    <w:unhideWhenUsed/>
    <w:rsid w:val="005C2DC9"/>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245970">
      <w:bodyDiv w:val="1"/>
      <w:marLeft w:val="0"/>
      <w:marRight w:val="0"/>
      <w:marTop w:val="0"/>
      <w:marBottom w:val="0"/>
      <w:divBdr>
        <w:top w:val="none" w:sz="0" w:space="0" w:color="auto"/>
        <w:left w:val="none" w:sz="0" w:space="0" w:color="auto"/>
        <w:bottom w:val="none" w:sz="0" w:space="0" w:color="auto"/>
        <w:right w:val="none" w:sz="0" w:space="0" w:color="auto"/>
      </w:divBdr>
    </w:div>
    <w:div w:id="342779609">
      <w:bodyDiv w:val="1"/>
      <w:marLeft w:val="0"/>
      <w:marRight w:val="0"/>
      <w:marTop w:val="0"/>
      <w:marBottom w:val="0"/>
      <w:divBdr>
        <w:top w:val="none" w:sz="0" w:space="0" w:color="auto"/>
        <w:left w:val="none" w:sz="0" w:space="0" w:color="auto"/>
        <w:bottom w:val="none" w:sz="0" w:space="0" w:color="auto"/>
        <w:right w:val="none" w:sz="0" w:space="0" w:color="auto"/>
      </w:divBdr>
    </w:div>
    <w:div w:id="803157128">
      <w:bodyDiv w:val="1"/>
      <w:marLeft w:val="0"/>
      <w:marRight w:val="0"/>
      <w:marTop w:val="0"/>
      <w:marBottom w:val="0"/>
      <w:divBdr>
        <w:top w:val="none" w:sz="0" w:space="0" w:color="auto"/>
        <w:left w:val="none" w:sz="0" w:space="0" w:color="auto"/>
        <w:bottom w:val="none" w:sz="0" w:space="0" w:color="auto"/>
        <w:right w:val="none" w:sz="0" w:space="0" w:color="auto"/>
      </w:divBdr>
    </w:div>
    <w:div w:id="813791142">
      <w:bodyDiv w:val="1"/>
      <w:marLeft w:val="0"/>
      <w:marRight w:val="0"/>
      <w:marTop w:val="0"/>
      <w:marBottom w:val="0"/>
      <w:divBdr>
        <w:top w:val="none" w:sz="0" w:space="0" w:color="auto"/>
        <w:left w:val="none" w:sz="0" w:space="0" w:color="auto"/>
        <w:bottom w:val="none" w:sz="0" w:space="0" w:color="auto"/>
        <w:right w:val="none" w:sz="0" w:space="0" w:color="auto"/>
      </w:divBdr>
    </w:div>
    <w:div w:id="172845596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038F-CC7A-4D29-93BF-C653FD5E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148</TotalTime>
  <Pages>15</Pages>
  <Words>6262</Words>
  <Characters>53504</Characters>
  <Application>Microsoft Office Word</Application>
  <DocSecurity>0</DocSecurity>
  <Lines>445</Lines>
  <Paragraphs>119</Paragraphs>
  <ScaleCrop>false</ScaleCrop>
  <HeadingPairs>
    <vt:vector size="2" baseType="variant">
      <vt:variant>
        <vt:lpstr>Title</vt:lpstr>
      </vt:variant>
      <vt:variant>
        <vt:i4>1</vt:i4>
      </vt:variant>
    </vt:vector>
  </HeadingPairs>
  <TitlesOfParts>
    <vt:vector size="1" baseType="lpstr">
      <vt:lpstr>Eligibility for legal aid and the cost of extending it</vt:lpstr>
    </vt:vector>
  </TitlesOfParts>
  <Company>Productivity Commission</Company>
  <LinksUpToDate>false</LinksUpToDate>
  <CharactersWithSpaces>59647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for legal aid and the cost of extending it</dc:title>
  <dc:subject>Access to Justice Arrangements</dc:subject>
  <dc:creator>Productivity Commission</dc:creator>
  <cp:keywords/>
  <dc:description>H.</dc:description>
  <cp:lastModifiedBy>Mark Pimperl</cp:lastModifiedBy>
  <cp:revision>1320</cp:revision>
  <cp:lastPrinted>2014-09-09T02:25:00Z</cp:lastPrinted>
  <dcterms:created xsi:type="dcterms:W3CDTF">2014-08-21T05:09:00Z</dcterms:created>
  <dcterms:modified xsi:type="dcterms:W3CDTF">2014-09-30T03:05:00Z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id="FRP2lXAd"/&gt;&lt;style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