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DFF" w:rsidRDefault="00447825" w:rsidP="00447825">
      <w:pPr>
        <w:pStyle w:val="Chapter"/>
        <w:ind w:left="907" w:hanging="907"/>
      </w:pPr>
      <w:bookmarkStart w:id="0" w:name="_AppendixNotByChapter"/>
      <w:bookmarkStart w:id="1" w:name="ChapterNumber"/>
      <w:bookmarkStart w:id="2" w:name="_GoBack"/>
      <w:bookmarkEnd w:id="0"/>
      <w:r>
        <w:t>G</w:t>
      </w:r>
      <w:bookmarkEnd w:id="1"/>
      <w:r>
        <w:tab/>
      </w:r>
      <w:bookmarkStart w:id="3" w:name="ChapterTitle"/>
      <w:r>
        <w:t>Approaches to cost allocation in court fees</w:t>
      </w:r>
      <w:bookmarkEnd w:id="3"/>
    </w:p>
    <w:p w:rsidR="00E13755" w:rsidRDefault="00E13755" w:rsidP="00E13755">
      <w:pPr>
        <w:pStyle w:val="BodyText"/>
      </w:pPr>
      <w:bookmarkStart w:id="4" w:name="begin"/>
      <w:bookmarkEnd w:id="4"/>
      <w:r>
        <w:t xml:space="preserve">It is not always straightforward to </w:t>
      </w:r>
      <w:r w:rsidR="00DA2CBC">
        <w:t>calculate</w:t>
      </w:r>
      <w:r>
        <w:t xml:space="preserve"> the cost to the courts of resources used in determining a matter. For instance, what share of the court’s corporate services expenses should be attributed to a particular dispute?</w:t>
      </w:r>
    </w:p>
    <w:p w:rsidR="00E13755" w:rsidRDefault="00E13755" w:rsidP="00E13755">
      <w:pPr>
        <w:pStyle w:val="BodyText"/>
      </w:pPr>
      <w:r>
        <w:t xml:space="preserve">There are a number of possible approaches to measuring a court’s operating costs, which can have substantially different implications on </w:t>
      </w:r>
      <w:r w:rsidR="00162715">
        <w:t>how costs should be charged</w:t>
      </w:r>
      <w:r>
        <w:t xml:space="preserve"> to </w:t>
      </w:r>
      <w:r w:rsidR="00E50D43">
        <w:t>users</w:t>
      </w:r>
      <w:r>
        <w:t xml:space="preserve"> through court fees.</w:t>
      </w:r>
      <w:r w:rsidR="00E25324">
        <w:t xml:space="preserve"> As noted in chapter</w:t>
      </w:r>
      <w:r w:rsidR="00B45A54">
        <w:t> </w:t>
      </w:r>
      <w:r w:rsidR="00E25324">
        <w:t xml:space="preserve">16, the Commission </w:t>
      </w:r>
      <w:r w:rsidR="006D6EDD">
        <w:t>has suggested</w:t>
      </w:r>
      <w:r w:rsidR="00E25324">
        <w:t xml:space="preserve"> that a fully distributed cost </w:t>
      </w:r>
      <w:r w:rsidR="00F645E0">
        <w:t xml:space="preserve">(FDC) </w:t>
      </w:r>
      <w:r w:rsidR="00E25324">
        <w:t xml:space="preserve">method, using differential pricing of indirect costs, may be the most appropriate approach </w:t>
      </w:r>
      <w:r w:rsidR="00851480">
        <w:t>for setting</w:t>
      </w:r>
      <w:r w:rsidR="00E50D43">
        <w:t xml:space="preserve"> court fees in </w:t>
      </w:r>
      <w:r w:rsidR="00851480">
        <w:t>many</w:t>
      </w:r>
      <w:r w:rsidR="00E50D43">
        <w:t xml:space="preserve"> matters (in combination with fee relief measures to safeguard access for disadvantaged parties).</w:t>
      </w:r>
    </w:p>
    <w:p w:rsidR="006D6EDD" w:rsidRDefault="006D6EDD" w:rsidP="00E13755">
      <w:pPr>
        <w:pStyle w:val="BodyText"/>
      </w:pPr>
      <w:r>
        <w:t xml:space="preserve">This appendix </w:t>
      </w:r>
      <w:r w:rsidR="003A00D5">
        <w:t xml:space="preserve">draws on the Commission’s previous </w:t>
      </w:r>
      <w:r w:rsidR="00AA26D3">
        <w:t>research</w:t>
      </w:r>
      <w:r w:rsidR="003A00D5">
        <w:t xml:space="preserve"> on cost recovery to </w:t>
      </w:r>
      <w:r>
        <w:t>provide background information on approaches to cost recovery</w:t>
      </w:r>
      <w:r w:rsidR="00B905CC">
        <w:t xml:space="preserve"> </w:t>
      </w:r>
      <w:r w:rsidR="0064107D" w:rsidRPr="0064107D">
        <w:rPr>
          <w:szCs w:val="24"/>
        </w:rPr>
        <w:t>(PC 2002)</w:t>
      </w:r>
      <w:r>
        <w:t xml:space="preserve">. It outlines a number of terms and concepts used to define and measure </w:t>
      </w:r>
      <w:r w:rsidR="007A2DAB">
        <w:t xml:space="preserve">the </w:t>
      </w:r>
      <w:r>
        <w:t>costs to be charged</w:t>
      </w:r>
      <w:r w:rsidR="0064107D">
        <w:t xml:space="preserve"> (section </w:t>
      </w:r>
      <w:r w:rsidR="00973494">
        <w:t>G.1)</w:t>
      </w:r>
      <w:r>
        <w:t>, before discussing various approaches to allocating costs</w:t>
      </w:r>
      <w:r w:rsidR="00DA2CBC">
        <w:t xml:space="preserve"> under the </w:t>
      </w:r>
      <w:r w:rsidR="00F645E0">
        <w:t>FDC</w:t>
      </w:r>
      <w:r w:rsidR="00DA2CBC">
        <w:t xml:space="preserve"> method</w:t>
      </w:r>
      <w:r w:rsidR="00973494">
        <w:t xml:space="preserve"> (se</w:t>
      </w:r>
      <w:r w:rsidR="0064107D">
        <w:t>ction </w:t>
      </w:r>
      <w:r w:rsidR="00973494">
        <w:t>G.2)</w:t>
      </w:r>
      <w:r>
        <w:t>.</w:t>
      </w:r>
    </w:p>
    <w:p w:rsidR="002978D5" w:rsidRDefault="007A11C7" w:rsidP="004B0899">
      <w:pPr>
        <w:pStyle w:val="Heading2"/>
      </w:pPr>
      <w:r>
        <w:t>G.</w:t>
      </w:r>
      <w:r>
        <w:rPr>
          <w:noProof/>
        </w:rPr>
        <w:t>1</w:t>
      </w:r>
      <w:r>
        <w:tab/>
      </w:r>
      <w:r w:rsidR="004B0899">
        <w:t xml:space="preserve">Defining and measuring </w:t>
      </w:r>
      <w:r w:rsidR="002978D5" w:rsidRPr="002978D5">
        <w:t>costs</w:t>
      </w:r>
    </w:p>
    <w:p w:rsidR="002978D5" w:rsidRDefault="002978D5" w:rsidP="002978D5">
      <w:pPr>
        <w:pStyle w:val="BodyText"/>
      </w:pPr>
      <w:r>
        <w:t xml:space="preserve">The full cost of a unit of product </w:t>
      </w:r>
      <w:r w:rsidR="00E7080F">
        <w:t xml:space="preserve">or service </w:t>
      </w:r>
      <w:r>
        <w:t xml:space="preserve">is the value of all resources used or consumed in </w:t>
      </w:r>
      <w:r w:rsidR="00E7080F">
        <w:t>its provision</w:t>
      </w:r>
      <w:r>
        <w:t xml:space="preserve">. </w:t>
      </w:r>
      <w:r w:rsidR="00D26A08">
        <w:t xml:space="preserve">Definitions of the various types of costs which can comprise this full cost are outlined in box G.1. </w:t>
      </w:r>
      <w:r>
        <w:t>These costs may include:</w:t>
      </w:r>
    </w:p>
    <w:p w:rsidR="002978D5" w:rsidRDefault="002978D5" w:rsidP="002978D5">
      <w:pPr>
        <w:pStyle w:val="ListBullet"/>
      </w:pPr>
      <w:r>
        <w:t xml:space="preserve">direct labour costs (for example, salaries and </w:t>
      </w:r>
      <w:r w:rsidR="00CF6DCA">
        <w:t>associated</w:t>
      </w:r>
      <w:r>
        <w:t xml:space="preserve"> costs,</w:t>
      </w:r>
      <w:r w:rsidR="00CF6DCA">
        <w:t xml:space="preserve"> such as</w:t>
      </w:r>
      <w:r>
        <w:t xml:space="preserve"> allowances, long se</w:t>
      </w:r>
      <w:r w:rsidR="00CF6DCA">
        <w:t>rvice leave and superannuation)</w:t>
      </w:r>
    </w:p>
    <w:p w:rsidR="002978D5" w:rsidRDefault="002978D5" w:rsidP="002978D5">
      <w:pPr>
        <w:pStyle w:val="ListBullet"/>
      </w:pPr>
      <w:r>
        <w:t xml:space="preserve">direct materials and services (for example, </w:t>
      </w:r>
      <w:r w:rsidR="005B6B12">
        <w:t>paper and photocopying services</w:t>
      </w:r>
      <w:r w:rsidR="00CF6DCA">
        <w:t>)</w:t>
      </w:r>
    </w:p>
    <w:p w:rsidR="002978D5" w:rsidRDefault="002978D5" w:rsidP="002978D5">
      <w:pPr>
        <w:pStyle w:val="ListBullet"/>
      </w:pPr>
      <w:r>
        <w:t>an appropriate share of indirect labour (for example, executive</w:t>
      </w:r>
      <w:r w:rsidR="005B6B12">
        <w:t>s</w:t>
      </w:r>
      <w:r>
        <w:t xml:space="preserve">, office services, </w:t>
      </w:r>
      <w:r w:rsidR="00C62BCF">
        <w:t>personnel, library,</w:t>
      </w:r>
      <w:r>
        <w:t xml:space="preserve"> audit services</w:t>
      </w:r>
      <w:r w:rsidR="00C62BCF">
        <w:t>, and information technology staff</w:t>
      </w:r>
      <w:r w:rsidR="00CF6DCA">
        <w:t>)</w:t>
      </w:r>
    </w:p>
    <w:p w:rsidR="002978D5" w:rsidRDefault="002978D5" w:rsidP="002978D5">
      <w:pPr>
        <w:pStyle w:val="ListBullet"/>
      </w:pPr>
      <w:r>
        <w:t xml:space="preserve">an appropriate share of indirect materials and services (for example, office </w:t>
      </w:r>
      <w:r w:rsidR="005B6B12">
        <w:t>machinery and</w:t>
      </w:r>
      <w:r>
        <w:t xml:space="preserve"> insurance). Some materials classified as indirect costs could be direct costs, but attributing them to a </w:t>
      </w:r>
      <w:r w:rsidR="0064107D">
        <w:t>specific</w:t>
      </w:r>
      <w:r>
        <w:t xml:space="preserve"> product may be impractical or costly (</w:t>
      </w:r>
      <w:r w:rsidR="00CF6DCA">
        <w:t>for example, stationery)</w:t>
      </w:r>
    </w:p>
    <w:p w:rsidR="002978D5" w:rsidRDefault="00C62BCF" w:rsidP="002978D5">
      <w:pPr>
        <w:pStyle w:val="ListBullet"/>
      </w:pPr>
      <w:r>
        <w:t>property</w:t>
      </w:r>
      <w:r w:rsidR="002978D5">
        <w:t xml:space="preserve"> charges, which could be both direct and indirect (for example, rent, repairs and maintenance,</w:t>
      </w:r>
      <w:r w:rsidR="00CF6DCA">
        <w:t xml:space="preserve"> cleaning and utility charges)</w:t>
      </w:r>
    </w:p>
    <w:p w:rsidR="002978D5" w:rsidRDefault="002978D5" w:rsidP="002978D5">
      <w:pPr>
        <w:pStyle w:val="ListBullet"/>
      </w:pPr>
      <w:r>
        <w:lastRenderedPageBreak/>
        <w:t>capital c</w:t>
      </w:r>
      <w:r w:rsidR="007D688F">
        <w:t>osts (for example, depreciation or</w:t>
      </w:r>
      <w:r>
        <w:t xml:space="preserve"> interest on working capital). Some could be direct costs </w:t>
      </w:r>
      <w:r w:rsidR="005B6B12">
        <w:t>dedicated to the provision of particular services</w:t>
      </w:r>
      <w:r>
        <w:t>; others could be indirect costs, such as assets used by corporate services.</w:t>
      </w:r>
    </w:p>
    <w:p w:rsidR="0064107D" w:rsidRDefault="0064107D">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64107D" w:rsidTr="00176D3F">
        <w:tc>
          <w:tcPr>
            <w:tcW w:w="8771" w:type="dxa"/>
            <w:tcBorders>
              <w:top w:val="single" w:sz="6" w:space="0" w:color="78A22F"/>
              <w:left w:val="nil"/>
              <w:bottom w:val="nil"/>
              <w:right w:val="nil"/>
            </w:tcBorders>
            <w:shd w:val="clear" w:color="auto" w:fill="F2F2F2" w:themeFill="background1" w:themeFillShade="F2"/>
          </w:tcPr>
          <w:p w:rsidR="0064107D" w:rsidRDefault="0064107D">
            <w:pPr>
              <w:pStyle w:val="BoxTitle"/>
            </w:pPr>
            <w:r>
              <w:rPr>
                <w:b w:val="0"/>
              </w:rPr>
              <w:t xml:space="preserve">Box </w:t>
            </w:r>
            <w:r w:rsidR="00447825">
              <w:rPr>
                <w:b w:val="0"/>
              </w:rPr>
              <w:t>G.</w:t>
            </w:r>
            <w:r w:rsidR="00447825">
              <w:rPr>
                <w:b w:val="0"/>
                <w:noProof/>
              </w:rPr>
              <w:t>1</w:t>
            </w:r>
            <w:r>
              <w:tab/>
            </w:r>
            <w:r w:rsidRPr="0064107D">
              <w:t>Cost definitions</w:t>
            </w:r>
          </w:p>
        </w:tc>
      </w:tr>
      <w:tr w:rsidR="0064107D" w:rsidTr="00176D3F">
        <w:trPr>
          <w:cantSplit/>
        </w:trPr>
        <w:tc>
          <w:tcPr>
            <w:tcW w:w="8771" w:type="dxa"/>
            <w:tcBorders>
              <w:top w:val="nil"/>
              <w:left w:val="nil"/>
              <w:bottom w:val="nil"/>
              <w:right w:val="nil"/>
            </w:tcBorders>
            <w:shd w:val="clear" w:color="auto" w:fill="F2F2F2" w:themeFill="background1" w:themeFillShade="F2"/>
          </w:tcPr>
          <w:p w:rsidR="0064107D" w:rsidRDefault="0064107D" w:rsidP="0064107D">
            <w:pPr>
              <w:pStyle w:val="Box"/>
            </w:pPr>
            <w:r w:rsidRPr="008F3701">
              <w:rPr>
                <w:b/>
              </w:rPr>
              <w:t>Direct costs</w:t>
            </w:r>
            <w:r>
              <w:t xml:space="preserve"> are costs that can be directly and unequivocally attributed to an activity or product. They include labour and materials used to deliver products.</w:t>
            </w:r>
          </w:p>
          <w:p w:rsidR="0064107D" w:rsidRDefault="0064107D" w:rsidP="0064107D">
            <w:pPr>
              <w:pStyle w:val="Box"/>
            </w:pPr>
            <w:r w:rsidRPr="008F3701">
              <w:rPr>
                <w:b/>
              </w:rPr>
              <w:t>Indirect costs</w:t>
            </w:r>
            <w:r>
              <w:t xml:space="preserve"> are costs that are not directly attributable to an activity or product and are often referred to as overheads. They can include ‘corporate services’ costs, such as those of the chief executive officer’s salary, financial services, human resources, records management and information technology.</w:t>
            </w:r>
          </w:p>
          <w:p w:rsidR="0064107D" w:rsidRDefault="0064107D" w:rsidP="0064107D">
            <w:pPr>
              <w:pStyle w:val="Box"/>
            </w:pPr>
            <w:r w:rsidRPr="008F3701">
              <w:rPr>
                <w:b/>
              </w:rPr>
              <w:t>Capital costs</w:t>
            </w:r>
            <w:r>
              <w:t xml:space="preserve"> comprise the user cost of capital and depreciation. The user cost of capital represents the opportunity cost of funds tied up in the capital used to deliver activities or products. It is the rate of return that must be earned to justify retaining the assets in the medium to long term. Depreciation reflects the portions of assets consumed each period.</w:t>
            </w:r>
          </w:p>
          <w:p w:rsidR="0064107D" w:rsidRDefault="0064107D" w:rsidP="0064107D">
            <w:pPr>
              <w:pStyle w:val="Box"/>
            </w:pPr>
            <w:r w:rsidRPr="008F3701">
              <w:rPr>
                <w:b/>
              </w:rPr>
              <w:t>Fixed costs</w:t>
            </w:r>
            <w:r>
              <w:t xml:space="preserve"> are costs that do not vary with the amount of activity or product. Rent and capital are usually fixed costs in the short run.</w:t>
            </w:r>
          </w:p>
          <w:p w:rsidR="0064107D" w:rsidRDefault="0064107D" w:rsidP="0064107D">
            <w:pPr>
              <w:pStyle w:val="Box"/>
            </w:pPr>
            <w:r w:rsidRPr="008F3701">
              <w:rPr>
                <w:b/>
              </w:rPr>
              <w:t>Variable costs</w:t>
            </w:r>
            <w:r>
              <w:t xml:space="preserve"> vary with the volume of activity or product and typically include direct labour and materials.</w:t>
            </w:r>
          </w:p>
        </w:tc>
      </w:tr>
      <w:tr w:rsidR="0064107D" w:rsidTr="00176D3F">
        <w:trPr>
          <w:cantSplit/>
        </w:trPr>
        <w:tc>
          <w:tcPr>
            <w:tcW w:w="8771" w:type="dxa"/>
            <w:tcBorders>
              <w:top w:val="nil"/>
              <w:left w:val="nil"/>
              <w:bottom w:val="nil"/>
              <w:right w:val="nil"/>
            </w:tcBorders>
            <w:shd w:val="clear" w:color="auto" w:fill="F2F2F2" w:themeFill="background1" w:themeFillShade="F2"/>
          </w:tcPr>
          <w:p w:rsidR="0064107D" w:rsidRDefault="007A2DAB" w:rsidP="0064107D">
            <w:pPr>
              <w:pStyle w:val="BoxSource"/>
            </w:pPr>
            <w:r>
              <w:rPr>
                <w:i/>
              </w:rPr>
              <w:t>Source</w:t>
            </w:r>
            <w:r w:rsidR="0064107D" w:rsidRPr="00167F06">
              <w:t xml:space="preserve">: </w:t>
            </w:r>
            <w:r w:rsidR="0064107D">
              <w:t xml:space="preserve">Productivity Commission </w:t>
            </w:r>
            <w:r w:rsidR="0064107D" w:rsidRPr="0064107D">
              <w:rPr>
                <w:rFonts w:cs="Arial"/>
              </w:rPr>
              <w:t>(2002)</w:t>
            </w:r>
            <w:r w:rsidR="0064107D">
              <w:t>.</w:t>
            </w:r>
          </w:p>
        </w:tc>
      </w:tr>
      <w:tr w:rsidR="0064107D" w:rsidTr="00176D3F">
        <w:trPr>
          <w:cantSplit/>
        </w:trPr>
        <w:tc>
          <w:tcPr>
            <w:tcW w:w="8771" w:type="dxa"/>
            <w:tcBorders>
              <w:top w:val="nil"/>
              <w:left w:val="nil"/>
              <w:bottom w:val="single" w:sz="6" w:space="0" w:color="78A22F"/>
              <w:right w:val="nil"/>
            </w:tcBorders>
            <w:shd w:val="clear" w:color="auto" w:fill="F2F2F2" w:themeFill="background1" w:themeFillShade="F2"/>
          </w:tcPr>
          <w:p w:rsidR="0064107D" w:rsidRDefault="0064107D">
            <w:pPr>
              <w:pStyle w:val="Box"/>
              <w:spacing w:before="0" w:line="120" w:lineRule="exact"/>
            </w:pPr>
          </w:p>
        </w:tc>
      </w:tr>
      <w:tr w:rsidR="0064107D" w:rsidRPr="000863A5" w:rsidTr="00176D3F">
        <w:tc>
          <w:tcPr>
            <w:tcW w:w="8771" w:type="dxa"/>
            <w:tcBorders>
              <w:top w:val="single" w:sz="6" w:space="0" w:color="78A22F"/>
              <w:left w:val="nil"/>
              <w:bottom w:val="nil"/>
              <w:right w:val="nil"/>
            </w:tcBorders>
          </w:tcPr>
          <w:p w:rsidR="0064107D" w:rsidRPr="00626D32" w:rsidRDefault="0064107D" w:rsidP="00537BB4">
            <w:pPr>
              <w:pStyle w:val="BoxSpaceBelow"/>
            </w:pPr>
          </w:p>
        </w:tc>
      </w:tr>
    </w:tbl>
    <w:p w:rsidR="0019539B" w:rsidRDefault="009569B9" w:rsidP="0019539B">
      <w:pPr>
        <w:pStyle w:val="BodyText"/>
      </w:pPr>
      <w:r>
        <w:t xml:space="preserve">Defining the various </w:t>
      </w:r>
      <w:r w:rsidR="00162715">
        <w:t>parts</w:t>
      </w:r>
      <w:r>
        <w:t xml:space="preserve"> of a court’s operating costs into these categories may be challenging, and a number of approaches could be used. To demonstrate</w:t>
      </w:r>
      <w:r w:rsidR="00BE66CF">
        <w:t xml:space="preserve"> a simplified </w:t>
      </w:r>
      <w:r w:rsidR="00CF6DCA">
        <w:t>approach to categorising costs</w:t>
      </w:r>
      <w:r>
        <w:t xml:space="preserve">, the Commission has separated the operating costs listed in the Family Court’s annual report into direct and indirect costs </w:t>
      </w:r>
      <w:r w:rsidR="00F418FA">
        <w:t xml:space="preserve">(though some of the broad descriptions of costs listed in this example as indirect may contain some direct components) </w:t>
      </w:r>
      <w:r>
        <w:t>(table G.1).</w:t>
      </w:r>
      <w:r w:rsidR="00F418FA">
        <w:t xml:space="preserve"> The information set out in this example is intended to be illustrative —</w:t>
      </w:r>
      <w:r w:rsidR="00CF6DCA">
        <w:t xml:space="preserve"> implementation of the Commission’s recommendations would require more detailed analysis to separate direct and non</w:t>
      </w:r>
      <w:r w:rsidR="00CF6DCA">
        <w:noBreakHyphen/>
        <w:t>direct components. For example, distinguishing between information technology services used to directly deliver services to clients (such as video</w:t>
      </w:r>
      <w:r w:rsidR="00CF6DCA">
        <w:noBreakHyphen/>
        <w:t>conferencing) and information technology services used to support corporate services functions.</w:t>
      </w:r>
    </w:p>
    <w:p w:rsidR="002910B4" w:rsidRDefault="002910B4" w:rsidP="004267D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99"/>
      </w:tblGrid>
      <w:tr w:rsidR="002910B4" w:rsidTr="00F503CF">
        <w:tc>
          <w:tcPr>
            <w:tcW w:w="8771" w:type="dxa"/>
            <w:tcBorders>
              <w:top w:val="single" w:sz="6" w:space="0" w:color="78A22F"/>
              <w:left w:val="nil"/>
              <w:bottom w:val="nil"/>
              <w:right w:val="nil"/>
            </w:tcBorders>
            <w:shd w:val="clear" w:color="auto" w:fill="auto"/>
          </w:tcPr>
          <w:p w:rsidR="002910B4" w:rsidRDefault="002910B4" w:rsidP="004267DB">
            <w:pPr>
              <w:pStyle w:val="TableTitle"/>
            </w:pPr>
            <w:r>
              <w:rPr>
                <w:b w:val="0"/>
              </w:rPr>
              <w:t xml:space="preserve">Table </w:t>
            </w:r>
            <w:r w:rsidR="00447825">
              <w:rPr>
                <w:b w:val="0"/>
              </w:rPr>
              <w:t>G.</w:t>
            </w:r>
            <w:r w:rsidR="00447825">
              <w:rPr>
                <w:b w:val="0"/>
                <w:noProof/>
              </w:rPr>
              <w:t>1</w:t>
            </w:r>
            <w:r>
              <w:tab/>
            </w:r>
            <w:r w:rsidR="000B3D82">
              <w:t>Illustrative example of categorising court operating costs</w:t>
            </w:r>
            <w:r w:rsidR="000B3D82" w:rsidRPr="00C457DB">
              <w:rPr>
                <w:vertAlign w:val="superscript"/>
              </w:rPr>
              <w:t>a</w:t>
            </w:r>
          </w:p>
          <w:p w:rsidR="002910B4" w:rsidRPr="00784A05" w:rsidRDefault="000B3D82" w:rsidP="00784A05">
            <w:pPr>
              <w:pStyle w:val="Subtitle"/>
            </w:pPr>
            <w:r>
              <w:t>Using expenditure figures for the Family Court of Australia</w:t>
            </w:r>
          </w:p>
        </w:tc>
      </w:tr>
      <w:tr w:rsidR="002910B4" w:rsidTr="00F95957">
        <w:trPr>
          <w:cantSplit/>
        </w:trPr>
        <w:tc>
          <w:tcPr>
            <w:tcW w:w="8771" w:type="dxa"/>
            <w:tcBorders>
              <w:top w:val="nil"/>
              <w:left w:val="nil"/>
              <w:bottom w:val="nil"/>
              <w:right w:val="nil"/>
            </w:tcBorders>
            <w:shd w:val="clear" w:color="auto" w:fill="auto"/>
          </w:tcPr>
          <w:tbl>
            <w:tblPr>
              <w:tblW w:w="8515" w:type="dxa"/>
              <w:tblCellMar>
                <w:top w:w="28" w:type="dxa"/>
                <w:left w:w="0" w:type="dxa"/>
                <w:right w:w="0" w:type="dxa"/>
              </w:tblCellMar>
              <w:tblLook w:val="0000" w:firstRow="0" w:lastRow="0" w:firstColumn="0" w:lastColumn="0" w:noHBand="0" w:noVBand="0"/>
            </w:tblPr>
            <w:tblGrid>
              <w:gridCol w:w="4257"/>
              <w:gridCol w:w="4258"/>
            </w:tblGrid>
            <w:tr w:rsidR="000B3D82" w:rsidTr="000B3D82">
              <w:trPr>
                <w:trHeight w:val="367"/>
              </w:trPr>
              <w:tc>
                <w:tcPr>
                  <w:tcW w:w="2500" w:type="pct"/>
                  <w:tcBorders>
                    <w:top w:val="single" w:sz="6" w:space="0" w:color="EEECE1" w:themeColor="background2"/>
                    <w:bottom w:val="single" w:sz="6" w:space="0" w:color="EEECE1" w:themeColor="background2"/>
                  </w:tcBorders>
                  <w:shd w:val="clear" w:color="auto" w:fill="auto"/>
                  <w:tcMar>
                    <w:top w:w="28" w:type="dxa"/>
                  </w:tcMar>
                </w:tcPr>
                <w:p w:rsidR="000B3D82" w:rsidRDefault="000B3D82" w:rsidP="0000755C">
                  <w:pPr>
                    <w:pStyle w:val="TableColumnHeading"/>
                    <w:jc w:val="left"/>
                  </w:pPr>
                  <w:r>
                    <w:t>Expense</w:t>
                  </w:r>
                </w:p>
              </w:tc>
              <w:tc>
                <w:tcPr>
                  <w:tcW w:w="2500" w:type="pct"/>
                  <w:tcBorders>
                    <w:top w:val="single" w:sz="6" w:space="0" w:color="EEECE1" w:themeColor="background2"/>
                    <w:bottom w:val="single" w:sz="6" w:space="0" w:color="EEECE1" w:themeColor="background2"/>
                  </w:tcBorders>
                  <w:shd w:val="clear" w:color="auto" w:fill="auto"/>
                  <w:tcMar>
                    <w:top w:w="28" w:type="dxa"/>
                  </w:tcMar>
                </w:tcPr>
                <w:p w:rsidR="000B3D82" w:rsidRDefault="000B3D82" w:rsidP="0000755C">
                  <w:pPr>
                    <w:pStyle w:val="TableColumnHeading"/>
                  </w:pPr>
                  <w:r>
                    <w:t>Share of costs (%)</w:t>
                  </w:r>
                </w:p>
              </w:tc>
            </w:tr>
            <w:tr w:rsidR="000B3D82" w:rsidTr="000B3D82">
              <w:trPr>
                <w:trHeight w:val="285"/>
              </w:trPr>
              <w:tc>
                <w:tcPr>
                  <w:tcW w:w="2500" w:type="pct"/>
                </w:tcPr>
                <w:p w:rsidR="000B3D82" w:rsidRPr="00FF576E" w:rsidRDefault="000B3D82" w:rsidP="00226A9A">
                  <w:pPr>
                    <w:pStyle w:val="TableUnitsRow"/>
                    <w:jc w:val="left"/>
                    <w:rPr>
                      <w:i/>
                    </w:rPr>
                  </w:pPr>
                  <w:r w:rsidRPr="00FF576E">
                    <w:rPr>
                      <w:i/>
                    </w:rPr>
                    <w:t>Direct costs</w:t>
                  </w:r>
                </w:p>
              </w:tc>
              <w:tc>
                <w:tcPr>
                  <w:tcW w:w="2500" w:type="pct"/>
                </w:tcPr>
                <w:p w:rsidR="000B3D82" w:rsidRDefault="000B3D82" w:rsidP="00226A9A">
                  <w:pPr>
                    <w:pStyle w:val="TableUnitsRow"/>
                  </w:pPr>
                </w:p>
              </w:tc>
            </w:tr>
            <w:tr w:rsidR="000B3D82" w:rsidTr="000B3D82">
              <w:trPr>
                <w:trHeight w:val="245"/>
              </w:trPr>
              <w:tc>
                <w:tcPr>
                  <w:tcW w:w="2500" w:type="pct"/>
                  <w:shd w:val="clear" w:color="auto" w:fill="auto"/>
                </w:tcPr>
                <w:p w:rsidR="000B3D82" w:rsidRDefault="000B3D82" w:rsidP="00162715">
                  <w:pPr>
                    <w:pStyle w:val="TableBodyText"/>
                    <w:ind w:left="284"/>
                    <w:jc w:val="left"/>
                  </w:pPr>
                  <w:r>
                    <w:t>Client services</w:t>
                  </w:r>
                </w:p>
              </w:tc>
              <w:tc>
                <w:tcPr>
                  <w:tcW w:w="2500" w:type="pct"/>
                  <w:shd w:val="clear" w:color="auto" w:fill="auto"/>
                </w:tcPr>
                <w:p w:rsidR="000B3D82" w:rsidRDefault="000B3D82" w:rsidP="00226A9A">
                  <w:pPr>
                    <w:pStyle w:val="TableBodyText"/>
                  </w:pPr>
                  <w:r>
                    <w:t>25</w:t>
                  </w:r>
                </w:p>
              </w:tc>
            </w:tr>
            <w:tr w:rsidR="000B3D82" w:rsidTr="000B3D82">
              <w:trPr>
                <w:trHeight w:val="245"/>
              </w:trPr>
              <w:tc>
                <w:tcPr>
                  <w:tcW w:w="2500" w:type="pct"/>
                  <w:shd w:val="clear" w:color="auto" w:fill="auto"/>
                </w:tcPr>
                <w:p w:rsidR="000B3D82" w:rsidRDefault="000B3D82" w:rsidP="00162715">
                  <w:pPr>
                    <w:pStyle w:val="TableBodyText"/>
                    <w:ind w:left="284"/>
                    <w:jc w:val="left"/>
                  </w:pPr>
                  <w:r>
                    <w:t>Family consultants</w:t>
                  </w:r>
                </w:p>
              </w:tc>
              <w:tc>
                <w:tcPr>
                  <w:tcW w:w="2500" w:type="pct"/>
                  <w:shd w:val="clear" w:color="auto" w:fill="auto"/>
                </w:tcPr>
                <w:p w:rsidR="000B3D82" w:rsidRDefault="000B3D82" w:rsidP="00226A9A">
                  <w:pPr>
                    <w:pStyle w:val="TableBodyText"/>
                  </w:pPr>
                  <w:r>
                    <w:t>8</w:t>
                  </w:r>
                </w:p>
              </w:tc>
            </w:tr>
            <w:tr w:rsidR="000B3D82" w:rsidTr="000B3D82">
              <w:trPr>
                <w:trHeight w:val="258"/>
              </w:trPr>
              <w:tc>
                <w:tcPr>
                  <w:tcW w:w="2500" w:type="pct"/>
                  <w:shd w:val="clear" w:color="auto" w:fill="auto"/>
                </w:tcPr>
                <w:p w:rsidR="000B3D82" w:rsidRDefault="000B3D82" w:rsidP="00162715">
                  <w:pPr>
                    <w:pStyle w:val="TableBodyText"/>
                    <w:ind w:left="284"/>
                    <w:jc w:val="left"/>
                  </w:pPr>
                  <w:r>
                    <w:t>Registrars</w:t>
                  </w:r>
                </w:p>
              </w:tc>
              <w:tc>
                <w:tcPr>
                  <w:tcW w:w="2500" w:type="pct"/>
                  <w:shd w:val="clear" w:color="auto" w:fill="auto"/>
                </w:tcPr>
                <w:p w:rsidR="000B3D82" w:rsidRDefault="000B3D82" w:rsidP="00226A9A">
                  <w:pPr>
                    <w:pStyle w:val="TableBodyText"/>
                  </w:pPr>
                  <w:r>
                    <w:t>6</w:t>
                  </w:r>
                </w:p>
              </w:tc>
            </w:tr>
            <w:tr w:rsidR="000B3D82" w:rsidTr="000B3D82">
              <w:trPr>
                <w:trHeight w:val="245"/>
              </w:trPr>
              <w:tc>
                <w:tcPr>
                  <w:tcW w:w="2500" w:type="pct"/>
                  <w:shd w:val="clear" w:color="auto" w:fill="auto"/>
                </w:tcPr>
                <w:p w:rsidR="000B3D82" w:rsidRDefault="000B3D82" w:rsidP="00162715">
                  <w:pPr>
                    <w:pStyle w:val="TableBodyText"/>
                    <w:ind w:left="284"/>
                    <w:jc w:val="left"/>
                  </w:pPr>
                  <w:r>
                    <w:t>Judges and support</w:t>
                  </w:r>
                </w:p>
              </w:tc>
              <w:tc>
                <w:tcPr>
                  <w:tcW w:w="2500" w:type="pct"/>
                  <w:shd w:val="clear" w:color="auto" w:fill="auto"/>
                </w:tcPr>
                <w:p w:rsidR="000B3D82" w:rsidRDefault="000B3D82" w:rsidP="00226A9A">
                  <w:pPr>
                    <w:pStyle w:val="TableBodyText"/>
                  </w:pPr>
                  <w:r>
                    <w:t>21</w:t>
                  </w:r>
                </w:p>
              </w:tc>
            </w:tr>
            <w:tr w:rsidR="000B3D82" w:rsidTr="000B3D82">
              <w:trPr>
                <w:trHeight w:val="245"/>
              </w:trPr>
              <w:tc>
                <w:tcPr>
                  <w:tcW w:w="2500" w:type="pct"/>
                  <w:shd w:val="clear" w:color="auto" w:fill="auto"/>
                </w:tcPr>
                <w:p w:rsidR="000B3D82" w:rsidRPr="00980093" w:rsidRDefault="000B3D82" w:rsidP="00226A9A">
                  <w:pPr>
                    <w:pStyle w:val="TableBodyText"/>
                    <w:jc w:val="left"/>
                    <w:rPr>
                      <w:b/>
                    </w:rPr>
                  </w:pPr>
                  <w:r w:rsidRPr="00980093">
                    <w:rPr>
                      <w:b/>
                    </w:rPr>
                    <w:t>Total direct costs</w:t>
                  </w:r>
                </w:p>
              </w:tc>
              <w:tc>
                <w:tcPr>
                  <w:tcW w:w="2500" w:type="pct"/>
                  <w:shd w:val="clear" w:color="auto" w:fill="auto"/>
                </w:tcPr>
                <w:p w:rsidR="000B3D82" w:rsidRPr="00980093" w:rsidRDefault="000B3D82" w:rsidP="00226A9A">
                  <w:pPr>
                    <w:pStyle w:val="TableBodyText"/>
                    <w:rPr>
                      <w:b/>
                    </w:rPr>
                  </w:pPr>
                  <w:r w:rsidRPr="00980093">
                    <w:rPr>
                      <w:b/>
                    </w:rPr>
                    <w:t>60</w:t>
                  </w:r>
                </w:p>
              </w:tc>
            </w:tr>
            <w:tr w:rsidR="000B3D82" w:rsidTr="000B3D82">
              <w:trPr>
                <w:trHeight w:val="285"/>
              </w:trPr>
              <w:tc>
                <w:tcPr>
                  <w:tcW w:w="2500" w:type="pct"/>
                  <w:shd w:val="clear" w:color="auto" w:fill="auto"/>
                </w:tcPr>
                <w:p w:rsidR="000B3D82" w:rsidRPr="00FF576E" w:rsidRDefault="000B3D82" w:rsidP="00226A9A">
                  <w:pPr>
                    <w:pStyle w:val="TableUnitsRow"/>
                    <w:jc w:val="left"/>
                    <w:rPr>
                      <w:i/>
                    </w:rPr>
                  </w:pPr>
                  <w:r>
                    <w:rPr>
                      <w:i/>
                    </w:rPr>
                    <w:t>Ind</w:t>
                  </w:r>
                  <w:r w:rsidRPr="00FF576E">
                    <w:rPr>
                      <w:i/>
                    </w:rPr>
                    <w:t>irect costs</w:t>
                  </w:r>
                </w:p>
              </w:tc>
              <w:tc>
                <w:tcPr>
                  <w:tcW w:w="2500" w:type="pct"/>
                  <w:shd w:val="clear" w:color="auto" w:fill="auto"/>
                </w:tcPr>
                <w:p w:rsidR="000B3D82" w:rsidRDefault="000B3D82" w:rsidP="00226A9A">
                  <w:pPr>
                    <w:pStyle w:val="TableUnitsRow"/>
                  </w:pPr>
                </w:p>
              </w:tc>
            </w:tr>
            <w:tr w:rsidR="000B3D82" w:rsidTr="000B3D82">
              <w:trPr>
                <w:trHeight w:val="258"/>
              </w:trPr>
              <w:tc>
                <w:tcPr>
                  <w:tcW w:w="2500" w:type="pct"/>
                  <w:shd w:val="clear" w:color="auto" w:fill="auto"/>
                </w:tcPr>
                <w:p w:rsidR="000B3D82" w:rsidRDefault="000B3D82" w:rsidP="00162715">
                  <w:pPr>
                    <w:pStyle w:val="TableBodyText"/>
                    <w:ind w:left="284"/>
                    <w:jc w:val="left"/>
                  </w:pPr>
                  <w:r>
                    <w:t>Depreciation</w:t>
                  </w:r>
                </w:p>
              </w:tc>
              <w:tc>
                <w:tcPr>
                  <w:tcW w:w="2500" w:type="pct"/>
                  <w:shd w:val="clear" w:color="auto" w:fill="auto"/>
                </w:tcPr>
                <w:p w:rsidR="000B3D82" w:rsidRDefault="000B3D82" w:rsidP="00226A9A">
                  <w:pPr>
                    <w:pStyle w:val="TableBodyText"/>
                  </w:pPr>
                  <w:r>
                    <w:t>8</w:t>
                  </w:r>
                </w:p>
              </w:tc>
            </w:tr>
            <w:tr w:rsidR="000B3D82" w:rsidTr="000B3D82">
              <w:trPr>
                <w:trHeight w:val="245"/>
              </w:trPr>
              <w:tc>
                <w:tcPr>
                  <w:tcW w:w="2500" w:type="pct"/>
                  <w:shd w:val="clear" w:color="auto" w:fill="auto"/>
                </w:tcPr>
                <w:p w:rsidR="000B3D82" w:rsidRDefault="000B3D82" w:rsidP="00162715">
                  <w:pPr>
                    <w:pStyle w:val="TableBodyText"/>
                    <w:ind w:left="284"/>
                    <w:jc w:val="left"/>
                  </w:pPr>
                  <w:r>
                    <w:t>Property</w:t>
                  </w:r>
                </w:p>
              </w:tc>
              <w:tc>
                <w:tcPr>
                  <w:tcW w:w="2500" w:type="pct"/>
                  <w:shd w:val="clear" w:color="auto" w:fill="auto"/>
                </w:tcPr>
                <w:p w:rsidR="000B3D82" w:rsidRDefault="000B3D82" w:rsidP="00226A9A">
                  <w:pPr>
                    <w:pStyle w:val="TableBodyText"/>
                  </w:pPr>
                  <w:r>
                    <w:t>15</w:t>
                  </w:r>
                </w:p>
              </w:tc>
            </w:tr>
            <w:tr w:rsidR="000B3D82" w:rsidTr="000B3D82">
              <w:trPr>
                <w:trHeight w:val="245"/>
              </w:trPr>
              <w:tc>
                <w:tcPr>
                  <w:tcW w:w="2500" w:type="pct"/>
                  <w:shd w:val="clear" w:color="auto" w:fill="auto"/>
                </w:tcPr>
                <w:p w:rsidR="000B3D82" w:rsidRDefault="000B3D82" w:rsidP="00162715">
                  <w:pPr>
                    <w:pStyle w:val="TableBodyText"/>
                    <w:ind w:left="284"/>
                    <w:jc w:val="left"/>
                  </w:pPr>
                  <w:r>
                    <w:t>Corporate support</w:t>
                  </w:r>
                </w:p>
              </w:tc>
              <w:tc>
                <w:tcPr>
                  <w:tcW w:w="2500" w:type="pct"/>
                  <w:shd w:val="clear" w:color="auto" w:fill="auto"/>
                </w:tcPr>
                <w:p w:rsidR="000B3D82" w:rsidRDefault="000B3D82" w:rsidP="00226A9A">
                  <w:pPr>
                    <w:pStyle w:val="TableBodyText"/>
                  </w:pPr>
                  <w:r>
                    <w:t>7</w:t>
                  </w:r>
                </w:p>
              </w:tc>
            </w:tr>
            <w:tr w:rsidR="000B3D82" w:rsidTr="007A2DAB">
              <w:trPr>
                <w:trHeight w:val="245"/>
              </w:trPr>
              <w:tc>
                <w:tcPr>
                  <w:tcW w:w="2500" w:type="pct"/>
                  <w:shd w:val="clear" w:color="auto" w:fill="auto"/>
                </w:tcPr>
                <w:p w:rsidR="000B3D82" w:rsidRDefault="000B3D82" w:rsidP="00162715">
                  <w:pPr>
                    <w:pStyle w:val="TableBodyText"/>
                    <w:ind w:left="284"/>
                    <w:jc w:val="left"/>
                  </w:pPr>
                  <w:r>
                    <w:t>Corporate overheads</w:t>
                  </w:r>
                </w:p>
              </w:tc>
              <w:tc>
                <w:tcPr>
                  <w:tcW w:w="2500" w:type="pct"/>
                  <w:shd w:val="clear" w:color="auto" w:fill="auto"/>
                </w:tcPr>
                <w:p w:rsidR="000B3D82" w:rsidRDefault="000B3D82" w:rsidP="00226A9A">
                  <w:pPr>
                    <w:pStyle w:val="TableBodyText"/>
                  </w:pPr>
                  <w:r>
                    <w:t>2</w:t>
                  </w:r>
                </w:p>
              </w:tc>
            </w:tr>
            <w:tr w:rsidR="000B3D82" w:rsidTr="007A2DAB">
              <w:trPr>
                <w:trHeight w:val="245"/>
              </w:trPr>
              <w:tc>
                <w:tcPr>
                  <w:tcW w:w="2500" w:type="pct"/>
                  <w:shd w:val="clear" w:color="auto" w:fill="auto"/>
                </w:tcPr>
                <w:p w:rsidR="000B3D82" w:rsidRDefault="000B3D82" w:rsidP="00162715">
                  <w:pPr>
                    <w:pStyle w:val="TableBodyText"/>
                    <w:ind w:left="284"/>
                    <w:jc w:val="left"/>
                  </w:pPr>
                  <w:r>
                    <w:t>Information technology services</w:t>
                  </w:r>
                </w:p>
              </w:tc>
              <w:tc>
                <w:tcPr>
                  <w:tcW w:w="2500" w:type="pct"/>
                  <w:shd w:val="clear" w:color="auto" w:fill="auto"/>
                </w:tcPr>
                <w:p w:rsidR="000B3D82" w:rsidRDefault="000B3D82" w:rsidP="00226A9A">
                  <w:pPr>
                    <w:pStyle w:val="TableBodyText"/>
                  </w:pPr>
                  <w:r>
                    <w:t>8</w:t>
                  </w:r>
                </w:p>
              </w:tc>
            </w:tr>
            <w:tr w:rsidR="000B3D82" w:rsidTr="007A2DAB">
              <w:trPr>
                <w:trHeight w:val="258"/>
              </w:trPr>
              <w:tc>
                <w:tcPr>
                  <w:tcW w:w="2500" w:type="pct"/>
                  <w:tcBorders>
                    <w:bottom w:val="single" w:sz="6" w:space="0" w:color="C8C8C8"/>
                  </w:tcBorders>
                  <w:shd w:val="clear" w:color="auto" w:fill="auto"/>
                </w:tcPr>
                <w:p w:rsidR="000B3D82" w:rsidRPr="00980093" w:rsidRDefault="000B3D82" w:rsidP="00226A9A">
                  <w:pPr>
                    <w:pStyle w:val="TableBodyText"/>
                    <w:jc w:val="left"/>
                    <w:rPr>
                      <w:b/>
                    </w:rPr>
                  </w:pPr>
                  <w:r w:rsidRPr="00980093">
                    <w:rPr>
                      <w:b/>
                    </w:rPr>
                    <w:t>Total indirect costs</w:t>
                  </w:r>
                </w:p>
              </w:tc>
              <w:tc>
                <w:tcPr>
                  <w:tcW w:w="2500" w:type="pct"/>
                  <w:tcBorders>
                    <w:bottom w:val="single" w:sz="6" w:space="0" w:color="C8C8C8"/>
                  </w:tcBorders>
                  <w:shd w:val="clear" w:color="auto" w:fill="auto"/>
                </w:tcPr>
                <w:p w:rsidR="000B3D82" w:rsidRPr="00980093" w:rsidRDefault="000B3D82" w:rsidP="00226A9A">
                  <w:pPr>
                    <w:pStyle w:val="TableBodyText"/>
                    <w:rPr>
                      <w:b/>
                    </w:rPr>
                  </w:pPr>
                  <w:r w:rsidRPr="00980093">
                    <w:rPr>
                      <w:b/>
                    </w:rPr>
                    <w:t>40</w:t>
                  </w:r>
                </w:p>
              </w:tc>
            </w:tr>
          </w:tbl>
          <w:p w:rsidR="002910B4" w:rsidRDefault="002910B4" w:rsidP="00846637">
            <w:pPr>
              <w:pStyle w:val="Box"/>
            </w:pPr>
          </w:p>
        </w:tc>
      </w:tr>
      <w:tr w:rsidR="002910B4" w:rsidTr="00F95957">
        <w:trPr>
          <w:cantSplit/>
        </w:trPr>
        <w:tc>
          <w:tcPr>
            <w:tcW w:w="8771" w:type="dxa"/>
            <w:tcBorders>
              <w:top w:val="nil"/>
              <w:left w:val="nil"/>
              <w:bottom w:val="nil"/>
              <w:right w:val="nil"/>
            </w:tcBorders>
            <w:shd w:val="clear" w:color="auto" w:fill="auto"/>
          </w:tcPr>
          <w:p w:rsidR="002910B4" w:rsidRPr="000B3D82" w:rsidRDefault="000B3D82" w:rsidP="00162715">
            <w:pPr>
              <w:pStyle w:val="Note"/>
            </w:pPr>
            <w:r w:rsidRPr="008E77FE">
              <w:rPr>
                <w:rStyle w:val="NoteLabel"/>
              </w:rPr>
              <w:t>a</w:t>
            </w:r>
            <w:r>
              <w:t xml:space="preserve"> Assum</w:t>
            </w:r>
            <w:r w:rsidR="00162715">
              <w:t>es</w:t>
            </w:r>
            <w:r>
              <w:t xml:space="preserve"> that judicial salaries can be entirely attributed as direct costs. As discussed further below, this may not be the case and thus the proportion of direct costs may be smaller.</w:t>
            </w:r>
          </w:p>
        </w:tc>
      </w:tr>
      <w:tr w:rsidR="002910B4" w:rsidTr="00F95957">
        <w:trPr>
          <w:cantSplit/>
        </w:trPr>
        <w:tc>
          <w:tcPr>
            <w:tcW w:w="8771" w:type="dxa"/>
            <w:tcBorders>
              <w:top w:val="nil"/>
              <w:left w:val="nil"/>
              <w:bottom w:val="nil"/>
              <w:right w:val="nil"/>
            </w:tcBorders>
            <w:shd w:val="clear" w:color="auto" w:fill="auto"/>
          </w:tcPr>
          <w:p w:rsidR="002910B4" w:rsidRDefault="000B3D82" w:rsidP="000B3D82">
            <w:pPr>
              <w:pStyle w:val="Source"/>
            </w:pPr>
            <w:r>
              <w:rPr>
                <w:i/>
              </w:rPr>
              <w:t>Source</w:t>
            </w:r>
            <w:r w:rsidRPr="00B45A54">
              <w:t>:</w:t>
            </w:r>
            <w:r>
              <w:rPr>
                <w:i/>
              </w:rPr>
              <w:t xml:space="preserve"> </w:t>
            </w:r>
            <w:r w:rsidRPr="000B3D82">
              <w:t>Family Court of Australia</w:t>
            </w:r>
            <w:r>
              <w:t xml:space="preserve"> </w:t>
            </w:r>
            <w:r w:rsidRPr="000B3D82">
              <w:rPr>
                <w:rFonts w:cs="Arial"/>
              </w:rPr>
              <w:t>(2013)</w:t>
            </w:r>
            <w:r w:rsidR="00DE77B5">
              <w:t>.</w:t>
            </w:r>
          </w:p>
        </w:tc>
      </w:tr>
      <w:tr w:rsidR="002910B4" w:rsidTr="00F503CF">
        <w:trPr>
          <w:cantSplit/>
        </w:trPr>
        <w:tc>
          <w:tcPr>
            <w:tcW w:w="8771" w:type="dxa"/>
            <w:tcBorders>
              <w:top w:val="nil"/>
              <w:left w:val="nil"/>
              <w:bottom w:val="single" w:sz="6" w:space="0" w:color="78A22F"/>
              <w:right w:val="nil"/>
            </w:tcBorders>
            <w:shd w:val="clear" w:color="auto" w:fill="auto"/>
          </w:tcPr>
          <w:p w:rsidR="002910B4" w:rsidRDefault="002910B4" w:rsidP="00846637">
            <w:pPr>
              <w:pStyle w:val="Box"/>
              <w:spacing w:before="0" w:line="120" w:lineRule="exact"/>
            </w:pPr>
          </w:p>
        </w:tc>
      </w:tr>
      <w:tr w:rsidR="002910B4" w:rsidRPr="000863A5" w:rsidTr="00F503CF">
        <w:tc>
          <w:tcPr>
            <w:tcW w:w="8771" w:type="dxa"/>
            <w:tcBorders>
              <w:top w:val="single" w:sz="6" w:space="0" w:color="78A22F"/>
              <w:left w:val="nil"/>
              <w:bottom w:val="nil"/>
              <w:right w:val="nil"/>
            </w:tcBorders>
          </w:tcPr>
          <w:p w:rsidR="002910B4" w:rsidRPr="00626D32" w:rsidRDefault="002910B4" w:rsidP="00784A05">
            <w:pPr>
              <w:pStyle w:val="BoxSpaceBelow"/>
            </w:pPr>
          </w:p>
        </w:tc>
      </w:tr>
    </w:tbl>
    <w:p w:rsidR="00BC2439" w:rsidRDefault="00F418FA" w:rsidP="00BC2439">
      <w:pPr>
        <w:pStyle w:val="Heading4"/>
      </w:pPr>
      <w:r>
        <w:t>Treatment of</w:t>
      </w:r>
      <w:r w:rsidR="00980093">
        <w:t xml:space="preserve"> judicial salaries</w:t>
      </w:r>
    </w:p>
    <w:p w:rsidR="000F1E58" w:rsidRDefault="00EB0637" w:rsidP="004430C0">
      <w:pPr>
        <w:pStyle w:val="BodyText"/>
      </w:pPr>
      <w:r>
        <w:t>Judicial salaries can comprise a significant share of operating costs for Australian courts.</w:t>
      </w:r>
      <w:r w:rsidR="00B93E68">
        <w:t xml:space="preserve"> </w:t>
      </w:r>
      <w:r>
        <w:t xml:space="preserve">In order to ensure judicial independence, </w:t>
      </w:r>
      <w:r w:rsidR="00033EBF">
        <w:t>the</w:t>
      </w:r>
      <w:r>
        <w:t xml:space="preserve"> salaries</w:t>
      </w:r>
      <w:r w:rsidR="00033EBF">
        <w:t xml:space="preserve"> of judges in the federal courts</w:t>
      </w:r>
      <w:r>
        <w:t xml:space="preserve"> </w:t>
      </w:r>
      <w:r w:rsidR="00A42612">
        <w:t>are subject to</w:t>
      </w:r>
      <w:r>
        <w:t xml:space="preserve"> specific provisions set out in s</w:t>
      </w:r>
      <w:r w:rsidR="002375FF">
        <w:t>ection</w:t>
      </w:r>
      <w:r w:rsidR="00B45A54">
        <w:t> </w:t>
      </w:r>
      <w:r w:rsidR="002375FF">
        <w:t>72 of the Au</w:t>
      </w:r>
      <w:r>
        <w:t>stralian Constitution</w:t>
      </w:r>
      <w:r w:rsidR="000F1E58">
        <w:t>:</w:t>
      </w:r>
    </w:p>
    <w:p w:rsidR="004430C0" w:rsidRDefault="004430C0" w:rsidP="000F1E58">
      <w:pPr>
        <w:pStyle w:val="Quote"/>
      </w:pPr>
      <w:r>
        <w:t>The Justices of the High Court and of the other courts created by the Parliament:</w:t>
      </w:r>
    </w:p>
    <w:p w:rsidR="004430C0" w:rsidRDefault="004430C0" w:rsidP="000F1E58">
      <w:pPr>
        <w:pStyle w:val="QuoteBullet"/>
      </w:pPr>
      <w:r>
        <w:t>shall be appointed by the Governor</w:t>
      </w:r>
      <w:r w:rsidR="00B45A54">
        <w:noBreakHyphen/>
      </w:r>
      <w:r>
        <w:t>General in Council;</w:t>
      </w:r>
    </w:p>
    <w:p w:rsidR="000F1E58" w:rsidRDefault="004430C0" w:rsidP="000F1E58">
      <w:pPr>
        <w:pStyle w:val="QuoteBullet"/>
      </w:pPr>
      <w:r>
        <w:t>shall not be removed except by the Governor</w:t>
      </w:r>
      <w:r w:rsidR="00B45A54">
        <w:noBreakHyphen/>
      </w:r>
      <w:r>
        <w:t>General in Council, on an address from both Houses of the Parliament in the same session, praying for such removal on the ground of proved misbehaviour or incapacity;</w:t>
      </w:r>
    </w:p>
    <w:p w:rsidR="004430C0" w:rsidRDefault="004430C0" w:rsidP="000F1E58">
      <w:pPr>
        <w:pStyle w:val="QuoteBullet"/>
      </w:pPr>
      <w:r>
        <w:t>shall receive such remuneration as the Parliament may fix; but the remuneration shall not be diminished during their continuance in office.</w:t>
      </w:r>
    </w:p>
    <w:p w:rsidR="00F022D9" w:rsidRDefault="00EB0637" w:rsidP="000F1E58">
      <w:pPr>
        <w:pStyle w:val="BodyText"/>
      </w:pPr>
      <w:r>
        <w:t>The result is that</w:t>
      </w:r>
      <w:r w:rsidR="00CD1020">
        <w:t>,</w:t>
      </w:r>
      <w:r>
        <w:t xml:space="preserve"> unlike most labour costs, </w:t>
      </w:r>
      <w:r w:rsidR="00CD1020">
        <w:t xml:space="preserve">the cost to courts of paying </w:t>
      </w:r>
      <w:r>
        <w:t>judicial salar</w:t>
      </w:r>
      <w:r w:rsidR="00CD1020">
        <w:t>ies</w:t>
      </w:r>
      <w:r>
        <w:t xml:space="preserve"> cannot be reduced</w:t>
      </w:r>
      <w:r w:rsidR="00EF6C60">
        <w:t xml:space="preserve"> </w:t>
      </w:r>
      <w:r w:rsidR="00F418FA">
        <w:t>in the short run</w:t>
      </w:r>
      <w:r>
        <w:t>, even where it may be operationally efficient to do so (for example, in the event of a sudden and substantial decrease in workload). This has significant implications for defining and allocating the</w:t>
      </w:r>
      <w:r w:rsidR="00853848">
        <w:t xml:space="preserve"> cost</w:t>
      </w:r>
      <w:r>
        <w:t xml:space="preserve"> of judicial salaries</w:t>
      </w:r>
      <w:r w:rsidR="00853848">
        <w:t xml:space="preserve"> through </w:t>
      </w:r>
      <w:r>
        <w:t xml:space="preserve">court </w:t>
      </w:r>
      <w:r w:rsidR="00853848">
        <w:t>fees</w:t>
      </w:r>
      <w:r>
        <w:t>.</w:t>
      </w:r>
    </w:p>
    <w:p w:rsidR="00F022D9" w:rsidRDefault="00CD1020" w:rsidP="000F1E58">
      <w:pPr>
        <w:pStyle w:val="BodyText"/>
      </w:pPr>
      <w:r>
        <w:t>Some courts</w:t>
      </w:r>
      <w:r w:rsidR="00033EBF">
        <w:t>,</w:t>
      </w:r>
      <w:r>
        <w:t xml:space="preserve"> </w:t>
      </w:r>
      <w:r w:rsidR="00033EBF">
        <w:t>f</w:t>
      </w:r>
      <w:r w:rsidR="00B93E68">
        <w:t>or example the Family Court of Australia and Federal Court of Australia</w:t>
      </w:r>
      <w:r w:rsidR="00033EBF">
        <w:t>, characterise</w:t>
      </w:r>
      <w:r w:rsidR="00B93E68">
        <w:t xml:space="preserve"> judicial officers and their support as a fixed cost</w:t>
      </w:r>
      <w:r w:rsidR="00033EBF" w:rsidRPr="00033EBF">
        <w:t xml:space="preserve"> </w:t>
      </w:r>
      <w:r w:rsidR="00033EBF">
        <w:t>in their annual reports</w:t>
      </w:r>
      <w:r w:rsidR="00B93E68">
        <w:t>.</w:t>
      </w:r>
      <w:r w:rsidR="00F022D9">
        <w:t xml:space="preserve"> However, it is important to recognise that this inflexibility only applies to reductions in </w:t>
      </w:r>
      <w:r w:rsidR="00F022D9">
        <w:lastRenderedPageBreak/>
        <w:t xml:space="preserve">cost. </w:t>
      </w:r>
      <w:r w:rsidR="00DC5F44">
        <w:t>In the event that a</w:t>
      </w:r>
      <w:r w:rsidR="00F022D9">
        <w:t xml:space="preserve">dditional judges </w:t>
      </w:r>
      <w:r w:rsidR="00DC5F44">
        <w:t>are</w:t>
      </w:r>
      <w:r w:rsidR="00F022D9">
        <w:t xml:space="preserve"> appointed in response </w:t>
      </w:r>
      <w:r w:rsidR="00DC5F44">
        <w:t xml:space="preserve">to an increase in workload, </w:t>
      </w:r>
      <w:r w:rsidR="00F022D9">
        <w:t>the cost of judicial sala</w:t>
      </w:r>
      <w:r w:rsidR="00973494">
        <w:t xml:space="preserve">ries would rise accordingly. Thus </w:t>
      </w:r>
      <w:r w:rsidR="00D560B8">
        <w:t xml:space="preserve">it </w:t>
      </w:r>
      <w:r w:rsidR="00973494">
        <w:t>is not</w:t>
      </w:r>
      <w:r w:rsidR="00F022D9">
        <w:t xml:space="preserve"> </w:t>
      </w:r>
      <w:r w:rsidR="00D903FF">
        <w:t xml:space="preserve">appropriate </w:t>
      </w:r>
      <w:r w:rsidR="00F022D9">
        <w:t>to characterise judicial</w:t>
      </w:r>
      <w:r w:rsidR="00D903FF">
        <w:t xml:space="preserve"> salaries purely as fixed costs.</w:t>
      </w:r>
    </w:p>
    <w:p w:rsidR="00CD1020" w:rsidRDefault="00F022D9" w:rsidP="000F1E58">
      <w:pPr>
        <w:pStyle w:val="BodyText"/>
      </w:pPr>
      <w:r>
        <w:t xml:space="preserve">The fact that judicial salaries are fixed at a minimum level in the short run does not mean that their cost cannot be directly attributed to a particular service offered by the courts. </w:t>
      </w:r>
      <w:r w:rsidR="00CD1020">
        <w:t xml:space="preserve">Indeed, the Commission believes that the time spent by judges dealing with cases </w:t>
      </w:r>
      <w:r w:rsidR="00B60295">
        <w:t>should be included</w:t>
      </w:r>
      <w:r w:rsidR="00CD1020">
        <w:t xml:space="preserve"> in the </w:t>
      </w:r>
      <w:r w:rsidR="009C0910">
        <w:t>direct costs</w:t>
      </w:r>
      <w:r w:rsidR="00CD1020">
        <w:t xml:space="preserve"> charged</w:t>
      </w:r>
      <w:r w:rsidR="009C0910">
        <w:t xml:space="preserve"> through fees</w:t>
      </w:r>
      <w:r w:rsidR="00CD1020">
        <w:t xml:space="preserve"> for various court activities</w:t>
      </w:r>
      <w:r w:rsidR="00814975">
        <w:t>.</w:t>
      </w:r>
      <w:r w:rsidR="008049E2">
        <w:t xml:space="preserve"> For example, the value of a judge’s time spent in hearing a case in court could be </w:t>
      </w:r>
      <w:r w:rsidR="00B60295">
        <w:t>reflected</w:t>
      </w:r>
      <w:r w:rsidR="008049E2">
        <w:t xml:space="preserve"> in hearing fee</w:t>
      </w:r>
      <w:r w:rsidR="00B60295">
        <w:t>s</w:t>
      </w:r>
      <w:r w:rsidR="008049E2">
        <w:t>.</w:t>
      </w:r>
      <w:r w:rsidR="00814975">
        <w:t xml:space="preserve"> The value of time not spent dealing</w:t>
      </w:r>
      <w:r w:rsidR="00B6391C">
        <w:t xml:space="preserve"> directly</w:t>
      </w:r>
      <w:r w:rsidR="00814975">
        <w:t xml:space="preserve"> with cases can then be treated </w:t>
      </w:r>
      <w:r w:rsidR="00B6391C">
        <w:t>in the same way as other indirect costs</w:t>
      </w:r>
      <w:r w:rsidR="009B32E8">
        <w:t>.</w:t>
      </w:r>
    </w:p>
    <w:p w:rsidR="007D729F" w:rsidRDefault="007A11C7" w:rsidP="007D729F">
      <w:pPr>
        <w:pStyle w:val="Heading2"/>
      </w:pPr>
      <w:r>
        <w:t>G.</w:t>
      </w:r>
      <w:r>
        <w:rPr>
          <w:noProof/>
        </w:rPr>
        <w:t>2</w:t>
      </w:r>
      <w:r>
        <w:tab/>
      </w:r>
      <w:r w:rsidR="004B0899" w:rsidRPr="004B0899">
        <w:t>Allocating costs</w:t>
      </w:r>
      <w:r w:rsidR="00827808">
        <w:t xml:space="preserve"> to users</w:t>
      </w:r>
      <w:r w:rsidR="007D729F" w:rsidRPr="007D729F">
        <w:t xml:space="preserve"> </w:t>
      </w:r>
      <w:r w:rsidR="007D729F">
        <w:t xml:space="preserve">using </w:t>
      </w:r>
      <w:r w:rsidR="002F1B5C">
        <w:t xml:space="preserve">the </w:t>
      </w:r>
      <w:r w:rsidR="007D729F">
        <w:t>fully distributed cost</w:t>
      </w:r>
      <w:r w:rsidR="002F1B5C">
        <w:t xml:space="preserve"> method</w:t>
      </w:r>
    </w:p>
    <w:p w:rsidR="007D729F" w:rsidRDefault="007D729F" w:rsidP="005D6C96">
      <w:pPr>
        <w:pStyle w:val="BodyText"/>
      </w:pPr>
      <w:r>
        <w:t xml:space="preserve">Many businesses and government agencies use the </w:t>
      </w:r>
      <w:r w:rsidR="00F645E0">
        <w:t>FDC</w:t>
      </w:r>
      <w:r>
        <w:t xml:space="preserve"> method as </w:t>
      </w:r>
      <w:r w:rsidRPr="007D729F">
        <w:t xml:space="preserve">a simple way to distribute </w:t>
      </w:r>
      <w:r>
        <w:t>indirect costs</w:t>
      </w:r>
      <w:r w:rsidRPr="007D729F">
        <w:t>.</w:t>
      </w:r>
      <w:r>
        <w:t xml:space="preserve"> The Commission believes that </w:t>
      </w:r>
      <w:r w:rsidR="003C2FF1">
        <w:t>the</w:t>
      </w:r>
      <w:r w:rsidR="00170C4B">
        <w:t xml:space="preserve"> </w:t>
      </w:r>
      <w:r>
        <w:t xml:space="preserve">FDC </w:t>
      </w:r>
      <w:r w:rsidR="003C2FF1">
        <w:t>method</w:t>
      </w:r>
      <w:r w:rsidR="00170C4B">
        <w:t xml:space="preserve"> </w:t>
      </w:r>
      <w:r>
        <w:t>may be an appropriate means by which courts can allocate their operating costs to be charged through court fees.</w:t>
      </w:r>
    </w:p>
    <w:p w:rsidR="0006413E" w:rsidRDefault="005D6C96" w:rsidP="005D6C96">
      <w:pPr>
        <w:pStyle w:val="BodyText"/>
      </w:pPr>
      <w:r>
        <w:t xml:space="preserve">Under </w:t>
      </w:r>
      <w:r w:rsidR="00B4788C">
        <w:t xml:space="preserve">an </w:t>
      </w:r>
      <w:r w:rsidR="007D729F">
        <w:t>FDC</w:t>
      </w:r>
      <w:r w:rsidR="00B4788C">
        <w:t xml:space="preserve"> approach</w:t>
      </w:r>
      <w:r>
        <w:t xml:space="preserve">, </w:t>
      </w:r>
      <w:r w:rsidR="006B3C0B">
        <w:t>d</w:t>
      </w:r>
      <w:r>
        <w:t xml:space="preserve">irect costs are allocated to their respective output, while indirect costs are </w:t>
      </w:r>
      <w:r w:rsidR="0006413E">
        <w:t>distributed</w:t>
      </w:r>
      <w:r>
        <w:t xml:space="preserve"> across all outputs. Thus, the cost base for each </w:t>
      </w:r>
      <w:r w:rsidR="006B3C0B">
        <w:t>service</w:t>
      </w:r>
      <w:r w:rsidR="00AD706A">
        <w:t xml:space="preserve"> will include</w:t>
      </w:r>
      <w:r>
        <w:t xml:space="preserve"> the direct costs, and those</w:t>
      </w:r>
      <w:r w:rsidR="00AD706A">
        <w:t xml:space="preserve"> costs</w:t>
      </w:r>
      <w:r>
        <w:t xml:space="preserve"> </w:t>
      </w:r>
      <w:r w:rsidR="00AD706A">
        <w:t>incurre</w:t>
      </w:r>
      <w:r>
        <w:t xml:space="preserve">d indirectly to produce the </w:t>
      </w:r>
      <w:r w:rsidR="006B3C0B">
        <w:t>service</w:t>
      </w:r>
      <w:r>
        <w:t>.</w:t>
      </w:r>
      <w:r w:rsidR="00AD706A">
        <w:t xml:space="preserve"> </w:t>
      </w:r>
      <w:r w:rsidR="00C35B77">
        <w:t>The amount of indirect costs</w:t>
      </w:r>
      <w:r w:rsidR="007B448E">
        <w:t xml:space="preserve"> to be</w:t>
      </w:r>
      <w:r w:rsidR="00AD706A">
        <w:t xml:space="preserve"> reflected in court fees</w:t>
      </w:r>
      <w:r w:rsidR="007B448E">
        <w:t xml:space="preserve"> will depend on the specific approach to FDC that is adopted. The Commission has suggested in chapter</w:t>
      </w:r>
      <w:r w:rsidR="00B45A54">
        <w:t> </w:t>
      </w:r>
      <w:r w:rsidR="007B448E">
        <w:t>16 that a differential pricing approach may be the most appropriate</w:t>
      </w:r>
      <w:r w:rsidR="00030827">
        <w:t xml:space="preserve"> method</w:t>
      </w:r>
      <w:r w:rsidR="007B448E">
        <w:t>. The v</w:t>
      </w:r>
      <w:r w:rsidR="0006413E">
        <w:t>arious approaches to allocating these indirect costs</w:t>
      </w:r>
      <w:r w:rsidR="007B448E">
        <w:t>, including on a differential basis,</w:t>
      </w:r>
      <w:r w:rsidR="0006413E">
        <w:t xml:space="preserve"> are discussed below.</w:t>
      </w:r>
    </w:p>
    <w:p w:rsidR="00AE1B9B" w:rsidRDefault="009649FD" w:rsidP="00AE1B9B">
      <w:pPr>
        <w:pStyle w:val="Heading4"/>
      </w:pPr>
      <w:r>
        <w:t>Pro</w:t>
      </w:r>
      <w:r>
        <w:noBreakHyphen/>
      </w:r>
      <w:r w:rsidR="00AE1B9B">
        <w:t>rata basis</w:t>
      </w:r>
    </w:p>
    <w:p w:rsidR="005D6C96" w:rsidRDefault="00F83645" w:rsidP="005D6C96">
      <w:pPr>
        <w:pStyle w:val="BodyText"/>
      </w:pPr>
      <w:r>
        <w:t xml:space="preserve">The most simple form of FDC allocates </w:t>
      </w:r>
      <w:r w:rsidR="005D6C96">
        <w:t>indirect costs on a pro</w:t>
      </w:r>
      <w:r w:rsidR="00B45A54">
        <w:noBreakHyphen/>
      </w:r>
      <w:r w:rsidR="005D6C96">
        <w:t>rata basis. They may, for instance, be allocated as a proportion of:</w:t>
      </w:r>
    </w:p>
    <w:p w:rsidR="008F3701" w:rsidRDefault="005D6C96" w:rsidP="005D6C96">
      <w:pPr>
        <w:pStyle w:val="ListBullet"/>
      </w:pPr>
      <w:r>
        <w:t>staff involved in the activity</w:t>
      </w:r>
      <w:r w:rsidR="00405F97">
        <w:t xml:space="preserve"> as a percentage of total staff</w:t>
      </w:r>
    </w:p>
    <w:p w:rsidR="005D6C96" w:rsidRPr="005D6C96" w:rsidRDefault="005D6C96" w:rsidP="005D6C96">
      <w:pPr>
        <w:pStyle w:val="ListBullet"/>
      </w:pPr>
      <w:r>
        <w:rPr>
          <w:szCs w:val="26"/>
        </w:rPr>
        <w:t>the direct resource use of the activity as a percentage of total resource use</w:t>
      </w:r>
      <w:r w:rsidR="00405F97">
        <w:rPr>
          <w:szCs w:val="26"/>
        </w:rPr>
        <w:t>,</w:t>
      </w:r>
      <w:r>
        <w:rPr>
          <w:szCs w:val="26"/>
        </w:rPr>
        <w:t xml:space="preserve"> or</w:t>
      </w:r>
    </w:p>
    <w:p w:rsidR="005D6C96" w:rsidRPr="007D729F" w:rsidRDefault="005D6C96" w:rsidP="005D6C96">
      <w:pPr>
        <w:pStyle w:val="ListBullet"/>
      </w:pPr>
      <w:r>
        <w:rPr>
          <w:szCs w:val="26"/>
        </w:rPr>
        <w:t>the budget for the activity as a percentage of the total business budget.</w:t>
      </w:r>
    </w:p>
    <w:p w:rsidR="007D729F" w:rsidRDefault="00162715" w:rsidP="007D729F">
      <w:pPr>
        <w:pStyle w:val="BodyText"/>
      </w:pPr>
      <w:r>
        <w:t>Compared with other forms of FDC, s</w:t>
      </w:r>
      <w:r w:rsidR="007D729F">
        <w:t>imple pro</w:t>
      </w:r>
      <w:r w:rsidR="00825118">
        <w:noBreakHyphen/>
      </w:r>
      <w:r w:rsidR="007D729F">
        <w:t>rata methods are relati</w:t>
      </w:r>
      <w:r w:rsidR="007A798A">
        <w:t xml:space="preserve">vely easy to implement and many </w:t>
      </w:r>
      <w:r w:rsidR="00F34C94">
        <w:t>courts may</w:t>
      </w:r>
      <w:r w:rsidR="007D729F">
        <w:t xml:space="preserve"> have the financial data available to attribute direct costs to </w:t>
      </w:r>
      <w:r w:rsidR="007A798A">
        <w:t>services</w:t>
      </w:r>
      <w:r w:rsidR="007D729F">
        <w:t xml:space="preserve"> and to identify indirect costs separately.</w:t>
      </w:r>
    </w:p>
    <w:p w:rsidR="009649FD" w:rsidRPr="00C06874" w:rsidRDefault="009649FD" w:rsidP="007D729F">
      <w:pPr>
        <w:pStyle w:val="BodyText"/>
      </w:pPr>
      <w:r>
        <w:t xml:space="preserve">However, allocating </w:t>
      </w:r>
      <w:r w:rsidR="0070149E">
        <w:t xml:space="preserve">the </w:t>
      </w:r>
      <w:r>
        <w:t>indirect costs</w:t>
      </w:r>
      <w:r w:rsidR="0070149E">
        <w:t xml:space="preserve"> of operating courts</w:t>
      </w:r>
      <w:r>
        <w:t xml:space="preserve"> on a pro</w:t>
      </w:r>
      <w:r>
        <w:noBreakHyphen/>
        <w:t xml:space="preserve">rata </w:t>
      </w:r>
      <w:r w:rsidR="0070149E">
        <w:t>basis is unlikely to satisfy the policy objectives of accessibility and affordability in the justice system</w:t>
      </w:r>
      <w:r w:rsidR="00C74889">
        <w:t>,</w:t>
      </w:r>
      <w:r w:rsidR="0070149E">
        <w:t xml:space="preserve"> </w:t>
      </w:r>
      <w:r w:rsidR="00C74889">
        <w:t>s</w:t>
      </w:r>
      <w:r w:rsidR="00420979">
        <w:t>ince</w:t>
      </w:r>
      <w:r w:rsidR="0070149E">
        <w:t xml:space="preserve"> a </w:t>
      </w:r>
      <w:r w:rsidR="0070149E">
        <w:lastRenderedPageBreak/>
        <w:t>pro</w:t>
      </w:r>
      <w:r w:rsidR="0070149E">
        <w:noBreakHyphen/>
        <w:t>rata system distribute</w:t>
      </w:r>
      <w:r w:rsidR="00C74889">
        <w:t>s</w:t>
      </w:r>
      <w:r w:rsidR="0070149E">
        <w:t xml:space="preserve"> costs evenly across users without any regard to their</w:t>
      </w:r>
      <w:r w:rsidR="00C74889">
        <w:t xml:space="preserve"> willingness or capacity to pay.</w:t>
      </w:r>
    </w:p>
    <w:p w:rsidR="00E7080F" w:rsidRDefault="00714561" w:rsidP="00E7080F">
      <w:pPr>
        <w:pStyle w:val="Heading4"/>
      </w:pPr>
      <w:r>
        <w:t>Activity</w:t>
      </w:r>
      <w:r w:rsidR="00D56F7F">
        <w:noBreakHyphen/>
      </w:r>
      <w:r w:rsidR="00A76528">
        <w:t>b</w:t>
      </w:r>
      <w:r w:rsidR="00E7080F">
        <w:t xml:space="preserve">ased </w:t>
      </w:r>
      <w:r>
        <w:t>c</w:t>
      </w:r>
      <w:r w:rsidR="00E7080F">
        <w:t>osting</w:t>
      </w:r>
    </w:p>
    <w:p w:rsidR="00E7080F" w:rsidRDefault="00714561" w:rsidP="00E7080F">
      <w:pPr>
        <w:pStyle w:val="BodyText"/>
      </w:pPr>
      <w:r>
        <w:t>Activity</w:t>
      </w:r>
      <w:r w:rsidR="00D56F7F">
        <w:noBreakHyphen/>
      </w:r>
      <w:r>
        <w:t>b</w:t>
      </w:r>
      <w:r w:rsidR="00062840">
        <w:t xml:space="preserve">ased </w:t>
      </w:r>
      <w:r>
        <w:t>c</w:t>
      </w:r>
      <w:r w:rsidR="00062840">
        <w:t>osting (ABC)</w:t>
      </w:r>
      <w:r w:rsidR="00E7080F">
        <w:t xml:space="preserve"> links an agency’s products to the activities undertaken to produce them. Activities are</w:t>
      </w:r>
      <w:r>
        <w:t>,</w:t>
      </w:r>
      <w:r w:rsidR="00E7080F">
        <w:t xml:space="preserve"> in turn</w:t>
      </w:r>
      <w:r>
        <w:t>,</w:t>
      </w:r>
      <w:r w:rsidR="00E7080F">
        <w:t xml:space="preserve"> linked to the agency’s costs. While the form of an </w:t>
      </w:r>
      <w:r w:rsidR="00DC5999">
        <w:t>ABC</w:t>
      </w:r>
      <w:r w:rsidR="00E7080F">
        <w:t xml:space="preserve"> system can vary </w:t>
      </w:r>
      <w:r w:rsidR="007D729F">
        <w:t>between various bodies</w:t>
      </w:r>
      <w:r w:rsidR="00E7080F">
        <w:t>, it typically comprises:</w:t>
      </w:r>
    </w:p>
    <w:p w:rsidR="00E7080F" w:rsidRDefault="00405F97" w:rsidP="00E7080F">
      <w:pPr>
        <w:pStyle w:val="ListBullet"/>
      </w:pPr>
      <w:r>
        <w:t>identifying full costs</w:t>
      </w:r>
    </w:p>
    <w:p w:rsidR="00E7080F" w:rsidRDefault="00E7080F" w:rsidP="00E7080F">
      <w:pPr>
        <w:pStyle w:val="ListBullet"/>
      </w:pPr>
      <w:r w:rsidRPr="00E7080F">
        <w:t>identifying produc</w:t>
      </w:r>
      <w:r w:rsidR="00405F97">
        <w:t>ts and services, and the agency’s user groups</w:t>
      </w:r>
    </w:p>
    <w:p w:rsidR="00E7080F" w:rsidRDefault="00E7080F" w:rsidP="00E7080F">
      <w:pPr>
        <w:pStyle w:val="ListBullet"/>
      </w:pPr>
      <w:r w:rsidRPr="00E7080F">
        <w:t>identifying all activities that the agen</w:t>
      </w:r>
      <w:r w:rsidR="00405F97">
        <w:t>cy performs to produce products and services</w:t>
      </w:r>
    </w:p>
    <w:p w:rsidR="00E7080F" w:rsidRDefault="00E7080F" w:rsidP="00E7080F">
      <w:pPr>
        <w:pStyle w:val="ListBullet"/>
      </w:pPr>
      <w:r w:rsidRPr="00E7080F">
        <w:t>tracing full costs to the activities</w:t>
      </w:r>
    </w:p>
    <w:p w:rsidR="00E7080F" w:rsidRDefault="00E7080F" w:rsidP="00E7080F">
      <w:pPr>
        <w:pStyle w:val="ListBullet"/>
      </w:pPr>
      <w:r>
        <w:t>identifying cost drivers that link activities to products to give a cost per unit of product</w:t>
      </w:r>
      <w:r w:rsidR="00405F97">
        <w:t xml:space="preserve"> or service</w:t>
      </w:r>
      <w:r>
        <w:t>.</w:t>
      </w:r>
    </w:p>
    <w:p w:rsidR="008F3701" w:rsidRDefault="00062840" w:rsidP="00DA00AD">
      <w:pPr>
        <w:pStyle w:val="BodyText"/>
      </w:pPr>
      <w:r>
        <w:t xml:space="preserve">ABC </w:t>
      </w:r>
      <w:r w:rsidR="00DA00AD">
        <w:t xml:space="preserve">is a more </w:t>
      </w:r>
      <w:r>
        <w:t xml:space="preserve">accurate and </w:t>
      </w:r>
      <w:r w:rsidR="00DA00AD">
        <w:t xml:space="preserve">sophisticated method of allocating the </w:t>
      </w:r>
      <w:r w:rsidR="007A798A">
        <w:t>indirect cost pool</w:t>
      </w:r>
      <w:r w:rsidR="00DA00AD">
        <w:t xml:space="preserve">. Under the ABC approach, categories of indirect cost are identified, and these costs are allocated to products using criteria (often called ‘drivers’) </w:t>
      </w:r>
      <w:r w:rsidR="004A483B">
        <w:t>that</w:t>
      </w:r>
      <w:r w:rsidR="00DA00AD">
        <w:t xml:space="preserve"> most closely reflect usage by each product.</w:t>
      </w:r>
      <w:r>
        <w:t xml:space="preserve"> ABC is not only useful from a </w:t>
      </w:r>
      <w:r w:rsidR="00D409B7">
        <w:t>cost recovery</w:t>
      </w:r>
      <w:r>
        <w:t xml:space="preserve"> pers</w:t>
      </w:r>
      <w:r w:rsidR="00791458">
        <w:t>pective — it can also help an</w:t>
      </w:r>
      <w:r>
        <w:t xml:space="preserve"> agency </w:t>
      </w:r>
      <w:r w:rsidR="0027298F">
        <w:t xml:space="preserve">understand </w:t>
      </w:r>
      <w:r>
        <w:t>which of their activities are high cost, and help evaluate whether those activities are worthwhile or if there are more efficient alternatives available.</w:t>
      </w:r>
    </w:p>
    <w:p w:rsidR="007A798A" w:rsidRDefault="007B448E" w:rsidP="00642285">
      <w:pPr>
        <w:pStyle w:val="BodyText"/>
      </w:pPr>
      <w:r>
        <w:t>ABC</w:t>
      </w:r>
      <w:r w:rsidR="00642285">
        <w:t xml:space="preserve"> requires more detailed </w:t>
      </w:r>
      <w:r w:rsidR="00633605">
        <w:t xml:space="preserve">data to implement </w:t>
      </w:r>
      <w:r w:rsidR="00642285">
        <w:t>than the simple pro</w:t>
      </w:r>
      <w:r w:rsidR="00825118">
        <w:noBreakHyphen/>
      </w:r>
      <w:r w:rsidR="005067C4">
        <w:t xml:space="preserve">rata system. For example, data would be required to determine which activities contribute to certain court services and how these activities consume resources. </w:t>
      </w:r>
      <w:r w:rsidR="007A798A">
        <w:t xml:space="preserve">These requirements </w:t>
      </w:r>
      <w:r w:rsidR="00714561">
        <w:t>may</w:t>
      </w:r>
      <w:r w:rsidR="007A798A">
        <w:t xml:space="preserve"> often</w:t>
      </w:r>
      <w:r>
        <w:t xml:space="preserve"> be</w:t>
      </w:r>
      <w:r w:rsidR="007A798A">
        <w:t xml:space="preserve"> in addition to </w:t>
      </w:r>
      <w:r w:rsidR="00BB14AA">
        <w:t xml:space="preserve">data </w:t>
      </w:r>
      <w:r w:rsidR="00714561">
        <w:t>already held by courts</w:t>
      </w:r>
      <w:r w:rsidR="007A798A">
        <w:t>. Typically, agencies</w:t>
      </w:r>
      <w:r>
        <w:t xml:space="preserve"> that use ABC</w:t>
      </w:r>
      <w:r w:rsidR="007A798A">
        <w:t xml:space="preserve"> collect these data via surveys </w:t>
      </w:r>
      <w:r w:rsidR="00633605">
        <w:t>conducted</w:t>
      </w:r>
      <w:r w:rsidR="007A798A">
        <w:t xml:space="preserve"> at regular intervals. They may also use rosters or timesheets.</w:t>
      </w:r>
    </w:p>
    <w:p w:rsidR="00642285" w:rsidRDefault="00642285" w:rsidP="00642285">
      <w:pPr>
        <w:pStyle w:val="BodyText"/>
      </w:pPr>
      <w:r>
        <w:t xml:space="preserve">As a result, new systems </w:t>
      </w:r>
      <w:r w:rsidR="0006413E">
        <w:t>may</w:t>
      </w:r>
      <w:r>
        <w:t xml:space="preserve"> be needed to record items such as staf</w:t>
      </w:r>
      <w:r w:rsidR="0006413E">
        <w:t>f time spent on activities and services</w:t>
      </w:r>
      <w:r>
        <w:t xml:space="preserve">, </w:t>
      </w:r>
      <w:r w:rsidR="00633605">
        <w:t xml:space="preserve">the </w:t>
      </w:r>
      <w:r>
        <w:t xml:space="preserve">numbers of users and indicators of complexity for each </w:t>
      </w:r>
      <w:r w:rsidR="007A798A">
        <w:t>service</w:t>
      </w:r>
      <w:r>
        <w:t xml:space="preserve">. The increased complexity of </w:t>
      </w:r>
      <w:r w:rsidR="00DC5999">
        <w:t>ABC</w:t>
      </w:r>
      <w:r>
        <w:t>, and the greater need for data mean that the costs of implementing and using the system are higher than under simpler</w:t>
      </w:r>
      <w:r w:rsidR="002A3088">
        <w:t xml:space="preserve"> </w:t>
      </w:r>
      <w:r w:rsidR="00294F50">
        <w:t>approaches</w:t>
      </w:r>
      <w:r w:rsidR="002A3088">
        <w:t xml:space="preserve"> </w:t>
      </w:r>
      <w:r w:rsidR="00294F50">
        <w:t>to</w:t>
      </w:r>
      <w:r w:rsidR="002A3088">
        <w:t xml:space="preserve"> </w:t>
      </w:r>
      <w:r w:rsidR="00294F50">
        <w:t>FDC</w:t>
      </w:r>
      <w:r>
        <w:t>.</w:t>
      </w:r>
    </w:p>
    <w:p w:rsidR="00BC3DDD" w:rsidRPr="008F3701" w:rsidRDefault="00834F5A" w:rsidP="00642285">
      <w:pPr>
        <w:pStyle w:val="BodyText"/>
      </w:pPr>
      <w:r>
        <w:t>A number of courts</w:t>
      </w:r>
      <w:r w:rsidR="00062840">
        <w:t xml:space="preserve"> have explored the use of ABC. The Family Court of Australia and the Federal Circuit Court have updated their resource planning model in recent years to incorporate ABC</w:t>
      </w:r>
      <w:r w:rsidR="003A00D5">
        <w:t xml:space="preserve"> </w:t>
      </w:r>
      <w:r w:rsidR="000B3D82" w:rsidRPr="000B3D82">
        <w:rPr>
          <w:szCs w:val="24"/>
        </w:rPr>
        <w:t>(Family Court of Australia 2011; FMC 2011)</w:t>
      </w:r>
      <w:r w:rsidR="00BC3DDD">
        <w:t xml:space="preserve">. </w:t>
      </w:r>
      <w:r w:rsidR="00405F97">
        <w:t>T</w:t>
      </w:r>
      <w:r w:rsidR="00BC3DDD">
        <w:t xml:space="preserve">he Commission </w:t>
      </w:r>
      <w:r w:rsidR="006C5700">
        <w:t xml:space="preserve">understands that this has been </w:t>
      </w:r>
      <w:r w:rsidR="00BC3DDD">
        <w:t>largely for management purposes to identify savings, rather than for use in determining fee</w:t>
      </w:r>
      <w:r w:rsidR="00D56F7F">
        <w:t>s</w:t>
      </w:r>
      <w:r w:rsidR="00BC3DDD">
        <w:t xml:space="preserve">. </w:t>
      </w:r>
      <w:r w:rsidR="005067C4">
        <w:t>More recently</w:t>
      </w:r>
      <w:r w:rsidR="00BC3DDD">
        <w:t xml:space="preserve">, </w:t>
      </w:r>
      <w:r w:rsidR="005067C4">
        <w:t>the use of ABC</w:t>
      </w:r>
      <w:r w:rsidR="00BC3DDD">
        <w:t xml:space="preserve"> to determine </w:t>
      </w:r>
      <w:r w:rsidR="005565AC">
        <w:t xml:space="preserve">court </w:t>
      </w:r>
      <w:r w:rsidR="00BC3DDD">
        <w:t>fee</w:t>
      </w:r>
      <w:r w:rsidR="00D56F7F">
        <w:t>s</w:t>
      </w:r>
      <w:r w:rsidR="00BC3DDD">
        <w:t xml:space="preserve"> has been explored in</w:t>
      </w:r>
      <w:r w:rsidR="00753E69">
        <w:t xml:space="preserve"> a</w:t>
      </w:r>
      <w:r w:rsidR="00BC3DDD">
        <w:t xml:space="preserve"> </w:t>
      </w:r>
      <w:r w:rsidR="00753E69">
        <w:t>regulatory impact study</w:t>
      </w:r>
      <w:r w:rsidR="005067C4">
        <w:t xml:space="preserve"> of</w:t>
      </w:r>
      <w:r w:rsidR="00BC3DDD">
        <w:t xml:space="preserve"> fees in the Supreme and County Courts</w:t>
      </w:r>
      <w:r w:rsidR="000B291C">
        <w:t xml:space="preserve"> of</w:t>
      </w:r>
      <w:r w:rsidR="000B291C" w:rsidRPr="000B291C">
        <w:t xml:space="preserve"> </w:t>
      </w:r>
      <w:r w:rsidR="000B291C">
        <w:t>Victoria</w:t>
      </w:r>
      <w:r w:rsidR="00633605">
        <w:t xml:space="preserve"> </w:t>
      </w:r>
      <w:r w:rsidR="00633605" w:rsidRPr="00633605">
        <w:rPr>
          <w:szCs w:val="24"/>
        </w:rPr>
        <w:t>(Vic DoJ 2012)</w:t>
      </w:r>
      <w:r w:rsidR="00D56F7F">
        <w:t>.</w:t>
      </w:r>
    </w:p>
    <w:p w:rsidR="000E07F1" w:rsidRDefault="000E07F1" w:rsidP="000E07F1">
      <w:pPr>
        <w:pStyle w:val="Heading4"/>
      </w:pPr>
      <w:r>
        <w:lastRenderedPageBreak/>
        <w:t>Differential basis</w:t>
      </w:r>
    </w:p>
    <w:p w:rsidR="00C35B77" w:rsidRDefault="00C13BB7" w:rsidP="000E07F1">
      <w:pPr>
        <w:pStyle w:val="BodyText"/>
      </w:pPr>
      <w:r>
        <w:t xml:space="preserve">A third (and the Commission’s </w:t>
      </w:r>
      <w:r w:rsidR="00F55551">
        <w:t>recommended</w:t>
      </w:r>
      <w:r>
        <w:t>) approach for allocating indirect</w:t>
      </w:r>
      <w:r w:rsidR="000E07F1">
        <w:t xml:space="preserve"> costs </w:t>
      </w:r>
      <w:r>
        <w:t>through court fees is on</w:t>
      </w:r>
      <w:r w:rsidR="000E07F1">
        <w:t xml:space="preserve"> a differential basis</w:t>
      </w:r>
      <w:r w:rsidR="00EB30CD">
        <w:t xml:space="preserve"> (chapter</w:t>
      </w:r>
      <w:r w:rsidR="00B45A54">
        <w:t> </w:t>
      </w:r>
      <w:r w:rsidR="00EB30CD">
        <w:t>16)</w:t>
      </w:r>
      <w:r w:rsidR="000E07F1">
        <w:t xml:space="preserve">. Rather than averaging indirect and joint costs across all fee amounts, differential pricing allocates a share of indirect costs to </w:t>
      </w:r>
      <w:r w:rsidR="00881C5E">
        <w:t>users</w:t>
      </w:r>
      <w:r w:rsidR="000E07F1">
        <w:t xml:space="preserve"> </w:t>
      </w:r>
      <w:r w:rsidR="00246E8D">
        <w:t xml:space="preserve">through fees </w:t>
      </w:r>
      <w:r w:rsidR="000E07F1">
        <w:t xml:space="preserve">based on the characteristics of the party or the dispute </w:t>
      </w:r>
      <w:r w:rsidR="0096042B">
        <w:t>in which they are involved</w:t>
      </w:r>
      <w:r w:rsidR="000E07F1">
        <w:t>.</w:t>
      </w:r>
    </w:p>
    <w:p w:rsidR="000E07F1" w:rsidRDefault="000E07F1" w:rsidP="000E07F1">
      <w:pPr>
        <w:pStyle w:val="BodyText"/>
      </w:pPr>
      <w:r>
        <w:t>While not as simple as a pro</w:t>
      </w:r>
      <w:r>
        <w:noBreakHyphen/>
        <w:t>rata approach, differential pricing has the advantage of better fulfilling the broader objective of safeguarding the accessibility of the courts.</w:t>
      </w:r>
      <w:r w:rsidR="00387529">
        <w:t xml:space="preserve"> </w:t>
      </w:r>
      <w:r w:rsidR="0036596F">
        <w:t>Allocating</w:t>
      </w:r>
      <w:r w:rsidR="00387529">
        <w:t xml:space="preserve"> indirect costs towards cases with greater private economic value and parties with higher capacity to pay can help balance cost recovery and accessibility objectives, while avoiding the equity and efficiency impacts of cross</w:t>
      </w:r>
      <w:r w:rsidR="00387529">
        <w:noBreakHyphen/>
        <w:t>subsidisation.</w:t>
      </w:r>
    </w:p>
    <w:p w:rsidR="00572D97" w:rsidRDefault="00387529" w:rsidP="00120072">
      <w:pPr>
        <w:pStyle w:val="BodyText"/>
      </w:pPr>
      <w:r>
        <w:t xml:space="preserve">Allocating indirect costs on a differential basis </w:t>
      </w:r>
      <w:r w:rsidR="000804C2">
        <w:t>is</w:t>
      </w:r>
      <w:r>
        <w:t xml:space="preserve"> also</w:t>
      </w:r>
      <w:r w:rsidR="000804C2">
        <w:t xml:space="preserve"> likely to require less data and complexity than an ABC approach, and thus may be easier to implement and use. However, for those courts with sufficient resources and access to data to undertake </w:t>
      </w:r>
      <w:r w:rsidR="00435811">
        <w:t>ABC</w:t>
      </w:r>
      <w:r w:rsidR="000804C2">
        <w:t xml:space="preserve">, there may be merit in </w:t>
      </w:r>
      <w:r w:rsidR="007A11C7">
        <w:t>using</w:t>
      </w:r>
      <w:r w:rsidR="000804C2">
        <w:t xml:space="preserve"> ABC </w:t>
      </w:r>
      <w:r w:rsidR="000B7EB9">
        <w:t>as a reference point from which differential amounts can then be set.</w:t>
      </w:r>
      <w:bookmarkEnd w:id="2"/>
    </w:p>
    <w:sectPr w:rsidR="00572D97" w:rsidSect="00021BF7">
      <w:headerReference w:type="even" r:id="rId9"/>
      <w:headerReference w:type="default" r:id="rId10"/>
      <w:footerReference w:type="even" r:id="rId11"/>
      <w:footerReference w:type="default" r:id="rId12"/>
      <w:pgSz w:w="11907" w:h="16840" w:code="9"/>
      <w:pgMar w:top="1984" w:right="1304" w:bottom="1247" w:left="1814" w:header="1701" w:footer="397" w:gutter="0"/>
      <w:pgNumType w:start="1007"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C64" w:rsidRDefault="00D55C64">
      <w:r>
        <w:separator/>
      </w:r>
    </w:p>
  </w:endnote>
  <w:endnote w:type="continuationSeparator" w:id="0">
    <w:p w:rsidR="00D55C64" w:rsidRDefault="00D55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31514" w:rsidTr="005F48ED">
      <w:trPr>
        <w:trHeight w:hRule="exact" w:val="567"/>
      </w:trPr>
      <w:tc>
        <w:tcPr>
          <w:tcW w:w="510" w:type="dxa"/>
        </w:tcPr>
        <w:p w:rsidR="00431514" w:rsidRPr="00A24443" w:rsidRDefault="00431514"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6E57EC">
            <w:rPr>
              <w:rStyle w:val="PageNumber"/>
              <w:caps w:val="0"/>
              <w:noProof/>
            </w:rPr>
            <w:t>1012</w:t>
          </w:r>
          <w:r w:rsidRPr="00A24443">
            <w:rPr>
              <w:rStyle w:val="PageNumber"/>
              <w:caps w:val="0"/>
            </w:rPr>
            <w:fldChar w:fldCharType="end"/>
          </w:r>
        </w:p>
      </w:tc>
      <w:tc>
        <w:tcPr>
          <w:tcW w:w="7767" w:type="dxa"/>
        </w:tcPr>
        <w:p w:rsidR="00431514" w:rsidRPr="0013739A" w:rsidRDefault="00431514" w:rsidP="0013739A">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Pr>
              <w:rFonts w:cs="Arial"/>
            </w:rPr>
            <w:t>Access to Justice Arrangements</w:t>
          </w:r>
          <w:r w:rsidRPr="00BA5B14">
            <w:rPr>
              <w:rFonts w:cs="Arial"/>
            </w:rPr>
            <w:fldChar w:fldCharType="end"/>
          </w:r>
          <w:bookmarkStart w:id="5" w:name="DraftReportEven"/>
          <w:bookmarkEnd w:id="5"/>
        </w:p>
      </w:tc>
      <w:tc>
        <w:tcPr>
          <w:tcW w:w="510" w:type="dxa"/>
        </w:tcPr>
        <w:p w:rsidR="00431514" w:rsidRDefault="00431514" w:rsidP="0019293B">
          <w:pPr>
            <w:pStyle w:val="Footer"/>
          </w:pPr>
        </w:p>
      </w:tc>
    </w:tr>
  </w:tbl>
  <w:p w:rsidR="00431514" w:rsidRDefault="00431514" w:rsidP="0019293B">
    <w:pPr>
      <w:pStyle w:val="FooterEnd"/>
    </w:pPr>
  </w:p>
  <w:p w:rsidR="00096E55" w:rsidRDefault="00096E55"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31514" w:rsidTr="005F48ED">
      <w:trPr>
        <w:trHeight w:hRule="exact" w:val="567"/>
      </w:trPr>
      <w:tc>
        <w:tcPr>
          <w:tcW w:w="510" w:type="dxa"/>
        </w:tcPr>
        <w:p w:rsidR="00431514" w:rsidRDefault="00431514">
          <w:pPr>
            <w:pStyle w:val="Footer"/>
            <w:ind w:right="360" w:firstLine="360"/>
          </w:pPr>
        </w:p>
      </w:tc>
      <w:tc>
        <w:tcPr>
          <w:tcW w:w="7767" w:type="dxa"/>
        </w:tcPr>
        <w:p w:rsidR="00431514" w:rsidRPr="00BA5B14" w:rsidRDefault="00431514"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Pr>
              <w:rFonts w:cs="Arial"/>
            </w:rPr>
            <w:t>Approaches to cost allocation</w:t>
          </w:r>
          <w:r w:rsidRPr="00BA5B14">
            <w:rPr>
              <w:rFonts w:cs="Arial"/>
            </w:rPr>
            <w:fldChar w:fldCharType="end"/>
          </w:r>
        </w:p>
      </w:tc>
      <w:tc>
        <w:tcPr>
          <w:tcW w:w="510" w:type="dxa"/>
        </w:tcPr>
        <w:p w:rsidR="00431514" w:rsidRPr="00A24443" w:rsidRDefault="00431514">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6E57EC">
            <w:rPr>
              <w:rStyle w:val="PageNumber"/>
              <w:caps w:val="0"/>
              <w:noProof/>
            </w:rPr>
            <w:t>1011</w:t>
          </w:r>
          <w:r w:rsidRPr="00A24443">
            <w:rPr>
              <w:rStyle w:val="PageNumber"/>
              <w:caps w:val="0"/>
            </w:rPr>
            <w:fldChar w:fldCharType="end"/>
          </w:r>
        </w:p>
      </w:tc>
    </w:tr>
  </w:tbl>
  <w:p w:rsidR="00431514" w:rsidRDefault="00431514">
    <w:pPr>
      <w:pStyle w:val="FooterEnd"/>
    </w:pPr>
  </w:p>
  <w:p w:rsidR="00096E55" w:rsidRDefault="00096E55">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C64" w:rsidRDefault="00D55C64">
      <w:r>
        <w:separator/>
      </w:r>
    </w:p>
  </w:footnote>
  <w:footnote w:type="continuationSeparator" w:id="0">
    <w:p w:rsidR="00D55C64" w:rsidRDefault="00D55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096E55">
      <w:tc>
        <w:tcPr>
          <w:tcW w:w="2155" w:type="dxa"/>
          <w:tcBorders>
            <w:top w:val="single" w:sz="24" w:space="0" w:color="auto"/>
          </w:tcBorders>
        </w:tcPr>
        <w:p w:rsidR="00096E55" w:rsidRDefault="00096E55" w:rsidP="0019293B">
          <w:pPr>
            <w:pStyle w:val="HeaderEven"/>
          </w:pPr>
        </w:p>
      </w:tc>
      <w:tc>
        <w:tcPr>
          <w:tcW w:w="6634" w:type="dxa"/>
          <w:tcBorders>
            <w:top w:val="single" w:sz="6" w:space="0" w:color="auto"/>
          </w:tcBorders>
        </w:tcPr>
        <w:p w:rsidR="00096E55" w:rsidRDefault="00096E55" w:rsidP="0019293B">
          <w:pPr>
            <w:pStyle w:val="HeaderEven"/>
          </w:pPr>
        </w:p>
      </w:tc>
    </w:tr>
  </w:tbl>
  <w:p w:rsidR="00096E55" w:rsidRDefault="00096E55"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096E55">
      <w:tc>
        <w:tcPr>
          <w:tcW w:w="6634" w:type="dxa"/>
          <w:tcBorders>
            <w:top w:val="single" w:sz="6" w:space="0" w:color="auto"/>
          </w:tcBorders>
        </w:tcPr>
        <w:p w:rsidR="00096E55" w:rsidRDefault="00096E55" w:rsidP="00E669E2">
          <w:pPr>
            <w:pStyle w:val="HeaderOdd"/>
          </w:pPr>
        </w:p>
      </w:tc>
      <w:tc>
        <w:tcPr>
          <w:tcW w:w="2155" w:type="dxa"/>
          <w:tcBorders>
            <w:top w:val="single" w:sz="24" w:space="0" w:color="auto"/>
          </w:tcBorders>
        </w:tcPr>
        <w:p w:rsidR="00096E55" w:rsidRDefault="00096E55" w:rsidP="00E669E2">
          <w:pPr>
            <w:pStyle w:val="HeaderOdd"/>
          </w:pPr>
        </w:p>
      </w:tc>
    </w:tr>
  </w:tbl>
  <w:p w:rsidR="00096E55" w:rsidRDefault="00096E55"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4"/>
  </w:num>
  <w:num w:numId="3">
    <w:abstractNumId w:val="19"/>
  </w:num>
  <w:num w:numId="4">
    <w:abstractNumId w:val="2"/>
  </w:num>
  <w:num w:numId="5">
    <w:abstractNumId w:val="13"/>
  </w:num>
  <w:num w:numId="6">
    <w:abstractNumId w:val="3"/>
  </w:num>
  <w:num w:numId="7">
    <w:abstractNumId w:val="18"/>
  </w:num>
  <w:num w:numId="8">
    <w:abstractNumId w:val="15"/>
  </w:num>
  <w:num w:numId="9">
    <w:abstractNumId w:val="20"/>
  </w:num>
  <w:num w:numId="10">
    <w:abstractNumId w:val="9"/>
  </w:num>
  <w:num w:numId="11">
    <w:abstractNumId w:val="7"/>
  </w:num>
  <w:num w:numId="12">
    <w:abstractNumId w:val="14"/>
  </w:num>
  <w:num w:numId="13">
    <w:abstractNumId w:val="6"/>
  </w:num>
  <w:num w:numId="14">
    <w:abstractNumId w:val="5"/>
  </w:num>
  <w:num w:numId="15">
    <w:abstractNumId w:val="10"/>
  </w:num>
  <w:num w:numId="16">
    <w:abstractNumId w:val="12"/>
  </w:num>
  <w:num w:numId="17">
    <w:abstractNumId w:val="16"/>
  </w:num>
  <w:num w:numId="18">
    <w:abstractNumId w:val="17"/>
  </w:num>
  <w:num w:numId="19">
    <w:abstractNumId w:val="8"/>
  </w:num>
  <w:num w:numId="20">
    <w:abstractNumId w:val="0"/>
  </w:num>
  <w:num w:numId="21">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umber" w:val="G"/>
    <w:docVar w:name="FindingOptions" w:val="1"/>
    <w:docVar w:name="RecOptions" w:val="111"/>
    <w:docVar w:name="ShortChapterTitle" w:val="Approaches to cost allocation"/>
    <w:docVar w:name="ShortReportTitle" w:val="Access to Justice Arrangements"/>
  </w:docVars>
  <w:rsids>
    <w:rsidRoot w:val="00D55C64"/>
    <w:rsid w:val="00021BF7"/>
    <w:rsid w:val="000227D5"/>
    <w:rsid w:val="000245AA"/>
    <w:rsid w:val="00030827"/>
    <w:rsid w:val="00033EBF"/>
    <w:rsid w:val="0003664B"/>
    <w:rsid w:val="0004111F"/>
    <w:rsid w:val="000565B3"/>
    <w:rsid w:val="00062840"/>
    <w:rsid w:val="0006413E"/>
    <w:rsid w:val="0007150B"/>
    <w:rsid w:val="000804C2"/>
    <w:rsid w:val="000821C8"/>
    <w:rsid w:val="000938F5"/>
    <w:rsid w:val="00096E55"/>
    <w:rsid w:val="000B291C"/>
    <w:rsid w:val="000B3D82"/>
    <w:rsid w:val="000B601B"/>
    <w:rsid w:val="000B7EB9"/>
    <w:rsid w:val="000C207E"/>
    <w:rsid w:val="000E07F1"/>
    <w:rsid w:val="000F0035"/>
    <w:rsid w:val="000F1E58"/>
    <w:rsid w:val="000F420B"/>
    <w:rsid w:val="00110116"/>
    <w:rsid w:val="00120072"/>
    <w:rsid w:val="00126EB8"/>
    <w:rsid w:val="001274D4"/>
    <w:rsid w:val="001363AA"/>
    <w:rsid w:val="00162715"/>
    <w:rsid w:val="00170C4B"/>
    <w:rsid w:val="00173241"/>
    <w:rsid w:val="00181A03"/>
    <w:rsid w:val="00183E82"/>
    <w:rsid w:val="001878BB"/>
    <w:rsid w:val="00191AE0"/>
    <w:rsid w:val="0019293B"/>
    <w:rsid w:val="0019426B"/>
    <w:rsid w:val="0019539B"/>
    <w:rsid w:val="001C0865"/>
    <w:rsid w:val="001C3ABA"/>
    <w:rsid w:val="001C50F8"/>
    <w:rsid w:val="001E60DC"/>
    <w:rsid w:val="001E7BE8"/>
    <w:rsid w:val="001F0248"/>
    <w:rsid w:val="001F3EB3"/>
    <w:rsid w:val="001F4F86"/>
    <w:rsid w:val="00202C2C"/>
    <w:rsid w:val="002036EC"/>
    <w:rsid w:val="002135AB"/>
    <w:rsid w:val="002144BE"/>
    <w:rsid w:val="002375FF"/>
    <w:rsid w:val="00242279"/>
    <w:rsid w:val="00245C82"/>
    <w:rsid w:val="00246E8D"/>
    <w:rsid w:val="0027298F"/>
    <w:rsid w:val="00273BD1"/>
    <w:rsid w:val="00287785"/>
    <w:rsid w:val="002910B4"/>
    <w:rsid w:val="00291B40"/>
    <w:rsid w:val="00294F50"/>
    <w:rsid w:val="002978D5"/>
    <w:rsid w:val="002A3088"/>
    <w:rsid w:val="002B4008"/>
    <w:rsid w:val="002C3195"/>
    <w:rsid w:val="002D0E8E"/>
    <w:rsid w:val="002F1B5C"/>
    <w:rsid w:val="00301189"/>
    <w:rsid w:val="00323E09"/>
    <w:rsid w:val="00333932"/>
    <w:rsid w:val="003518AA"/>
    <w:rsid w:val="00352165"/>
    <w:rsid w:val="00353182"/>
    <w:rsid w:val="003565D9"/>
    <w:rsid w:val="003570EF"/>
    <w:rsid w:val="003602E1"/>
    <w:rsid w:val="0036596F"/>
    <w:rsid w:val="0037026F"/>
    <w:rsid w:val="00371240"/>
    <w:rsid w:val="00374731"/>
    <w:rsid w:val="00376E59"/>
    <w:rsid w:val="00387529"/>
    <w:rsid w:val="0039078F"/>
    <w:rsid w:val="003919F9"/>
    <w:rsid w:val="003A00D5"/>
    <w:rsid w:val="003B3982"/>
    <w:rsid w:val="003C2FF1"/>
    <w:rsid w:val="003C38B5"/>
    <w:rsid w:val="003C5D99"/>
    <w:rsid w:val="003E2F59"/>
    <w:rsid w:val="003E5C0C"/>
    <w:rsid w:val="003F0789"/>
    <w:rsid w:val="003F278D"/>
    <w:rsid w:val="00401882"/>
    <w:rsid w:val="00405F97"/>
    <w:rsid w:val="004100C8"/>
    <w:rsid w:val="00411DBD"/>
    <w:rsid w:val="00412ACE"/>
    <w:rsid w:val="00420979"/>
    <w:rsid w:val="00431249"/>
    <w:rsid w:val="00431514"/>
    <w:rsid w:val="00434C19"/>
    <w:rsid w:val="00435811"/>
    <w:rsid w:val="004430C0"/>
    <w:rsid w:val="00447825"/>
    <w:rsid w:val="00450810"/>
    <w:rsid w:val="004739A8"/>
    <w:rsid w:val="00477144"/>
    <w:rsid w:val="00491380"/>
    <w:rsid w:val="0049459F"/>
    <w:rsid w:val="004957A3"/>
    <w:rsid w:val="004A38DD"/>
    <w:rsid w:val="004A483B"/>
    <w:rsid w:val="004B0899"/>
    <w:rsid w:val="004B43AE"/>
    <w:rsid w:val="004C30ED"/>
    <w:rsid w:val="004D46FA"/>
    <w:rsid w:val="004D5675"/>
    <w:rsid w:val="004F2F0B"/>
    <w:rsid w:val="005067C4"/>
    <w:rsid w:val="00523639"/>
    <w:rsid w:val="00531FE5"/>
    <w:rsid w:val="005402FA"/>
    <w:rsid w:val="00543429"/>
    <w:rsid w:val="005565AC"/>
    <w:rsid w:val="00572D97"/>
    <w:rsid w:val="00583C39"/>
    <w:rsid w:val="00587F28"/>
    <w:rsid w:val="005909CF"/>
    <w:rsid w:val="00591E71"/>
    <w:rsid w:val="005A0D41"/>
    <w:rsid w:val="005B6B12"/>
    <w:rsid w:val="005D6C96"/>
    <w:rsid w:val="00607BF1"/>
    <w:rsid w:val="00630D4D"/>
    <w:rsid w:val="00632A74"/>
    <w:rsid w:val="00633605"/>
    <w:rsid w:val="0064107D"/>
    <w:rsid w:val="00642285"/>
    <w:rsid w:val="006868B0"/>
    <w:rsid w:val="006879E5"/>
    <w:rsid w:val="006A4655"/>
    <w:rsid w:val="006B2B3C"/>
    <w:rsid w:val="006B3C0B"/>
    <w:rsid w:val="006C1D81"/>
    <w:rsid w:val="006C5700"/>
    <w:rsid w:val="006C7038"/>
    <w:rsid w:val="006D04E9"/>
    <w:rsid w:val="006D6EDD"/>
    <w:rsid w:val="006E57EC"/>
    <w:rsid w:val="006E73EF"/>
    <w:rsid w:val="0070149E"/>
    <w:rsid w:val="00714561"/>
    <w:rsid w:val="00714D4D"/>
    <w:rsid w:val="00724E27"/>
    <w:rsid w:val="0073566D"/>
    <w:rsid w:val="00753E69"/>
    <w:rsid w:val="007604BB"/>
    <w:rsid w:val="00775D62"/>
    <w:rsid w:val="00784748"/>
    <w:rsid w:val="00785232"/>
    <w:rsid w:val="00791458"/>
    <w:rsid w:val="007957B8"/>
    <w:rsid w:val="00795AA3"/>
    <w:rsid w:val="007A11C7"/>
    <w:rsid w:val="007A21EB"/>
    <w:rsid w:val="007A2DAB"/>
    <w:rsid w:val="007A798A"/>
    <w:rsid w:val="007B0DF1"/>
    <w:rsid w:val="007B1A93"/>
    <w:rsid w:val="007B448E"/>
    <w:rsid w:val="007C36C9"/>
    <w:rsid w:val="007D6401"/>
    <w:rsid w:val="007D688F"/>
    <w:rsid w:val="007D729F"/>
    <w:rsid w:val="007E01E4"/>
    <w:rsid w:val="007F7107"/>
    <w:rsid w:val="00800D4C"/>
    <w:rsid w:val="008049E2"/>
    <w:rsid w:val="0081030F"/>
    <w:rsid w:val="00814975"/>
    <w:rsid w:val="0082087D"/>
    <w:rsid w:val="00822BFB"/>
    <w:rsid w:val="00825118"/>
    <w:rsid w:val="00827808"/>
    <w:rsid w:val="00834F5A"/>
    <w:rsid w:val="00835771"/>
    <w:rsid w:val="00837EED"/>
    <w:rsid w:val="00842933"/>
    <w:rsid w:val="00851480"/>
    <w:rsid w:val="00853848"/>
    <w:rsid w:val="0086082C"/>
    <w:rsid w:val="008649FC"/>
    <w:rsid w:val="00864ADC"/>
    <w:rsid w:val="00880153"/>
    <w:rsid w:val="00880F97"/>
    <w:rsid w:val="0088133A"/>
    <w:rsid w:val="00881C5E"/>
    <w:rsid w:val="00890ED4"/>
    <w:rsid w:val="0089285E"/>
    <w:rsid w:val="0089436C"/>
    <w:rsid w:val="008D365C"/>
    <w:rsid w:val="008F3701"/>
    <w:rsid w:val="008F6DE7"/>
    <w:rsid w:val="009030BF"/>
    <w:rsid w:val="0091032F"/>
    <w:rsid w:val="009111F7"/>
    <w:rsid w:val="00914368"/>
    <w:rsid w:val="00931076"/>
    <w:rsid w:val="009345D9"/>
    <w:rsid w:val="00934B15"/>
    <w:rsid w:val="00940C87"/>
    <w:rsid w:val="00942B62"/>
    <w:rsid w:val="00945F35"/>
    <w:rsid w:val="0095323B"/>
    <w:rsid w:val="009569B9"/>
    <w:rsid w:val="00956A0C"/>
    <w:rsid w:val="00956BD9"/>
    <w:rsid w:val="0096042B"/>
    <w:rsid w:val="00962489"/>
    <w:rsid w:val="009649FD"/>
    <w:rsid w:val="00973494"/>
    <w:rsid w:val="00980093"/>
    <w:rsid w:val="00990C2C"/>
    <w:rsid w:val="009B32E8"/>
    <w:rsid w:val="009C0910"/>
    <w:rsid w:val="009C488B"/>
    <w:rsid w:val="009D38F0"/>
    <w:rsid w:val="009D7038"/>
    <w:rsid w:val="009E1844"/>
    <w:rsid w:val="009F0D1B"/>
    <w:rsid w:val="009F2319"/>
    <w:rsid w:val="009F696D"/>
    <w:rsid w:val="009F6BC6"/>
    <w:rsid w:val="00A108B2"/>
    <w:rsid w:val="00A17328"/>
    <w:rsid w:val="00A20A71"/>
    <w:rsid w:val="00A225C0"/>
    <w:rsid w:val="00A23A20"/>
    <w:rsid w:val="00A268B9"/>
    <w:rsid w:val="00A2703A"/>
    <w:rsid w:val="00A33DFF"/>
    <w:rsid w:val="00A35115"/>
    <w:rsid w:val="00A36D9A"/>
    <w:rsid w:val="00A42612"/>
    <w:rsid w:val="00A554AB"/>
    <w:rsid w:val="00A57062"/>
    <w:rsid w:val="00A76528"/>
    <w:rsid w:val="00A875E0"/>
    <w:rsid w:val="00A92B53"/>
    <w:rsid w:val="00A94FA6"/>
    <w:rsid w:val="00AA26D3"/>
    <w:rsid w:val="00AA49A0"/>
    <w:rsid w:val="00AA6710"/>
    <w:rsid w:val="00AB0681"/>
    <w:rsid w:val="00AD520B"/>
    <w:rsid w:val="00AD706A"/>
    <w:rsid w:val="00AE1B9B"/>
    <w:rsid w:val="00AF709D"/>
    <w:rsid w:val="00B04EC2"/>
    <w:rsid w:val="00B05411"/>
    <w:rsid w:val="00B425C3"/>
    <w:rsid w:val="00B440AD"/>
    <w:rsid w:val="00B45A54"/>
    <w:rsid w:val="00B4788C"/>
    <w:rsid w:val="00B479BB"/>
    <w:rsid w:val="00B53E7E"/>
    <w:rsid w:val="00B60295"/>
    <w:rsid w:val="00B6342E"/>
    <w:rsid w:val="00B6391C"/>
    <w:rsid w:val="00B7113F"/>
    <w:rsid w:val="00B905CC"/>
    <w:rsid w:val="00B93E68"/>
    <w:rsid w:val="00BA73B6"/>
    <w:rsid w:val="00BA7E27"/>
    <w:rsid w:val="00BB14AA"/>
    <w:rsid w:val="00BB2603"/>
    <w:rsid w:val="00BB4FCD"/>
    <w:rsid w:val="00BC04E9"/>
    <w:rsid w:val="00BC2439"/>
    <w:rsid w:val="00BC3DDD"/>
    <w:rsid w:val="00BD047D"/>
    <w:rsid w:val="00BD13EA"/>
    <w:rsid w:val="00BE3808"/>
    <w:rsid w:val="00BE505B"/>
    <w:rsid w:val="00BE66CF"/>
    <w:rsid w:val="00BF49C4"/>
    <w:rsid w:val="00BF51FC"/>
    <w:rsid w:val="00C062E9"/>
    <w:rsid w:val="00C06874"/>
    <w:rsid w:val="00C07B64"/>
    <w:rsid w:val="00C13721"/>
    <w:rsid w:val="00C13BB7"/>
    <w:rsid w:val="00C14FE4"/>
    <w:rsid w:val="00C3066D"/>
    <w:rsid w:val="00C35B77"/>
    <w:rsid w:val="00C457DB"/>
    <w:rsid w:val="00C52416"/>
    <w:rsid w:val="00C543F4"/>
    <w:rsid w:val="00C6291C"/>
    <w:rsid w:val="00C62BCF"/>
    <w:rsid w:val="00C633CB"/>
    <w:rsid w:val="00C736B7"/>
    <w:rsid w:val="00C74889"/>
    <w:rsid w:val="00C81D4A"/>
    <w:rsid w:val="00C85F16"/>
    <w:rsid w:val="00C8762C"/>
    <w:rsid w:val="00C93480"/>
    <w:rsid w:val="00CA00F9"/>
    <w:rsid w:val="00CA2961"/>
    <w:rsid w:val="00CB50D7"/>
    <w:rsid w:val="00CB7177"/>
    <w:rsid w:val="00CC1998"/>
    <w:rsid w:val="00CC4946"/>
    <w:rsid w:val="00CD1020"/>
    <w:rsid w:val="00CF6DCA"/>
    <w:rsid w:val="00D26A08"/>
    <w:rsid w:val="00D270A4"/>
    <w:rsid w:val="00D31FE9"/>
    <w:rsid w:val="00D34E1B"/>
    <w:rsid w:val="00D376BA"/>
    <w:rsid w:val="00D409B7"/>
    <w:rsid w:val="00D45634"/>
    <w:rsid w:val="00D5568A"/>
    <w:rsid w:val="00D55C64"/>
    <w:rsid w:val="00D560B8"/>
    <w:rsid w:val="00D56F7F"/>
    <w:rsid w:val="00D63D73"/>
    <w:rsid w:val="00D64452"/>
    <w:rsid w:val="00D66E1E"/>
    <w:rsid w:val="00D7360C"/>
    <w:rsid w:val="00D75722"/>
    <w:rsid w:val="00D80CF5"/>
    <w:rsid w:val="00D84E55"/>
    <w:rsid w:val="00D903FF"/>
    <w:rsid w:val="00DA00AD"/>
    <w:rsid w:val="00DA2CBC"/>
    <w:rsid w:val="00DA326E"/>
    <w:rsid w:val="00DA5BBA"/>
    <w:rsid w:val="00DA7B71"/>
    <w:rsid w:val="00DB26D2"/>
    <w:rsid w:val="00DB67C9"/>
    <w:rsid w:val="00DC0C95"/>
    <w:rsid w:val="00DC5999"/>
    <w:rsid w:val="00DC5F44"/>
    <w:rsid w:val="00DD6580"/>
    <w:rsid w:val="00DE77B5"/>
    <w:rsid w:val="00E015C4"/>
    <w:rsid w:val="00E01E82"/>
    <w:rsid w:val="00E02DD7"/>
    <w:rsid w:val="00E13755"/>
    <w:rsid w:val="00E17C72"/>
    <w:rsid w:val="00E21FC6"/>
    <w:rsid w:val="00E25324"/>
    <w:rsid w:val="00E25540"/>
    <w:rsid w:val="00E431A9"/>
    <w:rsid w:val="00E50D43"/>
    <w:rsid w:val="00E60D47"/>
    <w:rsid w:val="00E669E2"/>
    <w:rsid w:val="00E7080F"/>
    <w:rsid w:val="00E76135"/>
    <w:rsid w:val="00E82F4F"/>
    <w:rsid w:val="00E93355"/>
    <w:rsid w:val="00EB0637"/>
    <w:rsid w:val="00EB30CD"/>
    <w:rsid w:val="00EC07B5"/>
    <w:rsid w:val="00EC2844"/>
    <w:rsid w:val="00EC5500"/>
    <w:rsid w:val="00ED18F8"/>
    <w:rsid w:val="00EF6C60"/>
    <w:rsid w:val="00EF6C6C"/>
    <w:rsid w:val="00F022D9"/>
    <w:rsid w:val="00F056FC"/>
    <w:rsid w:val="00F10476"/>
    <w:rsid w:val="00F135D8"/>
    <w:rsid w:val="00F31299"/>
    <w:rsid w:val="00F34C94"/>
    <w:rsid w:val="00F3534A"/>
    <w:rsid w:val="00F418FA"/>
    <w:rsid w:val="00F503CF"/>
    <w:rsid w:val="00F51609"/>
    <w:rsid w:val="00F55551"/>
    <w:rsid w:val="00F645E0"/>
    <w:rsid w:val="00F81006"/>
    <w:rsid w:val="00F83645"/>
    <w:rsid w:val="00F85325"/>
    <w:rsid w:val="00FB0630"/>
    <w:rsid w:val="00FD22B1"/>
    <w:rsid w:val="00FE5397"/>
    <w:rsid w:val="00FF57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851480"/>
    <w:rPr>
      <w:sz w:val="24"/>
      <w:szCs w:val="24"/>
    </w:rPr>
  </w:style>
  <w:style w:type="paragraph" w:styleId="Heading1">
    <w:name w:val="heading 1"/>
    <w:basedOn w:val="Normal"/>
    <w:next w:val="BodyText"/>
    <w:rsid w:val="00851480"/>
    <w:pPr>
      <w:keepNext/>
      <w:spacing w:before="160" w:after="1360" w:line="600" w:lineRule="exact"/>
      <w:ind w:left="907" w:hanging="907"/>
      <w:outlineLvl w:val="0"/>
    </w:pPr>
    <w:rPr>
      <w:sz w:val="52"/>
    </w:rPr>
  </w:style>
  <w:style w:type="paragraph" w:styleId="Heading2">
    <w:name w:val="heading 2"/>
    <w:basedOn w:val="Chapter"/>
    <w:next w:val="BodyText"/>
    <w:qFormat/>
    <w:rsid w:val="00851480"/>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851480"/>
    <w:pPr>
      <w:spacing w:before="560" w:line="320" w:lineRule="exact"/>
      <w:ind w:left="0" w:firstLine="0"/>
      <w:outlineLvl w:val="2"/>
    </w:pPr>
    <w:rPr>
      <w:sz w:val="26"/>
    </w:rPr>
  </w:style>
  <w:style w:type="paragraph" w:styleId="Heading4">
    <w:name w:val="heading 4"/>
    <w:basedOn w:val="Heading3"/>
    <w:next w:val="BodyText"/>
    <w:qFormat/>
    <w:rsid w:val="00851480"/>
    <w:pPr>
      <w:spacing w:before="480"/>
      <w:outlineLvl w:val="3"/>
    </w:pPr>
    <w:rPr>
      <w:b w:val="0"/>
      <w:sz w:val="24"/>
    </w:rPr>
  </w:style>
  <w:style w:type="paragraph" w:styleId="Heading5">
    <w:name w:val="heading 5"/>
    <w:basedOn w:val="Heading4"/>
    <w:next w:val="BodyText"/>
    <w:link w:val="Heading5Char"/>
    <w:qFormat/>
    <w:rsid w:val="00851480"/>
    <w:pPr>
      <w:outlineLvl w:val="4"/>
    </w:pPr>
    <w:rPr>
      <w:i/>
      <w:sz w:val="22"/>
    </w:rPr>
  </w:style>
  <w:style w:type="paragraph" w:styleId="Heading6">
    <w:name w:val="heading 6"/>
    <w:basedOn w:val="BodyText"/>
    <w:next w:val="BodyText"/>
    <w:rsid w:val="00851480"/>
    <w:pPr>
      <w:spacing w:after="60"/>
      <w:jc w:val="left"/>
      <w:outlineLvl w:val="5"/>
    </w:pPr>
    <w:rPr>
      <w:i/>
      <w:sz w:val="22"/>
    </w:rPr>
  </w:style>
  <w:style w:type="paragraph" w:styleId="Heading7">
    <w:name w:val="heading 7"/>
    <w:basedOn w:val="BodyText"/>
    <w:next w:val="BodyText"/>
    <w:rsid w:val="00851480"/>
    <w:pPr>
      <w:spacing w:after="60" w:line="240" w:lineRule="auto"/>
      <w:jc w:val="left"/>
      <w:outlineLvl w:val="6"/>
    </w:pPr>
    <w:rPr>
      <w:rFonts w:ascii="Arial" w:hAnsi="Arial"/>
      <w:sz w:val="20"/>
    </w:rPr>
  </w:style>
  <w:style w:type="paragraph" w:styleId="Heading8">
    <w:name w:val="heading 8"/>
    <w:basedOn w:val="BodyText"/>
    <w:next w:val="BodyText"/>
    <w:rsid w:val="00851480"/>
    <w:pPr>
      <w:spacing w:after="60" w:line="240" w:lineRule="auto"/>
      <w:jc w:val="left"/>
      <w:outlineLvl w:val="7"/>
    </w:pPr>
    <w:rPr>
      <w:rFonts w:ascii="Arial" w:hAnsi="Arial"/>
      <w:i/>
      <w:sz w:val="20"/>
    </w:rPr>
  </w:style>
  <w:style w:type="paragraph" w:styleId="Heading9">
    <w:name w:val="heading 9"/>
    <w:basedOn w:val="BodyText"/>
    <w:next w:val="BodyText"/>
    <w:rsid w:val="00851480"/>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51480"/>
    <w:pPr>
      <w:spacing w:before="240" w:line="300" w:lineRule="atLeast"/>
      <w:jc w:val="both"/>
    </w:pPr>
    <w:rPr>
      <w:sz w:val="24"/>
    </w:rPr>
  </w:style>
  <w:style w:type="paragraph" w:styleId="Footer">
    <w:name w:val="footer"/>
    <w:basedOn w:val="BodyText"/>
    <w:link w:val="FooterChar"/>
    <w:rsid w:val="00851480"/>
    <w:pPr>
      <w:spacing w:before="80" w:line="200" w:lineRule="exact"/>
      <w:ind w:right="6"/>
      <w:jc w:val="left"/>
    </w:pPr>
    <w:rPr>
      <w:rFonts w:ascii="Arial" w:hAnsi="Arial"/>
      <w:caps/>
      <w:spacing w:val="-4"/>
      <w:sz w:val="16"/>
    </w:rPr>
  </w:style>
  <w:style w:type="paragraph" w:customStyle="1" w:styleId="FooterEnd">
    <w:name w:val="Footer End"/>
    <w:basedOn w:val="Footer"/>
    <w:rsid w:val="00851480"/>
    <w:pPr>
      <w:spacing w:before="0" w:line="20" w:lineRule="exact"/>
    </w:pPr>
  </w:style>
  <w:style w:type="paragraph" w:styleId="Header">
    <w:name w:val="header"/>
    <w:basedOn w:val="BodyText"/>
    <w:rsid w:val="00851480"/>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851480"/>
    <w:pPr>
      <w:spacing w:line="20" w:lineRule="exact"/>
    </w:pPr>
    <w:rPr>
      <w:sz w:val="16"/>
    </w:rPr>
  </w:style>
  <w:style w:type="paragraph" w:customStyle="1" w:styleId="HeaderEven">
    <w:name w:val="Header Even"/>
    <w:basedOn w:val="Header"/>
    <w:semiHidden/>
    <w:rsid w:val="00851480"/>
  </w:style>
  <w:style w:type="paragraph" w:customStyle="1" w:styleId="HeaderOdd">
    <w:name w:val="Header Odd"/>
    <w:basedOn w:val="Header"/>
    <w:semiHidden/>
    <w:rsid w:val="00851480"/>
  </w:style>
  <w:style w:type="character" w:styleId="PageNumber">
    <w:name w:val="page number"/>
    <w:basedOn w:val="DefaultParagraphFont"/>
    <w:rsid w:val="00851480"/>
    <w:rPr>
      <w:rFonts w:ascii="Arial" w:hAnsi="Arial"/>
      <w:b/>
      <w:sz w:val="16"/>
    </w:rPr>
  </w:style>
  <w:style w:type="paragraph" w:customStyle="1" w:styleId="Abbreviation">
    <w:name w:val="Abbreviation"/>
    <w:basedOn w:val="BodyText"/>
    <w:rsid w:val="00851480"/>
    <w:pPr>
      <w:spacing w:before="120"/>
      <w:ind w:left="2381" w:hanging="2381"/>
      <w:jc w:val="left"/>
    </w:pPr>
  </w:style>
  <w:style w:type="paragraph" w:customStyle="1" w:styleId="Box">
    <w:name w:val="Box"/>
    <w:basedOn w:val="BodyText"/>
    <w:qFormat/>
    <w:rsid w:val="00851480"/>
    <w:pPr>
      <w:keepNext/>
      <w:spacing w:before="120" w:line="260" w:lineRule="atLeast"/>
    </w:pPr>
    <w:rPr>
      <w:rFonts w:ascii="Arial" w:hAnsi="Arial"/>
      <w:sz w:val="20"/>
    </w:rPr>
  </w:style>
  <w:style w:type="paragraph" w:customStyle="1" w:styleId="BoxContinued">
    <w:name w:val="Box Continued"/>
    <w:basedOn w:val="BodyText"/>
    <w:next w:val="BodyText"/>
    <w:semiHidden/>
    <w:rsid w:val="00851480"/>
    <w:pPr>
      <w:spacing w:before="180" w:line="220" w:lineRule="exact"/>
      <w:jc w:val="right"/>
    </w:pPr>
    <w:rPr>
      <w:rFonts w:ascii="Arial" w:hAnsi="Arial"/>
      <w:sz w:val="18"/>
    </w:rPr>
  </w:style>
  <w:style w:type="paragraph" w:customStyle="1" w:styleId="BoxHeading1">
    <w:name w:val="Box Heading 1"/>
    <w:basedOn w:val="BodyText"/>
    <w:next w:val="Box"/>
    <w:rsid w:val="00851480"/>
    <w:pPr>
      <w:keepNext/>
      <w:spacing w:before="200" w:line="280" w:lineRule="atLeast"/>
    </w:pPr>
    <w:rPr>
      <w:rFonts w:ascii="Arial" w:hAnsi="Arial"/>
      <w:b/>
      <w:sz w:val="22"/>
    </w:rPr>
  </w:style>
  <w:style w:type="paragraph" w:customStyle="1" w:styleId="BoxHeading2">
    <w:name w:val="Box Heading 2"/>
    <w:basedOn w:val="BoxHeading1"/>
    <w:next w:val="Normal"/>
    <w:rsid w:val="00851480"/>
    <w:rPr>
      <w:b w:val="0"/>
      <w:i/>
    </w:rPr>
  </w:style>
  <w:style w:type="paragraph" w:customStyle="1" w:styleId="BoxListBullet">
    <w:name w:val="Box List Bullet"/>
    <w:basedOn w:val="BodyText"/>
    <w:rsid w:val="00851480"/>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51480"/>
    <w:pPr>
      <w:numPr>
        <w:numId w:val="2"/>
      </w:numPr>
      <w:ind w:left="568" w:hanging="284"/>
    </w:pPr>
  </w:style>
  <w:style w:type="paragraph" w:customStyle="1" w:styleId="BoxListNumber">
    <w:name w:val="Box List Number"/>
    <w:basedOn w:val="BodyText"/>
    <w:rsid w:val="00851480"/>
    <w:pPr>
      <w:keepNext/>
      <w:numPr>
        <w:numId w:val="14"/>
      </w:numPr>
      <w:spacing w:before="100" w:line="260" w:lineRule="atLeast"/>
    </w:pPr>
    <w:rPr>
      <w:rFonts w:ascii="Arial" w:hAnsi="Arial"/>
      <w:sz w:val="20"/>
    </w:rPr>
  </w:style>
  <w:style w:type="paragraph" w:customStyle="1" w:styleId="BoxListNumber2">
    <w:name w:val="Box List Number 2"/>
    <w:basedOn w:val="BoxListNumber"/>
    <w:rsid w:val="00851480"/>
    <w:pPr>
      <w:numPr>
        <w:ilvl w:val="1"/>
      </w:numPr>
      <w:ind w:left="681" w:hanging="397"/>
    </w:pPr>
  </w:style>
  <w:style w:type="paragraph" w:customStyle="1" w:styleId="BoxQuote">
    <w:name w:val="Box Quote"/>
    <w:basedOn w:val="BodyText"/>
    <w:next w:val="Box"/>
    <w:qFormat/>
    <w:rsid w:val="00851480"/>
    <w:pPr>
      <w:keepNext/>
      <w:spacing w:before="60" w:line="240" w:lineRule="exact"/>
      <w:ind w:left="284"/>
    </w:pPr>
    <w:rPr>
      <w:rFonts w:ascii="Arial" w:hAnsi="Arial"/>
      <w:sz w:val="18"/>
    </w:rPr>
  </w:style>
  <w:style w:type="paragraph" w:customStyle="1" w:styleId="Note">
    <w:name w:val="Note"/>
    <w:basedOn w:val="BodyText"/>
    <w:next w:val="BodyText"/>
    <w:rsid w:val="00851480"/>
    <w:pPr>
      <w:keepLines/>
      <w:spacing w:before="80" w:line="220" w:lineRule="exact"/>
    </w:pPr>
    <w:rPr>
      <w:rFonts w:ascii="Arial" w:hAnsi="Arial"/>
      <w:sz w:val="18"/>
    </w:rPr>
  </w:style>
  <w:style w:type="paragraph" w:customStyle="1" w:styleId="Source">
    <w:name w:val="Source"/>
    <w:basedOn w:val="Normal"/>
    <w:next w:val="BodyText"/>
    <w:rsid w:val="00851480"/>
    <w:pPr>
      <w:keepLines/>
      <w:spacing w:before="80" w:line="220" w:lineRule="exact"/>
      <w:jc w:val="both"/>
    </w:pPr>
    <w:rPr>
      <w:rFonts w:ascii="Arial" w:hAnsi="Arial"/>
      <w:sz w:val="18"/>
      <w:szCs w:val="20"/>
    </w:rPr>
  </w:style>
  <w:style w:type="paragraph" w:customStyle="1" w:styleId="BoxSource">
    <w:name w:val="Box Source"/>
    <w:basedOn w:val="Source"/>
    <w:next w:val="BodyText"/>
    <w:rsid w:val="00851480"/>
    <w:pPr>
      <w:spacing w:before="120"/>
    </w:pPr>
  </w:style>
  <w:style w:type="paragraph" w:customStyle="1" w:styleId="BoxSpaceAbove">
    <w:name w:val="Box Space Above"/>
    <w:basedOn w:val="BodyText"/>
    <w:rsid w:val="00851480"/>
    <w:pPr>
      <w:keepNext/>
      <w:spacing w:before="360" w:line="80" w:lineRule="exact"/>
      <w:jc w:val="left"/>
    </w:pPr>
  </w:style>
  <w:style w:type="paragraph" w:styleId="Caption">
    <w:name w:val="caption"/>
    <w:basedOn w:val="Normal"/>
    <w:next w:val="BodyText"/>
    <w:rsid w:val="00851480"/>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851480"/>
    <w:pPr>
      <w:spacing w:before="120" w:after="0"/>
    </w:pPr>
  </w:style>
  <w:style w:type="paragraph" w:customStyle="1" w:styleId="BoxSubtitle">
    <w:name w:val="Box Subtitle"/>
    <w:basedOn w:val="BoxTitle"/>
    <w:next w:val="Normal"/>
    <w:rsid w:val="00851480"/>
    <w:pPr>
      <w:spacing w:after="80" w:line="200" w:lineRule="exact"/>
      <w:ind w:firstLine="0"/>
    </w:pPr>
    <w:rPr>
      <w:b w:val="0"/>
      <w:sz w:val="20"/>
    </w:rPr>
  </w:style>
  <w:style w:type="paragraph" w:customStyle="1" w:styleId="Chapter">
    <w:name w:val="Chapter"/>
    <w:basedOn w:val="Heading1"/>
    <w:next w:val="BodyText"/>
    <w:semiHidden/>
    <w:rsid w:val="00851480"/>
    <w:pPr>
      <w:ind w:left="0" w:firstLine="0"/>
      <w:outlineLvl w:val="9"/>
    </w:pPr>
    <w:rPr>
      <w:szCs w:val="20"/>
    </w:rPr>
  </w:style>
  <w:style w:type="paragraph" w:customStyle="1" w:styleId="ChapterSummary">
    <w:name w:val="Chapter Summary"/>
    <w:basedOn w:val="BodyText"/>
    <w:rsid w:val="00851480"/>
    <w:pPr>
      <w:spacing w:line="280" w:lineRule="atLeast"/>
      <w:ind w:left="907"/>
    </w:pPr>
    <w:rPr>
      <w:rFonts w:ascii="Arial" w:hAnsi="Arial"/>
      <w:b/>
      <w:sz w:val="20"/>
    </w:rPr>
  </w:style>
  <w:style w:type="character" w:styleId="CommentReference">
    <w:name w:val="annotation reference"/>
    <w:basedOn w:val="DefaultParagraphFont"/>
    <w:semiHidden/>
    <w:rsid w:val="00851480"/>
    <w:rPr>
      <w:b/>
      <w:vanish/>
      <w:color w:val="FF00FF"/>
      <w:sz w:val="20"/>
    </w:rPr>
  </w:style>
  <w:style w:type="paragraph" w:styleId="CommentText">
    <w:name w:val="annotation text"/>
    <w:basedOn w:val="Normal"/>
    <w:semiHidden/>
    <w:rsid w:val="00851480"/>
    <w:pPr>
      <w:spacing w:before="120" w:line="240" w:lineRule="atLeast"/>
      <w:ind w:left="567" w:hanging="567"/>
    </w:pPr>
    <w:rPr>
      <w:sz w:val="20"/>
    </w:rPr>
  </w:style>
  <w:style w:type="paragraph" w:customStyle="1" w:styleId="Continued">
    <w:name w:val="Continued"/>
    <w:basedOn w:val="BoxContinued"/>
    <w:next w:val="BodyText"/>
    <w:rsid w:val="00851480"/>
  </w:style>
  <w:style w:type="character" w:customStyle="1" w:styleId="DocumentInfo">
    <w:name w:val="Document Info"/>
    <w:basedOn w:val="DefaultParagraphFont"/>
    <w:semiHidden/>
    <w:rsid w:val="00851480"/>
    <w:rPr>
      <w:rFonts w:ascii="Arial" w:hAnsi="Arial"/>
      <w:sz w:val="14"/>
    </w:rPr>
  </w:style>
  <w:style w:type="character" w:customStyle="1" w:styleId="DraftingNote">
    <w:name w:val="Drafting Note"/>
    <w:basedOn w:val="DefaultParagraphFont"/>
    <w:rsid w:val="00851480"/>
    <w:rPr>
      <w:b/>
      <w:color w:val="FF0000"/>
      <w:sz w:val="24"/>
      <w:u w:val="dotted"/>
    </w:rPr>
  </w:style>
  <w:style w:type="paragraph" w:customStyle="1" w:styleId="Figure">
    <w:name w:val="Figure"/>
    <w:basedOn w:val="BodyText"/>
    <w:rsid w:val="00851480"/>
    <w:pPr>
      <w:keepNext/>
      <w:spacing w:before="120" w:after="120" w:line="240" w:lineRule="atLeast"/>
      <w:jc w:val="center"/>
    </w:pPr>
  </w:style>
  <w:style w:type="paragraph" w:customStyle="1" w:styleId="FigureTitle">
    <w:name w:val="Figure Title"/>
    <w:basedOn w:val="Caption"/>
    <w:next w:val="Subtitle"/>
    <w:rsid w:val="00851480"/>
    <w:pPr>
      <w:spacing w:before="120"/>
    </w:pPr>
  </w:style>
  <w:style w:type="paragraph" w:styleId="Subtitle">
    <w:name w:val="Subtitle"/>
    <w:basedOn w:val="Caption"/>
    <w:link w:val="SubtitleChar"/>
    <w:qFormat/>
    <w:rsid w:val="00851480"/>
    <w:pPr>
      <w:spacing w:before="0" w:line="200" w:lineRule="exact"/>
      <w:ind w:firstLine="0"/>
    </w:pPr>
    <w:rPr>
      <w:b w:val="0"/>
      <w:sz w:val="20"/>
    </w:rPr>
  </w:style>
  <w:style w:type="paragraph" w:customStyle="1" w:styleId="Finding">
    <w:name w:val="Finding"/>
    <w:basedOn w:val="BodyText"/>
    <w:rsid w:val="00851480"/>
    <w:pPr>
      <w:keepLines/>
      <w:spacing w:before="120" w:line="280" w:lineRule="atLeast"/>
    </w:pPr>
    <w:rPr>
      <w:rFonts w:ascii="Arial" w:hAnsi="Arial"/>
      <w:sz w:val="22"/>
    </w:rPr>
  </w:style>
  <w:style w:type="paragraph" w:customStyle="1" w:styleId="FindingBullet">
    <w:name w:val="Finding Bullet"/>
    <w:basedOn w:val="Finding"/>
    <w:rsid w:val="00851480"/>
    <w:pPr>
      <w:numPr>
        <w:numId w:val="3"/>
      </w:numPr>
      <w:spacing w:before="80"/>
    </w:pPr>
  </w:style>
  <w:style w:type="paragraph" w:customStyle="1" w:styleId="FindingNoTitle">
    <w:name w:val="Finding NoTitle"/>
    <w:basedOn w:val="Finding"/>
    <w:semiHidden/>
    <w:rsid w:val="00851480"/>
    <w:pPr>
      <w:spacing w:before="240"/>
    </w:pPr>
  </w:style>
  <w:style w:type="paragraph" w:customStyle="1" w:styleId="RecTitle">
    <w:name w:val="Rec Title"/>
    <w:basedOn w:val="BodyText"/>
    <w:next w:val="Rec"/>
    <w:qFormat/>
    <w:rsid w:val="00851480"/>
    <w:pPr>
      <w:keepNext/>
      <w:keepLines/>
      <w:spacing w:line="280" w:lineRule="atLeast"/>
    </w:pPr>
    <w:rPr>
      <w:rFonts w:ascii="Arial" w:hAnsi="Arial"/>
      <w:caps/>
      <w:sz w:val="18"/>
    </w:rPr>
  </w:style>
  <w:style w:type="paragraph" w:customStyle="1" w:styleId="FindingTitle">
    <w:name w:val="Finding Title"/>
    <w:basedOn w:val="RecTitle"/>
    <w:next w:val="Finding"/>
    <w:rsid w:val="00851480"/>
  </w:style>
  <w:style w:type="character" w:styleId="FootnoteReference">
    <w:name w:val="footnote reference"/>
    <w:basedOn w:val="DefaultParagraphFont"/>
    <w:semiHidden/>
    <w:rsid w:val="00851480"/>
    <w:rPr>
      <w:rFonts w:ascii="Times New Roman" w:hAnsi="Times New Roman"/>
      <w:position w:val="6"/>
      <w:sz w:val="20"/>
      <w:vertAlign w:val="baseline"/>
    </w:rPr>
  </w:style>
  <w:style w:type="paragraph" w:styleId="FootnoteText">
    <w:name w:val="footnote text"/>
    <w:basedOn w:val="BodyText"/>
    <w:rsid w:val="00851480"/>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851480"/>
    <w:rPr>
      <w:i/>
    </w:rPr>
  </w:style>
  <w:style w:type="paragraph" w:customStyle="1" w:styleId="Jurisdictioncommentsbodytext">
    <w:name w:val="Jurisdiction comments body text"/>
    <w:rsid w:val="00851480"/>
    <w:pPr>
      <w:spacing w:after="140"/>
      <w:jc w:val="both"/>
    </w:pPr>
    <w:rPr>
      <w:rFonts w:ascii="Arial" w:hAnsi="Arial"/>
      <w:sz w:val="24"/>
      <w:lang w:eastAsia="en-US"/>
    </w:rPr>
  </w:style>
  <w:style w:type="paragraph" w:customStyle="1" w:styleId="Jurisdictioncommentsheading">
    <w:name w:val="Jurisdiction comments heading"/>
    <w:rsid w:val="00851480"/>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851480"/>
    <w:pPr>
      <w:numPr>
        <w:numId w:val="4"/>
      </w:numPr>
      <w:spacing w:after="140"/>
      <w:jc w:val="both"/>
    </w:pPr>
    <w:rPr>
      <w:rFonts w:ascii="Arial" w:hAnsi="Arial"/>
      <w:sz w:val="24"/>
      <w:lang w:eastAsia="en-US"/>
    </w:rPr>
  </w:style>
  <w:style w:type="paragraph" w:styleId="ListBullet">
    <w:name w:val="List Bullet"/>
    <w:basedOn w:val="BodyText"/>
    <w:rsid w:val="00851480"/>
    <w:pPr>
      <w:numPr>
        <w:numId w:val="5"/>
      </w:numPr>
      <w:spacing w:before="120"/>
    </w:pPr>
  </w:style>
  <w:style w:type="paragraph" w:styleId="ListBullet2">
    <w:name w:val="List Bullet 2"/>
    <w:basedOn w:val="BodyText"/>
    <w:rsid w:val="00851480"/>
    <w:pPr>
      <w:numPr>
        <w:numId w:val="6"/>
      </w:numPr>
      <w:spacing w:before="120"/>
    </w:pPr>
  </w:style>
  <w:style w:type="paragraph" w:styleId="ListBullet3">
    <w:name w:val="List Bullet 3"/>
    <w:basedOn w:val="BodyText"/>
    <w:rsid w:val="00851480"/>
    <w:pPr>
      <w:numPr>
        <w:numId w:val="7"/>
      </w:numPr>
      <w:spacing w:before="120"/>
      <w:ind w:left="1020" w:hanging="340"/>
    </w:pPr>
  </w:style>
  <w:style w:type="paragraph" w:styleId="ListNumber">
    <w:name w:val="List Number"/>
    <w:basedOn w:val="BodyText"/>
    <w:rsid w:val="00851480"/>
    <w:pPr>
      <w:numPr>
        <w:numId w:val="13"/>
      </w:numPr>
      <w:spacing w:before="120"/>
    </w:pPr>
  </w:style>
  <w:style w:type="paragraph" w:styleId="ListNumber2">
    <w:name w:val="List Number 2"/>
    <w:basedOn w:val="ListNumber"/>
    <w:rsid w:val="00851480"/>
    <w:pPr>
      <w:numPr>
        <w:ilvl w:val="1"/>
      </w:numPr>
    </w:pPr>
  </w:style>
  <w:style w:type="paragraph" w:styleId="ListNumber3">
    <w:name w:val="List Number 3"/>
    <w:basedOn w:val="ListNumber2"/>
    <w:rsid w:val="00851480"/>
    <w:pPr>
      <w:numPr>
        <w:ilvl w:val="2"/>
      </w:numPr>
    </w:pPr>
  </w:style>
  <w:style w:type="character" w:customStyle="1" w:styleId="NoteLabel">
    <w:name w:val="Note Label"/>
    <w:basedOn w:val="DefaultParagraphFont"/>
    <w:rsid w:val="00851480"/>
    <w:rPr>
      <w:rFonts w:ascii="Arial" w:hAnsi="Arial"/>
      <w:b/>
      <w:position w:val="6"/>
      <w:sz w:val="18"/>
    </w:rPr>
  </w:style>
  <w:style w:type="paragraph" w:customStyle="1" w:styleId="PartDivider">
    <w:name w:val="Part Divider"/>
    <w:basedOn w:val="BodyText"/>
    <w:next w:val="BodyText"/>
    <w:semiHidden/>
    <w:rsid w:val="00851480"/>
    <w:pPr>
      <w:spacing w:before="0" w:line="40" w:lineRule="exact"/>
      <w:jc w:val="right"/>
    </w:pPr>
    <w:rPr>
      <w:smallCaps/>
      <w:sz w:val="16"/>
    </w:rPr>
  </w:style>
  <w:style w:type="paragraph" w:customStyle="1" w:styleId="PartNumber">
    <w:name w:val="Part Number"/>
    <w:basedOn w:val="BodyText"/>
    <w:next w:val="BodyText"/>
    <w:semiHidden/>
    <w:rsid w:val="00851480"/>
    <w:pPr>
      <w:spacing w:before="4000" w:line="320" w:lineRule="exact"/>
      <w:ind w:left="6634"/>
      <w:jc w:val="right"/>
    </w:pPr>
    <w:rPr>
      <w:smallCaps/>
      <w:spacing w:val="60"/>
      <w:sz w:val="32"/>
    </w:rPr>
  </w:style>
  <w:style w:type="paragraph" w:customStyle="1" w:styleId="PartTitle">
    <w:name w:val="Part Title"/>
    <w:basedOn w:val="BodyText"/>
    <w:semiHidden/>
    <w:rsid w:val="00851480"/>
    <w:pPr>
      <w:spacing w:before="160" w:after="1360" w:line="520" w:lineRule="exact"/>
      <w:ind w:right="2381"/>
      <w:jc w:val="right"/>
    </w:pPr>
    <w:rPr>
      <w:smallCaps/>
      <w:sz w:val="52"/>
    </w:rPr>
  </w:style>
  <w:style w:type="paragraph" w:styleId="Quote">
    <w:name w:val="Quote"/>
    <w:basedOn w:val="BodyText"/>
    <w:next w:val="BodyText"/>
    <w:qFormat/>
    <w:rsid w:val="00851480"/>
    <w:pPr>
      <w:spacing w:before="120" w:line="280" w:lineRule="exact"/>
      <w:ind w:left="340"/>
    </w:pPr>
    <w:rPr>
      <w:sz w:val="22"/>
    </w:rPr>
  </w:style>
  <w:style w:type="paragraph" w:customStyle="1" w:styleId="QuoteBullet">
    <w:name w:val="Quote Bullet"/>
    <w:basedOn w:val="Quote"/>
    <w:rsid w:val="00851480"/>
    <w:pPr>
      <w:numPr>
        <w:numId w:val="8"/>
      </w:numPr>
    </w:pPr>
  </w:style>
  <w:style w:type="paragraph" w:customStyle="1" w:styleId="Rec">
    <w:name w:val="Rec"/>
    <w:basedOn w:val="BodyText"/>
    <w:qFormat/>
    <w:rsid w:val="00851480"/>
    <w:pPr>
      <w:keepLines/>
      <w:spacing w:before="120" w:line="280" w:lineRule="atLeast"/>
    </w:pPr>
    <w:rPr>
      <w:rFonts w:ascii="Arial" w:hAnsi="Arial"/>
      <w:sz w:val="22"/>
    </w:rPr>
  </w:style>
  <w:style w:type="paragraph" w:customStyle="1" w:styleId="RecBullet">
    <w:name w:val="Rec Bullet"/>
    <w:basedOn w:val="Rec"/>
    <w:rsid w:val="00851480"/>
    <w:pPr>
      <w:numPr>
        <w:numId w:val="9"/>
      </w:numPr>
      <w:spacing w:before="80"/>
    </w:pPr>
  </w:style>
  <w:style w:type="paragraph" w:customStyle="1" w:styleId="RecB">
    <w:name w:val="RecB"/>
    <w:basedOn w:val="Normal"/>
    <w:semiHidden/>
    <w:rsid w:val="00851480"/>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851480"/>
    <w:pPr>
      <w:numPr>
        <w:numId w:val="10"/>
      </w:numPr>
      <w:spacing w:before="80"/>
    </w:pPr>
  </w:style>
  <w:style w:type="paragraph" w:customStyle="1" w:styleId="RecBNoTitle">
    <w:name w:val="RecB NoTitle"/>
    <w:basedOn w:val="RecB"/>
    <w:semiHidden/>
    <w:rsid w:val="00851480"/>
    <w:pPr>
      <w:spacing w:before="240"/>
    </w:pPr>
  </w:style>
  <w:style w:type="paragraph" w:customStyle="1" w:styleId="Reference">
    <w:name w:val="Reference"/>
    <w:basedOn w:val="BodyText"/>
    <w:rsid w:val="00851480"/>
    <w:pPr>
      <w:spacing w:before="120"/>
      <w:ind w:left="340" w:hanging="340"/>
    </w:pPr>
  </w:style>
  <w:style w:type="paragraph" w:customStyle="1" w:styleId="SequenceInfo">
    <w:name w:val="Sequence Info"/>
    <w:basedOn w:val="BodyText"/>
    <w:semiHidden/>
    <w:rsid w:val="00851480"/>
    <w:rPr>
      <w:vanish/>
      <w:sz w:val="16"/>
    </w:rPr>
  </w:style>
  <w:style w:type="paragraph" w:customStyle="1" w:styleId="SideNote">
    <w:name w:val="Side Note"/>
    <w:basedOn w:val="BodyText"/>
    <w:next w:val="BodyText"/>
    <w:semiHidden/>
    <w:rsid w:val="00851480"/>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851480"/>
    <w:pPr>
      <w:framePr w:wrap="around"/>
      <w:numPr>
        <w:numId w:val="11"/>
      </w:numPr>
      <w:tabs>
        <w:tab w:val="left" w:pos="227"/>
      </w:tabs>
    </w:pPr>
  </w:style>
  <w:style w:type="paragraph" w:customStyle="1" w:styleId="SideNoteGraphic">
    <w:name w:val="Side Note Graphic"/>
    <w:basedOn w:val="SideNote"/>
    <w:next w:val="BodyText"/>
    <w:semiHidden/>
    <w:rsid w:val="00851480"/>
    <w:pPr>
      <w:framePr w:wrap="around"/>
    </w:pPr>
  </w:style>
  <w:style w:type="paragraph" w:customStyle="1" w:styleId="TableBodyText">
    <w:name w:val="Table Body Text"/>
    <w:basedOn w:val="BodyText"/>
    <w:rsid w:val="00851480"/>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51480"/>
    <w:pPr>
      <w:numPr>
        <w:numId w:val="12"/>
      </w:numPr>
      <w:jc w:val="left"/>
    </w:pPr>
  </w:style>
  <w:style w:type="paragraph" w:customStyle="1" w:styleId="TableColumnHeading">
    <w:name w:val="Table Column Heading"/>
    <w:basedOn w:val="TableBodyText"/>
    <w:rsid w:val="00851480"/>
    <w:pPr>
      <w:spacing w:before="80" w:after="80"/>
    </w:pPr>
    <w:rPr>
      <w:i/>
    </w:rPr>
  </w:style>
  <w:style w:type="paragraph" w:styleId="TOC2">
    <w:name w:val="toc 2"/>
    <w:basedOn w:val="TOC1"/>
    <w:rsid w:val="00851480"/>
    <w:pPr>
      <w:ind w:left="1134" w:hanging="624"/>
    </w:pPr>
    <w:rPr>
      <w:b w:val="0"/>
    </w:rPr>
  </w:style>
  <w:style w:type="paragraph" w:styleId="TOC3">
    <w:name w:val="toc 3"/>
    <w:basedOn w:val="TOC2"/>
    <w:rsid w:val="00851480"/>
    <w:pPr>
      <w:spacing w:before="60"/>
      <w:ind w:left="1190" w:hanging="680"/>
    </w:pPr>
  </w:style>
  <w:style w:type="paragraph" w:styleId="TableofFigures">
    <w:name w:val="table of figures"/>
    <w:basedOn w:val="TOC3"/>
    <w:next w:val="BodyText"/>
    <w:semiHidden/>
    <w:rsid w:val="00851480"/>
    <w:pPr>
      <w:ind w:left="737" w:hanging="737"/>
    </w:pPr>
  </w:style>
  <w:style w:type="paragraph" w:customStyle="1" w:styleId="TableTitle">
    <w:name w:val="Table Title"/>
    <w:basedOn w:val="Caption"/>
    <w:next w:val="Subtitle"/>
    <w:qFormat/>
    <w:rsid w:val="00851480"/>
    <w:pPr>
      <w:spacing w:before="120"/>
    </w:pPr>
  </w:style>
  <w:style w:type="paragraph" w:customStyle="1" w:styleId="TableUnitsRow">
    <w:name w:val="Table Units Row"/>
    <w:basedOn w:val="TableBodyText"/>
    <w:rsid w:val="00851480"/>
    <w:pPr>
      <w:spacing w:before="40"/>
    </w:pPr>
  </w:style>
  <w:style w:type="paragraph" w:styleId="TOC1">
    <w:name w:val="toc 1"/>
    <w:basedOn w:val="Normal"/>
    <w:next w:val="TOC2"/>
    <w:link w:val="TOC1Char"/>
    <w:rsid w:val="00851480"/>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851480"/>
    <w:pPr>
      <w:ind w:left="1191" w:firstLine="0"/>
    </w:pPr>
  </w:style>
  <w:style w:type="paragraph" w:customStyle="1" w:styleId="RecBBullet2">
    <w:name w:val="RecB Bullet 2"/>
    <w:basedOn w:val="ListBullet2"/>
    <w:semiHidden/>
    <w:rsid w:val="00851480"/>
    <w:pPr>
      <w:pBdr>
        <w:left w:val="single" w:sz="24" w:space="29" w:color="C0C0C0"/>
      </w:pBdr>
    </w:pPr>
    <w:rPr>
      <w:b/>
      <w:i/>
    </w:rPr>
  </w:style>
  <w:style w:type="paragraph" w:styleId="BalloonText">
    <w:name w:val="Balloon Text"/>
    <w:basedOn w:val="Normal"/>
    <w:link w:val="BalloonTextChar"/>
    <w:rsid w:val="00851480"/>
    <w:rPr>
      <w:rFonts w:ascii="Tahoma" w:hAnsi="Tahoma" w:cs="Tahoma"/>
      <w:sz w:val="16"/>
      <w:szCs w:val="16"/>
    </w:rPr>
  </w:style>
  <w:style w:type="character" w:customStyle="1" w:styleId="BalloonTextChar">
    <w:name w:val="Balloon Text Char"/>
    <w:basedOn w:val="DefaultParagraphFont"/>
    <w:link w:val="BalloonText"/>
    <w:rsid w:val="00851480"/>
    <w:rPr>
      <w:rFonts w:ascii="Tahoma" w:hAnsi="Tahoma" w:cs="Tahoma"/>
      <w:sz w:val="16"/>
      <w:szCs w:val="16"/>
    </w:rPr>
  </w:style>
  <w:style w:type="character" w:customStyle="1" w:styleId="SubtitleChar">
    <w:name w:val="Subtitle Char"/>
    <w:basedOn w:val="DefaultParagraphFont"/>
    <w:link w:val="Subtitle"/>
    <w:rsid w:val="00851480"/>
    <w:rPr>
      <w:rFonts w:ascii="Arial" w:hAnsi="Arial"/>
      <w:szCs w:val="24"/>
    </w:rPr>
  </w:style>
  <w:style w:type="paragraph" w:customStyle="1" w:styleId="BoxListBullet3">
    <w:name w:val="Box List Bullet 3"/>
    <w:basedOn w:val="ListBullet3"/>
    <w:rsid w:val="00851480"/>
    <w:pPr>
      <w:numPr>
        <w:numId w:val="17"/>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851480"/>
    <w:rPr>
      <w:i/>
      <w:iCs/>
    </w:rPr>
  </w:style>
  <w:style w:type="paragraph" w:customStyle="1" w:styleId="BoxQuoteBullet">
    <w:name w:val="Box Quote Bullet"/>
    <w:basedOn w:val="BoxQuote"/>
    <w:next w:val="Box"/>
    <w:rsid w:val="00851480"/>
    <w:pPr>
      <w:numPr>
        <w:numId w:val="15"/>
      </w:numPr>
      <w:ind w:left="568" w:hanging="284"/>
    </w:pPr>
  </w:style>
  <w:style w:type="paragraph" w:customStyle="1" w:styleId="InformationRequestBullet">
    <w:name w:val="Information Request Bullet"/>
    <w:basedOn w:val="ListBullet"/>
    <w:next w:val="BodyText"/>
    <w:rsid w:val="00851480"/>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851480"/>
    <w:pPr>
      <w:keepNext w:val="0"/>
      <w:spacing w:before="60" w:after="60" w:line="80" w:lineRule="exact"/>
    </w:pPr>
    <w:rPr>
      <w:sz w:val="14"/>
    </w:rPr>
  </w:style>
  <w:style w:type="paragraph" w:styleId="Bibliography">
    <w:name w:val="Bibliography"/>
    <w:basedOn w:val="Normal"/>
    <w:next w:val="Normal"/>
    <w:uiPriority w:val="37"/>
    <w:unhideWhenUsed/>
    <w:rsid w:val="00572D97"/>
    <w:pPr>
      <w:spacing w:after="240"/>
      <w:ind w:left="720" w:hanging="720"/>
    </w:pPr>
  </w:style>
  <w:style w:type="paragraph" w:customStyle="1" w:styleId="KeyPointsListBullet">
    <w:name w:val="Key Points List Bullet"/>
    <w:basedOn w:val="Normal"/>
    <w:qFormat/>
    <w:rsid w:val="00851480"/>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851480"/>
    <w:pPr>
      <w:numPr>
        <w:numId w:val="19"/>
      </w:numPr>
      <w:ind w:left="568" w:hanging="284"/>
    </w:pPr>
  </w:style>
  <w:style w:type="paragraph" w:customStyle="1" w:styleId="InformationRequestTitle">
    <w:name w:val="Information Request Title"/>
    <w:basedOn w:val="FindingTitle"/>
    <w:next w:val="InformationRequest"/>
    <w:rsid w:val="00851480"/>
    <w:rPr>
      <w:i/>
    </w:rPr>
  </w:style>
  <w:style w:type="paragraph" w:customStyle="1" w:styleId="Space">
    <w:name w:val="Space"/>
    <w:basedOn w:val="Normal"/>
    <w:rsid w:val="00851480"/>
    <w:pPr>
      <w:keepNext/>
      <w:spacing w:line="120" w:lineRule="exact"/>
      <w:jc w:val="both"/>
    </w:pPr>
    <w:rPr>
      <w:rFonts w:ascii="Arial" w:hAnsi="Arial"/>
      <w:sz w:val="20"/>
      <w:szCs w:val="20"/>
    </w:rPr>
  </w:style>
  <w:style w:type="paragraph" w:customStyle="1" w:styleId="Heading1nochapterno">
    <w:name w:val="Heading 1 (no chapter no.)"/>
    <w:basedOn w:val="Heading1"/>
    <w:rsid w:val="00851480"/>
    <w:pPr>
      <w:spacing w:before="0"/>
      <w:ind w:left="0" w:firstLine="0"/>
    </w:pPr>
    <w:rPr>
      <w:szCs w:val="20"/>
    </w:rPr>
  </w:style>
  <w:style w:type="paragraph" w:customStyle="1" w:styleId="Heading2nosectionno">
    <w:name w:val="Heading 2 (no section no.)"/>
    <w:basedOn w:val="Heading2"/>
    <w:rsid w:val="00851480"/>
    <w:pPr>
      <w:ind w:left="0" w:firstLine="0"/>
    </w:pPr>
  </w:style>
  <w:style w:type="character" w:customStyle="1" w:styleId="Heading5Char">
    <w:name w:val="Heading 5 Char"/>
    <w:basedOn w:val="DefaultParagraphFont"/>
    <w:link w:val="Heading5"/>
    <w:rsid w:val="00851480"/>
    <w:rPr>
      <w:rFonts w:ascii="Arial" w:hAnsi="Arial"/>
      <w:i/>
      <w:sz w:val="22"/>
    </w:rPr>
  </w:style>
  <w:style w:type="paragraph" w:customStyle="1" w:styleId="Figurespace">
    <w:name w:val="Figure space"/>
    <w:basedOn w:val="Box"/>
    <w:rsid w:val="00851480"/>
    <w:pPr>
      <w:spacing w:before="0" w:line="120" w:lineRule="exact"/>
    </w:pPr>
  </w:style>
  <w:style w:type="paragraph" w:customStyle="1" w:styleId="FooterDraftReport">
    <w:name w:val="FooterDraftReport"/>
    <w:basedOn w:val="Footer"/>
    <w:link w:val="FooterDraftReportChar"/>
    <w:rsid w:val="00851480"/>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851480"/>
    <w:rPr>
      <w:sz w:val="24"/>
    </w:rPr>
  </w:style>
  <w:style w:type="character" w:customStyle="1" w:styleId="FooterChar">
    <w:name w:val="Footer Char"/>
    <w:basedOn w:val="BodyTextChar"/>
    <w:link w:val="Footer"/>
    <w:rsid w:val="00851480"/>
    <w:rPr>
      <w:rFonts w:ascii="Arial" w:hAnsi="Arial"/>
      <w:caps/>
      <w:spacing w:val="-4"/>
      <w:sz w:val="16"/>
    </w:rPr>
  </w:style>
  <w:style w:type="character" w:customStyle="1" w:styleId="FooterDraftReportChar">
    <w:name w:val="FooterDraftReport Char"/>
    <w:basedOn w:val="FooterChar"/>
    <w:link w:val="FooterDraftReport"/>
    <w:rsid w:val="00851480"/>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8514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851480"/>
    <w:rPr>
      <w:rFonts w:ascii="Arial" w:hAnsi="Arial"/>
      <w:b/>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851480"/>
    <w:rPr>
      <w:sz w:val="24"/>
      <w:szCs w:val="24"/>
    </w:rPr>
  </w:style>
  <w:style w:type="paragraph" w:styleId="Heading1">
    <w:name w:val="heading 1"/>
    <w:basedOn w:val="Normal"/>
    <w:next w:val="BodyText"/>
    <w:rsid w:val="00851480"/>
    <w:pPr>
      <w:keepNext/>
      <w:spacing w:before="160" w:after="1360" w:line="600" w:lineRule="exact"/>
      <w:ind w:left="907" w:hanging="907"/>
      <w:outlineLvl w:val="0"/>
    </w:pPr>
    <w:rPr>
      <w:sz w:val="52"/>
    </w:rPr>
  </w:style>
  <w:style w:type="paragraph" w:styleId="Heading2">
    <w:name w:val="heading 2"/>
    <w:basedOn w:val="Chapter"/>
    <w:next w:val="BodyText"/>
    <w:qFormat/>
    <w:rsid w:val="00851480"/>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851480"/>
    <w:pPr>
      <w:spacing w:before="560" w:line="320" w:lineRule="exact"/>
      <w:ind w:left="0" w:firstLine="0"/>
      <w:outlineLvl w:val="2"/>
    </w:pPr>
    <w:rPr>
      <w:sz w:val="26"/>
    </w:rPr>
  </w:style>
  <w:style w:type="paragraph" w:styleId="Heading4">
    <w:name w:val="heading 4"/>
    <w:basedOn w:val="Heading3"/>
    <w:next w:val="BodyText"/>
    <w:qFormat/>
    <w:rsid w:val="00851480"/>
    <w:pPr>
      <w:spacing w:before="480"/>
      <w:outlineLvl w:val="3"/>
    </w:pPr>
    <w:rPr>
      <w:b w:val="0"/>
      <w:sz w:val="24"/>
    </w:rPr>
  </w:style>
  <w:style w:type="paragraph" w:styleId="Heading5">
    <w:name w:val="heading 5"/>
    <w:basedOn w:val="Heading4"/>
    <w:next w:val="BodyText"/>
    <w:link w:val="Heading5Char"/>
    <w:qFormat/>
    <w:rsid w:val="00851480"/>
    <w:pPr>
      <w:outlineLvl w:val="4"/>
    </w:pPr>
    <w:rPr>
      <w:i/>
      <w:sz w:val="22"/>
    </w:rPr>
  </w:style>
  <w:style w:type="paragraph" w:styleId="Heading6">
    <w:name w:val="heading 6"/>
    <w:basedOn w:val="BodyText"/>
    <w:next w:val="BodyText"/>
    <w:rsid w:val="00851480"/>
    <w:pPr>
      <w:spacing w:after="60"/>
      <w:jc w:val="left"/>
      <w:outlineLvl w:val="5"/>
    </w:pPr>
    <w:rPr>
      <w:i/>
      <w:sz w:val="22"/>
    </w:rPr>
  </w:style>
  <w:style w:type="paragraph" w:styleId="Heading7">
    <w:name w:val="heading 7"/>
    <w:basedOn w:val="BodyText"/>
    <w:next w:val="BodyText"/>
    <w:rsid w:val="00851480"/>
    <w:pPr>
      <w:spacing w:after="60" w:line="240" w:lineRule="auto"/>
      <w:jc w:val="left"/>
      <w:outlineLvl w:val="6"/>
    </w:pPr>
    <w:rPr>
      <w:rFonts w:ascii="Arial" w:hAnsi="Arial"/>
      <w:sz w:val="20"/>
    </w:rPr>
  </w:style>
  <w:style w:type="paragraph" w:styleId="Heading8">
    <w:name w:val="heading 8"/>
    <w:basedOn w:val="BodyText"/>
    <w:next w:val="BodyText"/>
    <w:rsid w:val="00851480"/>
    <w:pPr>
      <w:spacing w:after="60" w:line="240" w:lineRule="auto"/>
      <w:jc w:val="left"/>
      <w:outlineLvl w:val="7"/>
    </w:pPr>
    <w:rPr>
      <w:rFonts w:ascii="Arial" w:hAnsi="Arial"/>
      <w:i/>
      <w:sz w:val="20"/>
    </w:rPr>
  </w:style>
  <w:style w:type="paragraph" w:styleId="Heading9">
    <w:name w:val="heading 9"/>
    <w:basedOn w:val="BodyText"/>
    <w:next w:val="BodyText"/>
    <w:rsid w:val="00851480"/>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51480"/>
    <w:pPr>
      <w:spacing w:before="240" w:line="300" w:lineRule="atLeast"/>
      <w:jc w:val="both"/>
    </w:pPr>
    <w:rPr>
      <w:sz w:val="24"/>
    </w:rPr>
  </w:style>
  <w:style w:type="paragraph" w:styleId="Footer">
    <w:name w:val="footer"/>
    <w:basedOn w:val="BodyText"/>
    <w:link w:val="FooterChar"/>
    <w:rsid w:val="00851480"/>
    <w:pPr>
      <w:spacing w:before="80" w:line="200" w:lineRule="exact"/>
      <w:ind w:right="6"/>
      <w:jc w:val="left"/>
    </w:pPr>
    <w:rPr>
      <w:rFonts w:ascii="Arial" w:hAnsi="Arial"/>
      <w:caps/>
      <w:spacing w:val="-4"/>
      <w:sz w:val="16"/>
    </w:rPr>
  </w:style>
  <w:style w:type="paragraph" w:customStyle="1" w:styleId="FooterEnd">
    <w:name w:val="Footer End"/>
    <w:basedOn w:val="Footer"/>
    <w:rsid w:val="00851480"/>
    <w:pPr>
      <w:spacing w:before="0" w:line="20" w:lineRule="exact"/>
    </w:pPr>
  </w:style>
  <w:style w:type="paragraph" w:styleId="Header">
    <w:name w:val="header"/>
    <w:basedOn w:val="BodyText"/>
    <w:rsid w:val="00851480"/>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851480"/>
    <w:pPr>
      <w:spacing w:line="20" w:lineRule="exact"/>
    </w:pPr>
    <w:rPr>
      <w:sz w:val="16"/>
    </w:rPr>
  </w:style>
  <w:style w:type="paragraph" w:customStyle="1" w:styleId="HeaderEven">
    <w:name w:val="Header Even"/>
    <w:basedOn w:val="Header"/>
    <w:semiHidden/>
    <w:rsid w:val="00851480"/>
  </w:style>
  <w:style w:type="paragraph" w:customStyle="1" w:styleId="HeaderOdd">
    <w:name w:val="Header Odd"/>
    <w:basedOn w:val="Header"/>
    <w:semiHidden/>
    <w:rsid w:val="00851480"/>
  </w:style>
  <w:style w:type="character" w:styleId="PageNumber">
    <w:name w:val="page number"/>
    <w:basedOn w:val="DefaultParagraphFont"/>
    <w:rsid w:val="00851480"/>
    <w:rPr>
      <w:rFonts w:ascii="Arial" w:hAnsi="Arial"/>
      <w:b/>
      <w:sz w:val="16"/>
    </w:rPr>
  </w:style>
  <w:style w:type="paragraph" w:customStyle="1" w:styleId="Abbreviation">
    <w:name w:val="Abbreviation"/>
    <w:basedOn w:val="BodyText"/>
    <w:rsid w:val="00851480"/>
    <w:pPr>
      <w:spacing w:before="120"/>
      <w:ind w:left="2381" w:hanging="2381"/>
      <w:jc w:val="left"/>
    </w:pPr>
  </w:style>
  <w:style w:type="paragraph" w:customStyle="1" w:styleId="Box">
    <w:name w:val="Box"/>
    <w:basedOn w:val="BodyText"/>
    <w:qFormat/>
    <w:rsid w:val="00851480"/>
    <w:pPr>
      <w:keepNext/>
      <w:spacing w:before="120" w:line="260" w:lineRule="atLeast"/>
    </w:pPr>
    <w:rPr>
      <w:rFonts w:ascii="Arial" w:hAnsi="Arial"/>
      <w:sz w:val="20"/>
    </w:rPr>
  </w:style>
  <w:style w:type="paragraph" w:customStyle="1" w:styleId="BoxContinued">
    <w:name w:val="Box Continued"/>
    <w:basedOn w:val="BodyText"/>
    <w:next w:val="BodyText"/>
    <w:semiHidden/>
    <w:rsid w:val="00851480"/>
    <w:pPr>
      <w:spacing w:before="180" w:line="220" w:lineRule="exact"/>
      <w:jc w:val="right"/>
    </w:pPr>
    <w:rPr>
      <w:rFonts w:ascii="Arial" w:hAnsi="Arial"/>
      <w:sz w:val="18"/>
    </w:rPr>
  </w:style>
  <w:style w:type="paragraph" w:customStyle="1" w:styleId="BoxHeading1">
    <w:name w:val="Box Heading 1"/>
    <w:basedOn w:val="BodyText"/>
    <w:next w:val="Box"/>
    <w:rsid w:val="00851480"/>
    <w:pPr>
      <w:keepNext/>
      <w:spacing w:before="200" w:line="280" w:lineRule="atLeast"/>
    </w:pPr>
    <w:rPr>
      <w:rFonts w:ascii="Arial" w:hAnsi="Arial"/>
      <w:b/>
      <w:sz w:val="22"/>
    </w:rPr>
  </w:style>
  <w:style w:type="paragraph" w:customStyle="1" w:styleId="BoxHeading2">
    <w:name w:val="Box Heading 2"/>
    <w:basedOn w:val="BoxHeading1"/>
    <w:next w:val="Normal"/>
    <w:rsid w:val="00851480"/>
    <w:rPr>
      <w:b w:val="0"/>
      <w:i/>
    </w:rPr>
  </w:style>
  <w:style w:type="paragraph" w:customStyle="1" w:styleId="BoxListBullet">
    <w:name w:val="Box List Bullet"/>
    <w:basedOn w:val="BodyText"/>
    <w:rsid w:val="00851480"/>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51480"/>
    <w:pPr>
      <w:numPr>
        <w:numId w:val="2"/>
      </w:numPr>
      <w:ind w:left="568" w:hanging="284"/>
    </w:pPr>
  </w:style>
  <w:style w:type="paragraph" w:customStyle="1" w:styleId="BoxListNumber">
    <w:name w:val="Box List Number"/>
    <w:basedOn w:val="BodyText"/>
    <w:rsid w:val="00851480"/>
    <w:pPr>
      <w:keepNext/>
      <w:numPr>
        <w:numId w:val="14"/>
      </w:numPr>
      <w:spacing w:before="100" w:line="260" w:lineRule="atLeast"/>
    </w:pPr>
    <w:rPr>
      <w:rFonts w:ascii="Arial" w:hAnsi="Arial"/>
      <w:sz w:val="20"/>
    </w:rPr>
  </w:style>
  <w:style w:type="paragraph" w:customStyle="1" w:styleId="BoxListNumber2">
    <w:name w:val="Box List Number 2"/>
    <w:basedOn w:val="BoxListNumber"/>
    <w:rsid w:val="00851480"/>
    <w:pPr>
      <w:numPr>
        <w:ilvl w:val="1"/>
      </w:numPr>
      <w:ind w:left="681" w:hanging="397"/>
    </w:pPr>
  </w:style>
  <w:style w:type="paragraph" w:customStyle="1" w:styleId="BoxQuote">
    <w:name w:val="Box Quote"/>
    <w:basedOn w:val="BodyText"/>
    <w:next w:val="Box"/>
    <w:qFormat/>
    <w:rsid w:val="00851480"/>
    <w:pPr>
      <w:keepNext/>
      <w:spacing w:before="60" w:line="240" w:lineRule="exact"/>
      <w:ind w:left="284"/>
    </w:pPr>
    <w:rPr>
      <w:rFonts w:ascii="Arial" w:hAnsi="Arial"/>
      <w:sz w:val="18"/>
    </w:rPr>
  </w:style>
  <w:style w:type="paragraph" w:customStyle="1" w:styleId="Note">
    <w:name w:val="Note"/>
    <w:basedOn w:val="BodyText"/>
    <w:next w:val="BodyText"/>
    <w:rsid w:val="00851480"/>
    <w:pPr>
      <w:keepLines/>
      <w:spacing w:before="80" w:line="220" w:lineRule="exact"/>
    </w:pPr>
    <w:rPr>
      <w:rFonts w:ascii="Arial" w:hAnsi="Arial"/>
      <w:sz w:val="18"/>
    </w:rPr>
  </w:style>
  <w:style w:type="paragraph" w:customStyle="1" w:styleId="Source">
    <w:name w:val="Source"/>
    <w:basedOn w:val="Normal"/>
    <w:next w:val="BodyText"/>
    <w:rsid w:val="00851480"/>
    <w:pPr>
      <w:keepLines/>
      <w:spacing w:before="80" w:line="220" w:lineRule="exact"/>
      <w:jc w:val="both"/>
    </w:pPr>
    <w:rPr>
      <w:rFonts w:ascii="Arial" w:hAnsi="Arial"/>
      <w:sz w:val="18"/>
      <w:szCs w:val="20"/>
    </w:rPr>
  </w:style>
  <w:style w:type="paragraph" w:customStyle="1" w:styleId="BoxSource">
    <w:name w:val="Box Source"/>
    <w:basedOn w:val="Source"/>
    <w:next w:val="BodyText"/>
    <w:rsid w:val="00851480"/>
    <w:pPr>
      <w:spacing w:before="120"/>
    </w:pPr>
  </w:style>
  <w:style w:type="paragraph" w:customStyle="1" w:styleId="BoxSpaceAbove">
    <w:name w:val="Box Space Above"/>
    <w:basedOn w:val="BodyText"/>
    <w:rsid w:val="00851480"/>
    <w:pPr>
      <w:keepNext/>
      <w:spacing w:before="360" w:line="80" w:lineRule="exact"/>
      <w:jc w:val="left"/>
    </w:pPr>
  </w:style>
  <w:style w:type="paragraph" w:styleId="Caption">
    <w:name w:val="caption"/>
    <w:basedOn w:val="Normal"/>
    <w:next w:val="BodyText"/>
    <w:rsid w:val="00851480"/>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851480"/>
    <w:pPr>
      <w:spacing w:before="120" w:after="0"/>
    </w:pPr>
  </w:style>
  <w:style w:type="paragraph" w:customStyle="1" w:styleId="BoxSubtitle">
    <w:name w:val="Box Subtitle"/>
    <w:basedOn w:val="BoxTitle"/>
    <w:next w:val="Normal"/>
    <w:rsid w:val="00851480"/>
    <w:pPr>
      <w:spacing w:after="80" w:line="200" w:lineRule="exact"/>
      <w:ind w:firstLine="0"/>
    </w:pPr>
    <w:rPr>
      <w:b w:val="0"/>
      <w:sz w:val="20"/>
    </w:rPr>
  </w:style>
  <w:style w:type="paragraph" w:customStyle="1" w:styleId="Chapter">
    <w:name w:val="Chapter"/>
    <w:basedOn w:val="Heading1"/>
    <w:next w:val="BodyText"/>
    <w:semiHidden/>
    <w:rsid w:val="00851480"/>
    <w:pPr>
      <w:ind w:left="0" w:firstLine="0"/>
      <w:outlineLvl w:val="9"/>
    </w:pPr>
    <w:rPr>
      <w:szCs w:val="20"/>
    </w:rPr>
  </w:style>
  <w:style w:type="paragraph" w:customStyle="1" w:styleId="ChapterSummary">
    <w:name w:val="Chapter Summary"/>
    <w:basedOn w:val="BodyText"/>
    <w:rsid w:val="00851480"/>
    <w:pPr>
      <w:spacing w:line="280" w:lineRule="atLeast"/>
      <w:ind w:left="907"/>
    </w:pPr>
    <w:rPr>
      <w:rFonts w:ascii="Arial" w:hAnsi="Arial"/>
      <w:b/>
      <w:sz w:val="20"/>
    </w:rPr>
  </w:style>
  <w:style w:type="character" w:styleId="CommentReference">
    <w:name w:val="annotation reference"/>
    <w:basedOn w:val="DefaultParagraphFont"/>
    <w:semiHidden/>
    <w:rsid w:val="00851480"/>
    <w:rPr>
      <w:b/>
      <w:vanish/>
      <w:color w:val="FF00FF"/>
      <w:sz w:val="20"/>
    </w:rPr>
  </w:style>
  <w:style w:type="paragraph" w:styleId="CommentText">
    <w:name w:val="annotation text"/>
    <w:basedOn w:val="Normal"/>
    <w:semiHidden/>
    <w:rsid w:val="00851480"/>
    <w:pPr>
      <w:spacing w:before="120" w:line="240" w:lineRule="atLeast"/>
      <w:ind w:left="567" w:hanging="567"/>
    </w:pPr>
    <w:rPr>
      <w:sz w:val="20"/>
    </w:rPr>
  </w:style>
  <w:style w:type="paragraph" w:customStyle="1" w:styleId="Continued">
    <w:name w:val="Continued"/>
    <w:basedOn w:val="BoxContinued"/>
    <w:next w:val="BodyText"/>
    <w:rsid w:val="00851480"/>
  </w:style>
  <w:style w:type="character" w:customStyle="1" w:styleId="DocumentInfo">
    <w:name w:val="Document Info"/>
    <w:basedOn w:val="DefaultParagraphFont"/>
    <w:semiHidden/>
    <w:rsid w:val="00851480"/>
    <w:rPr>
      <w:rFonts w:ascii="Arial" w:hAnsi="Arial"/>
      <w:sz w:val="14"/>
    </w:rPr>
  </w:style>
  <w:style w:type="character" w:customStyle="1" w:styleId="DraftingNote">
    <w:name w:val="Drafting Note"/>
    <w:basedOn w:val="DefaultParagraphFont"/>
    <w:rsid w:val="00851480"/>
    <w:rPr>
      <w:b/>
      <w:color w:val="FF0000"/>
      <w:sz w:val="24"/>
      <w:u w:val="dotted"/>
    </w:rPr>
  </w:style>
  <w:style w:type="paragraph" w:customStyle="1" w:styleId="Figure">
    <w:name w:val="Figure"/>
    <w:basedOn w:val="BodyText"/>
    <w:rsid w:val="00851480"/>
    <w:pPr>
      <w:keepNext/>
      <w:spacing w:before="120" w:after="120" w:line="240" w:lineRule="atLeast"/>
      <w:jc w:val="center"/>
    </w:pPr>
  </w:style>
  <w:style w:type="paragraph" w:customStyle="1" w:styleId="FigureTitle">
    <w:name w:val="Figure Title"/>
    <w:basedOn w:val="Caption"/>
    <w:next w:val="Subtitle"/>
    <w:rsid w:val="00851480"/>
    <w:pPr>
      <w:spacing w:before="120"/>
    </w:pPr>
  </w:style>
  <w:style w:type="paragraph" w:styleId="Subtitle">
    <w:name w:val="Subtitle"/>
    <w:basedOn w:val="Caption"/>
    <w:link w:val="SubtitleChar"/>
    <w:qFormat/>
    <w:rsid w:val="00851480"/>
    <w:pPr>
      <w:spacing w:before="0" w:line="200" w:lineRule="exact"/>
      <w:ind w:firstLine="0"/>
    </w:pPr>
    <w:rPr>
      <w:b w:val="0"/>
      <w:sz w:val="20"/>
    </w:rPr>
  </w:style>
  <w:style w:type="paragraph" w:customStyle="1" w:styleId="Finding">
    <w:name w:val="Finding"/>
    <w:basedOn w:val="BodyText"/>
    <w:rsid w:val="00851480"/>
    <w:pPr>
      <w:keepLines/>
      <w:spacing w:before="120" w:line="280" w:lineRule="atLeast"/>
    </w:pPr>
    <w:rPr>
      <w:rFonts w:ascii="Arial" w:hAnsi="Arial"/>
      <w:sz w:val="22"/>
    </w:rPr>
  </w:style>
  <w:style w:type="paragraph" w:customStyle="1" w:styleId="FindingBullet">
    <w:name w:val="Finding Bullet"/>
    <w:basedOn w:val="Finding"/>
    <w:rsid w:val="00851480"/>
    <w:pPr>
      <w:numPr>
        <w:numId w:val="3"/>
      </w:numPr>
      <w:spacing w:before="80"/>
    </w:pPr>
  </w:style>
  <w:style w:type="paragraph" w:customStyle="1" w:styleId="FindingNoTitle">
    <w:name w:val="Finding NoTitle"/>
    <w:basedOn w:val="Finding"/>
    <w:semiHidden/>
    <w:rsid w:val="00851480"/>
    <w:pPr>
      <w:spacing w:before="240"/>
    </w:pPr>
  </w:style>
  <w:style w:type="paragraph" w:customStyle="1" w:styleId="RecTitle">
    <w:name w:val="Rec Title"/>
    <w:basedOn w:val="BodyText"/>
    <w:next w:val="Rec"/>
    <w:qFormat/>
    <w:rsid w:val="00851480"/>
    <w:pPr>
      <w:keepNext/>
      <w:keepLines/>
      <w:spacing w:line="280" w:lineRule="atLeast"/>
    </w:pPr>
    <w:rPr>
      <w:rFonts w:ascii="Arial" w:hAnsi="Arial"/>
      <w:caps/>
      <w:sz w:val="18"/>
    </w:rPr>
  </w:style>
  <w:style w:type="paragraph" w:customStyle="1" w:styleId="FindingTitle">
    <w:name w:val="Finding Title"/>
    <w:basedOn w:val="RecTitle"/>
    <w:next w:val="Finding"/>
    <w:rsid w:val="00851480"/>
  </w:style>
  <w:style w:type="character" w:styleId="FootnoteReference">
    <w:name w:val="footnote reference"/>
    <w:basedOn w:val="DefaultParagraphFont"/>
    <w:semiHidden/>
    <w:rsid w:val="00851480"/>
    <w:rPr>
      <w:rFonts w:ascii="Times New Roman" w:hAnsi="Times New Roman"/>
      <w:position w:val="6"/>
      <w:sz w:val="20"/>
      <w:vertAlign w:val="baseline"/>
    </w:rPr>
  </w:style>
  <w:style w:type="paragraph" w:styleId="FootnoteText">
    <w:name w:val="footnote text"/>
    <w:basedOn w:val="BodyText"/>
    <w:rsid w:val="00851480"/>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851480"/>
    <w:rPr>
      <w:i/>
    </w:rPr>
  </w:style>
  <w:style w:type="paragraph" w:customStyle="1" w:styleId="Jurisdictioncommentsbodytext">
    <w:name w:val="Jurisdiction comments body text"/>
    <w:rsid w:val="00851480"/>
    <w:pPr>
      <w:spacing w:after="140"/>
      <w:jc w:val="both"/>
    </w:pPr>
    <w:rPr>
      <w:rFonts w:ascii="Arial" w:hAnsi="Arial"/>
      <w:sz w:val="24"/>
      <w:lang w:eastAsia="en-US"/>
    </w:rPr>
  </w:style>
  <w:style w:type="paragraph" w:customStyle="1" w:styleId="Jurisdictioncommentsheading">
    <w:name w:val="Jurisdiction comments heading"/>
    <w:rsid w:val="00851480"/>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851480"/>
    <w:pPr>
      <w:numPr>
        <w:numId w:val="4"/>
      </w:numPr>
      <w:spacing w:after="140"/>
      <w:jc w:val="both"/>
    </w:pPr>
    <w:rPr>
      <w:rFonts w:ascii="Arial" w:hAnsi="Arial"/>
      <w:sz w:val="24"/>
      <w:lang w:eastAsia="en-US"/>
    </w:rPr>
  </w:style>
  <w:style w:type="paragraph" w:styleId="ListBullet">
    <w:name w:val="List Bullet"/>
    <w:basedOn w:val="BodyText"/>
    <w:rsid w:val="00851480"/>
    <w:pPr>
      <w:numPr>
        <w:numId w:val="5"/>
      </w:numPr>
      <w:spacing w:before="120"/>
    </w:pPr>
  </w:style>
  <w:style w:type="paragraph" w:styleId="ListBullet2">
    <w:name w:val="List Bullet 2"/>
    <w:basedOn w:val="BodyText"/>
    <w:rsid w:val="00851480"/>
    <w:pPr>
      <w:numPr>
        <w:numId w:val="6"/>
      </w:numPr>
      <w:spacing w:before="120"/>
    </w:pPr>
  </w:style>
  <w:style w:type="paragraph" w:styleId="ListBullet3">
    <w:name w:val="List Bullet 3"/>
    <w:basedOn w:val="BodyText"/>
    <w:rsid w:val="00851480"/>
    <w:pPr>
      <w:numPr>
        <w:numId w:val="7"/>
      </w:numPr>
      <w:spacing w:before="120"/>
      <w:ind w:left="1020" w:hanging="340"/>
    </w:pPr>
  </w:style>
  <w:style w:type="paragraph" w:styleId="ListNumber">
    <w:name w:val="List Number"/>
    <w:basedOn w:val="BodyText"/>
    <w:rsid w:val="00851480"/>
    <w:pPr>
      <w:numPr>
        <w:numId w:val="13"/>
      </w:numPr>
      <w:spacing w:before="120"/>
    </w:pPr>
  </w:style>
  <w:style w:type="paragraph" w:styleId="ListNumber2">
    <w:name w:val="List Number 2"/>
    <w:basedOn w:val="ListNumber"/>
    <w:rsid w:val="00851480"/>
    <w:pPr>
      <w:numPr>
        <w:ilvl w:val="1"/>
      </w:numPr>
    </w:pPr>
  </w:style>
  <w:style w:type="paragraph" w:styleId="ListNumber3">
    <w:name w:val="List Number 3"/>
    <w:basedOn w:val="ListNumber2"/>
    <w:rsid w:val="00851480"/>
    <w:pPr>
      <w:numPr>
        <w:ilvl w:val="2"/>
      </w:numPr>
    </w:pPr>
  </w:style>
  <w:style w:type="character" w:customStyle="1" w:styleId="NoteLabel">
    <w:name w:val="Note Label"/>
    <w:basedOn w:val="DefaultParagraphFont"/>
    <w:rsid w:val="00851480"/>
    <w:rPr>
      <w:rFonts w:ascii="Arial" w:hAnsi="Arial"/>
      <w:b/>
      <w:position w:val="6"/>
      <w:sz w:val="18"/>
    </w:rPr>
  </w:style>
  <w:style w:type="paragraph" w:customStyle="1" w:styleId="PartDivider">
    <w:name w:val="Part Divider"/>
    <w:basedOn w:val="BodyText"/>
    <w:next w:val="BodyText"/>
    <w:semiHidden/>
    <w:rsid w:val="00851480"/>
    <w:pPr>
      <w:spacing w:before="0" w:line="40" w:lineRule="exact"/>
      <w:jc w:val="right"/>
    </w:pPr>
    <w:rPr>
      <w:smallCaps/>
      <w:sz w:val="16"/>
    </w:rPr>
  </w:style>
  <w:style w:type="paragraph" w:customStyle="1" w:styleId="PartNumber">
    <w:name w:val="Part Number"/>
    <w:basedOn w:val="BodyText"/>
    <w:next w:val="BodyText"/>
    <w:semiHidden/>
    <w:rsid w:val="00851480"/>
    <w:pPr>
      <w:spacing w:before="4000" w:line="320" w:lineRule="exact"/>
      <w:ind w:left="6634"/>
      <w:jc w:val="right"/>
    </w:pPr>
    <w:rPr>
      <w:smallCaps/>
      <w:spacing w:val="60"/>
      <w:sz w:val="32"/>
    </w:rPr>
  </w:style>
  <w:style w:type="paragraph" w:customStyle="1" w:styleId="PartTitle">
    <w:name w:val="Part Title"/>
    <w:basedOn w:val="BodyText"/>
    <w:semiHidden/>
    <w:rsid w:val="00851480"/>
    <w:pPr>
      <w:spacing w:before="160" w:after="1360" w:line="520" w:lineRule="exact"/>
      <w:ind w:right="2381"/>
      <w:jc w:val="right"/>
    </w:pPr>
    <w:rPr>
      <w:smallCaps/>
      <w:sz w:val="52"/>
    </w:rPr>
  </w:style>
  <w:style w:type="paragraph" w:styleId="Quote">
    <w:name w:val="Quote"/>
    <w:basedOn w:val="BodyText"/>
    <w:next w:val="BodyText"/>
    <w:qFormat/>
    <w:rsid w:val="00851480"/>
    <w:pPr>
      <w:spacing w:before="120" w:line="280" w:lineRule="exact"/>
      <w:ind w:left="340"/>
    </w:pPr>
    <w:rPr>
      <w:sz w:val="22"/>
    </w:rPr>
  </w:style>
  <w:style w:type="paragraph" w:customStyle="1" w:styleId="QuoteBullet">
    <w:name w:val="Quote Bullet"/>
    <w:basedOn w:val="Quote"/>
    <w:rsid w:val="00851480"/>
    <w:pPr>
      <w:numPr>
        <w:numId w:val="8"/>
      </w:numPr>
    </w:pPr>
  </w:style>
  <w:style w:type="paragraph" w:customStyle="1" w:styleId="Rec">
    <w:name w:val="Rec"/>
    <w:basedOn w:val="BodyText"/>
    <w:qFormat/>
    <w:rsid w:val="00851480"/>
    <w:pPr>
      <w:keepLines/>
      <w:spacing w:before="120" w:line="280" w:lineRule="atLeast"/>
    </w:pPr>
    <w:rPr>
      <w:rFonts w:ascii="Arial" w:hAnsi="Arial"/>
      <w:sz w:val="22"/>
    </w:rPr>
  </w:style>
  <w:style w:type="paragraph" w:customStyle="1" w:styleId="RecBullet">
    <w:name w:val="Rec Bullet"/>
    <w:basedOn w:val="Rec"/>
    <w:rsid w:val="00851480"/>
    <w:pPr>
      <w:numPr>
        <w:numId w:val="9"/>
      </w:numPr>
      <w:spacing w:before="80"/>
    </w:pPr>
  </w:style>
  <w:style w:type="paragraph" w:customStyle="1" w:styleId="RecB">
    <w:name w:val="RecB"/>
    <w:basedOn w:val="Normal"/>
    <w:semiHidden/>
    <w:rsid w:val="00851480"/>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851480"/>
    <w:pPr>
      <w:numPr>
        <w:numId w:val="10"/>
      </w:numPr>
      <w:spacing w:before="80"/>
    </w:pPr>
  </w:style>
  <w:style w:type="paragraph" w:customStyle="1" w:styleId="RecBNoTitle">
    <w:name w:val="RecB NoTitle"/>
    <w:basedOn w:val="RecB"/>
    <w:semiHidden/>
    <w:rsid w:val="00851480"/>
    <w:pPr>
      <w:spacing w:before="240"/>
    </w:pPr>
  </w:style>
  <w:style w:type="paragraph" w:customStyle="1" w:styleId="Reference">
    <w:name w:val="Reference"/>
    <w:basedOn w:val="BodyText"/>
    <w:rsid w:val="00851480"/>
    <w:pPr>
      <w:spacing w:before="120"/>
      <w:ind w:left="340" w:hanging="340"/>
    </w:pPr>
  </w:style>
  <w:style w:type="paragraph" w:customStyle="1" w:styleId="SequenceInfo">
    <w:name w:val="Sequence Info"/>
    <w:basedOn w:val="BodyText"/>
    <w:semiHidden/>
    <w:rsid w:val="00851480"/>
    <w:rPr>
      <w:vanish/>
      <w:sz w:val="16"/>
    </w:rPr>
  </w:style>
  <w:style w:type="paragraph" w:customStyle="1" w:styleId="SideNote">
    <w:name w:val="Side Note"/>
    <w:basedOn w:val="BodyText"/>
    <w:next w:val="BodyText"/>
    <w:semiHidden/>
    <w:rsid w:val="00851480"/>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851480"/>
    <w:pPr>
      <w:framePr w:wrap="around"/>
      <w:numPr>
        <w:numId w:val="11"/>
      </w:numPr>
      <w:tabs>
        <w:tab w:val="left" w:pos="227"/>
      </w:tabs>
    </w:pPr>
  </w:style>
  <w:style w:type="paragraph" w:customStyle="1" w:styleId="SideNoteGraphic">
    <w:name w:val="Side Note Graphic"/>
    <w:basedOn w:val="SideNote"/>
    <w:next w:val="BodyText"/>
    <w:semiHidden/>
    <w:rsid w:val="00851480"/>
    <w:pPr>
      <w:framePr w:wrap="around"/>
    </w:pPr>
  </w:style>
  <w:style w:type="paragraph" w:customStyle="1" w:styleId="TableBodyText">
    <w:name w:val="Table Body Text"/>
    <w:basedOn w:val="BodyText"/>
    <w:rsid w:val="00851480"/>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51480"/>
    <w:pPr>
      <w:numPr>
        <w:numId w:val="12"/>
      </w:numPr>
      <w:jc w:val="left"/>
    </w:pPr>
  </w:style>
  <w:style w:type="paragraph" w:customStyle="1" w:styleId="TableColumnHeading">
    <w:name w:val="Table Column Heading"/>
    <w:basedOn w:val="TableBodyText"/>
    <w:rsid w:val="00851480"/>
    <w:pPr>
      <w:spacing w:before="80" w:after="80"/>
    </w:pPr>
    <w:rPr>
      <w:i/>
    </w:rPr>
  </w:style>
  <w:style w:type="paragraph" w:styleId="TOC2">
    <w:name w:val="toc 2"/>
    <w:basedOn w:val="TOC1"/>
    <w:rsid w:val="00851480"/>
    <w:pPr>
      <w:ind w:left="1134" w:hanging="624"/>
    </w:pPr>
    <w:rPr>
      <w:b w:val="0"/>
    </w:rPr>
  </w:style>
  <w:style w:type="paragraph" w:styleId="TOC3">
    <w:name w:val="toc 3"/>
    <w:basedOn w:val="TOC2"/>
    <w:rsid w:val="00851480"/>
    <w:pPr>
      <w:spacing w:before="60"/>
      <w:ind w:left="1190" w:hanging="680"/>
    </w:pPr>
  </w:style>
  <w:style w:type="paragraph" w:styleId="TableofFigures">
    <w:name w:val="table of figures"/>
    <w:basedOn w:val="TOC3"/>
    <w:next w:val="BodyText"/>
    <w:semiHidden/>
    <w:rsid w:val="00851480"/>
    <w:pPr>
      <w:ind w:left="737" w:hanging="737"/>
    </w:pPr>
  </w:style>
  <w:style w:type="paragraph" w:customStyle="1" w:styleId="TableTitle">
    <w:name w:val="Table Title"/>
    <w:basedOn w:val="Caption"/>
    <w:next w:val="Subtitle"/>
    <w:qFormat/>
    <w:rsid w:val="00851480"/>
    <w:pPr>
      <w:spacing w:before="120"/>
    </w:pPr>
  </w:style>
  <w:style w:type="paragraph" w:customStyle="1" w:styleId="TableUnitsRow">
    <w:name w:val="Table Units Row"/>
    <w:basedOn w:val="TableBodyText"/>
    <w:rsid w:val="00851480"/>
    <w:pPr>
      <w:spacing w:before="40"/>
    </w:pPr>
  </w:style>
  <w:style w:type="paragraph" w:styleId="TOC1">
    <w:name w:val="toc 1"/>
    <w:basedOn w:val="Normal"/>
    <w:next w:val="TOC2"/>
    <w:link w:val="TOC1Char"/>
    <w:rsid w:val="00851480"/>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851480"/>
    <w:pPr>
      <w:ind w:left="1191" w:firstLine="0"/>
    </w:pPr>
  </w:style>
  <w:style w:type="paragraph" w:customStyle="1" w:styleId="RecBBullet2">
    <w:name w:val="RecB Bullet 2"/>
    <w:basedOn w:val="ListBullet2"/>
    <w:semiHidden/>
    <w:rsid w:val="00851480"/>
    <w:pPr>
      <w:pBdr>
        <w:left w:val="single" w:sz="24" w:space="29" w:color="C0C0C0"/>
      </w:pBdr>
    </w:pPr>
    <w:rPr>
      <w:b/>
      <w:i/>
    </w:rPr>
  </w:style>
  <w:style w:type="paragraph" w:styleId="BalloonText">
    <w:name w:val="Balloon Text"/>
    <w:basedOn w:val="Normal"/>
    <w:link w:val="BalloonTextChar"/>
    <w:rsid w:val="00851480"/>
    <w:rPr>
      <w:rFonts w:ascii="Tahoma" w:hAnsi="Tahoma" w:cs="Tahoma"/>
      <w:sz w:val="16"/>
      <w:szCs w:val="16"/>
    </w:rPr>
  </w:style>
  <w:style w:type="character" w:customStyle="1" w:styleId="BalloonTextChar">
    <w:name w:val="Balloon Text Char"/>
    <w:basedOn w:val="DefaultParagraphFont"/>
    <w:link w:val="BalloonText"/>
    <w:rsid w:val="00851480"/>
    <w:rPr>
      <w:rFonts w:ascii="Tahoma" w:hAnsi="Tahoma" w:cs="Tahoma"/>
      <w:sz w:val="16"/>
      <w:szCs w:val="16"/>
    </w:rPr>
  </w:style>
  <w:style w:type="character" w:customStyle="1" w:styleId="SubtitleChar">
    <w:name w:val="Subtitle Char"/>
    <w:basedOn w:val="DefaultParagraphFont"/>
    <w:link w:val="Subtitle"/>
    <w:rsid w:val="00851480"/>
    <w:rPr>
      <w:rFonts w:ascii="Arial" w:hAnsi="Arial"/>
      <w:szCs w:val="24"/>
    </w:rPr>
  </w:style>
  <w:style w:type="paragraph" w:customStyle="1" w:styleId="BoxListBullet3">
    <w:name w:val="Box List Bullet 3"/>
    <w:basedOn w:val="ListBullet3"/>
    <w:rsid w:val="00851480"/>
    <w:pPr>
      <w:numPr>
        <w:numId w:val="17"/>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851480"/>
    <w:rPr>
      <w:i/>
      <w:iCs/>
    </w:rPr>
  </w:style>
  <w:style w:type="paragraph" w:customStyle="1" w:styleId="BoxQuoteBullet">
    <w:name w:val="Box Quote Bullet"/>
    <w:basedOn w:val="BoxQuote"/>
    <w:next w:val="Box"/>
    <w:rsid w:val="00851480"/>
    <w:pPr>
      <w:numPr>
        <w:numId w:val="15"/>
      </w:numPr>
      <w:ind w:left="568" w:hanging="284"/>
    </w:pPr>
  </w:style>
  <w:style w:type="paragraph" w:customStyle="1" w:styleId="InformationRequestBullet">
    <w:name w:val="Information Request Bullet"/>
    <w:basedOn w:val="ListBullet"/>
    <w:next w:val="BodyText"/>
    <w:rsid w:val="00851480"/>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851480"/>
    <w:pPr>
      <w:keepNext w:val="0"/>
      <w:spacing w:before="60" w:after="60" w:line="80" w:lineRule="exact"/>
    </w:pPr>
    <w:rPr>
      <w:sz w:val="14"/>
    </w:rPr>
  </w:style>
  <w:style w:type="paragraph" w:styleId="Bibliography">
    <w:name w:val="Bibliography"/>
    <w:basedOn w:val="Normal"/>
    <w:next w:val="Normal"/>
    <w:uiPriority w:val="37"/>
    <w:unhideWhenUsed/>
    <w:rsid w:val="00572D97"/>
    <w:pPr>
      <w:spacing w:after="240"/>
      <w:ind w:left="720" w:hanging="720"/>
    </w:pPr>
  </w:style>
  <w:style w:type="paragraph" w:customStyle="1" w:styleId="KeyPointsListBullet">
    <w:name w:val="Key Points List Bullet"/>
    <w:basedOn w:val="Normal"/>
    <w:qFormat/>
    <w:rsid w:val="00851480"/>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851480"/>
    <w:pPr>
      <w:numPr>
        <w:numId w:val="19"/>
      </w:numPr>
      <w:ind w:left="568" w:hanging="284"/>
    </w:pPr>
  </w:style>
  <w:style w:type="paragraph" w:customStyle="1" w:styleId="InformationRequestTitle">
    <w:name w:val="Information Request Title"/>
    <w:basedOn w:val="FindingTitle"/>
    <w:next w:val="InformationRequest"/>
    <w:rsid w:val="00851480"/>
    <w:rPr>
      <w:i/>
    </w:rPr>
  </w:style>
  <w:style w:type="paragraph" w:customStyle="1" w:styleId="Space">
    <w:name w:val="Space"/>
    <w:basedOn w:val="Normal"/>
    <w:rsid w:val="00851480"/>
    <w:pPr>
      <w:keepNext/>
      <w:spacing w:line="120" w:lineRule="exact"/>
      <w:jc w:val="both"/>
    </w:pPr>
    <w:rPr>
      <w:rFonts w:ascii="Arial" w:hAnsi="Arial"/>
      <w:sz w:val="20"/>
      <w:szCs w:val="20"/>
    </w:rPr>
  </w:style>
  <w:style w:type="paragraph" w:customStyle="1" w:styleId="Heading1nochapterno">
    <w:name w:val="Heading 1 (no chapter no.)"/>
    <w:basedOn w:val="Heading1"/>
    <w:rsid w:val="00851480"/>
    <w:pPr>
      <w:spacing w:before="0"/>
      <w:ind w:left="0" w:firstLine="0"/>
    </w:pPr>
    <w:rPr>
      <w:szCs w:val="20"/>
    </w:rPr>
  </w:style>
  <w:style w:type="paragraph" w:customStyle="1" w:styleId="Heading2nosectionno">
    <w:name w:val="Heading 2 (no section no.)"/>
    <w:basedOn w:val="Heading2"/>
    <w:rsid w:val="00851480"/>
    <w:pPr>
      <w:ind w:left="0" w:firstLine="0"/>
    </w:pPr>
  </w:style>
  <w:style w:type="character" w:customStyle="1" w:styleId="Heading5Char">
    <w:name w:val="Heading 5 Char"/>
    <w:basedOn w:val="DefaultParagraphFont"/>
    <w:link w:val="Heading5"/>
    <w:rsid w:val="00851480"/>
    <w:rPr>
      <w:rFonts w:ascii="Arial" w:hAnsi="Arial"/>
      <w:i/>
      <w:sz w:val="22"/>
    </w:rPr>
  </w:style>
  <w:style w:type="paragraph" w:customStyle="1" w:styleId="Figurespace">
    <w:name w:val="Figure space"/>
    <w:basedOn w:val="Box"/>
    <w:rsid w:val="00851480"/>
    <w:pPr>
      <w:spacing w:before="0" w:line="120" w:lineRule="exact"/>
    </w:pPr>
  </w:style>
  <w:style w:type="paragraph" w:customStyle="1" w:styleId="FooterDraftReport">
    <w:name w:val="FooterDraftReport"/>
    <w:basedOn w:val="Footer"/>
    <w:link w:val="FooterDraftReportChar"/>
    <w:rsid w:val="00851480"/>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851480"/>
    <w:rPr>
      <w:sz w:val="24"/>
    </w:rPr>
  </w:style>
  <w:style w:type="character" w:customStyle="1" w:styleId="FooterChar">
    <w:name w:val="Footer Char"/>
    <w:basedOn w:val="BodyTextChar"/>
    <w:link w:val="Footer"/>
    <w:rsid w:val="00851480"/>
    <w:rPr>
      <w:rFonts w:ascii="Arial" w:hAnsi="Arial"/>
      <w:caps/>
      <w:spacing w:val="-4"/>
      <w:sz w:val="16"/>
    </w:rPr>
  </w:style>
  <w:style w:type="character" w:customStyle="1" w:styleId="FooterDraftReportChar">
    <w:name w:val="FooterDraftReport Char"/>
    <w:basedOn w:val="FooterChar"/>
    <w:link w:val="FooterDraftReport"/>
    <w:rsid w:val="00851480"/>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8514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1Char">
    <w:name w:val="TOC 1 Char"/>
    <w:basedOn w:val="DefaultParagraphFont"/>
    <w:link w:val="TOC1"/>
    <w:rsid w:val="00851480"/>
    <w:rPr>
      <w:rFonts w:ascii="Arial" w:hAnsi="Arial"/>
      <w:b/>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032019">
      <w:bodyDiv w:val="1"/>
      <w:marLeft w:val="0"/>
      <w:marRight w:val="0"/>
      <w:marTop w:val="0"/>
      <w:marBottom w:val="0"/>
      <w:divBdr>
        <w:top w:val="none" w:sz="0" w:space="0" w:color="auto"/>
        <w:left w:val="none" w:sz="0" w:space="0" w:color="auto"/>
        <w:bottom w:val="none" w:sz="0" w:space="0" w:color="auto"/>
        <w:right w:val="none" w:sz="0" w:space="0" w:color="auto"/>
      </w:divBdr>
    </w:div>
    <w:div w:id="1027490297">
      <w:bodyDiv w:val="1"/>
      <w:marLeft w:val="0"/>
      <w:marRight w:val="0"/>
      <w:marTop w:val="0"/>
      <w:marBottom w:val="0"/>
      <w:divBdr>
        <w:top w:val="none" w:sz="0" w:space="0" w:color="auto"/>
        <w:left w:val="none" w:sz="0" w:space="0" w:color="auto"/>
        <w:bottom w:val="none" w:sz="0" w:space="0" w:color="auto"/>
        <w:right w:val="none" w:sz="0" w:space="0" w:color="auto"/>
      </w:divBdr>
    </w:div>
    <w:div w:id="1579948666">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mith\AppData\Local\Microsoft\Windows\Temporary%20Internet%20Files\Content.MSO\8F929B8B.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80661-5F14-4CAA-8322-D685C3FA8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8F929B8B.dotm</Template>
  <TotalTime>19</TotalTime>
  <Pages>6</Pages>
  <Words>2008</Words>
  <Characters>10787</Characters>
  <Application>Microsoft Office Word</Application>
  <DocSecurity>0</DocSecurity>
  <Lines>245</Lines>
  <Paragraphs>81</Paragraphs>
  <ScaleCrop>false</ScaleCrop>
  <HeadingPairs>
    <vt:vector size="2" baseType="variant">
      <vt:variant>
        <vt:lpstr>Title</vt:lpstr>
      </vt:variant>
      <vt:variant>
        <vt:i4>1</vt:i4>
      </vt:variant>
    </vt:vector>
  </HeadingPairs>
  <TitlesOfParts>
    <vt:vector size="1" baseType="lpstr">
      <vt:lpstr>Approaches to cost allocation</vt:lpstr>
    </vt:vector>
  </TitlesOfParts>
  <Company>Productivity Commission</Company>
  <LinksUpToDate>false</LinksUpToDate>
  <CharactersWithSpaces>12714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Approaches to cost allocation</dc:title>
  <dc:subject>Access to Justice Arrangements</dc:subject>
  <dc:creator>Productivity Commission</dc:creator>
  <cp:keywords/>
  <dc:description>G.</dc:description>
  <cp:lastModifiedBy>Mark Pimperl</cp:lastModifiedBy>
  <cp:revision>15</cp:revision>
  <cp:lastPrinted>2012-07-19T02:05:00Z</cp:lastPrinted>
  <dcterms:created xsi:type="dcterms:W3CDTF">2014-08-31T07:43:00Z</dcterms:created>
  <dcterms:modified xsi:type="dcterms:W3CDTF">2014-10-12T23:14:00Z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zotero-version="4.0.20"&gt;&lt;session id="DldEVx0W"/&gt;&lt;style id="http://www.zotero.org/styles/unisa-harvard" hasBibliography="1" bibliographyStyleHasBeenSet="1"/&gt;&lt;prefs&gt;&lt;pref name="fieldType" value="Field"/&gt;&lt;pref name="storeReferences" va</vt:lpwstr>
  </property>
  <property fmtid="{D5CDD505-2E9C-101B-9397-08002B2CF9AE}" pid="3" name="ZOTERO_PREF_2">
    <vt:lpwstr>lue="true"/&gt;&lt;pref name="automaticJournalAbbreviations" value="true"/&gt;&lt;pref name="noteType" value="0"/&gt;&lt;/prefs&gt;&lt;/data&gt;</vt:lpwstr>
  </property>
</Properties>
</file>