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CB0DA1" w:rsidP="00CB0DA1">
      <w:pPr>
        <w:pStyle w:val="Chapter"/>
        <w:ind w:left="907" w:hanging="907"/>
      </w:pPr>
      <w:bookmarkStart w:id="0" w:name="_AppendixNotByChapter"/>
      <w:bookmarkStart w:id="1" w:name="ChapterNumber"/>
      <w:bookmarkEnd w:id="0"/>
      <w:r>
        <w:t>H</w:t>
      </w:r>
      <w:bookmarkEnd w:id="1"/>
      <w:r>
        <w:tab/>
      </w:r>
      <w:bookmarkStart w:id="2" w:name="ChapterTitle"/>
      <w:r>
        <w:t xml:space="preserve">Eligibility for legal aid and the cost of extending </w:t>
      </w:r>
      <w:bookmarkStart w:id="3" w:name="_GoBack"/>
      <w:bookmarkEnd w:id="3"/>
      <w:r>
        <w:t>it</w:t>
      </w:r>
      <w:bookmarkEnd w:id="2"/>
    </w:p>
    <w:p w:rsidR="009E778B" w:rsidRDefault="009E778B" w:rsidP="00F15784">
      <w:pPr>
        <w:pStyle w:val="BodyText"/>
      </w:pPr>
      <w:bookmarkStart w:id="4" w:name="begin"/>
      <w:bookmarkEnd w:id="4"/>
      <w:r>
        <w:t xml:space="preserve">This appendix describes the means test applied by legal aid commissions (LACs) to determine eligibility for grants of legal aid. Estimates of the number of households eligible for these services </w:t>
      </w:r>
      <w:r w:rsidR="007A2583">
        <w:t xml:space="preserve">are discussed in section </w:t>
      </w:r>
      <w:r w:rsidR="00C12E9C">
        <w:t>H</w:t>
      </w:r>
      <w:r w:rsidR="007A2583">
        <w:t>.1</w:t>
      </w:r>
      <w:r>
        <w:t>.</w:t>
      </w:r>
      <w:r w:rsidR="007A2583">
        <w:t xml:space="preserve"> </w:t>
      </w:r>
      <w:r w:rsidR="00BA40F0">
        <w:t xml:space="preserve">Section </w:t>
      </w:r>
      <w:r w:rsidR="00C12E9C">
        <w:t>H</w:t>
      </w:r>
      <w:r w:rsidR="00BA40F0">
        <w:t xml:space="preserve">.2 </w:t>
      </w:r>
      <w:r w:rsidR="007A2583">
        <w:t>details the Commission’s approach to estimating the additional cost ass</w:t>
      </w:r>
      <w:r w:rsidR="00CF2F66">
        <w:t>ociated with recommendation 21.4</w:t>
      </w:r>
      <w:r w:rsidR="007A2583">
        <w:t>.</w:t>
      </w:r>
    </w:p>
    <w:p w:rsidR="00114F5E" w:rsidRDefault="00CB0DA1" w:rsidP="00591CEF">
      <w:pPr>
        <w:pStyle w:val="Heading2"/>
      </w:pPr>
      <w:r>
        <w:t>H.</w:t>
      </w:r>
      <w:r>
        <w:rPr>
          <w:noProof/>
        </w:rPr>
        <w:t>1</w:t>
      </w:r>
      <w:r w:rsidR="00591CEF">
        <w:tab/>
      </w:r>
      <w:r w:rsidR="00405D87">
        <w:t>Who is eligible for legal aid?</w:t>
      </w:r>
      <w:r w:rsidR="00E8701C">
        <w:t xml:space="preserve"> </w:t>
      </w:r>
    </w:p>
    <w:p w:rsidR="00591CEF" w:rsidRDefault="00527D3C" w:rsidP="00591CEF">
      <w:pPr>
        <w:pStyle w:val="BodyText"/>
      </w:pPr>
      <w:r>
        <w:t>The LACs</w:t>
      </w:r>
      <w:r w:rsidR="00A34CA5">
        <w:t xml:space="preserve"> </w:t>
      </w:r>
      <w:r w:rsidR="00F77B00">
        <w:t>ration their service</w:t>
      </w:r>
      <w:r w:rsidR="00C77611">
        <w:t>s</w:t>
      </w:r>
      <w:r w:rsidR="00F77B00">
        <w:t xml:space="preserve"> by means, merit and matter. The means tests determine a threshold of income and assets above which applicants are denied legal aid</w:t>
      </w:r>
      <w:r w:rsidR="0059047E">
        <w:t>,</w:t>
      </w:r>
      <w:r w:rsidR="00F77B00">
        <w:t xml:space="preserve"> or are required to make a contribution towards the cost of their case.</w:t>
      </w:r>
      <w:r w:rsidR="00901F6D">
        <w:t xml:space="preserve"> Some types of legal aid services are not means tested, including minor assistance and information services (chapter</w:t>
      </w:r>
      <w:r w:rsidR="002373E6">
        <w:t> </w:t>
      </w:r>
      <w:r w:rsidR="00901F6D">
        <w:t>2</w:t>
      </w:r>
      <w:r w:rsidR="004368AD">
        <w:t>0)</w:t>
      </w:r>
      <w:r>
        <w:t>. This appendix focuses on those services that are means tested — specifically the grants of aid that comprise the bulk of LAC expenditure on civil</w:t>
      </w:r>
      <w:r w:rsidR="003F242D">
        <w:t>, including</w:t>
      </w:r>
      <w:r>
        <w:t xml:space="preserve"> family matters.</w:t>
      </w:r>
    </w:p>
    <w:p w:rsidR="00273CB4" w:rsidRDefault="00A57374" w:rsidP="00591CEF">
      <w:pPr>
        <w:pStyle w:val="BodyText"/>
      </w:pPr>
      <w:r>
        <w:t xml:space="preserve">The means tests vary </w:t>
      </w:r>
      <w:r w:rsidR="00EF5A62">
        <w:t xml:space="preserve">considerably </w:t>
      </w:r>
      <w:r>
        <w:t xml:space="preserve">between </w:t>
      </w:r>
      <w:r w:rsidR="006A4019">
        <w:t>LACs</w:t>
      </w:r>
      <w:r>
        <w:t xml:space="preserve">, but </w:t>
      </w:r>
      <w:r w:rsidR="00DB2188">
        <w:t>all</w:t>
      </w:r>
      <w:r>
        <w:t xml:space="preserve"> comprise an income and assets test</w:t>
      </w:r>
      <w:r w:rsidR="008249CF">
        <w:t xml:space="preserve"> component</w:t>
      </w:r>
      <w:r>
        <w:t xml:space="preserve">. </w:t>
      </w:r>
      <w:r w:rsidR="00EB7205">
        <w:t>The LACs typically use a measure of disposable income — that is, one that takes into account tax and welfare transfers — for the purposes of administering the income test, although some jurisdictions assess gross income.</w:t>
      </w:r>
      <w:r w:rsidR="00DF2C2B">
        <w:t xml:space="preserve"> Additional allowances are</w:t>
      </w:r>
      <w:r w:rsidR="00DE0EB0">
        <w:t xml:space="preserve"> also often made for the number of </w:t>
      </w:r>
      <w:r w:rsidR="005D34EF">
        <w:t xml:space="preserve">dependants </w:t>
      </w:r>
      <w:r w:rsidR="00DE0EB0">
        <w:t>and household expenses</w:t>
      </w:r>
      <w:r w:rsidR="00DF2C2B">
        <w:t xml:space="preserve">. The income tests imposed by </w:t>
      </w:r>
      <w:r w:rsidR="003A70AB">
        <w:t xml:space="preserve">the different </w:t>
      </w:r>
      <w:r w:rsidR="00DF2C2B">
        <w:t>LACs</w:t>
      </w:r>
      <w:r w:rsidR="00CA4386">
        <w:t xml:space="preserve"> for grants of legal aid</w:t>
      </w:r>
      <w:r w:rsidR="00DF2C2B">
        <w:t xml:space="preserve"> </w:t>
      </w:r>
      <w:r w:rsidR="003A70AB">
        <w:t>are</w:t>
      </w:r>
      <w:r w:rsidR="00DF2C2B">
        <w:t xml:space="preserve"> summarised in table</w:t>
      </w:r>
      <w:r w:rsidR="008F38DC">
        <w:t> </w:t>
      </w:r>
      <w:r w:rsidR="00EE4967">
        <w:t>H.1</w:t>
      </w:r>
      <w:r w:rsidR="00276DC9">
        <w:t>.</w:t>
      </w:r>
    </w:p>
    <w:p w:rsidR="004278F6" w:rsidRDefault="004278F6" w:rsidP="00591CEF">
      <w:pPr>
        <w:pStyle w:val="BodyText"/>
      </w:pPr>
      <w:r w:rsidRPr="00E048E3">
        <w:t xml:space="preserve">The assets test </w:t>
      </w:r>
      <w:r w:rsidR="009B614E" w:rsidRPr="00E048E3">
        <w:t xml:space="preserve">also </w:t>
      </w:r>
      <w:r w:rsidR="007D3EF7" w:rsidRPr="00E048E3">
        <w:t xml:space="preserve">varies </w:t>
      </w:r>
      <w:r w:rsidRPr="00E048E3">
        <w:t>considerably</w:t>
      </w:r>
      <w:r>
        <w:t xml:space="preserve"> across legal aid providers,</w:t>
      </w:r>
      <w:r w:rsidR="00164165">
        <w:t xml:space="preserve"> with</w:t>
      </w:r>
      <w:r>
        <w:t xml:space="preserve"> </w:t>
      </w:r>
      <w:r w:rsidR="001A00BD">
        <w:t>different</w:t>
      </w:r>
      <w:r w:rsidR="003642D4">
        <w:t xml:space="preserve"> allowances for equity in housing, vehicles, businesses and other assets. Where an applicant’s </w:t>
      </w:r>
      <w:r w:rsidR="003C54DE">
        <w:t xml:space="preserve">total assets exceed the threshold allowed, then they are usually expected to make </w:t>
      </w:r>
      <w:r w:rsidR="00775027">
        <w:t xml:space="preserve">a </w:t>
      </w:r>
      <w:r w:rsidR="003C54DE">
        <w:t>contribution towards the cost of their case. The asset</w:t>
      </w:r>
      <w:r w:rsidR="009A0D59">
        <w:t>s test</w:t>
      </w:r>
      <w:r w:rsidR="003C54DE">
        <w:t xml:space="preserve"> used by t</w:t>
      </w:r>
      <w:r w:rsidR="00027ACC">
        <w:t>he LACs</w:t>
      </w:r>
      <w:r w:rsidR="00B252A5">
        <w:t xml:space="preserve"> for grants of legal aid</w:t>
      </w:r>
      <w:r w:rsidR="00027ACC">
        <w:t xml:space="preserve"> are summarised in table</w:t>
      </w:r>
      <w:r>
        <w:t xml:space="preserve"> </w:t>
      </w:r>
      <w:r w:rsidR="00EE4967">
        <w:t>H.2</w:t>
      </w:r>
      <w:r w:rsidR="00F66A74">
        <w:t>.</w:t>
      </w:r>
    </w:p>
    <w:p w:rsidR="00AA3746" w:rsidRDefault="00AA3746">
      <w:pPr>
        <w:pStyle w:val="BodyText"/>
      </w:pPr>
    </w:p>
    <w:p w:rsidR="00AA3746" w:rsidRDefault="00AA3746">
      <w:pPr>
        <w:pStyle w:val="BodyText"/>
        <w:sectPr w:rsidR="00AA3746" w:rsidSect="00522E27">
          <w:headerReference w:type="even" r:id="rId9"/>
          <w:headerReference w:type="default" r:id="rId10"/>
          <w:footerReference w:type="even" r:id="rId11"/>
          <w:footerReference w:type="default" r:id="rId12"/>
          <w:pgSz w:w="11907" w:h="16840" w:code="9"/>
          <w:pgMar w:top="1985" w:right="1304" w:bottom="1418" w:left="1814" w:header="1701" w:footer="567" w:gutter="0"/>
          <w:pgNumType w:start="1013" w:chapStyle="1" w:chapSep="period"/>
          <w:cols w:space="720"/>
        </w:sectPr>
      </w:pPr>
    </w:p>
    <w:tbl>
      <w:tblPr>
        <w:tblW w:w="14132" w:type="dxa"/>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4132"/>
      </w:tblGrid>
      <w:tr w:rsidR="00AA3746" w:rsidTr="00B34E2A">
        <w:tc>
          <w:tcPr>
            <w:tcW w:w="14132" w:type="dxa"/>
            <w:tcBorders>
              <w:top w:val="single" w:sz="6" w:space="0" w:color="78A22F" w:themeColor="accent1"/>
              <w:left w:val="nil"/>
              <w:bottom w:val="nil"/>
              <w:right w:val="nil"/>
            </w:tcBorders>
            <w:shd w:val="clear" w:color="auto" w:fill="auto"/>
          </w:tcPr>
          <w:p w:rsidR="00AA3746" w:rsidRPr="00784A05" w:rsidRDefault="00AA3746" w:rsidP="00AA3746">
            <w:pPr>
              <w:pStyle w:val="TableTitle"/>
            </w:pPr>
            <w:r>
              <w:rPr>
                <w:b w:val="0"/>
              </w:rPr>
              <w:lastRenderedPageBreak/>
              <w:t xml:space="preserve">Table </w:t>
            </w:r>
            <w:bookmarkStart w:id="5" w:name="OLE_LINK3"/>
            <w:r w:rsidR="00CB0DA1">
              <w:rPr>
                <w:b w:val="0"/>
              </w:rPr>
              <w:t>H.</w:t>
            </w:r>
            <w:r w:rsidR="00CB0DA1">
              <w:rPr>
                <w:b w:val="0"/>
                <w:noProof/>
              </w:rPr>
              <w:t>1</w:t>
            </w:r>
            <w:bookmarkEnd w:id="5"/>
            <w:r>
              <w:tab/>
              <w:t>Summary of income test thresholds for which no further contribution is required</w:t>
            </w:r>
            <w:r w:rsidRPr="00230905">
              <w:rPr>
                <w:rStyle w:val="NoteLabel"/>
                <w:b/>
              </w:rPr>
              <w:t>a</w:t>
            </w:r>
          </w:p>
        </w:tc>
      </w:tr>
      <w:tr w:rsidR="00AA3746" w:rsidTr="00B34E2A">
        <w:trPr>
          <w:cantSplit/>
        </w:trPr>
        <w:tc>
          <w:tcPr>
            <w:tcW w:w="14132" w:type="dxa"/>
            <w:tcBorders>
              <w:top w:val="nil"/>
              <w:left w:val="nil"/>
              <w:bottom w:val="single" w:sz="4" w:space="0" w:color="BFBFBF" w:themeColor="background2"/>
              <w:right w:val="nil"/>
            </w:tcBorders>
            <w:shd w:val="clear" w:color="auto" w:fill="auto"/>
          </w:tcPr>
          <w:tbl>
            <w:tblPr>
              <w:tblW w:w="13848" w:type="dxa"/>
              <w:tblCellMar>
                <w:left w:w="0" w:type="dxa"/>
                <w:right w:w="0" w:type="dxa"/>
              </w:tblCellMar>
              <w:tblLook w:val="0000" w:firstRow="0" w:lastRow="0" w:firstColumn="0" w:lastColumn="0" w:noHBand="0" w:noVBand="0"/>
            </w:tblPr>
            <w:tblGrid>
              <w:gridCol w:w="1369"/>
              <w:gridCol w:w="1304"/>
              <w:gridCol w:w="141"/>
              <w:gridCol w:w="3119"/>
              <w:gridCol w:w="2127"/>
              <w:gridCol w:w="141"/>
              <w:gridCol w:w="5647"/>
            </w:tblGrid>
            <w:tr w:rsidR="006D34F7" w:rsidTr="002A3785">
              <w:tc>
                <w:tcPr>
                  <w:tcW w:w="494" w:type="pct"/>
                  <w:tcBorders>
                    <w:top w:val="single" w:sz="6" w:space="0" w:color="BFBFBF" w:themeColor="background2"/>
                    <w:bottom w:val="single" w:sz="6" w:space="0" w:color="BFBFBF" w:themeColor="background2"/>
                  </w:tcBorders>
                  <w:shd w:val="clear" w:color="auto" w:fill="auto"/>
                </w:tcPr>
                <w:p w:rsidR="008E279C" w:rsidRDefault="008E279C" w:rsidP="00CD3009">
                  <w:pPr>
                    <w:pStyle w:val="TableColumnHeading"/>
                    <w:jc w:val="left"/>
                  </w:pPr>
                  <w:r>
                    <w:t xml:space="preserve">Legal </w:t>
                  </w:r>
                  <w:r w:rsidR="00CD3009">
                    <w:t>aid commission</w:t>
                  </w:r>
                </w:p>
              </w:tc>
              <w:tc>
                <w:tcPr>
                  <w:tcW w:w="471" w:type="pct"/>
                  <w:tcBorders>
                    <w:top w:val="single" w:sz="6" w:space="0" w:color="BFBFBF" w:themeColor="background2"/>
                    <w:bottom w:val="single" w:sz="6" w:space="0" w:color="BFBFBF" w:themeColor="background2"/>
                  </w:tcBorders>
                </w:tcPr>
                <w:p w:rsidR="008E279C" w:rsidRPr="00A005DC" w:rsidRDefault="008E279C" w:rsidP="008E279C">
                  <w:pPr>
                    <w:pStyle w:val="TableColumnHeading"/>
                    <w:ind w:right="28"/>
                    <w:rPr>
                      <w:b/>
                    </w:rPr>
                  </w:pPr>
                  <w:r>
                    <w:rPr>
                      <w:b/>
                    </w:rPr>
                    <w:t>Threshold of income, above which a contribution is required (net of allowances)</w:t>
                  </w:r>
                </w:p>
              </w:tc>
              <w:tc>
                <w:tcPr>
                  <w:tcW w:w="51" w:type="pct"/>
                  <w:tcBorders>
                    <w:top w:val="single" w:sz="6" w:space="0" w:color="BFBFBF" w:themeColor="background2"/>
                    <w:bottom w:val="single" w:sz="6" w:space="0" w:color="BFBFBF" w:themeColor="background2"/>
                  </w:tcBorders>
                </w:tcPr>
                <w:p w:rsidR="008E279C" w:rsidRDefault="008E279C" w:rsidP="008E279C">
                  <w:pPr>
                    <w:pStyle w:val="TableColumnHeading"/>
                    <w:ind w:right="28"/>
                  </w:pPr>
                </w:p>
              </w:tc>
              <w:tc>
                <w:tcPr>
                  <w:tcW w:w="1126" w:type="pct"/>
                  <w:tcBorders>
                    <w:top w:val="single" w:sz="6" w:space="0" w:color="BFBFBF" w:themeColor="background2"/>
                    <w:bottom w:val="single" w:sz="6" w:space="0" w:color="BFBFBF" w:themeColor="background2"/>
                  </w:tcBorders>
                </w:tcPr>
                <w:p w:rsidR="008E279C" w:rsidRDefault="008E279C" w:rsidP="008E279C">
                  <w:pPr>
                    <w:pStyle w:val="TableColumnHeading"/>
                    <w:ind w:right="28"/>
                  </w:pPr>
                  <w:r>
                    <w:t>Allowance for children and dependants</w:t>
                  </w:r>
                </w:p>
              </w:tc>
              <w:tc>
                <w:tcPr>
                  <w:tcW w:w="768" w:type="pct"/>
                  <w:tcBorders>
                    <w:top w:val="single" w:sz="6" w:space="0" w:color="BFBFBF" w:themeColor="background2"/>
                    <w:bottom w:val="single" w:sz="6" w:space="0" w:color="BFBFBF" w:themeColor="background2"/>
                  </w:tcBorders>
                </w:tcPr>
                <w:p w:rsidR="008E279C" w:rsidRDefault="008E279C" w:rsidP="008E279C">
                  <w:pPr>
                    <w:pStyle w:val="TableColumnHeading"/>
                    <w:ind w:right="28"/>
                  </w:pPr>
                  <w:r>
                    <w:t>Allowances for rental assistance and other household costs</w:t>
                  </w:r>
                </w:p>
              </w:tc>
              <w:tc>
                <w:tcPr>
                  <w:tcW w:w="51" w:type="pct"/>
                  <w:tcBorders>
                    <w:top w:val="single" w:sz="6" w:space="0" w:color="BFBFBF" w:themeColor="background2"/>
                    <w:bottom w:val="single" w:sz="6" w:space="0" w:color="BFBFBF" w:themeColor="background2"/>
                  </w:tcBorders>
                </w:tcPr>
                <w:p w:rsidR="008E279C" w:rsidRDefault="008E279C" w:rsidP="008E279C">
                  <w:pPr>
                    <w:pStyle w:val="TableColumnHeading"/>
                    <w:ind w:right="28"/>
                  </w:pPr>
                </w:p>
              </w:tc>
              <w:tc>
                <w:tcPr>
                  <w:tcW w:w="2039" w:type="pct"/>
                  <w:tcBorders>
                    <w:top w:val="single" w:sz="6" w:space="0" w:color="BFBFBF" w:themeColor="background2"/>
                    <w:bottom w:val="single" w:sz="6" w:space="0" w:color="BFBFBF" w:themeColor="background2"/>
                  </w:tcBorders>
                  <w:shd w:val="clear" w:color="auto" w:fill="auto"/>
                </w:tcPr>
                <w:p w:rsidR="008E279C" w:rsidRDefault="008E279C" w:rsidP="008E279C">
                  <w:pPr>
                    <w:pStyle w:val="TableColumnHeading"/>
                    <w:ind w:right="28"/>
                  </w:pPr>
                  <w:r>
                    <w:t>Other allowances, notes</w:t>
                  </w:r>
                </w:p>
              </w:tc>
            </w:tr>
            <w:tr w:rsidR="006D34F7" w:rsidTr="002A3785">
              <w:tc>
                <w:tcPr>
                  <w:tcW w:w="494" w:type="pct"/>
                  <w:shd w:val="clear" w:color="auto" w:fill="F2F2F2" w:themeFill="background1" w:themeFillShade="F2"/>
                </w:tcPr>
                <w:p w:rsidR="008E279C" w:rsidRDefault="008E279C" w:rsidP="008E279C">
                  <w:pPr>
                    <w:pStyle w:val="TableBodyText"/>
                    <w:jc w:val="left"/>
                  </w:pPr>
                  <w:r>
                    <w:t>Legal Aid New South Wales</w:t>
                  </w:r>
                </w:p>
              </w:tc>
              <w:tc>
                <w:tcPr>
                  <w:tcW w:w="471" w:type="pct"/>
                  <w:shd w:val="clear" w:color="auto" w:fill="F2F2F2" w:themeFill="background1" w:themeFillShade="F2"/>
                </w:tcPr>
                <w:p w:rsidR="008E279C" w:rsidRDefault="008E279C" w:rsidP="008E279C">
                  <w:pPr>
                    <w:pStyle w:val="TableBodyText"/>
                    <w:ind w:right="28"/>
                  </w:pPr>
                  <w:r>
                    <w:t>$213 per week</w:t>
                  </w:r>
                </w:p>
              </w:tc>
              <w:tc>
                <w:tcPr>
                  <w:tcW w:w="51" w:type="pct"/>
                  <w:shd w:val="clear" w:color="auto" w:fill="F2F2F2" w:themeFill="background1" w:themeFillShade="F2"/>
                </w:tcPr>
                <w:p w:rsidR="008E279C" w:rsidRDefault="008E279C" w:rsidP="008E279C">
                  <w:pPr>
                    <w:pStyle w:val="TableBodyText"/>
                    <w:ind w:right="28"/>
                  </w:pPr>
                </w:p>
              </w:tc>
              <w:tc>
                <w:tcPr>
                  <w:tcW w:w="1126" w:type="pct"/>
                  <w:shd w:val="clear" w:color="auto" w:fill="F2F2F2" w:themeFill="background1" w:themeFillShade="F2"/>
                </w:tcPr>
                <w:p w:rsidR="008E279C" w:rsidRDefault="008E279C" w:rsidP="008E279C">
                  <w:pPr>
                    <w:pStyle w:val="TableBodyText"/>
                    <w:ind w:right="28"/>
                  </w:pPr>
                  <w:r>
                    <w:t>$120 per week per dependant</w:t>
                  </w:r>
                </w:p>
              </w:tc>
              <w:tc>
                <w:tcPr>
                  <w:tcW w:w="768" w:type="pct"/>
                  <w:shd w:val="clear" w:color="auto" w:fill="F2F2F2" w:themeFill="background1" w:themeFillShade="F2"/>
                </w:tcPr>
                <w:p w:rsidR="008E279C" w:rsidRDefault="008E279C" w:rsidP="008E279C">
                  <w:pPr>
                    <w:pStyle w:val="TableBodyText"/>
                    <w:ind w:right="28"/>
                  </w:pPr>
                  <w:r>
                    <w:t>$320-</w:t>
                  </w:r>
                  <w:r w:rsidR="00C719E8">
                    <w:t>$</w:t>
                  </w:r>
                  <w:r>
                    <w:t>455 per week</w:t>
                  </w:r>
                </w:p>
              </w:tc>
              <w:tc>
                <w:tcPr>
                  <w:tcW w:w="51" w:type="pct"/>
                  <w:shd w:val="clear" w:color="auto" w:fill="F2F2F2" w:themeFill="background1" w:themeFillShade="F2"/>
                </w:tcPr>
                <w:p w:rsidR="008E279C" w:rsidRDefault="008E279C" w:rsidP="008E279C">
                  <w:pPr>
                    <w:pStyle w:val="TableBodyText"/>
                    <w:ind w:right="28"/>
                  </w:pPr>
                </w:p>
              </w:tc>
              <w:tc>
                <w:tcPr>
                  <w:tcW w:w="2039" w:type="pct"/>
                  <w:shd w:val="clear" w:color="auto" w:fill="F2F2F2" w:themeFill="background1" w:themeFillShade="F2"/>
                </w:tcPr>
                <w:p w:rsidR="008E279C" w:rsidRDefault="008E279C" w:rsidP="00B96092">
                  <w:pPr>
                    <w:pStyle w:val="TableBodyText"/>
                    <w:ind w:right="28"/>
                  </w:pPr>
                  <w:r>
                    <w:t>Net of income tax and Medicare levy, family tax benefits, carer allowance, rent assistance, NDIS amounts</w:t>
                  </w:r>
                  <w:r w:rsidR="00B96092">
                    <w:t xml:space="preserve">; </w:t>
                  </w:r>
                  <w:r>
                    <w:t>up to $250 per week in childcare costs; up to $120 per week per child in child support payments</w:t>
                  </w:r>
                </w:p>
              </w:tc>
            </w:tr>
            <w:tr w:rsidR="006D34F7" w:rsidTr="002A3785">
              <w:tc>
                <w:tcPr>
                  <w:tcW w:w="494" w:type="pct"/>
                </w:tcPr>
                <w:p w:rsidR="008E279C" w:rsidRDefault="008E279C" w:rsidP="008E279C">
                  <w:pPr>
                    <w:pStyle w:val="TableBodyText"/>
                    <w:jc w:val="left"/>
                  </w:pPr>
                  <w:r>
                    <w:t>Victoria Legal Aid</w:t>
                  </w:r>
                </w:p>
              </w:tc>
              <w:tc>
                <w:tcPr>
                  <w:tcW w:w="471" w:type="pct"/>
                </w:tcPr>
                <w:p w:rsidR="008E279C" w:rsidRDefault="008E279C" w:rsidP="008E279C">
                  <w:pPr>
                    <w:pStyle w:val="TableBodyText"/>
                    <w:ind w:right="28"/>
                  </w:pPr>
                  <w:r>
                    <w:t>$255 per week</w:t>
                  </w:r>
                </w:p>
              </w:tc>
              <w:tc>
                <w:tcPr>
                  <w:tcW w:w="51" w:type="pct"/>
                </w:tcPr>
                <w:p w:rsidR="008E279C" w:rsidRDefault="008E279C" w:rsidP="008E279C">
                  <w:pPr>
                    <w:pStyle w:val="TableBodyText"/>
                    <w:ind w:right="28"/>
                  </w:pPr>
                </w:p>
              </w:tc>
              <w:tc>
                <w:tcPr>
                  <w:tcW w:w="1126" w:type="pct"/>
                </w:tcPr>
                <w:p w:rsidR="008E279C" w:rsidRDefault="008E279C" w:rsidP="008E279C">
                  <w:pPr>
                    <w:pStyle w:val="TableBodyText"/>
                    <w:ind w:right="28"/>
                  </w:pPr>
                  <w:r>
                    <w:t>$130 per week for first dependant, $125 per week for each dependant thereafter</w:t>
                  </w:r>
                </w:p>
              </w:tc>
              <w:tc>
                <w:tcPr>
                  <w:tcW w:w="768" w:type="pct"/>
                </w:tcPr>
                <w:p w:rsidR="008E279C" w:rsidRDefault="008E279C" w:rsidP="008E279C">
                  <w:pPr>
                    <w:pStyle w:val="TableBodyText"/>
                    <w:ind w:right="28"/>
                  </w:pPr>
                  <w:r>
                    <w:t>$240 per week</w:t>
                  </w:r>
                </w:p>
              </w:tc>
              <w:tc>
                <w:tcPr>
                  <w:tcW w:w="51" w:type="pct"/>
                </w:tcPr>
                <w:p w:rsidR="008E279C" w:rsidRDefault="008E279C" w:rsidP="008E279C">
                  <w:pPr>
                    <w:pStyle w:val="TableBodyText"/>
                    <w:ind w:right="28"/>
                  </w:pPr>
                </w:p>
              </w:tc>
              <w:tc>
                <w:tcPr>
                  <w:tcW w:w="2039" w:type="pct"/>
                </w:tcPr>
                <w:p w:rsidR="008E279C" w:rsidRDefault="008E279C" w:rsidP="00B96092">
                  <w:pPr>
                    <w:pStyle w:val="TableBodyText"/>
                    <w:ind w:right="28"/>
                  </w:pPr>
                  <w:r>
                    <w:t>Income tax, the Medicare levy, business expenses</w:t>
                  </w:r>
                  <w:r w:rsidR="00B96092">
                    <w:t xml:space="preserve">; </w:t>
                  </w:r>
                  <w:r>
                    <w:t>up to $240 per week in childcare costs</w:t>
                  </w:r>
                  <w:r w:rsidR="00B96092">
                    <w:t xml:space="preserve">; </w:t>
                  </w:r>
                  <w:r>
                    <w:t>up to</w:t>
                  </w:r>
                  <w:r w:rsidR="003C4012">
                    <w:t xml:space="preserve"> </w:t>
                  </w:r>
                  <w:r>
                    <w:t>$125</w:t>
                  </w:r>
                  <w:r>
                    <w:noBreakHyphen/>
                    <w:t>130</w:t>
                  </w:r>
                  <w:r w:rsidR="007B2E44">
                    <w:t xml:space="preserve"> per week</w:t>
                  </w:r>
                  <w:r>
                    <w:t xml:space="preserve"> in child support payments</w:t>
                  </w:r>
                </w:p>
              </w:tc>
            </w:tr>
            <w:tr w:rsidR="006D34F7" w:rsidTr="002A3785">
              <w:tc>
                <w:tcPr>
                  <w:tcW w:w="494" w:type="pct"/>
                  <w:shd w:val="clear" w:color="auto" w:fill="F2F2F2" w:themeFill="background1" w:themeFillShade="F2"/>
                </w:tcPr>
                <w:p w:rsidR="008E279C" w:rsidRDefault="008E279C" w:rsidP="00E76D98">
                  <w:pPr>
                    <w:pStyle w:val="TableBodyText"/>
                    <w:jc w:val="left"/>
                  </w:pPr>
                  <w:r>
                    <w:t xml:space="preserve">Legal Aid </w:t>
                  </w:r>
                  <w:r w:rsidR="00E76D98">
                    <w:t>Qld</w:t>
                  </w:r>
                </w:p>
              </w:tc>
              <w:tc>
                <w:tcPr>
                  <w:tcW w:w="471" w:type="pct"/>
                  <w:shd w:val="clear" w:color="auto" w:fill="F2F2F2" w:themeFill="background1" w:themeFillShade="F2"/>
                </w:tcPr>
                <w:p w:rsidR="008E279C" w:rsidRDefault="008E279C" w:rsidP="008E279C">
                  <w:pPr>
                    <w:pStyle w:val="TableBodyText"/>
                    <w:ind w:right="28"/>
                  </w:pPr>
                  <w:r>
                    <w:t>$370</w:t>
                  </w:r>
                  <w:r>
                    <w:noBreakHyphen/>
                  </w:r>
                  <w:r w:rsidR="00C719E8">
                    <w:t>$</w:t>
                  </w:r>
                  <w:r>
                    <w:t>1</w:t>
                  </w:r>
                  <w:r w:rsidR="003C4012">
                    <w:t> </w:t>
                  </w:r>
                  <w:r>
                    <w:t xml:space="preserve">370 </w:t>
                  </w:r>
                  <w:r>
                    <w:br/>
                    <w:t>per week</w:t>
                  </w:r>
                </w:p>
              </w:tc>
              <w:tc>
                <w:tcPr>
                  <w:tcW w:w="51" w:type="pct"/>
                  <w:shd w:val="clear" w:color="auto" w:fill="F2F2F2" w:themeFill="background1" w:themeFillShade="F2"/>
                </w:tcPr>
                <w:p w:rsidR="008E279C" w:rsidRDefault="008E279C" w:rsidP="008E279C">
                  <w:pPr>
                    <w:pStyle w:val="TableBodyText"/>
                    <w:ind w:right="28"/>
                  </w:pPr>
                </w:p>
              </w:tc>
              <w:tc>
                <w:tcPr>
                  <w:tcW w:w="1126" w:type="pct"/>
                  <w:shd w:val="clear" w:color="auto" w:fill="F2F2F2" w:themeFill="background1" w:themeFillShade="F2"/>
                </w:tcPr>
                <w:p w:rsidR="008E279C" w:rsidRDefault="008E279C" w:rsidP="008E279C">
                  <w:pPr>
                    <w:pStyle w:val="TableBodyText"/>
                    <w:ind w:right="28"/>
                  </w:pPr>
                </w:p>
              </w:tc>
              <w:tc>
                <w:tcPr>
                  <w:tcW w:w="768" w:type="pct"/>
                  <w:shd w:val="clear" w:color="auto" w:fill="F2F2F2" w:themeFill="background1" w:themeFillShade="F2"/>
                </w:tcPr>
                <w:p w:rsidR="008E279C" w:rsidRDefault="008E279C" w:rsidP="008E279C">
                  <w:pPr>
                    <w:pStyle w:val="TableBodyText"/>
                    <w:ind w:right="28"/>
                  </w:pPr>
                </w:p>
              </w:tc>
              <w:tc>
                <w:tcPr>
                  <w:tcW w:w="51" w:type="pct"/>
                  <w:shd w:val="clear" w:color="auto" w:fill="F2F2F2" w:themeFill="background1" w:themeFillShade="F2"/>
                </w:tcPr>
                <w:p w:rsidR="008E279C" w:rsidRDefault="008E279C" w:rsidP="008E279C">
                  <w:pPr>
                    <w:pStyle w:val="TableBodyText"/>
                    <w:ind w:right="28"/>
                  </w:pPr>
                </w:p>
              </w:tc>
              <w:tc>
                <w:tcPr>
                  <w:tcW w:w="2039" w:type="pct"/>
                  <w:shd w:val="clear" w:color="auto" w:fill="F2F2F2" w:themeFill="background1" w:themeFillShade="F2"/>
                </w:tcPr>
                <w:p w:rsidR="008E279C" w:rsidRDefault="008E279C" w:rsidP="008E279C">
                  <w:pPr>
                    <w:pStyle w:val="TableBodyText"/>
                    <w:ind w:right="28"/>
                  </w:pPr>
                  <w:r>
                    <w:t>Gross income measure that depends on number of children</w:t>
                  </w:r>
                </w:p>
              </w:tc>
            </w:tr>
            <w:tr w:rsidR="006D34F7" w:rsidTr="002A3785">
              <w:tc>
                <w:tcPr>
                  <w:tcW w:w="494" w:type="pct"/>
                </w:tcPr>
                <w:p w:rsidR="008E279C" w:rsidRDefault="008E279C" w:rsidP="008E279C">
                  <w:pPr>
                    <w:pStyle w:val="TableBodyText"/>
                    <w:jc w:val="left"/>
                  </w:pPr>
                  <w:r>
                    <w:t>Legal Services Commission of South Australia</w:t>
                  </w:r>
                </w:p>
              </w:tc>
              <w:tc>
                <w:tcPr>
                  <w:tcW w:w="471" w:type="pct"/>
                </w:tcPr>
                <w:p w:rsidR="008E279C" w:rsidRDefault="008E279C" w:rsidP="008E279C">
                  <w:pPr>
                    <w:pStyle w:val="TableBodyText"/>
                    <w:ind w:right="28"/>
                  </w:pPr>
                  <w:r>
                    <w:t>$342 per week</w:t>
                  </w:r>
                </w:p>
              </w:tc>
              <w:tc>
                <w:tcPr>
                  <w:tcW w:w="51" w:type="pct"/>
                </w:tcPr>
                <w:p w:rsidR="008E279C" w:rsidRDefault="008E279C" w:rsidP="008E279C">
                  <w:pPr>
                    <w:pStyle w:val="TableBodyText"/>
                    <w:ind w:right="28"/>
                  </w:pPr>
                </w:p>
              </w:tc>
              <w:tc>
                <w:tcPr>
                  <w:tcW w:w="1126" w:type="pct"/>
                </w:tcPr>
                <w:p w:rsidR="008E279C" w:rsidRDefault="008E279C" w:rsidP="008E279C">
                  <w:pPr>
                    <w:pStyle w:val="TableBodyText"/>
                    <w:ind w:right="28"/>
                  </w:pPr>
                  <w:r>
                    <w:t>$128 per week for first dependant, $120 per week for each dependant thereafter</w:t>
                  </w:r>
                </w:p>
              </w:tc>
              <w:tc>
                <w:tcPr>
                  <w:tcW w:w="768" w:type="pct"/>
                </w:tcPr>
                <w:p w:rsidR="008E279C" w:rsidRDefault="008E279C" w:rsidP="008E279C">
                  <w:pPr>
                    <w:pStyle w:val="TableBodyText"/>
                    <w:ind w:right="28"/>
                  </w:pPr>
                  <w:r>
                    <w:t>See note</w:t>
                  </w:r>
                  <w:r>
                    <w:rPr>
                      <w:rStyle w:val="NoteLabel"/>
                    </w:rPr>
                    <w:t>b</w:t>
                  </w:r>
                </w:p>
              </w:tc>
              <w:tc>
                <w:tcPr>
                  <w:tcW w:w="51" w:type="pct"/>
                </w:tcPr>
                <w:p w:rsidR="008E279C" w:rsidRDefault="008E279C" w:rsidP="008E279C">
                  <w:pPr>
                    <w:pStyle w:val="TableBodyText"/>
                    <w:ind w:right="28"/>
                  </w:pPr>
                </w:p>
              </w:tc>
              <w:tc>
                <w:tcPr>
                  <w:tcW w:w="2039" w:type="pct"/>
                </w:tcPr>
                <w:p w:rsidR="008E279C" w:rsidRDefault="008E279C" w:rsidP="008E279C">
                  <w:pPr>
                    <w:pStyle w:val="TableBodyText"/>
                    <w:ind w:right="28"/>
                  </w:pPr>
                  <w:r>
                    <w:t>Allows a range of deductions for expenses such as tax, childcare and household expenses, but only up to a maximum level linked to the Henderson poverty line</w:t>
                  </w:r>
                </w:p>
              </w:tc>
            </w:tr>
            <w:tr w:rsidR="006D34F7" w:rsidTr="002A3785">
              <w:tc>
                <w:tcPr>
                  <w:tcW w:w="494" w:type="pct"/>
                  <w:shd w:val="clear" w:color="auto" w:fill="F2F2F2" w:themeFill="background1" w:themeFillShade="F2"/>
                </w:tcPr>
                <w:p w:rsidR="008E279C" w:rsidRDefault="008E279C" w:rsidP="009D1BBB">
                  <w:pPr>
                    <w:pStyle w:val="TableBodyText"/>
                    <w:jc w:val="left"/>
                  </w:pPr>
                  <w:r>
                    <w:t xml:space="preserve">Legal Aid </w:t>
                  </w:r>
                  <w:r w:rsidR="009D1BBB">
                    <w:t>WA</w:t>
                  </w:r>
                </w:p>
              </w:tc>
              <w:tc>
                <w:tcPr>
                  <w:tcW w:w="471" w:type="pct"/>
                  <w:shd w:val="clear" w:color="auto" w:fill="F2F2F2" w:themeFill="background1" w:themeFillShade="F2"/>
                </w:tcPr>
                <w:p w:rsidR="008E279C" w:rsidRDefault="008E279C" w:rsidP="008E279C">
                  <w:pPr>
                    <w:pStyle w:val="TableBodyText"/>
                    <w:ind w:right="28"/>
                  </w:pPr>
                  <w:r>
                    <w:t>$264 per week</w:t>
                  </w:r>
                </w:p>
              </w:tc>
              <w:tc>
                <w:tcPr>
                  <w:tcW w:w="51" w:type="pct"/>
                  <w:shd w:val="clear" w:color="auto" w:fill="F2F2F2" w:themeFill="background1" w:themeFillShade="F2"/>
                </w:tcPr>
                <w:p w:rsidR="008E279C" w:rsidRDefault="008E279C" w:rsidP="008E279C">
                  <w:pPr>
                    <w:pStyle w:val="TableBodyText"/>
                    <w:ind w:right="28"/>
                  </w:pPr>
                </w:p>
              </w:tc>
              <w:tc>
                <w:tcPr>
                  <w:tcW w:w="1126" w:type="pct"/>
                  <w:shd w:val="clear" w:color="auto" w:fill="F2F2F2" w:themeFill="background1" w:themeFillShade="F2"/>
                </w:tcPr>
                <w:p w:rsidR="008E279C" w:rsidRDefault="008E279C" w:rsidP="008E279C">
                  <w:pPr>
                    <w:pStyle w:val="TableBodyText"/>
                    <w:ind w:right="28"/>
                  </w:pPr>
                  <w:r>
                    <w:t>$99 for first dependant, $93 for each dependant thereafter</w:t>
                  </w:r>
                </w:p>
              </w:tc>
              <w:tc>
                <w:tcPr>
                  <w:tcW w:w="768" w:type="pct"/>
                  <w:shd w:val="clear" w:color="auto" w:fill="F2F2F2" w:themeFill="background1" w:themeFillShade="F2"/>
                </w:tcPr>
                <w:p w:rsidR="008E279C" w:rsidRDefault="008E279C" w:rsidP="008E279C">
                  <w:pPr>
                    <w:pStyle w:val="TableBodyText"/>
                    <w:ind w:right="28"/>
                  </w:pPr>
                  <w:r>
                    <w:t>$260</w:t>
                  </w:r>
                  <w:r>
                    <w:noBreakHyphen/>
                  </w:r>
                  <w:r w:rsidR="00C719E8">
                    <w:t>$</w:t>
                  </w:r>
                  <w:r>
                    <w:t xml:space="preserve">390 per week </w:t>
                  </w:r>
                </w:p>
              </w:tc>
              <w:tc>
                <w:tcPr>
                  <w:tcW w:w="51" w:type="pct"/>
                  <w:shd w:val="clear" w:color="auto" w:fill="F2F2F2" w:themeFill="background1" w:themeFillShade="F2"/>
                </w:tcPr>
                <w:p w:rsidR="008E279C" w:rsidRDefault="008E279C" w:rsidP="008E279C">
                  <w:pPr>
                    <w:pStyle w:val="TableBodyText"/>
                    <w:ind w:right="28"/>
                  </w:pPr>
                </w:p>
              </w:tc>
              <w:tc>
                <w:tcPr>
                  <w:tcW w:w="2039" w:type="pct"/>
                  <w:shd w:val="clear" w:color="auto" w:fill="F2F2F2" w:themeFill="background1" w:themeFillShade="F2"/>
                </w:tcPr>
                <w:p w:rsidR="008E279C" w:rsidRDefault="008E279C" w:rsidP="008E279C">
                  <w:pPr>
                    <w:pStyle w:val="TableBodyText"/>
                    <w:ind w:right="28"/>
                  </w:pPr>
                  <w:r>
                    <w:t xml:space="preserve">Net of income tax and the Medicare levy; $148 per week in childcare costs; child support payments using the same scale as the allowance for children and dependants </w:t>
                  </w:r>
                </w:p>
              </w:tc>
            </w:tr>
            <w:tr w:rsidR="006D34F7" w:rsidTr="002A3785">
              <w:tc>
                <w:tcPr>
                  <w:tcW w:w="494" w:type="pct"/>
                </w:tcPr>
                <w:p w:rsidR="008E279C" w:rsidRDefault="008E279C" w:rsidP="008E279C">
                  <w:pPr>
                    <w:pStyle w:val="TableBodyText"/>
                    <w:jc w:val="left"/>
                  </w:pPr>
                  <w:r>
                    <w:t>Legal Aid Commission of Tasmania</w:t>
                  </w:r>
                </w:p>
              </w:tc>
              <w:tc>
                <w:tcPr>
                  <w:tcW w:w="471" w:type="pct"/>
                </w:tcPr>
                <w:p w:rsidR="008E279C" w:rsidRDefault="008E279C" w:rsidP="008E279C">
                  <w:pPr>
                    <w:pStyle w:val="TableBodyText"/>
                    <w:ind w:right="28"/>
                  </w:pPr>
                  <w:r>
                    <w:t>$450</w:t>
                  </w:r>
                  <w:r>
                    <w:noBreakHyphen/>
                    <w:t>$1</w:t>
                  </w:r>
                  <w:r w:rsidR="003C4012">
                    <w:t> </w:t>
                  </w:r>
                  <w:r>
                    <w:t>005 per week</w:t>
                  </w:r>
                </w:p>
              </w:tc>
              <w:tc>
                <w:tcPr>
                  <w:tcW w:w="51" w:type="pct"/>
                </w:tcPr>
                <w:p w:rsidR="008E279C" w:rsidRDefault="008E279C" w:rsidP="008E279C">
                  <w:pPr>
                    <w:pStyle w:val="TableBodyText"/>
                    <w:ind w:right="28"/>
                  </w:pPr>
                </w:p>
              </w:tc>
              <w:tc>
                <w:tcPr>
                  <w:tcW w:w="1126" w:type="pct"/>
                </w:tcPr>
                <w:p w:rsidR="008E279C" w:rsidRDefault="008E279C" w:rsidP="008E279C">
                  <w:pPr>
                    <w:pStyle w:val="TableBodyText"/>
                    <w:ind w:right="28"/>
                  </w:pPr>
                </w:p>
              </w:tc>
              <w:tc>
                <w:tcPr>
                  <w:tcW w:w="768" w:type="pct"/>
                </w:tcPr>
                <w:p w:rsidR="008E279C" w:rsidRDefault="008E279C" w:rsidP="008E279C">
                  <w:pPr>
                    <w:pStyle w:val="TableBodyText"/>
                    <w:ind w:right="28"/>
                  </w:pPr>
                </w:p>
              </w:tc>
              <w:tc>
                <w:tcPr>
                  <w:tcW w:w="51" w:type="pct"/>
                </w:tcPr>
                <w:p w:rsidR="008E279C" w:rsidRDefault="008E279C" w:rsidP="008E279C">
                  <w:pPr>
                    <w:pStyle w:val="TableBodyText"/>
                    <w:ind w:right="28"/>
                  </w:pPr>
                </w:p>
              </w:tc>
              <w:tc>
                <w:tcPr>
                  <w:tcW w:w="2039" w:type="pct"/>
                </w:tcPr>
                <w:p w:rsidR="008E279C" w:rsidRDefault="008E279C" w:rsidP="008E279C">
                  <w:pPr>
                    <w:pStyle w:val="TableBodyText"/>
                    <w:ind w:right="28"/>
                  </w:pPr>
                  <w:r>
                    <w:t>Gross income measure that depends on number of children</w:t>
                  </w:r>
                </w:p>
              </w:tc>
            </w:tr>
            <w:tr w:rsidR="006D34F7" w:rsidTr="002A3785">
              <w:tc>
                <w:tcPr>
                  <w:tcW w:w="494" w:type="pct"/>
                  <w:shd w:val="clear" w:color="auto" w:fill="F2F2F2" w:themeFill="background1" w:themeFillShade="F2"/>
                </w:tcPr>
                <w:p w:rsidR="008E279C" w:rsidRDefault="008E279C" w:rsidP="008E279C">
                  <w:pPr>
                    <w:pStyle w:val="TableBodyText"/>
                    <w:jc w:val="left"/>
                  </w:pPr>
                  <w:r>
                    <w:t>NT Legal Aid Commission</w:t>
                  </w:r>
                </w:p>
              </w:tc>
              <w:tc>
                <w:tcPr>
                  <w:tcW w:w="471" w:type="pct"/>
                  <w:shd w:val="clear" w:color="auto" w:fill="F2F2F2" w:themeFill="background1" w:themeFillShade="F2"/>
                </w:tcPr>
                <w:p w:rsidR="008E279C" w:rsidRDefault="008E279C" w:rsidP="008E279C">
                  <w:pPr>
                    <w:pStyle w:val="TableBodyText"/>
                    <w:ind w:right="28"/>
                  </w:pPr>
                  <w:r>
                    <w:t xml:space="preserve">$271 per week </w:t>
                  </w:r>
                </w:p>
              </w:tc>
              <w:tc>
                <w:tcPr>
                  <w:tcW w:w="51" w:type="pct"/>
                  <w:shd w:val="clear" w:color="auto" w:fill="F2F2F2" w:themeFill="background1" w:themeFillShade="F2"/>
                </w:tcPr>
                <w:p w:rsidR="008E279C" w:rsidRDefault="008E279C" w:rsidP="008E279C">
                  <w:pPr>
                    <w:pStyle w:val="TableBodyText"/>
                    <w:ind w:right="28"/>
                  </w:pPr>
                </w:p>
              </w:tc>
              <w:tc>
                <w:tcPr>
                  <w:tcW w:w="1126" w:type="pct"/>
                  <w:shd w:val="clear" w:color="auto" w:fill="F2F2F2" w:themeFill="background1" w:themeFillShade="F2"/>
                </w:tcPr>
                <w:p w:rsidR="008E279C" w:rsidRDefault="008E279C" w:rsidP="008E279C">
                  <w:pPr>
                    <w:pStyle w:val="TableBodyText"/>
                    <w:ind w:right="28"/>
                  </w:pPr>
                  <w:r>
                    <w:t>$101 for first dependant, $96 for each dependant thereafter</w:t>
                  </w:r>
                </w:p>
              </w:tc>
              <w:tc>
                <w:tcPr>
                  <w:tcW w:w="768" w:type="pct"/>
                  <w:shd w:val="clear" w:color="auto" w:fill="F2F2F2" w:themeFill="background1" w:themeFillShade="F2"/>
                </w:tcPr>
                <w:p w:rsidR="008E279C" w:rsidRDefault="008E279C" w:rsidP="008E279C">
                  <w:pPr>
                    <w:pStyle w:val="TableBodyText"/>
                    <w:ind w:right="28"/>
                  </w:pPr>
                  <w:r>
                    <w:t xml:space="preserve">Equal to rental </w:t>
                  </w:r>
                  <w:r w:rsidR="003C4012">
                    <w:t>‘</w:t>
                  </w:r>
                  <w:r>
                    <w:t>cost of 2 bedroom flat in Darwin</w:t>
                  </w:r>
                  <w:r w:rsidR="003C4012">
                    <w:t>’</w:t>
                  </w:r>
                </w:p>
              </w:tc>
              <w:tc>
                <w:tcPr>
                  <w:tcW w:w="51" w:type="pct"/>
                  <w:shd w:val="clear" w:color="auto" w:fill="F2F2F2" w:themeFill="background1" w:themeFillShade="F2"/>
                </w:tcPr>
                <w:p w:rsidR="008E279C" w:rsidRDefault="008E279C" w:rsidP="008E279C">
                  <w:pPr>
                    <w:pStyle w:val="TableBodyText"/>
                    <w:ind w:right="28"/>
                  </w:pPr>
                </w:p>
              </w:tc>
              <w:tc>
                <w:tcPr>
                  <w:tcW w:w="2039" w:type="pct"/>
                  <w:shd w:val="clear" w:color="auto" w:fill="F2F2F2" w:themeFill="background1" w:themeFillShade="F2"/>
                </w:tcPr>
                <w:p w:rsidR="008E279C" w:rsidRDefault="008E279C" w:rsidP="00B96092">
                  <w:pPr>
                    <w:pStyle w:val="TableBodyText"/>
                    <w:ind w:right="28"/>
                  </w:pPr>
                  <w:r>
                    <w:t>Net of income tax and Medicare levy</w:t>
                  </w:r>
                  <w:r w:rsidR="00B96092">
                    <w:t xml:space="preserve">; </w:t>
                  </w:r>
                  <w:r>
                    <w:t>$140.50 per week in childcare costs</w:t>
                  </w:r>
                </w:p>
              </w:tc>
            </w:tr>
            <w:tr w:rsidR="006D34F7" w:rsidTr="002A3785">
              <w:tc>
                <w:tcPr>
                  <w:tcW w:w="494" w:type="pct"/>
                </w:tcPr>
                <w:p w:rsidR="008E279C" w:rsidRDefault="008E279C" w:rsidP="008E279C">
                  <w:pPr>
                    <w:pStyle w:val="TableBodyText"/>
                    <w:jc w:val="left"/>
                  </w:pPr>
                  <w:r>
                    <w:t>ACT Legal Aid Commission</w:t>
                  </w:r>
                </w:p>
              </w:tc>
              <w:tc>
                <w:tcPr>
                  <w:tcW w:w="471" w:type="pct"/>
                </w:tcPr>
                <w:p w:rsidR="008E279C" w:rsidRDefault="008E279C" w:rsidP="008E279C">
                  <w:pPr>
                    <w:pStyle w:val="TableBodyText"/>
                    <w:ind w:right="28"/>
                  </w:pPr>
                  <w:r>
                    <w:t>$396 per week</w:t>
                  </w:r>
                  <w:r w:rsidDel="00DF7E5C">
                    <w:t xml:space="preserve"> </w:t>
                  </w:r>
                </w:p>
              </w:tc>
              <w:tc>
                <w:tcPr>
                  <w:tcW w:w="51" w:type="pct"/>
                </w:tcPr>
                <w:p w:rsidR="008E279C" w:rsidRDefault="008E279C" w:rsidP="008E279C">
                  <w:pPr>
                    <w:pStyle w:val="TableBodyText"/>
                    <w:ind w:right="28"/>
                  </w:pPr>
                </w:p>
              </w:tc>
              <w:tc>
                <w:tcPr>
                  <w:tcW w:w="1126" w:type="pct"/>
                </w:tcPr>
                <w:p w:rsidR="008E279C" w:rsidRDefault="008E279C" w:rsidP="008E279C">
                  <w:pPr>
                    <w:pStyle w:val="TableBodyText"/>
                    <w:ind w:right="28"/>
                  </w:pPr>
                  <w:r>
                    <w:t>$185 for the first dependant, around $174 for each dependant thereafter</w:t>
                  </w:r>
                </w:p>
              </w:tc>
              <w:tc>
                <w:tcPr>
                  <w:tcW w:w="768" w:type="pct"/>
                </w:tcPr>
                <w:p w:rsidR="008E279C" w:rsidRDefault="008E279C" w:rsidP="008E279C">
                  <w:pPr>
                    <w:pStyle w:val="TableBodyText"/>
                    <w:ind w:right="28"/>
                  </w:pPr>
                  <w:r>
                    <w:t>$450 per week</w:t>
                  </w:r>
                </w:p>
              </w:tc>
              <w:tc>
                <w:tcPr>
                  <w:tcW w:w="51" w:type="pct"/>
                </w:tcPr>
                <w:p w:rsidR="008E279C" w:rsidRDefault="008E279C" w:rsidP="008E279C">
                  <w:pPr>
                    <w:pStyle w:val="TableBodyText"/>
                    <w:ind w:right="28"/>
                  </w:pPr>
                </w:p>
              </w:tc>
              <w:tc>
                <w:tcPr>
                  <w:tcW w:w="2039" w:type="pct"/>
                </w:tcPr>
                <w:p w:rsidR="008E279C" w:rsidRDefault="008E279C" w:rsidP="00B96092">
                  <w:pPr>
                    <w:pStyle w:val="TableBodyText"/>
                    <w:ind w:right="28"/>
                  </w:pPr>
                  <w:r>
                    <w:t>Net of income tax and Medicare levy</w:t>
                  </w:r>
                  <w:r w:rsidR="00B96092">
                    <w:t xml:space="preserve">; </w:t>
                  </w:r>
                  <w:r>
                    <w:t>childcare costs up to $208 per week</w:t>
                  </w:r>
                </w:p>
              </w:tc>
            </w:tr>
          </w:tbl>
          <w:p w:rsidR="00AA3746" w:rsidRDefault="00AA3746" w:rsidP="008E279C">
            <w:pPr>
              <w:pStyle w:val="Box"/>
            </w:pPr>
          </w:p>
        </w:tc>
      </w:tr>
      <w:tr w:rsidR="00AA3746" w:rsidTr="00B34E2A">
        <w:trPr>
          <w:cantSplit/>
        </w:trPr>
        <w:tc>
          <w:tcPr>
            <w:tcW w:w="14132" w:type="dxa"/>
            <w:tcBorders>
              <w:top w:val="single" w:sz="4" w:space="0" w:color="BFBFBF" w:themeColor="background2"/>
              <w:left w:val="nil"/>
              <w:bottom w:val="nil"/>
              <w:right w:val="nil"/>
            </w:tcBorders>
            <w:shd w:val="clear" w:color="auto" w:fill="auto"/>
          </w:tcPr>
          <w:p w:rsidR="00AA3746" w:rsidRDefault="000B1716" w:rsidP="00E3152A">
            <w:pPr>
              <w:pStyle w:val="Note"/>
              <w:rPr>
                <w:i/>
              </w:rPr>
            </w:pPr>
            <w:proofErr w:type="spellStart"/>
            <w:proofErr w:type="gramStart"/>
            <w:r w:rsidRPr="008E77FE">
              <w:rPr>
                <w:rStyle w:val="NoteLabel"/>
              </w:rPr>
              <w:t>a</w:t>
            </w:r>
            <w:proofErr w:type="spellEnd"/>
            <w:proofErr w:type="gramEnd"/>
            <w:r>
              <w:t xml:space="preserve"> In practice, most LACs require an initial contribution from clients for a grant of aid. This initial cost ranges from $20 to $110 depending on the jurisdiction and matter. </w:t>
            </w:r>
            <w:proofErr w:type="gramStart"/>
            <w:r>
              <w:rPr>
                <w:rStyle w:val="NoteLabel"/>
              </w:rPr>
              <w:t>b</w:t>
            </w:r>
            <w:proofErr w:type="gramEnd"/>
            <w:r w:rsidR="00E3152A">
              <w:rPr>
                <w:rStyle w:val="NoteLabel"/>
              </w:rPr>
              <w:t> </w:t>
            </w:r>
            <w:r>
              <w:t xml:space="preserve">Equal to the ‘childcare relief figure’ set by the Commonwealth Department of Human Services for up to 50 hours </w:t>
            </w:r>
            <w:r w:rsidRPr="003259ED">
              <w:rPr>
                <w:rFonts w:cs="Arial"/>
                <w:szCs w:val="24"/>
              </w:rPr>
              <w:t>(Legal Services Commission of South Australia 2014a)</w:t>
            </w:r>
            <w:r>
              <w:t>.</w:t>
            </w:r>
          </w:p>
        </w:tc>
      </w:tr>
      <w:tr w:rsidR="00AA3746" w:rsidTr="006D34F7">
        <w:trPr>
          <w:cantSplit/>
        </w:trPr>
        <w:tc>
          <w:tcPr>
            <w:tcW w:w="14132" w:type="dxa"/>
            <w:tcBorders>
              <w:top w:val="nil"/>
              <w:left w:val="nil"/>
              <w:bottom w:val="nil"/>
              <w:right w:val="nil"/>
            </w:tcBorders>
            <w:shd w:val="clear" w:color="auto" w:fill="auto"/>
          </w:tcPr>
          <w:p w:rsidR="00AA3746" w:rsidRDefault="000B1716" w:rsidP="005F2E8D">
            <w:pPr>
              <w:pStyle w:val="Source"/>
            </w:pPr>
            <w:r>
              <w:rPr>
                <w:i/>
              </w:rPr>
              <w:t>Sources</w:t>
            </w:r>
            <w:r w:rsidRPr="00167F06">
              <w:t>:</w:t>
            </w:r>
            <w:r>
              <w:t xml:space="preserve"> Commission research based on</w:t>
            </w:r>
            <w:r w:rsidR="003C4012">
              <w:t xml:space="preserve"> </w:t>
            </w:r>
            <w:r>
              <w:t xml:space="preserve">Legal Aid NSW </w:t>
            </w:r>
            <w:r w:rsidR="00E10B23" w:rsidRPr="00E10B23">
              <w:rPr>
                <w:rFonts w:cs="Arial"/>
              </w:rPr>
              <w:t>(2010a, 2010b)</w:t>
            </w:r>
            <w:r w:rsidR="004043AF">
              <w:t>;</w:t>
            </w:r>
            <w:r>
              <w:t xml:space="preserve"> Victoria Legal Aid</w:t>
            </w:r>
            <w:r w:rsidR="005A4505">
              <w:t xml:space="preserve"> </w:t>
            </w:r>
            <w:r w:rsidR="005F2E8D" w:rsidRPr="005F2E8D">
              <w:rPr>
                <w:rFonts w:cs="Arial"/>
              </w:rPr>
              <w:t>(2010a, 2010b, 2010c, 2010d)</w:t>
            </w:r>
            <w:r w:rsidR="004043AF">
              <w:t>;</w:t>
            </w:r>
            <w:r>
              <w:t xml:space="preserve"> Legal Aid Queensland </w:t>
            </w:r>
            <w:r w:rsidRPr="00012875">
              <w:rPr>
                <w:rFonts w:cs="Arial"/>
              </w:rPr>
              <w:t>(2014)</w:t>
            </w:r>
            <w:r w:rsidR="004043AF">
              <w:t>;</w:t>
            </w:r>
            <w:r>
              <w:t xml:space="preserve"> Legal Services Commission of South Australia </w:t>
            </w:r>
            <w:r w:rsidR="00A1000C" w:rsidRPr="00A1000C">
              <w:rPr>
                <w:rFonts w:cs="Arial"/>
              </w:rPr>
              <w:t>(2014a, 2014b)</w:t>
            </w:r>
            <w:r w:rsidR="004043AF">
              <w:t>;</w:t>
            </w:r>
            <w:r>
              <w:t xml:space="preserve"> Legal Aid </w:t>
            </w:r>
            <w:r w:rsidR="009D1BBB">
              <w:t>WA</w:t>
            </w:r>
            <w:r>
              <w:t xml:space="preserve"> </w:t>
            </w:r>
            <w:r w:rsidR="00791CA6" w:rsidRPr="00791CA6">
              <w:rPr>
                <w:rFonts w:cs="Arial"/>
              </w:rPr>
              <w:t>(2010a, 2010b, 2010c)</w:t>
            </w:r>
            <w:r w:rsidR="004043AF">
              <w:t>;</w:t>
            </w:r>
            <w:r>
              <w:t xml:space="preserve"> Legal Aid Commission of Tasmania </w:t>
            </w:r>
            <w:r w:rsidR="00552216" w:rsidRPr="00552216">
              <w:rPr>
                <w:rFonts w:cs="Arial"/>
              </w:rPr>
              <w:t>(2003, 2010, 2014)</w:t>
            </w:r>
            <w:r w:rsidR="004043AF">
              <w:t>;</w:t>
            </w:r>
            <w:r>
              <w:t xml:space="preserve"> Northern Territory Legal Aid Commission </w:t>
            </w:r>
            <w:r w:rsidRPr="00006C88">
              <w:rPr>
                <w:rFonts w:cs="Arial"/>
              </w:rPr>
              <w:t>(2005)</w:t>
            </w:r>
            <w:r w:rsidR="004043AF">
              <w:t>;</w:t>
            </w:r>
            <w:r>
              <w:t xml:space="preserve"> Legal Aid ACT </w:t>
            </w:r>
            <w:r w:rsidRPr="00006C88">
              <w:rPr>
                <w:rFonts w:cs="Arial"/>
              </w:rPr>
              <w:t>(2013)</w:t>
            </w:r>
            <w:r w:rsidR="004043AF">
              <w:t>;</w:t>
            </w:r>
            <w:r>
              <w:t xml:space="preserve"> Melbourne Institute of Applied Economics and Social Research </w:t>
            </w:r>
            <w:r w:rsidRPr="00B00332">
              <w:rPr>
                <w:rFonts w:cs="Arial"/>
              </w:rPr>
              <w:t>(2014)</w:t>
            </w:r>
            <w:r>
              <w:t>.</w:t>
            </w:r>
          </w:p>
        </w:tc>
      </w:tr>
      <w:tr w:rsidR="00AA3746" w:rsidTr="006D34F7">
        <w:trPr>
          <w:cantSplit/>
        </w:trPr>
        <w:tc>
          <w:tcPr>
            <w:tcW w:w="14132" w:type="dxa"/>
            <w:tcBorders>
              <w:top w:val="nil"/>
              <w:left w:val="nil"/>
              <w:bottom w:val="single" w:sz="6" w:space="0" w:color="78A22F" w:themeColor="accent1"/>
              <w:right w:val="nil"/>
            </w:tcBorders>
            <w:shd w:val="clear" w:color="auto" w:fill="auto"/>
          </w:tcPr>
          <w:p w:rsidR="00AA3746" w:rsidRDefault="00AA3746" w:rsidP="008E279C">
            <w:pPr>
              <w:pStyle w:val="Box"/>
              <w:spacing w:before="0" w:line="120" w:lineRule="exact"/>
            </w:pPr>
          </w:p>
        </w:tc>
      </w:tr>
      <w:tr w:rsidR="00AA3746" w:rsidRPr="000863A5" w:rsidTr="006D34F7">
        <w:tc>
          <w:tcPr>
            <w:tcW w:w="14132" w:type="dxa"/>
            <w:tcBorders>
              <w:top w:val="single" w:sz="6" w:space="0" w:color="78A22F" w:themeColor="accent1"/>
              <w:left w:val="nil"/>
              <w:bottom w:val="nil"/>
              <w:right w:val="nil"/>
            </w:tcBorders>
          </w:tcPr>
          <w:p w:rsidR="00AA3746" w:rsidRPr="00626D32" w:rsidRDefault="00AA3746" w:rsidP="008E279C">
            <w:pPr>
              <w:pStyle w:val="BoxSpaceBelow"/>
            </w:pPr>
          </w:p>
        </w:tc>
      </w:tr>
      <w:tr w:rsidR="007D6FE1" w:rsidTr="00B34E2A">
        <w:tc>
          <w:tcPr>
            <w:tcW w:w="14132" w:type="dxa"/>
            <w:tcBorders>
              <w:top w:val="single" w:sz="6" w:space="0" w:color="78A22F" w:themeColor="accent1"/>
              <w:left w:val="nil"/>
              <w:bottom w:val="nil"/>
              <w:right w:val="nil"/>
            </w:tcBorders>
            <w:shd w:val="clear" w:color="auto" w:fill="auto"/>
          </w:tcPr>
          <w:p w:rsidR="007D6FE1" w:rsidRPr="00784A05" w:rsidRDefault="007D6FE1" w:rsidP="004567C1">
            <w:pPr>
              <w:pStyle w:val="TableTitle"/>
            </w:pPr>
            <w:r>
              <w:rPr>
                <w:b w:val="0"/>
              </w:rPr>
              <w:lastRenderedPageBreak/>
              <w:t xml:space="preserve">Table </w:t>
            </w:r>
            <w:bookmarkStart w:id="6" w:name="OLE_LINK4"/>
            <w:r w:rsidR="00CB0DA1">
              <w:rPr>
                <w:b w:val="0"/>
              </w:rPr>
              <w:t>H.</w:t>
            </w:r>
            <w:r w:rsidR="00CB0DA1">
              <w:rPr>
                <w:b w:val="0"/>
                <w:noProof/>
              </w:rPr>
              <w:t>2</w:t>
            </w:r>
            <w:bookmarkEnd w:id="6"/>
            <w:r>
              <w:tab/>
              <w:t xml:space="preserve">Summary of </w:t>
            </w:r>
            <w:r w:rsidR="00FD3CD5">
              <w:t>assets</w:t>
            </w:r>
            <w:r>
              <w:t xml:space="preserve"> test thresholds for which no further contribution is required</w:t>
            </w:r>
          </w:p>
        </w:tc>
      </w:tr>
      <w:tr w:rsidR="007D6FE1" w:rsidTr="00B34E2A">
        <w:trPr>
          <w:cantSplit/>
        </w:trPr>
        <w:tc>
          <w:tcPr>
            <w:tcW w:w="14132" w:type="dxa"/>
            <w:tcBorders>
              <w:top w:val="nil"/>
              <w:left w:val="nil"/>
              <w:bottom w:val="single" w:sz="4" w:space="0" w:color="BFBFBF" w:themeColor="background2"/>
              <w:right w:val="nil"/>
            </w:tcBorders>
            <w:shd w:val="clear" w:color="auto" w:fill="auto"/>
          </w:tcPr>
          <w:tbl>
            <w:tblPr>
              <w:tblW w:w="13848" w:type="dxa"/>
              <w:tblCellMar>
                <w:left w:w="0" w:type="dxa"/>
                <w:right w:w="0" w:type="dxa"/>
              </w:tblCellMar>
              <w:tblLook w:val="0000" w:firstRow="0" w:lastRow="0" w:firstColumn="0" w:lastColumn="0" w:noHBand="0" w:noVBand="0"/>
            </w:tblPr>
            <w:tblGrid>
              <w:gridCol w:w="1360"/>
              <w:gridCol w:w="1454"/>
              <w:gridCol w:w="141"/>
              <w:gridCol w:w="1133"/>
              <w:gridCol w:w="1277"/>
              <w:gridCol w:w="141"/>
              <w:gridCol w:w="8342"/>
            </w:tblGrid>
            <w:tr w:rsidR="00FD3CD5" w:rsidTr="00983360">
              <w:tc>
                <w:tcPr>
                  <w:tcW w:w="491" w:type="pct"/>
                  <w:tcBorders>
                    <w:top w:val="single" w:sz="6" w:space="0" w:color="BFBFBF" w:themeColor="background2"/>
                    <w:bottom w:val="single" w:sz="6" w:space="0" w:color="BFBFBF" w:themeColor="background2"/>
                  </w:tcBorders>
                  <w:shd w:val="clear" w:color="auto" w:fill="auto"/>
                </w:tcPr>
                <w:p w:rsidR="006909AC" w:rsidRDefault="006909AC" w:rsidP="000D0F9B">
                  <w:pPr>
                    <w:pStyle w:val="TableColumnHeading"/>
                    <w:jc w:val="left"/>
                  </w:pPr>
                  <w:r>
                    <w:t xml:space="preserve">Legal </w:t>
                  </w:r>
                  <w:r w:rsidR="000D0F9B">
                    <w:t>aid c</w:t>
                  </w:r>
                  <w:r>
                    <w:t>ommission</w:t>
                  </w:r>
                </w:p>
              </w:tc>
              <w:tc>
                <w:tcPr>
                  <w:tcW w:w="525" w:type="pct"/>
                  <w:tcBorders>
                    <w:top w:val="single" w:sz="6" w:space="0" w:color="BFBFBF" w:themeColor="background2"/>
                    <w:bottom w:val="single" w:sz="6" w:space="0" w:color="BFBFBF" w:themeColor="background2"/>
                  </w:tcBorders>
                </w:tcPr>
                <w:p w:rsidR="006909AC" w:rsidRPr="00D63174" w:rsidRDefault="006909AC" w:rsidP="00563575">
                  <w:pPr>
                    <w:pStyle w:val="TableColumnHeading"/>
                    <w:ind w:right="28"/>
                    <w:rPr>
                      <w:b/>
                    </w:rPr>
                  </w:pPr>
                  <w:r>
                    <w:rPr>
                      <w:b/>
                    </w:rPr>
                    <w:t>Threshold of assets, above which a contribution is required (net of allowances)</w:t>
                  </w:r>
                </w:p>
              </w:tc>
              <w:tc>
                <w:tcPr>
                  <w:tcW w:w="51" w:type="pct"/>
                  <w:tcBorders>
                    <w:top w:val="single" w:sz="6" w:space="0" w:color="BFBFBF" w:themeColor="background2"/>
                    <w:bottom w:val="single" w:sz="6" w:space="0" w:color="BFBFBF" w:themeColor="background2"/>
                  </w:tcBorders>
                </w:tcPr>
                <w:p w:rsidR="006909AC" w:rsidRDefault="006909AC" w:rsidP="00563575">
                  <w:pPr>
                    <w:pStyle w:val="TableColumnHeading"/>
                    <w:ind w:right="28"/>
                  </w:pPr>
                </w:p>
              </w:tc>
              <w:tc>
                <w:tcPr>
                  <w:tcW w:w="409" w:type="pct"/>
                  <w:tcBorders>
                    <w:top w:val="single" w:sz="6" w:space="0" w:color="BFBFBF" w:themeColor="background2"/>
                    <w:bottom w:val="single" w:sz="6" w:space="0" w:color="BFBFBF" w:themeColor="background2"/>
                  </w:tcBorders>
                </w:tcPr>
                <w:p w:rsidR="006909AC" w:rsidRPr="000D55DF" w:rsidRDefault="006909AC" w:rsidP="00563575">
                  <w:pPr>
                    <w:pStyle w:val="TableColumnHeading"/>
                    <w:ind w:right="28"/>
                  </w:pPr>
                  <w:r>
                    <w:t>Home equity allowed</w:t>
                  </w:r>
                  <w:r w:rsidRPr="008E77FE">
                    <w:rPr>
                      <w:rStyle w:val="NoteLabel"/>
                    </w:rPr>
                    <w:t>a</w:t>
                  </w:r>
                </w:p>
              </w:tc>
              <w:tc>
                <w:tcPr>
                  <w:tcW w:w="461" w:type="pct"/>
                  <w:tcBorders>
                    <w:top w:val="single" w:sz="6" w:space="0" w:color="BFBFBF" w:themeColor="background2"/>
                    <w:bottom w:val="single" w:sz="6" w:space="0" w:color="BFBFBF" w:themeColor="background2"/>
                  </w:tcBorders>
                </w:tcPr>
                <w:p w:rsidR="006909AC" w:rsidRDefault="006909AC" w:rsidP="00563575">
                  <w:pPr>
                    <w:pStyle w:val="TableColumnHeading"/>
                    <w:ind w:right="28"/>
                  </w:pPr>
                  <w:r>
                    <w:t>Vehicle equity allowed</w:t>
                  </w:r>
                  <w:r>
                    <w:rPr>
                      <w:rStyle w:val="NoteLabel"/>
                    </w:rPr>
                    <w:t>b</w:t>
                  </w:r>
                </w:p>
              </w:tc>
              <w:tc>
                <w:tcPr>
                  <w:tcW w:w="51" w:type="pct"/>
                  <w:tcBorders>
                    <w:top w:val="single" w:sz="6" w:space="0" w:color="BFBFBF" w:themeColor="background2"/>
                    <w:bottom w:val="single" w:sz="6" w:space="0" w:color="BFBFBF" w:themeColor="background2"/>
                  </w:tcBorders>
                </w:tcPr>
                <w:p w:rsidR="006909AC" w:rsidRDefault="006909AC" w:rsidP="00563575">
                  <w:pPr>
                    <w:pStyle w:val="TableColumnHeading"/>
                    <w:ind w:right="28"/>
                  </w:pPr>
                </w:p>
              </w:tc>
              <w:tc>
                <w:tcPr>
                  <w:tcW w:w="3012" w:type="pct"/>
                  <w:tcBorders>
                    <w:top w:val="single" w:sz="6" w:space="0" w:color="BFBFBF" w:themeColor="background2"/>
                    <w:bottom w:val="single" w:sz="6" w:space="0" w:color="BFBFBF" w:themeColor="background2"/>
                  </w:tcBorders>
                  <w:shd w:val="clear" w:color="auto" w:fill="auto"/>
                </w:tcPr>
                <w:p w:rsidR="006909AC" w:rsidRPr="00CC2734" w:rsidRDefault="006909AC" w:rsidP="001E0692">
                  <w:pPr>
                    <w:pStyle w:val="TableColumnHeading"/>
                  </w:pPr>
                  <w:r w:rsidRPr="00CC2734">
                    <w:t>Other allowances, notes</w:t>
                  </w:r>
                </w:p>
              </w:tc>
            </w:tr>
            <w:tr w:rsidR="00FD3CD5" w:rsidTr="00983360">
              <w:tc>
                <w:tcPr>
                  <w:tcW w:w="491" w:type="pct"/>
                  <w:shd w:val="clear" w:color="auto" w:fill="F2F2F2" w:themeFill="background1" w:themeFillShade="F2"/>
                </w:tcPr>
                <w:p w:rsidR="006909AC" w:rsidRDefault="006909AC" w:rsidP="00563575">
                  <w:pPr>
                    <w:pStyle w:val="TableBodyText"/>
                    <w:jc w:val="left"/>
                  </w:pPr>
                  <w:r>
                    <w:t>Legal Aid New South Wales</w:t>
                  </w:r>
                </w:p>
              </w:tc>
              <w:tc>
                <w:tcPr>
                  <w:tcW w:w="525" w:type="pct"/>
                  <w:shd w:val="clear" w:color="auto" w:fill="F2F2F2" w:themeFill="background1" w:themeFillShade="F2"/>
                </w:tcPr>
                <w:p w:rsidR="006909AC" w:rsidRPr="00984DFE" w:rsidRDefault="006909AC" w:rsidP="00563575">
                  <w:pPr>
                    <w:pStyle w:val="TableBodyText"/>
                    <w:ind w:right="28"/>
                  </w:pPr>
                  <w:r w:rsidRPr="00984DFE">
                    <w:t>$100</w:t>
                  </w:r>
                  <w:r>
                    <w:noBreakHyphen/>
                  </w:r>
                  <w:r w:rsidRPr="00984DFE">
                    <w:t>$1</w:t>
                  </w:r>
                  <w:r w:rsidR="003C4012">
                    <w:t> </w:t>
                  </w:r>
                  <w:r w:rsidRPr="00984DFE">
                    <w:t>500 depending on the matter</w:t>
                  </w:r>
                </w:p>
              </w:tc>
              <w:tc>
                <w:tcPr>
                  <w:tcW w:w="51" w:type="pct"/>
                  <w:shd w:val="clear" w:color="auto" w:fill="F2F2F2" w:themeFill="background1" w:themeFillShade="F2"/>
                </w:tcPr>
                <w:p w:rsidR="006909AC" w:rsidRDefault="006909AC" w:rsidP="00563575">
                  <w:pPr>
                    <w:pStyle w:val="TableBodyText"/>
                    <w:ind w:right="28"/>
                  </w:pPr>
                </w:p>
              </w:tc>
              <w:tc>
                <w:tcPr>
                  <w:tcW w:w="409" w:type="pct"/>
                  <w:shd w:val="clear" w:color="auto" w:fill="F2F2F2" w:themeFill="background1" w:themeFillShade="F2"/>
                </w:tcPr>
                <w:p w:rsidR="006909AC" w:rsidRDefault="006909AC" w:rsidP="00563575">
                  <w:pPr>
                    <w:pStyle w:val="TableBodyText"/>
                    <w:ind w:right="28"/>
                  </w:pPr>
                  <w:r>
                    <w:t>$260 550 to $521 000</w:t>
                  </w:r>
                </w:p>
              </w:tc>
              <w:tc>
                <w:tcPr>
                  <w:tcW w:w="461" w:type="pct"/>
                  <w:shd w:val="clear" w:color="auto" w:fill="F2F2F2" w:themeFill="background1" w:themeFillShade="F2"/>
                </w:tcPr>
                <w:p w:rsidR="006909AC" w:rsidRDefault="006909AC" w:rsidP="00563575">
                  <w:pPr>
                    <w:pStyle w:val="TableBodyText"/>
                    <w:ind w:right="28"/>
                  </w:pPr>
                  <w:r>
                    <w:t>$15 100</w:t>
                  </w:r>
                </w:p>
              </w:tc>
              <w:tc>
                <w:tcPr>
                  <w:tcW w:w="51" w:type="pct"/>
                  <w:shd w:val="clear" w:color="auto" w:fill="F2F2F2" w:themeFill="background1" w:themeFillShade="F2"/>
                </w:tcPr>
                <w:p w:rsidR="006909AC" w:rsidRDefault="006909AC" w:rsidP="00563575">
                  <w:pPr>
                    <w:pStyle w:val="TableBodyText"/>
                    <w:ind w:right="28"/>
                  </w:pPr>
                </w:p>
              </w:tc>
              <w:tc>
                <w:tcPr>
                  <w:tcW w:w="3012" w:type="pct"/>
                  <w:shd w:val="clear" w:color="auto" w:fill="F2F2F2" w:themeFill="background1" w:themeFillShade="F2"/>
                </w:tcPr>
                <w:p w:rsidR="006909AC" w:rsidRPr="00CC2734" w:rsidRDefault="006909AC" w:rsidP="007739A0">
                  <w:pPr>
                    <w:pStyle w:val="TableBodyText"/>
                  </w:pPr>
                  <w:r w:rsidRPr="00CC2734">
                    <w:t>Allowance is made for the reasonable value of household furniture, clothing and tools of trade</w:t>
                  </w:r>
                  <w:r w:rsidR="00311765">
                    <w:t>;</w:t>
                  </w:r>
                  <w:r w:rsidR="00311765" w:rsidRPr="00CC2734">
                    <w:t xml:space="preserve"> </w:t>
                  </w:r>
                  <w:r w:rsidR="00311765">
                    <w:t>b</w:t>
                  </w:r>
                  <w:r w:rsidR="00311765" w:rsidRPr="00CC2734">
                    <w:t xml:space="preserve">aby </w:t>
                  </w:r>
                  <w:r w:rsidRPr="00CC2734">
                    <w:t>bonus and NDIS are exempt, as are lump sum compensation payments if the applicant and family members are not working</w:t>
                  </w:r>
                  <w:r w:rsidR="007739A0">
                    <w:t>;</w:t>
                  </w:r>
                  <w:r w:rsidR="007739A0" w:rsidRPr="00CC2734">
                    <w:t xml:space="preserve"> </w:t>
                  </w:r>
                  <w:r w:rsidR="007739A0">
                    <w:t>a</w:t>
                  </w:r>
                  <w:r w:rsidR="007739A0" w:rsidRPr="00CC2734">
                    <w:t xml:space="preserve">llowance </w:t>
                  </w:r>
                  <w:r w:rsidRPr="00CC2734">
                    <w:t>of up to $287 750 is allowed for farm or business equity</w:t>
                  </w:r>
                </w:p>
              </w:tc>
            </w:tr>
            <w:tr w:rsidR="00FD3CD5" w:rsidTr="00983360">
              <w:tc>
                <w:tcPr>
                  <w:tcW w:w="491" w:type="pct"/>
                </w:tcPr>
                <w:p w:rsidR="006909AC" w:rsidRDefault="006909AC" w:rsidP="00563575">
                  <w:pPr>
                    <w:pStyle w:val="TableBodyText"/>
                    <w:jc w:val="left"/>
                  </w:pPr>
                  <w:r>
                    <w:t>Victoria Legal Aid</w:t>
                  </w:r>
                </w:p>
              </w:tc>
              <w:tc>
                <w:tcPr>
                  <w:tcW w:w="525" w:type="pct"/>
                </w:tcPr>
                <w:p w:rsidR="006909AC" w:rsidRPr="00984DFE" w:rsidRDefault="006909AC" w:rsidP="00563575">
                  <w:pPr>
                    <w:pStyle w:val="TableBodyText"/>
                    <w:ind w:right="28"/>
                  </w:pPr>
                  <w:r w:rsidRPr="00984DFE">
                    <w:t>$865</w:t>
                  </w:r>
                </w:p>
              </w:tc>
              <w:tc>
                <w:tcPr>
                  <w:tcW w:w="51" w:type="pct"/>
                </w:tcPr>
                <w:p w:rsidR="006909AC" w:rsidRDefault="006909AC" w:rsidP="00563575">
                  <w:pPr>
                    <w:pStyle w:val="TableBodyText"/>
                    <w:ind w:right="28"/>
                  </w:pPr>
                </w:p>
              </w:tc>
              <w:tc>
                <w:tcPr>
                  <w:tcW w:w="409" w:type="pct"/>
                </w:tcPr>
                <w:p w:rsidR="006909AC" w:rsidRDefault="006909AC" w:rsidP="00563575">
                  <w:pPr>
                    <w:pStyle w:val="TableBodyText"/>
                    <w:ind w:right="28"/>
                  </w:pPr>
                  <w:r>
                    <w:t>$300 000</w:t>
                  </w:r>
                </w:p>
              </w:tc>
              <w:tc>
                <w:tcPr>
                  <w:tcW w:w="461" w:type="pct"/>
                </w:tcPr>
                <w:p w:rsidR="006909AC" w:rsidRDefault="006909AC" w:rsidP="00563575">
                  <w:pPr>
                    <w:pStyle w:val="TableBodyText"/>
                    <w:ind w:right="28"/>
                  </w:pPr>
                  <w:r>
                    <w:t>$11 280</w:t>
                  </w:r>
                </w:p>
              </w:tc>
              <w:tc>
                <w:tcPr>
                  <w:tcW w:w="51" w:type="pct"/>
                </w:tcPr>
                <w:p w:rsidR="006909AC" w:rsidRDefault="006909AC" w:rsidP="00563575">
                  <w:pPr>
                    <w:pStyle w:val="TableBodyText"/>
                    <w:ind w:right="28"/>
                  </w:pPr>
                </w:p>
              </w:tc>
              <w:tc>
                <w:tcPr>
                  <w:tcW w:w="3012" w:type="pct"/>
                </w:tcPr>
                <w:p w:rsidR="006909AC" w:rsidRPr="00CC2734" w:rsidRDefault="006909AC" w:rsidP="00C504D2">
                  <w:pPr>
                    <w:pStyle w:val="TableBodyText"/>
                  </w:pPr>
                  <w:r w:rsidRPr="00CC2734">
                    <w:t>Household furniture, clothing and tools of trade are excluded from assessable assets</w:t>
                  </w:r>
                  <w:r w:rsidR="00C504D2">
                    <w:t>;</w:t>
                  </w:r>
                  <w:r w:rsidR="00C504D2" w:rsidRPr="00CC2734">
                    <w:t xml:space="preserve"> </w:t>
                  </w:r>
                  <w:r w:rsidR="00C504D2">
                    <w:t>a</w:t>
                  </w:r>
                  <w:r w:rsidR="00C504D2" w:rsidRPr="00CC2734">
                    <w:t xml:space="preserve">llowance </w:t>
                  </w:r>
                  <w:r w:rsidRPr="00CC2734">
                    <w:t>for farm/business equity between $161 500 and $336 500 depending on number of dependents</w:t>
                  </w:r>
                  <w:r w:rsidR="00C504D2">
                    <w:t>;</w:t>
                  </w:r>
                  <w:r w:rsidR="00C504D2" w:rsidRPr="00CC2734">
                    <w:t xml:space="preserve"> </w:t>
                  </w:r>
                  <w:r w:rsidRPr="00CC2734">
                    <w:t>lump sum payments are excluded unless they affect the receipt of a Commonwealth benefit</w:t>
                  </w:r>
                </w:p>
              </w:tc>
            </w:tr>
            <w:tr w:rsidR="00FD3CD5" w:rsidTr="00983360">
              <w:tc>
                <w:tcPr>
                  <w:tcW w:w="491" w:type="pct"/>
                  <w:shd w:val="clear" w:color="auto" w:fill="F2F2F2" w:themeFill="background1" w:themeFillShade="F2"/>
                </w:tcPr>
                <w:p w:rsidR="006909AC" w:rsidRDefault="006909AC" w:rsidP="00C53E0E">
                  <w:pPr>
                    <w:pStyle w:val="TableBodyText"/>
                    <w:jc w:val="left"/>
                  </w:pPr>
                  <w:r>
                    <w:t xml:space="preserve">Legal Aid </w:t>
                  </w:r>
                  <w:r w:rsidR="00C53E0E">
                    <w:t>Qld</w:t>
                  </w:r>
                </w:p>
              </w:tc>
              <w:tc>
                <w:tcPr>
                  <w:tcW w:w="525" w:type="pct"/>
                  <w:shd w:val="clear" w:color="auto" w:fill="F2F2F2" w:themeFill="background1" w:themeFillShade="F2"/>
                </w:tcPr>
                <w:p w:rsidR="006909AC" w:rsidRPr="00984DFE" w:rsidRDefault="006909AC" w:rsidP="00563575">
                  <w:pPr>
                    <w:pStyle w:val="TableBodyText"/>
                    <w:ind w:right="28"/>
                  </w:pPr>
                  <w:r w:rsidRPr="00984DFE">
                    <w:t>$930</w:t>
                  </w:r>
                  <w:r>
                    <w:noBreakHyphen/>
                  </w:r>
                  <w:r w:rsidRPr="00984DFE">
                    <w:t>$1</w:t>
                  </w:r>
                  <w:r w:rsidR="003C4012">
                    <w:t> </w:t>
                  </w:r>
                  <w:r w:rsidRPr="00984DFE">
                    <w:t>880</w:t>
                  </w:r>
                  <w:r w:rsidRPr="00984DFE">
                    <w:rPr>
                      <w:rStyle w:val="NoteLabel"/>
                    </w:rPr>
                    <w:t>c</w:t>
                  </w:r>
                  <w:r w:rsidRPr="00984DFE">
                    <w:t xml:space="preserve"> </w:t>
                  </w:r>
                </w:p>
              </w:tc>
              <w:tc>
                <w:tcPr>
                  <w:tcW w:w="51" w:type="pct"/>
                  <w:shd w:val="clear" w:color="auto" w:fill="F2F2F2" w:themeFill="background1" w:themeFillShade="F2"/>
                </w:tcPr>
                <w:p w:rsidR="006909AC" w:rsidRDefault="006909AC" w:rsidP="00563575">
                  <w:pPr>
                    <w:pStyle w:val="TableBodyText"/>
                    <w:ind w:right="28"/>
                  </w:pPr>
                </w:p>
              </w:tc>
              <w:tc>
                <w:tcPr>
                  <w:tcW w:w="409" w:type="pct"/>
                  <w:shd w:val="clear" w:color="auto" w:fill="F2F2F2" w:themeFill="background1" w:themeFillShade="F2"/>
                </w:tcPr>
                <w:p w:rsidR="006909AC" w:rsidRDefault="006909AC" w:rsidP="00563575">
                  <w:pPr>
                    <w:pStyle w:val="TableBodyText"/>
                    <w:ind w:right="28"/>
                  </w:pPr>
                  <w:r>
                    <w:t>$</w:t>
                  </w:r>
                  <w:r w:rsidRPr="006C6BE3">
                    <w:t>146</w:t>
                  </w:r>
                  <w:r>
                    <w:t> </w:t>
                  </w:r>
                  <w:r w:rsidRPr="006C6BE3">
                    <w:t>000</w:t>
                  </w:r>
                  <w:r>
                    <w:rPr>
                      <w:rStyle w:val="NoteLabel"/>
                    </w:rPr>
                    <w:t>d</w:t>
                  </w:r>
                </w:p>
              </w:tc>
              <w:tc>
                <w:tcPr>
                  <w:tcW w:w="461" w:type="pct"/>
                  <w:shd w:val="clear" w:color="auto" w:fill="F2F2F2" w:themeFill="background1" w:themeFillShade="F2"/>
                </w:tcPr>
                <w:p w:rsidR="006909AC" w:rsidRDefault="006909AC" w:rsidP="00563575">
                  <w:pPr>
                    <w:pStyle w:val="TableBodyText"/>
                    <w:ind w:right="28"/>
                  </w:pPr>
                  <w:r>
                    <w:t>$16 000</w:t>
                  </w:r>
                </w:p>
              </w:tc>
              <w:tc>
                <w:tcPr>
                  <w:tcW w:w="51" w:type="pct"/>
                  <w:shd w:val="clear" w:color="auto" w:fill="F2F2F2" w:themeFill="background1" w:themeFillShade="F2"/>
                </w:tcPr>
                <w:p w:rsidR="006909AC" w:rsidRDefault="006909AC" w:rsidP="00563575">
                  <w:pPr>
                    <w:pStyle w:val="TableBodyText"/>
                    <w:ind w:right="28"/>
                  </w:pPr>
                </w:p>
              </w:tc>
              <w:tc>
                <w:tcPr>
                  <w:tcW w:w="3012" w:type="pct"/>
                  <w:shd w:val="clear" w:color="auto" w:fill="F2F2F2" w:themeFill="background1" w:themeFillShade="F2"/>
                </w:tcPr>
                <w:p w:rsidR="006909AC" w:rsidRPr="00CC2734" w:rsidRDefault="006909AC" w:rsidP="006909AC">
                  <w:pPr>
                    <w:pStyle w:val="TableBodyText"/>
                  </w:pPr>
                  <w:r w:rsidRPr="00CC2734">
                    <w:t xml:space="preserve">Household furniture and tools of trade are exempt unless they are of ‘exceptional value’ </w:t>
                  </w:r>
                </w:p>
              </w:tc>
            </w:tr>
            <w:tr w:rsidR="00FD3CD5" w:rsidTr="00983360">
              <w:tc>
                <w:tcPr>
                  <w:tcW w:w="491" w:type="pct"/>
                </w:tcPr>
                <w:p w:rsidR="006909AC" w:rsidRDefault="006909AC" w:rsidP="00563575">
                  <w:pPr>
                    <w:pStyle w:val="TableBodyText"/>
                    <w:jc w:val="left"/>
                  </w:pPr>
                  <w:r>
                    <w:t>Legal Services Commission of South Australia</w:t>
                  </w:r>
                </w:p>
              </w:tc>
              <w:tc>
                <w:tcPr>
                  <w:tcW w:w="525" w:type="pct"/>
                </w:tcPr>
                <w:p w:rsidR="006909AC" w:rsidRPr="00984DFE" w:rsidRDefault="006909AC" w:rsidP="00563575">
                  <w:pPr>
                    <w:pStyle w:val="TableBodyText"/>
                    <w:ind w:right="28"/>
                  </w:pPr>
                  <w:r>
                    <w:t>See note</w:t>
                  </w:r>
                  <w:r>
                    <w:rPr>
                      <w:rStyle w:val="NoteLabel"/>
                    </w:rPr>
                    <w:t>e</w:t>
                  </w:r>
                </w:p>
              </w:tc>
              <w:tc>
                <w:tcPr>
                  <w:tcW w:w="51" w:type="pct"/>
                </w:tcPr>
                <w:p w:rsidR="006909AC" w:rsidRDefault="006909AC" w:rsidP="00563575">
                  <w:pPr>
                    <w:pStyle w:val="TableBodyText"/>
                    <w:ind w:right="28"/>
                  </w:pPr>
                </w:p>
              </w:tc>
              <w:tc>
                <w:tcPr>
                  <w:tcW w:w="409" w:type="pct"/>
                </w:tcPr>
                <w:p w:rsidR="006909AC" w:rsidRDefault="006909AC" w:rsidP="00563575">
                  <w:pPr>
                    <w:pStyle w:val="TableBodyText"/>
                    <w:ind w:right="28"/>
                  </w:pPr>
                  <w:r>
                    <w:t>See note</w:t>
                  </w:r>
                  <w:r>
                    <w:rPr>
                      <w:rStyle w:val="NoteLabel"/>
                    </w:rPr>
                    <w:t>f</w:t>
                  </w:r>
                </w:p>
              </w:tc>
              <w:tc>
                <w:tcPr>
                  <w:tcW w:w="461" w:type="pct"/>
                </w:tcPr>
                <w:p w:rsidR="006909AC" w:rsidRDefault="006909AC" w:rsidP="00563575">
                  <w:pPr>
                    <w:pStyle w:val="TableBodyText"/>
                    <w:ind w:right="28"/>
                  </w:pPr>
                  <w:r>
                    <w:t>See note</w:t>
                  </w:r>
                  <w:r>
                    <w:rPr>
                      <w:rStyle w:val="NoteLabel"/>
                    </w:rPr>
                    <w:t>g</w:t>
                  </w:r>
                </w:p>
              </w:tc>
              <w:tc>
                <w:tcPr>
                  <w:tcW w:w="51" w:type="pct"/>
                </w:tcPr>
                <w:p w:rsidR="006909AC" w:rsidRDefault="006909AC" w:rsidP="00563575">
                  <w:pPr>
                    <w:pStyle w:val="TableBodyText"/>
                    <w:ind w:right="28"/>
                  </w:pPr>
                </w:p>
              </w:tc>
              <w:tc>
                <w:tcPr>
                  <w:tcW w:w="3012" w:type="pct"/>
                </w:tcPr>
                <w:p w:rsidR="006909AC" w:rsidRPr="00CC2734" w:rsidRDefault="006909AC" w:rsidP="006909AC">
                  <w:pPr>
                    <w:pStyle w:val="TableBodyText"/>
                  </w:pPr>
                  <w:r w:rsidRPr="00CC2734">
                    <w:t xml:space="preserve">Household furniture, clothing, and tools of trade; equity in a farm or business up to assets limit under various Centrelink benefit tests </w:t>
                  </w:r>
                </w:p>
              </w:tc>
            </w:tr>
            <w:tr w:rsidR="00FD3CD5" w:rsidTr="00983360">
              <w:tc>
                <w:tcPr>
                  <w:tcW w:w="491" w:type="pct"/>
                  <w:shd w:val="clear" w:color="auto" w:fill="F2F2F2" w:themeFill="background1" w:themeFillShade="F2"/>
                </w:tcPr>
                <w:p w:rsidR="006909AC" w:rsidRDefault="006909AC" w:rsidP="005F1EC2">
                  <w:pPr>
                    <w:pStyle w:val="TableBodyText"/>
                    <w:jc w:val="left"/>
                  </w:pPr>
                  <w:r>
                    <w:t xml:space="preserve">Legal Aid </w:t>
                  </w:r>
                  <w:r w:rsidR="005F1EC2">
                    <w:t>WA</w:t>
                  </w:r>
                </w:p>
              </w:tc>
              <w:tc>
                <w:tcPr>
                  <w:tcW w:w="525" w:type="pct"/>
                  <w:shd w:val="clear" w:color="auto" w:fill="F2F2F2" w:themeFill="background1" w:themeFillShade="F2"/>
                </w:tcPr>
                <w:p w:rsidR="006909AC" w:rsidRPr="00984DFE" w:rsidRDefault="006909AC" w:rsidP="00563575">
                  <w:pPr>
                    <w:pStyle w:val="TableBodyText"/>
                    <w:ind w:right="28"/>
                  </w:pPr>
                  <w:r w:rsidRPr="00984DFE">
                    <w:t>$950</w:t>
                  </w:r>
                  <w:r>
                    <w:noBreakHyphen/>
                  </w:r>
                  <w:r w:rsidRPr="00984DFE">
                    <w:t>$1</w:t>
                  </w:r>
                  <w:r w:rsidR="003C4012">
                    <w:t> </w:t>
                  </w:r>
                  <w:r w:rsidRPr="00984DFE">
                    <w:t>900</w:t>
                  </w:r>
                  <w:r w:rsidRPr="00984DFE">
                    <w:rPr>
                      <w:rStyle w:val="NoteLabel"/>
                    </w:rPr>
                    <w:t>c</w:t>
                  </w:r>
                  <w:r w:rsidRPr="00984DFE">
                    <w:t xml:space="preserve"> </w:t>
                  </w:r>
                </w:p>
              </w:tc>
              <w:tc>
                <w:tcPr>
                  <w:tcW w:w="51" w:type="pct"/>
                  <w:shd w:val="clear" w:color="auto" w:fill="F2F2F2" w:themeFill="background1" w:themeFillShade="F2"/>
                </w:tcPr>
                <w:p w:rsidR="006909AC" w:rsidRDefault="006909AC" w:rsidP="00563575">
                  <w:pPr>
                    <w:pStyle w:val="TableBodyText"/>
                    <w:ind w:right="28"/>
                  </w:pPr>
                </w:p>
              </w:tc>
              <w:tc>
                <w:tcPr>
                  <w:tcW w:w="409" w:type="pct"/>
                  <w:shd w:val="clear" w:color="auto" w:fill="F2F2F2" w:themeFill="background1" w:themeFillShade="F2"/>
                </w:tcPr>
                <w:p w:rsidR="006909AC" w:rsidRDefault="006909AC" w:rsidP="00563575">
                  <w:pPr>
                    <w:pStyle w:val="TableBodyText"/>
                    <w:ind w:right="28"/>
                  </w:pPr>
                  <w:r>
                    <w:t>$299 614 to $355 051</w:t>
                  </w:r>
                </w:p>
              </w:tc>
              <w:tc>
                <w:tcPr>
                  <w:tcW w:w="461" w:type="pct"/>
                  <w:shd w:val="clear" w:color="auto" w:fill="F2F2F2" w:themeFill="background1" w:themeFillShade="F2"/>
                </w:tcPr>
                <w:p w:rsidR="006909AC" w:rsidRDefault="006909AC" w:rsidP="00563575">
                  <w:pPr>
                    <w:pStyle w:val="TableBodyText"/>
                    <w:ind w:right="28"/>
                  </w:pPr>
                  <w:r>
                    <w:t>$14 600</w:t>
                  </w:r>
                </w:p>
              </w:tc>
              <w:tc>
                <w:tcPr>
                  <w:tcW w:w="51" w:type="pct"/>
                  <w:shd w:val="clear" w:color="auto" w:fill="F2F2F2" w:themeFill="background1" w:themeFillShade="F2"/>
                </w:tcPr>
                <w:p w:rsidR="006909AC" w:rsidRDefault="006909AC" w:rsidP="00563575">
                  <w:pPr>
                    <w:pStyle w:val="TableBodyText"/>
                    <w:ind w:right="28"/>
                  </w:pPr>
                </w:p>
              </w:tc>
              <w:tc>
                <w:tcPr>
                  <w:tcW w:w="3012" w:type="pct"/>
                  <w:shd w:val="clear" w:color="auto" w:fill="F2F2F2" w:themeFill="background1" w:themeFillShade="F2"/>
                </w:tcPr>
                <w:p w:rsidR="006909AC" w:rsidRPr="00CC2734" w:rsidRDefault="006909AC" w:rsidP="006909AC">
                  <w:pPr>
                    <w:pStyle w:val="TableBodyText"/>
                  </w:pPr>
                  <w:r w:rsidRPr="00CC2734">
                    <w:t xml:space="preserve">Household furniture, clothing, and tools of trade; equity in a farm or business between $161 500 and $346 000 depending on home ownership and partner status. </w:t>
                  </w:r>
                </w:p>
              </w:tc>
            </w:tr>
            <w:tr w:rsidR="00FD3CD5" w:rsidTr="00983360">
              <w:tc>
                <w:tcPr>
                  <w:tcW w:w="491" w:type="pct"/>
                </w:tcPr>
                <w:p w:rsidR="006909AC" w:rsidRDefault="006909AC" w:rsidP="00563575">
                  <w:pPr>
                    <w:pStyle w:val="TableBodyText"/>
                    <w:jc w:val="left"/>
                  </w:pPr>
                  <w:r>
                    <w:t>Legal Aid Commission of Tasmania</w:t>
                  </w:r>
                </w:p>
              </w:tc>
              <w:tc>
                <w:tcPr>
                  <w:tcW w:w="525" w:type="pct"/>
                </w:tcPr>
                <w:p w:rsidR="006909AC" w:rsidRPr="00984DFE" w:rsidRDefault="006909AC" w:rsidP="00563575">
                  <w:pPr>
                    <w:pStyle w:val="TableBodyText"/>
                    <w:ind w:right="28"/>
                  </w:pPr>
                  <w:r w:rsidRPr="00984DFE">
                    <w:t>$740</w:t>
                  </w:r>
                  <w:r>
                    <w:noBreakHyphen/>
                  </w:r>
                  <w:r w:rsidRPr="00984DFE">
                    <w:t>$1</w:t>
                  </w:r>
                  <w:r w:rsidR="003C4012">
                    <w:t> </w:t>
                  </w:r>
                  <w:r w:rsidRPr="00984DFE">
                    <w:t>490</w:t>
                  </w:r>
                  <w:r w:rsidRPr="00984DFE">
                    <w:rPr>
                      <w:rStyle w:val="NoteLabel"/>
                    </w:rPr>
                    <w:t>c</w:t>
                  </w:r>
                </w:p>
              </w:tc>
              <w:tc>
                <w:tcPr>
                  <w:tcW w:w="51" w:type="pct"/>
                </w:tcPr>
                <w:p w:rsidR="006909AC" w:rsidRDefault="006909AC" w:rsidP="00563575">
                  <w:pPr>
                    <w:pStyle w:val="TableBodyText"/>
                    <w:ind w:right="28"/>
                  </w:pPr>
                </w:p>
              </w:tc>
              <w:tc>
                <w:tcPr>
                  <w:tcW w:w="409" w:type="pct"/>
                </w:tcPr>
                <w:p w:rsidR="006909AC" w:rsidRDefault="006909AC" w:rsidP="00563575">
                  <w:pPr>
                    <w:pStyle w:val="TableBodyText"/>
                    <w:ind w:right="28"/>
                  </w:pPr>
                  <w:r>
                    <w:t>$169 000 to $215 750</w:t>
                  </w:r>
                </w:p>
              </w:tc>
              <w:tc>
                <w:tcPr>
                  <w:tcW w:w="461" w:type="pct"/>
                </w:tcPr>
                <w:p w:rsidR="006909AC" w:rsidRDefault="006909AC" w:rsidP="00563575">
                  <w:pPr>
                    <w:pStyle w:val="TableBodyText"/>
                    <w:ind w:right="28"/>
                  </w:pPr>
                  <w:r>
                    <w:t>$11 500</w:t>
                  </w:r>
                </w:p>
              </w:tc>
              <w:tc>
                <w:tcPr>
                  <w:tcW w:w="51" w:type="pct"/>
                </w:tcPr>
                <w:p w:rsidR="006909AC" w:rsidRDefault="006909AC" w:rsidP="00563575">
                  <w:pPr>
                    <w:pStyle w:val="TableBodyText"/>
                    <w:ind w:right="28"/>
                  </w:pPr>
                </w:p>
              </w:tc>
              <w:tc>
                <w:tcPr>
                  <w:tcW w:w="3012" w:type="pct"/>
                </w:tcPr>
                <w:p w:rsidR="006909AC" w:rsidRPr="00CC2734" w:rsidRDefault="006909AC" w:rsidP="006909AC">
                  <w:pPr>
                    <w:pStyle w:val="TableBodyText"/>
                  </w:pPr>
                  <w:r w:rsidRPr="00CC2734">
                    <w:t>Equity in a farm or business between $118 000 and $251 000 depending on home ownership and partner status</w:t>
                  </w:r>
                </w:p>
              </w:tc>
            </w:tr>
            <w:tr w:rsidR="00FD3CD5" w:rsidTr="00983360">
              <w:tc>
                <w:tcPr>
                  <w:tcW w:w="491" w:type="pct"/>
                  <w:shd w:val="clear" w:color="auto" w:fill="F2F2F2" w:themeFill="background1" w:themeFillShade="F2"/>
                </w:tcPr>
                <w:p w:rsidR="006909AC" w:rsidRDefault="006909AC" w:rsidP="00563575">
                  <w:pPr>
                    <w:pStyle w:val="TableBodyText"/>
                    <w:jc w:val="left"/>
                  </w:pPr>
                  <w:r>
                    <w:t>NT Legal Aid Commission</w:t>
                  </w:r>
                </w:p>
              </w:tc>
              <w:tc>
                <w:tcPr>
                  <w:tcW w:w="525" w:type="pct"/>
                  <w:shd w:val="clear" w:color="auto" w:fill="F2F2F2" w:themeFill="background1" w:themeFillShade="F2"/>
                </w:tcPr>
                <w:p w:rsidR="006909AC" w:rsidRPr="00984DFE" w:rsidRDefault="006909AC" w:rsidP="00563575">
                  <w:pPr>
                    <w:pStyle w:val="TableBodyText"/>
                    <w:ind w:right="28"/>
                  </w:pPr>
                  <w:r w:rsidRPr="00984DFE">
                    <w:t>$950</w:t>
                  </w:r>
                  <w:r>
                    <w:noBreakHyphen/>
                  </w:r>
                  <w:r w:rsidRPr="00984DFE">
                    <w:t>$1</w:t>
                  </w:r>
                  <w:r w:rsidR="003C4012">
                    <w:t> </w:t>
                  </w:r>
                  <w:r w:rsidRPr="00984DFE">
                    <w:t>950</w:t>
                  </w:r>
                  <w:r w:rsidRPr="00984DFE">
                    <w:rPr>
                      <w:rStyle w:val="NoteLabel"/>
                    </w:rPr>
                    <w:t>c</w:t>
                  </w:r>
                </w:p>
              </w:tc>
              <w:tc>
                <w:tcPr>
                  <w:tcW w:w="51" w:type="pct"/>
                  <w:shd w:val="clear" w:color="auto" w:fill="F2F2F2" w:themeFill="background1" w:themeFillShade="F2"/>
                </w:tcPr>
                <w:p w:rsidR="006909AC" w:rsidRDefault="006909AC" w:rsidP="00563575">
                  <w:pPr>
                    <w:pStyle w:val="TableBodyText"/>
                    <w:ind w:right="28"/>
                  </w:pPr>
                </w:p>
              </w:tc>
              <w:tc>
                <w:tcPr>
                  <w:tcW w:w="409" w:type="pct"/>
                  <w:shd w:val="clear" w:color="auto" w:fill="F2F2F2" w:themeFill="background1" w:themeFillShade="F2"/>
                </w:tcPr>
                <w:p w:rsidR="006909AC" w:rsidRDefault="006909AC" w:rsidP="00563575">
                  <w:pPr>
                    <w:pStyle w:val="TableBodyText"/>
                    <w:ind w:right="28"/>
                  </w:pPr>
                  <w:r>
                    <w:t>$310 000</w:t>
                  </w:r>
                </w:p>
              </w:tc>
              <w:tc>
                <w:tcPr>
                  <w:tcW w:w="461" w:type="pct"/>
                  <w:shd w:val="clear" w:color="auto" w:fill="F2F2F2" w:themeFill="background1" w:themeFillShade="F2"/>
                </w:tcPr>
                <w:p w:rsidR="006909AC" w:rsidRDefault="006909AC" w:rsidP="00563575">
                  <w:pPr>
                    <w:pStyle w:val="TableBodyText"/>
                    <w:ind w:right="28"/>
                  </w:pPr>
                  <w:r>
                    <w:t xml:space="preserve">$13 500 </w:t>
                  </w:r>
                </w:p>
              </w:tc>
              <w:tc>
                <w:tcPr>
                  <w:tcW w:w="51" w:type="pct"/>
                  <w:shd w:val="clear" w:color="auto" w:fill="F2F2F2" w:themeFill="background1" w:themeFillShade="F2"/>
                </w:tcPr>
                <w:p w:rsidR="006909AC" w:rsidRDefault="006909AC" w:rsidP="00563575">
                  <w:pPr>
                    <w:pStyle w:val="TableBodyText"/>
                    <w:ind w:right="28"/>
                  </w:pPr>
                </w:p>
              </w:tc>
              <w:tc>
                <w:tcPr>
                  <w:tcW w:w="3012" w:type="pct"/>
                  <w:shd w:val="clear" w:color="auto" w:fill="F2F2F2" w:themeFill="background1" w:themeFillShade="F2"/>
                </w:tcPr>
                <w:p w:rsidR="006909AC" w:rsidRPr="00CC2734" w:rsidRDefault="006909AC" w:rsidP="006909AC">
                  <w:pPr>
                    <w:pStyle w:val="TableBodyText"/>
                  </w:pPr>
                  <w:r w:rsidRPr="00CC2734">
                    <w:t xml:space="preserve">Household furniture, clothing, and tools of trade; some lump sum payments if the applicant and family members are not working </w:t>
                  </w:r>
                </w:p>
              </w:tc>
            </w:tr>
            <w:tr w:rsidR="00FD3CD5" w:rsidTr="00983360">
              <w:tc>
                <w:tcPr>
                  <w:tcW w:w="491" w:type="pct"/>
                </w:tcPr>
                <w:p w:rsidR="006909AC" w:rsidRDefault="006909AC" w:rsidP="00563575">
                  <w:pPr>
                    <w:pStyle w:val="TableBodyText"/>
                    <w:jc w:val="left"/>
                  </w:pPr>
                  <w:r>
                    <w:t>ACT Legal Aid Commission</w:t>
                  </w:r>
                </w:p>
              </w:tc>
              <w:tc>
                <w:tcPr>
                  <w:tcW w:w="525" w:type="pct"/>
                </w:tcPr>
                <w:p w:rsidR="006909AC" w:rsidRDefault="006909AC" w:rsidP="00563575">
                  <w:pPr>
                    <w:pStyle w:val="TableBodyText"/>
                    <w:ind w:right="28"/>
                  </w:pPr>
                  <w:r w:rsidRPr="00984DFE">
                    <w:t>$</w:t>
                  </w:r>
                  <w:r>
                    <w:t>1</w:t>
                  </w:r>
                  <w:r w:rsidR="003C4012">
                    <w:t> </w:t>
                  </w:r>
                  <w:r>
                    <w:t>100</w:t>
                  </w:r>
                  <w:r>
                    <w:noBreakHyphen/>
                  </w:r>
                  <w:r w:rsidRPr="00984DFE">
                    <w:t>$</w:t>
                  </w:r>
                  <w:r>
                    <w:t>2</w:t>
                  </w:r>
                  <w:r w:rsidR="003C4012">
                    <w:t> </w:t>
                  </w:r>
                  <w:r>
                    <w:t>200</w:t>
                  </w:r>
                  <w:r w:rsidRPr="00984DFE">
                    <w:rPr>
                      <w:rStyle w:val="NoteLabel"/>
                    </w:rPr>
                    <w:t>c</w:t>
                  </w:r>
                </w:p>
              </w:tc>
              <w:tc>
                <w:tcPr>
                  <w:tcW w:w="51" w:type="pct"/>
                </w:tcPr>
                <w:p w:rsidR="006909AC" w:rsidRDefault="006909AC" w:rsidP="00563575">
                  <w:pPr>
                    <w:pStyle w:val="TableBodyText"/>
                    <w:ind w:right="28"/>
                  </w:pPr>
                </w:p>
              </w:tc>
              <w:tc>
                <w:tcPr>
                  <w:tcW w:w="409" w:type="pct"/>
                </w:tcPr>
                <w:p w:rsidR="006909AC" w:rsidRDefault="006909AC" w:rsidP="00563575">
                  <w:pPr>
                    <w:pStyle w:val="TableBodyText"/>
                    <w:ind w:right="28"/>
                  </w:pPr>
                  <w:r>
                    <w:t>$507 250</w:t>
                  </w:r>
                  <w:r>
                    <w:rPr>
                      <w:rStyle w:val="NoteLabel"/>
                    </w:rPr>
                    <w:t>h</w:t>
                  </w:r>
                </w:p>
              </w:tc>
              <w:tc>
                <w:tcPr>
                  <w:tcW w:w="461" w:type="pct"/>
                </w:tcPr>
                <w:p w:rsidR="006909AC" w:rsidRDefault="006909AC" w:rsidP="00563575">
                  <w:pPr>
                    <w:pStyle w:val="TableBodyText"/>
                    <w:ind w:right="28"/>
                  </w:pPr>
                  <w:r>
                    <w:t>$16 315</w:t>
                  </w:r>
                  <w:r>
                    <w:rPr>
                      <w:rStyle w:val="NoteLabel"/>
                    </w:rPr>
                    <w:t>g</w:t>
                  </w:r>
                </w:p>
              </w:tc>
              <w:tc>
                <w:tcPr>
                  <w:tcW w:w="51" w:type="pct"/>
                </w:tcPr>
                <w:p w:rsidR="006909AC" w:rsidRDefault="006909AC" w:rsidP="00563575">
                  <w:pPr>
                    <w:pStyle w:val="TableBodyText"/>
                    <w:ind w:right="28"/>
                  </w:pPr>
                </w:p>
              </w:tc>
              <w:tc>
                <w:tcPr>
                  <w:tcW w:w="3012" w:type="pct"/>
                </w:tcPr>
                <w:p w:rsidR="006909AC" w:rsidRDefault="006909AC" w:rsidP="00CB060E">
                  <w:pPr>
                    <w:pStyle w:val="TableBodyText"/>
                  </w:pPr>
                  <w:r w:rsidRPr="00CC2734">
                    <w:t>Household furniture and effects that are not of exceptionally high value, clothing, tools of trade, lump sum compensation payments if the applicant and dependants are not working, lump sum child or spouse maintenance where the applicant is receiving a pension/benefit at a</w:t>
                  </w:r>
                  <w:r w:rsidR="003C4012">
                    <w:t xml:space="preserve"> </w:t>
                  </w:r>
                  <w:r w:rsidRPr="00CC2734">
                    <w:t>reduced rate. Between $196 750 and $421</w:t>
                  </w:r>
                  <w:r w:rsidR="00CB060E">
                    <w:t> </w:t>
                  </w:r>
                  <w:r w:rsidRPr="00CC2734">
                    <w:t>500 in farm or business equity depending on home ownership and partner status</w:t>
                  </w:r>
                </w:p>
              </w:tc>
            </w:tr>
          </w:tbl>
          <w:p w:rsidR="007D6FE1" w:rsidRDefault="007D6FE1" w:rsidP="00563575">
            <w:pPr>
              <w:pStyle w:val="Box"/>
            </w:pPr>
          </w:p>
        </w:tc>
      </w:tr>
      <w:tr w:rsidR="00955F30" w:rsidTr="00B34E2A">
        <w:trPr>
          <w:cantSplit/>
        </w:trPr>
        <w:tc>
          <w:tcPr>
            <w:tcW w:w="14132" w:type="dxa"/>
            <w:tcBorders>
              <w:top w:val="single" w:sz="4" w:space="0" w:color="BFBFBF" w:themeColor="background2"/>
              <w:left w:val="nil"/>
              <w:bottom w:val="nil"/>
              <w:right w:val="nil"/>
            </w:tcBorders>
            <w:shd w:val="clear" w:color="auto" w:fill="auto"/>
          </w:tcPr>
          <w:p w:rsidR="00955F30" w:rsidRDefault="00955F30" w:rsidP="00A0524A">
            <w:pPr>
              <w:pStyle w:val="Note"/>
              <w:rPr>
                <w:i/>
              </w:rPr>
            </w:pPr>
            <w:proofErr w:type="gramStart"/>
            <w:r w:rsidRPr="008E77FE">
              <w:rPr>
                <w:rStyle w:val="NoteLabel"/>
              </w:rPr>
              <w:t>a</w:t>
            </w:r>
            <w:proofErr w:type="gramEnd"/>
            <w:r>
              <w:t xml:space="preserve"> Typically, these allowances are made for the principal home of the person applying for assistance, with any other real estate being counted against the net assessable assets allowed. Those aged over 60 years are often provided with more leeway in several jurisdictions.</w:t>
            </w:r>
            <w:r>
              <w:rPr>
                <w:rStyle w:val="NoteLabel"/>
              </w:rPr>
              <w:t xml:space="preserve"> </w:t>
            </w:r>
            <w:proofErr w:type="gramStart"/>
            <w:r>
              <w:rPr>
                <w:rStyle w:val="NoteLabel"/>
              </w:rPr>
              <w:t>b</w:t>
            </w:r>
            <w:proofErr w:type="gramEnd"/>
            <w:r>
              <w:t xml:space="preserve"> Equity allowed is usually up to two vehicles, with any equity in additional vehicles being assessed as assets.</w:t>
            </w:r>
            <w:r>
              <w:rPr>
                <w:rStyle w:val="NoteLabel"/>
              </w:rPr>
              <w:t xml:space="preserve"> </w:t>
            </w:r>
            <w:proofErr w:type="gramStart"/>
            <w:r>
              <w:rPr>
                <w:rStyle w:val="NoteLabel"/>
              </w:rPr>
              <w:t>c</w:t>
            </w:r>
            <w:proofErr w:type="gramEnd"/>
            <w:r>
              <w:t xml:space="preserve"> Varies by number of dependants. </w:t>
            </w:r>
            <w:proofErr w:type="gramStart"/>
            <w:r>
              <w:rPr>
                <w:rStyle w:val="NoteLabel"/>
              </w:rPr>
              <w:t>d</w:t>
            </w:r>
            <w:proofErr w:type="gramEnd"/>
            <w:r>
              <w:t xml:space="preserve"> Also allows for savings of up to this amount for the purpose of buying a home, provided that contracts were exchanged prior to knowledge of the legal problem. </w:t>
            </w:r>
            <w:proofErr w:type="gramStart"/>
            <w:r>
              <w:rPr>
                <w:rStyle w:val="NoteLabel"/>
              </w:rPr>
              <w:t>e</w:t>
            </w:r>
            <w:proofErr w:type="gramEnd"/>
            <w:r>
              <w:rPr>
                <w:rStyle w:val="NoteLabel"/>
              </w:rPr>
              <w:t xml:space="preserve"> </w:t>
            </w:r>
            <w:r>
              <w:t xml:space="preserve">The figure is set and updated in accordance with the weighted average of the Consumer Price Index and Average Weekly Earnings, with an allowance for dependants. </w:t>
            </w:r>
            <w:proofErr w:type="gramStart"/>
            <w:r>
              <w:rPr>
                <w:rStyle w:val="NoteLabel"/>
              </w:rPr>
              <w:t>f</w:t>
            </w:r>
            <w:proofErr w:type="gramEnd"/>
            <w:r>
              <w:rPr>
                <w:rStyle w:val="NoteLabel"/>
              </w:rPr>
              <w:t xml:space="preserve"> </w:t>
            </w:r>
            <w:r>
              <w:t>U</w:t>
            </w:r>
            <w:r w:rsidRPr="00F31FB5">
              <w:t>p to the amount equal to the median value of an established home in Adelaide.</w:t>
            </w:r>
            <w:r>
              <w:t xml:space="preserve"> </w:t>
            </w:r>
            <w:proofErr w:type="gramStart"/>
            <w:r>
              <w:rPr>
                <w:rStyle w:val="NoteLabel"/>
              </w:rPr>
              <w:t>g</w:t>
            </w:r>
            <w:proofErr w:type="gramEnd"/>
            <w:r>
              <w:t xml:space="preserve"> Equity allowed up to  </w:t>
            </w:r>
            <w:r w:rsidRPr="00844EEC">
              <w:t xml:space="preserve">the published re-sale </w:t>
            </w:r>
            <w:r w:rsidR="00A0524A">
              <w:t>value</w:t>
            </w:r>
            <w:r w:rsidRPr="00844EEC">
              <w:t xml:space="preserve"> for a 5 year old 6 cylinder family car</w:t>
            </w:r>
            <w:r>
              <w:t>.</w:t>
            </w:r>
            <w:r>
              <w:rPr>
                <w:rStyle w:val="NoteLabel"/>
              </w:rPr>
              <w:t xml:space="preserve"> </w:t>
            </w:r>
            <w:proofErr w:type="gramStart"/>
            <w:r>
              <w:rPr>
                <w:rStyle w:val="NoteLabel"/>
              </w:rPr>
              <w:t>h</w:t>
            </w:r>
            <w:proofErr w:type="gramEnd"/>
            <w:r>
              <w:t> Equity allowed up to a maximum equal to the median price of an established house in the ACT.</w:t>
            </w:r>
          </w:p>
        </w:tc>
      </w:tr>
      <w:tr w:rsidR="00955F30" w:rsidTr="00563575">
        <w:trPr>
          <w:cantSplit/>
        </w:trPr>
        <w:tc>
          <w:tcPr>
            <w:tcW w:w="14132" w:type="dxa"/>
            <w:tcBorders>
              <w:top w:val="nil"/>
              <w:left w:val="nil"/>
              <w:bottom w:val="nil"/>
              <w:right w:val="nil"/>
            </w:tcBorders>
            <w:shd w:val="clear" w:color="auto" w:fill="auto"/>
          </w:tcPr>
          <w:p w:rsidR="00955F30" w:rsidRDefault="00955F30" w:rsidP="00563575">
            <w:pPr>
              <w:pStyle w:val="Source"/>
            </w:pPr>
            <w:r w:rsidRPr="00955F30">
              <w:t>Source: As per table H.1.</w:t>
            </w:r>
          </w:p>
        </w:tc>
      </w:tr>
      <w:tr w:rsidR="00955F30" w:rsidTr="00563575">
        <w:trPr>
          <w:cantSplit/>
        </w:trPr>
        <w:tc>
          <w:tcPr>
            <w:tcW w:w="14132" w:type="dxa"/>
            <w:tcBorders>
              <w:top w:val="nil"/>
              <w:left w:val="nil"/>
              <w:bottom w:val="single" w:sz="6" w:space="0" w:color="78A22F" w:themeColor="accent1"/>
              <w:right w:val="nil"/>
            </w:tcBorders>
            <w:shd w:val="clear" w:color="auto" w:fill="auto"/>
          </w:tcPr>
          <w:p w:rsidR="00955F30" w:rsidRDefault="00955F30" w:rsidP="00563575">
            <w:pPr>
              <w:pStyle w:val="Box"/>
              <w:spacing w:before="0" w:line="120" w:lineRule="exact"/>
            </w:pPr>
          </w:p>
        </w:tc>
      </w:tr>
      <w:tr w:rsidR="00955F30" w:rsidRPr="000863A5" w:rsidTr="00563575">
        <w:tc>
          <w:tcPr>
            <w:tcW w:w="14132" w:type="dxa"/>
            <w:tcBorders>
              <w:top w:val="single" w:sz="6" w:space="0" w:color="78A22F" w:themeColor="accent1"/>
              <w:left w:val="nil"/>
              <w:bottom w:val="nil"/>
              <w:right w:val="nil"/>
            </w:tcBorders>
          </w:tcPr>
          <w:p w:rsidR="00955F30" w:rsidRPr="00626D32" w:rsidRDefault="00955F30" w:rsidP="00563575">
            <w:pPr>
              <w:pStyle w:val="BoxSpaceBelow"/>
            </w:pPr>
          </w:p>
        </w:tc>
      </w:tr>
    </w:tbl>
    <w:p w:rsidR="00AA3746" w:rsidRDefault="00AA3746">
      <w:pPr>
        <w:pStyle w:val="BodyText"/>
        <w:sectPr w:rsidR="00AA3746">
          <w:headerReference w:type="even" r:id="rId13"/>
          <w:headerReference w:type="default" r:id="rId14"/>
          <w:footerReference w:type="even" r:id="rId15"/>
          <w:footerReference w:type="default" r:id="rId16"/>
          <w:pgSz w:w="16840" w:h="11907" w:orient="landscape" w:code="9"/>
          <w:pgMar w:top="1814" w:right="1985" w:bottom="1304" w:left="1418" w:header="1701" w:footer="567" w:gutter="0"/>
          <w:pgNumType w:chapSep="period"/>
          <w:cols w:space="720"/>
        </w:sectPr>
      </w:pPr>
    </w:p>
    <w:p w:rsidR="002012E2" w:rsidRDefault="006A70C7" w:rsidP="00BE084F">
      <w:pPr>
        <w:pStyle w:val="Heading3"/>
        <w:spacing w:before="0"/>
      </w:pPr>
      <w:r>
        <w:lastRenderedPageBreak/>
        <w:t>Few are eligible</w:t>
      </w:r>
      <w:r w:rsidR="00605D61">
        <w:t xml:space="preserve"> for legal aid</w:t>
      </w:r>
    </w:p>
    <w:p w:rsidR="007D19B5" w:rsidRDefault="007D19B5" w:rsidP="00172433">
      <w:pPr>
        <w:pStyle w:val="BodyText"/>
      </w:pPr>
      <w:r>
        <w:t xml:space="preserve">It is difficult to </w:t>
      </w:r>
      <w:r w:rsidR="008A2817">
        <w:t>determine a</w:t>
      </w:r>
      <w:r w:rsidR="00FE18E3">
        <w:t xml:space="preserve"> ‘notional’</w:t>
      </w:r>
      <w:r w:rsidR="008A2817">
        <w:t xml:space="preserve"> national means test given the way that eligibility requirements vary considerably between</w:t>
      </w:r>
      <w:r w:rsidR="008401E7">
        <w:t xml:space="preserve"> jurisdictions</w:t>
      </w:r>
      <w:r w:rsidR="00065C7E">
        <w:t>.</w:t>
      </w:r>
      <w:r w:rsidR="008A2817">
        <w:t xml:space="preserve"> </w:t>
      </w:r>
      <w:r w:rsidR="007075ED">
        <w:t>That said</w:t>
      </w:r>
      <w:proofErr w:type="gramStart"/>
      <w:r w:rsidR="007075ED">
        <w:t>,</w:t>
      </w:r>
      <w:proofErr w:type="gramEnd"/>
      <w:r w:rsidR="008A2817">
        <w:t xml:space="preserve"> </w:t>
      </w:r>
      <w:r w:rsidR="007075ED">
        <w:t xml:space="preserve">the </w:t>
      </w:r>
      <w:r w:rsidR="00E97F08">
        <w:t xml:space="preserve">Commission has </w:t>
      </w:r>
      <w:r w:rsidR="00A72C7B">
        <w:t>derive</w:t>
      </w:r>
      <w:r w:rsidR="007075ED">
        <w:t>d</w:t>
      </w:r>
      <w:r w:rsidR="00A72C7B">
        <w:t xml:space="preserve"> such a </w:t>
      </w:r>
      <w:r w:rsidR="007075ED">
        <w:t xml:space="preserve">notional </w:t>
      </w:r>
      <w:r w:rsidR="00A72C7B">
        <w:t xml:space="preserve">national means test, in an effort </w:t>
      </w:r>
      <w:r w:rsidR="007A7809">
        <w:t xml:space="preserve">to understand </w:t>
      </w:r>
      <w:r w:rsidR="00977B87">
        <w:t>the</w:t>
      </w:r>
      <w:r w:rsidR="007A7809">
        <w:t xml:space="preserve"> </w:t>
      </w:r>
      <w:r w:rsidR="0001522C">
        <w:t>proportion</w:t>
      </w:r>
      <w:r w:rsidR="007A7809">
        <w:t xml:space="preserve"> of households </w:t>
      </w:r>
      <w:r w:rsidR="004A6CBC">
        <w:t>that would be eligible for legal aid without having to make a contribution.</w:t>
      </w:r>
      <w:r w:rsidR="00B83EFD">
        <w:t xml:space="preserve"> To do so, </w:t>
      </w:r>
      <w:r w:rsidR="00680C37">
        <w:t>the Commission has used</w:t>
      </w:r>
      <w:r w:rsidR="004E2DC5">
        <w:t xml:space="preserve"> the ABS</w:t>
      </w:r>
      <w:r w:rsidR="00680C37">
        <w:t xml:space="preserve"> 2009</w:t>
      </w:r>
      <w:r w:rsidR="00DF1C80">
        <w:noBreakHyphen/>
      </w:r>
      <w:r w:rsidR="00680C37">
        <w:t>10 Hous</w:t>
      </w:r>
      <w:r w:rsidR="00660EA0">
        <w:t>e</w:t>
      </w:r>
      <w:r w:rsidR="00680C37">
        <w:t xml:space="preserve">hold Expenditure Survey </w:t>
      </w:r>
      <w:r w:rsidR="00B87107">
        <w:t>(HES)</w:t>
      </w:r>
      <w:r w:rsidR="00DF7369">
        <w:t>,</w:t>
      </w:r>
      <w:r w:rsidR="00B87107">
        <w:t xml:space="preserve"> </w:t>
      </w:r>
      <w:r w:rsidR="00BB5CF6">
        <w:t xml:space="preserve">as this data source provides </w:t>
      </w:r>
      <w:r w:rsidR="002941D6">
        <w:t xml:space="preserve">consistent information on a range of different income measures and assets. </w:t>
      </w:r>
      <w:r w:rsidR="00B42334">
        <w:t>It does not, however, provide detail down to the level that LACs frequently consider — such as the value of tools and household furniture.</w:t>
      </w:r>
    </w:p>
    <w:p w:rsidR="009A69EC" w:rsidRDefault="007F67CC" w:rsidP="0074617A">
      <w:pPr>
        <w:pStyle w:val="BodyText"/>
      </w:pPr>
      <w:r>
        <w:t>The Commission estimates that around 8 per cent of households</w:t>
      </w:r>
      <w:r w:rsidR="00A82AC4">
        <w:t xml:space="preserve"> across Australia</w:t>
      </w:r>
      <w:r>
        <w:t xml:space="preserve"> are eligible for legal aid without having to make a contribution</w:t>
      </w:r>
      <w:r w:rsidR="002B5098">
        <w:t xml:space="preserve"> towards their c</w:t>
      </w:r>
      <w:r w:rsidR="00717E43">
        <w:t>osts. Based on the income test alone, around 19 per cent of households meet the ‘average’ LAC criteria, while 1</w:t>
      </w:r>
      <w:r w:rsidR="00871B5F">
        <w:t>5</w:t>
      </w:r>
      <w:r w:rsidR="00717E43">
        <w:t xml:space="preserve"> per cent of households meet the asset</w:t>
      </w:r>
      <w:r w:rsidR="00A82AC4">
        <w:t>s</w:t>
      </w:r>
      <w:r w:rsidR="00717E43">
        <w:t xml:space="preserve"> criteria</w:t>
      </w:r>
      <w:r w:rsidR="00DC2706">
        <w:t xml:space="preserve"> alone</w:t>
      </w:r>
      <w:r w:rsidR="00717E43">
        <w:t xml:space="preserve">. </w:t>
      </w:r>
      <w:r w:rsidR="00521DFA">
        <w:t>Figure</w:t>
      </w:r>
      <w:r w:rsidR="005B13BE">
        <w:t> </w:t>
      </w:r>
      <w:r w:rsidR="00EE4967">
        <w:t>H.1</w:t>
      </w:r>
      <w:r w:rsidR="00521DFA">
        <w:t xml:space="preserve"> summarises the result</w:t>
      </w:r>
      <w:r w:rsidR="00A57A2B">
        <w:t>s of the Commission’s estimates</w:t>
      </w:r>
      <w:r w:rsidR="00ED66F2">
        <w:t>,</w:t>
      </w:r>
      <w:r w:rsidR="00A57A2B">
        <w:t xml:space="preserve"> and the assumptions used to derive it.</w:t>
      </w:r>
      <w:r w:rsidR="007F2271">
        <w:t xml:space="preserve"> It should be noted that the calculations are indicative only and rely on a number of assumptions, which</w:t>
      </w:r>
      <w:r w:rsidR="00E026BE">
        <w:t>,</w:t>
      </w:r>
      <w:r w:rsidR="007F2271">
        <w:t xml:space="preserve"> if incorrect, could </w:t>
      </w:r>
      <w:r w:rsidR="00D8238A">
        <w:t xml:space="preserve">significantly </w:t>
      </w:r>
      <w:r w:rsidR="007F2271">
        <w:t>change the estimated proportion of eligible households.</w:t>
      </w:r>
    </w:p>
    <w:p w:rsidR="002604D2" w:rsidRDefault="002604D2" w:rsidP="003A29D8">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604D2" w:rsidTr="003A29D8">
        <w:tc>
          <w:tcPr>
            <w:tcW w:w="8771" w:type="dxa"/>
            <w:tcBorders>
              <w:top w:val="single" w:sz="6" w:space="0" w:color="78A22F"/>
              <w:left w:val="nil"/>
              <w:bottom w:val="nil"/>
              <w:right w:val="nil"/>
            </w:tcBorders>
            <w:shd w:val="clear" w:color="auto" w:fill="auto"/>
          </w:tcPr>
          <w:p w:rsidR="002604D2" w:rsidRPr="00176D3F" w:rsidRDefault="002604D2" w:rsidP="00E86A56">
            <w:pPr>
              <w:pStyle w:val="FigureTitle"/>
            </w:pPr>
            <w:r w:rsidRPr="00784A05">
              <w:rPr>
                <w:b w:val="0"/>
              </w:rPr>
              <w:t xml:space="preserve">Figure </w:t>
            </w:r>
            <w:bookmarkStart w:id="7" w:name="OLE_LINK1"/>
            <w:r w:rsidR="00CB0DA1">
              <w:rPr>
                <w:b w:val="0"/>
              </w:rPr>
              <w:t>H.</w:t>
            </w:r>
            <w:r w:rsidR="00CB0DA1">
              <w:rPr>
                <w:b w:val="0"/>
                <w:noProof/>
              </w:rPr>
              <w:t>1</w:t>
            </w:r>
            <w:bookmarkEnd w:id="7"/>
            <w:r>
              <w:tab/>
            </w:r>
            <w:r w:rsidR="00E86A56">
              <w:t>Estimated p</w:t>
            </w:r>
            <w:r w:rsidR="00CD13CD">
              <w:t>roportion of households eligible for legal aid</w:t>
            </w:r>
            <w:r w:rsidR="00C274A8" w:rsidRPr="00C274A8">
              <w:rPr>
                <w:rStyle w:val="NoteLabel"/>
                <w:b/>
              </w:rPr>
              <w:t>a</w:t>
            </w:r>
          </w:p>
        </w:tc>
      </w:tr>
      <w:tr w:rsidR="002604D2" w:rsidTr="003A29D8">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487"/>
            </w:tblGrid>
            <w:tr w:rsidR="002604D2" w:rsidTr="00225724">
              <w:tc>
                <w:tcPr>
                  <w:tcW w:w="8487" w:type="dxa"/>
                  <w:tcBorders>
                    <w:top w:val="nil"/>
                    <w:bottom w:val="nil"/>
                  </w:tcBorders>
                </w:tcPr>
                <w:p w:rsidR="002604D2" w:rsidRDefault="00F95F24" w:rsidP="003A29D8">
                  <w:pPr>
                    <w:pStyle w:val="Figure"/>
                    <w:spacing w:before="60" w:after="60"/>
                  </w:pPr>
                  <w:r>
                    <w:rPr>
                      <w:noProof/>
                    </w:rPr>
                    <w:drawing>
                      <wp:inline distT="0" distB="0" distL="0" distR="0" wp14:anchorId="30AF39F4" wp14:editId="4D4F0B66">
                        <wp:extent cx="5248910" cy="2802890"/>
                        <wp:effectExtent l="0" t="0" r="8890" b="0"/>
                        <wp:docPr id="1" name="Picture 1" descr="This figure shows the proportion of households eligible for legal aid under the Commission’s notional national eligibility thresholds; derived from tables H.1 and H.2. It indicates that around 8 per cent of households are eligible for legal aid based on their income and assets; that 15 per cent of households pass the asset test (alone) and that nearly 20 per cent of households pass the income test (alone)." title="Figure H.1 Estimated proportion of households eligible for legal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48910" cy="2802890"/>
                                </a:xfrm>
                                <a:prstGeom prst="rect">
                                  <a:avLst/>
                                </a:prstGeom>
                                <a:noFill/>
                                <a:ln>
                                  <a:noFill/>
                                </a:ln>
                              </pic:spPr>
                            </pic:pic>
                          </a:graphicData>
                        </a:graphic>
                      </wp:inline>
                    </w:drawing>
                  </w:r>
                </w:p>
              </w:tc>
            </w:tr>
          </w:tbl>
          <w:p w:rsidR="002604D2" w:rsidRDefault="002604D2" w:rsidP="003A29D8">
            <w:pPr>
              <w:pStyle w:val="Figure"/>
            </w:pPr>
          </w:p>
        </w:tc>
      </w:tr>
      <w:tr w:rsidR="002604D2" w:rsidRPr="00176D3F" w:rsidTr="003A29D8">
        <w:tc>
          <w:tcPr>
            <w:tcW w:w="8771" w:type="dxa"/>
            <w:tcBorders>
              <w:top w:val="nil"/>
              <w:left w:val="nil"/>
              <w:bottom w:val="nil"/>
              <w:right w:val="nil"/>
            </w:tcBorders>
            <w:shd w:val="clear" w:color="auto" w:fill="auto"/>
          </w:tcPr>
          <w:p w:rsidR="002604D2" w:rsidRPr="00176D3F" w:rsidRDefault="002604D2" w:rsidP="000A3C09">
            <w:pPr>
              <w:pStyle w:val="Note"/>
            </w:pPr>
            <w:r>
              <w:rPr>
                <w:rStyle w:val="NoteLabel"/>
              </w:rPr>
              <w:t>a</w:t>
            </w:r>
            <w:r>
              <w:t xml:space="preserve"> </w:t>
            </w:r>
            <w:r w:rsidR="00D87485">
              <w:t xml:space="preserve">Based on an income test that </w:t>
            </w:r>
            <w:r w:rsidR="00CD66A4">
              <w:t xml:space="preserve">allows for $300 per week base income, </w:t>
            </w:r>
            <w:r w:rsidR="00CD66A4">
              <w:tab/>
              <w:t>$150 per week per depend</w:t>
            </w:r>
            <w:r w:rsidR="00A73438">
              <w:t>a</w:t>
            </w:r>
            <w:r w:rsidR="00CD66A4">
              <w:t>nt under 15 years of age, $300 per week per household in rental assistance, and $100 per week per household for other household expenses</w:t>
            </w:r>
            <w:r w:rsidR="003E7553">
              <w:t>; and an assets test</w:t>
            </w:r>
            <w:r w:rsidR="004629C3">
              <w:t xml:space="preserve"> that allows for </w:t>
            </w:r>
            <w:r w:rsidR="00935F0A">
              <w:t>$500 000 in home equity for the place of residence, $250 000 in business equity, $15 000 in vehicle equity</w:t>
            </w:r>
            <w:r w:rsidR="00047196">
              <w:t xml:space="preserve">, and </w:t>
            </w:r>
            <w:r w:rsidR="00935F0A">
              <w:t>$1000 for other assets</w:t>
            </w:r>
            <w:r w:rsidR="00354B9A">
              <w:t>.</w:t>
            </w:r>
            <w:r w:rsidR="002E362F">
              <w:t xml:space="preserve"> Other assets includes the value of accounts in financial institutions, private trusts, shares, debentures </w:t>
            </w:r>
            <w:r w:rsidR="000A3C09">
              <w:t>and</w:t>
            </w:r>
            <w:r w:rsidR="002E362F">
              <w:t xml:space="preserve"> bonds, residential property besides the place of residence, non-residential property,</w:t>
            </w:r>
            <w:r w:rsidR="00D57977">
              <w:t xml:space="preserve"> and</w:t>
            </w:r>
            <w:r w:rsidR="002E362F">
              <w:t xml:space="preserve"> </w:t>
            </w:r>
            <w:r w:rsidR="00D57977">
              <w:t>‘other assets not elsewhere classified’</w:t>
            </w:r>
            <w:r w:rsidR="00AE1109">
              <w:t xml:space="preserve"> by the </w:t>
            </w:r>
            <w:r w:rsidR="00A73438">
              <w:t>Household Expenditure Survey</w:t>
            </w:r>
            <w:r w:rsidR="00AE1109">
              <w:t>.</w:t>
            </w:r>
            <w:r w:rsidR="00D57977">
              <w:t xml:space="preserve"> </w:t>
            </w:r>
          </w:p>
        </w:tc>
      </w:tr>
      <w:tr w:rsidR="002604D2" w:rsidRPr="00176D3F" w:rsidTr="003A29D8">
        <w:tc>
          <w:tcPr>
            <w:tcW w:w="8771" w:type="dxa"/>
            <w:tcBorders>
              <w:top w:val="nil"/>
              <w:left w:val="nil"/>
              <w:bottom w:val="nil"/>
              <w:right w:val="nil"/>
            </w:tcBorders>
            <w:shd w:val="clear" w:color="auto" w:fill="auto"/>
          </w:tcPr>
          <w:p w:rsidR="002604D2" w:rsidRPr="00176D3F" w:rsidRDefault="002604D2" w:rsidP="00101CB9">
            <w:pPr>
              <w:pStyle w:val="Source"/>
            </w:pPr>
            <w:r w:rsidRPr="00784A05">
              <w:rPr>
                <w:i/>
              </w:rPr>
              <w:t>Data source</w:t>
            </w:r>
            <w:r w:rsidRPr="00176D3F">
              <w:t xml:space="preserve">: </w:t>
            </w:r>
            <w:r w:rsidR="00984251">
              <w:t>Commi</w:t>
            </w:r>
            <w:r w:rsidR="0018630A">
              <w:t>ssion estimates based on</w:t>
            </w:r>
            <w:r w:rsidR="00746BFF">
              <w:t xml:space="preserve"> ABS </w:t>
            </w:r>
            <w:r w:rsidR="00101CB9">
              <w:t>(</w:t>
            </w:r>
            <w:r w:rsidR="007C2DF1">
              <w:rPr>
                <w:i/>
              </w:rPr>
              <w:t>Household Expenditure Survey</w:t>
            </w:r>
            <w:r w:rsidR="00101CB9">
              <w:rPr>
                <w:i/>
              </w:rPr>
              <w:t>, 2009</w:t>
            </w:r>
            <w:r w:rsidR="003C4012">
              <w:rPr>
                <w:i/>
              </w:rPr>
              <w:noBreakHyphen/>
            </w:r>
            <w:r w:rsidR="00101CB9">
              <w:rPr>
                <w:i/>
              </w:rPr>
              <w:t>10</w:t>
            </w:r>
            <w:r w:rsidR="00746BFF">
              <w:t>, Cat</w:t>
            </w:r>
            <w:r w:rsidR="00556191">
              <w:t>.</w:t>
            </w:r>
            <w:r w:rsidR="00101CB9">
              <w:t> </w:t>
            </w:r>
            <w:r w:rsidR="00746BFF">
              <w:t>no.</w:t>
            </w:r>
            <w:r w:rsidR="00101CB9">
              <w:t> </w:t>
            </w:r>
            <w:r w:rsidR="00746BFF">
              <w:t xml:space="preserve">6503.0, </w:t>
            </w:r>
            <w:proofErr w:type="spellStart"/>
            <w:r w:rsidR="00746BFF">
              <w:t>Co</w:t>
            </w:r>
            <w:r w:rsidR="00101CB9">
              <w:t>nfidentialised</w:t>
            </w:r>
            <w:proofErr w:type="spellEnd"/>
            <w:r w:rsidR="00101CB9">
              <w:t xml:space="preserve"> Unit Record File)</w:t>
            </w:r>
            <w:r w:rsidR="00746BFF">
              <w:t>.</w:t>
            </w:r>
          </w:p>
        </w:tc>
      </w:tr>
      <w:tr w:rsidR="002604D2" w:rsidTr="003A29D8">
        <w:tc>
          <w:tcPr>
            <w:tcW w:w="8771" w:type="dxa"/>
            <w:tcBorders>
              <w:top w:val="nil"/>
              <w:left w:val="nil"/>
              <w:bottom w:val="single" w:sz="6" w:space="0" w:color="78A22F"/>
              <w:right w:val="nil"/>
            </w:tcBorders>
            <w:shd w:val="clear" w:color="auto" w:fill="auto"/>
          </w:tcPr>
          <w:p w:rsidR="002604D2" w:rsidRDefault="002604D2" w:rsidP="003A29D8">
            <w:pPr>
              <w:pStyle w:val="Figurespace"/>
            </w:pPr>
          </w:p>
        </w:tc>
      </w:tr>
      <w:tr w:rsidR="002604D2" w:rsidRPr="000863A5" w:rsidTr="003A29D8">
        <w:tc>
          <w:tcPr>
            <w:tcW w:w="8771" w:type="dxa"/>
            <w:tcBorders>
              <w:top w:val="single" w:sz="6" w:space="0" w:color="78A22F"/>
              <w:left w:val="nil"/>
              <w:bottom w:val="nil"/>
              <w:right w:val="nil"/>
            </w:tcBorders>
          </w:tcPr>
          <w:p w:rsidR="002604D2" w:rsidRPr="00626D32" w:rsidRDefault="002604D2" w:rsidP="003A29D8">
            <w:pPr>
              <w:pStyle w:val="BoxSpaceBelow"/>
            </w:pPr>
          </w:p>
        </w:tc>
      </w:tr>
    </w:tbl>
    <w:p w:rsidR="00175C54" w:rsidRDefault="00175C54" w:rsidP="00175C54">
      <w:pPr>
        <w:pStyle w:val="BodyText"/>
      </w:pPr>
      <w:r>
        <w:lastRenderedPageBreak/>
        <w:t>Very different proportions of households are eligible for the different criteria of the assets test. Most households are not constrained by the allowances made for business and home equity — possibly because many households do not own businesses and rent their principal place of residence. The vehicle constraint is more binding, but still not applicable for most households. However, the low threshold for assessable assets means that the constraint on other assets — predominantly liquid assets — renders about 80 per cent of households ineligible for aid without making a contribution.</w:t>
      </w:r>
    </w:p>
    <w:p w:rsidR="000C58DB" w:rsidRDefault="00CB0DA1" w:rsidP="00034C07">
      <w:pPr>
        <w:pStyle w:val="Heading2"/>
      </w:pPr>
      <w:r>
        <w:t>H.</w:t>
      </w:r>
      <w:r>
        <w:rPr>
          <w:noProof/>
        </w:rPr>
        <w:t>2</w:t>
      </w:r>
      <w:r w:rsidR="00034C07">
        <w:tab/>
        <w:t>How much would it cost to provide more legal aid services?</w:t>
      </w:r>
    </w:p>
    <w:p w:rsidR="00351BE6" w:rsidRDefault="00351BE6" w:rsidP="00700AC1">
      <w:pPr>
        <w:pStyle w:val="BodyText"/>
      </w:pPr>
      <w:r>
        <w:t>The Commission</w:t>
      </w:r>
      <w:r w:rsidR="00E60A4B">
        <w:t>, in recommendation 21.</w:t>
      </w:r>
      <w:r w:rsidR="004A15AD">
        <w:t>4</w:t>
      </w:r>
      <w:r w:rsidR="00E60A4B">
        <w:t xml:space="preserve">, proposes more </w:t>
      </w:r>
      <w:r>
        <w:t xml:space="preserve">funding be provided to legal assistance </w:t>
      </w:r>
      <w:r w:rsidR="00D010BF">
        <w:t xml:space="preserve">services </w:t>
      </w:r>
      <w:r>
        <w:t>for three purposes:</w:t>
      </w:r>
    </w:p>
    <w:p w:rsidR="00351BE6" w:rsidRDefault="00351BE6" w:rsidP="00351BE6">
      <w:pPr>
        <w:pStyle w:val="ListBullet"/>
      </w:pPr>
      <w:r>
        <w:t>to maintain existing frontline services tha</w:t>
      </w:r>
      <w:r w:rsidR="007672C4">
        <w:t>t have a demonstrated benefit to the community</w:t>
      </w:r>
    </w:p>
    <w:p w:rsidR="007672C4" w:rsidRDefault="00C4313B" w:rsidP="00351BE6">
      <w:pPr>
        <w:pStyle w:val="ListBullet"/>
      </w:pPr>
      <w:r>
        <w:t>to relax the means test</w:t>
      </w:r>
      <w:r w:rsidR="001459D1">
        <w:t>s</w:t>
      </w:r>
      <w:r>
        <w:t xml:space="preserve"> </w:t>
      </w:r>
      <w:r w:rsidR="00D17B88">
        <w:t xml:space="preserve">applied by the LACs </w:t>
      </w:r>
      <w:r>
        <w:t>and allow more households to be eligible to receive their grants of legal aid</w:t>
      </w:r>
    </w:p>
    <w:p w:rsidR="00C4313B" w:rsidRDefault="003600E7" w:rsidP="00351BE6">
      <w:pPr>
        <w:pStyle w:val="ListBullet"/>
      </w:pPr>
      <w:proofErr w:type="gramStart"/>
      <w:r>
        <w:t>to</w:t>
      </w:r>
      <w:proofErr w:type="gramEnd"/>
      <w:r>
        <w:t xml:space="preserve"> provide grants of legal aid in areas of law where there is </w:t>
      </w:r>
      <w:r w:rsidR="00D152F7">
        <w:t>little assistance being currently provided, by either LACs or other legal assistance services.</w:t>
      </w:r>
    </w:p>
    <w:p w:rsidR="00CC6BA7" w:rsidRDefault="00E523FE" w:rsidP="00E523FE">
      <w:pPr>
        <w:pStyle w:val="BodyText"/>
      </w:pPr>
      <w:r>
        <w:t>The Commission estima</w:t>
      </w:r>
      <w:r w:rsidR="00DE4A68">
        <w:t>tes that the collective cost of this recommendation is around $200</w:t>
      </w:r>
      <w:r w:rsidR="00DF7369">
        <w:t> </w:t>
      </w:r>
      <w:r w:rsidR="00DE4A68">
        <w:t>million</w:t>
      </w:r>
      <w:r w:rsidR="006A79CF">
        <w:t xml:space="preserve"> per annum, </w:t>
      </w:r>
      <w:r w:rsidR="00651683">
        <w:t xml:space="preserve">and </w:t>
      </w:r>
      <w:r w:rsidR="00C70DAC">
        <w:t>should</w:t>
      </w:r>
      <w:r w:rsidR="00651683">
        <w:t xml:space="preserve"> </w:t>
      </w:r>
      <w:r w:rsidR="00B65D95">
        <w:t>continue</w:t>
      </w:r>
      <w:r w:rsidR="00651683">
        <w:t xml:space="preserve"> as an interim arrangement </w:t>
      </w:r>
      <w:r w:rsidR="006A79CF">
        <w:t xml:space="preserve">until </w:t>
      </w:r>
      <w:r w:rsidR="00A239CB">
        <w:t>sufficient data can be collected to better inform funding of legal assistance services (chapter</w:t>
      </w:r>
      <w:r w:rsidR="00E116EF">
        <w:t>s</w:t>
      </w:r>
      <w:r w:rsidR="003C4012">
        <w:t> </w:t>
      </w:r>
      <w:r w:rsidR="00E116EF">
        <w:t xml:space="preserve">21 </w:t>
      </w:r>
      <w:r w:rsidR="0028402F">
        <w:t>and </w:t>
      </w:r>
      <w:r w:rsidR="00A239CB">
        <w:t>25)</w:t>
      </w:r>
      <w:r w:rsidR="00DE4A68">
        <w:t xml:space="preserve">. This section describes in detail </w:t>
      </w:r>
      <w:r w:rsidR="001C7ABE">
        <w:t>how these estimates were derived.</w:t>
      </w:r>
    </w:p>
    <w:p w:rsidR="003B1C8A" w:rsidRDefault="007E085A" w:rsidP="00C651CE">
      <w:pPr>
        <w:pStyle w:val="Heading3"/>
      </w:pPr>
      <w:r w:rsidRPr="007E085A">
        <w:t xml:space="preserve">Providing </w:t>
      </w:r>
      <w:r w:rsidR="000A1442">
        <w:t>f</w:t>
      </w:r>
      <w:r w:rsidRPr="007E085A">
        <w:t>unding to maintain existing frontline services</w:t>
      </w:r>
    </w:p>
    <w:p w:rsidR="007E085A" w:rsidRDefault="00E614D3" w:rsidP="007E085A">
      <w:pPr>
        <w:pStyle w:val="BodyText"/>
      </w:pPr>
      <w:r>
        <w:t xml:space="preserve">Recent </w:t>
      </w:r>
      <w:r w:rsidR="00E41631">
        <w:t>decisions taken in the 2013</w:t>
      </w:r>
      <w:r w:rsidR="003C4012">
        <w:noBreakHyphen/>
      </w:r>
      <w:r w:rsidR="001050B2">
        <w:t>14</w:t>
      </w:r>
      <w:r w:rsidR="00E41631">
        <w:t xml:space="preserve"> Mid-Year Economic and Fi</w:t>
      </w:r>
      <w:r w:rsidR="001050B2">
        <w:t>s</w:t>
      </w:r>
      <w:r w:rsidR="00E41631">
        <w:t>cal Outlook</w:t>
      </w:r>
      <w:r w:rsidR="00687025" w:rsidRPr="00687025">
        <w:t xml:space="preserve"> </w:t>
      </w:r>
      <w:r w:rsidR="00E41631">
        <w:t xml:space="preserve">(MYEFO) </w:t>
      </w:r>
      <w:r w:rsidR="00823CAC">
        <w:t xml:space="preserve">Statement </w:t>
      </w:r>
      <w:r w:rsidR="0034081D">
        <w:t>and 2014</w:t>
      </w:r>
      <w:r w:rsidR="003C4012">
        <w:noBreakHyphen/>
      </w:r>
      <w:r w:rsidR="0034081D">
        <w:t xml:space="preserve">15 </w:t>
      </w:r>
      <w:r w:rsidR="00451975">
        <w:t xml:space="preserve">Budget </w:t>
      </w:r>
      <w:r w:rsidR="00414F41">
        <w:t>reduced funding to all four legal assistance providers</w:t>
      </w:r>
      <w:r w:rsidR="00477652">
        <w:t xml:space="preserve"> </w:t>
      </w:r>
      <w:r w:rsidR="00477652" w:rsidRPr="00477652">
        <w:rPr>
          <w:szCs w:val="24"/>
        </w:rPr>
        <w:t>(Australian Government 2013)</w:t>
      </w:r>
      <w:r w:rsidR="00414F41">
        <w:t xml:space="preserve">. The </w:t>
      </w:r>
      <w:r w:rsidR="00477652">
        <w:t xml:space="preserve">announced </w:t>
      </w:r>
      <w:r w:rsidR="00414F41">
        <w:t xml:space="preserve">reductions in funding from MYEFO totalled around $43 million over four years, and </w:t>
      </w:r>
      <w:r w:rsidR="00813F00">
        <w:t xml:space="preserve">were designed to </w:t>
      </w:r>
      <w:r w:rsidR="00127E83">
        <w:t>limit</w:t>
      </w:r>
      <w:r w:rsidR="009636C7">
        <w:t xml:space="preserve"> policy reform and advocacy activities:</w:t>
      </w:r>
    </w:p>
    <w:p w:rsidR="00414F41" w:rsidRPr="00414F41" w:rsidRDefault="00414F41" w:rsidP="00414F41">
      <w:pPr>
        <w:pStyle w:val="Quote"/>
        <w:rPr>
          <w:b/>
        </w:rPr>
      </w:pPr>
      <w:r>
        <w:t>The Government will achieve savings of $43.1 million over four years by removing funding support for policy reform and advocacy activities provided to four legal assistance programmes. Funding for the provision of frontline legal services will not be affected.</w:t>
      </w:r>
      <w:r w:rsidR="003A0F1A">
        <w:t xml:space="preserve"> </w:t>
      </w:r>
      <w:r w:rsidR="00503A5E" w:rsidRPr="00503A5E">
        <w:rPr>
          <w:szCs w:val="24"/>
        </w:rPr>
        <w:t>(Australian Government 2013, p. 119)</w:t>
      </w:r>
    </w:p>
    <w:p w:rsidR="00DF01BD" w:rsidRDefault="00DF01BD">
      <w:pPr>
        <w:rPr>
          <w:szCs w:val="20"/>
        </w:rPr>
      </w:pPr>
      <w:r>
        <w:br w:type="page"/>
      </w:r>
    </w:p>
    <w:p w:rsidR="00D55E84" w:rsidRPr="00E57688" w:rsidRDefault="00E15EE1" w:rsidP="007E085A">
      <w:pPr>
        <w:pStyle w:val="BodyText"/>
      </w:pPr>
      <w:r w:rsidRPr="00E57688">
        <w:lastRenderedPageBreak/>
        <w:t xml:space="preserve">The distribution of </w:t>
      </w:r>
      <w:r w:rsidR="005E2DD0" w:rsidRPr="00E57688">
        <w:t>these changes in funding</w:t>
      </w:r>
      <w:r w:rsidRPr="00E57688">
        <w:t>, over four years</w:t>
      </w:r>
      <w:r w:rsidR="00687025" w:rsidRPr="00E57688">
        <w:t xml:space="preserve"> (2013</w:t>
      </w:r>
      <w:r w:rsidR="003C4012" w:rsidRPr="00E57688">
        <w:noBreakHyphen/>
      </w:r>
      <w:r w:rsidR="00687025" w:rsidRPr="00E57688">
        <w:t>14 to 2016</w:t>
      </w:r>
      <w:r w:rsidR="003C4012" w:rsidRPr="00E57688">
        <w:noBreakHyphen/>
      </w:r>
      <w:r w:rsidR="00687025" w:rsidRPr="00E57688">
        <w:t>17)</w:t>
      </w:r>
      <w:r w:rsidRPr="00E57688">
        <w:t>, comprised:</w:t>
      </w:r>
    </w:p>
    <w:p w:rsidR="00E15EE1" w:rsidRPr="00E57688" w:rsidRDefault="00A7640F" w:rsidP="00E15EE1">
      <w:pPr>
        <w:pStyle w:val="ListBullet"/>
      </w:pPr>
      <w:r w:rsidRPr="00E57688">
        <w:t xml:space="preserve">a </w:t>
      </w:r>
      <w:r w:rsidR="00E15EE1" w:rsidRPr="00E57688">
        <w:t>$6.5 million</w:t>
      </w:r>
      <w:r w:rsidRPr="00E57688">
        <w:t xml:space="preserve"> reduction</w:t>
      </w:r>
      <w:r w:rsidR="00E15EE1" w:rsidRPr="00E57688">
        <w:t xml:space="preserve"> </w:t>
      </w:r>
      <w:r w:rsidR="00CC5519" w:rsidRPr="00E57688">
        <w:t>to</w:t>
      </w:r>
      <w:r w:rsidR="00E15EE1" w:rsidRPr="00E57688">
        <w:t xml:space="preserve"> the LACs</w:t>
      </w:r>
    </w:p>
    <w:p w:rsidR="00D301D2" w:rsidRPr="00E57688" w:rsidRDefault="00A7640F" w:rsidP="00D301D2">
      <w:pPr>
        <w:pStyle w:val="ListBullet"/>
      </w:pPr>
      <w:r w:rsidRPr="00E57688">
        <w:t xml:space="preserve">a </w:t>
      </w:r>
      <w:r w:rsidR="00D301D2" w:rsidRPr="00E57688">
        <w:t>$19.6 million</w:t>
      </w:r>
      <w:r w:rsidRPr="00E57688">
        <w:t xml:space="preserve"> reduction</w:t>
      </w:r>
      <w:r w:rsidR="00D301D2" w:rsidRPr="00E57688">
        <w:t xml:space="preserve"> to the Community Legal Services Program (CLSP), directed to the </w:t>
      </w:r>
      <w:r w:rsidR="00B32427" w:rsidRPr="00E57688">
        <w:t>community legal centres (CLCs)</w:t>
      </w:r>
    </w:p>
    <w:p w:rsidR="00E15EE1" w:rsidRPr="00E57688" w:rsidRDefault="00A7640F" w:rsidP="00E15EE1">
      <w:pPr>
        <w:pStyle w:val="ListBullet"/>
      </w:pPr>
      <w:r w:rsidRPr="00E57688">
        <w:t xml:space="preserve">a </w:t>
      </w:r>
      <w:r w:rsidR="00E15EE1" w:rsidRPr="00E57688">
        <w:t>$13.3 million</w:t>
      </w:r>
      <w:r w:rsidRPr="00E57688">
        <w:t xml:space="preserve"> reduction</w:t>
      </w:r>
      <w:r w:rsidR="00E15EE1" w:rsidRPr="00E57688">
        <w:t xml:space="preserve"> </w:t>
      </w:r>
      <w:r w:rsidR="00CC5519" w:rsidRPr="00E57688">
        <w:t>to</w:t>
      </w:r>
      <w:r w:rsidR="00E15EE1" w:rsidRPr="00E57688">
        <w:t xml:space="preserve"> the A</w:t>
      </w:r>
      <w:r w:rsidR="00B32427" w:rsidRPr="00E57688">
        <w:t>boriginal and Torres Strait Islander Legal Services (A</w:t>
      </w:r>
      <w:r w:rsidR="00E15EE1" w:rsidRPr="00E57688">
        <w:t>TSILS</w:t>
      </w:r>
      <w:r w:rsidR="00B32427" w:rsidRPr="00E57688">
        <w:t>)</w:t>
      </w:r>
    </w:p>
    <w:p w:rsidR="00E15EE1" w:rsidRPr="00E57688" w:rsidRDefault="00A7640F" w:rsidP="00E15EE1">
      <w:pPr>
        <w:pStyle w:val="ListBullet"/>
      </w:pPr>
      <w:proofErr w:type="gramStart"/>
      <w:r w:rsidRPr="00E57688">
        <w:t>a</w:t>
      </w:r>
      <w:proofErr w:type="gramEnd"/>
      <w:r w:rsidRPr="00E57688">
        <w:t xml:space="preserve"> </w:t>
      </w:r>
      <w:r w:rsidR="00E15EE1" w:rsidRPr="00E57688">
        <w:t>$3.7 million</w:t>
      </w:r>
      <w:r w:rsidRPr="00E57688">
        <w:t xml:space="preserve"> reduction</w:t>
      </w:r>
      <w:r w:rsidR="00E15EE1" w:rsidRPr="00E57688">
        <w:t xml:space="preserve"> </w:t>
      </w:r>
      <w:r w:rsidR="00CC5519" w:rsidRPr="00E57688">
        <w:t>to</w:t>
      </w:r>
      <w:r w:rsidR="00E15EE1" w:rsidRPr="00E57688">
        <w:t xml:space="preserve"> the F</w:t>
      </w:r>
      <w:r w:rsidR="00691312" w:rsidRPr="00E57688">
        <w:t xml:space="preserve">amily </w:t>
      </w:r>
      <w:r w:rsidR="00E15EE1" w:rsidRPr="00E57688">
        <w:t>V</w:t>
      </w:r>
      <w:r w:rsidR="00691312" w:rsidRPr="00E57688">
        <w:t xml:space="preserve">iolence </w:t>
      </w:r>
      <w:r w:rsidR="00E15EE1" w:rsidRPr="00E57688">
        <w:t>P</w:t>
      </w:r>
      <w:r w:rsidR="00691312" w:rsidRPr="00E57688">
        <w:t xml:space="preserve">revention and </w:t>
      </w:r>
      <w:r w:rsidR="00E15EE1" w:rsidRPr="00E57688">
        <w:t>L</w:t>
      </w:r>
      <w:r w:rsidR="00691312" w:rsidRPr="00E57688">
        <w:t xml:space="preserve">egal </w:t>
      </w:r>
      <w:r w:rsidR="00E15EE1" w:rsidRPr="00E57688">
        <w:t>S</w:t>
      </w:r>
      <w:r w:rsidR="00691312" w:rsidRPr="00E57688">
        <w:t>ervices (FVPLS)</w:t>
      </w:r>
      <w:r w:rsidR="00A55E7A" w:rsidRPr="00E57688">
        <w:t xml:space="preserve"> — however, this change in funding did not eventuate</w:t>
      </w:r>
      <w:r w:rsidR="002C6589" w:rsidRPr="00E57688">
        <w:t xml:space="preserve"> (</w:t>
      </w:r>
      <w:r w:rsidR="00234757" w:rsidRPr="00E57688">
        <w:t>table</w:t>
      </w:r>
      <w:r w:rsidR="003C4012" w:rsidRPr="00E57688">
        <w:t> </w:t>
      </w:r>
      <w:r w:rsidR="00234757" w:rsidRPr="00E57688">
        <w:t>20.</w:t>
      </w:r>
      <w:r w:rsidR="003B10BF" w:rsidRPr="00E57688">
        <w:t>4</w:t>
      </w:r>
      <w:r w:rsidR="00237285" w:rsidRPr="00E57688">
        <w:t>).</w:t>
      </w:r>
    </w:p>
    <w:p w:rsidR="00A54F21" w:rsidRPr="00D8005C" w:rsidRDefault="00A54F21" w:rsidP="00434971">
      <w:pPr>
        <w:pStyle w:val="BodyText"/>
        <w:rPr>
          <w:b/>
        </w:rPr>
      </w:pPr>
      <w:r>
        <w:t>A further reduction of $15 million to LACs was made in the 2014</w:t>
      </w:r>
      <w:r w:rsidR="003C4012">
        <w:noBreakHyphen/>
      </w:r>
      <w:r>
        <w:t xml:space="preserve">15 </w:t>
      </w:r>
      <w:r w:rsidR="00451975">
        <w:t xml:space="preserve">Budget </w:t>
      </w:r>
      <w:r>
        <w:t xml:space="preserve">for </w:t>
      </w:r>
      <w:r w:rsidR="00451975">
        <w:t xml:space="preserve">that </w:t>
      </w:r>
      <w:r>
        <w:t>financial year.</w:t>
      </w:r>
      <w:r w:rsidRPr="00467EAE">
        <w:t xml:space="preserve"> </w:t>
      </w:r>
    </w:p>
    <w:p w:rsidR="00E15EE1" w:rsidRDefault="00A7640F" w:rsidP="00434971">
      <w:pPr>
        <w:pStyle w:val="BodyText"/>
      </w:pPr>
      <w:r>
        <w:t>However, these adjustments to funding</w:t>
      </w:r>
      <w:r w:rsidR="00434971">
        <w:t xml:space="preserve"> should be considered against the wider context of additional funding that was provided in the </w:t>
      </w:r>
      <w:r w:rsidR="004C6217">
        <w:t>2013</w:t>
      </w:r>
      <w:r w:rsidR="003C4012">
        <w:noBreakHyphen/>
      </w:r>
      <w:r w:rsidR="004C6217">
        <w:t xml:space="preserve">14 </w:t>
      </w:r>
      <w:r w:rsidR="003F391C">
        <w:t>Budget</w:t>
      </w:r>
      <w:r w:rsidR="004C6217">
        <w:t xml:space="preserve">. In that budget, additional funds of $30 million were provided to LACs </w:t>
      </w:r>
      <w:r w:rsidR="004A4FFD">
        <w:t>over two years to undertake work in civil areas of law.</w:t>
      </w:r>
      <w:r w:rsidR="00D04351">
        <w:t xml:space="preserve"> </w:t>
      </w:r>
      <w:r w:rsidR="008D0B1F">
        <w:t>(</w:t>
      </w:r>
      <w:r w:rsidR="00D04351">
        <w:t>The</w:t>
      </w:r>
      <w:r w:rsidR="00C056D5">
        <w:t xml:space="preserve"> subsequent</w:t>
      </w:r>
      <w:r w:rsidR="00D04351">
        <w:t xml:space="preserve"> $15 million reduction in the 2014</w:t>
      </w:r>
      <w:r w:rsidR="003C4012">
        <w:noBreakHyphen/>
      </w:r>
      <w:r w:rsidR="00D04351">
        <w:t>15 Budget represented an early end to the provision of those funds</w:t>
      </w:r>
      <w:r w:rsidR="002A773C">
        <w:t>.</w:t>
      </w:r>
      <w:r w:rsidR="008D0B1F">
        <w:t>)</w:t>
      </w:r>
      <w:r w:rsidR="00B47D25">
        <w:t xml:space="preserve"> </w:t>
      </w:r>
      <w:r w:rsidR="004A4FFD">
        <w:t>An additional $10.4 million</w:t>
      </w:r>
      <w:r w:rsidR="0020427D">
        <w:t xml:space="preserve"> </w:t>
      </w:r>
      <w:r w:rsidR="00451975" w:rsidRPr="00D8005C">
        <w:t xml:space="preserve">for four years </w:t>
      </w:r>
      <w:r w:rsidR="004A4FFD">
        <w:t>was also provided through the CLSP</w:t>
      </w:r>
      <w:r w:rsidR="00E95892">
        <w:t xml:space="preserve"> (table</w:t>
      </w:r>
      <w:r w:rsidR="003C4012">
        <w:t> </w:t>
      </w:r>
      <w:r w:rsidR="00E95892">
        <w:t>20.4)</w:t>
      </w:r>
      <w:r w:rsidR="00AD702B" w:rsidRPr="00542AB7">
        <w:t>.</w:t>
      </w:r>
    </w:p>
    <w:p w:rsidR="00607D74" w:rsidRDefault="00D708EC" w:rsidP="007E085A">
      <w:pPr>
        <w:pStyle w:val="BodyText"/>
      </w:pPr>
      <w:r>
        <w:t>That said, many legal assistance services have stated that the</w:t>
      </w:r>
      <w:r w:rsidR="00607D74">
        <w:t xml:space="preserve"> changes to funding as part of the 2013</w:t>
      </w:r>
      <w:r w:rsidR="003C4012">
        <w:noBreakHyphen/>
      </w:r>
      <w:r w:rsidR="00607D74">
        <w:t>14 MYEFO and 2014</w:t>
      </w:r>
      <w:r w:rsidR="003C4012">
        <w:noBreakHyphen/>
      </w:r>
      <w:r w:rsidR="00607D74">
        <w:t xml:space="preserve">15 </w:t>
      </w:r>
      <w:r w:rsidR="00F86284">
        <w:t>B</w:t>
      </w:r>
      <w:r w:rsidR="00607D74">
        <w:t>udget have affected</w:t>
      </w:r>
      <w:r w:rsidR="000123B9">
        <w:t xml:space="preserve"> frontline services. For example, </w:t>
      </w:r>
      <w:r w:rsidR="00A90C2C">
        <w:t xml:space="preserve">the National Aboriginal and Torres Strait Islander Legal Services </w:t>
      </w:r>
      <w:r w:rsidR="000123B9">
        <w:t>stated</w:t>
      </w:r>
      <w:r w:rsidR="00DF587C">
        <w:t xml:space="preserve"> in respect to the changes outlined in </w:t>
      </w:r>
      <w:r w:rsidR="00982FDA">
        <w:t xml:space="preserve">the </w:t>
      </w:r>
      <w:r w:rsidR="00DF587C">
        <w:t>MYEFO</w:t>
      </w:r>
      <w:r w:rsidR="000123B9">
        <w:t>:</w:t>
      </w:r>
    </w:p>
    <w:p w:rsidR="000123B9" w:rsidRPr="00AD702B" w:rsidRDefault="000123B9" w:rsidP="000123B9">
      <w:pPr>
        <w:pStyle w:val="Quote"/>
      </w:pPr>
      <w:r>
        <w:t>[I]</w:t>
      </w:r>
      <w:proofErr w:type="spellStart"/>
      <w:r w:rsidRPr="00607D74">
        <w:t>mplementing</w:t>
      </w:r>
      <w:proofErr w:type="spellEnd"/>
      <w:r w:rsidRPr="00607D74">
        <w:t xml:space="preserve"> the announced funding cuts cannot simply be done by removing dedicated law reform and advocacy positions. Given how law reform and advocacy work is shared amongst multiple people with responsibility in areas of frontline services, the implementation of the announced funding cuts will mean that cuts to frontline service delivery will have to be made. Furthermore, ATSILS allocate very few resources to law reform and advocacy work, and the size of the announced funding cuts far exceed what is spent in this area meaning that in order to implement such, other frontline services are</w:t>
      </w:r>
      <w:r>
        <w:t xml:space="preserve"> going to have to be withdrawn.</w:t>
      </w:r>
      <w:r w:rsidRPr="00607D74">
        <w:t xml:space="preserve"> (</w:t>
      </w:r>
      <w:proofErr w:type="gramStart"/>
      <w:r w:rsidRPr="00607D74">
        <w:t>sub</w:t>
      </w:r>
      <w:proofErr w:type="gramEnd"/>
      <w:r w:rsidRPr="00607D74">
        <w:t>.</w:t>
      </w:r>
      <w:r w:rsidR="003C4012">
        <w:t> </w:t>
      </w:r>
      <w:r w:rsidR="005D01A2">
        <w:t>DR</w:t>
      </w:r>
      <w:r w:rsidR="00460759" w:rsidRPr="00C61E3C">
        <w:t>327</w:t>
      </w:r>
      <w:r w:rsidRPr="00607D74">
        <w:t>, p.</w:t>
      </w:r>
      <w:r w:rsidR="003C4012">
        <w:t> </w:t>
      </w:r>
      <w:r w:rsidRPr="00607D74">
        <w:t>2)</w:t>
      </w:r>
    </w:p>
    <w:p w:rsidR="00D62BA8" w:rsidRPr="005E6D42" w:rsidRDefault="002E30F5" w:rsidP="007E085A">
      <w:pPr>
        <w:pStyle w:val="BodyText"/>
      </w:pPr>
      <w:r>
        <w:t>The</w:t>
      </w:r>
      <w:r w:rsidR="005D32DD">
        <w:t xml:space="preserve"> Commission </w:t>
      </w:r>
      <w:r>
        <w:t>is satisfied</w:t>
      </w:r>
      <w:r w:rsidR="005D32DD">
        <w:t xml:space="preserve"> that the changes to funding as part of the 2013</w:t>
      </w:r>
      <w:r w:rsidR="003C4012">
        <w:noBreakHyphen/>
      </w:r>
      <w:r w:rsidR="005D32DD">
        <w:t>14 MYEFO and 2014</w:t>
      </w:r>
      <w:r w:rsidR="003C4012">
        <w:noBreakHyphen/>
      </w:r>
      <w:r w:rsidR="005D32DD">
        <w:t xml:space="preserve">15 </w:t>
      </w:r>
      <w:r w:rsidR="00951D97">
        <w:t xml:space="preserve">Budget </w:t>
      </w:r>
      <w:r w:rsidR="005D32DD">
        <w:t xml:space="preserve">have affected frontline </w:t>
      </w:r>
      <w:r w:rsidR="00D23958">
        <w:t xml:space="preserve">legal </w:t>
      </w:r>
      <w:r w:rsidR="005D32DD">
        <w:t>services</w:t>
      </w:r>
      <w:r w:rsidR="003E1EFA">
        <w:t xml:space="preserve"> (chapter</w:t>
      </w:r>
      <w:r w:rsidR="003C4012">
        <w:t> </w:t>
      </w:r>
      <w:r w:rsidR="003E1EFA">
        <w:t>21)</w:t>
      </w:r>
      <w:r w:rsidR="005D32DD">
        <w:t>.</w:t>
      </w:r>
      <w:r w:rsidR="00D23958">
        <w:t xml:space="preserve"> The Commission </w:t>
      </w:r>
      <w:r w:rsidR="00C056D5">
        <w:t>considers</w:t>
      </w:r>
      <w:r w:rsidR="00D23958">
        <w:t xml:space="preserve"> </w:t>
      </w:r>
      <w:r w:rsidR="009D76EB">
        <w:t xml:space="preserve">that these adjustments to funding be </w:t>
      </w:r>
      <w:r w:rsidR="00F80662">
        <w:t>altered</w:t>
      </w:r>
      <w:r w:rsidR="009D76EB">
        <w:t>, and funding restored to</w:t>
      </w:r>
      <w:r w:rsidR="00410CE3">
        <w:t xml:space="preserve"> the</w:t>
      </w:r>
      <w:r w:rsidR="009D76EB">
        <w:t xml:space="preserve"> </w:t>
      </w:r>
      <w:r w:rsidR="00D23958">
        <w:t>LACs</w:t>
      </w:r>
      <w:r w:rsidR="00482AFC">
        <w:t xml:space="preserve"> and </w:t>
      </w:r>
      <w:r w:rsidR="00D23958">
        <w:t>ATSILS.</w:t>
      </w:r>
      <w:r w:rsidR="008C6FA8">
        <w:t xml:space="preserve"> </w:t>
      </w:r>
      <w:r w:rsidR="00226A30">
        <w:t>The</w:t>
      </w:r>
      <w:r w:rsidR="001B4A78">
        <w:t xml:space="preserve"> </w:t>
      </w:r>
      <w:r w:rsidR="00BB2059">
        <w:t xml:space="preserve">resulting </w:t>
      </w:r>
      <w:r w:rsidR="001B4A78">
        <w:t>total</w:t>
      </w:r>
      <w:r w:rsidR="00226A30">
        <w:t xml:space="preserve"> cost to the Commonwealth would be around </w:t>
      </w:r>
      <w:r w:rsidR="001B4A78">
        <w:t>$</w:t>
      </w:r>
      <w:r w:rsidR="002139F4">
        <w:t>34.8</w:t>
      </w:r>
      <w:r w:rsidR="00D72C1B">
        <w:t xml:space="preserve"> million</w:t>
      </w:r>
      <w:r w:rsidR="009576C9">
        <w:t xml:space="preserve"> </w:t>
      </w:r>
      <w:r w:rsidR="0077680B">
        <w:t xml:space="preserve">over </w:t>
      </w:r>
      <w:r w:rsidR="0036597A">
        <w:t>four years (or around $</w:t>
      </w:r>
      <w:r w:rsidR="002139F4">
        <w:t>8.7</w:t>
      </w:r>
      <w:r w:rsidR="0036597A">
        <w:t xml:space="preserve"> million per year)</w:t>
      </w:r>
      <w:r w:rsidR="009576C9">
        <w:t xml:space="preserve">. </w:t>
      </w:r>
      <w:r w:rsidR="005E6D42">
        <w:t xml:space="preserve">Consistent with recommendation </w:t>
      </w:r>
      <w:r w:rsidR="005E6D42" w:rsidRPr="00A4433F">
        <w:t>21.</w:t>
      </w:r>
      <w:r w:rsidR="009A2A46" w:rsidRPr="00A4433F">
        <w:t>6</w:t>
      </w:r>
      <w:r w:rsidR="005E6D42" w:rsidRPr="00A4433F">
        <w:t>,</w:t>
      </w:r>
      <w:r w:rsidR="005E6D42">
        <w:t xml:space="preserve"> more information around appropriate funding levels should then be available to make a comprehensive assessment of what funding is needed for each legal assistance provider.</w:t>
      </w:r>
    </w:p>
    <w:p w:rsidR="00EF26A3" w:rsidRDefault="00956959" w:rsidP="005660FF">
      <w:pPr>
        <w:pStyle w:val="BodyText"/>
      </w:pPr>
      <w:r>
        <w:t>T</w:t>
      </w:r>
      <w:r w:rsidR="0073071C">
        <w:t>h</w:t>
      </w:r>
      <w:r>
        <w:t xml:space="preserve">e case for returning CLSP funding back to the </w:t>
      </w:r>
      <w:r w:rsidR="000846DA">
        <w:t xml:space="preserve">level of the </w:t>
      </w:r>
      <w:r>
        <w:t>2013</w:t>
      </w:r>
      <w:r w:rsidR="003C4012">
        <w:noBreakHyphen/>
      </w:r>
      <w:r>
        <w:t xml:space="preserve">14 </w:t>
      </w:r>
      <w:r w:rsidR="00BF3304">
        <w:t>B</w:t>
      </w:r>
      <w:r w:rsidR="007C0D52">
        <w:t>udget is not as strong</w:t>
      </w:r>
      <w:r w:rsidR="00F6783B">
        <w:t xml:space="preserve">. </w:t>
      </w:r>
      <w:r w:rsidR="009B0382">
        <w:t>The additional funding provided in that budget comprised of new</w:t>
      </w:r>
      <w:r w:rsidR="000A537A">
        <w:t>, additional</w:t>
      </w:r>
      <w:r w:rsidR="009B0382">
        <w:t xml:space="preserve"> funds as well as a transfer</w:t>
      </w:r>
      <w:r w:rsidR="00891602">
        <w:t xml:space="preserve"> of funds</w:t>
      </w:r>
      <w:r w:rsidR="00102BB7">
        <w:t xml:space="preserve"> previously</w:t>
      </w:r>
      <w:r w:rsidR="00B564D0">
        <w:t xml:space="preserve"> allocated</w:t>
      </w:r>
      <w:r w:rsidR="009B0382">
        <w:t xml:space="preserve"> </w:t>
      </w:r>
      <w:r w:rsidR="00B564D0">
        <w:t>to</w:t>
      </w:r>
      <w:r w:rsidR="009B0382">
        <w:t xml:space="preserve"> other government programs (summarised in table</w:t>
      </w:r>
      <w:r w:rsidR="003C4012">
        <w:t> </w:t>
      </w:r>
      <w:r w:rsidR="009B0382">
        <w:t xml:space="preserve">20.4). </w:t>
      </w:r>
      <w:r w:rsidR="00F66232">
        <w:t>In practice, it appears that Environmental Defender</w:t>
      </w:r>
      <w:r w:rsidR="001459D1">
        <w:t>s</w:t>
      </w:r>
      <w:r w:rsidR="00F66232">
        <w:t xml:space="preserve"> Offices</w:t>
      </w:r>
      <w:r w:rsidR="00D44E7D">
        <w:t xml:space="preserve"> </w:t>
      </w:r>
      <w:r w:rsidR="00D44E7D">
        <w:lastRenderedPageBreak/>
        <w:t>(EDOs)</w:t>
      </w:r>
      <w:r w:rsidR="00F66232">
        <w:t xml:space="preserve"> benefited from the additional funding in the 2013</w:t>
      </w:r>
      <w:r w:rsidR="003C4012">
        <w:noBreakHyphen/>
      </w:r>
      <w:r w:rsidR="00F66232">
        <w:t xml:space="preserve">14 </w:t>
      </w:r>
      <w:r w:rsidR="001459D1">
        <w:t>Budget</w:t>
      </w:r>
      <w:r w:rsidR="00F66232">
        <w:t>, but then lost these gains</w:t>
      </w:r>
      <w:r w:rsidR="009F2252">
        <w:t>, as well as funding for their</w:t>
      </w:r>
      <w:r w:rsidR="00F66232">
        <w:t xml:space="preserve"> operating budgets</w:t>
      </w:r>
      <w:r w:rsidR="009F2252">
        <w:t>,</w:t>
      </w:r>
      <w:r w:rsidR="00F66232">
        <w:t xml:space="preserve"> as part of the 2013</w:t>
      </w:r>
      <w:r w:rsidR="003C4012">
        <w:noBreakHyphen/>
      </w:r>
      <w:r w:rsidR="00F66232">
        <w:t xml:space="preserve">14 MYEFO decisions. </w:t>
      </w:r>
    </w:p>
    <w:p w:rsidR="006477D0" w:rsidRDefault="0044730E" w:rsidP="00B56B7F">
      <w:pPr>
        <w:pStyle w:val="BodyText"/>
      </w:pPr>
      <w:r w:rsidRPr="009668F6">
        <w:t>C</w:t>
      </w:r>
      <w:r w:rsidR="0011777A" w:rsidRPr="009668F6">
        <w:t xml:space="preserve">onsequently, the Commission </w:t>
      </w:r>
      <w:r w:rsidR="001C6B52" w:rsidRPr="009668F6">
        <w:t xml:space="preserve">considers </w:t>
      </w:r>
      <w:r w:rsidR="0011777A" w:rsidRPr="009668F6">
        <w:t>that the Commonwealth</w:t>
      </w:r>
      <w:r w:rsidR="00E57688" w:rsidRPr="009668F6">
        <w:t xml:space="preserve"> should</w:t>
      </w:r>
      <w:r w:rsidR="00883425" w:rsidRPr="009668F6">
        <w:t xml:space="preserve"> provide funding for</w:t>
      </w:r>
      <w:r w:rsidR="00C87287" w:rsidRPr="009668F6">
        <w:t xml:space="preserve"> the operating costs of the </w:t>
      </w:r>
      <w:r w:rsidR="00883425" w:rsidRPr="009668F6">
        <w:t xml:space="preserve">EDOs </w:t>
      </w:r>
      <w:r w:rsidR="00357BBD" w:rsidRPr="009668F6">
        <w:t>(</w:t>
      </w:r>
      <w:r w:rsidR="00C87287" w:rsidRPr="009668F6">
        <w:t>of around $1 million per year</w:t>
      </w:r>
      <w:r w:rsidR="004D7286" w:rsidRPr="009668F6">
        <w:t>,</w:t>
      </w:r>
      <w:r w:rsidR="00C87287" w:rsidRPr="009668F6">
        <w:t xml:space="preserve"> over four years</w:t>
      </w:r>
      <w:r w:rsidR="00357BBD" w:rsidRPr="009668F6">
        <w:t>),</w:t>
      </w:r>
      <w:r w:rsidR="002F206C" w:rsidRPr="009668F6">
        <w:t xml:space="preserve"> but</w:t>
      </w:r>
      <w:r w:rsidR="00B1045C" w:rsidRPr="009668F6">
        <w:t xml:space="preserve"> does</w:t>
      </w:r>
      <w:r w:rsidR="002F206C" w:rsidRPr="009668F6">
        <w:t xml:space="preserve"> not see merit in restoring </w:t>
      </w:r>
      <w:r w:rsidR="00EC5D8B" w:rsidRPr="009668F6">
        <w:t xml:space="preserve">to </w:t>
      </w:r>
      <w:r w:rsidR="009F2630" w:rsidRPr="009668F6">
        <w:t>the EDOs</w:t>
      </w:r>
      <w:r w:rsidR="00EC5D8B" w:rsidRPr="009668F6">
        <w:t xml:space="preserve"> </w:t>
      </w:r>
      <w:r w:rsidR="002F206C" w:rsidRPr="009668F6">
        <w:t xml:space="preserve">those additional funds that they received </w:t>
      </w:r>
      <w:r w:rsidR="00BF4E3D" w:rsidRPr="009668F6">
        <w:t>in the 2013</w:t>
      </w:r>
      <w:r w:rsidR="003C4012" w:rsidRPr="009668F6">
        <w:noBreakHyphen/>
      </w:r>
      <w:r w:rsidR="00BF4E3D" w:rsidRPr="009668F6">
        <w:t>14 Budget</w:t>
      </w:r>
      <w:r w:rsidR="002F206C" w:rsidRPr="009668F6">
        <w:t>.</w:t>
      </w:r>
      <w:r w:rsidR="00C87287" w:rsidRPr="009668F6">
        <w:t xml:space="preserve"> </w:t>
      </w:r>
      <w:r w:rsidR="001E43CB" w:rsidRPr="009668F6">
        <w:t>This adjustment, in conjunction with r</w:t>
      </w:r>
      <w:r w:rsidR="00F931AC" w:rsidRPr="009668F6">
        <w:t>eturning</w:t>
      </w:r>
      <w:r w:rsidR="001E43CB" w:rsidRPr="009668F6">
        <w:t xml:space="preserve"> </w:t>
      </w:r>
      <w:r w:rsidR="003C489F" w:rsidRPr="009668F6">
        <w:t>the other</w:t>
      </w:r>
      <w:r w:rsidR="001E43CB" w:rsidRPr="009668F6">
        <w:t xml:space="preserve"> CLSP funding </w:t>
      </w:r>
      <w:r w:rsidR="00056D8E" w:rsidRPr="009668F6">
        <w:t xml:space="preserve">that was withdrawn </w:t>
      </w:r>
      <w:r w:rsidR="001E43CB" w:rsidRPr="009668F6">
        <w:t xml:space="preserve">in the </w:t>
      </w:r>
      <w:r w:rsidR="002C036B" w:rsidRPr="009668F6">
        <w:t>2013</w:t>
      </w:r>
      <w:r w:rsidR="003C4012" w:rsidRPr="009668F6">
        <w:noBreakHyphen/>
      </w:r>
      <w:r w:rsidR="002C036B" w:rsidRPr="009668F6">
        <w:t>1</w:t>
      </w:r>
      <w:r w:rsidR="001E43CB" w:rsidRPr="009668F6">
        <w:t xml:space="preserve">4 MYEFO, </w:t>
      </w:r>
      <w:r w:rsidR="0067652B" w:rsidRPr="009668F6">
        <w:t xml:space="preserve">would cost the Commonwealth </w:t>
      </w:r>
      <w:r w:rsidR="006C34DF" w:rsidRPr="009668F6">
        <w:t xml:space="preserve">a total of $10.6 million </w:t>
      </w:r>
      <w:r w:rsidR="00056D8E" w:rsidRPr="009668F6">
        <w:t xml:space="preserve">over </w:t>
      </w:r>
      <w:r w:rsidR="006C34DF" w:rsidRPr="009668F6">
        <w:t>four years (or around $2.6 million per year)</w:t>
      </w:r>
      <w:r w:rsidR="001F2F34" w:rsidRPr="009668F6">
        <w:t>.</w:t>
      </w:r>
    </w:p>
    <w:p w:rsidR="00D23958" w:rsidRDefault="00B56B7F" w:rsidP="00B56B7F">
      <w:pPr>
        <w:pStyle w:val="BodyText"/>
      </w:pPr>
      <w:r>
        <w:t>In total, the cost of th</w:t>
      </w:r>
      <w:r w:rsidR="00C8352B">
        <w:t>ese</w:t>
      </w:r>
      <w:r>
        <w:t xml:space="preserve"> proposal</w:t>
      </w:r>
      <w:r w:rsidR="00A36D8A">
        <w:t>s</w:t>
      </w:r>
      <w:r>
        <w:t xml:space="preserve"> is $</w:t>
      </w:r>
      <w:r w:rsidR="001D0CDF">
        <w:t>45.4</w:t>
      </w:r>
      <w:r>
        <w:t xml:space="preserve"> million </w:t>
      </w:r>
      <w:r w:rsidR="00056D8E">
        <w:t xml:space="preserve">over </w:t>
      </w:r>
      <w:r>
        <w:t>four years (or around $</w:t>
      </w:r>
      <w:r w:rsidR="00AF2FAD">
        <w:t>11.4 </w:t>
      </w:r>
      <w:r w:rsidR="00D71B60">
        <w:t>million</w:t>
      </w:r>
      <w:r>
        <w:t xml:space="preserve"> per year).</w:t>
      </w:r>
      <w:r w:rsidR="00A2153B">
        <w:t xml:space="preserve"> </w:t>
      </w:r>
    </w:p>
    <w:p w:rsidR="003A29D8" w:rsidRPr="007E085A" w:rsidRDefault="000E7A09" w:rsidP="000E7A09">
      <w:pPr>
        <w:pStyle w:val="Heading3"/>
      </w:pPr>
      <w:r w:rsidRPr="000E7A09">
        <w:t>Providing additional funding to the LACs to relax the</w:t>
      </w:r>
      <w:r w:rsidR="00D16406">
        <w:t>ir</w:t>
      </w:r>
      <w:r w:rsidRPr="000E7A09">
        <w:t xml:space="preserve"> means test</w:t>
      </w:r>
      <w:r w:rsidR="00D16406">
        <w:t>s</w:t>
      </w:r>
    </w:p>
    <w:p w:rsidR="00242070" w:rsidRDefault="00242070" w:rsidP="00700AC1">
      <w:pPr>
        <w:pStyle w:val="BodyText"/>
      </w:pPr>
      <w:r>
        <w:t xml:space="preserve">The Commission has used a variety of data sources in order to cost the recommendation </w:t>
      </w:r>
      <w:r w:rsidR="00545484">
        <w:t>about</w:t>
      </w:r>
      <w:r>
        <w:t xml:space="preserve"> relaxing the means test</w:t>
      </w:r>
      <w:r w:rsidR="00512156">
        <w:t>s</w:t>
      </w:r>
      <w:r w:rsidR="00A57E9B">
        <w:t xml:space="preserve"> applied by the LACs for civil </w:t>
      </w:r>
      <w:r w:rsidR="008F01D1">
        <w:t>(</w:t>
      </w:r>
      <w:r w:rsidR="004E5BB7">
        <w:t xml:space="preserve">including </w:t>
      </w:r>
      <w:r w:rsidR="00A57E9B">
        <w:t>family</w:t>
      </w:r>
      <w:r w:rsidR="008F01D1">
        <w:t>)</w:t>
      </w:r>
      <w:r w:rsidR="00A57E9B">
        <w:t xml:space="preserve"> matters</w:t>
      </w:r>
      <w:r w:rsidR="009D02D4">
        <w:t>. These include</w:t>
      </w:r>
      <w:r w:rsidR="007E7305">
        <w:t>:</w:t>
      </w:r>
    </w:p>
    <w:p w:rsidR="009D02D4" w:rsidRDefault="004B35E3" w:rsidP="009D02D4">
      <w:pPr>
        <w:pStyle w:val="ListBullet"/>
      </w:pPr>
      <w:r>
        <w:t xml:space="preserve">unpublished </w:t>
      </w:r>
      <w:r w:rsidR="00F201D8">
        <w:t xml:space="preserve">administrative </w:t>
      </w:r>
      <w:r>
        <w:t>d</w:t>
      </w:r>
      <w:r w:rsidR="009D02D4">
        <w:t>ata from Victoria Legal Aid (VLA) on the number and average costs of services provided, by matter and method</w:t>
      </w:r>
      <w:r w:rsidR="008F1900">
        <w:t xml:space="preserve"> (</w:t>
      </w:r>
      <w:r w:rsidR="007E07CA">
        <w:t>grants of aid, duty lawyer services, minor assistance services, and information services)</w:t>
      </w:r>
    </w:p>
    <w:p w:rsidR="009D02D4" w:rsidRDefault="004B35E3" w:rsidP="009D02D4">
      <w:pPr>
        <w:pStyle w:val="ListBullet"/>
      </w:pPr>
      <w:r>
        <w:t>unpublished</w:t>
      </w:r>
      <w:r w:rsidR="00F201D8">
        <w:t xml:space="preserve"> administrative</w:t>
      </w:r>
      <w:r>
        <w:t xml:space="preserve"> d</w:t>
      </w:r>
      <w:r w:rsidR="009D02D4">
        <w:t>ata from Legal Aid New South Wales (LANSW) on the number of services provided by matter and method, along with the average cost of grants of aid fulfilled by private pra</w:t>
      </w:r>
      <w:r>
        <w:t>ctitioners</w:t>
      </w:r>
    </w:p>
    <w:p w:rsidR="004B35E3" w:rsidRDefault="004B35E3" w:rsidP="009D02D4">
      <w:pPr>
        <w:pStyle w:val="ListBullet"/>
      </w:pPr>
      <w:r>
        <w:t xml:space="preserve">published data from the </w:t>
      </w:r>
      <w:r w:rsidR="00F201D8">
        <w:t>N</w:t>
      </w:r>
      <w:r>
        <w:t xml:space="preserve">ational </w:t>
      </w:r>
      <w:r w:rsidR="00F201D8">
        <w:t>L</w:t>
      </w:r>
      <w:r>
        <w:t xml:space="preserve">egal </w:t>
      </w:r>
      <w:r w:rsidR="00F201D8">
        <w:t>A</w:t>
      </w:r>
      <w:r>
        <w:t>id</w:t>
      </w:r>
      <w:r w:rsidR="00F201D8">
        <w:t xml:space="preserve"> (NLA)</w:t>
      </w:r>
      <w:r>
        <w:t xml:space="preserve"> website, which shows the total expenses for each legal aid commission</w:t>
      </w:r>
    </w:p>
    <w:p w:rsidR="004B35E3" w:rsidRDefault="004B35E3" w:rsidP="009D02D4">
      <w:pPr>
        <w:pStyle w:val="ListBullet"/>
      </w:pPr>
      <w:proofErr w:type="gramStart"/>
      <w:r>
        <w:t>the</w:t>
      </w:r>
      <w:proofErr w:type="gramEnd"/>
      <w:r>
        <w:t xml:space="preserve"> ABS </w:t>
      </w:r>
      <w:r w:rsidR="000D7D8F">
        <w:t>2009</w:t>
      </w:r>
      <w:r w:rsidR="003C4012">
        <w:noBreakHyphen/>
      </w:r>
      <w:r w:rsidR="000D7D8F">
        <w:t xml:space="preserve">10 </w:t>
      </w:r>
      <w:r>
        <w:t>Household Expenditure Survey</w:t>
      </w:r>
      <w:r w:rsidR="007C70E5">
        <w:t xml:space="preserve"> (HES)</w:t>
      </w:r>
      <w:r>
        <w:t>, which provides information around the distribution of income and assets of households.</w:t>
      </w:r>
    </w:p>
    <w:p w:rsidR="00B62797" w:rsidRDefault="0055719A" w:rsidP="00B62797">
      <w:pPr>
        <w:pStyle w:val="BodyText"/>
      </w:pPr>
      <w:r>
        <w:t xml:space="preserve">However, </w:t>
      </w:r>
      <w:r w:rsidR="00E14DC4">
        <w:t xml:space="preserve">these data </w:t>
      </w:r>
      <w:r w:rsidR="00563575">
        <w:t>have some</w:t>
      </w:r>
      <w:r w:rsidR="00E14DC4">
        <w:t xml:space="preserve"> </w:t>
      </w:r>
      <w:r>
        <w:t>limitations.</w:t>
      </w:r>
      <w:r w:rsidR="00910FC2">
        <w:t xml:space="preserve"> </w:t>
      </w:r>
      <w:r w:rsidR="00B62797">
        <w:t>The data provided by the LACs contain</w:t>
      </w:r>
      <w:r w:rsidR="00397FCB">
        <w:t>s</w:t>
      </w:r>
      <w:r w:rsidR="00B62797">
        <w:t xml:space="preserve"> some gaps. </w:t>
      </w:r>
      <w:r w:rsidR="00397FCB">
        <w:t xml:space="preserve">For example, the </w:t>
      </w:r>
      <w:r w:rsidR="00B62797">
        <w:t xml:space="preserve">data from VLA only contains a sampling of costs for grants of legal aid (which make up the largest proportion of LAC expenditure) at private practitioner rates. Similarly, LANSW was only able to provide the average cost of grants of legal aid for private practitioner rates. This means that there </w:t>
      </w:r>
      <w:r w:rsidR="00397FCB">
        <w:t xml:space="preserve">are </w:t>
      </w:r>
      <w:r w:rsidR="00B62797">
        <w:t>no data on the cost of providing</w:t>
      </w:r>
      <w:r w:rsidR="00397FCB">
        <w:t xml:space="preserve"> ‘in</w:t>
      </w:r>
      <w:r w:rsidR="00397FCB">
        <w:noBreakHyphen/>
        <w:t>house’</w:t>
      </w:r>
      <w:r w:rsidR="00B62797">
        <w:t xml:space="preserve"> grants </w:t>
      </w:r>
      <w:r w:rsidR="00397FCB">
        <w:t>of legal aid</w:t>
      </w:r>
      <w:r w:rsidR="00B62797">
        <w:t>. To account for this, the Commission has calculated the total cost of grants of aid at private practitioner rates, then ‘scaled down’ the result by a factor equal to the number of grants of aid provided in-house as a share of total grants of aid.</w:t>
      </w:r>
      <w:r w:rsidR="00380417">
        <w:t xml:space="preserve"> Such a </w:t>
      </w:r>
      <w:r w:rsidR="00F436FB">
        <w:t>method</w:t>
      </w:r>
      <w:r w:rsidR="00380417">
        <w:t xml:space="preserve"> </w:t>
      </w:r>
      <w:r w:rsidR="00B72C64">
        <w:t>implicitly</w:t>
      </w:r>
      <w:r w:rsidR="00380417">
        <w:t xml:space="preserve"> assumes the same ratio of in-house grants of aid to </w:t>
      </w:r>
      <w:r w:rsidR="0051474D">
        <w:t>private practitioner grants in any costing calculation.</w:t>
      </w:r>
    </w:p>
    <w:p w:rsidR="00B62797" w:rsidRDefault="00B62797" w:rsidP="00B62797">
      <w:pPr>
        <w:pStyle w:val="BodyText"/>
      </w:pPr>
      <w:r>
        <w:t xml:space="preserve">Another </w:t>
      </w:r>
      <w:r w:rsidR="004B335C">
        <w:t xml:space="preserve">limitation </w:t>
      </w:r>
      <w:r>
        <w:t>is that LANSW was unable to provide cost estimates for providing duty lawyer</w:t>
      </w:r>
      <w:r w:rsidR="001942EC">
        <w:t xml:space="preserve"> services</w:t>
      </w:r>
      <w:r>
        <w:t xml:space="preserve">, minor assistance, and information services (but were able to provide the </w:t>
      </w:r>
      <w:r>
        <w:lastRenderedPageBreak/>
        <w:t xml:space="preserve">number of each). To cost these services, the VLA costs have been applied to the LANSW figure as they represent the closest substitute for which detailed data </w:t>
      </w:r>
      <w:r w:rsidR="001942EC">
        <w:t xml:space="preserve">are </w:t>
      </w:r>
      <w:r>
        <w:t>available. Such a process is</w:t>
      </w:r>
      <w:r w:rsidR="001339DC">
        <w:t xml:space="preserve"> not ideal, but is</w:t>
      </w:r>
      <w:r>
        <w:t xml:space="preserve"> consistent with cost-benefit analysis methods</w:t>
      </w:r>
      <w:r w:rsidR="001942EC">
        <w:t xml:space="preserve"> </w:t>
      </w:r>
      <w:r w:rsidR="001942EC" w:rsidRPr="001942EC">
        <w:rPr>
          <w:szCs w:val="24"/>
        </w:rPr>
        <w:t>(Department of Finance and Administration 2006)</w:t>
      </w:r>
      <w:r w:rsidR="00AC7623" w:rsidRPr="00D8005C">
        <w:t>.</w:t>
      </w:r>
    </w:p>
    <w:p w:rsidR="00FE479E" w:rsidRDefault="00FE479E" w:rsidP="00FE479E">
      <w:pPr>
        <w:pStyle w:val="BodyText"/>
      </w:pPr>
      <w:r>
        <w:t xml:space="preserve">The data provided by VLA and LANSW </w:t>
      </w:r>
      <w:r w:rsidR="009E0B83">
        <w:t xml:space="preserve">have </w:t>
      </w:r>
      <w:r>
        <w:t xml:space="preserve">been used to derive the total costs of providing legal services for </w:t>
      </w:r>
      <w:r w:rsidR="009E0B83">
        <w:t xml:space="preserve">civil </w:t>
      </w:r>
      <w:r w:rsidR="00E87FE3">
        <w:t>(including family)</w:t>
      </w:r>
      <w:r>
        <w:t xml:space="preserve"> law</w:t>
      </w:r>
      <w:r w:rsidR="009E0B83">
        <w:t xml:space="preserve"> matters</w:t>
      </w:r>
      <w:r>
        <w:t xml:space="preserve"> </w:t>
      </w:r>
      <w:r w:rsidR="009E0B83">
        <w:t xml:space="preserve">in </w:t>
      </w:r>
      <w:r>
        <w:t>those jurisdictions for 2012</w:t>
      </w:r>
      <w:r w:rsidR="003C4012">
        <w:noBreakHyphen/>
      </w:r>
      <w:r>
        <w:t>13. The resulting estimates, combined with the NLA data, allow for the proportion of costs associated with providing legal aid in those areas of law. This proportion was then applied nationally to determine an imputed total</w:t>
      </w:r>
      <w:r w:rsidR="008162D0">
        <w:t xml:space="preserve"> national</w:t>
      </w:r>
      <w:r>
        <w:t xml:space="preserve"> cost </w:t>
      </w:r>
      <w:r w:rsidR="0032747D">
        <w:t xml:space="preserve">for </w:t>
      </w:r>
      <w:r>
        <w:t xml:space="preserve">civil </w:t>
      </w:r>
      <w:r w:rsidR="003E1EFA">
        <w:t xml:space="preserve">(including family) </w:t>
      </w:r>
      <w:r>
        <w:t>law services</w:t>
      </w:r>
      <w:r w:rsidR="002554BD">
        <w:t xml:space="preserve"> — around 35</w:t>
      </w:r>
      <w:r w:rsidR="007949AA">
        <w:t> </w:t>
      </w:r>
      <w:r w:rsidR="002554BD">
        <w:t>per cent</w:t>
      </w:r>
      <w:r w:rsidR="00C47F39">
        <w:t xml:space="preserve"> of total expenses</w:t>
      </w:r>
      <w:r>
        <w:t xml:space="preserve">. </w:t>
      </w:r>
    </w:p>
    <w:p w:rsidR="00927677" w:rsidRDefault="00862699" w:rsidP="00862699">
      <w:pPr>
        <w:pStyle w:val="BodyText"/>
      </w:pPr>
      <w:r>
        <w:t xml:space="preserve">The HES data </w:t>
      </w:r>
      <w:r w:rsidR="009E0B83">
        <w:t xml:space="preserve">have </w:t>
      </w:r>
      <w:r>
        <w:t xml:space="preserve">been used to plot </w:t>
      </w:r>
      <w:r w:rsidR="00EA6979">
        <w:t xml:space="preserve">a distribution of income and assets that, depending on where thresholds are drawn, define how many people are in scope for legal aid. </w:t>
      </w:r>
      <w:r w:rsidR="00927677">
        <w:t xml:space="preserve">A baseline case is first set </w:t>
      </w:r>
      <w:r w:rsidR="00AB5122">
        <w:t>by picking a representative income and asset</w:t>
      </w:r>
      <w:r w:rsidR="007730F8">
        <w:t>s</w:t>
      </w:r>
      <w:r w:rsidR="00AB5122">
        <w:t xml:space="preserve"> test based on those estimated by the </w:t>
      </w:r>
      <w:r w:rsidR="00F769D2">
        <w:t>C</w:t>
      </w:r>
      <w:r w:rsidR="00AB5122">
        <w:t xml:space="preserve">ommission to be eligible for a grant of legal aid (section </w:t>
      </w:r>
      <w:r w:rsidR="00C12E9C">
        <w:t>H.</w:t>
      </w:r>
      <w:r w:rsidR="00AB5122">
        <w:t>1)</w:t>
      </w:r>
      <w:r w:rsidR="003D4BE0">
        <w:t xml:space="preserve"> —</w:t>
      </w:r>
      <w:r w:rsidR="00AB5122">
        <w:t xml:space="preserve"> around 8 per cent of households. Changes to the means test </w:t>
      </w:r>
      <w:r w:rsidR="004B2052">
        <w:t>allow</w:t>
      </w:r>
      <w:r w:rsidR="000C08F3">
        <w:t xml:space="preserve"> for a new proportion of households </w:t>
      </w:r>
      <w:r w:rsidR="00AB5122">
        <w:t xml:space="preserve">eligible for legal aid </w:t>
      </w:r>
      <w:r w:rsidR="004B2052">
        <w:t>to be estimated</w:t>
      </w:r>
      <w:r w:rsidR="00AB5122">
        <w:t>, and it is the proportionate change between this and the baseline case that determines the additional funding required (by applying it to the national total for civil</w:t>
      </w:r>
      <w:r w:rsidR="008736EE">
        <w:t xml:space="preserve">, including </w:t>
      </w:r>
      <w:r w:rsidR="00AB5122">
        <w:t>family</w:t>
      </w:r>
      <w:r w:rsidR="008736EE">
        <w:t>,</w:t>
      </w:r>
      <w:r w:rsidR="00AB5122">
        <w:t xml:space="preserve"> law matters). </w:t>
      </w:r>
    </w:p>
    <w:p w:rsidR="00CA15C8" w:rsidRDefault="00CA15C8" w:rsidP="00CA15C8">
      <w:pPr>
        <w:pStyle w:val="Heading4"/>
      </w:pPr>
      <w:r>
        <w:t>Choosing a ‘baseline’ set of eligibility requirements</w:t>
      </w:r>
    </w:p>
    <w:p w:rsidR="0081428C" w:rsidRDefault="00CA15C8" w:rsidP="003B394D">
      <w:pPr>
        <w:pStyle w:val="BodyText"/>
      </w:pPr>
      <w:r>
        <w:t xml:space="preserve">The Commission has used a simplified approach that considers </w:t>
      </w:r>
      <w:proofErr w:type="spellStart"/>
      <w:r>
        <w:t>equivalised</w:t>
      </w:r>
      <w:proofErr w:type="spellEnd"/>
      <w:r>
        <w:t xml:space="preserve"> household</w:t>
      </w:r>
      <w:r w:rsidR="006C3452">
        <w:t xml:space="preserve"> disposable</w:t>
      </w:r>
      <w:r>
        <w:t xml:space="preserve"> income </w:t>
      </w:r>
      <w:r w:rsidR="00466F50">
        <w:t xml:space="preserve">(box </w:t>
      </w:r>
      <w:r w:rsidR="0031148A">
        <w:t>H</w:t>
      </w:r>
      <w:r w:rsidR="00466F50">
        <w:t xml:space="preserve">.1) </w:t>
      </w:r>
      <w:r>
        <w:t>and a single</w:t>
      </w:r>
      <w:r w:rsidR="005535E1">
        <w:t>, combined</w:t>
      </w:r>
      <w:r>
        <w:t xml:space="preserve"> measure of net assets to determine </w:t>
      </w:r>
      <w:r w:rsidR="004724A5">
        <w:t>changes in eligibility</w:t>
      </w:r>
      <w:r w:rsidR="000A3D23">
        <w:t xml:space="preserve">. This is a </w:t>
      </w:r>
      <w:r>
        <w:t xml:space="preserve">simpler </w:t>
      </w:r>
      <w:r w:rsidR="000A3D23">
        <w:t xml:space="preserve">approach than the means tests commonly employed by the LACs </w:t>
      </w:r>
      <w:r>
        <w:t xml:space="preserve">as it does not </w:t>
      </w:r>
      <w:r w:rsidR="00CE448A">
        <w:t>make different allowances for different assets</w:t>
      </w:r>
      <w:r>
        <w:t>.</w:t>
      </w:r>
      <w:r w:rsidR="0063575A">
        <w:t xml:space="preserve"> </w:t>
      </w:r>
      <w:r w:rsidR="006D18C7">
        <w:t>The choice of this approach</w:t>
      </w:r>
      <w:r>
        <w:t xml:space="preserve"> has been</w:t>
      </w:r>
      <w:r w:rsidR="00AD0D66">
        <w:t xml:space="preserve"> made on the grounds that it is the</w:t>
      </w:r>
      <w:r w:rsidR="007C5062">
        <w:t xml:space="preserve"> limits on</w:t>
      </w:r>
      <w:r w:rsidR="00AD0D66">
        <w:t xml:space="preserve"> ‘other assets’ that are the </w:t>
      </w:r>
      <w:r w:rsidR="00B717E1">
        <w:t>main</w:t>
      </w:r>
      <w:r w:rsidR="00AD0D66">
        <w:t xml:space="preserve"> binding constraint</w:t>
      </w:r>
      <w:r w:rsidR="00B717E1">
        <w:t xml:space="preserve">, rather than the </w:t>
      </w:r>
      <w:r w:rsidR="005B7E84">
        <w:t xml:space="preserve">specific </w:t>
      </w:r>
      <w:r w:rsidR="00B717E1">
        <w:t>asset types</w:t>
      </w:r>
      <w:r w:rsidR="008F187B">
        <w:t xml:space="preserve"> commonly considered</w:t>
      </w:r>
      <w:r>
        <w:t xml:space="preserve"> (figure </w:t>
      </w:r>
      <w:r w:rsidR="0031148A">
        <w:t>H</w:t>
      </w:r>
      <w:r>
        <w:t>.1).</w:t>
      </w:r>
      <w:r w:rsidR="005B7E84" w:rsidRPr="006122C7">
        <w:rPr>
          <w:rStyle w:val="FootnoteReference"/>
        </w:rPr>
        <w:footnoteReference w:id="1"/>
      </w:r>
      <w:r>
        <w:t xml:space="preserve"> </w:t>
      </w:r>
    </w:p>
    <w:p w:rsidR="00A73B9F" w:rsidRDefault="00EF4EF6" w:rsidP="00A73B9F">
      <w:pPr>
        <w:pStyle w:val="BodyText"/>
      </w:pPr>
      <w:r>
        <w:t xml:space="preserve">An </w:t>
      </w:r>
      <w:proofErr w:type="gramStart"/>
      <w:r>
        <w:t>initial,</w:t>
      </w:r>
      <w:proofErr w:type="gramEnd"/>
      <w:r>
        <w:t xml:space="preserve"> or ‘baseline’ set of income and asset</w:t>
      </w:r>
      <w:r w:rsidR="0032747D">
        <w:t>s</w:t>
      </w:r>
      <w:r>
        <w:t xml:space="preserve"> parameters </w:t>
      </w:r>
      <w:r w:rsidR="001E70A0">
        <w:t>is</w:t>
      </w:r>
      <w:r>
        <w:t xml:space="preserve"> necessary </w:t>
      </w:r>
      <w:r w:rsidR="00F867D6">
        <w:t xml:space="preserve">in order to determine proportional changes </w:t>
      </w:r>
      <w:r w:rsidR="008109F3">
        <w:t>in the number of households eligible for legal aid.</w:t>
      </w:r>
      <w:r w:rsidR="005E6952">
        <w:t xml:space="preserve"> This baseline set of income and net assets is chosen by examining the distribution of income and assets for those households found to be </w:t>
      </w:r>
      <w:r w:rsidR="00A73B9F">
        <w:t xml:space="preserve">eligible under the </w:t>
      </w:r>
      <w:r w:rsidR="009C5B13">
        <w:t>‘notional’</w:t>
      </w:r>
      <w:r w:rsidR="00A73B9F">
        <w:t xml:space="preserve"> national parameters discussed in section </w:t>
      </w:r>
      <w:r w:rsidR="0031148A">
        <w:t>H</w:t>
      </w:r>
      <w:r w:rsidR="00A73B9F">
        <w:t>.1. This indicates that:</w:t>
      </w:r>
    </w:p>
    <w:p w:rsidR="006158E6" w:rsidRDefault="0035078A" w:rsidP="00A73B9F">
      <w:pPr>
        <w:pStyle w:val="ListBullet"/>
      </w:pPr>
      <w:r>
        <w:t>a</w:t>
      </w:r>
      <w:r w:rsidR="00CA15C8">
        <w:t xml:space="preserve"> median </w:t>
      </w:r>
      <w:proofErr w:type="spellStart"/>
      <w:r w:rsidR="00CA15C8">
        <w:t>equiv</w:t>
      </w:r>
      <w:r w:rsidR="00CC035B">
        <w:t>a</w:t>
      </w:r>
      <w:r w:rsidR="00CA15C8">
        <w:t>lised</w:t>
      </w:r>
      <w:proofErr w:type="spellEnd"/>
      <w:r w:rsidR="00CA15C8">
        <w:t xml:space="preserve"> disposable household income </w:t>
      </w:r>
      <w:r w:rsidR="006158E6">
        <w:t>of</w:t>
      </w:r>
      <w:r w:rsidR="00CA15C8">
        <w:t xml:space="preserve"> approximately $400 per week</w:t>
      </w:r>
      <w:r w:rsidR="00CB57FA">
        <w:t xml:space="preserve"> (</w:t>
      </w:r>
      <w:r w:rsidR="00CA15C8">
        <w:t>or around $20 000 per year</w:t>
      </w:r>
      <w:r w:rsidR="00CB57FA">
        <w:t>)</w:t>
      </w:r>
      <w:r w:rsidR="00CA15C8">
        <w:t xml:space="preserve"> </w:t>
      </w:r>
    </w:p>
    <w:p w:rsidR="009D6DBC" w:rsidRDefault="001E11B5" w:rsidP="009D6DBC">
      <w:pPr>
        <w:pStyle w:val="ListBullet"/>
      </w:pPr>
      <w:proofErr w:type="gramStart"/>
      <w:r>
        <w:t>most</w:t>
      </w:r>
      <w:proofErr w:type="gramEnd"/>
      <w:r>
        <w:t xml:space="preserve"> households had</w:t>
      </w:r>
      <w:r w:rsidR="0035078A">
        <w:t xml:space="preserve"> </w:t>
      </w:r>
      <w:r w:rsidR="006158E6">
        <w:t>net asset</w:t>
      </w:r>
      <w:r>
        <w:t>s of less than</w:t>
      </w:r>
      <w:r w:rsidR="00CA15C8">
        <w:t xml:space="preserve"> $150 000</w:t>
      </w:r>
      <w:r w:rsidR="00274C55">
        <w:t>.</w:t>
      </w:r>
      <w:r w:rsidR="00C31158" w:rsidRPr="006122C7">
        <w:rPr>
          <w:rStyle w:val="FootnoteReference"/>
        </w:rPr>
        <w:footnoteReference w:id="2"/>
      </w:r>
    </w:p>
    <w:p w:rsidR="00CA15C8" w:rsidRDefault="001E11B5" w:rsidP="00587488">
      <w:pPr>
        <w:pStyle w:val="BodyText"/>
      </w:pPr>
      <w:r w:rsidRPr="00C2737A">
        <w:lastRenderedPageBreak/>
        <w:t>These parameters</w:t>
      </w:r>
      <w:r w:rsidR="006B32C2" w:rsidRPr="00C2737A">
        <w:t xml:space="preserve"> were</w:t>
      </w:r>
      <w:r w:rsidRPr="00C2737A">
        <w:t xml:space="preserve"> used to calculate </w:t>
      </w:r>
      <w:r w:rsidR="00975116" w:rsidRPr="00C2737A">
        <w:t>the baseline case, which</w:t>
      </w:r>
      <w:r w:rsidR="005A4505">
        <w:t xml:space="preserve"> </w:t>
      </w:r>
      <w:r w:rsidR="00233CDA" w:rsidRPr="00C2737A">
        <w:t xml:space="preserve">in turn indicate that </w:t>
      </w:r>
      <w:r w:rsidR="006B32C2" w:rsidRPr="00C2737A">
        <w:t>around</w:t>
      </w:r>
      <w:r w:rsidR="000223B8" w:rsidRPr="00C2737A">
        <w:t xml:space="preserve"> </w:t>
      </w:r>
      <w:r w:rsidR="006B32C2" w:rsidRPr="00C2737A">
        <w:t>8 </w:t>
      </w:r>
      <w:r w:rsidR="00975116" w:rsidRPr="00C2737A">
        <w:t xml:space="preserve">per cent of households </w:t>
      </w:r>
      <w:r w:rsidR="008D570E" w:rsidRPr="00C2737A">
        <w:t>are eligible</w:t>
      </w:r>
      <w:r w:rsidR="005D7EB2" w:rsidRPr="00C2737A">
        <w:t xml:space="preserve"> for grants of legal aid.</w:t>
      </w:r>
    </w:p>
    <w:p w:rsidR="003B0D6A" w:rsidRDefault="003B0D6A" w:rsidP="003B0D6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B0D6A" w:rsidTr="00357BBD">
        <w:tc>
          <w:tcPr>
            <w:tcW w:w="8771" w:type="dxa"/>
            <w:tcBorders>
              <w:top w:val="single" w:sz="6" w:space="0" w:color="78A22F"/>
              <w:left w:val="nil"/>
              <w:bottom w:val="nil"/>
              <w:right w:val="nil"/>
            </w:tcBorders>
            <w:shd w:val="clear" w:color="auto" w:fill="F2F2F2" w:themeFill="background1" w:themeFillShade="F2"/>
          </w:tcPr>
          <w:p w:rsidR="003B0D6A" w:rsidRDefault="003B0D6A" w:rsidP="00357BBD">
            <w:pPr>
              <w:pStyle w:val="BoxTitle"/>
            </w:pPr>
            <w:r>
              <w:rPr>
                <w:b w:val="0"/>
              </w:rPr>
              <w:t xml:space="preserve">Box </w:t>
            </w:r>
            <w:bookmarkStart w:id="8" w:name="OLE_LINK2"/>
            <w:r w:rsidR="00CB0DA1">
              <w:rPr>
                <w:b w:val="0"/>
              </w:rPr>
              <w:t>H.</w:t>
            </w:r>
            <w:r w:rsidR="00CB0DA1">
              <w:rPr>
                <w:b w:val="0"/>
                <w:noProof/>
              </w:rPr>
              <w:t>1</w:t>
            </w:r>
            <w:bookmarkEnd w:id="8"/>
            <w:r>
              <w:tab/>
            </w:r>
            <w:proofErr w:type="spellStart"/>
            <w:r>
              <w:t>Equivalised</w:t>
            </w:r>
            <w:proofErr w:type="spellEnd"/>
            <w:r>
              <w:t xml:space="preserve"> disposable household income</w:t>
            </w:r>
          </w:p>
        </w:tc>
      </w:tr>
      <w:tr w:rsidR="003B0D6A" w:rsidTr="00357BBD">
        <w:trPr>
          <w:cantSplit/>
        </w:trPr>
        <w:tc>
          <w:tcPr>
            <w:tcW w:w="8771" w:type="dxa"/>
            <w:tcBorders>
              <w:top w:val="nil"/>
              <w:left w:val="nil"/>
              <w:bottom w:val="nil"/>
              <w:right w:val="nil"/>
            </w:tcBorders>
            <w:shd w:val="clear" w:color="auto" w:fill="F2F2F2" w:themeFill="background1" w:themeFillShade="F2"/>
          </w:tcPr>
          <w:p w:rsidR="003B0D6A" w:rsidRDefault="003B0D6A" w:rsidP="00357BBD">
            <w:pPr>
              <w:pStyle w:val="Box"/>
            </w:pPr>
            <w:r>
              <w:t xml:space="preserve">Comparing the relative wellbeing and economic resources of households is difficult because different households can have different compositions. Comparing the income of a single-person household to that of a couple, who are both employed, with several </w:t>
            </w:r>
            <w:r w:rsidR="004D26A0">
              <w:t xml:space="preserve">dependants </w:t>
            </w:r>
            <w:r>
              <w:t>can be misleading. Some adjustment is necessary to take account of different compositions of households for meaningful analysis.</w:t>
            </w:r>
          </w:p>
          <w:p w:rsidR="003B0D6A" w:rsidRDefault="003B0D6A" w:rsidP="00357BBD">
            <w:pPr>
              <w:pStyle w:val="Box"/>
            </w:pPr>
            <w:r>
              <w:t>One established method to do this is to use ‘equivalence scales’ — factors that control for different compositions of households — to weight income in order to make meaningful comparisons. Applying these equivalence scales means that the resulting ‘</w:t>
            </w:r>
            <w:proofErr w:type="spellStart"/>
            <w:r>
              <w:t>equ</w:t>
            </w:r>
            <w:r w:rsidR="00866069">
              <w:t>ival</w:t>
            </w:r>
            <w:r>
              <w:t>ised</w:t>
            </w:r>
            <w:proofErr w:type="spellEnd"/>
            <w:r>
              <w:t>’ income can be viewed as an indicator of the economic resources available to a standardised household. This enables</w:t>
            </w:r>
            <w:r w:rsidR="00E43147">
              <w:t xml:space="preserve"> </w:t>
            </w:r>
            <w:r>
              <w:t>more</w:t>
            </w:r>
            <w:r w:rsidR="00E43147">
              <w:t xml:space="preserve"> accurate comparisons across households to be made.</w:t>
            </w:r>
          </w:p>
          <w:p w:rsidR="00983EF6" w:rsidRDefault="003B0D6A" w:rsidP="004D26A0">
            <w:pPr>
              <w:pStyle w:val="Box"/>
            </w:pPr>
            <w:r>
              <w:t xml:space="preserve">The ABS </w:t>
            </w:r>
            <w:r w:rsidR="004D26A0">
              <w:t>HES</w:t>
            </w:r>
            <w:r>
              <w:t xml:space="preserve"> contains equivalence scales based</w:t>
            </w:r>
            <w:r w:rsidR="00FC2DAC">
              <w:t xml:space="preserve"> on</w:t>
            </w:r>
            <w:r>
              <w:t xml:space="preserve"> a ‘modified OECD’ approach, and these scales are used by the Commission for its analysis.</w:t>
            </w:r>
          </w:p>
        </w:tc>
      </w:tr>
      <w:tr w:rsidR="003B0D6A" w:rsidTr="00357BBD">
        <w:trPr>
          <w:cantSplit/>
        </w:trPr>
        <w:tc>
          <w:tcPr>
            <w:tcW w:w="8771" w:type="dxa"/>
            <w:tcBorders>
              <w:top w:val="nil"/>
              <w:left w:val="nil"/>
              <w:bottom w:val="nil"/>
              <w:right w:val="nil"/>
            </w:tcBorders>
            <w:shd w:val="clear" w:color="auto" w:fill="F2F2F2" w:themeFill="background1" w:themeFillShade="F2"/>
          </w:tcPr>
          <w:p w:rsidR="003B0D6A" w:rsidRPr="00B557F7" w:rsidRDefault="003B0D6A" w:rsidP="00130615">
            <w:pPr>
              <w:pStyle w:val="BoxSource"/>
              <w:rPr>
                <w:b/>
              </w:rPr>
            </w:pPr>
            <w:r>
              <w:rPr>
                <w:i/>
              </w:rPr>
              <w:t>Source</w:t>
            </w:r>
            <w:r w:rsidRPr="00167F06">
              <w:t xml:space="preserve">: </w:t>
            </w:r>
            <w:r w:rsidR="0082622A">
              <w:t xml:space="preserve">ABS </w:t>
            </w:r>
            <w:r w:rsidR="00B928B3">
              <w:t>(</w:t>
            </w:r>
            <w:r w:rsidR="00B928B3" w:rsidRPr="00B928B3">
              <w:rPr>
                <w:i/>
              </w:rPr>
              <w:t>Household Expenditure Survey, 2009</w:t>
            </w:r>
            <w:r w:rsidR="003C4012">
              <w:rPr>
                <w:i/>
              </w:rPr>
              <w:noBreakHyphen/>
            </w:r>
            <w:r w:rsidR="00B928B3" w:rsidRPr="00B928B3">
              <w:rPr>
                <w:i/>
              </w:rPr>
              <w:t>10</w:t>
            </w:r>
            <w:r w:rsidR="00B928B3">
              <w:t>,</w:t>
            </w:r>
            <w:r w:rsidR="0082622A">
              <w:t xml:space="preserve"> Cat no. 6305.0, </w:t>
            </w:r>
            <w:r w:rsidR="0082622A">
              <w:rPr>
                <w:i/>
              </w:rPr>
              <w:t>Household Expenditure Survey User Guide</w:t>
            </w:r>
            <w:r w:rsidR="00B928B3">
              <w:t>, pp.</w:t>
            </w:r>
            <w:r w:rsidR="003C4012">
              <w:t> </w:t>
            </w:r>
            <w:r w:rsidR="00B928B3">
              <w:t>132</w:t>
            </w:r>
            <w:r w:rsidR="003C4012">
              <w:t>–</w:t>
            </w:r>
            <w:r w:rsidR="00B928B3">
              <w:t>137</w:t>
            </w:r>
            <w:r w:rsidR="00130615">
              <w:t>)</w:t>
            </w:r>
            <w:r w:rsidR="003C4012">
              <w:t>.</w:t>
            </w:r>
          </w:p>
        </w:tc>
      </w:tr>
      <w:tr w:rsidR="003B0D6A" w:rsidTr="00357BBD">
        <w:trPr>
          <w:cantSplit/>
        </w:trPr>
        <w:tc>
          <w:tcPr>
            <w:tcW w:w="8771" w:type="dxa"/>
            <w:tcBorders>
              <w:top w:val="nil"/>
              <w:left w:val="nil"/>
              <w:bottom w:val="single" w:sz="6" w:space="0" w:color="78A22F"/>
              <w:right w:val="nil"/>
            </w:tcBorders>
            <w:shd w:val="clear" w:color="auto" w:fill="F2F2F2" w:themeFill="background1" w:themeFillShade="F2"/>
          </w:tcPr>
          <w:p w:rsidR="003B0D6A" w:rsidRDefault="003B0D6A" w:rsidP="00357BBD">
            <w:pPr>
              <w:pStyle w:val="Box"/>
              <w:spacing w:before="0" w:line="120" w:lineRule="exact"/>
            </w:pPr>
          </w:p>
        </w:tc>
      </w:tr>
      <w:tr w:rsidR="003B0D6A" w:rsidRPr="000863A5" w:rsidTr="00357BBD">
        <w:tc>
          <w:tcPr>
            <w:tcW w:w="8771" w:type="dxa"/>
            <w:tcBorders>
              <w:top w:val="single" w:sz="6" w:space="0" w:color="78A22F"/>
              <w:left w:val="nil"/>
              <w:bottom w:val="nil"/>
              <w:right w:val="nil"/>
            </w:tcBorders>
          </w:tcPr>
          <w:p w:rsidR="003B0D6A" w:rsidRPr="00626D32" w:rsidRDefault="003B0D6A" w:rsidP="00357BBD">
            <w:pPr>
              <w:pStyle w:val="BoxSpaceBelow"/>
            </w:pPr>
          </w:p>
        </w:tc>
      </w:tr>
    </w:tbl>
    <w:p w:rsidR="00162E7C" w:rsidRDefault="00162E7C" w:rsidP="00162E7C">
      <w:pPr>
        <w:pStyle w:val="Heading4"/>
      </w:pPr>
      <w:r>
        <w:t xml:space="preserve">Increasing the number of households eligible for legal aid in civil </w:t>
      </w:r>
      <w:r w:rsidR="00C24FB0">
        <w:t xml:space="preserve">including </w:t>
      </w:r>
      <w:r>
        <w:t>family matters</w:t>
      </w:r>
    </w:p>
    <w:p w:rsidR="00162E7C" w:rsidRDefault="00C24FB0" w:rsidP="00162E7C">
      <w:pPr>
        <w:pStyle w:val="BodyText"/>
      </w:pPr>
      <w:r>
        <w:t xml:space="preserve">As discussed ion chapters 21 and 25, the </w:t>
      </w:r>
      <w:r w:rsidR="00162E7C">
        <w:t xml:space="preserve">Commission has recommended that, once further work has been done to improve the evidence base, further analysis and consideration should be given to the quantum of funds necessary to provide legal aid services for those where there is a net benefit </w:t>
      </w:r>
      <w:r w:rsidR="00866069">
        <w:t xml:space="preserve">from </w:t>
      </w:r>
      <w:r w:rsidR="00162E7C">
        <w:t>doing so.</w:t>
      </w:r>
    </w:p>
    <w:p w:rsidR="00162E7C" w:rsidRDefault="00162E7C" w:rsidP="00162E7C">
      <w:pPr>
        <w:pStyle w:val="BodyText"/>
      </w:pPr>
      <w:r>
        <w:t xml:space="preserve">At present, however, based on limited data, the number of households eligible for legal aid appears to be </w:t>
      </w:r>
      <w:r w:rsidR="001E6D28" w:rsidRPr="00D8005C">
        <w:t>very low</w:t>
      </w:r>
      <w:r w:rsidR="00B26E65">
        <w:t>. Indeed, some</w:t>
      </w:r>
      <w:r>
        <w:t xml:space="preserve"> means tests are below some common measures of </w:t>
      </w:r>
      <w:r w:rsidR="00F55ED3">
        <w:t>poverty</w:t>
      </w:r>
      <w:r>
        <w:t xml:space="preserve"> — such as the Henderson </w:t>
      </w:r>
      <w:r w:rsidR="004256B8">
        <w:t xml:space="preserve">Poverty Line </w:t>
      </w:r>
      <w:r>
        <w:t xml:space="preserve">and the OECD </w:t>
      </w:r>
      <w:r w:rsidR="004256B8">
        <w:t xml:space="preserve">Relative Poverty Line </w:t>
      </w:r>
      <w:r w:rsidR="00F87D5C">
        <w:t>(</w:t>
      </w:r>
      <w:r w:rsidR="00B571F1">
        <w:t xml:space="preserve">described in </w:t>
      </w:r>
      <w:r w:rsidR="00F87D5C">
        <w:t xml:space="preserve">box </w:t>
      </w:r>
      <w:r w:rsidR="00EE4967">
        <w:t>H.2</w:t>
      </w:r>
      <w:r w:rsidR="00F87D5C">
        <w:t>)</w:t>
      </w:r>
      <w:r>
        <w:t xml:space="preserve">. The Commission is not proposing to increase the means test to these levels, </w:t>
      </w:r>
      <w:r w:rsidR="007556D0">
        <w:t>although notes that</w:t>
      </w:r>
      <w:r>
        <w:t xml:space="preserve"> </w:t>
      </w:r>
      <w:r w:rsidR="00B37E16">
        <w:t>VLA</w:t>
      </w:r>
      <w:r>
        <w:t xml:space="preserve"> </w:t>
      </w:r>
      <w:r w:rsidR="00FA2340">
        <w:t>h</w:t>
      </w:r>
      <w:r w:rsidR="007556D0">
        <w:t xml:space="preserve">as </w:t>
      </w:r>
      <w:r>
        <w:t>indicated that the latter benchmark may be an ‘appropriate starting point’ when determining</w:t>
      </w:r>
      <w:r w:rsidR="007556D0">
        <w:t xml:space="preserve"> future</w:t>
      </w:r>
      <w:r>
        <w:t xml:space="preserve"> means tests:</w:t>
      </w:r>
    </w:p>
    <w:p w:rsidR="00162E7C" w:rsidRDefault="004256B8" w:rsidP="00162E7C">
      <w:pPr>
        <w:pStyle w:val="Quote"/>
      </w:pPr>
      <w:r>
        <w:t xml:space="preserve">We’ve </w:t>
      </w:r>
      <w:r w:rsidR="00162E7C">
        <w:t xml:space="preserve">acknowledged </w:t>
      </w:r>
      <w:r w:rsidR="00B37E16">
        <w:t xml:space="preserve">… </w:t>
      </w:r>
      <w:r w:rsidR="00162E7C">
        <w:t xml:space="preserve">the OECD as a starting point, </w:t>
      </w:r>
      <w:r w:rsidR="00C95062">
        <w:t xml:space="preserve">it’s </w:t>
      </w:r>
      <w:r w:rsidR="00162E7C">
        <w:t xml:space="preserve">not an end point, and we recognise that there would be different ways to approach the question of financial eligibility or </w:t>
      </w:r>
      <w:r w:rsidR="00CB4652">
        <w:t xml:space="preserve">someone’s </w:t>
      </w:r>
      <w:r w:rsidR="00162E7C">
        <w:t>lack of capacity to meet the full cost of their own legal representation for very severe life</w:t>
      </w:r>
      <w:r w:rsidR="00C95062">
        <w:noBreakHyphen/>
      </w:r>
      <w:r w:rsidR="00162E7C">
        <w:t xml:space="preserve">affecting issues. </w:t>
      </w:r>
      <w:r w:rsidR="00AA3F34">
        <w:t>(trans.</w:t>
      </w:r>
      <w:r w:rsidR="00E43147">
        <w:t>,</w:t>
      </w:r>
      <w:r w:rsidR="00AA3F34">
        <w:t xml:space="preserve"> p.</w:t>
      </w:r>
      <w:r w:rsidR="003C4012">
        <w:t> </w:t>
      </w:r>
      <w:r w:rsidR="00AA3F34">
        <w:t>741)</w:t>
      </w:r>
    </w:p>
    <w:p w:rsidR="00FB66BB" w:rsidRDefault="005F6615" w:rsidP="00BC4646">
      <w:pPr>
        <w:pStyle w:val="BodyText"/>
      </w:pPr>
      <w:r>
        <w:t>There are many measures of disadvantage that consider factors beyond relative income</w:t>
      </w:r>
      <w:r w:rsidR="00BB7BF8">
        <w:t>, such as including combinations of assets</w:t>
      </w:r>
      <w:r w:rsidR="00FC29C9">
        <w:t xml:space="preserve">, </w:t>
      </w:r>
      <w:r w:rsidR="00BB7BF8">
        <w:t>income</w:t>
      </w:r>
      <w:r w:rsidR="00FC29C9">
        <w:t xml:space="preserve"> and consumption</w:t>
      </w:r>
      <w:r w:rsidR="00BB7BF8">
        <w:t>, length of time in poverty, and broader measures of social exclusion</w:t>
      </w:r>
      <w:r w:rsidR="006074B4">
        <w:t xml:space="preserve"> </w:t>
      </w:r>
      <w:r w:rsidR="009A2053" w:rsidRPr="009A2053">
        <w:rPr>
          <w:szCs w:val="24"/>
        </w:rPr>
        <w:t>(McLachlan, Gilfillan and Gordon 2013)</w:t>
      </w:r>
      <w:r w:rsidR="00BB7BF8">
        <w:t>. Each of these</w:t>
      </w:r>
      <w:r w:rsidR="00BC3B7E">
        <w:t xml:space="preserve"> </w:t>
      </w:r>
      <w:r w:rsidR="00827324">
        <w:t xml:space="preserve">has </w:t>
      </w:r>
      <w:r w:rsidR="00BC3B7E">
        <w:t xml:space="preserve">benefits and drawbacks when considered </w:t>
      </w:r>
      <w:r w:rsidR="007C2847">
        <w:t xml:space="preserve">as </w:t>
      </w:r>
      <w:r w:rsidR="00827324">
        <w:t xml:space="preserve">a </w:t>
      </w:r>
      <w:r w:rsidR="007C2847">
        <w:t xml:space="preserve">measure to determine eligibility for legal aid. For example, measures of deprivation — which look at </w:t>
      </w:r>
      <w:r w:rsidR="007C2847">
        <w:lastRenderedPageBreak/>
        <w:t xml:space="preserve">going without or being unable to afford particular goods and services — may </w:t>
      </w:r>
      <w:r w:rsidR="007730F8">
        <w:t>be</w:t>
      </w:r>
      <w:r w:rsidR="007C2847">
        <w:t xml:space="preserve"> a poor measure to use to determine eligibility for legal aid as the deprivation in question may not be related to legal need.</w:t>
      </w:r>
    </w:p>
    <w:p w:rsidR="0031148A" w:rsidRDefault="0031148A" w:rsidP="0031148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1148A" w:rsidTr="008E279C">
        <w:tc>
          <w:tcPr>
            <w:tcW w:w="8771" w:type="dxa"/>
            <w:tcBorders>
              <w:top w:val="single" w:sz="6" w:space="0" w:color="78A22F"/>
              <w:left w:val="nil"/>
              <w:bottom w:val="nil"/>
              <w:right w:val="nil"/>
            </w:tcBorders>
            <w:shd w:val="clear" w:color="auto" w:fill="F2F2F2" w:themeFill="background1" w:themeFillShade="F2"/>
          </w:tcPr>
          <w:p w:rsidR="0031148A" w:rsidRDefault="0031148A" w:rsidP="008E279C">
            <w:pPr>
              <w:pStyle w:val="BoxTitle"/>
            </w:pPr>
            <w:r w:rsidRPr="0052411D">
              <w:rPr>
                <w:b w:val="0"/>
              </w:rPr>
              <w:t xml:space="preserve">Box </w:t>
            </w:r>
            <w:bookmarkStart w:id="9" w:name="OLE_LINK5"/>
            <w:r w:rsidR="00CB0DA1">
              <w:rPr>
                <w:b w:val="0"/>
              </w:rPr>
              <w:t>H.</w:t>
            </w:r>
            <w:r w:rsidR="00CB0DA1">
              <w:rPr>
                <w:b w:val="0"/>
                <w:noProof/>
              </w:rPr>
              <w:t>2</w:t>
            </w:r>
            <w:bookmarkEnd w:id="9"/>
            <w:r w:rsidRPr="0052411D">
              <w:tab/>
              <w:t>Measures of relative poverty</w:t>
            </w:r>
          </w:p>
        </w:tc>
      </w:tr>
      <w:tr w:rsidR="0031148A" w:rsidTr="008E279C">
        <w:trPr>
          <w:cantSplit/>
        </w:trPr>
        <w:tc>
          <w:tcPr>
            <w:tcW w:w="8771" w:type="dxa"/>
            <w:tcBorders>
              <w:top w:val="nil"/>
              <w:left w:val="nil"/>
              <w:bottom w:val="nil"/>
              <w:right w:val="nil"/>
            </w:tcBorders>
            <w:shd w:val="clear" w:color="auto" w:fill="F2F2F2" w:themeFill="background1" w:themeFillShade="F2"/>
          </w:tcPr>
          <w:p w:rsidR="0031148A" w:rsidRDefault="0031148A" w:rsidP="008E279C">
            <w:pPr>
              <w:pStyle w:val="Box"/>
            </w:pPr>
            <w:r>
              <w:t xml:space="preserve">Two commonly used poverty lines are the Henderson </w:t>
            </w:r>
            <w:r w:rsidR="00CD7BA3">
              <w:t xml:space="preserve">Poverty Line </w:t>
            </w:r>
            <w:r>
              <w:t xml:space="preserve">and the OECD </w:t>
            </w:r>
            <w:r w:rsidR="00CD7BA3">
              <w:t>Relative Poverty Line</w:t>
            </w:r>
            <w:r>
              <w:t xml:space="preserve">. </w:t>
            </w:r>
          </w:p>
          <w:p w:rsidR="0031148A" w:rsidRPr="00CD7F5A" w:rsidRDefault="0031148A" w:rsidP="008E279C">
            <w:pPr>
              <w:pStyle w:val="BoxListBullet"/>
            </w:pPr>
            <w:r>
              <w:t xml:space="preserve">The Henderson </w:t>
            </w:r>
            <w:r w:rsidR="00C95F46">
              <w:t xml:space="preserve">Poverty Line </w:t>
            </w:r>
            <w:r>
              <w:t xml:space="preserve">defines benchmarks of poverty on the basis of </w:t>
            </w:r>
            <w:proofErr w:type="spellStart"/>
            <w:r>
              <w:t>equivalised</w:t>
            </w:r>
            <w:proofErr w:type="spellEnd"/>
            <w:r>
              <w:t xml:space="preserve"> disposable income for different household types. A recent estimate found that around 12.</w:t>
            </w:r>
            <w:r w:rsidR="00C95F46">
              <w:t>4 </w:t>
            </w:r>
            <w:r>
              <w:t xml:space="preserve">per cent of Australians were below this poverty line </w:t>
            </w:r>
            <w:r w:rsidRPr="00106A0A">
              <w:rPr>
                <w:rFonts w:cs="Arial"/>
                <w:szCs w:val="24"/>
              </w:rPr>
              <w:t>(Melbourne Institute of Applied Economics and Social Research 2013)</w:t>
            </w:r>
            <w:r>
              <w:t>.</w:t>
            </w:r>
          </w:p>
          <w:p w:rsidR="0031148A" w:rsidRPr="0052411D" w:rsidRDefault="0031148A" w:rsidP="008E279C">
            <w:pPr>
              <w:pStyle w:val="BoxListBullet"/>
            </w:pPr>
            <w:r w:rsidRPr="0052411D">
              <w:t xml:space="preserve">The OECD </w:t>
            </w:r>
            <w:r w:rsidR="00C95F46">
              <w:t>R</w:t>
            </w:r>
            <w:r w:rsidR="00C95F46" w:rsidRPr="0052411D">
              <w:t xml:space="preserve">elative </w:t>
            </w:r>
            <w:r w:rsidR="00C95F46">
              <w:t>P</w:t>
            </w:r>
            <w:r w:rsidR="00C95F46" w:rsidRPr="0052411D">
              <w:t xml:space="preserve">overty </w:t>
            </w:r>
            <w:r w:rsidR="00C95F46">
              <w:t>L</w:t>
            </w:r>
            <w:r w:rsidR="00C95F46" w:rsidRPr="0052411D">
              <w:t xml:space="preserve">ine </w:t>
            </w:r>
            <w:r w:rsidRPr="0052411D">
              <w:t xml:space="preserve">is defined as household income below 50 per cent of median </w:t>
            </w:r>
            <w:proofErr w:type="spellStart"/>
            <w:r w:rsidRPr="0052411D">
              <w:t>equivalised</w:t>
            </w:r>
            <w:proofErr w:type="spellEnd"/>
            <w:r w:rsidRPr="0052411D">
              <w:t xml:space="preserve"> household disposable income. </w:t>
            </w:r>
            <w:r>
              <w:t>Statistics from the OECD indicate that</w:t>
            </w:r>
            <w:r w:rsidRPr="0052411D">
              <w:t xml:space="preserve"> about 13.</w:t>
            </w:r>
            <w:r w:rsidR="00A23C20" w:rsidRPr="0052411D">
              <w:t>8</w:t>
            </w:r>
            <w:r w:rsidR="00A23C20">
              <w:t> </w:t>
            </w:r>
            <w:r w:rsidRPr="0052411D">
              <w:t>per cent of Australians were below this poverty line</w:t>
            </w:r>
            <w:r>
              <w:t xml:space="preserve"> </w:t>
            </w:r>
            <w:r w:rsidRPr="00C61E3C">
              <w:rPr>
                <w:rFonts w:cs="Arial"/>
                <w:szCs w:val="24"/>
              </w:rPr>
              <w:t>(OECD 2014)</w:t>
            </w:r>
            <w:r>
              <w:t xml:space="preserve">. </w:t>
            </w:r>
            <w:r w:rsidRPr="0052411D">
              <w:t>Another estimate</w:t>
            </w:r>
            <w:r>
              <w:t>,</w:t>
            </w:r>
            <w:r w:rsidRPr="0052411D">
              <w:t xml:space="preserve"> </w:t>
            </w:r>
            <w:r>
              <w:t>which</w:t>
            </w:r>
            <w:r w:rsidRPr="0052411D">
              <w:t xml:space="preserve"> used a different measure of </w:t>
            </w:r>
            <w:proofErr w:type="spellStart"/>
            <w:r w:rsidRPr="0052411D">
              <w:t>equivalised</w:t>
            </w:r>
            <w:proofErr w:type="spellEnd"/>
            <w:r w:rsidRPr="0052411D">
              <w:t xml:space="preserve"> disposable income and other assumptions</w:t>
            </w:r>
            <w:r>
              <w:t>,</w:t>
            </w:r>
            <w:r w:rsidRPr="0052411D">
              <w:t xml:space="preserve"> found that around 10.3 per cent of Australians were impoverished</w:t>
            </w:r>
            <w:r>
              <w:t xml:space="preserve"> </w:t>
            </w:r>
            <w:r w:rsidRPr="00F11DCD">
              <w:rPr>
                <w:rFonts w:cs="Arial"/>
                <w:szCs w:val="24"/>
              </w:rPr>
              <w:t>(McLachlan, Gilfillan and Gordon 2013)</w:t>
            </w:r>
            <w:r>
              <w:t>.</w:t>
            </w:r>
          </w:p>
          <w:p w:rsidR="0031148A" w:rsidRDefault="0031148A" w:rsidP="008E279C">
            <w:pPr>
              <w:pStyle w:val="Box"/>
            </w:pPr>
            <w:r>
              <w:t xml:space="preserve">However, these measures do not consider assets in their calculation. One measure that does — a measure of financial poverty </w:t>
            </w:r>
            <w:r w:rsidRPr="00A32681">
              <w:rPr>
                <w:rFonts w:cs="Arial"/>
                <w:szCs w:val="24"/>
              </w:rPr>
              <w:t>(</w:t>
            </w:r>
            <w:proofErr w:type="spellStart"/>
            <w:r w:rsidRPr="00A32681">
              <w:rPr>
                <w:rFonts w:cs="Arial"/>
                <w:szCs w:val="24"/>
              </w:rPr>
              <w:t>Headey</w:t>
            </w:r>
            <w:proofErr w:type="spellEnd"/>
            <w:r w:rsidRPr="00A32681">
              <w:rPr>
                <w:rFonts w:cs="Arial"/>
                <w:szCs w:val="24"/>
              </w:rPr>
              <w:t>, Krause and Wagner 2009)</w:t>
            </w:r>
            <w:r>
              <w:t xml:space="preserve"> — considers both </w:t>
            </w:r>
            <w:proofErr w:type="spellStart"/>
            <w:r>
              <w:t>equivalised</w:t>
            </w:r>
            <w:proofErr w:type="spellEnd"/>
            <w:r>
              <w:t xml:space="preserve"> household income as well as a household’s net worth. Households with less than $200</w:t>
            </w:r>
            <w:r w:rsidR="003C4012">
              <w:t> </w:t>
            </w:r>
            <w:r>
              <w:t>000 or little in the way of liquid assets are considered to be poor. It was estimated in 2008 that around 13.7 per cent of the population was</w:t>
            </w:r>
            <w:r w:rsidR="00930137">
              <w:t xml:space="preserve"> classified as</w:t>
            </w:r>
            <w:r>
              <w:t xml:space="preserve"> poor under this measure.</w:t>
            </w:r>
          </w:p>
          <w:p w:rsidR="0031148A" w:rsidRDefault="0031148A" w:rsidP="008E279C">
            <w:pPr>
              <w:pStyle w:val="Box"/>
            </w:pPr>
            <w:r>
              <w:t xml:space="preserve">Regardless of the relative poverty measure used, the proportion of the population considered poor is higher than </w:t>
            </w:r>
            <w:r w:rsidR="00C95F46">
              <w:t xml:space="preserve">the proportion of the population </w:t>
            </w:r>
            <w:r>
              <w:t xml:space="preserve">eligible for grants of legal aid from LACs under their means tests. This indicates that many households, despite being financially disadvantaged, may still fail the means tests for grants of legal assistance, or be required to make a contribution towards the cost of their case from a position of meagre resources. </w:t>
            </w:r>
          </w:p>
          <w:p w:rsidR="0031148A" w:rsidRPr="00A53BA3" w:rsidRDefault="0031148A" w:rsidP="00D05040">
            <w:pPr>
              <w:pStyle w:val="Box"/>
            </w:pPr>
            <w:r>
              <w:t>An even smaller proportion would be likely to receive a grant of</w:t>
            </w:r>
            <w:r w:rsidR="00930137">
              <w:t xml:space="preserve"> legal</w:t>
            </w:r>
            <w:r>
              <w:t xml:space="preserve"> aid once the other methods of rationing are considered (chapter</w:t>
            </w:r>
            <w:r w:rsidR="003C4012">
              <w:t> </w:t>
            </w:r>
            <w:r>
              <w:t>21).</w:t>
            </w:r>
          </w:p>
        </w:tc>
      </w:tr>
      <w:tr w:rsidR="0031148A" w:rsidTr="008E279C">
        <w:trPr>
          <w:cantSplit/>
        </w:trPr>
        <w:tc>
          <w:tcPr>
            <w:tcW w:w="8771" w:type="dxa"/>
            <w:tcBorders>
              <w:top w:val="nil"/>
              <w:left w:val="nil"/>
              <w:bottom w:val="single" w:sz="6" w:space="0" w:color="78A22F"/>
              <w:right w:val="nil"/>
            </w:tcBorders>
            <w:shd w:val="clear" w:color="auto" w:fill="F2F2F2" w:themeFill="background1" w:themeFillShade="F2"/>
          </w:tcPr>
          <w:p w:rsidR="0031148A" w:rsidRDefault="0031148A" w:rsidP="008E279C">
            <w:pPr>
              <w:pStyle w:val="Box"/>
              <w:spacing w:before="0" w:line="120" w:lineRule="exact"/>
            </w:pPr>
          </w:p>
        </w:tc>
      </w:tr>
      <w:tr w:rsidR="0031148A" w:rsidRPr="000863A5" w:rsidTr="008E279C">
        <w:tc>
          <w:tcPr>
            <w:tcW w:w="8771" w:type="dxa"/>
            <w:tcBorders>
              <w:top w:val="single" w:sz="6" w:space="0" w:color="78A22F"/>
              <w:left w:val="nil"/>
              <w:bottom w:val="nil"/>
              <w:right w:val="nil"/>
            </w:tcBorders>
          </w:tcPr>
          <w:p w:rsidR="0031148A" w:rsidRPr="00626D32" w:rsidRDefault="0031148A" w:rsidP="008E279C">
            <w:pPr>
              <w:pStyle w:val="BoxSpaceBelow"/>
            </w:pPr>
          </w:p>
        </w:tc>
      </w:tr>
    </w:tbl>
    <w:p w:rsidR="00B22755" w:rsidRPr="00C61E3C" w:rsidRDefault="00437D82" w:rsidP="00BC4646">
      <w:pPr>
        <w:pStyle w:val="BodyText"/>
        <w:rPr>
          <w:b/>
        </w:rPr>
      </w:pPr>
      <w:r>
        <w:t xml:space="preserve">The choice of a </w:t>
      </w:r>
      <w:r w:rsidR="00C21FB5">
        <w:t xml:space="preserve">measure of disadvantage </w:t>
      </w:r>
      <w:r w:rsidR="00E37730">
        <w:t xml:space="preserve">to </w:t>
      </w:r>
      <w:r w:rsidR="00C21FB5">
        <w:t>determine eligibility for legal assistance</w:t>
      </w:r>
      <w:r w:rsidR="00047D46">
        <w:t xml:space="preserve"> services should also be judged</w:t>
      </w:r>
      <w:r w:rsidR="005515C3">
        <w:t xml:space="preserve"> against</w:t>
      </w:r>
      <w:r w:rsidR="00047D46">
        <w:t xml:space="preserve"> </w:t>
      </w:r>
      <w:r w:rsidR="00C21FB5">
        <w:t>the cost</w:t>
      </w:r>
      <w:r w:rsidR="001230A7">
        <w:t>s</w:t>
      </w:r>
      <w:r w:rsidR="00C21FB5">
        <w:t xml:space="preserve"> and benefits of providing services </w:t>
      </w:r>
      <w:r w:rsidR="00C95F46">
        <w:t xml:space="preserve">for </w:t>
      </w:r>
      <w:r w:rsidR="001F08EB">
        <w:t xml:space="preserve">different matters to </w:t>
      </w:r>
      <w:r w:rsidR="003D3DC6">
        <w:t xml:space="preserve">those with </w:t>
      </w:r>
      <w:r w:rsidR="00C95F46">
        <w:t xml:space="preserve">other </w:t>
      </w:r>
      <w:r w:rsidR="003D3DC6">
        <w:t>dimensions of disadvantage</w:t>
      </w:r>
      <w:r w:rsidR="001F08EB">
        <w:t>.</w:t>
      </w:r>
      <w:r w:rsidR="009A1002">
        <w:t xml:space="preserve"> </w:t>
      </w:r>
      <w:r w:rsidR="001274BA">
        <w:t xml:space="preserve">While legal aid could be used </w:t>
      </w:r>
      <w:r w:rsidR="00256660">
        <w:t xml:space="preserve">to solve various legal needs, it may be the case that it is more cost effective to resolve those needs through, or in </w:t>
      </w:r>
      <w:r w:rsidR="00901553">
        <w:t>conjunction</w:t>
      </w:r>
      <w:r w:rsidR="00256660">
        <w:t xml:space="preserve"> with, other services (which in turn may have their own means tests).</w:t>
      </w:r>
      <w:r w:rsidR="001F08EB">
        <w:t xml:space="preserve"> </w:t>
      </w:r>
      <w:r w:rsidR="00D66E8E">
        <w:t>Accordingly, m</w:t>
      </w:r>
      <w:r w:rsidR="007D547B">
        <w:t>ore information is needed to best identify the measure or measures that should best be used to</w:t>
      </w:r>
      <w:r w:rsidR="007C3CAD">
        <w:t xml:space="preserve"> determine eligibility for legal aid</w:t>
      </w:r>
      <w:r w:rsidR="007178D5">
        <w:t>. T</w:t>
      </w:r>
      <w:r w:rsidR="00901553">
        <w:t>he recommendations in chapter</w:t>
      </w:r>
      <w:r w:rsidR="003C4012">
        <w:t> </w:t>
      </w:r>
      <w:r w:rsidR="00901553">
        <w:t xml:space="preserve">25 outline the best way to </w:t>
      </w:r>
      <w:r w:rsidR="00890922">
        <w:t>improve the evidence base in order to achieve this.</w:t>
      </w:r>
    </w:p>
    <w:p w:rsidR="00162E7C" w:rsidRPr="006D520D" w:rsidRDefault="00CA1090" w:rsidP="00162E7C">
      <w:pPr>
        <w:pStyle w:val="BodyText"/>
      </w:pPr>
      <w:r>
        <w:t>That said</w:t>
      </w:r>
      <w:proofErr w:type="gramStart"/>
      <w:r w:rsidR="00BF4CB8">
        <w:t>,</w:t>
      </w:r>
      <w:proofErr w:type="gramEnd"/>
      <w:r w:rsidR="00BF4CB8">
        <w:t xml:space="preserve"> there is </w:t>
      </w:r>
      <w:r w:rsidR="00D97A00">
        <w:t xml:space="preserve">clear </w:t>
      </w:r>
      <w:r w:rsidR="00BF4CB8">
        <w:t xml:space="preserve">evidence </w:t>
      </w:r>
      <w:r w:rsidR="007C3CAD">
        <w:t xml:space="preserve">at present </w:t>
      </w:r>
      <w:r w:rsidR="00BF4CB8">
        <w:t xml:space="preserve">to suggest that legal </w:t>
      </w:r>
      <w:r w:rsidR="004C3BD6">
        <w:t xml:space="preserve">assistance </w:t>
      </w:r>
      <w:r w:rsidR="00BF4CB8">
        <w:t xml:space="preserve">services are not </w:t>
      </w:r>
      <w:r w:rsidR="008F617F">
        <w:t xml:space="preserve">fully </w:t>
      </w:r>
      <w:r w:rsidR="00BF4CB8">
        <w:t>meeting the legal needs of either the impoverished or the disadvantaged as inten</w:t>
      </w:r>
      <w:r w:rsidR="0041026A">
        <w:t>d</w:t>
      </w:r>
      <w:r w:rsidR="00BF4CB8">
        <w:t>ed</w:t>
      </w:r>
      <w:r w:rsidR="00013B39">
        <w:t>,</w:t>
      </w:r>
      <w:r w:rsidR="0041026A">
        <w:t xml:space="preserve"> due to a lack of resources</w:t>
      </w:r>
      <w:r w:rsidR="004C3BD6">
        <w:t xml:space="preserve"> (chapters 21 and 22)</w:t>
      </w:r>
      <w:r w:rsidR="00BF4CB8">
        <w:t xml:space="preserve">. </w:t>
      </w:r>
      <w:r w:rsidR="00162E7C">
        <w:t xml:space="preserve">A review of the </w:t>
      </w:r>
      <w:r w:rsidR="008F617F">
        <w:t xml:space="preserve">National Partnership Agreement </w:t>
      </w:r>
      <w:r w:rsidR="00162E7C">
        <w:t>governing legal assistance services by</w:t>
      </w:r>
      <w:r w:rsidR="00793463">
        <w:t xml:space="preserve"> the</w:t>
      </w:r>
      <w:r w:rsidR="00162E7C">
        <w:t xml:space="preserve"> Allen Consulting Group</w:t>
      </w:r>
      <w:r w:rsidR="000A381F">
        <w:t xml:space="preserve"> </w:t>
      </w:r>
      <w:r w:rsidR="00804843">
        <w:t xml:space="preserve">found that </w:t>
      </w:r>
      <w:r w:rsidR="00804843">
        <w:lastRenderedPageBreak/>
        <w:t>present funding arrangements for LACs mean that legal aid is failing</w:t>
      </w:r>
      <w:r w:rsidR="00047184">
        <w:t xml:space="preserve"> to</w:t>
      </w:r>
      <w:r w:rsidR="00162E7C">
        <w:t xml:space="preserve"> provid</w:t>
      </w:r>
      <w:r w:rsidR="001712F6">
        <w:t>e</w:t>
      </w:r>
      <w:r w:rsidR="00162E7C">
        <w:t xml:space="preserve"> services to</w:t>
      </w:r>
      <w:r w:rsidR="001712F6">
        <w:t xml:space="preserve"> the</w:t>
      </w:r>
      <w:r w:rsidR="00162E7C">
        <w:t xml:space="preserve"> disadvantaged clients </w:t>
      </w:r>
      <w:r w:rsidR="001712F6">
        <w:t>that</w:t>
      </w:r>
      <w:r w:rsidR="00162E7C">
        <w:t xml:space="preserve"> need them:</w:t>
      </w:r>
    </w:p>
    <w:p w:rsidR="00162E7C" w:rsidRDefault="00162E7C" w:rsidP="00162E7C">
      <w:pPr>
        <w:pStyle w:val="Quote"/>
      </w:pPr>
      <w:r>
        <w:t xml:space="preserve">Current arrangements do not equip legal aid commissions to provide grants of legal aid to all disadvantaged clients in all matters within stated service priorities, nor do the eligibility principles and service priorities draw a clear line between the types of matters and clients that should attract Commonwealth funded legal assistance services, and those where services should not be provided, or should be provided through other mechanisms. </w:t>
      </w:r>
      <w:r w:rsidR="00503A5E" w:rsidRPr="00503A5E">
        <w:rPr>
          <w:szCs w:val="24"/>
        </w:rPr>
        <w:t>(2014, p. 113)</w:t>
      </w:r>
    </w:p>
    <w:p w:rsidR="00127F94" w:rsidRDefault="00127F94" w:rsidP="00127F94">
      <w:pPr>
        <w:pStyle w:val="BodyText"/>
      </w:pPr>
      <w:r w:rsidRPr="00D8005C">
        <w:t xml:space="preserve">Given the low number of households eligible for grants of </w:t>
      </w:r>
      <w:r w:rsidR="00793463">
        <w:t xml:space="preserve">legal </w:t>
      </w:r>
      <w:r w:rsidRPr="00D8005C">
        <w:t xml:space="preserve">aid, and evidence to suggest that </w:t>
      </w:r>
      <w:r>
        <w:t>financially disadvantage</w:t>
      </w:r>
      <w:r w:rsidR="00854063">
        <w:t>d</w:t>
      </w:r>
      <w:r w:rsidRPr="00D8005C">
        <w:t xml:space="preserve"> households may be ineligible, the Commission has calculated the cost of relaxing the means test, relative to the ‘notional’ national case described above. Because there is a lack of data at present to indicate what proportion of households should be eligible for assistance, the Commission has </w:t>
      </w:r>
      <w:r w:rsidRPr="006D0A39">
        <w:t>calculated the cost of increasing the means test (both income and assets) by 10 per cent, relative to the baseline case</w:t>
      </w:r>
      <w:r w:rsidR="00D84224">
        <w:t xml:space="preserve"> described</w:t>
      </w:r>
      <w:r w:rsidRPr="006D0A39">
        <w:t xml:space="preserve"> above</w:t>
      </w:r>
      <w:r>
        <w:t>,</w:t>
      </w:r>
      <w:r w:rsidRPr="006122C7">
        <w:rPr>
          <w:rStyle w:val="FootnoteReference"/>
        </w:rPr>
        <w:footnoteReference w:id="3"/>
      </w:r>
      <w:r w:rsidRPr="00D8005C">
        <w:t xml:space="preserve"> on the grounds that such a policy represents a reasonable interim arrangement</w:t>
      </w:r>
      <w:r>
        <w:t xml:space="preserve">. </w:t>
      </w:r>
      <w:r w:rsidRPr="00445808">
        <w:t xml:space="preserve">Such an increase would lead to around </w:t>
      </w:r>
      <w:r w:rsidRPr="00102BB7">
        <w:t>10 per cent</w:t>
      </w:r>
      <w:r w:rsidRPr="009F2252">
        <w:t xml:space="preserve"> of households</w:t>
      </w:r>
      <w:r w:rsidR="004063D6">
        <w:t xml:space="preserve"> (or about </w:t>
      </w:r>
      <w:r w:rsidR="00CA1BC4">
        <w:t>9 </w:t>
      </w:r>
      <w:r w:rsidR="004063D6">
        <w:t>per cent of the population)</w:t>
      </w:r>
      <w:r w:rsidRPr="009F2252">
        <w:t xml:space="preserve"> being eligible for legal aid services in civil and family matters</w:t>
      </w:r>
      <w:r w:rsidRPr="00D8005C">
        <w:t xml:space="preserve"> — a proportion that more closely matches the share of households experiencing relative poverty. Such a shift would also move the eligibility requirements closer towards means tests applied to some </w:t>
      </w:r>
      <w:r w:rsidRPr="00445808">
        <w:t xml:space="preserve">other </w:t>
      </w:r>
      <w:r w:rsidRPr="00102BB7">
        <w:t>government benefits.</w:t>
      </w:r>
      <w:r>
        <w:t xml:space="preserve"> </w:t>
      </w:r>
    </w:p>
    <w:p w:rsidR="00E004D7" w:rsidRPr="00E004D7" w:rsidRDefault="006B7BF4" w:rsidP="00C61E3C">
      <w:pPr>
        <w:pStyle w:val="BodyText"/>
      </w:pPr>
      <w:r>
        <w:t xml:space="preserve">The Commission estimates that increasing the means test by 10 per cent for civil </w:t>
      </w:r>
      <w:r w:rsidR="001E2D57">
        <w:t xml:space="preserve">(including </w:t>
      </w:r>
      <w:r>
        <w:t>family</w:t>
      </w:r>
      <w:r w:rsidR="001E2D57">
        <w:t>)</w:t>
      </w:r>
      <w:r>
        <w:t xml:space="preserve"> matters would cost an additional $57 million per year. The </w:t>
      </w:r>
      <w:r w:rsidR="00930137">
        <w:t xml:space="preserve">Australian Government </w:t>
      </w:r>
      <w:r>
        <w:t xml:space="preserve">should provide the bulk of this funding </w:t>
      </w:r>
      <w:r w:rsidR="00CD2FE6">
        <w:t>(</w:t>
      </w:r>
      <w:r>
        <w:t>given that this money would be used to assist clients in areas of Commonwealth law under existing guidelines</w:t>
      </w:r>
      <w:r w:rsidR="00CD2FE6">
        <w:t>)</w:t>
      </w:r>
      <w:r>
        <w:t xml:space="preserve">. The Commission estimates that such a proposal would increase the number of people eligible for grants of aid in civil </w:t>
      </w:r>
      <w:r w:rsidR="001E2D57">
        <w:t>(including family)</w:t>
      </w:r>
      <w:r>
        <w:t xml:space="preserve"> matters from around 1.4 million to 1.9 million.</w:t>
      </w:r>
    </w:p>
    <w:p w:rsidR="00001250" w:rsidRDefault="00815D5E" w:rsidP="00815D5E">
      <w:pPr>
        <w:pStyle w:val="Heading5"/>
      </w:pPr>
      <w:r>
        <w:t xml:space="preserve">Sensitivity testing </w:t>
      </w:r>
      <w:r w:rsidR="00DD3229">
        <w:t>the</w:t>
      </w:r>
      <w:r w:rsidR="008A2F63">
        <w:t xml:space="preserve"> relaxing of</w:t>
      </w:r>
      <w:r w:rsidR="00DD3229">
        <w:t xml:space="preserve"> the means test</w:t>
      </w:r>
    </w:p>
    <w:p w:rsidR="00245BBD" w:rsidRDefault="00DC3192" w:rsidP="00245BBD">
      <w:pPr>
        <w:pStyle w:val="BodyText"/>
      </w:pPr>
      <w:r>
        <w:t xml:space="preserve">The accuracy of this </w:t>
      </w:r>
      <w:r w:rsidR="002F4F86">
        <w:t>add</w:t>
      </w:r>
      <w:r w:rsidR="00326A19">
        <w:t>i</w:t>
      </w:r>
      <w:r w:rsidR="002F4F86">
        <w:t xml:space="preserve">tional </w:t>
      </w:r>
      <w:r>
        <w:t xml:space="preserve">cost can be tested for sensitivity by </w:t>
      </w:r>
      <w:r w:rsidR="00EB26DA">
        <w:t xml:space="preserve">considering </w:t>
      </w:r>
      <w:r w:rsidR="002F4F86">
        <w:t>the estimate</w:t>
      </w:r>
      <w:r w:rsidR="009014BF">
        <w:t>d</w:t>
      </w:r>
      <w:r w:rsidR="002F4F86">
        <w:t xml:space="preserve"> </w:t>
      </w:r>
      <w:r w:rsidR="00EB26DA">
        <w:t xml:space="preserve">costs for different </w:t>
      </w:r>
      <w:r w:rsidR="00F328DE">
        <w:t xml:space="preserve">changes </w:t>
      </w:r>
      <w:r w:rsidR="004709A6">
        <w:t xml:space="preserve">to the baseline case </w:t>
      </w:r>
      <w:r w:rsidR="00A72E70">
        <w:t>(</w:t>
      </w:r>
      <w:r w:rsidR="00126397">
        <w:t xml:space="preserve">table </w:t>
      </w:r>
      <w:r w:rsidR="00EE4967">
        <w:t>H.3</w:t>
      </w:r>
      <w:r w:rsidR="00A72E70">
        <w:t>)</w:t>
      </w:r>
      <w:r w:rsidR="004709A6">
        <w:t xml:space="preserve">. </w:t>
      </w:r>
      <w:r w:rsidR="00E82FC5">
        <w:t>The sensitivity testing estimates</w:t>
      </w:r>
      <w:r w:rsidR="004709A6">
        <w:t xml:space="preserve"> </w:t>
      </w:r>
      <w:r w:rsidR="00CF1F83">
        <w:t>a range of costs from $</w:t>
      </w:r>
      <w:r w:rsidR="00D113AC">
        <w:t>38 </w:t>
      </w:r>
      <w:r w:rsidR="00CF1F83">
        <w:t>million to $</w:t>
      </w:r>
      <w:r w:rsidR="00D113AC">
        <w:t>122 </w:t>
      </w:r>
      <w:r w:rsidR="00CF1F83">
        <w:t>million</w:t>
      </w:r>
      <w:r w:rsidR="00A67DFC">
        <w:t xml:space="preserve">. The higher </w:t>
      </w:r>
      <w:r w:rsidR="00BC20BA">
        <w:t>estimates</w:t>
      </w:r>
      <w:r w:rsidR="00A67DFC">
        <w:t xml:space="preserve"> represent cases where the baseline considered often comprises a very small number of households, which in turn leads to large proportional increases when the means test is increased. </w:t>
      </w:r>
      <w:r w:rsidR="0016386D">
        <w:t xml:space="preserve">Conversely, the </w:t>
      </w:r>
      <w:r w:rsidR="00BC20BA">
        <w:t xml:space="preserve">lower estimates </w:t>
      </w:r>
      <w:r w:rsidR="00672832">
        <w:t>result from</w:t>
      </w:r>
      <w:r w:rsidR="0016386D">
        <w:t xml:space="preserve"> smaller proportional change</w:t>
      </w:r>
      <w:r w:rsidR="00A33856">
        <w:t>s</w:t>
      </w:r>
      <w:r w:rsidR="0016386D">
        <w:t xml:space="preserve"> in the number of households considered eligible.</w:t>
      </w:r>
    </w:p>
    <w:p w:rsidR="00824A85" w:rsidRDefault="00824A85" w:rsidP="00245BBD">
      <w:pPr>
        <w:pStyle w:val="BodyText"/>
      </w:pPr>
      <w:r>
        <w:t xml:space="preserve">One factor that should be noted is the small range of changes in estimates of cost within the income bands (the columns of table </w:t>
      </w:r>
      <w:r w:rsidR="00EE4967">
        <w:t>H.3</w:t>
      </w:r>
      <w:r>
        <w:t xml:space="preserve">). This indicates that once the ‘other assets’ test is relaxed, the binding variable that controls eligibility is </w:t>
      </w:r>
      <w:r w:rsidR="00BA4CC7">
        <w:t xml:space="preserve">primarily </w:t>
      </w:r>
      <w:r>
        <w:t xml:space="preserve">income. This highlights </w:t>
      </w:r>
      <w:r>
        <w:lastRenderedPageBreak/>
        <w:t>the importance of relaxing the means test on other assets (or raising the general assessable asset limit) when increasing eligibility.</w:t>
      </w:r>
    </w:p>
    <w:p w:rsidR="00A6491D" w:rsidRDefault="00A6491D" w:rsidP="00357BB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A6491D" w:rsidTr="00357BBD">
        <w:tc>
          <w:tcPr>
            <w:tcW w:w="8771" w:type="dxa"/>
            <w:tcBorders>
              <w:top w:val="single" w:sz="6" w:space="0" w:color="78A22F" w:themeColor="accent1"/>
              <w:left w:val="nil"/>
              <w:bottom w:val="nil"/>
              <w:right w:val="nil"/>
            </w:tcBorders>
            <w:shd w:val="clear" w:color="auto" w:fill="auto"/>
          </w:tcPr>
          <w:p w:rsidR="00A6491D" w:rsidRPr="00784A05" w:rsidRDefault="00A6491D" w:rsidP="007E59E1">
            <w:pPr>
              <w:pStyle w:val="TableTitle"/>
            </w:pPr>
            <w:r>
              <w:rPr>
                <w:b w:val="0"/>
              </w:rPr>
              <w:t xml:space="preserve">Table </w:t>
            </w:r>
            <w:bookmarkStart w:id="10" w:name="OLE_LINK6"/>
            <w:r w:rsidR="00CB0DA1">
              <w:rPr>
                <w:b w:val="0"/>
              </w:rPr>
              <w:t>H.</w:t>
            </w:r>
            <w:r w:rsidR="00CB0DA1">
              <w:rPr>
                <w:b w:val="0"/>
                <w:noProof/>
              </w:rPr>
              <w:t>3</w:t>
            </w:r>
            <w:bookmarkEnd w:id="10"/>
            <w:r>
              <w:tab/>
            </w:r>
            <w:r w:rsidR="00323B0A">
              <w:t xml:space="preserve">Sensitivity testing </w:t>
            </w:r>
            <w:r w:rsidR="00DC31B1">
              <w:t>of</w:t>
            </w:r>
            <w:r w:rsidR="007257C0">
              <w:t xml:space="preserve"> </w:t>
            </w:r>
            <w:r w:rsidR="00444152">
              <w:t>the</w:t>
            </w:r>
            <w:r w:rsidR="00DC31B1">
              <w:t xml:space="preserve"> cost </w:t>
            </w:r>
            <w:r w:rsidR="007E59E1">
              <w:t xml:space="preserve">of </w:t>
            </w:r>
            <w:r w:rsidR="00323B0A">
              <w:t>raising the means tests by around 10 per cent</w:t>
            </w:r>
            <w:r w:rsidR="00DC31B1">
              <w:t xml:space="preserve"> for civil and family matters</w:t>
            </w:r>
            <w:proofErr w:type="spellStart"/>
            <w:r w:rsidR="00E21344" w:rsidRPr="00E21344">
              <w:rPr>
                <w:rStyle w:val="NoteLabel"/>
                <w:b/>
              </w:rPr>
              <w:t>a</w:t>
            </w:r>
            <w:r w:rsidR="00ED0E84">
              <w:rPr>
                <w:rStyle w:val="NoteLabel"/>
                <w:b/>
              </w:rPr>
              <w:t>,b</w:t>
            </w:r>
            <w:proofErr w:type="spellEnd"/>
          </w:p>
        </w:tc>
      </w:tr>
      <w:tr w:rsidR="00A6491D" w:rsidTr="00357BBD">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1415"/>
              <w:gridCol w:w="1416"/>
              <w:gridCol w:w="1416"/>
              <w:gridCol w:w="1414"/>
              <w:gridCol w:w="1414"/>
              <w:gridCol w:w="1412"/>
            </w:tblGrid>
            <w:tr w:rsidR="003F245B" w:rsidTr="00227697">
              <w:tc>
                <w:tcPr>
                  <w:tcW w:w="834" w:type="pct"/>
                  <w:tcBorders>
                    <w:top w:val="single" w:sz="6" w:space="0" w:color="BFBFBF" w:themeColor="background2"/>
                  </w:tcBorders>
                  <w:shd w:val="clear" w:color="auto" w:fill="auto"/>
                </w:tcPr>
                <w:p w:rsidR="003F245B" w:rsidRDefault="003F245B" w:rsidP="00357BBD">
                  <w:pPr>
                    <w:pStyle w:val="TableColumnHeading"/>
                    <w:jc w:val="left"/>
                  </w:pPr>
                </w:p>
              </w:tc>
              <w:tc>
                <w:tcPr>
                  <w:tcW w:w="4166" w:type="pct"/>
                  <w:gridSpan w:val="5"/>
                  <w:tcBorders>
                    <w:top w:val="single" w:sz="6" w:space="0" w:color="BFBFBF" w:themeColor="background2"/>
                  </w:tcBorders>
                  <w:shd w:val="clear" w:color="auto" w:fill="auto"/>
                </w:tcPr>
                <w:p w:rsidR="003F245B" w:rsidRDefault="003F245B" w:rsidP="00505D2F">
                  <w:pPr>
                    <w:pStyle w:val="TableColumnHeading"/>
                    <w:ind w:right="28"/>
                  </w:pPr>
                  <w:r>
                    <w:t xml:space="preserve">Change in </w:t>
                  </w:r>
                  <w:proofErr w:type="spellStart"/>
                  <w:r>
                    <w:t>equivalised</w:t>
                  </w:r>
                  <w:proofErr w:type="spellEnd"/>
                  <w:r>
                    <w:t xml:space="preserve"> net disposable </w:t>
                  </w:r>
                  <w:r w:rsidR="00252A43">
                    <w:t xml:space="preserve">household </w:t>
                  </w:r>
                  <w:r>
                    <w:t>income</w:t>
                  </w:r>
                </w:p>
              </w:tc>
            </w:tr>
            <w:tr w:rsidR="001061D8" w:rsidTr="008D464F">
              <w:tc>
                <w:tcPr>
                  <w:tcW w:w="834" w:type="pct"/>
                </w:tcPr>
                <w:p w:rsidR="001061D8" w:rsidRPr="00526506" w:rsidRDefault="00526506" w:rsidP="00357BBD">
                  <w:pPr>
                    <w:pStyle w:val="TableUnitsRow"/>
                    <w:jc w:val="left"/>
                    <w:rPr>
                      <w:i/>
                    </w:rPr>
                  </w:pPr>
                  <w:r w:rsidRPr="00526506">
                    <w:rPr>
                      <w:i/>
                    </w:rPr>
                    <w:t>Change in net household assets</w:t>
                  </w:r>
                </w:p>
              </w:tc>
              <w:tc>
                <w:tcPr>
                  <w:tcW w:w="834" w:type="pct"/>
                </w:tcPr>
                <w:p w:rsidR="001061D8" w:rsidRPr="001061D8" w:rsidRDefault="001061D8" w:rsidP="00976550">
                  <w:pPr>
                    <w:pStyle w:val="TableUnitsRow"/>
                    <w:rPr>
                      <w:i/>
                    </w:rPr>
                  </w:pPr>
                  <w:r>
                    <w:rPr>
                      <w:i/>
                    </w:rPr>
                    <w:t>$18 000 to $</w:t>
                  </w:r>
                  <w:r w:rsidR="00976550">
                    <w:rPr>
                      <w:i/>
                    </w:rPr>
                    <w:t>20</w:t>
                  </w:r>
                  <w:r>
                    <w:rPr>
                      <w:i/>
                    </w:rPr>
                    <w:t> 000</w:t>
                  </w:r>
                </w:p>
              </w:tc>
              <w:tc>
                <w:tcPr>
                  <w:tcW w:w="834" w:type="pct"/>
                </w:tcPr>
                <w:p w:rsidR="001061D8" w:rsidRPr="001061D8" w:rsidRDefault="001061D8" w:rsidP="00976550">
                  <w:pPr>
                    <w:pStyle w:val="TableUnitsRow"/>
                    <w:rPr>
                      <w:i/>
                    </w:rPr>
                  </w:pPr>
                  <w:r>
                    <w:rPr>
                      <w:i/>
                    </w:rPr>
                    <w:t>$19 000 to $2</w:t>
                  </w:r>
                  <w:r w:rsidR="00976550">
                    <w:rPr>
                      <w:i/>
                    </w:rPr>
                    <w:t>1</w:t>
                  </w:r>
                  <w:r>
                    <w:rPr>
                      <w:i/>
                    </w:rPr>
                    <w:t> 000</w:t>
                  </w:r>
                </w:p>
              </w:tc>
              <w:tc>
                <w:tcPr>
                  <w:tcW w:w="833" w:type="pct"/>
                </w:tcPr>
                <w:p w:rsidR="001061D8" w:rsidRPr="001061D8" w:rsidRDefault="001061D8" w:rsidP="001061D8">
                  <w:pPr>
                    <w:pStyle w:val="TableUnitsRow"/>
                    <w:rPr>
                      <w:b/>
                      <w:i/>
                    </w:rPr>
                  </w:pPr>
                  <w:r w:rsidRPr="001061D8">
                    <w:rPr>
                      <w:b/>
                      <w:i/>
                    </w:rPr>
                    <w:t>$20 000 to $22 000</w:t>
                  </w:r>
                </w:p>
              </w:tc>
              <w:tc>
                <w:tcPr>
                  <w:tcW w:w="833" w:type="pct"/>
                </w:tcPr>
                <w:p w:rsidR="001061D8" w:rsidRPr="001061D8" w:rsidRDefault="001061D8" w:rsidP="001061D8">
                  <w:pPr>
                    <w:pStyle w:val="TableUnitsRow"/>
                    <w:rPr>
                      <w:i/>
                    </w:rPr>
                  </w:pPr>
                  <w:r>
                    <w:rPr>
                      <w:i/>
                    </w:rPr>
                    <w:t>$21 000 to $23 000</w:t>
                  </w:r>
                </w:p>
              </w:tc>
              <w:tc>
                <w:tcPr>
                  <w:tcW w:w="832" w:type="pct"/>
                </w:tcPr>
                <w:p w:rsidR="001061D8" w:rsidRPr="001061D8" w:rsidRDefault="001061D8" w:rsidP="001061D8">
                  <w:pPr>
                    <w:pStyle w:val="TableUnitsRow"/>
                    <w:rPr>
                      <w:i/>
                    </w:rPr>
                  </w:pPr>
                  <w:r>
                    <w:rPr>
                      <w:i/>
                    </w:rPr>
                    <w:t>$22 000 to $24 000</w:t>
                  </w:r>
                </w:p>
              </w:tc>
            </w:tr>
            <w:tr w:rsidR="001E1ACB" w:rsidTr="00227697">
              <w:tc>
                <w:tcPr>
                  <w:tcW w:w="834" w:type="pct"/>
                  <w:tcBorders>
                    <w:bottom w:val="single" w:sz="6" w:space="0" w:color="BFBFBF" w:themeColor="background2"/>
                  </w:tcBorders>
                </w:tcPr>
                <w:p w:rsidR="001E1ACB" w:rsidRDefault="001E1ACB" w:rsidP="00357BBD">
                  <w:pPr>
                    <w:pStyle w:val="TableUnitsRow"/>
                    <w:jc w:val="left"/>
                  </w:pPr>
                </w:p>
              </w:tc>
              <w:tc>
                <w:tcPr>
                  <w:tcW w:w="834" w:type="pct"/>
                  <w:tcBorders>
                    <w:bottom w:val="single" w:sz="6" w:space="0" w:color="BFBFBF" w:themeColor="background2"/>
                  </w:tcBorders>
                </w:tcPr>
                <w:p w:rsidR="001E1ACB" w:rsidRDefault="001E1ACB" w:rsidP="00357BBD">
                  <w:pPr>
                    <w:pStyle w:val="TableUnitsRow"/>
                  </w:pPr>
                  <w:r>
                    <w:t>$m</w:t>
                  </w:r>
                </w:p>
              </w:tc>
              <w:tc>
                <w:tcPr>
                  <w:tcW w:w="834" w:type="pct"/>
                  <w:tcBorders>
                    <w:bottom w:val="single" w:sz="6" w:space="0" w:color="BFBFBF" w:themeColor="background2"/>
                  </w:tcBorders>
                </w:tcPr>
                <w:p w:rsidR="001E1ACB" w:rsidRDefault="001E1ACB" w:rsidP="00357BBD">
                  <w:pPr>
                    <w:pStyle w:val="TableUnitsRow"/>
                  </w:pPr>
                  <w:r>
                    <w:t>$m</w:t>
                  </w:r>
                </w:p>
              </w:tc>
              <w:tc>
                <w:tcPr>
                  <w:tcW w:w="833" w:type="pct"/>
                  <w:tcBorders>
                    <w:bottom w:val="single" w:sz="6" w:space="0" w:color="BFBFBF" w:themeColor="background2"/>
                  </w:tcBorders>
                </w:tcPr>
                <w:p w:rsidR="001E1ACB" w:rsidRDefault="001E1ACB" w:rsidP="00357BBD">
                  <w:pPr>
                    <w:pStyle w:val="TableUnitsRow"/>
                  </w:pPr>
                  <w:r>
                    <w:t>$m</w:t>
                  </w:r>
                </w:p>
              </w:tc>
              <w:tc>
                <w:tcPr>
                  <w:tcW w:w="833" w:type="pct"/>
                  <w:tcBorders>
                    <w:bottom w:val="single" w:sz="6" w:space="0" w:color="BFBFBF" w:themeColor="background2"/>
                  </w:tcBorders>
                </w:tcPr>
                <w:p w:rsidR="001E1ACB" w:rsidRDefault="001E1ACB" w:rsidP="00357BBD">
                  <w:pPr>
                    <w:pStyle w:val="TableUnitsRow"/>
                  </w:pPr>
                  <w:r>
                    <w:t>$m</w:t>
                  </w:r>
                </w:p>
              </w:tc>
              <w:tc>
                <w:tcPr>
                  <w:tcW w:w="832" w:type="pct"/>
                  <w:tcBorders>
                    <w:bottom w:val="single" w:sz="6" w:space="0" w:color="BFBFBF" w:themeColor="background2"/>
                  </w:tcBorders>
                </w:tcPr>
                <w:p w:rsidR="001E1ACB" w:rsidRDefault="001E1ACB" w:rsidP="00357BBD">
                  <w:pPr>
                    <w:pStyle w:val="TableUnitsRow"/>
                  </w:pPr>
                  <w:r>
                    <w:t>$m</w:t>
                  </w:r>
                </w:p>
              </w:tc>
            </w:tr>
            <w:tr w:rsidR="001061D8" w:rsidTr="009C5C49">
              <w:tc>
                <w:tcPr>
                  <w:tcW w:w="834" w:type="pct"/>
                  <w:tcBorders>
                    <w:top w:val="single" w:sz="6" w:space="0" w:color="BFBFBF" w:themeColor="background2"/>
                  </w:tcBorders>
                  <w:shd w:val="clear" w:color="auto" w:fill="F2F2F2" w:themeFill="background1" w:themeFillShade="F2"/>
                </w:tcPr>
                <w:p w:rsidR="001061D8" w:rsidRDefault="00F17090" w:rsidP="00357BBD">
                  <w:pPr>
                    <w:pStyle w:val="TableUnitsRow"/>
                    <w:jc w:val="left"/>
                  </w:pPr>
                  <w:r>
                    <w:t>$130 000 to $142 500</w:t>
                  </w:r>
                </w:p>
              </w:tc>
              <w:tc>
                <w:tcPr>
                  <w:tcW w:w="834" w:type="pct"/>
                  <w:tcBorders>
                    <w:top w:val="single" w:sz="6" w:space="0" w:color="BFBFBF" w:themeColor="background2"/>
                  </w:tcBorders>
                  <w:shd w:val="clear" w:color="auto" w:fill="F2F2F2" w:themeFill="background1" w:themeFillShade="F2"/>
                </w:tcPr>
                <w:p w:rsidR="001061D8" w:rsidRDefault="00CD7A81" w:rsidP="00357BBD">
                  <w:pPr>
                    <w:pStyle w:val="TableUnitsRow"/>
                  </w:pPr>
                  <w:r>
                    <w:t>116</w:t>
                  </w:r>
                </w:p>
              </w:tc>
              <w:tc>
                <w:tcPr>
                  <w:tcW w:w="834" w:type="pct"/>
                  <w:tcBorders>
                    <w:top w:val="single" w:sz="6" w:space="0" w:color="BFBFBF" w:themeColor="background2"/>
                  </w:tcBorders>
                  <w:shd w:val="clear" w:color="auto" w:fill="F2F2F2" w:themeFill="background1" w:themeFillShade="F2"/>
                </w:tcPr>
                <w:p w:rsidR="001061D8" w:rsidRDefault="002438E8" w:rsidP="00357BBD">
                  <w:pPr>
                    <w:pStyle w:val="TableUnitsRow"/>
                  </w:pPr>
                  <w:r>
                    <w:t>84</w:t>
                  </w:r>
                </w:p>
              </w:tc>
              <w:tc>
                <w:tcPr>
                  <w:tcW w:w="833" w:type="pct"/>
                  <w:tcBorders>
                    <w:top w:val="single" w:sz="6" w:space="0" w:color="BFBFBF" w:themeColor="background2"/>
                  </w:tcBorders>
                  <w:shd w:val="clear" w:color="auto" w:fill="F2F2F2" w:themeFill="background1" w:themeFillShade="F2"/>
                </w:tcPr>
                <w:p w:rsidR="001061D8" w:rsidRDefault="00602B94" w:rsidP="00357BBD">
                  <w:pPr>
                    <w:pStyle w:val="TableUnitsRow"/>
                  </w:pPr>
                  <w:r>
                    <w:t>56</w:t>
                  </w:r>
                </w:p>
              </w:tc>
              <w:tc>
                <w:tcPr>
                  <w:tcW w:w="833" w:type="pct"/>
                  <w:tcBorders>
                    <w:top w:val="single" w:sz="6" w:space="0" w:color="BFBFBF" w:themeColor="background2"/>
                  </w:tcBorders>
                  <w:shd w:val="clear" w:color="auto" w:fill="F2F2F2" w:themeFill="background1" w:themeFillShade="F2"/>
                </w:tcPr>
                <w:p w:rsidR="001061D8" w:rsidRDefault="00611E79" w:rsidP="00357BBD">
                  <w:pPr>
                    <w:pStyle w:val="TableUnitsRow"/>
                  </w:pPr>
                  <w:r>
                    <w:t>38</w:t>
                  </w:r>
                </w:p>
              </w:tc>
              <w:tc>
                <w:tcPr>
                  <w:tcW w:w="832" w:type="pct"/>
                  <w:tcBorders>
                    <w:top w:val="single" w:sz="6" w:space="0" w:color="BFBFBF" w:themeColor="background2"/>
                  </w:tcBorders>
                  <w:shd w:val="clear" w:color="auto" w:fill="F2F2F2" w:themeFill="background1" w:themeFillShade="F2"/>
                </w:tcPr>
                <w:p w:rsidR="001061D8" w:rsidRDefault="000136F1" w:rsidP="00357BBD">
                  <w:pPr>
                    <w:pStyle w:val="TableUnitsRow"/>
                    <w:ind w:right="28"/>
                  </w:pPr>
                  <w:r>
                    <w:t>39</w:t>
                  </w:r>
                </w:p>
              </w:tc>
            </w:tr>
            <w:tr w:rsidR="001061D8" w:rsidTr="001061D8">
              <w:tc>
                <w:tcPr>
                  <w:tcW w:w="834" w:type="pct"/>
                </w:tcPr>
                <w:p w:rsidR="001061D8" w:rsidRDefault="00F17090" w:rsidP="00F17090">
                  <w:pPr>
                    <w:pStyle w:val="TableBodyText"/>
                    <w:jc w:val="left"/>
                  </w:pPr>
                  <w:r>
                    <w:t>$140 000 to $155 000</w:t>
                  </w:r>
                </w:p>
              </w:tc>
              <w:tc>
                <w:tcPr>
                  <w:tcW w:w="834" w:type="pct"/>
                </w:tcPr>
                <w:p w:rsidR="001061D8" w:rsidRDefault="00CD7A81" w:rsidP="00357BBD">
                  <w:pPr>
                    <w:pStyle w:val="TableBodyText"/>
                  </w:pPr>
                  <w:r>
                    <w:t>122</w:t>
                  </w:r>
                </w:p>
              </w:tc>
              <w:tc>
                <w:tcPr>
                  <w:tcW w:w="834" w:type="pct"/>
                </w:tcPr>
                <w:p w:rsidR="001061D8" w:rsidRDefault="002438E8" w:rsidP="00357BBD">
                  <w:pPr>
                    <w:pStyle w:val="TableBodyText"/>
                  </w:pPr>
                  <w:r>
                    <w:t>89</w:t>
                  </w:r>
                </w:p>
              </w:tc>
              <w:tc>
                <w:tcPr>
                  <w:tcW w:w="833" w:type="pct"/>
                </w:tcPr>
                <w:p w:rsidR="001061D8" w:rsidRDefault="00611E79" w:rsidP="00357BBD">
                  <w:pPr>
                    <w:pStyle w:val="TableBodyText"/>
                  </w:pPr>
                  <w:r>
                    <w:t>61</w:t>
                  </w:r>
                </w:p>
              </w:tc>
              <w:tc>
                <w:tcPr>
                  <w:tcW w:w="833" w:type="pct"/>
                </w:tcPr>
                <w:p w:rsidR="001061D8" w:rsidRDefault="00611E79" w:rsidP="00357BBD">
                  <w:pPr>
                    <w:pStyle w:val="TableBodyText"/>
                  </w:pPr>
                  <w:r>
                    <w:t>42</w:t>
                  </w:r>
                </w:p>
              </w:tc>
              <w:tc>
                <w:tcPr>
                  <w:tcW w:w="832" w:type="pct"/>
                </w:tcPr>
                <w:p w:rsidR="001061D8" w:rsidRDefault="000136F1" w:rsidP="00357BBD">
                  <w:pPr>
                    <w:pStyle w:val="TableBodyText"/>
                    <w:ind w:right="28"/>
                  </w:pPr>
                  <w:r>
                    <w:t>43</w:t>
                  </w:r>
                </w:p>
              </w:tc>
            </w:tr>
            <w:tr w:rsidR="001061D8" w:rsidTr="009C5C49">
              <w:tc>
                <w:tcPr>
                  <w:tcW w:w="834" w:type="pct"/>
                  <w:shd w:val="clear" w:color="auto" w:fill="F2F2F2" w:themeFill="background1" w:themeFillShade="F2"/>
                </w:tcPr>
                <w:p w:rsidR="001061D8" w:rsidRPr="00A65762" w:rsidRDefault="00F17090" w:rsidP="008B0763">
                  <w:pPr>
                    <w:pStyle w:val="TableBodyText"/>
                    <w:jc w:val="left"/>
                    <w:rPr>
                      <w:b/>
                    </w:rPr>
                  </w:pPr>
                  <w:r>
                    <w:rPr>
                      <w:b/>
                    </w:rPr>
                    <w:t>$150 000 to $165 000</w:t>
                  </w:r>
                </w:p>
              </w:tc>
              <w:tc>
                <w:tcPr>
                  <w:tcW w:w="834" w:type="pct"/>
                  <w:shd w:val="clear" w:color="auto" w:fill="F2F2F2" w:themeFill="background1" w:themeFillShade="F2"/>
                </w:tcPr>
                <w:p w:rsidR="001061D8" w:rsidRDefault="00CD7A81" w:rsidP="00357BBD">
                  <w:pPr>
                    <w:pStyle w:val="TableBodyText"/>
                  </w:pPr>
                  <w:r>
                    <w:t>113</w:t>
                  </w:r>
                </w:p>
              </w:tc>
              <w:tc>
                <w:tcPr>
                  <w:tcW w:w="834" w:type="pct"/>
                  <w:shd w:val="clear" w:color="auto" w:fill="F2F2F2" w:themeFill="background1" w:themeFillShade="F2"/>
                </w:tcPr>
                <w:p w:rsidR="001061D8" w:rsidRDefault="00E03572" w:rsidP="00357BBD">
                  <w:pPr>
                    <w:pStyle w:val="TableBodyText"/>
                  </w:pPr>
                  <w:r>
                    <w:t>84</w:t>
                  </w:r>
                </w:p>
              </w:tc>
              <w:tc>
                <w:tcPr>
                  <w:tcW w:w="833" w:type="pct"/>
                  <w:shd w:val="clear" w:color="auto" w:fill="F2F2F2" w:themeFill="background1" w:themeFillShade="F2"/>
                </w:tcPr>
                <w:p w:rsidR="001061D8" w:rsidRPr="00310AF7" w:rsidRDefault="00611E79" w:rsidP="00357BBD">
                  <w:pPr>
                    <w:pStyle w:val="TableBodyText"/>
                    <w:rPr>
                      <w:b/>
                    </w:rPr>
                  </w:pPr>
                  <w:r>
                    <w:rPr>
                      <w:b/>
                    </w:rPr>
                    <w:t>57</w:t>
                  </w:r>
                </w:p>
              </w:tc>
              <w:tc>
                <w:tcPr>
                  <w:tcW w:w="833" w:type="pct"/>
                  <w:shd w:val="clear" w:color="auto" w:fill="F2F2F2" w:themeFill="background1" w:themeFillShade="F2"/>
                </w:tcPr>
                <w:p w:rsidR="001061D8" w:rsidRDefault="00611E79" w:rsidP="00357BBD">
                  <w:pPr>
                    <w:pStyle w:val="TableBodyText"/>
                  </w:pPr>
                  <w:r>
                    <w:t>39</w:t>
                  </w:r>
                </w:p>
              </w:tc>
              <w:tc>
                <w:tcPr>
                  <w:tcW w:w="832" w:type="pct"/>
                  <w:shd w:val="clear" w:color="auto" w:fill="F2F2F2" w:themeFill="background1" w:themeFillShade="F2"/>
                </w:tcPr>
                <w:p w:rsidR="001061D8" w:rsidRDefault="000136F1" w:rsidP="00357BBD">
                  <w:pPr>
                    <w:pStyle w:val="TableBodyText"/>
                    <w:ind w:right="28"/>
                  </w:pPr>
                  <w:r>
                    <w:t>40</w:t>
                  </w:r>
                </w:p>
              </w:tc>
            </w:tr>
            <w:tr w:rsidR="001061D8" w:rsidTr="001061D8">
              <w:tc>
                <w:tcPr>
                  <w:tcW w:w="834" w:type="pct"/>
                </w:tcPr>
                <w:p w:rsidR="008B0763" w:rsidRDefault="00F17090" w:rsidP="00E23AB2">
                  <w:pPr>
                    <w:pStyle w:val="TableBodyText"/>
                    <w:jc w:val="left"/>
                  </w:pPr>
                  <w:r>
                    <w:t>$160 000 to $175 000</w:t>
                  </w:r>
                </w:p>
              </w:tc>
              <w:tc>
                <w:tcPr>
                  <w:tcW w:w="834" w:type="pct"/>
                </w:tcPr>
                <w:p w:rsidR="001061D8" w:rsidRDefault="00CD7A81" w:rsidP="00357BBD">
                  <w:pPr>
                    <w:pStyle w:val="TableBodyText"/>
                  </w:pPr>
                  <w:r>
                    <w:t>113</w:t>
                  </w:r>
                </w:p>
              </w:tc>
              <w:tc>
                <w:tcPr>
                  <w:tcW w:w="834" w:type="pct"/>
                </w:tcPr>
                <w:p w:rsidR="001061D8" w:rsidRDefault="00602B94" w:rsidP="00357BBD">
                  <w:pPr>
                    <w:pStyle w:val="TableBodyText"/>
                  </w:pPr>
                  <w:r>
                    <w:t>84</w:t>
                  </w:r>
                </w:p>
              </w:tc>
              <w:tc>
                <w:tcPr>
                  <w:tcW w:w="833" w:type="pct"/>
                </w:tcPr>
                <w:p w:rsidR="001061D8" w:rsidRDefault="00611E79" w:rsidP="00357BBD">
                  <w:pPr>
                    <w:pStyle w:val="TableBodyText"/>
                  </w:pPr>
                  <w:r>
                    <w:t>57</w:t>
                  </w:r>
                </w:p>
              </w:tc>
              <w:tc>
                <w:tcPr>
                  <w:tcW w:w="833" w:type="pct"/>
                </w:tcPr>
                <w:p w:rsidR="001061D8" w:rsidRDefault="00F86042" w:rsidP="00357BBD">
                  <w:pPr>
                    <w:pStyle w:val="TableBodyText"/>
                  </w:pPr>
                  <w:r>
                    <w:t>39</w:t>
                  </w:r>
                </w:p>
              </w:tc>
              <w:tc>
                <w:tcPr>
                  <w:tcW w:w="832" w:type="pct"/>
                </w:tcPr>
                <w:p w:rsidR="001061D8" w:rsidRDefault="000136F1" w:rsidP="00357BBD">
                  <w:pPr>
                    <w:pStyle w:val="TableBodyText"/>
                    <w:ind w:right="28"/>
                  </w:pPr>
                  <w:r>
                    <w:t>41</w:t>
                  </w:r>
                </w:p>
              </w:tc>
            </w:tr>
            <w:tr w:rsidR="001061D8" w:rsidTr="009C5C49">
              <w:tc>
                <w:tcPr>
                  <w:tcW w:w="834" w:type="pct"/>
                  <w:tcBorders>
                    <w:bottom w:val="single" w:sz="6" w:space="0" w:color="BFBFBF" w:themeColor="background2"/>
                  </w:tcBorders>
                  <w:shd w:val="clear" w:color="auto" w:fill="F2F2F2" w:themeFill="background1" w:themeFillShade="F2"/>
                </w:tcPr>
                <w:p w:rsidR="001061D8" w:rsidRDefault="00F17090" w:rsidP="00357BBD">
                  <w:pPr>
                    <w:pStyle w:val="TableBodyText"/>
                    <w:jc w:val="left"/>
                  </w:pPr>
                  <w:r>
                    <w:t>$170 000 to $187 500</w:t>
                  </w:r>
                </w:p>
              </w:tc>
              <w:tc>
                <w:tcPr>
                  <w:tcW w:w="834" w:type="pct"/>
                  <w:tcBorders>
                    <w:bottom w:val="single" w:sz="6" w:space="0" w:color="BFBFBF" w:themeColor="background2"/>
                  </w:tcBorders>
                  <w:shd w:val="clear" w:color="auto" w:fill="F2F2F2" w:themeFill="background1" w:themeFillShade="F2"/>
                </w:tcPr>
                <w:p w:rsidR="001061D8" w:rsidRDefault="00CD7A81" w:rsidP="00357BBD">
                  <w:pPr>
                    <w:pStyle w:val="TableBodyText"/>
                  </w:pPr>
                  <w:r>
                    <w:t>112</w:t>
                  </w:r>
                </w:p>
              </w:tc>
              <w:tc>
                <w:tcPr>
                  <w:tcW w:w="834" w:type="pct"/>
                  <w:tcBorders>
                    <w:bottom w:val="single" w:sz="6" w:space="0" w:color="BFBFBF" w:themeColor="background2"/>
                  </w:tcBorders>
                  <w:shd w:val="clear" w:color="auto" w:fill="F2F2F2" w:themeFill="background1" w:themeFillShade="F2"/>
                </w:tcPr>
                <w:p w:rsidR="001061D8" w:rsidRDefault="00602B94" w:rsidP="00357BBD">
                  <w:pPr>
                    <w:pStyle w:val="TableBodyText"/>
                  </w:pPr>
                  <w:r>
                    <w:t>85</w:t>
                  </w:r>
                </w:p>
              </w:tc>
              <w:tc>
                <w:tcPr>
                  <w:tcW w:w="833" w:type="pct"/>
                  <w:tcBorders>
                    <w:bottom w:val="single" w:sz="6" w:space="0" w:color="BFBFBF" w:themeColor="background2"/>
                  </w:tcBorders>
                  <w:shd w:val="clear" w:color="auto" w:fill="F2F2F2" w:themeFill="background1" w:themeFillShade="F2"/>
                </w:tcPr>
                <w:p w:rsidR="001061D8" w:rsidRDefault="00611E79" w:rsidP="00357BBD">
                  <w:pPr>
                    <w:pStyle w:val="TableBodyText"/>
                  </w:pPr>
                  <w:r>
                    <w:t>59</w:t>
                  </w:r>
                </w:p>
              </w:tc>
              <w:tc>
                <w:tcPr>
                  <w:tcW w:w="833" w:type="pct"/>
                  <w:tcBorders>
                    <w:bottom w:val="single" w:sz="6" w:space="0" w:color="BFBFBF" w:themeColor="background2"/>
                  </w:tcBorders>
                  <w:shd w:val="clear" w:color="auto" w:fill="F2F2F2" w:themeFill="background1" w:themeFillShade="F2"/>
                </w:tcPr>
                <w:p w:rsidR="001061D8" w:rsidRDefault="00F86042" w:rsidP="00357BBD">
                  <w:pPr>
                    <w:pStyle w:val="TableBodyText"/>
                  </w:pPr>
                  <w:r>
                    <w:t>40</w:t>
                  </w:r>
                </w:p>
              </w:tc>
              <w:tc>
                <w:tcPr>
                  <w:tcW w:w="832" w:type="pct"/>
                  <w:tcBorders>
                    <w:bottom w:val="single" w:sz="6" w:space="0" w:color="BFBFBF" w:themeColor="background2"/>
                  </w:tcBorders>
                  <w:shd w:val="clear" w:color="auto" w:fill="F2F2F2" w:themeFill="background1" w:themeFillShade="F2"/>
                </w:tcPr>
                <w:p w:rsidR="001061D8" w:rsidRDefault="000136F1" w:rsidP="00357BBD">
                  <w:pPr>
                    <w:pStyle w:val="TableBodyText"/>
                    <w:ind w:right="28"/>
                  </w:pPr>
                  <w:r>
                    <w:t>42</w:t>
                  </w:r>
                </w:p>
              </w:tc>
            </w:tr>
          </w:tbl>
          <w:p w:rsidR="00A6491D" w:rsidRDefault="00A6491D" w:rsidP="00357BBD">
            <w:pPr>
              <w:pStyle w:val="Box"/>
            </w:pPr>
          </w:p>
        </w:tc>
      </w:tr>
      <w:tr w:rsidR="00A6491D" w:rsidTr="00357BBD">
        <w:trPr>
          <w:cantSplit/>
        </w:trPr>
        <w:tc>
          <w:tcPr>
            <w:tcW w:w="8771" w:type="dxa"/>
            <w:tcBorders>
              <w:top w:val="nil"/>
              <w:left w:val="nil"/>
              <w:bottom w:val="nil"/>
              <w:right w:val="nil"/>
            </w:tcBorders>
            <w:shd w:val="clear" w:color="auto" w:fill="auto"/>
          </w:tcPr>
          <w:p w:rsidR="00A6491D" w:rsidRDefault="00A6491D" w:rsidP="00ED0E84">
            <w:pPr>
              <w:pStyle w:val="Note"/>
              <w:rPr>
                <w:i/>
              </w:rPr>
            </w:pPr>
            <w:proofErr w:type="gramStart"/>
            <w:r w:rsidRPr="008E77FE">
              <w:rPr>
                <w:rStyle w:val="NoteLabel"/>
              </w:rPr>
              <w:t>a</w:t>
            </w:r>
            <w:proofErr w:type="gramEnd"/>
            <w:r>
              <w:t xml:space="preserve"> </w:t>
            </w:r>
            <w:r w:rsidR="00E21344">
              <w:rPr>
                <w:b/>
              </w:rPr>
              <w:t>Bold</w:t>
            </w:r>
            <w:r w:rsidR="00E21344">
              <w:t xml:space="preserve"> denotes the Commission’s preferred estimate</w:t>
            </w:r>
            <w:r w:rsidR="008D464F">
              <w:t>.</w:t>
            </w:r>
            <w:r w:rsidR="00E82FC5">
              <w:t xml:space="preserve"> </w:t>
            </w:r>
            <w:proofErr w:type="gramStart"/>
            <w:r w:rsidR="00A33F56">
              <w:rPr>
                <w:rStyle w:val="NoteLabel"/>
              </w:rPr>
              <w:t>b</w:t>
            </w:r>
            <w:proofErr w:type="gramEnd"/>
            <w:r w:rsidR="00A33F56">
              <w:t xml:space="preserve"> </w:t>
            </w:r>
            <w:r w:rsidR="00E82FC5">
              <w:t xml:space="preserve">The discreteness of the data does not always allow for an exact 10 per cent increase in </w:t>
            </w:r>
            <w:r w:rsidR="00ED0E84">
              <w:t>income and asset</w:t>
            </w:r>
            <w:r w:rsidR="007E59E1">
              <w:t>s</w:t>
            </w:r>
            <w:r w:rsidR="00ED0E84">
              <w:t xml:space="preserve"> measures</w:t>
            </w:r>
            <w:r w:rsidR="00981162">
              <w:t>, and so the proportional change in some categories may be gr</w:t>
            </w:r>
            <w:r w:rsidR="00807407">
              <w:t>eater than others</w:t>
            </w:r>
            <w:r w:rsidR="00E82FC5">
              <w:t>.</w:t>
            </w:r>
          </w:p>
        </w:tc>
      </w:tr>
      <w:tr w:rsidR="00A6491D" w:rsidTr="00357BBD">
        <w:trPr>
          <w:cantSplit/>
        </w:trPr>
        <w:tc>
          <w:tcPr>
            <w:tcW w:w="8771" w:type="dxa"/>
            <w:tcBorders>
              <w:top w:val="nil"/>
              <w:left w:val="nil"/>
              <w:bottom w:val="nil"/>
              <w:right w:val="nil"/>
            </w:tcBorders>
            <w:shd w:val="clear" w:color="auto" w:fill="auto"/>
          </w:tcPr>
          <w:p w:rsidR="00A6491D" w:rsidRDefault="00C07AAB" w:rsidP="005B0522">
            <w:pPr>
              <w:pStyle w:val="Source"/>
            </w:pPr>
            <w:r>
              <w:rPr>
                <w:i/>
              </w:rPr>
              <w:t>Sources</w:t>
            </w:r>
            <w:r w:rsidR="00A6491D" w:rsidRPr="00167F06">
              <w:t xml:space="preserve">: </w:t>
            </w:r>
            <w:r w:rsidR="009464CA">
              <w:t>Commission estimates based on unpublished VLA and LANSW data</w:t>
            </w:r>
            <w:r w:rsidR="00D64B27">
              <w:t>;</w:t>
            </w:r>
            <w:r w:rsidR="009464CA">
              <w:t xml:space="preserve"> </w:t>
            </w:r>
            <w:r w:rsidR="00C433EC">
              <w:t xml:space="preserve">ABS </w:t>
            </w:r>
            <w:r w:rsidR="005B0522">
              <w:t>(</w:t>
            </w:r>
            <w:r w:rsidR="005B0522">
              <w:rPr>
                <w:i/>
              </w:rPr>
              <w:t>House</w:t>
            </w:r>
            <w:r w:rsidR="00120F67">
              <w:rPr>
                <w:i/>
              </w:rPr>
              <w:t>hold Expenditure Survey</w:t>
            </w:r>
            <w:r w:rsidR="00497AFD">
              <w:rPr>
                <w:i/>
              </w:rPr>
              <w:t>,</w:t>
            </w:r>
            <w:r w:rsidR="00120F67">
              <w:rPr>
                <w:i/>
              </w:rPr>
              <w:t xml:space="preserve"> 2009</w:t>
            </w:r>
            <w:r w:rsidR="003C4012">
              <w:rPr>
                <w:i/>
              </w:rPr>
              <w:noBreakHyphen/>
            </w:r>
            <w:r w:rsidR="00120F67">
              <w:rPr>
                <w:i/>
              </w:rPr>
              <w:t>10</w:t>
            </w:r>
            <w:r w:rsidR="00C433EC">
              <w:t>, Cat</w:t>
            </w:r>
            <w:r w:rsidR="007257C0">
              <w:t>.</w:t>
            </w:r>
            <w:r w:rsidR="0073080D">
              <w:t> </w:t>
            </w:r>
            <w:r w:rsidR="00C433EC">
              <w:t>no.</w:t>
            </w:r>
            <w:r w:rsidR="0073080D">
              <w:t> </w:t>
            </w:r>
            <w:r w:rsidR="00C433EC">
              <w:t xml:space="preserve">6503.0, </w:t>
            </w:r>
            <w:proofErr w:type="spellStart"/>
            <w:r w:rsidR="00C433EC">
              <w:t>Confident</w:t>
            </w:r>
            <w:r w:rsidR="00591669">
              <w:t>ialised</w:t>
            </w:r>
            <w:proofErr w:type="spellEnd"/>
            <w:r w:rsidR="00591669">
              <w:t xml:space="preserve"> Unit Record File</w:t>
            </w:r>
            <w:r w:rsidR="00120F67">
              <w:t>).</w:t>
            </w:r>
          </w:p>
        </w:tc>
      </w:tr>
      <w:tr w:rsidR="00A6491D" w:rsidTr="00357BBD">
        <w:trPr>
          <w:cantSplit/>
        </w:trPr>
        <w:tc>
          <w:tcPr>
            <w:tcW w:w="8771" w:type="dxa"/>
            <w:tcBorders>
              <w:top w:val="nil"/>
              <w:left w:val="nil"/>
              <w:bottom w:val="single" w:sz="6" w:space="0" w:color="78A22F" w:themeColor="accent1"/>
              <w:right w:val="nil"/>
            </w:tcBorders>
            <w:shd w:val="clear" w:color="auto" w:fill="auto"/>
          </w:tcPr>
          <w:p w:rsidR="00A6491D" w:rsidRDefault="00A6491D" w:rsidP="00357BBD">
            <w:pPr>
              <w:pStyle w:val="Box"/>
              <w:spacing w:before="0" w:line="120" w:lineRule="exact"/>
            </w:pPr>
          </w:p>
        </w:tc>
      </w:tr>
      <w:tr w:rsidR="00A6491D" w:rsidRPr="000863A5" w:rsidTr="00357BBD">
        <w:tc>
          <w:tcPr>
            <w:tcW w:w="8771" w:type="dxa"/>
            <w:tcBorders>
              <w:top w:val="single" w:sz="6" w:space="0" w:color="78A22F" w:themeColor="accent1"/>
              <w:left w:val="nil"/>
              <w:bottom w:val="nil"/>
              <w:right w:val="nil"/>
            </w:tcBorders>
          </w:tcPr>
          <w:p w:rsidR="00A6491D" w:rsidRPr="00626D32" w:rsidRDefault="00A6491D" w:rsidP="00357BBD">
            <w:pPr>
              <w:pStyle w:val="BoxSpaceBelow"/>
            </w:pPr>
          </w:p>
        </w:tc>
      </w:tr>
    </w:tbl>
    <w:p w:rsidR="00162E7C" w:rsidRDefault="005660FF" w:rsidP="00D8005C">
      <w:pPr>
        <w:pStyle w:val="Heading3"/>
      </w:pPr>
      <w:r>
        <w:t>Providing additional funding for grants of aid in civil matters</w:t>
      </w:r>
    </w:p>
    <w:p w:rsidR="00162E7C" w:rsidRDefault="00162E7C" w:rsidP="00162E7C">
      <w:pPr>
        <w:pStyle w:val="BodyText"/>
      </w:pPr>
      <w:r>
        <w:t xml:space="preserve">Increasing the means test for the present range of services offered would still leave considerable gaps in coverage because LACs do not offer grants of aid in many civil matters. Some areas of civil law are covered by </w:t>
      </w:r>
      <w:r w:rsidR="007E19E8">
        <w:t>the other legal assistance services</w:t>
      </w:r>
      <w:r>
        <w:t>, but the Commission has heard many instances where coverage has been ‘wound back’ or where LACs have suggested that there is unmet legal need in particular areas, but do not have the resources to cover it</w:t>
      </w:r>
      <w:r w:rsidR="00F31BF9">
        <w:t xml:space="preserve"> (chapter</w:t>
      </w:r>
      <w:r w:rsidR="00E05731">
        <w:t> </w:t>
      </w:r>
      <w:r w:rsidR="00F31BF9">
        <w:t>21)</w:t>
      </w:r>
      <w:r>
        <w:t>.</w:t>
      </w:r>
      <w:r w:rsidR="00673D89">
        <w:t xml:space="preserve"> For example:</w:t>
      </w:r>
    </w:p>
    <w:p w:rsidR="00165B70" w:rsidRDefault="00165B70" w:rsidP="00165B70">
      <w:pPr>
        <w:pStyle w:val="Quote"/>
      </w:pPr>
      <w:r w:rsidRPr="0031647A">
        <w:t>Then there</w:t>
      </w:r>
      <w:r w:rsidR="00755422">
        <w:t>’</w:t>
      </w:r>
      <w:r w:rsidRPr="0031647A">
        <w:t>s looking at areas of law in which we</w:t>
      </w:r>
      <w:r w:rsidR="00755422">
        <w:t>’</w:t>
      </w:r>
      <w:r w:rsidRPr="0031647A">
        <w:t xml:space="preserve">re not adequately meeting unmet need. Particularly in the civil law space we accept that we will never be able to cover the field, but in running effective niche civil law practices which can spotlight systemic problems and tackle issues at their source </w:t>
      </w:r>
      <w:r w:rsidR="007E59E1">
        <w:t>…</w:t>
      </w:r>
      <w:r w:rsidRPr="0031647A">
        <w:t xml:space="preserve"> we can contribute to the avoidance of legal problems for other people who will never actually be a client. (</w:t>
      </w:r>
      <w:r w:rsidR="0031647A" w:rsidRPr="0031647A">
        <w:t>VLA</w:t>
      </w:r>
      <w:r w:rsidRPr="0031647A">
        <w:t>, trans.</w:t>
      </w:r>
      <w:r w:rsidR="009041A4">
        <w:t>,</w:t>
      </w:r>
      <w:r w:rsidRPr="0031647A">
        <w:t xml:space="preserve"> p.</w:t>
      </w:r>
      <w:r w:rsidR="003C4012">
        <w:t> </w:t>
      </w:r>
      <w:r w:rsidRPr="0031647A">
        <w:t>7</w:t>
      </w:r>
      <w:r w:rsidR="009041A4">
        <w:t>44</w:t>
      </w:r>
      <w:r w:rsidRPr="0031647A">
        <w:t>)</w:t>
      </w:r>
    </w:p>
    <w:p w:rsidR="00162E7C" w:rsidRDefault="00162E7C" w:rsidP="00162E7C">
      <w:pPr>
        <w:pStyle w:val="BodyText"/>
      </w:pPr>
      <w:r>
        <w:t xml:space="preserve">However, when pressed on the extent of unmet legal need for civil (as well as family matters), </w:t>
      </w:r>
      <w:r w:rsidR="00635428">
        <w:t xml:space="preserve">no </w:t>
      </w:r>
      <w:r w:rsidR="00C45BDB">
        <w:t>LAC</w:t>
      </w:r>
      <w:r>
        <w:t xml:space="preserve"> </w:t>
      </w:r>
      <w:r w:rsidR="00635428">
        <w:t>was able</w:t>
      </w:r>
      <w:r>
        <w:t xml:space="preserve"> to provide a </w:t>
      </w:r>
      <w:r w:rsidR="00635428">
        <w:t xml:space="preserve">concrete </w:t>
      </w:r>
      <w:r>
        <w:t xml:space="preserve">figure on the </w:t>
      </w:r>
      <w:r w:rsidR="00D20265">
        <w:t>level of</w:t>
      </w:r>
      <w:r>
        <w:t xml:space="preserve"> unmet need, or how much additional funding would be necessary to close </w:t>
      </w:r>
      <w:r w:rsidR="00004D03">
        <w:t xml:space="preserve">the perceived </w:t>
      </w:r>
      <w:r w:rsidR="002279C2">
        <w:t>‘</w:t>
      </w:r>
      <w:r w:rsidR="00004D03">
        <w:t>gap</w:t>
      </w:r>
      <w:r w:rsidR="002279C2">
        <w:t>’</w:t>
      </w:r>
      <w:r w:rsidR="00004D03">
        <w:t xml:space="preserve"> in legal services</w:t>
      </w:r>
      <w:r>
        <w:t xml:space="preserve">. The inquiry process revealed a number of anecdotes relating to unmet need in the civil </w:t>
      </w:r>
      <w:r>
        <w:lastRenderedPageBreak/>
        <w:t xml:space="preserve">space, but quantifying the costs </w:t>
      </w:r>
      <w:r w:rsidR="00D20265">
        <w:t xml:space="preserve">of </w:t>
      </w:r>
      <w:r>
        <w:t xml:space="preserve">resolving that need and the benefits from doing so is </w:t>
      </w:r>
      <w:r w:rsidR="00D20265">
        <w:t xml:space="preserve">not possible </w:t>
      </w:r>
      <w:r>
        <w:t xml:space="preserve">to do accurately </w:t>
      </w:r>
      <w:r w:rsidR="00521E9F">
        <w:t>on</w:t>
      </w:r>
      <w:r>
        <w:t xml:space="preserve"> such evidence.</w:t>
      </w:r>
    </w:p>
    <w:p w:rsidR="00790EF7" w:rsidRDefault="00D20265" w:rsidP="00162E7C">
      <w:pPr>
        <w:pStyle w:val="BodyText"/>
      </w:pPr>
      <w:r>
        <w:t>The observation that problems tend to be associated, or ‘cluster’, with family law matters suggests that more assistance is needed for</w:t>
      </w:r>
      <w:r w:rsidR="001F15F0">
        <w:t xml:space="preserve"> other</w:t>
      </w:r>
      <w:r w:rsidR="003C4012">
        <w:t xml:space="preserve"> </w:t>
      </w:r>
      <w:r>
        <w:t>civil law matters.</w:t>
      </w:r>
      <w:r w:rsidR="00752DFA">
        <w:t xml:space="preserve"> </w:t>
      </w:r>
      <w:r w:rsidR="008D0422">
        <w:t>T</w:t>
      </w:r>
      <w:r w:rsidR="00326189">
        <w:t xml:space="preserve">he </w:t>
      </w:r>
      <w:r w:rsidR="00326189" w:rsidRPr="00F60B38">
        <w:rPr>
          <w:i/>
        </w:rPr>
        <w:t>L</w:t>
      </w:r>
      <w:r w:rsidR="00923003">
        <w:rPr>
          <w:i/>
        </w:rPr>
        <w:t>egal Australia</w:t>
      </w:r>
      <w:r w:rsidR="00923003">
        <w:rPr>
          <w:i/>
        </w:rPr>
        <w:noBreakHyphen/>
        <w:t>Wide</w:t>
      </w:r>
      <w:r w:rsidR="00326189" w:rsidRPr="00F60B38">
        <w:rPr>
          <w:i/>
        </w:rPr>
        <w:t xml:space="preserve"> Survey</w:t>
      </w:r>
      <w:r w:rsidR="00326189">
        <w:t xml:space="preserve"> found that family problems often clustered with ‘credit and debt’ problems, and that those with family law problems also frequently had disputes in areas of consumer, criminal, government (including benefits), housing and rights </w:t>
      </w:r>
      <w:r w:rsidR="00326189" w:rsidRPr="00F60B38">
        <w:rPr>
          <w:szCs w:val="24"/>
        </w:rPr>
        <w:t>(</w:t>
      </w:r>
      <w:proofErr w:type="spellStart"/>
      <w:r w:rsidR="00326189" w:rsidRPr="00F60B38">
        <w:rPr>
          <w:szCs w:val="24"/>
        </w:rPr>
        <w:t>Coumarelos</w:t>
      </w:r>
      <w:proofErr w:type="spellEnd"/>
      <w:r w:rsidR="00326189" w:rsidRPr="00F60B38">
        <w:rPr>
          <w:szCs w:val="24"/>
        </w:rPr>
        <w:t xml:space="preserve"> et al. 2012, pp. 88–89)</w:t>
      </w:r>
      <w:r w:rsidR="00326189">
        <w:t>.</w:t>
      </w:r>
      <w:r w:rsidR="00790EF7">
        <w:t xml:space="preserve"> </w:t>
      </w:r>
      <w:r w:rsidR="00162E7C">
        <w:t xml:space="preserve">Given that </w:t>
      </w:r>
      <w:r w:rsidR="00434E4D">
        <w:t>LACs</w:t>
      </w:r>
      <w:r w:rsidR="00162E7C">
        <w:t xml:space="preserve"> have identified</w:t>
      </w:r>
      <w:r w:rsidR="005A6E7E">
        <w:t xml:space="preserve"> and provide services to those with family law matters</w:t>
      </w:r>
      <w:r w:rsidR="00790EF7">
        <w:t xml:space="preserve">, these data </w:t>
      </w:r>
      <w:r w:rsidR="00764044">
        <w:t>indicate that assistance is needed for</w:t>
      </w:r>
      <w:r w:rsidR="00923003">
        <w:t xml:space="preserve"> other</w:t>
      </w:r>
      <w:r w:rsidR="00764044">
        <w:t xml:space="preserve"> </w:t>
      </w:r>
      <w:r w:rsidR="00631A86">
        <w:t>civil matters as well.</w:t>
      </w:r>
    </w:p>
    <w:p w:rsidR="004C3D63" w:rsidRDefault="00162E7C" w:rsidP="00162E7C">
      <w:pPr>
        <w:pStyle w:val="BodyText"/>
      </w:pPr>
      <w:r>
        <w:t>On this basis, the Commission has examined the option of increasing the number of</w:t>
      </w:r>
      <w:r w:rsidR="00340BD2">
        <w:t xml:space="preserve"> (non</w:t>
      </w:r>
      <w:r w:rsidR="005A4505">
        <w:noBreakHyphen/>
      </w:r>
      <w:r w:rsidR="00340BD2">
        <w:t>family)</w:t>
      </w:r>
      <w:r>
        <w:t xml:space="preserve"> civil grants of aid to match </w:t>
      </w:r>
      <w:r w:rsidR="00000956">
        <w:t xml:space="preserve">the number of </w:t>
      </w:r>
      <w:r>
        <w:t xml:space="preserve">grants </w:t>
      </w:r>
      <w:r w:rsidR="00122AA0">
        <w:t xml:space="preserve">presently </w:t>
      </w:r>
      <w:r>
        <w:t>provided for family matters — an increase of around 40</w:t>
      </w:r>
      <w:r w:rsidR="003C4012">
        <w:t> </w:t>
      </w:r>
      <w:r>
        <w:t>000 grants</w:t>
      </w:r>
      <w:r w:rsidR="008A0A21">
        <w:t>, annually</w:t>
      </w:r>
      <w:r>
        <w:t>. This represents a substantial increase in the total grants of</w:t>
      </w:r>
      <w:r w:rsidR="00BF4234">
        <w:t xml:space="preserve"> legal</w:t>
      </w:r>
      <w:r>
        <w:t xml:space="preserve"> aid</w:t>
      </w:r>
      <w:r w:rsidR="007E59E1">
        <w:t>,</w:t>
      </w:r>
      <w:r>
        <w:t xml:space="preserve"> given that</w:t>
      </w:r>
      <w:r w:rsidR="00673D89">
        <w:t xml:space="preserve"> </w:t>
      </w:r>
      <w:r w:rsidR="00340BD2">
        <w:t>(</w:t>
      </w:r>
      <w:r w:rsidR="00673D89">
        <w:t>non-family</w:t>
      </w:r>
      <w:r w:rsidR="00340BD2">
        <w:t>)</w:t>
      </w:r>
      <w:r>
        <w:t xml:space="preserve"> civil matters are not well covered by LACs at present.</w:t>
      </w:r>
    </w:p>
    <w:p w:rsidR="00162E7C" w:rsidRDefault="009B7E20" w:rsidP="005054D2">
      <w:pPr>
        <w:pStyle w:val="BodyText"/>
      </w:pPr>
      <w:r>
        <w:t>The</w:t>
      </w:r>
      <w:r w:rsidR="00672A25">
        <w:t xml:space="preserve"> present lack of coverage</w:t>
      </w:r>
      <w:r w:rsidR="00510470">
        <w:t xml:space="preserve"> in</w:t>
      </w:r>
      <w:r w:rsidR="00BF4234">
        <w:t xml:space="preserve"> (non-family)</w:t>
      </w:r>
      <w:r w:rsidR="00510470">
        <w:t xml:space="preserve"> civil matters</w:t>
      </w:r>
      <w:r w:rsidR="00672A25">
        <w:t xml:space="preserve"> makes it difficult to cost </w:t>
      </w:r>
      <w:r w:rsidR="00897076">
        <w:t xml:space="preserve">such a proposal with accuracy. </w:t>
      </w:r>
      <w:r w:rsidR="006B2B3F">
        <w:t>Because the LACs do relatively little casework</w:t>
      </w:r>
      <w:r w:rsidR="00877209">
        <w:t xml:space="preserve"> for civil </w:t>
      </w:r>
      <w:r w:rsidR="008A54B6">
        <w:t xml:space="preserve">(other than family) </w:t>
      </w:r>
      <w:r w:rsidR="00877209">
        <w:t>matters</w:t>
      </w:r>
      <w:r w:rsidR="006B2B3F">
        <w:t>, the cost</w:t>
      </w:r>
      <w:r w:rsidR="00B14FD3">
        <w:t xml:space="preserve"> information </w:t>
      </w:r>
      <w:r w:rsidR="006813B0">
        <w:t xml:space="preserve">provided by </w:t>
      </w:r>
      <w:r w:rsidR="00B14FD3">
        <w:t xml:space="preserve">VLA and LANSW </w:t>
      </w:r>
      <w:r w:rsidR="006B2B3F">
        <w:t>may not be a good indicator of the funding they would require i</w:t>
      </w:r>
      <w:r w:rsidR="006E391C">
        <w:t>f they were to increase their caseload in this area of law.</w:t>
      </w:r>
      <w:r w:rsidR="00627221">
        <w:t xml:space="preserve"> Another issue is the relatively skewed nature of the</w:t>
      </w:r>
      <w:r w:rsidR="004B2B10">
        <w:t xml:space="preserve"> other</w:t>
      </w:r>
      <w:r w:rsidR="00627221">
        <w:t xml:space="preserve"> civil casework at present</w:t>
      </w:r>
      <w:r w:rsidR="00877209">
        <w:t xml:space="preserve"> — some areas of civil law</w:t>
      </w:r>
      <w:r w:rsidR="00FD53A0">
        <w:t xml:space="preserve"> (besides family)</w:t>
      </w:r>
      <w:r w:rsidR="00877209">
        <w:t xml:space="preserve"> </w:t>
      </w:r>
      <w:r w:rsidR="000D060A">
        <w:t xml:space="preserve">receive </w:t>
      </w:r>
      <w:r w:rsidR="0018247E">
        <w:t>a much greater number of</w:t>
      </w:r>
      <w:r w:rsidR="000D060A">
        <w:t xml:space="preserve"> grants of legal aid than others</w:t>
      </w:r>
      <w:r w:rsidR="00627221">
        <w:t xml:space="preserve">. </w:t>
      </w:r>
      <w:r w:rsidR="00022137">
        <w:t xml:space="preserve">However, while such data may be imperfect, </w:t>
      </w:r>
      <w:r w:rsidR="00082BC9">
        <w:t xml:space="preserve">it is the most reliable source that the Commission has </w:t>
      </w:r>
      <w:r w:rsidR="00A77336">
        <w:t>had access to</w:t>
      </w:r>
      <w:r w:rsidR="008905BF">
        <w:t xml:space="preserve"> at this particular level of disaggregation</w:t>
      </w:r>
      <w:r w:rsidR="009248CC">
        <w:t>.</w:t>
      </w:r>
    </w:p>
    <w:p w:rsidR="00FE1A56" w:rsidRDefault="00162E7C" w:rsidP="00162E7C">
      <w:pPr>
        <w:pStyle w:val="BodyText"/>
      </w:pPr>
      <w:r>
        <w:t>The</w:t>
      </w:r>
      <w:r w:rsidR="00DC122D">
        <w:t xml:space="preserve"> data about</w:t>
      </w:r>
      <w:r>
        <w:t xml:space="preserve"> </w:t>
      </w:r>
      <w:r w:rsidR="00DC122D">
        <w:t xml:space="preserve">grants of legal aid undertaken by </w:t>
      </w:r>
      <w:r>
        <w:t>private practitioner</w:t>
      </w:r>
      <w:r w:rsidR="00DC122D">
        <w:t>s</w:t>
      </w:r>
      <w:r>
        <w:t xml:space="preserve"> provided to the Commission indicate</w:t>
      </w:r>
      <w:r w:rsidR="00CA472B">
        <w:t>d</w:t>
      </w:r>
      <w:r>
        <w:t xml:space="preserve"> that the cost of </w:t>
      </w:r>
      <w:r w:rsidR="006A75D7">
        <w:t xml:space="preserve">a </w:t>
      </w:r>
      <w:r>
        <w:t xml:space="preserve">grant of aid for </w:t>
      </w:r>
      <w:r w:rsidR="006A75D7">
        <w:t xml:space="preserve">a </w:t>
      </w:r>
      <w:r>
        <w:t xml:space="preserve">civil matter </w:t>
      </w:r>
      <w:r w:rsidR="00CA472B">
        <w:t xml:space="preserve">ranged </w:t>
      </w:r>
      <w:r>
        <w:t xml:space="preserve">from </w:t>
      </w:r>
      <w:r w:rsidRPr="00D8005C">
        <w:t>$1923 (for matters relating to mental health in N</w:t>
      </w:r>
      <w:r w:rsidR="003C4012">
        <w:t xml:space="preserve">ew </w:t>
      </w:r>
      <w:r w:rsidRPr="00D8005C">
        <w:t>S</w:t>
      </w:r>
      <w:r w:rsidR="003C4012">
        <w:t xml:space="preserve">outh </w:t>
      </w:r>
      <w:r w:rsidRPr="00D8005C">
        <w:t>W</w:t>
      </w:r>
      <w:r w:rsidR="003C4012">
        <w:t>ales</w:t>
      </w:r>
      <w:r w:rsidRPr="00D8005C">
        <w:t>) to $24</w:t>
      </w:r>
      <w:r w:rsidR="003C4012">
        <w:t> </w:t>
      </w:r>
      <w:r w:rsidRPr="00D8005C">
        <w:t>988 (for consumer matters</w:t>
      </w:r>
      <w:r w:rsidR="009452AD">
        <w:t>, including consumer credit,</w:t>
      </w:r>
      <w:r w:rsidRPr="00D8005C">
        <w:t xml:space="preserve"> in N</w:t>
      </w:r>
      <w:r w:rsidR="003C4012">
        <w:t xml:space="preserve">ew </w:t>
      </w:r>
      <w:r w:rsidRPr="00D8005C">
        <w:t>S</w:t>
      </w:r>
      <w:r w:rsidR="003C4012">
        <w:t xml:space="preserve">outh </w:t>
      </w:r>
      <w:r w:rsidRPr="00D8005C">
        <w:t>W</w:t>
      </w:r>
      <w:r w:rsidR="003C4012">
        <w:t>ales</w:t>
      </w:r>
      <w:r w:rsidRPr="00D8005C">
        <w:t>).</w:t>
      </w:r>
      <w:r w:rsidR="0080441B" w:rsidRPr="006122C7">
        <w:rPr>
          <w:rStyle w:val="FootnoteReference"/>
        </w:rPr>
        <w:footnoteReference w:id="4"/>
      </w:r>
      <w:r>
        <w:t xml:space="preserve"> The weighted cost of </w:t>
      </w:r>
      <w:r w:rsidR="002F6FBC">
        <w:t xml:space="preserve">a </w:t>
      </w:r>
      <w:r>
        <w:t xml:space="preserve">civil </w:t>
      </w:r>
      <w:r w:rsidR="00DE6B3D">
        <w:t>grant of aid</w:t>
      </w:r>
      <w:r>
        <w:t xml:space="preserve"> currently undertaken by </w:t>
      </w:r>
      <w:r w:rsidR="005B73A9">
        <w:t>VLA and LANSW</w:t>
      </w:r>
      <w:r>
        <w:t xml:space="preserve"> — based on their cost weighted by their incidence —</w:t>
      </w:r>
      <w:r w:rsidR="00A1778C">
        <w:t xml:space="preserve"> </w:t>
      </w:r>
      <w:r w:rsidR="006213F3">
        <w:t>is</w:t>
      </w:r>
      <w:r>
        <w:t xml:space="preserve"> around $31</w:t>
      </w:r>
      <w:r w:rsidR="00EC0A38">
        <w:t>00</w:t>
      </w:r>
      <w:r>
        <w:t xml:space="preserve">. </w:t>
      </w:r>
    </w:p>
    <w:p w:rsidR="00162E7C" w:rsidRDefault="00162E7C" w:rsidP="00162E7C">
      <w:pPr>
        <w:pStyle w:val="BodyText"/>
      </w:pPr>
      <w:r>
        <w:t>Accordingly, the cost of providing an additional 40</w:t>
      </w:r>
      <w:r w:rsidR="003C4012">
        <w:t> </w:t>
      </w:r>
      <w:r>
        <w:t xml:space="preserve">000 grants of aid for civil matters </w:t>
      </w:r>
      <w:r w:rsidR="00872C74">
        <w:t xml:space="preserve">is </w:t>
      </w:r>
      <w:r>
        <w:t xml:space="preserve">in the order of $124 million. In practice, however, there are likely to be considerable savings </w:t>
      </w:r>
      <w:r w:rsidR="008A0E5A">
        <w:t xml:space="preserve">in achieving this goal </w:t>
      </w:r>
      <w:r>
        <w:t xml:space="preserve">if </w:t>
      </w:r>
      <w:r w:rsidR="00F945D8">
        <w:t>LACs</w:t>
      </w:r>
      <w:r>
        <w:t xml:space="preserve"> were able to use in-house lawyers to provide these grants instead of private practitioners.</w:t>
      </w:r>
      <w:r w:rsidR="00986064">
        <w:t xml:space="preserve"> Governments </w:t>
      </w:r>
      <w:r w:rsidR="00986064" w:rsidRPr="004E2ED4">
        <w:t xml:space="preserve">should give consideration to </w:t>
      </w:r>
      <w:r w:rsidR="00615FE6" w:rsidRPr="004E2ED4">
        <w:t>recommendation</w:t>
      </w:r>
      <w:r w:rsidR="00615FE6">
        <w:t> </w:t>
      </w:r>
      <w:r w:rsidR="00986064" w:rsidRPr="00D549E0">
        <w:t>21.</w:t>
      </w:r>
      <w:r w:rsidR="004A15AD">
        <w:t>3</w:t>
      </w:r>
      <w:r w:rsidR="00986064" w:rsidRPr="004E2ED4">
        <w:t xml:space="preserve"> </w:t>
      </w:r>
      <w:r w:rsidR="007E59E1">
        <w:t xml:space="preserve">(relaxing the constraints around the </w:t>
      </w:r>
      <w:r w:rsidR="000E367F">
        <w:t xml:space="preserve">use </w:t>
      </w:r>
      <w:r w:rsidR="007E59E1">
        <w:t xml:space="preserve">of in-house lawyers </w:t>
      </w:r>
      <w:r w:rsidR="000E367F">
        <w:t>by the</w:t>
      </w:r>
      <w:r w:rsidR="007E59E1">
        <w:t xml:space="preserve"> LACs) </w:t>
      </w:r>
      <w:r w:rsidR="00986064" w:rsidRPr="004E2ED4">
        <w:t>to allow</w:t>
      </w:r>
      <w:r w:rsidR="004C228C">
        <w:t xml:space="preserve"> such </w:t>
      </w:r>
      <w:r w:rsidR="00986064" w:rsidRPr="004E2ED4">
        <w:t xml:space="preserve">potential savings to be </w:t>
      </w:r>
      <w:r w:rsidR="004C228C">
        <w:t>fully realised</w:t>
      </w:r>
      <w:r w:rsidR="00986064" w:rsidRPr="004E2ED4">
        <w:t>.</w:t>
      </w:r>
      <w:r w:rsidR="00F62139" w:rsidRPr="004E2ED4">
        <w:t xml:space="preserve"> State</w:t>
      </w:r>
      <w:r w:rsidR="00F62139">
        <w:t xml:space="preserve"> and territory governments should provide the bulk of this funding on the grounds that most of the civil matters</w:t>
      </w:r>
      <w:r w:rsidR="00DE27D7">
        <w:t xml:space="preserve"> (outside of family matters)</w:t>
      </w:r>
      <w:r w:rsidR="00F62139">
        <w:t xml:space="preserve"> </w:t>
      </w:r>
      <w:r w:rsidR="000A4DEF">
        <w:t>relate to state and territory areas of law.</w:t>
      </w:r>
    </w:p>
    <w:p w:rsidR="00774728" w:rsidRDefault="00DD3229" w:rsidP="00DD3229">
      <w:pPr>
        <w:pStyle w:val="Heading5"/>
      </w:pPr>
      <w:r>
        <w:lastRenderedPageBreak/>
        <w:t xml:space="preserve">Sensitivity testing </w:t>
      </w:r>
      <w:r w:rsidR="00965088">
        <w:t>the provision of additional grants of civil aid</w:t>
      </w:r>
    </w:p>
    <w:p w:rsidR="00FB771F" w:rsidRDefault="00413F41" w:rsidP="00886993">
      <w:pPr>
        <w:pStyle w:val="BodyText"/>
      </w:pPr>
      <w:r>
        <w:t>A lack of compre</w:t>
      </w:r>
      <w:r w:rsidR="00082F42">
        <w:t>he</w:t>
      </w:r>
      <w:r>
        <w:t xml:space="preserve">nsive cost data for grants of aid in </w:t>
      </w:r>
      <w:r w:rsidR="00F03958">
        <w:t xml:space="preserve">civil matters means that it is difficult to </w:t>
      </w:r>
      <w:r w:rsidR="00A26342">
        <w:t xml:space="preserve">provide an exact </w:t>
      </w:r>
      <w:r w:rsidR="00D632B4">
        <w:t xml:space="preserve">figure or confidence interval around </w:t>
      </w:r>
      <w:r w:rsidR="00082F42">
        <w:t>the cost of providing the</w:t>
      </w:r>
      <w:r w:rsidR="00AB12F5">
        <w:t>se</w:t>
      </w:r>
      <w:r w:rsidR="00082F42">
        <w:t xml:space="preserve"> additional grants of aid.</w:t>
      </w:r>
      <w:r w:rsidR="00F82B4D">
        <w:t xml:space="preserve"> One method </w:t>
      </w:r>
      <w:r w:rsidR="0053427F">
        <w:t xml:space="preserve">of </w:t>
      </w:r>
      <w:r w:rsidR="00F82B4D">
        <w:t>sensitivity test</w:t>
      </w:r>
      <w:r w:rsidR="0053427F">
        <w:t>ing</w:t>
      </w:r>
      <w:r w:rsidR="00F82B4D">
        <w:t xml:space="preserve"> these additional grants of aid is to cost them </w:t>
      </w:r>
      <w:r w:rsidR="003623DE">
        <w:t xml:space="preserve">at the private practitioner rates in the areas of civil law most commonly provided by VLA and </w:t>
      </w:r>
      <w:r w:rsidR="00326A19">
        <w:t>LA</w:t>
      </w:r>
      <w:r w:rsidR="003623DE">
        <w:t>NSW. Two areas of law — financial matters and g</w:t>
      </w:r>
      <w:r w:rsidR="00712C6B">
        <w:t xml:space="preserve">overnment matters — are </w:t>
      </w:r>
      <w:r w:rsidR="002925C5">
        <w:t>currently provided more often</w:t>
      </w:r>
      <w:r w:rsidR="00712C6B">
        <w:t xml:space="preserve"> </w:t>
      </w:r>
      <w:r w:rsidR="001F2137">
        <w:t xml:space="preserve">than </w:t>
      </w:r>
      <w:r w:rsidR="00712C6B">
        <w:t xml:space="preserve">other </w:t>
      </w:r>
      <w:r w:rsidR="001340AB">
        <w:t xml:space="preserve">civil </w:t>
      </w:r>
      <w:r w:rsidR="002925C5">
        <w:t xml:space="preserve">matters </w:t>
      </w:r>
      <w:r w:rsidR="001340AB">
        <w:t>(although they themselves are far less common than areas of family law).</w:t>
      </w:r>
      <w:r w:rsidR="00340058">
        <w:t xml:space="preserve"> Costing an additional 40</w:t>
      </w:r>
      <w:r w:rsidR="003C4012">
        <w:t> </w:t>
      </w:r>
      <w:r w:rsidR="00340058">
        <w:t>000 grants of civil aid at those rates yields an estimate betwe</w:t>
      </w:r>
      <w:r w:rsidR="002925C5">
        <w:t>en $80 million and $130 million, respectively.</w:t>
      </w:r>
      <w:r w:rsidR="00FB771F">
        <w:t xml:space="preserve"> </w:t>
      </w:r>
    </w:p>
    <w:p w:rsidR="00886993" w:rsidRPr="00886993" w:rsidRDefault="00FB771F" w:rsidP="004C4B14">
      <w:pPr>
        <w:pStyle w:val="BodyText"/>
      </w:pPr>
      <w:r>
        <w:t>The Commission estimate of $124 million is towards the higher end of this estimate,</w:t>
      </w:r>
      <w:r w:rsidR="005E1366">
        <w:t xml:space="preserve"> </w:t>
      </w:r>
      <w:r w:rsidR="001B24B8">
        <w:t>reflecting</w:t>
      </w:r>
      <w:r>
        <w:t xml:space="preserve"> the</w:t>
      </w:r>
      <w:r w:rsidR="00506FDC">
        <w:t xml:space="preserve"> relatively</w:t>
      </w:r>
      <w:r w:rsidR="004374DC">
        <w:t xml:space="preserve"> high cost of grants of aid in civil areas</w:t>
      </w:r>
      <w:r w:rsidR="00663D98">
        <w:t xml:space="preserve"> </w:t>
      </w:r>
      <w:r w:rsidR="00B15034">
        <w:t xml:space="preserve">of </w:t>
      </w:r>
      <w:r w:rsidR="00663D98">
        <w:t>law (outside of family law)</w:t>
      </w:r>
      <w:r w:rsidR="00CF0903">
        <w:t xml:space="preserve"> </w:t>
      </w:r>
      <w:r w:rsidR="004374DC">
        <w:t xml:space="preserve">where there are </w:t>
      </w:r>
      <w:r w:rsidR="00EC481B">
        <w:t xml:space="preserve">currently </w:t>
      </w:r>
      <w:r w:rsidR="004374DC">
        <w:t>fewer cases</w:t>
      </w:r>
      <w:r w:rsidR="00E12CED">
        <w:t xml:space="preserve"> </w:t>
      </w:r>
      <w:r w:rsidR="004374DC">
        <w:t>undertaken</w:t>
      </w:r>
      <w:r w:rsidR="00E12CED">
        <w:t xml:space="preserve"> by VLA and </w:t>
      </w:r>
      <w:r w:rsidR="007548A0">
        <w:t>LA</w:t>
      </w:r>
      <w:r w:rsidR="00E12CED">
        <w:t>NSW</w:t>
      </w:r>
      <w:r w:rsidR="00B45465">
        <w:t xml:space="preserve"> —</w:t>
      </w:r>
      <w:r w:rsidR="00E12CED">
        <w:t xml:space="preserve"> </w:t>
      </w:r>
      <w:r w:rsidR="00500049">
        <w:t>such as</w:t>
      </w:r>
      <w:r w:rsidR="00E12CED">
        <w:t xml:space="preserve"> migration, housing and human rights.</w:t>
      </w:r>
      <w:r w:rsidR="0024088B">
        <w:t xml:space="preserve"> </w:t>
      </w:r>
      <w:r w:rsidR="00844841">
        <w:t>An</w:t>
      </w:r>
      <w:r w:rsidR="004C4B14">
        <w:t xml:space="preserve"> estimate towards the higher end of the band is </w:t>
      </w:r>
      <w:r w:rsidR="00147112">
        <w:t xml:space="preserve">considered </w:t>
      </w:r>
      <w:r w:rsidR="004C4B14">
        <w:t>credible as costs may rise if LACs expand into providing more services in these areas of law.</w:t>
      </w:r>
    </w:p>
    <w:p w:rsidR="00162E7C" w:rsidRDefault="00CB1767" w:rsidP="00CB1767">
      <w:pPr>
        <w:pStyle w:val="Heading3"/>
      </w:pPr>
      <w:r>
        <w:t>Summary</w:t>
      </w:r>
    </w:p>
    <w:p w:rsidR="00E257E3" w:rsidRDefault="0055690F" w:rsidP="00162E7C">
      <w:pPr>
        <w:pStyle w:val="BodyText"/>
      </w:pPr>
      <w:r>
        <w:t xml:space="preserve">The combined cost of these proposals </w:t>
      </w:r>
      <w:r w:rsidR="00CB06FE">
        <w:t>is around $</w:t>
      </w:r>
      <w:r w:rsidR="00AC1485">
        <w:t xml:space="preserve">192 </w:t>
      </w:r>
      <w:r w:rsidR="00CB06FE">
        <w:t>million per year</w:t>
      </w:r>
      <w:r w:rsidR="00E257E3">
        <w:t>, comprising:</w:t>
      </w:r>
    </w:p>
    <w:p w:rsidR="00E257E3" w:rsidRDefault="0055690F" w:rsidP="00D8005C">
      <w:pPr>
        <w:pStyle w:val="ListBullet"/>
      </w:pPr>
      <w:r>
        <w:t>$</w:t>
      </w:r>
      <w:r w:rsidR="00AC1485">
        <w:t>11.</w:t>
      </w:r>
      <w:r w:rsidR="001F5101">
        <w:t xml:space="preserve">4 </w:t>
      </w:r>
      <w:r>
        <w:t xml:space="preserve">million per year </w:t>
      </w:r>
      <w:r w:rsidR="00A2311E">
        <w:t>to maintain existing frontline services</w:t>
      </w:r>
    </w:p>
    <w:p w:rsidR="00E257E3" w:rsidRDefault="002E6456" w:rsidP="00D8005C">
      <w:pPr>
        <w:pStyle w:val="ListBullet"/>
      </w:pPr>
      <w:r>
        <w:t xml:space="preserve">around </w:t>
      </w:r>
      <w:r w:rsidR="0055690F">
        <w:t xml:space="preserve">$57 million per year to relax the means tests for LACs </w:t>
      </w:r>
    </w:p>
    <w:p w:rsidR="009B7E20" w:rsidRDefault="002E6456" w:rsidP="00D8005C">
      <w:pPr>
        <w:pStyle w:val="ListBullet"/>
      </w:pPr>
      <w:proofErr w:type="gramStart"/>
      <w:r>
        <w:t>around</w:t>
      </w:r>
      <w:proofErr w:type="gramEnd"/>
      <w:r>
        <w:t xml:space="preserve"> </w:t>
      </w:r>
      <w:r w:rsidR="0055690F">
        <w:t xml:space="preserve">$124 million per year to </w:t>
      </w:r>
      <w:r w:rsidR="00461FA0">
        <w:t>provide additional grants of aid in civil matters</w:t>
      </w:r>
      <w:r w:rsidR="00030439">
        <w:t>.</w:t>
      </w:r>
    </w:p>
    <w:p w:rsidR="00162E7C" w:rsidRDefault="00E257E3" w:rsidP="00162E7C">
      <w:pPr>
        <w:pStyle w:val="BodyText"/>
      </w:pPr>
      <w:r>
        <w:t>However,</w:t>
      </w:r>
      <w:r w:rsidR="00162E7C">
        <w:t xml:space="preserve"> the Commission has recommended a funding increase of around $200 million</w:t>
      </w:r>
      <w:r w:rsidR="002649C4">
        <w:t xml:space="preserve"> (recommendation 21.4)</w:t>
      </w:r>
      <w:r w:rsidR="00162E7C">
        <w:t>, due to a number of sensitivities around the methodology employed. These include:</w:t>
      </w:r>
    </w:p>
    <w:p w:rsidR="00162E7C" w:rsidRPr="00C01B2D" w:rsidRDefault="00FE1F8A" w:rsidP="00162E7C">
      <w:pPr>
        <w:pStyle w:val="ListBullet"/>
      </w:pPr>
      <w:r>
        <w:t>t</w:t>
      </w:r>
      <w:r w:rsidR="0052135D">
        <w:t>he potential for a higher cost of providing private practitioner service</w:t>
      </w:r>
      <w:r>
        <w:t>s than what is currently being paid at present (as an increase in the demand for the services has the scope to raise prices)</w:t>
      </w:r>
    </w:p>
    <w:p w:rsidR="00162E7C" w:rsidRDefault="00FE1F8A" w:rsidP="00162E7C">
      <w:pPr>
        <w:pStyle w:val="ListBullet"/>
      </w:pPr>
      <w:r>
        <w:t xml:space="preserve">concerns that increasing the means test </w:t>
      </w:r>
      <w:r w:rsidR="00162E7C">
        <w:t>could alter the ‘mix’ of problems faced by those seeking legal aid, and so alter the costs of grants of aid</w:t>
      </w:r>
    </w:p>
    <w:p w:rsidR="00162E7C" w:rsidRDefault="00043DA3" w:rsidP="00621387">
      <w:pPr>
        <w:pStyle w:val="ListBullet"/>
      </w:pPr>
      <w:proofErr w:type="gramStart"/>
      <w:r>
        <w:t>uncertainties</w:t>
      </w:r>
      <w:proofErr w:type="gramEnd"/>
      <w:r>
        <w:t xml:space="preserve"> around how the intensity, or number of problems per household, changes as the means test</w:t>
      </w:r>
      <w:r w:rsidR="001F2137">
        <w:t>s</w:t>
      </w:r>
      <w:r>
        <w:t xml:space="preserve"> </w:t>
      </w:r>
      <w:r w:rsidR="001F2137">
        <w:t xml:space="preserve">are </w:t>
      </w:r>
      <w:r>
        <w:t>relaxed</w:t>
      </w:r>
      <w:r w:rsidR="00162E7C">
        <w:t>.</w:t>
      </w:r>
    </w:p>
    <w:p w:rsidR="000A4170" w:rsidRDefault="000A4170" w:rsidP="000A4170">
      <w:pPr>
        <w:pStyle w:val="BodyText"/>
      </w:pPr>
      <w:r w:rsidRPr="000A4170">
        <w:t xml:space="preserve">These </w:t>
      </w:r>
      <w:r w:rsidR="009E3CD9">
        <w:t>factors</w:t>
      </w:r>
      <w:r w:rsidR="009E3CD9" w:rsidRPr="000A4170">
        <w:t xml:space="preserve"> </w:t>
      </w:r>
      <w:r w:rsidRPr="000A4170">
        <w:t>highlight the need for greater data collection to better understand the cost drivers and legal problems facing those who need legal assistance services. The challenges of building such an evidence base are discussed in chapter</w:t>
      </w:r>
      <w:r w:rsidR="003C4012">
        <w:t> </w:t>
      </w:r>
      <w:r w:rsidRPr="000A4170">
        <w:t>25.</w:t>
      </w:r>
    </w:p>
    <w:p w:rsidR="00F87B23" w:rsidRDefault="006E2578" w:rsidP="00F87B23">
      <w:pPr>
        <w:pStyle w:val="BodyText"/>
      </w:pPr>
      <w:r>
        <w:lastRenderedPageBreak/>
        <w:t>There is also a question as to wh</w:t>
      </w:r>
      <w:r w:rsidR="00EF60E7">
        <w:t>ich level of government should bear the cost</w:t>
      </w:r>
      <w:r w:rsidR="009E3CD9">
        <w:t xml:space="preserve"> of</w:t>
      </w:r>
      <w:r w:rsidR="00EF60E7">
        <w:t xml:space="preserve"> </w:t>
      </w:r>
      <w:r w:rsidR="004A15AD">
        <w:t>recommendation 21.4</w:t>
      </w:r>
      <w:r w:rsidR="0024157D">
        <w:t>.</w:t>
      </w:r>
      <w:r w:rsidR="00FF016C">
        <w:t xml:space="preserve"> </w:t>
      </w:r>
      <w:r w:rsidR="007953B5">
        <w:t>Based on the present principle</w:t>
      </w:r>
      <w:r w:rsidR="00FF016C">
        <w:t xml:space="preserve"> used</w:t>
      </w:r>
      <w:r w:rsidR="007953B5">
        <w:t xml:space="preserve"> under the </w:t>
      </w:r>
      <w:r w:rsidR="00AF3EA1">
        <w:t xml:space="preserve">current </w:t>
      </w:r>
      <w:r w:rsidR="007953B5">
        <w:t>National Partnership Agreement</w:t>
      </w:r>
      <w:r w:rsidR="00FF016C">
        <w:t xml:space="preserve"> — that ‘Commonwealth money should be attached to Commonwealth matters</w:t>
      </w:r>
      <w:r w:rsidR="007953B5">
        <w:t xml:space="preserve">’ — </w:t>
      </w:r>
      <w:r w:rsidR="00D5598D">
        <w:t>the Commission estimates that around 60 per cent of the cost associated with recommendation</w:t>
      </w:r>
      <w:r w:rsidR="00F42A74">
        <w:t xml:space="preserve"> 21.4</w:t>
      </w:r>
      <w:r w:rsidR="00D5598D">
        <w:t xml:space="preserve"> should be borne by the Commonwealth. This reflects the </w:t>
      </w:r>
      <w:r w:rsidR="00DB3F69">
        <w:t>cost of</w:t>
      </w:r>
      <w:r w:rsidR="009C1A74">
        <w:t xml:space="preserve"> changes in funding from MYEFO and the </w:t>
      </w:r>
      <w:r w:rsidR="003425C5">
        <w:t>B</w:t>
      </w:r>
      <w:r w:rsidR="009C1A74">
        <w:t>udget, and the</w:t>
      </w:r>
      <w:r w:rsidR="00B67029">
        <w:t xml:space="preserve"> cost of </w:t>
      </w:r>
      <w:r w:rsidR="009C1A74">
        <w:t>additional family law matters from relaxing the means test</w:t>
      </w:r>
      <w:r w:rsidR="00DD1A97">
        <w:t>s,</w:t>
      </w:r>
      <w:r w:rsidR="009C1A74">
        <w:t xml:space="preserve"> </w:t>
      </w:r>
      <w:r w:rsidR="001F5101">
        <w:t xml:space="preserve">which are </w:t>
      </w:r>
      <w:r w:rsidR="009C1A74">
        <w:t>largely Commonwealth responsibilities</w:t>
      </w:r>
      <w:r w:rsidR="005E509A">
        <w:t>.</w:t>
      </w:r>
      <w:r w:rsidR="009C1A74">
        <w:t xml:space="preserve"> </w:t>
      </w:r>
      <w:r w:rsidR="005E509A">
        <w:t>T</w:t>
      </w:r>
      <w:r w:rsidR="009C1A74">
        <w:t>he</w:t>
      </w:r>
      <w:r w:rsidR="00DD29B3">
        <w:t xml:space="preserve"> cost of providing grants of aid for</w:t>
      </w:r>
      <w:r w:rsidR="009C1A74">
        <w:t xml:space="preserve"> </w:t>
      </w:r>
      <w:r w:rsidR="00980232">
        <w:t xml:space="preserve">these </w:t>
      </w:r>
      <w:r w:rsidR="006C755F">
        <w:t>additional</w:t>
      </w:r>
      <w:r w:rsidR="00980232">
        <w:t xml:space="preserve"> non-family</w:t>
      </w:r>
      <w:r w:rsidR="006C755F">
        <w:t xml:space="preserve"> civil matters </w:t>
      </w:r>
      <w:r w:rsidR="0024091B">
        <w:t>would be more evenly shared between the Commonwealth and the states.</w:t>
      </w:r>
    </w:p>
    <w:sectPr w:rsidR="00F87B23" w:rsidSect="00AA3746">
      <w:headerReference w:type="even" r:id="rId18"/>
      <w:headerReference w:type="default" r:id="rId19"/>
      <w:footerReference w:type="even" r:id="rId20"/>
      <w:footerReference w:type="default" r:id="rId21"/>
      <w:headerReference w:type="first" r:id="rId22"/>
      <w:footerReference w:type="first" r:id="rId23"/>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575" w:rsidRDefault="00563575">
      <w:r>
        <w:separator/>
      </w:r>
    </w:p>
  </w:endnote>
  <w:endnote w:type="continuationSeparator" w:id="0">
    <w:p w:rsidR="00563575" w:rsidRDefault="0056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E73AC" w:rsidTr="005F48ED">
      <w:trPr>
        <w:trHeight w:hRule="exact" w:val="567"/>
      </w:trPr>
      <w:tc>
        <w:tcPr>
          <w:tcW w:w="510" w:type="dxa"/>
        </w:tcPr>
        <w:p w:rsidR="005E73AC" w:rsidRDefault="005E73AC">
          <w:pPr>
            <w:pStyle w:val="Footer"/>
            <w:ind w:right="360" w:firstLine="360"/>
          </w:pPr>
        </w:p>
      </w:tc>
      <w:tc>
        <w:tcPr>
          <w:tcW w:w="7767" w:type="dxa"/>
        </w:tcPr>
        <w:p w:rsidR="005E73AC" w:rsidRPr="00BA5B14" w:rsidRDefault="005E73AC"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Eligibility for legal aid and the cost of extending it</w:t>
          </w:r>
          <w:r w:rsidRPr="00BA5B14">
            <w:rPr>
              <w:rFonts w:cs="Arial"/>
            </w:rPr>
            <w:fldChar w:fldCharType="end"/>
          </w:r>
        </w:p>
      </w:tc>
      <w:tc>
        <w:tcPr>
          <w:tcW w:w="510" w:type="dxa"/>
        </w:tcPr>
        <w:p w:rsidR="005E73AC" w:rsidRPr="00A24443" w:rsidRDefault="005E73AC">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B0DA1">
            <w:rPr>
              <w:rStyle w:val="PageNumber"/>
              <w:caps w:val="0"/>
              <w:noProof/>
            </w:rPr>
            <w:t>1012</w:t>
          </w:r>
          <w:r w:rsidRPr="00A24443">
            <w:rPr>
              <w:rStyle w:val="PageNumber"/>
              <w:caps w:val="0"/>
            </w:rPr>
            <w:fldChar w:fldCharType="end"/>
          </w:r>
        </w:p>
      </w:tc>
    </w:tr>
  </w:tbl>
  <w:p w:rsidR="005E73AC" w:rsidRDefault="005E73AC">
    <w:pPr>
      <w:pStyle w:val="FooterEnd"/>
    </w:pPr>
  </w:p>
  <w:p w:rsidR="00563575" w:rsidRDefault="00563575">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63575" w:rsidTr="005F48ED">
      <w:trPr>
        <w:trHeight w:hRule="exact" w:val="567"/>
      </w:trPr>
      <w:tc>
        <w:tcPr>
          <w:tcW w:w="510" w:type="dxa"/>
        </w:tcPr>
        <w:p w:rsidR="00563575" w:rsidRDefault="00563575">
          <w:pPr>
            <w:pStyle w:val="Footer"/>
            <w:ind w:right="360" w:firstLine="360"/>
          </w:pPr>
        </w:p>
      </w:tc>
      <w:tc>
        <w:tcPr>
          <w:tcW w:w="7767" w:type="dxa"/>
        </w:tcPr>
        <w:p w:rsidR="00563575" w:rsidRPr="00BA5B14" w:rsidRDefault="00563575"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CB0DA1">
            <w:rPr>
              <w:rFonts w:cs="Arial"/>
            </w:rPr>
            <w:t>Eligibility for legal aid and the cost of extending it</w:t>
          </w:r>
          <w:r w:rsidRPr="00BA5B14">
            <w:rPr>
              <w:rFonts w:cs="Arial"/>
            </w:rPr>
            <w:fldChar w:fldCharType="end"/>
          </w:r>
        </w:p>
      </w:tc>
      <w:tc>
        <w:tcPr>
          <w:tcW w:w="510" w:type="dxa"/>
        </w:tcPr>
        <w:p w:rsidR="00563575" w:rsidRPr="00A24443" w:rsidRDefault="0056357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75460">
            <w:rPr>
              <w:rStyle w:val="PageNumber"/>
              <w:caps w:val="0"/>
              <w:noProof/>
            </w:rPr>
            <w:t>1013</w:t>
          </w:r>
          <w:r w:rsidRPr="00A24443">
            <w:rPr>
              <w:rStyle w:val="PageNumber"/>
              <w:caps w:val="0"/>
            </w:rPr>
            <w:fldChar w:fldCharType="end"/>
          </w:r>
        </w:p>
      </w:tc>
    </w:tr>
  </w:tbl>
  <w:p w:rsidR="00563575" w:rsidRDefault="00563575">
    <w:pPr>
      <w:pStyle w:val="FooterEnd"/>
    </w:pPr>
  </w:p>
  <w:p w:rsidR="00563575" w:rsidRDefault="00563575">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575" w:rsidRDefault="0056357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75460">
      <w:rPr>
        <w:rStyle w:val="PageNumber"/>
        <w:noProof/>
      </w:rPr>
      <w:t>1014</w:t>
    </w:r>
    <w:r>
      <w:rPr>
        <w:rStyle w:val="PageNumber"/>
      </w:rPr>
      <w:fldChar w:fldCharType="end"/>
    </w:r>
  </w:p>
  <w:p w:rsidR="00563575" w:rsidRDefault="00563575">
    <w:pPr>
      <w:pStyle w:val="FooterEn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575" w:rsidRDefault="0056357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75460">
      <w:rPr>
        <w:rStyle w:val="PageNumber"/>
        <w:noProof/>
      </w:rPr>
      <w:t>1015</w:t>
    </w:r>
    <w:r>
      <w:rPr>
        <w:rStyle w:val="PageNumber"/>
      </w:rPr>
      <w:fldChar w:fldCharType="end"/>
    </w:r>
  </w:p>
  <w:p w:rsidR="00563575" w:rsidRDefault="00563575">
    <w:pPr>
      <w:pStyle w:val="Footer"/>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B0DA1" w:rsidTr="005F48ED">
      <w:trPr>
        <w:trHeight w:hRule="exact" w:val="567"/>
      </w:trPr>
      <w:tc>
        <w:tcPr>
          <w:tcW w:w="510" w:type="dxa"/>
        </w:tcPr>
        <w:p w:rsidR="00CB0DA1" w:rsidRPr="00A24443" w:rsidRDefault="00CB0DA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75460">
            <w:rPr>
              <w:rStyle w:val="PageNumber"/>
              <w:caps w:val="0"/>
              <w:noProof/>
            </w:rPr>
            <w:t>1024</w:t>
          </w:r>
          <w:r w:rsidRPr="00A24443">
            <w:rPr>
              <w:rStyle w:val="PageNumber"/>
              <w:caps w:val="0"/>
            </w:rPr>
            <w:fldChar w:fldCharType="end"/>
          </w:r>
        </w:p>
      </w:tc>
      <w:tc>
        <w:tcPr>
          <w:tcW w:w="7767" w:type="dxa"/>
        </w:tcPr>
        <w:p w:rsidR="00CB0DA1" w:rsidRPr="0013739A" w:rsidRDefault="00CB0DA1"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Access to Justice arrangements</w:t>
          </w:r>
          <w:r w:rsidRPr="00BA5B14">
            <w:rPr>
              <w:rFonts w:cs="Arial"/>
            </w:rPr>
            <w:fldChar w:fldCharType="end"/>
          </w:r>
          <w:bookmarkStart w:id="11" w:name="DraftReportEven"/>
          <w:bookmarkEnd w:id="11"/>
        </w:p>
      </w:tc>
      <w:tc>
        <w:tcPr>
          <w:tcW w:w="510" w:type="dxa"/>
        </w:tcPr>
        <w:p w:rsidR="00CB0DA1" w:rsidRDefault="00CB0DA1" w:rsidP="0019293B">
          <w:pPr>
            <w:pStyle w:val="Footer"/>
          </w:pPr>
        </w:p>
      </w:tc>
    </w:tr>
  </w:tbl>
  <w:p w:rsidR="00CB0DA1" w:rsidRDefault="00CB0DA1" w:rsidP="0019293B">
    <w:pPr>
      <w:pStyle w:val="FooterEnd"/>
    </w:pPr>
  </w:p>
  <w:p w:rsidR="00563575" w:rsidRDefault="00563575" w:rsidP="0019293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B0DA1" w:rsidTr="005F48ED">
      <w:trPr>
        <w:trHeight w:hRule="exact" w:val="567"/>
      </w:trPr>
      <w:tc>
        <w:tcPr>
          <w:tcW w:w="510" w:type="dxa"/>
        </w:tcPr>
        <w:p w:rsidR="00CB0DA1" w:rsidRDefault="00CB0DA1">
          <w:pPr>
            <w:pStyle w:val="Footer"/>
            <w:ind w:right="360" w:firstLine="360"/>
          </w:pPr>
        </w:p>
      </w:tc>
      <w:tc>
        <w:tcPr>
          <w:tcW w:w="7767" w:type="dxa"/>
        </w:tcPr>
        <w:p w:rsidR="00CB0DA1" w:rsidRPr="00BA5B14" w:rsidRDefault="00CB0DA1"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Eligibility for legal aid and the cost of extending it</w:t>
          </w:r>
          <w:r w:rsidRPr="00BA5B14">
            <w:rPr>
              <w:rFonts w:cs="Arial"/>
            </w:rPr>
            <w:fldChar w:fldCharType="end"/>
          </w:r>
        </w:p>
      </w:tc>
      <w:tc>
        <w:tcPr>
          <w:tcW w:w="510" w:type="dxa"/>
        </w:tcPr>
        <w:p w:rsidR="00CB0DA1" w:rsidRPr="00A24443" w:rsidRDefault="00CB0DA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75460">
            <w:rPr>
              <w:rStyle w:val="PageNumber"/>
              <w:caps w:val="0"/>
              <w:noProof/>
            </w:rPr>
            <w:t>1025</w:t>
          </w:r>
          <w:r w:rsidRPr="00A24443">
            <w:rPr>
              <w:rStyle w:val="PageNumber"/>
              <w:caps w:val="0"/>
            </w:rPr>
            <w:fldChar w:fldCharType="end"/>
          </w:r>
        </w:p>
      </w:tc>
    </w:tr>
  </w:tbl>
  <w:p w:rsidR="00CB0DA1" w:rsidRDefault="00CB0DA1">
    <w:pPr>
      <w:pStyle w:val="FooterEnd"/>
    </w:pPr>
  </w:p>
  <w:p w:rsidR="00563575" w:rsidRDefault="00563575">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575" w:rsidRDefault="00563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575" w:rsidRDefault="00563575">
      <w:r>
        <w:separator/>
      </w:r>
    </w:p>
  </w:footnote>
  <w:footnote w:type="continuationSeparator" w:id="0">
    <w:p w:rsidR="00563575" w:rsidRDefault="00563575">
      <w:r>
        <w:continuationSeparator/>
      </w:r>
    </w:p>
  </w:footnote>
  <w:footnote w:id="1">
    <w:p w:rsidR="00563575" w:rsidRDefault="00563575">
      <w:pPr>
        <w:pStyle w:val="FootnoteText"/>
      </w:pPr>
      <w:r w:rsidRPr="006122C7">
        <w:rPr>
          <w:rStyle w:val="FootnoteReference"/>
        </w:rPr>
        <w:footnoteRef/>
      </w:r>
      <w:r>
        <w:tab/>
        <w:t>In practice, moving towards a ‘pooled’ assets test is effectively equivalent to relaxing the most restrictive assets test first, and then the next most restrictive, and so forth.</w:t>
      </w:r>
    </w:p>
  </w:footnote>
  <w:footnote w:id="2">
    <w:p w:rsidR="00563575" w:rsidRDefault="00563575" w:rsidP="00C31158">
      <w:pPr>
        <w:pStyle w:val="FootnoteText"/>
      </w:pPr>
      <w:r w:rsidRPr="006122C7">
        <w:rPr>
          <w:rStyle w:val="FootnoteReference"/>
        </w:rPr>
        <w:footnoteRef/>
      </w:r>
      <w:r>
        <w:tab/>
        <w:t>While there could be concerns that such a baseline would omit those that are ‘asset-rich’ and ‘income-poor’, such as some Age Pension recipients, it should be noted that that those older than 65 comprise less than 3 per cent of VLA and LANSW clients, and so do not materially affect the costing estimates.</w:t>
      </w:r>
    </w:p>
  </w:footnote>
  <w:footnote w:id="3">
    <w:p w:rsidR="00563575" w:rsidRDefault="00563575" w:rsidP="00127F94">
      <w:pPr>
        <w:pStyle w:val="FootnoteText"/>
      </w:pPr>
      <w:r w:rsidRPr="006122C7">
        <w:rPr>
          <w:rStyle w:val="FootnoteReference"/>
        </w:rPr>
        <w:footnoteRef/>
      </w:r>
      <w:r>
        <w:tab/>
        <w:t xml:space="preserve">That is, to an </w:t>
      </w:r>
      <w:proofErr w:type="spellStart"/>
      <w:r>
        <w:t>equivalised</w:t>
      </w:r>
      <w:proofErr w:type="spellEnd"/>
      <w:r>
        <w:t xml:space="preserve"> disposable household income of $22 000 per year and total net assets of $165 000.</w:t>
      </w:r>
    </w:p>
  </w:footnote>
  <w:footnote w:id="4">
    <w:p w:rsidR="00563575" w:rsidRDefault="00563575">
      <w:pPr>
        <w:pStyle w:val="FootnoteText"/>
      </w:pPr>
      <w:r w:rsidRPr="006122C7">
        <w:rPr>
          <w:rStyle w:val="FootnoteReference"/>
        </w:rPr>
        <w:footnoteRef/>
      </w:r>
      <w:r>
        <w:tab/>
        <w:t xml:space="preserve">The number of grants of aid for consumer matters is relatively low in New South Wales, and the high average cost reported here reflects the effect of a few complex cases.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563575">
      <w:tc>
        <w:tcPr>
          <w:tcW w:w="2155" w:type="dxa"/>
          <w:tcBorders>
            <w:top w:val="single" w:sz="24" w:space="0" w:color="auto"/>
          </w:tcBorders>
        </w:tcPr>
        <w:p w:rsidR="00563575" w:rsidRDefault="00563575">
          <w:pPr>
            <w:pStyle w:val="HeaderEven"/>
          </w:pPr>
        </w:p>
      </w:tc>
      <w:tc>
        <w:tcPr>
          <w:tcW w:w="6634" w:type="dxa"/>
          <w:tcBorders>
            <w:top w:val="single" w:sz="6" w:space="0" w:color="auto"/>
          </w:tcBorders>
        </w:tcPr>
        <w:p w:rsidR="00563575" w:rsidRDefault="00563575">
          <w:pPr>
            <w:pStyle w:val="HeaderEven"/>
          </w:pPr>
        </w:p>
      </w:tc>
    </w:tr>
  </w:tbl>
  <w:p w:rsidR="00563575" w:rsidRDefault="00563575">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63575">
      <w:tc>
        <w:tcPr>
          <w:tcW w:w="6634" w:type="dxa"/>
          <w:tcBorders>
            <w:top w:val="single" w:sz="6" w:space="0" w:color="auto"/>
          </w:tcBorders>
        </w:tcPr>
        <w:p w:rsidR="00563575" w:rsidRDefault="00563575">
          <w:pPr>
            <w:pStyle w:val="HeaderOdd"/>
          </w:pPr>
        </w:p>
      </w:tc>
      <w:tc>
        <w:tcPr>
          <w:tcW w:w="2155" w:type="dxa"/>
          <w:tcBorders>
            <w:top w:val="single" w:sz="24" w:space="0" w:color="auto"/>
          </w:tcBorders>
        </w:tcPr>
        <w:p w:rsidR="00563575" w:rsidRDefault="00563575">
          <w:pPr>
            <w:pStyle w:val="HeaderOdd"/>
          </w:pPr>
        </w:p>
      </w:tc>
    </w:tr>
  </w:tbl>
  <w:p w:rsidR="00563575" w:rsidRDefault="00563575">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575" w:rsidRDefault="00563575">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575" w:rsidRDefault="00563575">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563575">
      <w:tc>
        <w:tcPr>
          <w:tcW w:w="2155" w:type="dxa"/>
          <w:tcBorders>
            <w:top w:val="single" w:sz="24" w:space="0" w:color="auto"/>
          </w:tcBorders>
        </w:tcPr>
        <w:p w:rsidR="00563575" w:rsidRDefault="00563575" w:rsidP="0019293B">
          <w:pPr>
            <w:pStyle w:val="HeaderEven"/>
          </w:pPr>
        </w:p>
      </w:tc>
      <w:tc>
        <w:tcPr>
          <w:tcW w:w="6634" w:type="dxa"/>
          <w:tcBorders>
            <w:top w:val="single" w:sz="6" w:space="0" w:color="auto"/>
          </w:tcBorders>
        </w:tcPr>
        <w:p w:rsidR="00563575" w:rsidRDefault="00563575" w:rsidP="0019293B">
          <w:pPr>
            <w:pStyle w:val="HeaderEven"/>
          </w:pPr>
        </w:p>
      </w:tc>
    </w:tr>
  </w:tbl>
  <w:p w:rsidR="00563575" w:rsidRDefault="00563575" w:rsidP="0019293B">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63575">
      <w:tc>
        <w:tcPr>
          <w:tcW w:w="6634" w:type="dxa"/>
          <w:tcBorders>
            <w:top w:val="single" w:sz="6" w:space="0" w:color="auto"/>
          </w:tcBorders>
        </w:tcPr>
        <w:p w:rsidR="00563575" w:rsidRDefault="00563575" w:rsidP="00E669E2">
          <w:pPr>
            <w:pStyle w:val="HeaderOdd"/>
          </w:pPr>
        </w:p>
      </w:tc>
      <w:tc>
        <w:tcPr>
          <w:tcW w:w="2155" w:type="dxa"/>
          <w:tcBorders>
            <w:top w:val="single" w:sz="24" w:space="0" w:color="auto"/>
          </w:tcBorders>
        </w:tcPr>
        <w:p w:rsidR="00563575" w:rsidRDefault="00563575" w:rsidP="00E669E2">
          <w:pPr>
            <w:pStyle w:val="HeaderOdd"/>
          </w:pPr>
        </w:p>
      </w:tc>
    </w:tr>
  </w:tbl>
  <w:p w:rsidR="00563575" w:rsidRDefault="00563575" w:rsidP="00E669E2">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575" w:rsidRDefault="00563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4237A78"/>
    <w:multiLevelType w:val="hybridMultilevel"/>
    <w:tmpl w:val="DD9C5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nsid w:val="78327494"/>
    <w:multiLevelType w:val="hybridMultilevel"/>
    <w:tmpl w:val="14CC3F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5"/>
  </w:num>
  <w:num w:numId="4">
    <w:abstractNumId w:val="4"/>
  </w:num>
  <w:num w:numId="5">
    <w:abstractNumId w:val="20"/>
  </w:num>
  <w:num w:numId="6">
    <w:abstractNumId w:val="17"/>
  </w:num>
  <w:num w:numId="7">
    <w:abstractNumId w:val="8"/>
  </w:num>
  <w:num w:numId="8">
    <w:abstractNumId w:val="16"/>
  </w:num>
  <w:num w:numId="9">
    <w:abstractNumId w:val="7"/>
  </w:num>
  <w:num w:numId="10">
    <w:abstractNumId w:val="6"/>
  </w:num>
  <w:num w:numId="11">
    <w:abstractNumId w:val="10"/>
  </w:num>
  <w:num w:numId="12">
    <w:abstractNumId w:val="12"/>
  </w:num>
  <w:num w:numId="13">
    <w:abstractNumId w:val="5"/>
  </w:num>
  <w:num w:numId="14">
    <w:abstractNumId w:val="18"/>
  </w:num>
  <w:num w:numId="15">
    <w:abstractNumId w:val="22"/>
  </w:num>
  <w:num w:numId="16">
    <w:abstractNumId w:val="14"/>
  </w:num>
  <w:num w:numId="17">
    <w:abstractNumId w:val="23"/>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9"/>
  </w:num>
  <w:num w:numId="21">
    <w:abstractNumId w:val="9"/>
  </w:num>
  <w:num w:numId="22">
    <w:abstractNumId w:val="21"/>
  </w:num>
  <w:num w:numId="23">
    <w:abstractNumId w:val="11"/>
  </w:num>
  <w:num w:numId="24">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H"/>
    <w:docVar w:name="FindingOptions" w:val="1"/>
    <w:docVar w:name="RecOptions" w:val="111"/>
    <w:docVar w:name="ShortChapterTitle" w:val="Eligibility for legal aid and the cost of extending it"/>
    <w:docVar w:name="ShortReportTitle" w:val="Access to Justice arrangements"/>
  </w:docVars>
  <w:rsids>
    <w:rsidRoot w:val="00196C4F"/>
    <w:rsid w:val="0000043F"/>
    <w:rsid w:val="00000956"/>
    <w:rsid w:val="00000AF5"/>
    <w:rsid w:val="00001071"/>
    <w:rsid w:val="00001250"/>
    <w:rsid w:val="0000180D"/>
    <w:rsid w:val="00001A29"/>
    <w:rsid w:val="00003486"/>
    <w:rsid w:val="00003805"/>
    <w:rsid w:val="00004287"/>
    <w:rsid w:val="00004D03"/>
    <w:rsid w:val="00005103"/>
    <w:rsid w:val="0000553B"/>
    <w:rsid w:val="00006B64"/>
    <w:rsid w:val="00006C88"/>
    <w:rsid w:val="00007A40"/>
    <w:rsid w:val="00011A92"/>
    <w:rsid w:val="000123B9"/>
    <w:rsid w:val="00012875"/>
    <w:rsid w:val="00012E8A"/>
    <w:rsid w:val="000136F1"/>
    <w:rsid w:val="00013B39"/>
    <w:rsid w:val="000149F0"/>
    <w:rsid w:val="0001522C"/>
    <w:rsid w:val="0001562F"/>
    <w:rsid w:val="00015F7F"/>
    <w:rsid w:val="00015F81"/>
    <w:rsid w:val="00021CF8"/>
    <w:rsid w:val="00022137"/>
    <w:rsid w:val="000223B8"/>
    <w:rsid w:val="000227D5"/>
    <w:rsid w:val="000245AA"/>
    <w:rsid w:val="00025393"/>
    <w:rsid w:val="000263A1"/>
    <w:rsid w:val="000268E7"/>
    <w:rsid w:val="00026E77"/>
    <w:rsid w:val="00027ACC"/>
    <w:rsid w:val="00030439"/>
    <w:rsid w:val="00030DF5"/>
    <w:rsid w:val="000314DB"/>
    <w:rsid w:val="00032A8D"/>
    <w:rsid w:val="00034C07"/>
    <w:rsid w:val="00036119"/>
    <w:rsid w:val="0003664B"/>
    <w:rsid w:val="0003722C"/>
    <w:rsid w:val="00037A5C"/>
    <w:rsid w:val="00040FD9"/>
    <w:rsid w:val="0004110E"/>
    <w:rsid w:val="0004111F"/>
    <w:rsid w:val="00041479"/>
    <w:rsid w:val="000424D0"/>
    <w:rsid w:val="00042C32"/>
    <w:rsid w:val="00042C6F"/>
    <w:rsid w:val="00043DA3"/>
    <w:rsid w:val="0004573D"/>
    <w:rsid w:val="00046009"/>
    <w:rsid w:val="00046DAE"/>
    <w:rsid w:val="00047184"/>
    <w:rsid w:val="00047196"/>
    <w:rsid w:val="00047D46"/>
    <w:rsid w:val="00047DB9"/>
    <w:rsid w:val="00050B9C"/>
    <w:rsid w:val="00051A66"/>
    <w:rsid w:val="000528EA"/>
    <w:rsid w:val="00053647"/>
    <w:rsid w:val="00053A46"/>
    <w:rsid w:val="00055077"/>
    <w:rsid w:val="000559CB"/>
    <w:rsid w:val="00055F6C"/>
    <w:rsid w:val="000565B3"/>
    <w:rsid w:val="00056D8E"/>
    <w:rsid w:val="00056DFD"/>
    <w:rsid w:val="000572B7"/>
    <w:rsid w:val="00060892"/>
    <w:rsid w:val="000609D4"/>
    <w:rsid w:val="000609E1"/>
    <w:rsid w:val="000644C0"/>
    <w:rsid w:val="000644F2"/>
    <w:rsid w:val="00065C7E"/>
    <w:rsid w:val="00066800"/>
    <w:rsid w:val="0006724C"/>
    <w:rsid w:val="00067385"/>
    <w:rsid w:val="0007150B"/>
    <w:rsid w:val="00071C21"/>
    <w:rsid w:val="00072C45"/>
    <w:rsid w:val="00072EC3"/>
    <w:rsid w:val="00072F2E"/>
    <w:rsid w:val="0007407B"/>
    <w:rsid w:val="000740A2"/>
    <w:rsid w:val="00074137"/>
    <w:rsid w:val="000743F6"/>
    <w:rsid w:val="0007512D"/>
    <w:rsid w:val="00075533"/>
    <w:rsid w:val="0007574B"/>
    <w:rsid w:val="00075840"/>
    <w:rsid w:val="0007607D"/>
    <w:rsid w:val="0007682D"/>
    <w:rsid w:val="00077435"/>
    <w:rsid w:val="00077C14"/>
    <w:rsid w:val="00080013"/>
    <w:rsid w:val="00080C3E"/>
    <w:rsid w:val="00081031"/>
    <w:rsid w:val="00081175"/>
    <w:rsid w:val="00081BF8"/>
    <w:rsid w:val="000820B0"/>
    <w:rsid w:val="00082170"/>
    <w:rsid w:val="00082A5D"/>
    <w:rsid w:val="00082BC9"/>
    <w:rsid w:val="00082F42"/>
    <w:rsid w:val="000846DA"/>
    <w:rsid w:val="00084719"/>
    <w:rsid w:val="00084C01"/>
    <w:rsid w:val="000852DD"/>
    <w:rsid w:val="00085F47"/>
    <w:rsid w:val="0008624E"/>
    <w:rsid w:val="00086C6A"/>
    <w:rsid w:val="0009060A"/>
    <w:rsid w:val="00091707"/>
    <w:rsid w:val="00091F33"/>
    <w:rsid w:val="000922B4"/>
    <w:rsid w:val="00092710"/>
    <w:rsid w:val="000938F5"/>
    <w:rsid w:val="00093AB1"/>
    <w:rsid w:val="00095663"/>
    <w:rsid w:val="00096E55"/>
    <w:rsid w:val="0009783E"/>
    <w:rsid w:val="000A0A70"/>
    <w:rsid w:val="000A1442"/>
    <w:rsid w:val="000A1A44"/>
    <w:rsid w:val="000A1C82"/>
    <w:rsid w:val="000A1D6E"/>
    <w:rsid w:val="000A2634"/>
    <w:rsid w:val="000A27D5"/>
    <w:rsid w:val="000A2A46"/>
    <w:rsid w:val="000A3552"/>
    <w:rsid w:val="000A381F"/>
    <w:rsid w:val="000A3C09"/>
    <w:rsid w:val="000A3D23"/>
    <w:rsid w:val="000A4170"/>
    <w:rsid w:val="000A4DEF"/>
    <w:rsid w:val="000A5350"/>
    <w:rsid w:val="000A537A"/>
    <w:rsid w:val="000A78C1"/>
    <w:rsid w:val="000B08CC"/>
    <w:rsid w:val="000B1022"/>
    <w:rsid w:val="000B1716"/>
    <w:rsid w:val="000B2018"/>
    <w:rsid w:val="000B2C6F"/>
    <w:rsid w:val="000B336D"/>
    <w:rsid w:val="000B4133"/>
    <w:rsid w:val="000B4B8B"/>
    <w:rsid w:val="000B601B"/>
    <w:rsid w:val="000B6469"/>
    <w:rsid w:val="000B670C"/>
    <w:rsid w:val="000C08F3"/>
    <w:rsid w:val="000C162B"/>
    <w:rsid w:val="000C1718"/>
    <w:rsid w:val="000C1A90"/>
    <w:rsid w:val="000C207E"/>
    <w:rsid w:val="000C22D8"/>
    <w:rsid w:val="000C3E05"/>
    <w:rsid w:val="000C57CB"/>
    <w:rsid w:val="000C58DB"/>
    <w:rsid w:val="000C5B17"/>
    <w:rsid w:val="000C5C76"/>
    <w:rsid w:val="000C6F4C"/>
    <w:rsid w:val="000D025B"/>
    <w:rsid w:val="000D060A"/>
    <w:rsid w:val="000D0840"/>
    <w:rsid w:val="000D0F9B"/>
    <w:rsid w:val="000D3D6F"/>
    <w:rsid w:val="000D3ECB"/>
    <w:rsid w:val="000D41E9"/>
    <w:rsid w:val="000D50ED"/>
    <w:rsid w:val="000D55DF"/>
    <w:rsid w:val="000D5975"/>
    <w:rsid w:val="000D63E9"/>
    <w:rsid w:val="000D6CF8"/>
    <w:rsid w:val="000D6FE9"/>
    <w:rsid w:val="000D6FEB"/>
    <w:rsid w:val="000D7994"/>
    <w:rsid w:val="000D7D8F"/>
    <w:rsid w:val="000E1471"/>
    <w:rsid w:val="000E2857"/>
    <w:rsid w:val="000E367F"/>
    <w:rsid w:val="000E56A7"/>
    <w:rsid w:val="000E5E35"/>
    <w:rsid w:val="000E6862"/>
    <w:rsid w:val="000E7301"/>
    <w:rsid w:val="000E7A09"/>
    <w:rsid w:val="000E7A33"/>
    <w:rsid w:val="000F0035"/>
    <w:rsid w:val="000F060A"/>
    <w:rsid w:val="000F1CF8"/>
    <w:rsid w:val="000F2E0B"/>
    <w:rsid w:val="000F37DD"/>
    <w:rsid w:val="000F3D1E"/>
    <w:rsid w:val="000F420B"/>
    <w:rsid w:val="000F625E"/>
    <w:rsid w:val="000F6C47"/>
    <w:rsid w:val="000F7189"/>
    <w:rsid w:val="000F7D5D"/>
    <w:rsid w:val="001010E9"/>
    <w:rsid w:val="001010F7"/>
    <w:rsid w:val="0010155D"/>
    <w:rsid w:val="00101CB9"/>
    <w:rsid w:val="00102BB7"/>
    <w:rsid w:val="00103BC4"/>
    <w:rsid w:val="0010430D"/>
    <w:rsid w:val="00104EB3"/>
    <w:rsid w:val="001050B2"/>
    <w:rsid w:val="001055AE"/>
    <w:rsid w:val="001061D8"/>
    <w:rsid w:val="00106A0A"/>
    <w:rsid w:val="00106E5E"/>
    <w:rsid w:val="00110116"/>
    <w:rsid w:val="0011223C"/>
    <w:rsid w:val="00112711"/>
    <w:rsid w:val="00112EB6"/>
    <w:rsid w:val="00114F5E"/>
    <w:rsid w:val="001164E3"/>
    <w:rsid w:val="0011674C"/>
    <w:rsid w:val="0011724F"/>
    <w:rsid w:val="00117407"/>
    <w:rsid w:val="00117742"/>
    <w:rsid w:val="0011777A"/>
    <w:rsid w:val="00117B4F"/>
    <w:rsid w:val="00120072"/>
    <w:rsid w:val="001203BC"/>
    <w:rsid w:val="00120F67"/>
    <w:rsid w:val="00122601"/>
    <w:rsid w:val="00122AA0"/>
    <w:rsid w:val="001230A7"/>
    <w:rsid w:val="0012478A"/>
    <w:rsid w:val="00125969"/>
    <w:rsid w:val="001259C7"/>
    <w:rsid w:val="00126397"/>
    <w:rsid w:val="00126EB8"/>
    <w:rsid w:val="001272CD"/>
    <w:rsid w:val="001274BA"/>
    <w:rsid w:val="001274D4"/>
    <w:rsid w:val="00127E83"/>
    <w:rsid w:val="00127F94"/>
    <w:rsid w:val="00130615"/>
    <w:rsid w:val="00130F3C"/>
    <w:rsid w:val="00131D55"/>
    <w:rsid w:val="00132AF0"/>
    <w:rsid w:val="001339DC"/>
    <w:rsid w:val="001340AB"/>
    <w:rsid w:val="00136391"/>
    <w:rsid w:val="001363AA"/>
    <w:rsid w:val="00136A5C"/>
    <w:rsid w:val="0013739A"/>
    <w:rsid w:val="0014192D"/>
    <w:rsid w:val="00142165"/>
    <w:rsid w:val="001437AF"/>
    <w:rsid w:val="00143D3B"/>
    <w:rsid w:val="001459D1"/>
    <w:rsid w:val="00145A9D"/>
    <w:rsid w:val="0014650B"/>
    <w:rsid w:val="00146FBF"/>
    <w:rsid w:val="00147112"/>
    <w:rsid w:val="00150E71"/>
    <w:rsid w:val="00150F70"/>
    <w:rsid w:val="0015251F"/>
    <w:rsid w:val="00153B11"/>
    <w:rsid w:val="00153E9F"/>
    <w:rsid w:val="00153EF9"/>
    <w:rsid w:val="00154374"/>
    <w:rsid w:val="00155270"/>
    <w:rsid w:val="00156974"/>
    <w:rsid w:val="00156D9B"/>
    <w:rsid w:val="001608E6"/>
    <w:rsid w:val="00160EDD"/>
    <w:rsid w:val="001621A2"/>
    <w:rsid w:val="00162434"/>
    <w:rsid w:val="00162E7C"/>
    <w:rsid w:val="0016386D"/>
    <w:rsid w:val="00164165"/>
    <w:rsid w:val="0016449D"/>
    <w:rsid w:val="00164FAC"/>
    <w:rsid w:val="00165B70"/>
    <w:rsid w:val="0016698E"/>
    <w:rsid w:val="00166BDC"/>
    <w:rsid w:val="001710CE"/>
    <w:rsid w:val="001712F6"/>
    <w:rsid w:val="00171498"/>
    <w:rsid w:val="00172433"/>
    <w:rsid w:val="00172ACB"/>
    <w:rsid w:val="00172F5A"/>
    <w:rsid w:val="00173DCB"/>
    <w:rsid w:val="00173F64"/>
    <w:rsid w:val="0017482C"/>
    <w:rsid w:val="00174917"/>
    <w:rsid w:val="0017535B"/>
    <w:rsid w:val="00175B3C"/>
    <w:rsid w:val="00175C54"/>
    <w:rsid w:val="00176765"/>
    <w:rsid w:val="00176FBC"/>
    <w:rsid w:val="001776CF"/>
    <w:rsid w:val="00180351"/>
    <w:rsid w:val="00180914"/>
    <w:rsid w:val="00180FFA"/>
    <w:rsid w:val="0018247E"/>
    <w:rsid w:val="00182718"/>
    <w:rsid w:val="00183BBB"/>
    <w:rsid w:val="00183E82"/>
    <w:rsid w:val="001846EE"/>
    <w:rsid w:val="001856EA"/>
    <w:rsid w:val="0018630A"/>
    <w:rsid w:val="00186CAF"/>
    <w:rsid w:val="001878BB"/>
    <w:rsid w:val="00190B61"/>
    <w:rsid w:val="00191AE0"/>
    <w:rsid w:val="00192476"/>
    <w:rsid w:val="0019293B"/>
    <w:rsid w:val="0019426B"/>
    <w:rsid w:val="001942EC"/>
    <w:rsid w:val="001964A3"/>
    <w:rsid w:val="001968DF"/>
    <w:rsid w:val="00196C4F"/>
    <w:rsid w:val="001976F4"/>
    <w:rsid w:val="001A00BD"/>
    <w:rsid w:val="001A473D"/>
    <w:rsid w:val="001A5A7F"/>
    <w:rsid w:val="001A6A4B"/>
    <w:rsid w:val="001A7C54"/>
    <w:rsid w:val="001B019E"/>
    <w:rsid w:val="001B0C60"/>
    <w:rsid w:val="001B0D4D"/>
    <w:rsid w:val="001B112A"/>
    <w:rsid w:val="001B1545"/>
    <w:rsid w:val="001B24B8"/>
    <w:rsid w:val="001B4A78"/>
    <w:rsid w:val="001B664D"/>
    <w:rsid w:val="001B671D"/>
    <w:rsid w:val="001C0865"/>
    <w:rsid w:val="001C0AED"/>
    <w:rsid w:val="001C140C"/>
    <w:rsid w:val="001C1885"/>
    <w:rsid w:val="001C38AC"/>
    <w:rsid w:val="001C3ABA"/>
    <w:rsid w:val="001C3BE9"/>
    <w:rsid w:val="001C4B4E"/>
    <w:rsid w:val="001C5111"/>
    <w:rsid w:val="001C5A53"/>
    <w:rsid w:val="001C6B52"/>
    <w:rsid w:val="001C7ABE"/>
    <w:rsid w:val="001D0CDF"/>
    <w:rsid w:val="001D1063"/>
    <w:rsid w:val="001D1106"/>
    <w:rsid w:val="001D5F7B"/>
    <w:rsid w:val="001D709B"/>
    <w:rsid w:val="001E0692"/>
    <w:rsid w:val="001E11B5"/>
    <w:rsid w:val="001E13F9"/>
    <w:rsid w:val="001E1ACB"/>
    <w:rsid w:val="001E2439"/>
    <w:rsid w:val="001E2960"/>
    <w:rsid w:val="001E2D57"/>
    <w:rsid w:val="001E2F7C"/>
    <w:rsid w:val="001E2F8F"/>
    <w:rsid w:val="001E3377"/>
    <w:rsid w:val="001E414F"/>
    <w:rsid w:val="001E43CB"/>
    <w:rsid w:val="001E4428"/>
    <w:rsid w:val="001E5A76"/>
    <w:rsid w:val="001E6276"/>
    <w:rsid w:val="001E6611"/>
    <w:rsid w:val="001E6D28"/>
    <w:rsid w:val="001E6EA8"/>
    <w:rsid w:val="001E70A0"/>
    <w:rsid w:val="001E7493"/>
    <w:rsid w:val="001E7BE8"/>
    <w:rsid w:val="001F00D4"/>
    <w:rsid w:val="001F0248"/>
    <w:rsid w:val="001F08EB"/>
    <w:rsid w:val="001F15F0"/>
    <w:rsid w:val="001F2137"/>
    <w:rsid w:val="001F28E4"/>
    <w:rsid w:val="001F2F34"/>
    <w:rsid w:val="001F3EB3"/>
    <w:rsid w:val="001F3F51"/>
    <w:rsid w:val="001F41FE"/>
    <w:rsid w:val="001F4688"/>
    <w:rsid w:val="001F472B"/>
    <w:rsid w:val="001F4F86"/>
    <w:rsid w:val="001F5101"/>
    <w:rsid w:val="001F75AC"/>
    <w:rsid w:val="001F77DC"/>
    <w:rsid w:val="0020042E"/>
    <w:rsid w:val="002012E2"/>
    <w:rsid w:val="002023B1"/>
    <w:rsid w:val="00202ACE"/>
    <w:rsid w:val="00202C2C"/>
    <w:rsid w:val="00203050"/>
    <w:rsid w:val="0020427D"/>
    <w:rsid w:val="0020533C"/>
    <w:rsid w:val="00210E18"/>
    <w:rsid w:val="00211A83"/>
    <w:rsid w:val="002135AB"/>
    <w:rsid w:val="002139F4"/>
    <w:rsid w:val="002144BE"/>
    <w:rsid w:val="0021525E"/>
    <w:rsid w:val="00215E11"/>
    <w:rsid w:val="00220110"/>
    <w:rsid w:val="00221FDC"/>
    <w:rsid w:val="00222693"/>
    <w:rsid w:val="0022294B"/>
    <w:rsid w:val="00223220"/>
    <w:rsid w:val="00225724"/>
    <w:rsid w:val="00226A30"/>
    <w:rsid w:val="00227697"/>
    <w:rsid w:val="0022782E"/>
    <w:rsid w:val="002279C2"/>
    <w:rsid w:val="00227BD9"/>
    <w:rsid w:val="00230905"/>
    <w:rsid w:val="00230C53"/>
    <w:rsid w:val="00230F67"/>
    <w:rsid w:val="0023148C"/>
    <w:rsid w:val="002317D8"/>
    <w:rsid w:val="00233A4C"/>
    <w:rsid w:val="00233CDA"/>
    <w:rsid w:val="00234757"/>
    <w:rsid w:val="002348DC"/>
    <w:rsid w:val="00234D20"/>
    <w:rsid w:val="00237285"/>
    <w:rsid w:val="002372E6"/>
    <w:rsid w:val="002373E6"/>
    <w:rsid w:val="00237D22"/>
    <w:rsid w:val="00237D89"/>
    <w:rsid w:val="002400F2"/>
    <w:rsid w:val="0024088B"/>
    <w:rsid w:val="0024091B"/>
    <w:rsid w:val="0024157D"/>
    <w:rsid w:val="00242046"/>
    <w:rsid w:val="00242070"/>
    <w:rsid w:val="00242279"/>
    <w:rsid w:val="00243528"/>
    <w:rsid w:val="002438E8"/>
    <w:rsid w:val="00243997"/>
    <w:rsid w:val="00244D47"/>
    <w:rsid w:val="00244D94"/>
    <w:rsid w:val="00244E7A"/>
    <w:rsid w:val="0024516C"/>
    <w:rsid w:val="00245461"/>
    <w:rsid w:val="00245BBD"/>
    <w:rsid w:val="00245C82"/>
    <w:rsid w:val="00247F51"/>
    <w:rsid w:val="00250106"/>
    <w:rsid w:val="00250419"/>
    <w:rsid w:val="00250F78"/>
    <w:rsid w:val="002512D4"/>
    <w:rsid w:val="00251813"/>
    <w:rsid w:val="00252A43"/>
    <w:rsid w:val="00252A50"/>
    <w:rsid w:val="00254CD6"/>
    <w:rsid w:val="002552A7"/>
    <w:rsid w:val="002554BD"/>
    <w:rsid w:val="00256316"/>
    <w:rsid w:val="002564B5"/>
    <w:rsid w:val="00256660"/>
    <w:rsid w:val="002567C1"/>
    <w:rsid w:val="00256BC2"/>
    <w:rsid w:val="00257203"/>
    <w:rsid w:val="00257C7D"/>
    <w:rsid w:val="002604D2"/>
    <w:rsid w:val="002616B3"/>
    <w:rsid w:val="00263D34"/>
    <w:rsid w:val="002649C4"/>
    <w:rsid w:val="00265210"/>
    <w:rsid w:val="00265281"/>
    <w:rsid w:val="0026546E"/>
    <w:rsid w:val="0026552C"/>
    <w:rsid w:val="00270EC3"/>
    <w:rsid w:val="00271FC7"/>
    <w:rsid w:val="002724BA"/>
    <w:rsid w:val="00272A15"/>
    <w:rsid w:val="00272A86"/>
    <w:rsid w:val="00273CB4"/>
    <w:rsid w:val="00274C55"/>
    <w:rsid w:val="00275460"/>
    <w:rsid w:val="00276DC9"/>
    <w:rsid w:val="002775A3"/>
    <w:rsid w:val="00277CB2"/>
    <w:rsid w:val="00281138"/>
    <w:rsid w:val="0028210C"/>
    <w:rsid w:val="00282463"/>
    <w:rsid w:val="00282AB8"/>
    <w:rsid w:val="00283DBF"/>
    <w:rsid w:val="00283F0B"/>
    <w:rsid w:val="0028402F"/>
    <w:rsid w:val="002841C8"/>
    <w:rsid w:val="00284D83"/>
    <w:rsid w:val="0028524A"/>
    <w:rsid w:val="0028590B"/>
    <w:rsid w:val="00285AB5"/>
    <w:rsid w:val="0028618B"/>
    <w:rsid w:val="002867DA"/>
    <w:rsid w:val="00286DA9"/>
    <w:rsid w:val="00287C95"/>
    <w:rsid w:val="00287CFE"/>
    <w:rsid w:val="00290970"/>
    <w:rsid w:val="002918D0"/>
    <w:rsid w:val="00291B40"/>
    <w:rsid w:val="00291F7F"/>
    <w:rsid w:val="002925C5"/>
    <w:rsid w:val="00292B9F"/>
    <w:rsid w:val="00292F59"/>
    <w:rsid w:val="002930C4"/>
    <w:rsid w:val="002941D6"/>
    <w:rsid w:val="00294F45"/>
    <w:rsid w:val="00296056"/>
    <w:rsid w:val="002970D7"/>
    <w:rsid w:val="002A06A1"/>
    <w:rsid w:val="002A08D8"/>
    <w:rsid w:val="002A36B1"/>
    <w:rsid w:val="002A3767"/>
    <w:rsid w:val="002A3785"/>
    <w:rsid w:val="002A4EBC"/>
    <w:rsid w:val="002A6394"/>
    <w:rsid w:val="002A64DE"/>
    <w:rsid w:val="002A6725"/>
    <w:rsid w:val="002A75C1"/>
    <w:rsid w:val="002A773C"/>
    <w:rsid w:val="002B05F7"/>
    <w:rsid w:val="002B1263"/>
    <w:rsid w:val="002B2098"/>
    <w:rsid w:val="002B2824"/>
    <w:rsid w:val="002B2D79"/>
    <w:rsid w:val="002B2F2E"/>
    <w:rsid w:val="002B30BF"/>
    <w:rsid w:val="002B4008"/>
    <w:rsid w:val="002B5098"/>
    <w:rsid w:val="002B5C27"/>
    <w:rsid w:val="002B61F9"/>
    <w:rsid w:val="002B63F8"/>
    <w:rsid w:val="002B67B2"/>
    <w:rsid w:val="002C036B"/>
    <w:rsid w:val="002C3149"/>
    <w:rsid w:val="002C439F"/>
    <w:rsid w:val="002C6589"/>
    <w:rsid w:val="002C7AD4"/>
    <w:rsid w:val="002D0C42"/>
    <w:rsid w:val="002D0E8E"/>
    <w:rsid w:val="002D1368"/>
    <w:rsid w:val="002D455F"/>
    <w:rsid w:val="002D4A10"/>
    <w:rsid w:val="002D7486"/>
    <w:rsid w:val="002E2BDA"/>
    <w:rsid w:val="002E30F5"/>
    <w:rsid w:val="002E33F5"/>
    <w:rsid w:val="002E362F"/>
    <w:rsid w:val="002E5309"/>
    <w:rsid w:val="002E6456"/>
    <w:rsid w:val="002F1301"/>
    <w:rsid w:val="002F188A"/>
    <w:rsid w:val="002F206C"/>
    <w:rsid w:val="002F2CE2"/>
    <w:rsid w:val="002F4F86"/>
    <w:rsid w:val="002F60E4"/>
    <w:rsid w:val="002F63C9"/>
    <w:rsid w:val="002F6D92"/>
    <w:rsid w:val="002F6DA1"/>
    <w:rsid w:val="002F6EF4"/>
    <w:rsid w:val="002F6FBC"/>
    <w:rsid w:val="003004C0"/>
    <w:rsid w:val="00300992"/>
    <w:rsid w:val="00301189"/>
    <w:rsid w:val="003013E5"/>
    <w:rsid w:val="00301B89"/>
    <w:rsid w:val="00301E4A"/>
    <w:rsid w:val="00302515"/>
    <w:rsid w:val="0030497D"/>
    <w:rsid w:val="0030747C"/>
    <w:rsid w:val="00310187"/>
    <w:rsid w:val="003102B3"/>
    <w:rsid w:val="00310726"/>
    <w:rsid w:val="00310AF7"/>
    <w:rsid w:val="0031148A"/>
    <w:rsid w:val="00311765"/>
    <w:rsid w:val="003117FE"/>
    <w:rsid w:val="00311E3A"/>
    <w:rsid w:val="003128EE"/>
    <w:rsid w:val="00314192"/>
    <w:rsid w:val="0031585F"/>
    <w:rsid w:val="0031647A"/>
    <w:rsid w:val="003168B8"/>
    <w:rsid w:val="00316C66"/>
    <w:rsid w:val="003202D3"/>
    <w:rsid w:val="0032044C"/>
    <w:rsid w:val="00320DBD"/>
    <w:rsid w:val="00321646"/>
    <w:rsid w:val="00322D64"/>
    <w:rsid w:val="00322FF7"/>
    <w:rsid w:val="003236F8"/>
    <w:rsid w:val="00323A93"/>
    <w:rsid w:val="00323B0A"/>
    <w:rsid w:val="00323E09"/>
    <w:rsid w:val="00324455"/>
    <w:rsid w:val="003250ED"/>
    <w:rsid w:val="0032513D"/>
    <w:rsid w:val="003259ED"/>
    <w:rsid w:val="00326189"/>
    <w:rsid w:val="00326A19"/>
    <w:rsid w:val="0032747D"/>
    <w:rsid w:val="00327A84"/>
    <w:rsid w:val="0033068F"/>
    <w:rsid w:val="00330702"/>
    <w:rsid w:val="00331087"/>
    <w:rsid w:val="003328A4"/>
    <w:rsid w:val="00332902"/>
    <w:rsid w:val="003329E0"/>
    <w:rsid w:val="00333932"/>
    <w:rsid w:val="003339F6"/>
    <w:rsid w:val="0033502B"/>
    <w:rsid w:val="003374F7"/>
    <w:rsid w:val="00340058"/>
    <w:rsid w:val="0034081D"/>
    <w:rsid w:val="00340BD2"/>
    <w:rsid w:val="00341678"/>
    <w:rsid w:val="003425C5"/>
    <w:rsid w:val="0034279F"/>
    <w:rsid w:val="00343297"/>
    <w:rsid w:val="0034350B"/>
    <w:rsid w:val="00343924"/>
    <w:rsid w:val="00343931"/>
    <w:rsid w:val="003452CA"/>
    <w:rsid w:val="0035019A"/>
    <w:rsid w:val="0035033A"/>
    <w:rsid w:val="0035078A"/>
    <w:rsid w:val="003509C7"/>
    <w:rsid w:val="003517F1"/>
    <w:rsid w:val="003518AA"/>
    <w:rsid w:val="00351BE6"/>
    <w:rsid w:val="00352165"/>
    <w:rsid w:val="00353182"/>
    <w:rsid w:val="003535AE"/>
    <w:rsid w:val="00354B9A"/>
    <w:rsid w:val="00355430"/>
    <w:rsid w:val="003564E9"/>
    <w:rsid w:val="003565D9"/>
    <w:rsid w:val="00357BBD"/>
    <w:rsid w:val="003600E7"/>
    <w:rsid w:val="003602E1"/>
    <w:rsid w:val="00361352"/>
    <w:rsid w:val="003623DE"/>
    <w:rsid w:val="00362ADB"/>
    <w:rsid w:val="00362FD7"/>
    <w:rsid w:val="00363B70"/>
    <w:rsid w:val="003642D4"/>
    <w:rsid w:val="003647D0"/>
    <w:rsid w:val="003647E8"/>
    <w:rsid w:val="0036597A"/>
    <w:rsid w:val="00365E9A"/>
    <w:rsid w:val="00366F0E"/>
    <w:rsid w:val="00367215"/>
    <w:rsid w:val="0037026F"/>
    <w:rsid w:val="003702D8"/>
    <w:rsid w:val="003706B5"/>
    <w:rsid w:val="00371240"/>
    <w:rsid w:val="00373537"/>
    <w:rsid w:val="00374731"/>
    <w:rsid w:val="0037498C"/>
    <w:rsid w:val="00374B96"/>
    <w:rsid w:val="00374EAD"/>
    <w:rsid w:val="0037634B"/>
    <w:rsid w:val="00376E59"/>
    <w:rsid w:val="00377EC1"/>
    <w:rsid w:val="00380340"/>
    <w:rsid w:val="00380417"/>
    <w:rsid w:val="003805F7"/>
    <w:rsid w:val="00382A7A"/>
    <w:rsid w:val="00383DA3"/>
    <w:rsid w:val="00385E1A"/>
    <w:rsid w:val="00387C9C"/>
    <w:rsid w:val="003908B1"/>
    <w:rsid w:val="00390F0C"/>
    <w:rsid w:val="003919F9"/>
    <w:rsid w:val="003920CF"/>
    <w:rsid w:val="00392DB7"/>
    <w:rsid w:val="003933C7"/>
    <w:rsid w:val="00393F55"/>
    <w:rsid w:val="00394288"/>
    <w:rsid w:val="0039447F"/>
    <w:rsid w:val="0039495E"/>
    <w:rsid w:val="003950F2"/>
    <w:rsid w:val="00396C9A"/>
    <w:rsid w:val="00397A56"/>
    <w:rsid w:val="00397FCB"/>
    <w:rsid w:val="003A0D0E"/>
    <w:rsid w:val="003A0F1A"/>
    <w:rsid w:val="003A10D8"/>
    <w:rsid w:val="003A1331"/>
    <w:rsid w:val="003A24F2"/>
    <w:rsid w:val="003A29D8"/>
    <w:rsid w:val="003A2D4B"/>
    <w:rsid w:val="003A2E97"/>
    <w:rsid w:val="003A32A1"/>
    <w:rsid w:val="003A438E"/>
    <w:rsid w:val="003A4620"/>
    <w:rsid w:val="003A5874"/>
    <w:rsid w:val="003A626A"/>
    <w:rsid w:val="003A675C"/>
    <w:rsid w:val="003A6D5E"/>
    <w:rsid w:val="003A70AB"/>
    <w:rsid w:val="003B0105"/>
    <w:rsid w:val="003B0D6A"/>
    <w:rsid w:val="003B10BF"/>
    <w:rsid w:val="003B1C8A"/>
    <w:rsid w:val="003B23C2"/>
    <w:rsid w:val="003B394D"/>
    <w:rsid w:val="003B40C8"/>
    <w:rsid w:val="003B61D4"/>
    <w:rsid w:val="003B6AAD"/>
    <w:rsid w:val="003C2112"/>
    <w:rsid w:val="003C296B"/>
    <w:rsid w:val="003C38B5"/>
    <w:rsid w:val="003C4012"/>
    <w:rsid w:val="003C489F"/>
    <w:rsid w:val="003C54DE"/>
    <w:rsid w:val="003C5D99"/>
    <w:rsid w:val="003C6B37"/>
    <w:rsid w:val="003C7598"/>
    <w:rsid w:val="003D1087"/>
    <w:rsid w:val="003D2A44"/>
    <w:rsid w:val="003D37FE"/>
    <w:rsid w:val="003D3DC6"/>
    <w:rsid w:val="003D3E8C"/>
    <w:rsid w:val="003D4BE0"/>
    <w:rsid w:val="003D4F9F"/>
    <w:rsid w:val="003D65A1"/>
    <w:rsid w:val="003D7CBB"/>
    <w:rsid w:val="003E10F6"/>
    <w:rsid w:val="003E1EDA"/>
    <w:rsid w:val="003E1EFA"/>
    <w:rsid w:val="003E2F59"/>
    <w:rsid w:val="003E38E0"/>
    <w:rsid w:val="003E5D59"/>
    <w:rsid w:val="003E6A64"/>
    <w:rsid w:val="003E6E41"/>
    <w:rsid w:val="003E746B"/>
    <w:rsid w:val="003E7553"/>
    <w:rsid w:val="003F0789"/>
    <w:rsid w:val="003F0F41"/>
    <w:rsid w:val="003F105C"/>
    <w:rsid w:val="003F1402"/>
    <w:rsid w:val="003F242D"/>
    <w:rsid w:val="003F245B"/>
    <w:rsid w:val="003F391C"/>
    <w:rsid w:val="003F49AB"/>
    <w:rsid w:val="003F6513"/>
    <w:rsid w:val="003F7705"/>
    <w:rsid w:val="00401882"/>
    <w:rsid w:val="00402DCE"/>
    <w:rsid w:val="00403645"/>
    <w:rsid w:val="004043AF"/>
    <w:rsid w:val="0040524C"/>
    <w:rsid w:val="00405D87"/>
    <w:rsid w:val="00406230"/>
    <w:rsid w:val="004063D6"/>
    <w:rsid w:val="0040658E"/>
    <w:rsid w:val="00407FFD"/>
    <w:rsid w:val="004100C8"/>
    <w:rsid w:val="0041026A"/>
    <w:rsid w:val="00410CCF"/>
    <w:rsid w:val="00410CE3"/>
    <w:rsid w:val="00410F3E"/>
    <w:rsid w:val="00411DBD"/>
    <w:rsid w:val="0041208F"/>
    <w:rsid w:val="0041223E"/>
    <w:rsid w:val="00412ACE"/>
    <w:rsid w:val="00413F41"/>
    <w:rsid w:val="0041450C"/>
    <w:rsid w:val="004145D2"/>
    <w:rsid w:val="00414F41"/>
    <w:rsid w:val="00415201"/>
    <w:rsid w:val="004162A6"/>
    <w:rsid w:val="004201AE"/>
    <w:rsid w:val="00421238"/>
    <w:rsid w:val="00421460"/>
    <w:rsid w:val="00421AC4"/>
    <w:rsid w:val="004223C1"/>
    <w:rsid w:val="00424733"/>
    <w:rsid w:val="00425401"/>
    <w:rsid w:val="004256B8"/>
    <w:rsid w:val="00426CB4"/>
    <w:rsid w:val="004278F6"/>
    <w:rsid w:val="004304A0"/>
    <w:rsid w:val="00431249"/>
    <w:rsid w:val="00432CD7"/>
    <w:rsid w:val="004330FD"/>
    <w:rsid w:val="00433548"/>
    <w:rsid w:val="004335C3"/>
    <w:rsid w:val="00433644"/>
    <w:rsid w:val="004336CB"/>
    <w:rsid w:val="00434971"/>
    <w:rsid w:val="00434C19"/>
    <w:rsid w:val="00434E4D"/>
    <w:rsid w:val="00434E69"/>
    <w:rsid w:val="00435A66"/>
    <w:rsid w:val="00436135"/>
    <w:rsid w:val="00436801"/>
    <w:rsid w:val="004368AD"/>
    <w:rsid w:val="00436BA3"/>
    <w:rsid w:val="00436C23"/>
    <w:rsid w:val="004374DC"/>
    <w:rsid w:val="00437D82"/>
    <w:rsid w:val="00440904"/>
    <w:rsid w:val="00441B2A"/>
    <w:rsid w:val="004435A2"/>
    <w:rsid w:val="0044397F"/>
    <w:rsid w:val="00444152"/>
    <w:rsid w:val="00445808"/>
    <w:rsid w:val="00445A58"/>
    <w:rsid w:val="00446F9F"/>
    <w:rsid w:val="004470EA"/>
    <w:rsid w:val="0044730E"/>
    <w:rsid w:val="00450810"/>
    <w:rsid w:val="00451705"/>
    <w:rsid w:val="00451975"/>
    <w:rsid w:val="00451A63"/>
    <w:rsid w:val="0045594E"/>
    <w:rsid w:val="0045609E"/>
    <w:rsid w:val="004567C1"/>
    <w:rsid w:val="00460759"/>
    <w:rsid w:val="00460F7A"/>
    <w:rsid w:val="00461D23"/>
    <w:rsid w:val="00461FA0"/>
    <w:rsid w:val="0046239F"/>
    <w:rsid w:val="00462487"/>
    <w:rsid w:val="004629C3"/>
    <w:rsid w:val="00462A1A"/>
    <w:rsid w:val="00462A30"/>
    <w:rsid w:val="00462C59"/>
    <w:rsid w:val="00463369"/>
    <w:rsid w:val="00463D24"/>
    <w:rsid w:val="004642FC"/>
    <w:rsid w:val="004657D1"/>
    <w:rsid w:val="00466963"/>
    <w:rsid w:val="00466F50"/>
    <w:rsid w:val="00467EAE"/>
    <w:rsid w:val="00470737"/>
    <w:rsid w:val="004708BC"/>
    <w:rsid w:val="004709A6"/>
    <w:rsid w:val="00470C89"/>
    <w:rsid w:val="004716CC"/>
    <w:rsid w:val="004724A5"/>
    <w:rsid w:val="00477144"/>
    <w:rsid w:val="00477652"/>
    <w:rsid w:val="00477DEF"/>
    <w:rsid w:val="00480113"/>
    <w:rsid w:val="004806EA"/>
    <w:rsid w:val="00481C97"/>
    <w:rsid w:val="004828E4"/>
    <w:rsid w:val="00482AFC"/>
    <w:rsid w:val="0048455C"/>
    <w:rsid w:val="00485042"/>
    <w:rsid w:val="0048538F"/>
    <w:rsid w:val="004869D8"/>
    <w:rsid w:val="00487078"/>
    <w:rsid w:val="004879F6"/>
    <w:rsid w:val="00487AF3"/>
    <w:rsid w:val="00491016"/>
    <w:rsid w:val="00491380"/>
    <w:rsid w:val="00492EA4"/>
    <w:rsid w:val="00492F39"/>
    <w:rsid w:val="004943C2"/>
    <w:rsid w:val="0049459F"/>
    <w:rsid w:val="00495702"/>
    <w:rsid w:val="0049593D"/>
    <w:rsid w:val="00496814"/>
    <w:rsid w:val="00497A7F"/>
    <w:rsid w:val="00497AFD"/>
    <w:rsid w:val="004A0C2D"/>
    <w:rsid w:val="004A13A1"/>
    <w:rsid w:val="004A15AD"/>
    <w:rsid w:val="004A177F"/>
    <w:rsid w:val="004A1C95"/>
    <w:rsid w:val="004A1FF8"/>
    <w:rsid w:val="004A356A"/>
    <w:rsid w:val="004A38DD"/>
    <w:rsid w:val="004A4FFD"/>
    <w:rsid w:val="004A5481"/>
    <w:rsid w:val="004A575F"/>
    <w:rsid w:val="004A5F45"/>
    <w:rsid w:val="004A6CBC"/>
    <w:rsid w:val="004A7696"/>
    <w:rsid w:val="004B00FA"/>
    <w:rsid w:val="004B0BA7"/>
    <w:rsid w:val="004B0FD1"/>
    <w:rsid w:val="004B1FEE"/>
    <w:rsid w:val="004B2033"/>
    <w:rsid w:val="004B2052"/>
    <w:rsid w:val="004B2B10"/>
    <w:rsid w:val="004B335C"/>
    <w:rsid w:val="004B35E3"/>
    <w:rsid w:val="004B43AE"/>
    <w:rsid w:val="004B6D2D"/>
    <w:rsid w:val="004B6DC4"/>
    <w:rsid w:val="004B7326"/>
    <w:rsid w:val="004C08A3"/>
    <w:rsid w:val="004C228C"/>
    <w:rsid w:val="004C30ED"/>
    <w:rsid w:val="004C3B7A"/>
    <w:rsid w:val="004C3BD6"/>
    <w:rsid w:val="004C3D63"/>
    <w:rsid w:val="004C4B14"/>
    <w:rsid w:val="004C4C9D"/>
    <w:rsid w:val="004C5BB3"/>
    <w:rsid w:val="004C6217"/>
    <w:rsid w:val="004C64BE"/>
    <w:rsid w:val="004C6EF4"/>
    <w:rsid w:val="004C7ABA"/>
    <w:rsid w:val="004D0528"/>
    <w:rsid w:val="004D0B4E"/>
    <w:rsid w:val="004D1082"/>
    <w:rsid w:val="004D1248"/>
    <w:rsid w:val="004D1434"/>
    <w:rsid w:val="004D187B"/>
    <w:rsid w:val="004D1A3B"/>
    <w:rsid w:val="004D26A0"/>
    <w:rsid w:val="004D4D87"/>
    <w:rsid w:val="004D552C"/>
    <w:rsid w:val="004D5675"/>
    <w:rsid w:val="004D65C1"/>
    <w:rsid w:val="004D69DA"/>
    <w:rsid w:val="004D7131"/>
    <w:rsid w:val="004D7286"/>
    <w:rsid w:val="004E0961"/>
    <w:rsid w:val="004E1B8F"/>
    <w:rsid w:val="004E1C9A"/>
    <w:rsid w:val="004E2DC5"/>
    <w:rsid w:val="004E2ED4"/>
    <w:rsid w:val="004E431D"/>
    <w:rsid w:val="004E51A1"/>
    <w:rsid w:val="004E5BB7"/>
    <w:rsid w:val="004E5C23"/>
    <w:rsid w:val="004E6625"/>
    <w:rsid w:val="004E6737"/>
    <w:rsid w:val="004F13AA"/>
    <w:rsid w:val="004F34C1"/>
    <w:rsid w:val="004F5848"/>
    <w:rsid w:val="004F6000"/>
    <w:rsid w:val="004F65B9"/>
    <w:rsid w:val="004F72FD"/>
    <w:rsid w:val="00500049"/>
    <w:rsid w:val="00500643"/>
    <w:rsid w:val="0050078A"/>
    <w:rsid w:val="00500C06"/>
    <w:rsid w:val="005010B5"/>
    <w:rsid w:val="0050293F"/>
    <w:rsid w:val="00503A5E"/>
    <w:rsid w:val="00504485"/>
    <w:rsid w:val="005054D2"/>
    <w:rsid w:val="00505D2F"/>
    <w:rsid w:val="0050670B"/>
    <w:rsid w:val="00506FDC"/>
    <w:rsid w:val="00510470"/>
    <w:rsid w:val="0051056B"/>
    <w:rsid w:val="00511D0F"/>
    <w:rsid w:val="00512156"/>
    <w:rsid w:val="0051474D"/>
    <w:rsid w:val="00516913"/>
    <w:rsid w:val="00516B22"/>
    <w:rsid w:val="00516F38"/>
    <w:rsid w:val="00517795"/>
    <w:rsid w:val="0052059F"/>
    <w:rsid w:val="0052135D"/>
    <w:rsid w:val="00521DFA"/>
    <w:rsid w:val="00521E9F"/>
    <w:rsid w:val="00522E27"/>
    <w:rsid w:val="00522F00"/>
    <w:rsid w:val="00523639"/>
    <w:rsid w:val="0052411D"/>
    <w:rsid w:val="00526506"/>
    <w:rsid w:val="005272E4"/>
    <w:rsid w:val="00527D3C"/>
    <w:rsid w:val="00530673"/>
    <w:rsid w:val="00531FE5"/>
    <w:rsid w:val="0053210A"/>
    <w:rsid w:val="00533C11"/>
    <w:rsid w:val="00533D53"/>
    <w:rsid w:val="0053427F"/>
    <w:rsid w:val="00535A28"/>
    <w:rsid w:val="00537070"/>
    <w:rsid w:val="005402FA"/>
    <w:rsid w:val="00542AB7"/>
    <w:rsid w:val="0054406E"/>
    <w:rsid w:val="00545484"/>
    <w:rsid w:val="00545BB9"/>
    <w:rsid w:val="00546C77"/>
    <w:rsid w:val="005515C3"/>
    <w:rsid w:val="00551687"/>
    <w:rsid w:val="00552216"/>
    <w:rsid w:val="005524DE"/>
    <w:rsid w:val="00552FED"/>
    <w:rsid w:val="005535E1"/>
    <w:rsid w:val="005551AF"/>
    <w:rsid w:val="00555A21"/>
    <w:rsid w:val="00555D34"/>
    <w:rsid w:val="00556191"/>
    <w:rsid w:val="0055690F"/>
    <w:rsid w:val="0055719A"/>
    <w:rsid w:val="00557E36"/>
    <w:rsid w:val="0056316D"/>
    <w:rsid w:val="00563304"/>
    <w:rsid w:val="00563575"/>
    <w:rsid w:val="0056373C"/>
    <w:rsid w:val="005658C1"/>
    <w:rsid w:val="005660FF"/>
    <w:rsid w:val="00570ABB"/>
    <w:rsid w:val="0057109D"/>
    <w:rsid w:val="005729BD"/>
    <w:rsid w:val="00572D85"/>
    <w:rsid w:val="00573A74"/>
    <w:rsid w:val="00573F47"/>
    <w:rsid w:val="00574C08"/>
    <w:rsid w:val="005751E9"/>
    <w:rsid w:val="00575B21"/>
    <w:rsid w:val="0057606A"/>
    <w:rsid w:val="00576469"/>
    <w:rsid w:val="00580154"/>
    <w:rsid w:val="00580D5D"/>
    <w:rsid w:val="00582288"/>
    <w:rsid w:val="005827D5"/>
    <w:rsid w:val="00582B18"/>
    <w:rsid w:val="00583C39"/>
    <w:rsid w:val="00583DD9"/>
    <w:rsid w:val="00585067"/>
    <w:rsid w:val="00585992"/>
    <w:rsid w:val="00585A61"/>
    <w:rsid w:val="00586A90"/>
    <w:rsid w:val="00587488"/>
    <w:rsid w:val="00587F28"/>
    <w:rsid w:val="0059047E"/>
    <w:rsid w:val="005909CF"/>
    <w:rsid w:val="00591669"/>
    <w:rsid w:val="00591CEF"/>
    <w:rsid w:val="00591E71"/>
    <w:rsid w:val="00591FB6"/>
    <w:rsid w:val="005925E7"/>
    <w:rsid w:val="00592DC3"/>
    <w:rsid w:val="00593C4A"/>
    <w:rsid w:val="00594FBF"/>
    <w:rsid w:val="005951D5"/>
    <w:rsid w:val="0059581B"/>
    <w:rsid w:val="00597164"/>
    <w:rsid w:val="005A0BAE"/>
    <w:rsid w:val="005A0D41"/>
    <w:rsid w:val="005A1361"/>
    <w:rsid w:val="005A17F3"/>
    <w:rsid w:val="005A2266"/>
    <w:rsid w:val="005A33C0"/>
    <w:rsid w:val="005A3E33"/>
    <w:rsid w:val="005A4505"/>
    <w:rsid w:val="005A486B"/>
    <w:rsid w:val="005A56C7"/>
    <w:rsid w:val="005A6E7E"/>
    <w:rsid w:val="005A7710"/>
    <w:rsid w:val="005A789E"/>
    <w:rsid w:val="005A7B27"/>
    <w:rsid w:val="005B0522"/>
    <w:rsid w:val="005B0CC0"/>
    <w:rsid w:val="005B13BE"/>
    <w:rsid w:val="005B3EE7"/>
    <w:rsid w:val="005B3FFB"/>
    <w:rsid w:val="005B4488"/>
    <w:rsid w:val="005B490B"/>
    <w:rsid w:val="005B6593"/>
    <w:rsid w:val="005B6658"/>
    <w:rsid w:val="005B6EAF"/>
    <w:rsid w:val="005B73A9"/>
    <w:rsid w:val="005B7E84"/>
    <w:rsid w:val="005C022C"/>
    <w:rsid w:val="005C0611"/>
    <w:rsid w:val="005C11A4"/>
    <w:rsid w:val="005C137B"/>
    <w:rsid w:val="005C2DC9"/>
    <w:rsid w:val="005C37C1"/>
    <w:rsid w:val="005C3A39"/>
    <w:rsid w:val="005C6512"/>
    <w:rsid w:val="005C7247"/>
    <w:rsid w:val="005C7734"/>
    <w:rsid w:val="005D01A2"/>
    <w:rsid w:val="005D0230"/>
    <w:rsid w:val="005D0406"/>
    <w:rsid w:val="005D1535"/>
    <w:rsid w:val="005D2457"/>
    <w:rsid w:val="005D329F"/>
    <w:rsid w:val="005D32DD"/>
    <w:rsid w:val="005D34EF"/>
    <w:rsid w:val="005D3A9B"/>
    <w:rsid w:val="005D41D8"/>
    <w:rsid w:val="005D6213"/>
    <w:rsid w:val="005D7EB2"/>
    <w:rsid w:val="005E0B11"/>
    <w:rsid w:val="005E1366"/>
    <w:rsid w:val="005E2DD0"/>
    <w:rsid w:val="005E33B4"/>
    <w:rsid w:val="005E3D8F"/>
    <w:rsid w:val="005E509A"/>
    <w:rsid w:val="005E6679"/>
    <w:rsid w:val="005E684D"/>
    <w:rsid w:val="005E6952"/>
    <w:rsid w:val="005E6D42"/>
    <w:rsid w:val="005E7192"/>
    <w:rsid w:val="005E73AC"/>
    <w:rsid w:val="005E7FF1"/>
    <w:rsid w:val="005F038B"/>
    <w:rsid w:val="005F1EC2"/>
    <w:rsid w:val="005F2410"/>
    <w:rsid w:val="005F2B6B"/>
    <w:rsid w:val="005F2E8D"/>
    <w:rsid w:val="005F3FAD"/>
    <w:rsid w:val="005F48ED"/>
    <w:rsid w:val="005F6615"/>
    <w:rsid w:val="005F7C4E"/>
    <w:rsid w:val="0060036C"/>
    <w:rsid w:val="006020A9"/>
    <w:rsid w:val="0060268A"/>
    <w:rsid w:val="00602B94"/>
    <w:rsid w:val="00602EF3"/>
    <w:rsid w:val="006033DC"/>
    <w:rsid w:val="006040B8"/>
    <w:rsid w:val="0060464E"/>
    <w:rsid w:val="00605D61"/>
    <w:rsid w:val="0060604A"/>
    <w:rsid w:val="00606913"/>
    <w:rsid w:val="00606E1F"/>
    <w:rsid w:val="00606E78"/>
    <w:rsid w:val="006074B4"/>
    <w:rsid w:val="00607BF1"/>
    <w:rsid w:val="00607C73"/>
    <w:rsid w:val="00607D74"/>
    <w:rsid w:val="00610168"/>
    <w:rsid w:val="00610E9C"/>
    <w:rsid w:val="00611E4C"/>
    <w:rsid w:val="00611E79"/>
    <w:rsid w:val="006122C7"/>
    <w:rsid w:val="006130A8"/>
    <w:rsid w:val="006130C2"/>
    <w:rsid w:val="00613669"/>
    <w:rsid w:val="0061367D"/>
    <w:rsid w:val="006158E6"/>
    <w:rsid w:val="00615FE6"/>
    <w:rsid w:val="0061643F"/>
    <w:rsid w:val="00616F84"/>
    <w:rsid w:val="00620895"/>
    <w:rsid w:val="00621387"/>
    <w:rsid w:val="006213F3"/>
    <w:rsid w:val="006215CC"/>
    <w:rsid w:val="00622E0A"/>
    <w:rsid w:val="006237B8"/>
    <w:rsid w:val="00623A42"/>
    <w:rsid w:val="0062492C"/>
    <w:rsid w:val="00625FC4"/>
    <w:rsid w:val="006271B6"/>
    <w:rsid w:val="00627221"/>
    <w:rsid w:val="0063084A"/>
    <w:rsid w:val="00630D4D"/>
    <w:rsid w:val="00630DD3"/>
    <w:rsid w:val="00631A86"/>
    <w:rsid w:val="0063219B"/>
    <w:rsid w:val="00632A74"/>
    <w:rsid w:val="00634FC1"/>
    <w:rsid w:val="00635428"/>
    <w:rsid w:val="0063575A"/>
    <w:rsid w:val="00637AB9"/>
    <w:rsid w:val="00640E28"/>
    <w:rsid w:val="0064209A"/>
    <w:rsid w:val="00643DAF"/>
    <w:rsid w:val="006441C6"/>
    <w:rsid w:val="00644C66"/>
    <w:rsid w:val="006450A0"/>
    <w:rsid w:val="006454BC"/>
    <w:rsid w:val="0064748D"/>
    <w:rsid w:val="006477D0"/>
    <w:rsid w:val="00651017"/>
    <w:rsid w:val="00651683"/>
    <w:rsid w:val="00653161"/>
    <w:rsid w:val="00654D42"/>
    <w:rsid w:val="006555E5"/>
    <w:rsid w:val="00656C6F"/>
    <w:rsid w:val="00660EA0"/>
    <w:rsid w:val="00663D98"/>
    <w:rsid w:val="00665F53"/>
    <w:rsid w:val="00666E02"/>
    <w:rsid w:val="006678DF"/>
    <w:rsid w:val="00670ED9"/>
    <w:rsid w:val="006722A8"/>
    <w:rsid w:val="0067240B"/>
    <w:rsid w:val="00672683"/>
    <w:rsid w:val="00672832"/>
    <w:rsid w:val="00672A25"/>
    <w:rsid w:val="00673D89"/>
    <w:rsid w:val="00674B5B"/>
    <w:rsid w:val="00674D94"/>
    <w:rsid w:val="0067589A"/>
    <w:rsid w:val="00676298"/>
    <w:rsid w:val="0067652B"/>
    <w:rsid w:val="00680C37"/>
    <w:rsid w:val="006813B0"/>
    <w:rsid w:val="00681A9A"/>
    <w:rsid w:val="00685A23"/>
    <w:rsid w:val="00685B67"/>
    <w:rsid w:val="00685FB0"/>
    <w:rsid w:val="00687025"/>
    <w:rsid w:val="00687D4F"/>
    <w:rsid w:val="0069006E"/>
    <w:rsid w:val="006908A6"/>
    <w:rsid w:val="006909AC"/>
    <w:rsid w:val="00691312"/>
    <w:rsid w:val="00693812"/>
    <w:rsid w:val="006942EB"/>
    <w:rsid w:val="00694CFE"/>
    <w:rsid w:val="006951A6"/>
    <w:rsid w:val="00695E7F"/>
    <w:rsid w:val="0069629F"/>
    <w:rsid w:val="006974DD"/>
    <w:rsid w:val="006A0561"/>
    <w:rsid w:val="006A0AC8"/>
    <w:rsid w:val="006A0F2F"/>
    <w:rsid w:val="006A1101"/>
    <w:rsid w:val="006A11C4"/>
    <w:rsid w:val="006A1444"/>
    <w:rsid w:val="006A1C62"/>
    <w:rsid w:val="006A1FD4"/>
    <w:rsid w:val="006A2957"/>
    <w:rsid w:val="006A36D1"/>
    <w:rsid w:val="006A3F21"/>
    <w:rsid w:val="006A4019"/>
    <w:rsid w:val="006A4655"/>
    <w:rsid w:val="006A53A7"/>
    <w:rsid w:val="006A598B"/>
    <w:rsid w:val="006A6371"/>
    <w:rsid w:val="006A6585"/>
    <w:rsid w:val="006A70C7"/>
    <w:rsid w:val="006A75D7"/>
    <w:rsid w:val="006A79CF"/>
    <w:rsid w:val="006B1051"/>
    <w:rsid w:val="006B2B3C"/>
    <w:rsid w:val="006B2B3F"/>
    <w:rsid w:val="006B32C2"/>
    <w:rsid w:val="006B3609"/>
    <w:rsid w:val="006B3A8F"/>
    <w:rsid w:val="006B4CE0"/>
    <w:rsid w:val="006B5B18"/>
    <w:rsid w:val="006B6AEE"/>
    <w:rsid w:val="006B78F9"/>
    <w:rsid w:val="006B7BF4"/>
    <w:rsid w:val="006C1D81"/>
    <w:rsid w:val="006C2CAB"/>
    <w:rsid w:val="006C3452"/>
    <w:rsid w:val="006C34DF"/>
    <w:rsid w:val="006C3D43"/>
    <w:rsid w:val="006C4A95"/>
    <w:rsid w:val="006C548D"/>
    <w:rsid w:val="006C6BE3"/>
    <w:rsid w:val="006C7038"/>
    <w:rsid w:val="006C755F"/>
    <w:rsid w:val="006D0A39"/>
    <w:rsid w:val="006D141A"/>
    <w:rsid w:val="006D18C7"/>
    <w:rsid w:val="006D34F7"/>
    <w:rsid w:val="006D520D"/>
    <w:rsid w:val="006E1C3E"/>
    <w:rsid w:val="006E2578"/>
    <w:rsid w:val="006E391C"/>
    <w:rsid w:val="006E46FD"/>
    <w:rsid w:val="006E4A4D"/>
    <w:rsid w:val="006E5AFC"/>
    <w:rsid w:val="006E73EF"/>
    <w:rsid w:val="006F0899"/>
    <w:rsid w:val="006F0B5B"/>
    <w:rsid w:val="006F15CF"/>
    <w:rsid w:val="006F2119"/>
    <w:rsid w:val="006F2169"/>
    <w:rsid w:val="006F2840"/>
    <w:rsid w:val="006F380A"/>
    <w:rsid w:val="006F4843"/>
    <w:rsid w:val="006F5B5F"/>
    <w:rsid w:val="006F74E7"/>
    <w:rsid w:val="006F7E09"/>
    <w:rsid w:val="0070087A"/>
    <w:rsid w:val="00700AC1"/>
    <w:rsid w:val="007012B4"/>
    <w:rsid w:val="007013BF"/>
    <w:rsid w:val="00701DF1"/>
    <w:rsid w:val="0070384C"/>
    <w:rsid w:val="00703A22"/>
    <w:rsid w:val="00707570"/>
    <w:rsid w:val="007075ED"/>
    <w:rsid w:val="007079C9"/>
    <w:rsid w:val="00712224"/>
    <w:rsid w:val="00712C6B"/>
    <w:rsid w:val="00714D4D"/>
    <w:rsid w:val="00714F10"/>
    <w:rsid w:val="0071536A"/>
    <w:rsid w:val="00716108"/>
    <w:rsid w:val="007178D5"/>
    <w:rsid w:val="00717E43"/>
    <w:rsid w:val="00720F79"/>
    <w:rsid w:val="00721BEB"/>
    <w:rsid w:val="00721CDA"/>
    <w:rsid w:val="00725387"/>
    <w:rsid w:val="007257C0"/>
    <w:rsid w:val="007266D3"/>
    <w:rsid w:val="007271BB"/>
    <w:rsid w:val="00727277"/>
    <w:rsid w:val="0073071C"/>
    <w:rsid w:val="0073080D"/>
    <w:rsid w:val="00731488"/>
    <w:rsid w:val="00732029"/>
    <w:rsid w:val="00732AE9"/>
    <w:rsid w:val="0073459D"/>
    <w:rsid w:val="00735BB2"/>
    <w:rsid w:val="007366C5"/>
    <w:rsid w:val="007375E7"/>
    <w:rsid w:val="00742ABE"/>
    <w:rsid w:val="00742BDC"/>
    <w:rsid w:val="00743420"/>
    <w:rsid w:val="007438FC"/>
    <w:rsid w:val="00743B71"/>
    <w:rsid w:val="00744268"/>
    <w:rsid w:val="0074617A"/>
    <w:rsid w:val="0074687F"/>
    <w:rsid w:val="00746BFF"/>
    <w:rsid w:val="00750111"/>
    <w:rsid w:val="007507D4"/>
    <w:rsid w:val="00750942"/>
    <w:rsid w:val="00750EDD"/>
    <w:rsid w:val="00752DFA"/>
    <w:rsid w:val="00752EE9"/>
    <w:rsid w:val="00753CE6"/>
    <w:rsid w:val="007540D5"/>
    <w:rsid w:val="007548A0"/>
    <w:rsid w:val="00755422"/>
    <w:rsid w:val="007556D0"/>
    <w:rsid w:val="00756646"/>
    <w:rsid w:val="00756691"/>
    <w:rsid w:val="0075735D"/>
    <w:rsid w:val="00757CDB"/>
    <w:rsid w:val="007604BB"/>
    <w:rsid w:val="00763522"/>
    <w:rsid w:val="00764044"/>
    <w:rsid w:val="0076436D"/>
    <w:rsid w:val="0076573D"/>
    <w:rsid w:val="00766082"/>
    <w:rsid w:val="00766C83"/>
    <w:rsid w:val="007672C4"/>
    <w:rsid w:val="007674CE"/>
    <w:rsid w:val="00770152"/>
    <w:rsid w:val="00770AF1"/>
    <w:rsid w:val="00772909"/>
    <w:rsid w:val="007730F8"/>
    <w:rsid w:val="007739A0"/>
    <w:rsid w:val="00774728"/>
    <w:rsid w:val="00775027"/>
    <w:rsid w:val="007754B1"/>
    <w:rsid w:val="00775DFF"/>
    <w:rsid w:val="0077680B"/>
    <w:rsid w:val="00777787"/>
    <w:rsid w:val="00777E36"/>
    <w:rsid w:val="00780414"/>
    <w:rsid w:val="007813E5"/>
    <w:rsid w:val="00781A6F"/>
    <w:rsid w:val="00781D9D"/>
    <w:rsid w:val="00783FB7"/>
    <w:rsid w:val="00784187"/>
    <w:rsid w:val="00785232"/>
    <w:rsid w:val="007867EF"/>
    <w:rsid w:val="007877D0"/>
    <w:rsid w:val="007878C1"/>
    <w:rsid w:val="00787B90"/>
    <w:rsid w:val="00790EF7"/>
    <w:rsid w:val="00791CA6"/>
    <w:rsid w:val="00791D28"/>
    <w:rsid w:val="00793463"/>
    <w:rsid w:val="00793D45"/>
    <w:rsid w:val="007949AA"/>
    <w:rsid w:val="007953B5"/>
    <w:rsid w:val="0079701E"/>
    <w:rsid w:val="0079778D"/>
    <w:rsid w:val="007A08F3"/>
    <w:rsid w:val="007A0E21"/>
    <w:rsid w:val="007A21EB"/>
    <w:rsid w:val="007A2583"/>
    <w:rsid w:val="007A2AA2"/>
    <w:rsid w:val="007A4753"/>
    <w:rsid w:val="007A4B11"/>
    <w:rsid w:val="007A66F3"/>
    <w:rsid w:val="007A711A"/>
    <w:rsid w:val="007A7648"/>
    <w:rsid w:val="007A7809"/>
    <w:rsid w:val="007A79AE"/>
    <w:rsid w:val="007B1146"/>
    <w:rsid w:val="007B11E7"/>
    <w:rsid w:val="007B1A93"/>
    <w:rsid w:val="007B2B4B"/>
    <w:rsid w:val="007B2E44"/>
    <w:rsid w:val="007B2ED7"/>
    <w:rsid w:val="007B3368"/>
    <w:rsid w:val="007B536F"/>
    <w:rsid w:val="007B579F"/>
    <w:rsid w:val="007B7EC9"/>
    <w:rsid w:val="007C00A6"/>
    <w:rsid w:val="007C0D52"/>
    <w:rsid w:val="007C2847"/>
    <w:rsid w:val="007C2DF1"/>
    <w:rsid w:val="007C36C9"/>
    <w:rsid w:val="007C3CAD"/>
    <w:rsid w:val="007C3EC4"/>
    <w:rsid w:val="007C430E"/>
    <w:rsid w:val="007C5062"/>
    <w:rsid w:val="007C50FF"/>
    <w:rsid w:val="007C6773"/>
    <w:rsid w:val="007C70E5"/>
    <w:rsid w:val="007C7209"/>
    <w:rsid w:val="007C7240"/>
    <w:rsid w:val="007C7FE4"/>
    <w:rsid w:val="007D0AD5"/>
    <w:rsid w:val="007D0BDD"/>
    <w:rsid w:val="007D1177"/>
    <w:rsid w:val="007D18EF"/>
    <w:rsid w:val="007D19B5"/>
    <w:rsid w:val="007D308B"/>
    <w:rsid w:val="007D348F"/>
    <w:rsid w:val="007D3EF7"/>
    <w:rsid w:val="007D5122"/>
    <w:rsid w:val="007D517F"/>
    <w:rsid w:val="007D547B"/>
    <w:rsid w:val="007D6401"/>
    <w:rsid w:val="007D6F4E"/>
    <w:rsid w:val="007D6FE1"/>
    <w:rsid w:val="007D7663"/>
    <w:rsid w:val="007E01E4"/>
    <w:rsid w:val="007E07CA"/>
    <w:rsid w:val="007E085A"/>
    <w:rsid w:val="007E1879"/>
    <w:rsid w:val="007E19E8"/>
    <w:rsid w:val="007E2B79"/>
    <w:rsid w:val="007E3F6E"/>
    <w:rsid w:val="007E4CC1"/>
    <w:rsid w:val="007E53BC"/>
    <w:rsid w:val="007E55BA"/>
    <w:rsid w:val="007E59D0"/>
    <w:rsid w:val="007E59E1"/>
    <w:rsid w:val="007E653D"/>
    <w:rsid w:val="007E7305"/>
    <w:rsid w:val="007E7A12"/>
    <w:rsid w:val="007F003B"/>
    <w:rsid w:val="007F015F"/>
    <w:rsid w:val="007F065C"/>
    <w:rsid w:val="007F2271"/>
    <w:rsid w:val="007F29BE"/>
    <w:rsid w:val="007F3507"/>
    <w:rsid w:val="007F4A7A"/>
    <w:rsid w:val="007F4D10"/>
    <w:rsid w:val="007F582E"/>
    <w:rsid w:val="007F5E12"/>
    <w:rsid w:val="007F67CC"/>
    <w:rsid w:val="007F7107"/>
    <w:rsid w:val="0080036C"/>
    <w:rsid w:val="00800D4C"/>
    <w:rsid w:val="0080370B"/>
    <w:rsid w:val="008037C8"/>
    <w:rsid w:val="0080441B"/>
    <w:rsid w:val="00804843"/>
    <w:rsid w:val="00804E11"/>
    <w:rsid w:val="00805C58"/>
    <w:rsid w:val="008062DD"/>
    <w:rsid w:val="00806D39"/>
    <w:rsid w:val="00806FF4"/>
    <w:rsid w:val="00807407"/>
    <w:rsid w:val="0081030F"/>
    <w:rsid w:val="008109F3"/>
    <w:rsid w:val="00811B8B"/>
    <w:rsid w:val="0081257F"/>
    <w:rsid w:val="008129E1"/>
    <w:rsid w:val="00812EF0"/>
    <w:rsid w:val="00812F4A"/>
    <w:rsid w:val="008135C8"/>
    <w:rsid w:val="00813B04"/>
    <w:rsid w:val="00813BE5"/>
    <w:rsid w:val="00813F00"/>
    <w:rsid w:val="0081428C"/>
    <w:rsid w:val="00814A5F"/>
    <w:rsid w:val="00815D5E"/>
    <w:rsid w:val="008162D0"/>
    <w:rsid w:val="00817BCD"/>
    <w:rsid w:val="0082087D"/>
    <w:rsid w:val="00820D2C"/>
    <w:rsid w:val="008210C5"/>
    <w:rsid w:val="00822172"/>
    <w:rsid w:val="00822979"/>
    <w:rsid w:val="00822DCF"/>
    <w:rsid w:val="008232BB"/>
    <w:rsid w:val="00823CAC"/>
    <w:rsid w:val="00823FAA"/>
    <w:rsid w:val="00824854"/>
    <w:rsid w:val="008249CF"/>
    <w:rsid w:val="00824A85"/>
    <w:rsid w:val="00825DD1"/>
    <w:rsid w:val="0082622A"/>
    <w:rsid w:val="0082667C"/>
    <w:rsid w:val="00827324"/>
    <w:rsid w:val="00827E4A"/>
    <w:rsid w:val="008315B6"/>
    <w:rsid w:val="008321B7"/>
    <w:rsid w:val="008324A8"/>
    <w:rsid w:val="008346F9"/>
    <w:rsid w:val="00835771"/>
    <w:rsid w:val="0083628A"/>
    <w:rsid w:val="00836DE4"/>
    <w:rsid w:val="00837482"/>
    <w:rsid w:val="00837B5B"/>
    <w:rsid w:val="00837E2D"/>
    <w:rsid w:val="008401E7"/>
    <w:rsid w:val="00840AE1"/>
    <w:rsid w:val="00842033"/>
    <w:rsid w:val="00842815"/>
    <w:rsid w:val="00842933"/>
    <w:rsid w:val="00842ABE"/>
    <w:rsid w:val="00844533"/>
    <w:rsid w:val="00844841"/>
    <w:rsid w:val="00844EEC"/>
    <w:rsid w:val="008456D3"/>
    <w:rsid w:val="00845A52"/>
    <w:rsid w:val="00851AEE"/>
    <w:rsid w:val="008536D6"/>
    <w:rsid w:val="00853AF8"/>
    <w:rsid w:val="00854063"/>
    <w:rsid w:val="00857F11"/>
    <w:rsid w:val="0086082C"/>
    <w:rsid w:val="00861C76"/>
    <w:rsid w:val="00861F12"/>
    <w:rsid w:val="00862699"/>
    <w:rsid w:val="00862AF4"/>
    <w:rsid w:val="00863E49"/>
    <w:rsid w:val="0086404C"/>
    <w:rsid w:val="00864ADC"/>
    <w:rsid w:val="00865559"/>
    <w:rsid w:val="008657B4"/>
    <w:rsid w:val="00866069"/>
    <w:rsid w:val="00867673"/>
    <w:rsid w:val="008705F6"/>
    <w:rsid w:val="008707C6"/>
    <w:rsid w:val="0087132D"/>
    <w:rsid w:val="008713A8"/>
    <w:rsid w:val="00871B5F"/>
    <w:rsid w:val="00872AE4"/>
    <w:rsid w:val="00872C74"/>
    <w:rsid w:val="0087333A"/>
    <w:rsid w:val="008736EE"/>
    <w:rsid w:val="008755E9"/>
    <w:rsid w:val="00876906"/>
    <w:rsid w:val="00876DA8"/>
    <w:rsid w:val="00877209"/>
    <w:rsid w:val="008776B9"/>
    <w:rsid w:val="00880153"/>
    <w:rsid w:val="008803EE"/>
    <w:rsid w:val="0088065F"/>
    <w:rsid w:val="00880F97"/>
    <w:rsid w:val="00881317"/>
    <w:rsid w:val="0088133A"/>
    <w:rsid w:val="008815DB"/>
    <w:rsid w:val="00883425"/>
    <w:rsid w:val="00884A4D"/>
    <w:rsid w:val="00884E28"/>
    <w:rsid w:val="008865F4"/>
    <w:rsid w:val="0088677F"/>
    <w:rsid w:val="008867DC"/>
    <w:rsid w:val="00886993"/>
    <w:rsid w:val="008869D0"/>
    <w:rsid w:val="008905BF"/>
    <w:rsid w:val="00890922"/>
    <w:rsid w:val="00890AB1"/>
    <w:rsid w:val="00891602"/>
    <w:rsid w:val="0089285E"/>
    <w:rsid w:val="00892CE0"/>
    <w:rsid w:val="00893240"/>
    <w:rsid w:val="008933C0"/>
    <w:rsid w:val="00893AD4"/>
    <w:rsid w:val="0089436C"/>
    <w:rsid w:val="008949BC"/>
    <w:rsid w:val="00896760"/>
    <w:rsid w:val="00896C62"/>
    <w:rsid w:val="00897076"/>
    <w:rsid w:val="008A0A21"/>
    <w:rsid w:val="008A0E5A"/>
    <w:rsid w:val="008A12E7"/>
    <w:rsid w:val="008A1CB9"/>
    <w:rsid w:val="008A2817"/>
    <w:rsid w:val="008A2F63"/>
    <w:rsid w:val="008A2FA9"/>
    <w:rsid w:val="008A32BF"/>
    <w:rsid w:val="008A3D6D"/>
    <w:rsid w:val="008A417B"/>
    <w:rsid w:val="008A54B6"/>
    <w:rsid w:val="008A6A5B"/>
    <w:rsid w:val="008A742D"/>
    <w:rsid w:val="008B0763"/>
    <w:rsid w:val="008B2DBD"/>
    <w:rsid w:val="008B43CF"/>
    <w:rsid w:val="008B5147"/>
    <w:rsid w:val="008B64FA"/>
    <w:rsid w:val="008B76F7"/>
    <w:rsid w:val="008B78F6"/>
    <w:rsid w:val="008C0120"/>
    <w:rsid w:val="008C0BB8"/>
    <w:rsid w:val="008C13E2"/>
    <w:rsid w:val="008C1978"/>
    <w:rsid w:val="008C2579"/>
    <w:rsid w:val="008C2B4A"/>
    <w:rsid w:val="008C49C3"/>
    <w:rsid w:val="008C6C4F"/>
    <w:rsid w:val="008C6FA8"/>
    <w:rsid w:val="008C7B1B"/>
    <w:rsid w:val="008D0101"/>
    <w:rsid w:val="008D021F"/>
    <w:rsid w:val="008D0422"/>
    <w:rsid w:val="008D0B1F"/>
    <w:rsid w:val="008D1C72"/>
    <w:rsid w:val="008D26DB"/>
    <w:rsid w:val="008D365C"/>
    <w:rsid w:val="008D464F"/>
    <w:rsid w:val="008D570E"/>
    <w:rsid w:val="008D6F15"/>
    <w:rsid w:val="008D7622"/>
    <w:rsid w:val="008D7FDB"/>
    <w:rsid w:val="008E0F95"/>
    <w:rsid w:val="008E1765"/>
    <w:rsid w:val="008E1B7D"/>
    <w:rsid w:val="008E1FB6"/>
    <w:rsid w:val="008E2666"/>
    <w:rsid w:val="008E279C"/>
    <w:rsid w:val="008E387D"/>
    <w:rsid w:val="008E38F5"/>
    <w:rsid w:val="008E3BE2"/>
    <w:rsid w:val="008E6FBB"/>
    <w:rsid w:val="008E7491"/>
    <w:rsid w:val="008F01D1"/>
    <w:rsid w:val="008F0706"/>
    <w:rsid w:val="008F0DED"/>
    <w:rsid w:val="008F187B"/>
    <w:rsid w:val="008F1900"/>
    <w:rsid w:val="008F1D72"/>
    <w:rsid w:val="008F2340"/>
    <w:rsid w:val="008F2910"/>
    <w:rsid w:val="008F38DC"/>
    <w:rsid w:val="008F41DE"/>
    <w:rsid w:val="008F617F"/>
    <w:rsid w:val="009004A3"/>
    <w:rsid w:val="00900D7C"/>
    <w:rsid w:val="009010B2"/>
    <w:rsid w:val="009014BF"/>
    <w:rsid w:val="00901553"/>
    <w:rsid w:val="00901F6D"/>
    <w:rsid w:val="009021A6"/>
    <w:rsid w:val="009030BF"/>
    <w:rsid w:val="00903B52"/>
    <w:rsid w:val="00903D30"/>
    <w:rsid w:val="00903D90"/>
    <w:rsid w:val="009041A4"/>
    <w:rsid w:val="00904276"/>
    <w:rsid w:val="0090450D"/>
    <w:rsid w:val="00905400"/>
    <w:rsid w:val="00905C0D"/>
    <w:rsid w:val="00905CAF"/>
    <w:rsid w:val="00905D25"/>
    <w:rsid w:val="00905FCD"/>
    <w:rsid w:val="0091032F"/>
    <w:rsid w:val="00910FC2"/>
    <w:rsid w:val="00911313"/>
    <w:rsid w:val="00912482"/>
    <w:rsid w:val="00912826"/>
    <w:rsid w:val="00912D55"/>
    <w:rsid w:val="00912F35"/>
    <w:rsid w:val="0091329E"/>
    <w:rsid w:val="00914368"/>
    <w:rsid w:val="00916268"/>
    <w:rsid w:val="0092023D"/>
    <w:rsid w:val="00920676"/>
    <w:rsid w:val="00923003"/>
    <w:rsid w:val="00923732"/>
    <w:rsid w:val="009248CC"/>
    <w:rsid w:val="009257B3"/>
    <w:rsid w:val="00925A42"/>
    <w:rsid w:val="00927481"/>
    <w:rsid w:val="00927677"/>
    <w:rsid w:val="00927F6E"/>
    <w:rsid w:val="00930137"/>
    <w:rsid w:val="00931076"/>
    <w:rsid w:val="009313B2"/>
    <w:rsid w:val="009329D2"/>
    <w:rsid w:val="00933EB3"/>
    <w:rsid w:val="009345D9"/>
    <w:rsid w:val="00934B15"/>
    <w:rsid w:val="00935994"/>
    <w:rsid w:val="00935F0A"/>
    <w:rsid w:val="00936CD8"/>
    <w:rsid w:val="009379C7"/>
    <w:rsid w:val="00940C87"/>
    <w:rsid w:val="00941C7B"/>
    <w:rsid w:val="00942B62"/>
    <w:rsid w:val="0094358C"/>
    <w:rsid w:val="00943BE6"/>
    <w:rsid w:val="0094444F"/>
    <w:rsid w:val="009449DD"/>
    <w:rsid w:val="0094521B"/>
    <w:rsid w:val="00945272"/>
    <w:rsid w:val="009452AD"/>
    <w:rsid w:val="0094552B"/>
    <w:rsid w:val="00945AFE"/>
    <w:rsid w:val="00945DD6"/>
    <w:rsid w:val="009464CA"/>
    <w:rsid w:val="0094678F"/>
    <w:rsid w:val="00946D24"/>
    <w:rsid w:val="0094747F"/>
    <w:rsid w:val="00950133"/>
    <w:rsid w:val="00950370"/>
    <w:rsid w:val="009514C6"/>
    <w:rsid w:val="00951D97"/>
    <w:rsid w:val="0095323B"/>
    <w:rsid w:val="00955135"/>
    <w:rsid w:val="00955F30"/>
    <w:rsid w:val="009562C9"/>
    <w:rsid w:val="00956959"/>
    <w:rsid w:val="00956A0C"/>
    <w:rsid w:val="00956BD9"/>
    <w:rsid w:val="00956D9B"/>
    <w:rsid w:val="009576C9"/>
    <w:rsid w:val="00962489"/>
    <w:rsid w:val="00962F5C"/>
    <w:rsid w:val="00962FFA"/>
    <w:rsid w:val="009636C7"/>
    <w:rsid w:val="00964F2B"/>
    <w:rsid w:val="00965088"/>
    <w:rsid w:val="0096529C"/>
    <w:rsid w:val="009668F6"/>
    <w:rsid w:val="0096763E"/>
    <w:rsid w:val="00967AF8"/>
    <w:rsid w:val="00967CD3"/>
    <w:rsid w:val="0097251C"/>
    <w:rsid w:val="00974E73"/>
    <w:rsid w:val="00975116"/>
    <w:rsid w:val="009760F9"/>
    <w:rsid w:val="00976550"/>
    <w:rsid w:val="00977659"/>
    <w:rsid w:val="00977B87"/>
    <w:rsid w:val="0098010F"/>
    <w:rsid w:val="00980232"/>
    <w:rsid w:val="009807B2"/>
    <w:rsid w:val="00981162"/>
    <w:rsid w:val="00981670"/>
    <w:rsid w:val="00982FDA"/>
    <w:rsid w:val="00983360"/>
    <w:rsid w:val="00983683"/>
    <w:rsid w:val="00983D45"/>
    <w:rsid w:val="00983E0E"/>
    <w:rsid w:val="00983EF6"/>
    <w:rsid w:val="00984251"/>
    <w:rsid w:val="00984DFE"/>
    <w:rsid w:val="00986064"/>
    <w:rsid w:val="009869AF"/>
    <w:rsid w:val="00987388"/>
    <w:rsid w:val="00987D92"/>
    <w:rsid w:val="009908E2"/>
    <w:rsid w:val="00990C2C"/>
    <w:rsid w:val="0099155E"/>
    <w:rsid w:val="009917B0"/>
    <w:rsid w:val="009918A7"/>
    <w:rsid w:val="00991F07"/>
    <w:rsid w:val="00991FE4"/>
    <w:rsid w:val="0099226A"/>
    <w:rsid w:val="00992581"/>
    <w:rsid w:val="009934EE"/>
    <w:rsid w:val="00993856"/>
    <w:rsid w:val="009939CC"/>
    <w:rsid w:val="0099465C"/>
    <w:rsid w:val="00995753"/>
    <w:rsid w:val="00995BD0"/>
    <w:rsid w:val="00995CA1"/>
    <w:rsid w:val="00995E03"/>
    <w:rsid w:val="009969E3"/>
    <w:rsid w:val="009A0D59"/>
    <w:rsid w:val="009A1002"/>
    <w:rsid w:val="009A1533"/>
    <w:rsid w:val="009A1AF1"/>
    <w:rsid w:val="009A2053"/>
    <w:rsid w:val="009A238C"/>
    <w:rsid w:val="009A2A46"/>
    <w:rsid w:val="009A5171"/>
    <w:rsid w:val="009A5CE6"/>
    <w:rsid w:val="009A5D3C"/>
    <w:rsid w:val="009A64B2"/>
    <w:rsid w:val="009A66B1"/>
    <w:rsid w:val="009A69EC"/>
    <w:rsid w:val="009B0382"/>
    <w:rsid w:val="009B0482"/>
    <w:rsid w:val="009B1295"/>
    <w:rsid w:val="009B1685"/>
    <w:rsid w:val="009B268A"/>
    <w:rsid w:val="009B49F0"/>
    <w:rsid w:val="009B614E"/>
    <w:rsid w:val="009B7E20"/>
    <w:rsid w:val="009C03C6"/>
    <w:rsid w:val="009C058E"/>
    <w:rsid w:val="009C0BA7"/>
    <w:rsid w:val="009C0BB6"/>
    <w:rsid w:val="009C17EC"/>
    <w:rsid w:val="009C19CC"/>
    <w:rsid w:val="009C1A74"/>
    <w:rsid w:val="009C2703"/>
    <w:rsid w:val="009C2BA4"/>
    <w:rsid w:val="009C36B2"/>
    <w:rsid w:val="009C3F0E"/>
    <w:rsid w:val="009C530C"/>
    <w:rsid w:val="009C53AE"/>
    <w:rsid w:val="009C5B13"/>
    <w:rsid w:val="009C5C49"/>
    <w:rsid w:val="009D0016"/>
    <w:rsid w:val="009D02D4"/>
    <w:rsid w:val="009D1BBB"/>
    <w:rsid w:val="009D1FD2"/>
    <w:rsid w:val="009D4382"/>
    <w:rsid w:val="009D5161"/>
    <w:rsid w:val="009D6DBC"/>
    <w:rsid w:val="009D76EB"/>
    <w:rsid w:val="009E00EF"/>
    <w:rsid w:val="009E0B83"/>
    <w:rsid w:val="009E0FDA"/>
    <w:rsid w:val="009E1717"/>
    <w:rsid w:val="009E1844"/>
    <w:rsid w:val="009E2B22"/>
    <w:rsid w:val="009E2ED9"/>
    <w:rsid w:val="009E3CD9"/>
    <w:rsid w:val="009E42F0"/>
    <w:rsid w:val="009E448C"/>
    <w:rsid w:val="009E567B"/>
    <w:rsid w:val="009E6ECF"/>
    <w:rsid w:val="009E778B"/>
    <w:rsid w:val="009E7DDB"/>
    <w:rsid w:val="009F0833"/>
    <w:rsid w:val="009F0B86"/>
    <w:rsid w:val="009F0D1B"/>
    <w:rsid w:val="009F10F3"/>
    <w:rsid w:val="009F1D5C"/>
    <w:rsid w:val="009F2107"/>
    <w:rsid w:val="009F2252"/>
    <w:rsid w:val="009F2630"/>
    <w:rsid w:val="009F3182"/>
    <w:rsid w:val="009F390F"/>
    <w:rsid w:val="009F40A2"/>
    <w:rsid w:val="009F41F1"/>
    <w:rsid w:val="009F5BBD"/>
    <w:rsid w:val="009F6175"/>
    <w:rsid w:val="009F696D"/>
    <w:rsid w:val="009F6BC6"/>
    <w:rsid w:val="009F74EF"/>
    <w:rsid w:val="009F7629"/>
    <w:rsid w:val="00A005DC"/>
    <w:rsid w:val="00A014EF"/>
    <w:rsid w:val="00A01FC3"/>
    <w:rsid w:val="00A02480"/>
    <w:rsid w:val="00A02826"/>
    <w:rsid w:val="00A03CD4"/>
    <w:rsid w:val="00A0524A"/>
    <w:rsid w:val="00A07D1E"/>
    <w:rsid w:val="00A1000C"/>
    <w:rsid w:val="00A11307"/>
    <w:rsid w:val="00A11E0C"/>
    <w:rsid w:val="00A129C7"/>
    <w:rsid w:val="00A137E2"/>
    <w:rsid w:val="00A1523E"/>
    <w:rsid w:val="00A15D5A"/>
    <w:rsid w:val="00A15E69"/>
    <w:rsid w:val="00A170E0"/>
    <w:rsid w:val="00A17328"/>
    <w:rsid w:val="00A1778C"/>
    <w:rsid w:val="00A20391"/>
    <w:rsid w:val="00A2153B"/>
    <w:rsid w:val="00A2311E"/>
    <w:rsid w:val="00A239CB"/>
    <w:rsid w:val="00A23A20"/>
    <w:rsid w:val="00A23C20"/>
    <w:rsid w:val="00A23F08"/>
    <w:rsid w:val="00A2404F"/>
    <w:rsid w:val="00A24443"/>
    <w:rsid w:val="00A24AAF"/>
    <w:rsid w:val="00A26342"/>
    <w:rsid w:val="00A263AE"/>
    <w:rsid w:val="00A268B9"/>
    <w:rsid w:val="00A2703A"/>
    <w:rsid w:val="00A270BB"/>
    <w:rsid w:val="00A3124F"/>
    <w:rsid w:val="00A32160"/>
    <w:rsid w:val="00A32681"/>
    <w:rsid w:val="00A32E9D"/>
    <w:rsid w:val="00A33856"/>
    <w:rsid w:val="00A33DFF"/>
    <w:rsid w:val="00A33F56"/>
    <w:rsid w:val="00A34CA5"/>
    <w:rsid w:val="00A35115"/>
    <w:rsid w:val="00A36D8A"/>
    <w:rsid w:val="00A36D9A"/>
    <w:rsid w:val="00A3719F"/>
    <w:rsid w:val="00A4243F"/>
    <w:rsid w:val="00A43A60"/>
    <w:rsid w:val="00A4433F"/>
    <w:rsid w:val="00A4446A"/>
    <w:rsid w:val="00A451DC"/>
    <w:rsid w:val="00A45533"/>
    <w:rsid w:val="00A46C46"/>
    <w:rsid w:val="00A46D9C"/>
    <w:rsid w:val="00A4728A"/>
    <w:rsid w:val="00A501BA"/>
    <w:rsid w:val="00A50EBD"/>
    <w:rsid w:val="00A51AC5"/>
    <w:rsid w:val="00A522D8"/>
    <w:rsid w:val="00A53BA3"/>
    <w:rsid w:val="00A53BCD"/>
    <w:rsid w:val="00A5465F"/>
    <w:rsid w:val="00A54F21"/>
    <w:rsid w:val="00A554AB"/>
    <w:rsid w:val="00A55B41"/>
    <w:rsid w:val="00A55E7A"/>
    <w:rsid w:val="00A57062"/>
    <w:rsid w:val="00A57374"/>
    <w:rsid w:val="00A57A2B"/>
    <w:rsid w:val="00A57E9B"/>
    <w:rsid w:val="00A57F1A"/>
    <w:rsid w:val="00A601FC"/>
    <w:rsid w:val="00A6127F"/>
    <w:rsid w:val="00A61B5F"/>
    <w:rsid w:val="00A61F72"/>
    <w:rsid w:val="00A62220"/>
    <w:rsid w:val="00A63890"/>
    <w:rsid w:val="00A6491D"/>
    <w:rsid w:val="00A64CCE"/>
    <w:rsid w:val="00A65762"/>
    <w:rsid w:val="00A65CE7"/>
    <w:rsid w:val="00A67590"/>
    <w:rsid w:val="00A67781"/>
    <w:rsid w:val="00A6796F"/>
    <w:rsid w:val="00A67DFC"/>
    <w:rsid w:val="00A67F68"/>
    <w:rsid w:val="00A71922"/>
    <w:rsid w:val="00A71B52"/>
    <w:rsid w:val="00A7223B"/>
    <w:rsid w:val="00A72C7B"/>
    <w:rsid w:val="00A72E70"/>
    <w:rsid w:val="00A7312A"/>
    <w:rsid w:val="00A73438"/>
    <w:rsid w:val="00A736C7"/>
    <w:rsid w:val="00A73B9F"/>
    <w:rsid w:val="00A7502D"/>
    <w:rsid w:val="00A761D4"/>
    <w:rsid w:val="00A761F9"/>
    <w:rsid w:val="00A7640F"/>
    <w:rsid w:val="00A77336"/>
    <w:rsid w:val="00A77E5D"/>
    <w:rsid w:val="00A80118"/>
    <w:rsid w:val="00A810FD"/>
    <w:rsid w:val="00A81646"/>
    <w:rsid w:val="00A816CA"/>
    <w:rsid w:val="00A8234C"/>
    <w:rsid w:val="00A82AC4"/>
    <w:rsid w:val="00A8478F"/>
    <w:rsid w:val="00A908A5"/>
    <w:rsid w:val="00A90965"/>
    <w:rsid w:val="00A90BF1"/>
    <w:rsid w:val="00A90C2C"/>
    <w:rsid w:val="00A90FC4"/>
    <w:rsid w:val="00A92B53"/>
    <w:rsid w:val="00A92B8E"/>
    <w:rsid w:val="00A9395E"/>
    <w:rsid w:val="00A9445C"/>
    <w:rsid w:val="00A94B16"/>
    <w:rsid w:val="00A94FA6"/>
    <w:rsid w:val="00A95C0F"/>
    <w:rsid w:val="00A97277"/>
    <w:rsid w:val="00AA2150"/>
    <w:rsid w:val="00AA28AF"/>
    <w:rsid w:val="00AA2AFC"/>
    <w:rsid w:val="00AA2C0F"/>
    <w:rsid w:val="00AA3746"/>
    <w:rsid w:val="00AA387A"/>
    <w:rsid w:val="00AA3F34"/>
    <w:rsid w:val="00AA41EF"/>
    <w:rsid w:val="00AA45AC"/>
    <w:rsid w:val="00AA49A0"/>
    <w:rsid w:val="00AA54D2"/>
    <w:rsid w:val="00AA6710"/>
    <w:rsid w:val="00AA6933"/>
    <w:rsid w:val="00AA7CC6"/>
    <w:rsid w:val="00AB0681"/>
    <w:rsid w:val="00AB1257"/>
    <w:rsid w:val="00AB12F5"/>
    <w:rsid w:val="00AB26A5"/>
    <w:rsid w:val="00AB5122"/>
    <w:rsid w:val="00AB5F6E"/>
    <w:rsid w:val="00AB7029"/>
    <w:rsid w:val="00AB787D"/>
    <w:rsid w:val="00AC032E"/>
    <w:rsid w:val="00AC1485"/>
    <w:rsid w:val="00AC23A4"/>
    <w:rsid w:val="00AC3A15"/>
    <w:rsid w:val="00AC3ECB"/>
    <w:rsid w:val="00AC3EEB"/>
    <w:rsid w:val="00AC73AA"/>
    <w:rsid w:val="00AC7623"/>
    <w:rsid w:val="00AC76AC"/>
    <w:rsid w:val="00AD0D66"/>
    <w:rsid w:val="00AD1248"/>
    <w:rsid w:val="00AD27E9"/>
    <w:rsid w:val="00AD2E56"/>
    <w:rsid w:val="00AD3313"/>
    <w:rsid w:val="00AD36B7"/>
    <w:rsid w:val="00AD3999"/>
    <w:rsid w:val="00AD3D65"/>
    <w:rsid w:val="00AD4263"/>
    <w:rsid w:val="00AD4293"/>
    <w:rsid w:val="00AD520B"/>
    <w:rsid w:val="00AD5DA0"/>
    <w:rsid w:val="00AD6DF2"/>
    <w:rsid w:val="00AD702B"/>
    <w:rsid w:val="00AD77CF"/>
    <w:rsid w:val="00AE1109"/>
    <w:rsid w:val="00AE3BCC"/>
    <w:rsid w:val="00AE3F5D"/>
    <w:rsid w:val="00AE4228"/>
    <w:rsid w:val="00AE6437"/>
    <w:rsid w:val="00AE68CF"/>
    <w:rsid w:val="00AF000B"/>
    <w:rsid w:val="00AF0687"/>
    <w:rsid w:val="00AF2FAD"/>
    <w:rsid w:val="00AF30B3"/>
    <w:rsid w:val="00AF3155"/>
    <w:rsid w:val="00AF3EA1"/>
    <w:rsid w:val="00AF4822"/>
    <w:rsid w:val="00AF4F3B"/>
    <w:rsid w:val="00AF5909"/>
    <w:rsid w:val="00AF6FD8"/>
    <w:rsid w:val="00B00332"/>
    <w:rsid w:val="00B00F6B"/>
    <w:rsid w:val="00B03947"/>
    <w:rsid w:val="00B04617"/>
    <w:rsid w:val="00B06676"/>
    <w:rsid w:val="00B07060"/>
    <w:rsid w:val="00B1045C"/>
    <w:rsid w:val="00B11F09"/>
    <w:rsid w:val="00B13167"/>
    <w:rsid w:val="00B14FD3"/>
    <w:rsid w:val="00B15034"/>
    <w:rsid w:val="00B158B5"/>
    <w:rsid w:val="00B1626F"/>
    <w:rsid w:val="00B208D3"/>
    <w:rsid w:val="00B21A9D"/>
    <w:rsid w:val="00B22755"/>
    <w:rsid w:val="00B23D5C"/>
    <w:rsid w:val="00B24840"/>
    <w:rsid w:val="00B24906"/>
    <w:rsid w:val="00B252A5"/>
    <w:rsid w:val="00B25C9A"/>
    <w:rsid w:val="00B2630D"/>
    <w:rsid w:val="00B26E65"/>
    <w:rsid w:val="00B30F91"/>
    <w:rsid w:val="00B31072"/>
    <w:rsid w:val="00B312E8"/>
    <w:rsid w:val="00B318C1"/>
    <w:rsid w:val="00B31932"/>
    <w:rsid w:val="00B31B44"/>
    <w:rsid w:val="00B31F5D"/>
    <w:rsid w:val="00B32427"/>
    <w:rsid w:val="00B3287B"/>
    <w:rsid w:val="00B32E96"/>
    <w:rsid w:val="00B33B15"/>
    <w:rsid w:val="00B34759"/>
    <w:rsid w:val="00B34E2A"/>
    <w:rsid w:val="00B37E16"/>
    <w:rsid w:val="00B37E3F"/>
    <w:rsid w:val="00B40CB3"/>
    <w:rsid w:val="00B414FF"/>
    <w:rsid w:val="00B42035"/>
    <w:rsid w:val="00B42334"/>
    <w:rsid w:val="00B425C3"/>
    <w:rsid w:val="00B429CF"/>
    <w:rsid w:val="00B440AD"/>
    <w:rsid w:val="00B44134"/>
    <w:rsid w:val="00B44529"/>
    <w:rsid w:val="00B45465"/>
    <w:rsid w:val="00B45F14"/>
    <w:rsid w:val="00B461DD"/>
    <w:rsid w:val="00B46211"/>
    <w:rsid w:val="00B479BB"/>
    <w:rsid w:val="00B47D25"/>
    <w:rsid w:val="00B50560"/>
    <w:rsid w:val="00B512A5"/>
    <w:rsid w:val="00B52E8A"/>
    <w:rsid w:val="00B53E7E"/>
    <w:rsid w:val="00B557F7"/>
    <w:rsid w:val="00B564D0"/>
    <w:rsid w:val="00B56B7F"/>
    <w:rsid w:val="00B571F1"/>
    <w:rsid w:val="00B57A0C"/>
    <w:rsid w:val="00B608D3"/>
    <w:rsid w:val="00B608D8"/>
    <w:rsid w:val="00B61B72"/>
    <w:rsid w:val="00B62797"/>
    <w:rsid w:val="00B6342E"/>
    <w:rsid w:val="00B64A16"/>
    <w:rsid w:val="00B65D95"/>
    <w:rsid w:val="00B66155"/>
    <w:rsid w:val="00B67029"/>
    <w:rsid w:val="00B67A2A"/>
    <w:rsid w:val="00B7113F"/>
    <w:rsid w:val="00B711F9"/>
    <w:rsid w:val="00B715C5"/>
    <w:rsid w:val="00B717E1"/>
    <w:rsid w:val="00B72574"/>
    <w:rsid w:val="00B72C64"/>
    <w:rsid w:val="00B744BA"/>
    <w:rsid w:val="00B748FE"/>
    <w:rsid w:val="00B75799"/>
    <w:rsid w:val="00B75CE1"/>
    <w:rsid w:val="00B77690"/>
    <w:rsid w:val="00B77C4C"/>
    <w:rsid w:val="00B80741"/>
    <w:rsid w:val="00B832E3"/>
    <w:rsid w:val="00B83EFD"/>
    <w:rsid w:val="00B84848"/>
    <w:rsid w:val="00B84E8F"/>
    <w:rsid w:val="00B8599B"/>
    <w:rsid w:val="00B87107"/>
    <w:rsid w:val="00B8730F"/>
    <w:rsid w:val="00B87E9D"/>
    <w:rsid w:val="00B91056"/>
    <w:rsid w:val="00B91193"/>
    <w:rsid w:val="00B928B3"/>
    <w:rsid w:val="00B93665"/>
    <w:rsid w:val="00B93F4F"/>
    <w:rsid w:val="00B941A6"/>
    <w:rsid w:val="00B9580F"/>
    <w:rsid w:val="00B9581B"/>
    <w:rsid w:val="00B95993"/>
    <w:rsid w:val="00B9599E"/>
    <w:rsid w:val="00B95FE0"/>
    <w:rsid w:val="00B96092"/>
    <w:rsid w:val="00B96C5E"/>
    <w:rsid w:val="00B97014"/>
    <w:rsid w:val="00B97972"/>
    <w:rsid w:val="00BA05B5"/>
    <w:rsid w:val="00BA0BF5"/>
    <w:rsid w:val="00BA1A3B"/>
    <w:rsid w:val="00BA2BCF"/>
    <w:rsid w:val="00BA40F0"/>
    <w:rsid w:val="00BA4CC7"/>
    <w:rsid w:val="00BA51BE"/>
    <w:rsid w:val="00BA5226"/>
    <w:rsid w:val="00BA5B14"/>
    <w:rsid w:val="00BA73B6"/>
    <w:rsid w:val="00BA7D32"/>
    <w:rsid w:val="00BA7D4A"/>
    <w:rsid w:val="00BA7E27"/>
    <w:rsid w:val="00BB1DC4"/>
    <w:rsid w:val="00BB2059"/>
    <w:rsid w:val="00BB2603"/>
    <w:rsid w:val="00BB2923"/>
    <w:rsid w:val="00BB38C4"/>
    <w:rsid w:val="00BB3D8C"/>
    <w:rsid w:val="00BB426A"/>
    <w:rsid w:val="00BB4BD8"/>
    <w:rsid w:val="00BB4FCD"/>
    <w:rsid w:val="00BB5042"/>
    <w:rsid w:val="00BB5CF6"/>
    <w:rsid w:val="00BB6C64"/>
    <w:rsid w:val="00BB6FB2"/>
    <w:rsid w:val="00BB7BF8"/>
    <w:rsid w:val="00BC04E9"/>
    <w:rsid w:val="00BC064D"/>
    <w:rsid w:val="00BC0B96"/>
    <w:rsid w:val="00BC1F30"/>
    <w:rsid w:val="00BC20BA"/>
    <w:rsid w:val="00BC27CC"/>
    <w:rsid w:val="00BC31B2"/>
    <w:rsid w:val="00BC374E"/>
    <w:rsid w:val="00BC3B7E"/>
    <w:rsid w:val="00BC42D6"/>
    <w:rsid w:val="00BC457C"/>
    <w:rsid w:val="00BC4646"/>
    <w:rsid w:val="00BC677C"/>
    <w:rsid w:val="00BD028F"/>
    <w:rsid w:val="00BD09C9"/>
    <w:rsid w:val="00BD0ACC"/>
    <w:rsid w:val="00BD1059"/>
    <w:rsid w:val="00BD13EA"/>
    <w:rsid w:val="00BD23CF"/>
    <w:rsid w:val="00BD4E01"/>
    <w:rsid w:val="00BD530E"/>
    <w:rsid w:val="00BD542D"/>
    <w:rsid w:val="00BD666A"/>
    <w:rsid w:val="00BE084F"/>
    <w:rsid w:val="00BE11DF"/>
    <w:rsid w:val="00BE1EDC"/>
    <w:rsid w:val="00BE3808"/>
    <w:rsid w:val="00BE4C68"/>
    <w:rsid w:val="00BE5B6D"/>
    <w:rsid w:val="00BE644B"/>
    <w:rsid w:val="00BE6652"/>
    <w:rsid w:val="00BE75D2"/>
    <w:rsid w:val="00BE7B6B"/>
    <w:rsid w:val="00BF0638"/>
    <w:rsid w:val="00BF1598"/>
    <w:rsid w:val="00BF18EC"/>
    <w:rsid w:val="00BF3304"/>
    <w:rsid w:val="00BF38AC"/>
    <w:rsid w:val="00BF3E48"/>
    <w:rsid w:val="00BF4234"/>
    <w:rsid w:val="00BF4CA1"/>
    <w:rsid w:val="00BF4CB8"/>
    <w:rsid w:val="00BF4E3D"/>
    <w:rsid w:val="00BF623A"/>
    <w:rsid w:val="00BF73D0"/>
    <w:rsid w:val="00C00188"/>
    <w:rsid w:val="00C01414"/>
    <w:rsid w:val="00C01B2D"/>
    <w:rsid w:val="00C01CE7"/>
    <w:rsid w:val="00C03948"/>
    <w:rsid w:val="00C03B88"/>
    <w:rsid w:val="00C043CF"/>
    <w:rsid w:val="00C050E0"/>
    <w:rsid w:val="00C056D5"/>
    <w:rsid w:val="00C06281"/>
    <w:rsid w:val="00C062E9"/>
    <w:rsid w:val="00C07AAB"/>
    <w:rsid w:val="00C07B64"/>
    <w:rsid w:val="00C105B4"/>
    <w:rsid w:val="00C11318"/>
    <w:rsid w:val="00C12E9C"/>
    <w:rsid w:val="00C13721"/>
    <w:rsid w:val="00C14FE4"/>
    <w:rsid w:val="00C15717"/>
    <w:rsid w:val="00C15ED5"/>
    <w:rsid w:val="00C162C1"/>
    <w:rsid w:val="00C21488"/>
    <w:rsid w:val="00C21FB5"/>
    <w:rsid w:val="00C22038"/>
    <w:rsid w:val="00C22430"/>
    <w:rsid w:val="00C2307B"/>
    <w:rsid w:val="00C24FB0"/>
    <w:rsid w:val="00C25FD1"/>
    <w:rsid w:val="00C26243"/>
    <w:rsid w:val="00C2679D"/>
    <w:rsid w:val="00C2737A"/>
    <w:rsid w:val="00C274A8"/>
    <w:rsid w:val="00C27C40"/>
    <w:rsid w:val="00C27D06"/>
    <w:rsid w:val="00C3066D"/>
    <w:rsid w:val="00C30A60"/>
    <w:rsid w:val="00C31158"/>
    <w:rsid w:val="00C32EC3"/>
    <w:rsid w:val="00C34316"/>
    <w:rsid w:val="00C357DE"/>
    <w:rsid w:val="00C365CA"/>
    <w:rsid w:val="00C3784D"/>
    <w:rsid w:val="00C37B5F"/>
    <w:rsid w:val="00C4313B"/>
    <w:rsid w:val="00C433EC"/>
    <w:rsid w:val="00C447C4"/>
    <w:rsid w:val="00C44CDF"/>
    <w:rsid w:val="00C45BDB"/>
    <w:rsid w:val="00C47096"/>
    <w:rsid w:val="00C47F39"/>
    <w:rsid w:val="00C504D2"/>
    <w:rsid w:val="00C50525"/>
    <w:rsid w:val="00C51EA7"/>
    <w:rsid w:val="00C52416"/>
    <w:rsid w:val="00C529CA"/>
    <w:rsid w:val="00C53E0E"/>
    <w:rsid w:val="00C543F4"/>
    <w:rsid w:val="00C56F7F"/>
    <w:rsid w:val="00C57716"/>
    <w:rsid w:val="00C6083B"/>
    <w:rsid w:val="00C60FB9"/>
    <w:rsid w:val="00C61E3C"/>
    <w:rsid w:val="00C62864"/>
    <w:rsid w:val="00C6291C"/>
    <w:rsid w:val="00C631B4"/>
    <w:rsid w:val="00C633CB"/>
    <w:rsid w:val="00C6366B"/>
    <w:rsid w:val="00C642DB"/>
    <w:rsid w:val="00C6489B"/>
    <w:rsid w:val="00C64CF9"/>
    <w:rsid w:val="00C651CE"/>
    <w:rsid w:val="00C664CD"/>
    <w:rsid w:val="00C66B68"/>
    <w:rsid w:val="00C66E02"/>
    <w:rsid w:val="00C671E6"/>
    <w:rsid w:val="00C67D11"/>
    <w:rsid w:val="00C70DAC"/>
    <w:rsid w:val="00C71868"/>
    <w:rsid w:val="00C719E8"/>
    <w:rsid w:val="00C720B0"/>
    <w:rsid w:val="00C733FB"/>
    <w:rsid w:val="00C7360C"/>
    <w:rsid w:val="00C736B7"/>
    <w:rsid w:val="00C7680E"/>
    <w:rsid w:val="00C77611"/>
    <w:rsid w:val="00C81415"/>
    <w:rsid w:val="00C81BB3"/>
    <w:rsid w:val="00C81D4A"/>
    <w:rsid w:val="00C82BD9"/>
    <w:rsid w:val="00C82C57"/>
    <w:rsid w:val="00C8349D"/>
    <w:rsid w:val="00C8352B"/>
    <w:rsid w:val="00C83AF5"/>
    <w:rsid w:val="00C868BB"/>
    <w:rsid w:val="00C87287"/>
    <w:rsid w:val="00C8762C"/>
    <w:rsid w:val="00C915F8"/>
    <w:rsid w:val="00C92AE9"/>
    <w:rsid w:val="00C94DA1"/>
    <w:rsid w:val="00C95062"/>
    <w:rsid w:val="00C95F46"/>
    <w:rsid w:val="00C962A9"/>
    <w:rsid w:val="00CA00F9"/>
    <w:rsid w:val="00CA03F1"/>
    <w:rsid w:val="00CA08A9"/>
    <w:rsid w:val="00CA1090"/>
    <w:rsid w:val="00CA121A"/>
    <w:rsid w:val="00CA15C8"/>
    <w:rsid w:val="00CA1BB4"/>
    <w:rsid w:val="00CA1BC4"/>
    <w:rsid w:val="00CA2961"/>
    <w:rsid w:val="00CA39A9"/>
    <w:rsid w:val="00CA4386"/>
    <w:rsid w:val="00CA472B"/>
    <w:rsid w:val="00CA4F64"/>
    <w:rsid w:val="00CA5627"/>
    <w:rsid w:val="00CA564C"/>
    <w:rsid w:val="00CA5CC0"/>
    <w:rsid w:val="00CA6387"/>
    <w:rsid w:val="00CA71BD"/>
    <w:rsid w:val="00CA76DC"/>
    <w:rsid w:val="00CB060E"/>
    <w:rsid w:val="00CB06FE"/>
    <w:rsid w:val="00CB0DA1"/>
    <w:rsid w:val="00CB10FF"/>
    <w:rsid w:val="00CB1663"/>
    <w:rsid w:val="00CB1767"/>
    <w:rsid w:val="00CB2AE5"/>
    <w:rsid w:val="00CB4652"/>
    <w:rsid w:val="00CB4F73"/>
    <w:rsid w:val="00CB505F"/>
    <w:rsid w:val="00CB50D7"/>
    <w:rsid w:val="00CB51D6"/>
    <w:rsid w:val="00CB57FA"/>
    <w:rsid w:val="00CB5CCC"/>
    <w:rsid w:val="00CB7177"/>
    <w:rsid w:val="00CB723C"/>
    <w:rsid w:val="00CB7CED"/>
    <w:rsid w:val="00CC035B"/>
    <w:rsid w:val="00CC070F"/>
    <w:rsid w:val="00CC1711"/>
    <w:rsid w:val="00CC1998"/>
    <w:rsid w:val="00CC27F1"/>
    <w:rsid w:val="00CC2C75"/>
    <w:rsid w:val="00CC2E4C"/>
    <w:rsid w:val="00CC34DC"/>
    <w:rsid w:val="00CC448A"/>
    <w:rsid w:val="00CC4946"/>
    <w:rsid w:val="00CC4C37"/>
    <w:rsid w:val="00CC540D"/>
    <w:rsid w:val="00CC5519"/>
    <w:rsid w:val="00CC5C83"/>
    <w:rsid w:val="00CC5EB9"/>
    <w:rsid w:val="00CC638E"/>
    <w:rsid w:val="00CC64A1"/>
    <w:rsid w:val="00CC6879"/>
    <w:rsid w:val="00CC6BA7"/>
    <w:rsid w:val="00CD0FC5"/>
    <w:rsid w:val="00CD13CD"/>
    <w:rsid w:val="00CD18A9"/>
    <w:rsid w:val="00CD2FE6"/>
    <w:rsid w:val="00CD3009"/>
    <w:rsid w:val="00CD3C28"/>
    <w:rsid w:val="00CD5115"/>
    <w:rsid w:val="00CD513F"/>
    <w:rsid w:val="00CD58C6"/>
    <w:rsid w:val="00CD5975"/>
    <w:rsid w:val="00CD6350"/>
    <w:rsid w:val="00CD66A4"/>
    <w:rsid w:val="00CD7A81"/>
    <w:rsid w:val="00CD7BA3"/>
    <w:rsid w:val="00CD7F5A"/>
    <w:rsid w:val="00CE2303"/>
    <w:rsid w:val="00CE448A"/>
    <w:rsid w:val="00CE5CCB"/>
    <w:rsid w:val="00CE619D"/>
    <w:rsid w:val="00CE7033"/>
    <w:rsid w:val="00CE7E74"/>
    <w:rsid w:val="00CF009A"/>
    <w:rsid w:val="00CF0903"/>
    <w:rsid w:val="00CF1057"/>
    <w:rsid w:val="00CF1809"/>
    <w:rsid w:val="00CF1F83"/>
    <w:rsid w:val="00CF2E37"/>
    <w:rsid w:val="00CF2F66"/>
    <w:rsid w:val="00CF3B11"/>
    <w:rsid w:val="00CF591A"/>
    <w:rsid w:val="00CF5E60"/>
    <w:rsid w:val="00D0040E"/>
    <w:rsid w:val="00D00C0F"/>
    <w:rsid w:val="00D010BF"/>
    <w:rsid w:val="00D03790"/>
    <w:rsid w:val="00D04351"/>
    <w:rsid w:val="00D05040"/>
    <w:rsid w:val="00D067C7"/>
    <w:rsid w:val="00D06DA7"/>
    <w:rsid w:val="00D070CB"/>
    <w:rsid w:val="00D07AD2"/>
    <w:rsid w:val="00D10567"/>
    <w:rsid w:val="00D113AC"/>
    <w:rsid w:val="00D114A2"/>
    <w:rsid w:val="00D11AE2"/>
    <w:rsid w:val="00D11B63"/>
    <w:rsid w:val="00D11DD3"/>
    <w:rsid w:val="00D125D1"/>
    <w:rsid w:val="00D152F7"/>
    <w:rsid w:val="00D15785"/>
    <w:rsid w:val="00D16406"/>
    <w:rsid w:val="00D16EF1"/>
    <w:rsid w:val="00D16F65"/>
    <w:rsid w:val="00D172CA"/>
    <w:rsid w:val="00D17B88"/>
    <w:rsid w:val="00D17CF3"/>
    <w:rsid w:val="00D20265"/>
    <w:rsid w:val="00D205B2"/>
    <w:rsid w:val="00D2094D"/>
    <w:rsid w:val="00D21C4A"/>
    <w:rsid w:val="00D22E3F"/>
    <w:rsid w:val="00D23836"/>
    <w:rsid w:val="00D2393E"/>
    <w:rsid w:val="00D23958"/>
    <w:rsid w:val="00D24659"/>
    <w:rsid w:val="00D24713"/>
    <w:rsid w:val="00D257C3"/>
    <w:rsid w:val="00D26B74"/>
    <w:rsid w:val="00D270A4"/>
    <w:rsid w:val="00D301D2"/>
    <w:rsid w:val="00D31FE9"/>
    <w:rsid w:val="00D329CE"/>
    <w:rsid w:val="00D34E1B"/>
    <w:rsid w:val="00D353F9"/>
    <w:rsid w:val="00D369E7"/>
    <w:rsid w:val="00D37561"/>
    <w:rsid w:val="00D376BA"/>
    <w:rsid w:val="00D4026F"/>
    <w:rsid w:val="00D42234"/>
    <w:rsid w:val="00D42A30"/>
    <w:rsid w:val="00D434A0"/>
    <w:rsid w:val="00D436CF"/>
    <w:rsid w:val="00D43FB5"/>
    <w:rsid w:val="00D440B6"/>
    <w:rsid w:val="00D44309"/>
    <w:rsid w:val="00D44500"/>
    <w:rsid w:val="00D44E7D"/>
    <w:rsid w:val="00D45634"/>
    <w:rsid w:val="00D47FFE"/>
    <w:rsid w:val="00D52808"/>
    <w:rsid w:val="00D52B4E"/>
    <w:rsid w:val="00D52EC8"/>
    <w:rsid w:val="00D5439E"/>
    <w:rsid w:val="00D546C2"/>
    <w:rsid w:val="00D549E0"/>
    <w:rsid w:val="00D5568A"/>
    <w:rsid w:val="00D5598D"/>
    <w:rsid w:val="00D55E84"/>
    <w:rsid w:val="00D5672A"/>
    <w:rsid w:val="00D56739"/>
    <w:rsid w:val="00D5683D"/>
    <w:rsid w:val="00D57040"/>
    <w:rsid w:val="00D57977"/>
    <w:rsid w:val="00D57C33"/>
    <w:rsid w:val="00D57DBA"/>
    <w:rsid w:val="00D62BA8"/>
    <w:rsid w:val="00D62E0A"/>
    <w:rsid w:val="00D63174"/>
    <w:rsid w:val="00D632B4"/>
    <w:rsid w:val="00D63D73"/>
    <w:rsid w:val="00D6434D"/>
    <w:rsid w:val="00D64452"/>
    <w:rsid w:val="00D64B27"/>
    <w:rsid w:val="00D65EB7"/>
    <w:rsid w:val="00D66E1E"/>
    <w:rsid w:val="00D66E8E"/>
    <w:rsid w:val="00D70696"/>
    <w:rsid w:val="00D708EC"/>
    <w:rsid w:val="00D71AD3"/>
    <w:rsid w:val="00D71B60"/>
    <w:rsid w:val="00D72275"/>
    <w:rsid w:val="00D724BA"/>
    <w:rsid w:val="00D72C1B"/>
    <w:rsid w:val="00D730CC"/>
    <w:rsid w:val="00D75722"/>
    <w:rsid w:val="00D760CC"/>
    <w:rsid w:val="00D766C2"/>
    <w:rsid w:val="00D7785B"/>
    <w:rsid w:val="00D8005C"/>
    <w:rsid w:val="00D80679"/>
    <w:rsid w:val="00D80CF5"/>
    <w:rsid w:val="00D811D7"/>
    <w:rsid w:val="00D815F3"/>
    <w:rsid w:val="00D8163C"/>
    <w:rsid w:val="00D81926"/>
    <w:rsid w:val="00D81C40"/>
    <w:rsid w:val="00D81F36"/>
    <w:rsid w:val="00D82206"/>
    <w:rsid w:val="00D8238A"/>
    <w:rsid w:val="00D82874"/>
    <w:rsid w:val="00D830C3"/>
    <w:rsid w:val="00D83559"/>
    <w:rsid w:val="00D84224"/>
    <w:rsid w:val="00D857C5"/>
    <w:rsid w:val="00D85DA3"/>
    <w:rsid w:val="00D86FF0"/>
    <w:rsid w:val="00D870FF"/>
    <w:rsid w:val="00D87485"/>
    <w:rsid w:val="00D9636E"/>
    <w:rsid w:val="00D97A00"/>
    <w:rsid w:val="00D97FB3"/>
    <w:rsid w:val="00DA00A0"/>
    <w:rsid w:val="00DA0100"/>
    <w:rsid w:val="00DA0DE4"/>
    <w:rsid w:val="00DA1A01"/>
    <w:rsid w:val="00DA4533"/>
    <w:rsid w:val="00DA5BBA"/>
    <w:rsid w:val="00DA5E23"/>
    <w:rsid w:val="00DA61D3"/>
    <w:rsid w:val="00DA625F"/>
    <w:rsid w:val="00DB2188"/>
    <w:rsid w:val="00DB26D2"/>
    <w:rsid w:val="00DB3F69"/>
    <w:rsid w:val="00DB4397"/>
    <w:rsid w:val="00DB67C9"/>
    <w:rsid w:val="00DC0C95"/>
    <w:rsid w:val="00DC122D"/>
    <w:rsid w:val="00DC19F9"/>
    <w:rsid w:val="00DC22DC"/>
    <w:rsid w:val="00DC2706"/>
    <w:rsid w:val="00DC3192"/>
    <w:rsid w:val="00DC31B1"/>
    <w:rsid w:val="00DC34BC"/>
    <w:rsid w:val="00DC372A"/>
    <w:rsid w:val="00DC4B79"/>
    <w:rsid w:val="00DC4F0B"/>
    <w:rsid w:val="00DC51BA"/>
    <w:rsid w:val="00DC53A2"/>
    <w:rsid w:val="00DC5461"/>
    <w:rsid w:val="00DC7519"/>
    <w:rsid w:val="00DC7E7F"/>
    <w:rsid w:val="00DD1A97"/>
    <w:rsid w:val="00DD20B6"/>
    <w:rsid w:val="00DD29B3"/>
    <w:rsid w:val="00DD3229"/>
    <w:rsid w:val="00DD4DD3"/>
    <w:rsid w:val="00DD5EAF"/>
    <w:rsid w:val="00DD630C"/>
    <w:rsid w:val="00DD64AD"/>
    <w:rsid w:val="00DD6580"/>
    <w:rsid w:val="00DD686A"/>
    <w:rsid w:val="00DD7519"/>
    <w:rsid w:val="00DD7615"/>
    <w:rsid w:val="00DE0E32"/>
    <w:rsid w:val="00DE0EB0"/>
    <w:rsid w:val="00DE27D7"/>
    <w:rsid w:val="00DE3148"/>
    <w:rsid w:val="00DE49C0"/>
    <w:rsid w:val="00DE4A68"/>
    <w:rsid w:val="00DE5162"/>
    <w:rsid w:val="00DE53B7"/>
    <w:rsid w:val="00DE5CD6"/>
    <w:rsid w:val="00DE6B3D"/>
    <w:rsid w:val="00DE752C"/>
    <w:rsid w:val="00DE7C9B"/>
    <w:rsid w:val="00DF0199"/>
    <w:rsid w:val="00DF01BD"/>
    <w:rsid w:val="00DF0C36"/>
    <w:rsid w:val="00DF1C80"/>
    <w:rsid w:val="00DF1E9E"/>
    <w:rsid w:val="00DF221F"/>
    <w:rsid w:val="00DF2C2B"/>
    <w:rsid w:val="00DF45C9"/>
    <w:rsid w:val="00DF5038"/>
    <w:rsid w:val="00DF587C"/>
    <w:rsid w:val="00DF6A37"/>
    <w:rsid w:val="00DF7369"/>
    <w:rsid w:val="00DF7E5C"/>
    <w:rsid w:val="00E002BD"/>
    <w:rsid w:val="00E004D7"/>
    <w:rsid w:val="00E00549"/>
    <w:rsid w:val="00E00962"/>
    <w:rsid w:val="00E01A75"/>
    <w:rsid w:val="00E01D7F"/>
    <w:rsid w:val="00E026BE"/>
    <w:rsid w:val="00E03572"/>
    <w:rsid w:val="00E048E3"/>
    <w:rsid w:val="00E04EB1"/>
    <w:rsid w:val="00E05731"/>
    <w:rsid w:val="00E05C03"/>
    <w:rsid w:val="00E06254"/>
    <w:rsid w:val="00E0732A"/>
    <w:rsid w:val="00E10313"/>
    <w:rsid w:val="00E10B23"/>
    <w:rsid w:val="00E116EF"/>
    <w:rsid w:val="00E12A55"/>
    <w:rsid w:val="00E12CED"/>
    <w:rsid w:val="00E147D7"/>
    <w:rsid w:val="00E14DC4"/>
    <w:rsid w:val="00E15EE1"/>
    <w:rsid w:val="00E16409"/>
    <w:rsid w:val="00E164CA"/>
    <w:rsid w:val="00E16501"/>
    <w:rsid w:val="00E17AC8"/>
    <w:rsid w:val="00E17C72"/>
    <w:rsid w:val="00E17E7D"/>
    <w:rsid w:val="00E202D9"/>
    <w:rsid w:val="00E20834"/>
    <w:rsid w:val="00E20F08"/>
    <w:rsid w:val="00E21344"/>
    <w:rsid w:val="00E21FC6"/>
    <w:rsid w:val="00E22A17"/>
    <w:rsid w:val="00E23A36"/>
    <w:rsid w:val="00E23AB2"/>
    <w:rsid w:val="00E24B2C"/>
    <w:rsid w:val="00E257E3"/>
    <w:rsid w:val="00E2658F"/>
    <w:rsid w:val="00E26D10"/>
    <w:rsid w:val="00E2738B"/>
    <w:rsid w:val="00E27B36"/>
    <w:rsid w:val="00E27DE4"/>
    <w:rsid w:val="00E3152A"/>
    <w:rsid w:val="00E333F1"/>
    <w:rsid w:val="00E3504D"/>
    <w:rsid w:val="00E35206"/>
    <w:rsid w:val="00E36842"/>
    <w:rsid w:val="00E37730"/>
    <w:rsid w:val="00E40B6E"/>
    <w:rsid w:val="00E41631"/>
    <w:rsid w:val="00E41E7F"/>
    <w:rsid w:val="00E43147"/>
    <w:rsid w:val="00E4316D"/>
    <w:rsid w:val="00E431A9"/>
    <w:rsid w:val="00E43496"/>
    <w:rsid w:val="00E45671"/>
    <w:rsid w:val="00E46BE2"/>
    <w:rsid w:val="00E507DC"/>
    <w:rsid w:val="00E521FC"/>
    <w:rsid w:val="00E523FE"/>
    <w:rsid w:val="00E54C63"/>
    <w:rsid w:val="00E54D7C"/>
    <w:rsid w:val="00E55BE2"/>
    <w:rsid w:val="00E562C6"/>
    <w:rsid w:val="00E56799"/>
    <w:rsid w:val="00E56D50"/>
    <w:rsid w:val="00E57688"/>
    <w:rsid w:val="00E605D9"/>
    <w:rsid w:val="00E60A4B"/>
    <w:rsid w:val="00E60C9A"/>
    <w:rsid w:val="00E614D3"/>
    <w:rsid w:val="00E61891"/>
    <w:rsid w:val="00E62EAD"/>
    <w:rsid w:val="00E63BD7"/>
    <w:rsid w:val="00E669E2"/>
    <w:rsid w:val="00E66A88"/>
    <w:rsid w:val="00E677A6"/>
    <w:rsid w:val="00E705B5"/>
    <w:rsid w:val="00E7444B"/>
    <w:rsid w:val="00E74BEA"/>
    <w:rsid w:val="00E751FD"/>
    <w:rsid w:val="00E76135"/>
    <w:rsid w:val="00E76D98"/>
    <w:rsid w:val="00E80302"/>
    <w:rsid w:val="00E80B51"/>
    <w:rsid w:val="00E81AC5"/>
    <w:rsid w:val="00E82610"/>
    <w:rsid w:val="00E82F4F"/>
    <w:rsid w:val="00E82FC5"/>
    <w:rsid w:val="00E833E4"/>
    <w:rsid w:val="00E83CC2"/>
    <w:rsid w:val="00E846ED"/>
    <w:rsid w:val="00E85278"/>
    <w:rsid w:val="00E864DF"/>
    <w:rsid w:val="00E86A56"/>
    <w:rsid w:val="00E8701C"/>
    <w:rsid w:val="00E870D2"/>
    <w:rsid w:val="00E87FE3"/>
    <w:rsid w:val="00E90C19"/>
    <w:rsid w:val="00E90D08"/>
    <w:rsid w:val="00E915B2"/>
    <w:rsid w:val="00E91F0E"/>
    <w:rsid w:val="00E955CF"/>
    <w:rsid w:val="00E95791"/>
    <w:rsid w:val="00E95815"/>
    <w:rsid w:val="00E95892"/>
    <w:rsid w:val="00E96828"/>
    <w:rsid w:val="00E97F08"/>
    <w:rsid w:val="00EA07FE"/>
    <w:rsid w:val="00EA19AA"/>
    <w:rsid w:val="00EA3C4F"/>
    <w:rsid w:val="00EA4FCA"/>
    <w:rsid w:val="00EA56FE"/>
    <w:rsid w:val="00EA67CD"/>
    <w:rsid w:val="00EA6979"/>
    <w:rsid w:val="00EA72CB"/>
    <w:rsid w:val="00EA79CD"/>
    <w:rsid w:val="00EB0354"/>
    <w:rsid w:val="00EB1F64"/>
    <w:rsid w:val="00EB26DA"/>
    <w:rsid w:val="00EB2CC3"/>
    <w:rsid w:val="00EB546F"/>
    <w:rsid w:val="00EB5A1C"/>
    <w:rsid w:val="00EB5A9F"/>
    <w:rsid w:val="00EB5B59"/>
    <w:rsid w:val="00EB6593"/>
    <w:rsid w:val="00EB6DC9"/>
    <w:rsid w:val="00EB7205"/>
    <w:rsid w:val="00EB7DEF"/>
    <w:rsid w:val="00EC0A38"/>
    <w:rsid w:val="00EC16FA"/>
    <w:rsid w:val="00EC1C43"/>
    <w:rsid w:val="00EC1E4E"/>
    <w:rsid w:val="00EC2129"/>
    <w:rsid w:val="00EC21C6"/>
    <w:rsid w:val="00EC2844"/>
    <w:rsid w:val="00EC4479"/>
    <w:rsid w:val="00EC481B"/>
    <w:rsid w:val="00EC5500"/>
    <w:rsid w:val="00EC5D8B"/>
    <w:rsid w:val="00EC7A04"/>
    <w:rsid w:val="00ED0E84"/>
    <w:rsid w:val="00ED18F8"/>
    <w:rsid w:val="00ED26B1"/>
    <w:rsid w:val="00ED3FDB"/>
    <w:rsid w:val="00ED4398"/>
    <w:rsid w:val="00ED66F2"/>
    <w:rsid w:val="00EE0B78"/>
    <w:rsid w:val="00EE1573"/>
    <w:rsid w:val="00EE1802"/>
    <w:rsid w:val="00EE3E49"/>
    <w:rsid w:val="00EE4967"/>
    <w:rsid w:val="00EE6EDA"/>
    <w:rsid w:val="00EE778E"/>
    <w:rsid w:val="00EE7A0C"/>
    <w:rsid w:val="00EF0655"/>
    <w:rsid w:val="00EF1538"/>
    <w:rsid w:val="00EF2180"/>
    <w:rsid w:val="00EF26A3"/>
    <w:rsid w:val="00EF3C7E"/>
    <w:rsid w:val="00EF4EF6"/>
    <w:rsid w:val="00EF5603"/>
    <w:rsid w:val="00EF5A62"/>
    <w:rsid w:val="00EF60E7"/>
    <w:rsid w:val="00EF6719"/>
    <w:rsid w:val="00EF6C6C"/>
    <w:rsid w:val="00EF70B9"/>
    <w:rsid w:val="00F00202"/>
    <w:rsid w:val="00F03958"/>
    <w:rsid w:val="00F04BD4"/>
    <w:rsid w:val="00F056FC"/>
    <w:rsid w:val="00F05CBF"/>
    <w:rsid w:val="00F06096"/>
    <w:rsid w:val="00F0632F"/>
    <w:rsid w:val="00F0670B"/>
    <w:rsid w:val="00F067E9"/>
    <w:rsid w:val="00F069AE"/>
    <w:rsid w:val="00F07BA2"/>
    <w:rsid w:val="00F10476"/>
    <w:rsid w:val="00F10BE4"/>
    <w:rsid w:val="00F10D78"/>
    <w:rsid w:val="00F1108A"/>
    <w:rsid w:val="00F113EE"/>
    <w:rsid w:val="00F11679"/>
    <w:rsid w:val="00F11847"/>
    <w:rsid w:val="00F119E7"/>
    <w:rsid w:val="00F11DCD"/>
    <w:rsid w:val="00F12CD3"/>
    <w:rsid w:val="00F135D8"/>
    <w:rsid w:val="00F141EB"/>
    <w:rsid w:val="00F15515"/>
    <w:rsid w:val="00F15784"/>
    <w:rsid w:val="00F15C6B"/>
    <w:rsid w:val="00F15D72"/>
    <w:rsid w:val="00F16375"/>
    <w:rsid w:val="00F16783"/>
    <w:rsid w:val="00F17090"/>
    <w:rsid w:val="00F201D8"/>
    <w:rsid w:val="00F20673"/>
    <w:rsid w:val="00F20741"/>
    <w:rsid w:val="00F20E65"/>
    <w:rsid w:val="00F22384"/>
    <w:rsid w:val="00F225B2"/>
    <w:rsid w:val="00F22A3E"/>
    <w:rsid w:val="00F26005"/>
    <w:rsid w:val="00F2713A"/>
    <w:rsid w:val="00F277A1"/>
    <w:rsid w:val="00F27A99"/>
    <w:rsid w:val="00F27BEE"/>
    <w:rsid w:val="00F31299"/>
    <w:rsid w:val="00F31BF9"/>
    <w:rsid w:val="00F31FB5"/>
    <w:rsid w:val="00F328DE"/>
    <w:rsid w:val="00F332C3"/>
    <w:rsid w:val="00F3369D"/>
    <w:rsid w:val="00F3534A"/>
    <w:rsid w:val="00F35CA5"/>
    <w:rsid w:val="00F36ACC"/>
    <w:rsid w:val="00F40A3B"/>
    <w:rsid w:val="00F4136D"/>
    <w:rsid w:val="00F42A74"/>
    <w:rsid w:val="00F436FB"/>
    <w:rsid w:val="00F4488C"/>
    <w:rsid w:val="00F45C60"/>
    <w:rsid w:val="00F46A6B"/>
    <w:rsid w:val="00F46C63"/>
    <w:rsid w:val="00F46D1C"/>
    <w:rsid w:val="00F46F3E"/>
    <w:rsid w:val="00F4781E"/>
    <w:rsid w:val="00F47914"/>
    <w:rsid w:val="00F51609"/>
    <w:rsid w:val="00F52398"/>
    <w:rsid w:val="00F527F6"/>
    <w:rsid w:val="00F52EC0"/>
    <w:rsid w:val="00F535F1"/>
    <w:rsid w:val="00F54EF0"/>
    <w:rsid w:val="00F551C4"/>
    <w:rsid w:val="00F55C25"/>
    <w:rsid w:val="00F55ED3"/>
    <w:rsid w:val="00F5643E"/>
    <w:rsid w:val="00F56D41"/>
    <w:rsid w:val="00F609BA"/>
    <w:rsid w:val="00F60A8E"/>
    <w:rsid w:val="00F60B38"/>
    <w:rsid w:val="00F62139"/>
    <w:rsid w:val="00F62BD5"/>
    <w:rsid w:val="00F64462"/>
    <w:rsid w:val="00F64ED9"/>
    <w:rsid w:val="00F65435"/>
    <w:rsid w:val="00F66232"/>
    <w:rsid w:val="00F66A74"/>
    <w:rsid w:val="00F6783B"/>
    <w:rsid w:val="00F70884"/>
    <w:rsid w:val="00F708F1"/>
    <w:rsid w:val="00F709AA"/>
    <w:rsid w:val="00F72D6E"/>
    <w:rsid w:val="00F73727"/>
    <w:rsid w:val="00F75D86"/>
    <w:rsid w:val="00F766A7"/>
    <w:rsid w:val="00F7678E"/>
    <w:rsid w:val="00F769D2"/>
    <w:rsid w:val="00F76EBB"/>
    <w:rsid w:val="00F772B1"/>
    <w:rsid w:val="00F77B00"/>
    <w:rsid w:val="00F803C8"/>
    <w:rsid w:val="00F80662"/>
    <w:rsid w:val="00F81006"/>
    <w:rsid w:val="00F81DAA"/>
    <w:rsid w:val="00F822C2"/>
    <w:rsid w:val="00F82B4D"/>
    <w:rsid w:val="00F830EE"/>
    <w:rsid w:val="00F837A4"/>
    <w:rsid w:val="00F84790"/>
    <w:rsid w:val="00F84EF7"/>
    <w:rsid w:val="00F85300"/>
    <w:rsid w:val="00F85325"/>
    <w:rsid w:val="00F85551"/>
    <w:rsid w:val="00F86042"/>
    <w:rsid w:val="00F86284"/>
    <w:rsid w:val="00F867D6"/>
    <w:rsid w:val="00F86F16"/>
    <w:rsid w:val="00F87B23"/>
    <w:rsid w:val="00F87D5C"/>
    <w:rsid w:val="00F92D4B"/>
    <w:rsid w:val="00F931AC"/>
    <w:rsid w:val="00F932A9"/>
    <w:rsid w:val="00F945D8"/>
    <w:rsid w:val="00F95102"/>
    <w:rsid w:val="00F95F24"/>
    <w:rsid w:val="00F96B5C"/>
    <w:rsid w:val="00FA0A7A"/>
    <w:rsid w:val="00FA2340"/>
    <w:rsid w:val="00FA237E"/>
    <w:rsid w:val="00FA28AD"/>
    <w:rsid w:val="00FA52DE"/>
    <w:rsid w:val="00FA65D9"/>
    <w:rsid w:val="00FB06E6"/>
    <w:rsid w:val="00FB2010"/>
    <w:rsid w:val="00FB298A"/>
    <w:rsid w:val="00FB2E31"/>
    <w:rsid w:val="00FB5A26"/>
    <w:rsid w:val="00FB66BB"/>
    <w:rsid w:val="00FB68C0"/>
    <w:rsid w:val="00FB771F"/>
    <w:rsid w:val="00FB7FD3"/>
    <w:rsid w:val="00FC2394"/>
    <w:rsid w:val="00FC29C9"/>
    <w:rsid w:val="00FC2DAC"/>
    <w:rsid w:val="00FC398A"/>
    <w:rsid w:val="00FC420D"/>
    <w:rsid w:val="00FC5CAD"/>
    <w:rsid w:val="00FC7410"/>
    <w:rsid w:val="00FD07A0"/>
    <w:rsid w:val="00FD22B1"/>
    <w:rsid w:val="00FD2D80"/>
    <w:rsid w:val="00FD33F1"/>
    <w:rsid w:val="00FD3566"/>
    <w:rsid w:val="00FD3CD5"/>
    <w:rsid w:val="00FD412E"/>
    <w:rsid w:val="00FD53A0"/>
    <w:rsid w:val="00FD5EE9"/>
    <w:rsid w:val="00FD67E3"/>
    <w:rsid w:val="00FD681B"/>
    <w:rsid w:val="00FD6BC4"/>
    <w:rsid w:val="00FD79C1"/>
    <w:rsid w:val="00FD7D83"/>
    <w:rsid w:val="00FE16C7"/>
    <w:rsid w:val="00FE18E3"/>
    <w:rsid w:val="00FE1A56"/>
    <w:rsid w:val="00FE1F27"/>
    <w:rsid w:val="00FE1F8A"/>
    <w:rsid w:val="00FE203B"/>
    <w:rsid w:val="00FE2689"/>
    <w:rsid w:val="00FE390A"/>
    <w:rsid w:val="00FE39C0"/>
    <w:rsid w:val="00FE479E"/>
    <w:rsid w:val="00FE48EB"/>
    <w:rsid w:val="00FE50FB"/>
    <w:rsid w:val="00FE5397"/>
    <w:rsid w:val="00FE6A6D"/>
    <w:rsid w:val="00FE7B55"/>
    <w:rsid w:val="00FF016C"/>
    <w:rsid w:val="00FF228C"/>
    <w:rsid w:val="00FF62EA"/>
    <w:rsid w:val="00FF73B7"/>
    <w:rsid w:val="00FF7C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73727"/>
    <w:pPr>
      <w:ind w:left="1020"/>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CommentSubject">
    <w:name w:val="annotation subject"/>
    <w:basedOn w:val="CommentText"/>
    <w:next w:val="CommentText"/>
    <w:link w:val="CommentSubjectChar"/>
    <w:rsid w:val="003339F6"/>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3339F6"/>
    <w:rPr>
      <w:szCs w:val="24"/>
    </w:rPr>
  </w:style>
  <w:style w:type="character" w:customStyle="1" w:styleId="CommentSubjectChar">
    <w:name w:val="Comment Subject Char"/>
    <w:basedOn w:val="CommentTextChar"/>
    <w:link w:val="CommentSubject"/>
    <w:rsid w:val="003339F6"/>
    <w:rPr>
      <w:b/>
      <w:bCs/>
      <w:szCs w:val="24"/>
    </w:rPr>
  </w:style>
  <w:style w:type="character" w:styleId="Hyperlink">
    <w:name w:val="Hyperlink"/>
    <w:basedOn w:val="DefaultParagraphFont"/>
    <w:rsid w:val="00CC448A"/>
    <w:rPr>
      <w:color w:val="78A22F" w:themeColor="hyperlink"/>
      <w:u w:val="single"/>
    </w:rPr>
  </w:style>
  <w:style w:type="character" w:styleId="FollowedHyperlink">
    <w:name w:val="FollowedHyperlink"/>
    <w:basedOn w:val="DefaultParagraphFont"/>
    <w:rsid w:val="00E95791"/>
    <w:rPr>
      <w:color w:val="387DD2" w:themeColor="followedHyperlink"/>
      <w:u w:val="single"/>
    </w:rPr>
  </w:style>
  <w:style w:type="character" w:styleId="EndnoteReference">
    <w:name w:val="endnote reference"/>
    <w:basedOn w:val="DefaultParagraphFont"/>
    <w:rsid w:val="00CB10FF"/>
    <w:rPr>
      <w:vertAlign w:val="superscript"/>
    </w:rPr>
  </w:style>
  <w:style w:type="character" w:customStyle="1" w:styleId="QuoteChar">
    <w:name w:val="Quote Char"/>
    <w:basedOn w:val="DefaultParagraphFont"/>
    <w:link w:val="Quote"/>
    <w:rsid w:val="00FB66BB"/>
    <w:rPr>
      <w:sz w:val="22"/>
    </w:rPr>
  </w:style>
  <w:style w:type="paragraph" w:styleId="Bibliography">
    <w:name w:val="Bibliography"/>
    <w:basedOn w:val="Normal"/>
    <w:next w:val="Normal"/>
    <w:uiPriority w:val="37"/>
    <w:unhideWhenUsed/>
    <w:rsid w:val="005C2DC9"/>
    <w:pPr>
      <w:spacing w:after="240"/>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73727"/>
    <w:pPr>
      <w:ind w:left="1020"/>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CommentSubject">
    <w:name w:val="annotation subject"/>
    <w:basedOn w:val="CommentText"/>
    <w:next w:val="CommentText"/>
    <w:link w:val="CommentSubjectChar"/>
    <w:rsid w:val="003339F6"/>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3339F6"/>
    <w:rPr>
      <w:szCs w:val="24"/>
    </w:rPr>
  </w:style>
  <w:style w:type="character" w:customStyle="1" w:styleId="CommentSubjectChar">
    <w:name w:val="Comment Subject Char"/>
    <w:basedOn w:val="CommentTextChar"/>
    <w:link w:val="CommentSubject"/>
    <w:rsid w:val="003339F6"/>
    <w:rPr>
      <w:b/>
      <w:bCs/>
      <w:szCs w:val="24"/>
    </w:rPr>
  </w:style>
  <w:style w:type="character" w:styleId="Hyperlink">
    <w:name w:val="Hyperlink"/>
    <w:basedOn w:val="DefaultParagraphFont"/>
    <w:rsid w:val="00CC448A"/>
    <w:rPr>
      <w:color w:val="78A22F" w:themeColor="hyperlink"/>
      <w:u w:val="single"/>
    </w:rPr>
  </w:style>
  <w:style w:type="character" w:styleId="FollowedHyperlink">
    <w:name w:val="FollowedHyperlink"/>
    <w:basedOn w:val="DefaultParagraphFont"/>
    <w:rsid w:val="00E95791"/>
    <w:rPr>
      <w:color w:val="387DD2" w:themeColor="followedHyperlink"/>
      <w:u w:val="single"/>
    </w:rPr>
  </w:style>
  <w:style w:type="character" w:styleId="EndnoteReference">
    <w:name w:val="endnote reference"/>
    <w:basedOn w:val="DefaultParagraphFont"/>
    <w:rsid w:val="00CB10FF"/>
    <w:rPr>
      <w:vertAlign w:val="superscript"/>
    </w:rPr>
  </w:style>
  <w:style w:type="character" w:customStyle="1" w:styleId="QuoteChar">
    <w:name w:val="Quote Char"/>
    <w:basedOn w:val="DefaultParagraphFont"/>
    <w:link w:val="Quote"/>
    <w:rsid w:val="00FB66BB"/>
    <w:rPr>
      <w:sz w:val="22"/>
    </w:rPr>
  </w:style>
  <w:style w:type="paragraph" w:styleId="Bibliography">
    <w:name w:val="Bibliography"/>
    <w:basedOn w:val="Normal"/>
    <w:next w:val="Normal"/>
    <w:uiPriority w:val="37"/>
    <w:unhideWhenUsed/>
    <w:rsid w:val="005C2DC9"/>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5970">
      <w:bodyDiv w:val="1"/>
      <w:marLeft w:val="0"/>
      <w:marRight w:val="0"/>
      <w:marTop w:val="0"/>
      <w:marBottom w:val="0"/>
      <w:divBdr>
        <w:top w:val="none" w:sz="0" w:space="0" w:color="auto"/>
        <w:left w:val="none" w:sz="0" w:space="0" w:color="auto"/>
        <w:bottom w:val="none" w:sz="0" w:space="0" w:color="auto"/>
        <w:right w:val="none" w:sz="0" w:space="0" w:color="auto"/>
      </w:divBdr>
    </w:div>
    <w:div w:id="342779609">
      <w:bodyDiv w:val="1"/>
      <w:marLeft w:val="0"/>
      <w:marRight w:val="0"/>
      <w:marTop w:val="0"/>
      <w:marBottom w:val="0"/>
      <w:divBdr>
        <w:top w:val="none" w:sz="0" w:space="0" w:color="auto"/>
        <w:left w:val="none" w:sz="0" w:space="0" w:color="auto"/>
        <w:bottom w:val="none" w:sz="0" w:space="0" w:color="auto"/>
        <w:right w:val="none" w:sz="0" w:space="0" w:color="auto"/>
      </w:divBdr>
    </w:div>
    <w:div w:id="803157128">
      <w:bodyDiv w:val="1"/>
      <w:marLeft w:val="0"/>
      <w:marRight w:val="0"/>
      <w:marTop w:val="0"/>
      <w:marBottom w:val="0"/>
      <w:divBdr>
        <w:top w:val="none" w:sz="0" w:space="0" w:color="auto"/>
        <w:left w:val="none" w:sz="0" w:space="0" w:color="auto"/>
        <w:bottom w:val="none" w:sz="0" w:space="0" w:color="auto"/>
        <w:right w:val="none" w:sz="0" w:space="0" w:color="auto"/>
      </w:divBdr>
    </w:div>
    <w:div w:id="813791142">
      <w:bodyDiv w:val="1"/>
      <w:marLeft w:val="0"/>
      <w:marRight w:val="0"/>
      <w:marTop w:val="0"/>
      <w:marBottom w:val="0"/>
      <w:divBdr>
        <w:top w:val="none" w:sz="0" w:space="0" w:color="auto"/>
        <w:left w:val="none" w:sz="0" w:space="0" w:color="auto"/>
        <w:bottom w:val="none" w:sz="0" w:space="0" w:color="auto"/>
        <w:right w:val="none" w:sz="0" w:space="0" w:color="auto"/>
      </w:divBdr>
    </w:div>
    <w:div w:id="172845596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B796-5D14-4D80-811B-750FCEFC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148</TotalTime>
  <Pages>15</Pages>
  <Words>6262</Words>
  <Characters>32590</Characters>
  <Application>Microsoft Office Word</Application>
  <DocSecurity>0</DocSecurity>
  <Lines>626</Lines>
  <Paragraphs>301</Paragraphs>
  <ScaleCrop>false</ScaleCrop>
  <HeadingPairs>
    <vt:vector size="2" baseType="variant">
      <vt:variant>
        <vt:lpstr>Title</vt:lpstr>
      </vt:variant>
      <vt:variant>
        <vt:i4>1</vt:i4>
      </vt:variant>
    </vt:vector>
  </HeadingPairs>
  <TitlesOfParts>
    <vt:vector size="1" baseType="lpstr">
      <vt:lpstr>Eligibility for legal aid and the cost of extending it</vt:lpstr>
    </vt:vector>
  </TitlesOfParts>
  <Company>Productivity Commission</Company>
  <LinksUpToDate>false</LinksUpToDate>
  <CharactersWithSpaces>38551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for legal aid and the cost of extending it</dc:title>
  <dc:subject>Access to Justice Arrangements</dc:subject>
  <dc:creator>Productivity Commission</dc:creator>
  <cp:keywords/>
  <dc:description>H.</dc:description>
  <cp:lastModifiedBy>Mark Pimperl</cp:lastModifiedBy>
  <cp:revision>1322</cp:revision>
  <cp:lastPrinted>2014-09-09T02:25:00Z</cp:lastPrinted>
  <dcterms:created xsi:type="dcterms:W3CDTF">2014-08-21T05:09:00Z</dcterms:created>
  <dcterms:modified xsi:type="dcterms:W3CDTF">2014-10-12T23:22:00Z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id="FRP2lXAd"/&gt;&lt;style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