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Pr="00593EBB" w:rsidRDefault="00AB1EB7" w:rsidP="00AB1EB7">
      <w:pPr>
        <w:pStyle w:val="Chapter"/>
        <w:ind w:left="907" w:hanging="907"/>
      </w:pPr>
      <w:bookmarkStart w:id="0" w:name="_AppendixNotByChapter"/>
      <w:bookmarkStart w:id="1" w:name="ChapterNumber"/>
      <w:bookmarkStart w:id="2" w:name="_GoBack"/>
      <w:bookmarkEnd w:id="0"/>
      <w:r>
        <w:t>I</w:t>
      </w:r>
      <w:bookmarkEnd w:id="1"/>
      <w:r>
        <w:tab/>
      </w:r>
      <w:bookmarkStart w:id="3" w:name="ChapterTitle"/>
      <w:r>
        <w:t>Location of community legal centres and disadvantage</w:t>
      </w:r>
      <w:bookmarkEnd w:id="3"/>
      <w:r w:rsidR="00093669" w:rsidRPr="00593EBB">
        <w:tab/>
      </w:r>
    </w:p>
    <w:p w:rsidR="00C43EDD" w:rsidRDefault="00C43EDD" w:rsidP="00C43EDD">
      <w:pPr>
        <w:pStyle w:val="BodyText"/>
      </w:pPr>
      <w:bookmarkStart w:id="4" w:name="begin"/>
      <w:bookmarkEnd w:id="4"/>
      <w:r>
        <w:t xml:space="preserve">The </w:t>
      </w:r>
      <w:r w:rsidR="00D52F9B">
        <w:t>locations</w:t>
      </w:r>
      <w:r>
        <w:t xml:space="preserve"> of </w:t>
      </w:r>
      <w:r w:rsidR="0004523D">
        <w:t>c</w:t>
      </w:r>
      <w:r w:rsidR="001C023F">
        <w:t xml:space="preserve">ommunity </w:t>
      </w:r>
      <w:r w:rsidR="0004523D">
        <w:t>l</w:t>
      </w:r>
      <w:r w:rsidR="001C023F">
        <w:t xml:space="preserve">egal </w:t>
      </w:r>
      <w:r w:rsidR="0004523D">
        <w:t>c</w:t>
      </w:r>
      <w:r w:rsidR="001C023F">
        <w:t>entres (CLCs)</w:t>
      </w:r>
      <w:r w:rsidR="00E270EE">
        <w:t xml:space="preserve"> in many jurisdictions</w:t>
      </w:r>
      <w:r>
        <w:t xml:space="preserve"> </w:t>
      </w:r>
      <w:r w:rsidR="001C023F">
        <w:t xml:space="preserve">largely reflect the fact that </w:t>
      </w:r>
      <w:r>
        <w:t>CLCs were traditionally established on the initiative of their communities in response to a lack of access to legal services</w:t>
      </w:r>
      <w:r w:rsidR="001C023F">
        <w:t xml:space="preserve"> (discussed in chapter 21)</w:t>
      </w:r>
      <w:r>
        <w:t>.</w:t>
      </w:r>
      <w:r w:rsidR="00DD7992">
        <w:t xml:space="preserve"> </w:t>
      </w:r>
      <w:r w:rsidR="0098598B">
        <w:t xml:space="preserve">But the areas with legal need </w:t>
      </w:r>
      <w:r w:rsidR="004E728D">
        <w:t>in the past</w:t>
      </w:r>
      <w:r w:rsidR="0098598B">
        <w:t xml:space="preserve"> may not be the same areas with </w:t>
      </w:r>
      <w:r w:rsidR="002365B7">
        <w:t xml:space="preserve">legal </w:t>
      </w:r>
      <w:r w:rsidR="0098598B">
        <w:t xml:space="preserve">need today. </w:t>
      </w:r>
      <w:r w:rsidR="00554FDF">
        <w:t xml:space="preserve">This appendix looks </w:t>
      </w:r>
      <w:r w:rsidR="00F452BD">
        <w:t>at information about the location of CLC clients, the location of the CLCs they use, and measures of disadvantage and income</w:t>
      </w:r>
      <w:r w:rsidR="00A00F76">
        <w:t>,</w:t>
      </w:r>
      <w:r w:rsidR="00F452BD">
        <w:t xml:space="preserve"> to examine whether CLCs are located in </w:t>
      </w:r>
      <w:r w:rsidR="0004523D">
        <w:t>areas where they are likely to be most needed</w:t>
      </w:r>
      <w:r w:rsidR="00F452BD">
        <w:t>.</w:t>
      </w:r>
    </w:p>
    <w:p w:rsidR="00D014C3" w:rsidRDefault="00A72335" w:rsidP="00CC1A51">
      <w:pPr>
        <w:pStyle w:val="BodyText"/>
      </w:pPr>
      <w:r>
        <w:t xml:space="preserve">Administrative data about </w:t>
      </w:r>
      <w:r w:rsidR="00355A0D">
        <w:t xml:space="preserve">the clients that </w:t>
      </w:r>
      <w:proofErr w:type="gramStart"/>
      <w:r w:rsidR="00355A0D">
        <w:t xml:space="preserve">use CLCs </w:t>
      </w:r>
      <w:r w:rsidR="00595689">
        <w:t>are</w:t>
      </w:r>
      <w:proofErr w:type="gramEnd"/>
      <w:r w:rsidR="00DD2D01">
        <w:t xml:space="preserve"> collected </w:t>
      </w:r>
      <w:r w:rsidR="00735104">
        <w:t xml:space="preserve">though the </w:t>
      </w:r>
      <w:r w:rsidR="00926FA6" w:rsidRPr="00926FA6">
        <w:t>Community Legal Service Information System</w:t>
      </w:r>
      <w:r w:rsidR="00735104">
        <w:t xml:space="preserve"> (CLSIS).</w:t>
      </w:r>
      <w:r w:rsidR="007C435C">
        <w:rPr>
          <w:rStyle w:val="FootnoteReference"/>
        </w:rPr>
        <w:footnoteReference w:id="1"/>
      </w:r>
      <w:r w:rsidR="00735104">
        <w:t xml:space="preserve"> The da</w:t>
      </w:r>
      <w:r w:rsidR="00052E71">
        <w:t xml:space="preserve">ta items collected include the </w:t>
      </w:r>
      <w:r w:rsidR="00735104">
        <w:t>locality of clients</w:t>
      </w:r>
      <w:r w:rsidR="0021577A">
        <w:t xml:space="preserve">, which the Commission has matched to postcodes </w:t>
      </w:r>
      <w:r w:rsidR="002D0DF8">
        <w:t>(</w:t>
      </w:r>
      <w:r w:rsidR="0021577A">
        <w:t>where possible</w:t>
      </w:r>
      <w:r w:rsidR="002D0DF8">
        <w:t>)</w:t>
      </w:r>
      <w:r w:rsidR="0021577A">
        <w:t>.</w:t>
      </w:r>
      <w:r w:rsidR="00DF64B6">
        <w:t xml:space="preserve"> These postcodes </w:t>
      </w:r>
      <w:r w:rsidR="00CC1A51">
        <w:t xml:space="preserve">were then matched to </w:t>
      </w:r>
      <w:r w:rsidR="00D014C3">
        <w:t>the A</w:t>
      </w:r>
      <w:r w:rsidR="00A86863">
        <w:t xml:space="preserve">ustralian </w:t>
      </w:r>
      <w:r w:rsidR="00D014C3">
        <w:t>B</w:t>
      </w:r>
      <w:r w:rsidR="00A86863">
        <w:t>ureau of Statistics</w:t>
      </w:r>
      <w:r w:rsidR="00D014C3">
        <w:t xml:space="preserve">’ </w:t>
      </w:r>
      <w:r w:rsidR="00D014C3" w:rsidRPr="008E4DE7">
        <w:rPr>
          <w:i/>
        </w:rPr>
        <w:t>Socio-Economic Information for Areas</w:t>
      </w:r>
      <w:r w:rsidR="00D014C3">
        <w:t xml:space="preserve"> (SEIFA) Index of Relative Socio-economic Advantage and Disadvantage</w:t>
      </w:r>
      <w:r w:rsidR="000C6D10">
        <w:t xml:space="preserve"> </w:t>
      </w:r>
      <w:r w:rsidR="000C6D10" w:rsidRPr="000C6D10">
        <w:rPr>
          <w:sz w:val="26"/>
          <w:szCs w:val="24"/>
        </w:rPr>
        <w:t>(ABS 2013)</w:t>
      </w:r>
      <w:r w:rsidR="00D014C3">
        <w:t xml:space="preserve">. </w:t>
      </w:r>
      <w:r w:rsidR="007227FB">
        <w:t>Information on the location of CLCs was also provided to the Commission, which was</w:t>
      </w:r>
      <w:r w:rsidR="00897AF3">
        <w:t xml:space="preserve"> also</w:t>
      </w:r>
      <w:r w:rsidR="007227FB">
        <w:t xml:space="preserve"> matched to postcode</w:t>
      </w:r>
      <w:r w:rsidR="00A00F76">
        <w:t>s</w:t>
      </w:r>
      <w:r w:rsidR="007227FB">
        <w:t xml:space="preserve"> and SEIFA.</w:t>
      </w:r>
      <w:r w:rsidR="00075AB8">
        <w:t xml:space="preserve"> Each CLC client and </w:t>
      </w:r>
      <w:r w:rsidR="009E58DC">
        <w:t xml:space="preserve">CLC was mapped to a SEIFA </w:t>
      </w:r>
      <w:proofErr w:type="spellStart"/>
      <w:r w:rsidR="009E58DC">
        <w:t>decile</w:t>
      </w:r>
      <w:proofErr w:type="spellEnd"/>
      <w:r w:rsidR="009E58DC">
        <w:t xml:space="preserve"> (</w:t>
      </w:r>
      <w:r w:rsidR="00D014C3">
        <w:t xml:space="preserve">with a </w:t>
      </w:r>
      <w:r w:rsidR="009E58DC">
        <w:t xml:space="preserve">higher </w:t>
      </w:r>
      <w:proofErr w:type="spellStart"/>
      <w:r w:rsidR="009E58DC">
        <w:t>decile</w:t>
      </w:r>
      <w:proofErr w:type="spellEnd"/>
      <w:r w:rsidR="009E58DC">
        <w:t xml:space="preserve"> indicating a lower level of disadvantage).</w:t>
      </w:r>
    </w:p>
    <w:p w:rsidR="00211C0D" w:rsidRDefault="008D29FD" w:rsidP="00211C0D">
      <w:pPr>
        <w:pStyle w:val="BodyText"/>
      </w:pPr>
      <w:proofErr w:type="gramStart"/>
      <w:r>
        <w:t>If</w:t>
      </w:r>
      <w:r w:rsidR="00D014C3">
        <w:t xml:space="preserve"> CLCs only </w:t>
      </w:r>
      <w:r>
        <w:t xml:space="preserve">provided services to </w:t>
      </w:r>
      <w:r w:rsidR="008F6054">
        <w:t>relatively</w:t>
      </w:r>
      <w:r w:rsidR="00D014C3">
        <w:t xml:space="preserve"> disadvantaged clients, then</w:t>
      </w:r>
      <w:r w:rsidR="00694242">
        <w:t>, all else being equal,</w:t>
      </w:r>
      <w:r w:rsidR="00D014C3">
        <w:t xml:space="preserve"> the</w:t>
      </w:r>
      <w:r w:rsidR="003209C4">
        <w:t xml:space="preserve"> greatest proportion of CLC clients would be in locations associated with lower SEIFA </w:t>
      </w:r>
      <w:proofErr w:type="spellStart"/>
      <w:r w:rsidR="003209C4">
        <w:t>deciles</w:t>
      </w:r>
      <w:proofErr w:type="spellEnd"/>
      <w:r w:rsidR="003209C4">
        <w:t>.</w:t>
      </w:r>
      <w:proofErr w:type="gramEnd"/>
      <w:r w:rsidR="00D014C3">
        <w:t xml:space="preserve"> However, </w:t>
      </w:r>
      <w:r w:rsidR="001E2B51">
        <w:t xml:space="preserve">this is not the case, with CLC clients being </w:t>
      </w:r>
      <w:r w:rsidR="005F1178">
        <w:t>(roughly)</w:t>
      </w:r>
      <w:r w:rsidR="001E2B51">
        <w:t xml:space="preserve"> evenly distributed </w:t>
      </w:r>
      <w:r w:rsidR="00502110">
        <w:t>across</w:t>
      </w:r>
      <w:r w:rsidR="001E2B51">
        <w:t xml:space="preserve"> </w:t>
      </w:r>
      <w:r w:rsidR="00254E9A">
        <w:t>each</w:t>
      </w:r>
      <w:r w:rsidR="005F1178">
        <w:t xml:space="preserve"> SEIFA</w:t>
      </w:r>
      <w:r w:rsidR="00254E9A">
        <w:t xml:space="preserve"> </w:t>
      </w:r>
      <w:proofErr w:type="spellStart"/>
      <w:r w:rsidR="00254E9A">
        <w:t>decile</w:t>
      </w:r>
      <w:proofErr w:type="spellEnd"/>
      <w:r w:rsidR="00254E9A">
        <w:t xml:space="preserve"> (</w:t>
      </w:r>
      <w:r w:rsidR="00D014C3">
        <w:t xml:space="preserve">table </w:t>
      </w:r>
      <w:r w:rsidR="00A86863">
        <w:t>I.1</w:t>
      </w:r>
      <w:r w:rsidR="00254E9A">
        <w:t>)</w:t>
      </w:r>
      <w:r w:rsidR="00D014C3">
        <w:t>.</w:t>
      </w:r>
      <w:r w:rsidR="00E40389">
        <w:t xml:space="preserve"> Another indicator of serving disadvantaged communities would be for the CLCs themselves to be located in relatively disadvantaged areas</w:t>
      </w:r>
      <w:r w:rsidR="00502110">
        <w:t>.</w:t>
      </w:r>
      <w:r w:rsidR="00211C0D">
        <w:t xml:space="preserve"> </w:t>
      </w:r>
      <w:r w:rsidR="00502110">
        <w:t>B</w:t>
      </w:r>
      <w:r w:rsidR="00211C0D">
        <w:t xml:space="preserve">ut the data indicate that around one fifth of CLCs are located in </w:t>
      </w:r>
      <w:r w:rsidR="005C5571">
        <w:t>postcode</w:t>
      </w:r>
      <w:r w:rsidR="00453EB7">
        <w:t>s</w:t>
      </w:r>
      <w:r w:rsidR="008344EC">
        <w:t xml:space="preserve"> that correspond to</w:t>
      </w:r>
      <w:r w:rsidR="00211C0D">
        <w:t xml:space="preserve"> the bottom three SEIFA </w:t>
      </w:r>
      <w:proofErr w:type="spellStart"/>
      <w:r w:rsidR="00211C0D">
        <w:t>deciles</w:t>
      </w:r>
      <w:proofErr w:type="spellEnd"/>
      <w:r w:rsidR="00453EB7">
        <w:t>,</w:t>
      </w:r>
      <w:r w:rsidR="00211C0D">
        <w:t xml:space="preserve"> while over two thirds of CLCs are located</w:t>
      </w:r>
      <w:r w:rsidR="00D40DDE">
        <w:t xml:space="preserve"> </w:t>
      </w:r>
      <w:r w:rsidR="00D85611">
        <w:t xml:space="preserve">in </w:t>
      </w:r>
      <w:r w:rsidR="00D40DDE">
        <w:t xml:space="preserve">postcodes associated with </w:t>
      </w:r>
      <w:r w:rsidR="004A1268">
        <w:t>t</w:t>
      </w:r>
      <w:r w:rsidR="005968EB">
        <w:t xml:space="preserve">he top </w:t>
      </w:r>
      <w:r w:rsidR="007E4D49">
        <w:t>three</w:t>
      </w:r>
      <w:r w:rsidR="00211C0D">
        <w:t xml:space="preserve"> SEIFA </w:t>
      </w:r>
      <w:proofErr w:type="spellStart"/>
      <w:r w:rsidR="00211C0D">
        <w:t>deciles</w:t>
      </w:r>
      <w:proofErr w:type="spellEnd"/>
      <w:r w:rsidR="00211C0D">
        <w:t>.</w:t>
      </w:r>
    </w:p>
    <w:p w:rsidR="00252879" w:rsidRDefault="00252879" w:rsidP="00D830F0">
      <w:pPr>
        <w:pStyle w:val="BodyText"/>
      </w:pPr>
    </w:p>
    <w:p w:rsidR="00D16304" w:rsidRDefault="00D16304" w:rsidP="00D830F0">
      <w:pPr>
        <w:pStyle w:val="BodyText"/>
      </w:pPr>
    </w:p>
    <w:p w:rsidR="00D16304" w:rsidRDefault="00D16304" w:rsidP="00D830F0">
      <w:pPr>
        <w:pStyle w:val="BodyText"/>
      </w:pPr>
    </w:p>
    <w:p w:rsidR="00A05500" w:rsidRDefault="00A05500" w:rsidP="004267D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A05500" w:rsidTr="006852A2">
        <w:tc>
          <w:tcPr>
            <w:tcW w:w="8771" w:type="dxa"/>
            <w:tcBorders>
              <w:top w:val="single" w:sz="6" w:space="0" w:color="78A22F"/>
              <w:left w:val="nil"/>
              <w:bottom w:val="nil"/>
              <w:right w:val="nil"/>
            </w:tcBorders>
            <w:shd w:val="clear" w:color="auto" w:fill="auto"/>
          </w:tcPr>
          <w:p w:rsidR="00A05500" w:rsidRDefault="00A05500" w:rsidP="004267DB">
            <w:pPr>
              <w:pStyle w:val="TableTitle"/>
            </w:pPr>
            <w:r>
              <w:rPr>
                <w:b w:val="0"/>
              </w:rPr>
              <w:t xml:space="preserve">Table </w:t>
            </w:r>
            <w:r w:rsidR="00AB1EB7">
              <w:rPr>
                <w:b w:val="0"/>
              </w:rPr>
              <w:t>I.</w:t>
            </w:r>
            <w:r w:rsidR="00AB1EB7">
              <w:rPr>
                <w:b w:val="0"/>
                <w:noProof/>
              </w:rPr>
              <w:t>1</w:t>
            </w:r>
            <w:r>
              <w:tab/>
              <w:t xml:space="preserve">SEIFA </w:t>
            </w:r>
            <w:proofErr w:type="spellStart"/>
            <w:r>
              <w:t>deciles</w:t>
            </w:r>
            <w:proofErr w:type="spellEnd"/>
            <w:r>
              <w:t xml:space="preserve"> of CLCs and their clients</w:t>
            </w:r>
          </w:p>
          <w:p w:rsidR="00A05500" w:rsidRPr="00784A05" w:rsidRDefault="00A05500" w:rsidP="00A05500">
            <w:pPr>
              <w:pStyle w:val="Subtitle"/>
            </w:pPr>
            <w:r w:rsidRPr="00A05500">
              <w:t>Per cent, 2011</w:t>
            </w:r>
            <w:r>
              <w:noBreakHyphen/>
            </w:r>
            <w:r w:rsidRPr="00A05500">
              <w:t>12</w:t>
            </w:r>
          </w:p>
        </w:tc>
      </w:tr>
      <w:tr w:rsidR="00A05500" w:rsidTr="00F95957">
        <w:trPr>
          <w:cantSplit/>
        </w:trPr>
        <w:tc>
          <w:tcPr>
            <w:tcW w:w="8771" w:type="dxa"/>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1698"/>
              <w:gridCol w:w="2135"/>
              <w:gridCol w:w="137"/>
              <w:gridCol w:w="2259"/>
              <w:gridCol w:w="2258"/>
            </w:tblGrid>
            <w:tr w:rsidR="00A95271" w:rsidTr="007C6895">
              <w:tc>
                <w:tcPr>
                  <w:tcW w:w="1000" w:type="pct"/>
                  <w:tcBorders>
                    <w:top w:val="single" w:sz="6" w:space="0" w:color="BFBFBF" w:themeColor="background2"/>
                    <w:bottom w:val="single" w:sz="6" w:space="0" w:color="BFBFBF" w:themeColor="background2"/>
                  </w:tcBorders>
                  <w:shd w:val="clear" w:color="auto" w:fill="auto"/>
                  <w:vAlign w:val="bottom"/>
                </w:tcPr>
                <w:p w:rsidR="00A95271" w:rsidRDefault="00A95271" w:rsidP="007C6895">
                  <w:pPr>
                    <w:pStyle w:val="TableColumnHeading"/>
                    <w:jc w:val="left"/>
                  </w:pPr>
                  <w:r>
                    <w:t xml:space="preserve">SEIFA </w:t>
                  </w:r>
                  <w:proofErr w:type="spellStart"/>
                  <w:r>
                    <w:t>decile</w:t>
                  </w:r>
                  <w:proofErr w:type="spellEnd"/>
                </w:p>
              </w:tc>
              <w:tc>
                <w:tcPr>
                  <w:tcW w:w="1258" w:type="pct"/>
                  <w:tcBorders>
                    <w:top w:val="single" w:sz="6" w:space="0" w:color="BFBFBF" w:themeColor="background2"/>
                    <w:bottom w:val="single" w:sz="6" w:space="0" w:color="BFBFBF" w:themeColor="background2"/>
                  </w:tcBorders>
                  <w:shd w:val="clear" w:color="auto" w:fill="auto"/>
                  <w:vAlign w:val="bottom"/>
                </w:tcPr>
                <w:p w:rsidR="00A95271" w:rsidRDefault="00A95271" w:rsidP="007C6895">
                  <w:pPr>
                    <w:pStyle w:val="TableColumnHeading"/>
                  </w:pPr>
                  <w:r>
                    <w:t>CLC clients</w:t>
                  </w:r>
                </w:p>
              </w:tc>
              <w:tc>
                <w:tcPr>
                  <w:tcW w:w="81" w:type="pct"/>
                  <w:tcBorders>
                    <w:top w:val="single" w:sz="6" w:space="0" w:color="BFBFBF" w:themeColor="background2"/>
                  </w:tcBorders>
                  <w:shd w:val="clear" w:color="auto" w:fill="auto"/>
                  <w:vAlign w:val="bottom"/>
                </w:tcPr>
                <w:p w:rsidR="00A95271" w:rsidRDefault="00A95271" w:rsidP="007C6895">
                  <w:pPr>
                    <w:pStyle w:val="TableColumnHeading"/>
                    <w:jc w:val="center"/>
                  </w:pPr>
                </w:p>
              </w:tc>
              <w:tc>
                <w:tcPr>
                  <w:tcW w:w="2661" w:type="pct"/>
                  <w:gridSpan w:val="2"/>
                  <w:tcBorders>
                    <w:top w:val="single" w:sz="6" w:space="0" w:color="BFBFBF" w:themeColor="background2"/>
                    <w:bottom w:val="single" w:sz="6" w:space="0" w:color="BFBFBF" w:themeColor="background2"/>
                  </w:tcBorders>
                  <w:shd w:val="clear" w:color="auto" w:fill="auto"/>
                  <w:vAlign w:val="bottom"/>
                </w:tcPr>
                <w:p w:rsidR="00A95271" w:rsidRDefault="00A95271" w:rsidP="007C6895">
                  <w:pPr>
                    <w:pStyle w:val="TableColumnHeading"/>
                    <w:ind w:right="28"/>
                    <w:jc w:val="center"/>
                  </w:pPr>
                  <w:r>
                    <w:t>CLCs</w:t>
                  </w:r>
                  <w:r w:rsidR="00A00F76" w:rsidRPr="00A00F76">
                    <w:rPr>
                      <w:rStyle w:val="NoteLabel"/>
                      <w:i w:val="0"/>
                    </w:rPr>
                    <w:t>d</w:t>
                  </w:r>
                </w:p>
              </w:tc>
            </w:tr>
            <w:tr w:rsidR="00A95271" w:rsidTr="00AB7509">
              <w:tc>
                <w:tcPr>
                  <w:tcW w:w="1000" w:type="pct"/>
                  <w:tcBorders>
                    <w:top w:val="single" w:sz="6" w:space="0" w:color="BFBFBF" w:themeColor="background2"/>
                    <w:bottom w:val="single" w:sz="6" w:space="0" w:color="BFBFBF" w:themeColor="background2"/>
                  </w:tcBorders>
                </w:tcPr>
                <w:p w:rsidR="00A95271" w:rsidRDefault="00A95271" w:rsidP="00AB7509">
                  <w:pPr>
                    <w:pStyle w:val="TableColumnHeading"/>
                    <w:jc w:val="left"/>
                  </w:pPr>
                </w:p>
              </w:tc>
              <w:tc>
                <w:tcPr>
                  <w:tcW w:w="1258" w:type="pct"/>
                  <w:tcBorders>
                    <w:top w:val="single" w:sz="6" w:space="0" w:color="BFBFBF" w:themeColor="background2"/>
                    <w:bottom w:val="single" w:sz="6" w:space="0" w:color="BFBFBF" w:themeColor="background2"/>
                  </w:tcBorders>
                </w:tcPr>
                <w:p w:rsidR="00A95271" w:rsidRDefault="00A95271" w:rsidP="00AB7509">
                  <w:pPr>
                    <w:pStyle w:val="TableColumnHeading"/>
                  </w:pPr>
                  <w:r>
                    <w:t>Total</w:t>
                  </w:r>
                </w:p>
              </w:tc>
              <w:tc>
                <w:tcPr>
                  <w:tcW w:w="81" w:type="pct"/>
                  <w:tcBorders>
                    <w:bottom w:val="single" w:sz="6" w:space="0" w:color="BFBFBF" w:themeColor="background2"/>
                  </w:tcBorders>
                </w:tcPr>
                <w:p w:rsidR="00A95271" w:rsidRDefault="00A95271" w:rsidP="00AB7509">
                  <w:pPr>
                    <w:pStyle w:val="TableColumnHeading"/>
                  </w:pPr>
                </w:p>
              </w:tc>
              <w:tc>
                <w:tcPr>
                  <w:tcW w:w="1331" w:type="pct"/>
                  <w:tcBorders>
                    <w:top w:val="single" w:sz="6" w:space="0" w:color="BFBFBF" w:themeColor="background2"/>
                    <w:bottom w:val="single" w:sz="6" w:space="0" w:color="BFBFBF" w:themeColor="background2"/>
                  </w:tcBorders>
                </w:tcPr>
                <w:p w:rsidR="00A95271" w:rsidRDefault="00A95271" w:rsidP="00AB7509">
                  <w:pPr>
                    <w:pStyle w:val="TableColumnHeading"/>
                  </w:pPr>
                  <w:r>
                    <w:t>Total (unweighted)</w:t>
                  </w:r>
                </w:p>
              </w:tc>
              <w:tc>
                <w:tcPr>
                  <w:tcW w:w="1331" w:type="pct"/>
                  <w:tcBorders>
                    <w:top w:val="single" w:sz="6" w:space="0" w:color="BFBFBF" w:themeColor="background2"/>
                    <w:bottom w:val="single" w:sz="6" w:space="0" w:color="BFBFBF" w:themeColor="background2"/>
                  </w:tcBorders>
                </w:tcPr>
                <w:p w:rsidR="00A95271" w:rsidRDefault="00A95271" w:rsidP="00AB7509">
                  <w:pPr>
                    <w:pStyle w:val="TableColumnHeading"/>
                  </w:pPr>
                  <w:r>
                    <w:t>Total (weighted)</w:t>
                  </w:r>
                </w:p>
              </w:tc>
            </w:tr>
            <w:tr w:rsidR="00A95271" w:rsidTr="00AB7509">
              <w:tc>
                <w:tcPr>
                  <w:tcW w:w="1000" w:type="pct"/>
                  <w:tcBorders>
                    <w:top w:val="single" w:sz="6" w:space="0" w:color="BFBFBF" w:themeColor="background2"/>
                  </w:tcBorders>
                  <w:vAlign w:val="bottom"/>
                </w:tcPr>
                <w:p w:rsidR="00A95271" w:rsidRDefault="00A95271" w:rsidP="00AB7509">
                  <w:pPr>
                    <w:pStyle w:val="TableBodyText"/>
                    <w:jc w:val="left"/>
                  </w:pPr>
                  <w:r>
                    <w:t>1</w:t>
                  </w:r>
                </w:p>
              </w:tc>
              <w:tc>
                <w:tcPr>
                  <w:tcW w:w="1258" w:type="pct"/>
                  <w:tcBorders>
                    <w:top w:val="single" w:sz="6" w:space="0" w:color="BFBFBF" w:themeColor="background2"/>
                  </w:tcBorders>
                  <w:vAlign w:val="bottom"/>
                </w:tcPr>
                <w:p w:rsidR="00A95271" w:rsidRDefault="00A95271" w:rsidP="00AB7509">
                  <w:pPr>
                    <w:pStyle w:val="TableBodyText"/>
                  </w:pPr>
                  <w:r>
                    <w:t>10.0</w:t>
                  </w:r>
                </w:p>
              </w:tc>
              <w:tc>
                <w:tcPr>
                  <w:tcW w:w="81" w:type="pct"/>
                  <w:tcBorders>
                    <w:top w:val="single" w:sz="6" w:space="0" w:color="BFBFBF" w:themeColor="background2"/>
                  </w:tcBorders>
                </w:tcPr>
                <w:p w:rsidR="00A95271" w:rsidRDefault="00A95271" w:rsidP="00AB7509">
                  <w:pPr>
                    <w:pStyle w:val="TableBodyText"/>
                  </w:pPr>
                </w:p>
              </w:tc>
              <w:tc>
                <w:tcPr>
                  <w:tcW w:w="1331" w:type="pct"/>
                  <w:tcBorders>
                    <w:top w:val="single" w:sz="6" w:space="0" w:color="BFBFBF" w:themeColor="background2"/>
                  </w:tcBorders>
                  <w:vAlign w:val="bottom"/>
                </w:tcPr>
                <w:p w:rsidR="00A95271" w:rsidRDefault="00A95271" w:rsidP="00AB7509">
                  <w:pPr>
                    <w:pStyle w:val="TableBodyText"/>
                  </w:pPr>
                  <w:r>
                    <w:t>9.4</w:t>
                  </w:r>
                </w:p>
              </w:tc>
              <w:tc>
                <w:tcPr>
                  <w:tcW w:w="1331" w:type="pct"/>
                  <w:tcBorders>
                    <w:top w:val="single" w:sz="6" w:space="0" w:color="BFBFBF" w:themeColor="background2"/>
                  </w:tcBorders>
                  <w:vAlign w:val="bottom"/>
                </w:tcPr>
                <w:p w:rsidR="00A95271" w:rsidRDefault="00A95271" w:rsidP="00AB7509">
                  <w:pPr>
                    <w:pStyle w:val="TableBodyText"/>
                  </w:pPr>
                  <w:r>
                    <w:t>9.5</w:t>
                  </w:r>
                </w:p>
              </w:tc>
            </w:tr>
            <w:tr w:rsidR="00A95271" w:rsidTr="00AB7509">
              <w:tc>
                <w:tcPr>
                  <w:tcW w:w="1000" w:type="pct"/>
                  <w:vAlign w:val="bottom"/>
                </w:tcPr>
                <w:p w:rsidR="00A95271" w:rsidRDefault="00A95271" w:rsidP="00AB7509">
                  <w:pPr>
                    <w:pStyle w:val="TableBodyText"/>
                    <w:jc w:val="left"/>
                  </w:pPr>
                  <w:r>
                    <w:t>2</w:t>
                  </w:r>
                </w:p>
              </w:tc>
              <w:tc>
                <w:tcPr>
                  <w:tcW w:w="1258" w:type="pct"/>
                  <w:vAlign w:val="bottom"/>
                </w:tcPr>
                <w:p w:rsidR="00A95271" w:rsidRDefault="00A95271" w:rsidP="00AB7509">
                  <w:pPr>
                    <w:pStyle w:val="TableBodyText"/>
                  </w:pPr>
                  <w:r>
                    <w:t>9.1</w:t>
                  </w:r>
                </w:p>
              </w:tc>
              <w:tc>
                <w:tcPr>
                  <w:tcW w:w="81" w:type="pct"/>
                </w:tcPr>
                <w:p w:rsidR="00A95271" w:rsidRDefault="00A95271" w:rsidP="00AB7509">
                  <w:pPr>
                    <w:pStyle w:val="TableBodyText"/>
                  </w:pPr>
                </w:p>
              </w:tc>
              <w:tc>
                <w:tcPr>
                  <w:tcW w:w="1331" w:type="pct"/>
                  <w:vAlign w:val="bottom"/>
                </w:tcPr>
                <w:p w:rsidR="00A95271" w:rsidRDefault="00A95271" w:rsidP="00AB7509">
                  <w:pPr>
                    <w:pStyle w:val="TableBodyText"/>
                  </w:pPr>
                  <w:r>
                    <w:t>5.5</w:t>
                  </w:r>
                </w:p>
              </w:tc>
              <w:tc>
                <w:tcPr>
                  <w:tcW w:w="1331" w:type="pct"/>
                  <w:vAlign w:val="bottom"/>
                </w:tcPr>
                <w:p w:rsidR="00A95271" w:rsidRDefault="00A95271" w:rsidP="00AB7509">
                  <w:pPr>
                    <w:pStyle w:val="TableBodyText"/>
                  </w:pPr>
                  <w:r>
                    <w:t>5.3</w:t>
                  </w:r>
                </w:p>
              </w:tc>
            </w:tr>
            <w:tr w:rsidR="00A95271" w:rsidTr="00AB7509">
              <w:tc>
                <w:tcPr>
                  <w:tcW w:w="1000" w:type="pct"/>
                  <w:vAlign w:val="bottom"/>
                </w:tcPr>
                <w:p w:rsidR="00A95271" w:rsidRDefault="00A95271" w:rsidP="00AB7509">
                  <w:pPr>
                    <w:pStyle w:val="TableBodyText"/>
                    <w:jc w:val="left"/>
                  </w:pPr>
                  <w:r>
                    <w:t>3</w:t>
                  </w:r>
                </w:p>
              </w:tc>
              <w:tc>
                <w:tcPr>
                  <w:tcW w:w="1258" w:type="pct"/>
                  <w:vAlign w:val="bottom"/>
                </w:tcPr>
                <w:p w:rsidR="00A95271" w:rsidRDefault="00A95271" w:rsidP="00AB7509">
                  <w:pPr>
                    <w:pStyle w:val="TableBodyText"/>
                  </w:pPr>
                  <w:r>
                    <w:t>7.4</w:t>
                  </w:r>
                </w:p>
              </w:tc>
              <w:tc>
                <w:tcPr>
                  <w:tcW w:w="81" w:type="pct"/>
                </w:tcPr>
                <w:p w:rsidR="00A95271" w:rsidRDefault="00A95271" w:rsidP="00AB7509">
                  <w:pPr>
                    <w:pStyle w:val="TableBodyText"/>
                  </w:pPr>
                </w:p>
              </w:tc>
              <w:tc>
                <w:tcPr>
                  <w:tcW w:w="1331" w:type="pct"/>
                  <w:vAlign w:val="bottom"/>
                </w:tcPr>
                <w:p w:rsidR="00A95271" w:rsidRDefault="00A95271" w:rsidP="00AB7509">
                  <w:pPr>
                    <w:pStyle w:val="TableBodyText"/>
                  </w:pPr>
                  <w:r>
                    <w:t>5.5</w:t>
                  </w:r>
                </w:p>
              </w:tc>
              <w:tc>
                <w:tcPr>
                  <w:tcW w:w="1331" w:type="pct"/>
                  <w:vAlign w:val="bottom"/>
                </w:tcPr>
                <w:p w:rsidR="00A95271" w:rsidRDefault="00A95271" w:rsidP="00AB7509">
                  <w:pPr>
                    <w:pStyle w:val="TableBodyText"/>
                  </w:pPr>
                  <w:r>
                    <w:t>4.6</w:t>
                  </w:r>
                </w:p>
              </w:tc>
            </w:tr>
            <w:tr w:rsidR="00A95271" w:rsidTr="00AB7509">
              <w:tc>
                <w:tcPr>
                  <w:tcW w:w="1000" w:type="pct"/>
                  <w:vAlign w:val="bottom"/>
                </w:tcPr>
                <w:p w:rsidR="00A95271" w:rsidRDefault="00A95271" w:rsidP="00AB7509">
                  <w:pPr>
                    <w:pStyle w:val="TableBodyText"/>
                    <w:jc w:val="left"/>
                  </w:pPr>
                  <w:r>
                    <w:t>4</w:t>
                  </w:r>
                </w:p>
              </w:tc>
              <w:tc>
                <w:tcPr>
                  <w:tcW w:w="1258" w:type="pct"/>
                  <w:vAlign w:val="bottom"/>
                </w:tcPr>
                <w:p w:rsidR="00A95271" w:rsidRDefault="00A95271" w:rsidP="00AB7509">
                  <w:pPr>
                    <w:pStyle w:val="TableBodyText"/>
                  </w:pPr>
                  <w:r>
                    <w:t>10.4</w:t>
                  </w:r>
                </w:p>
              </w:tc>
              <w:tc>
                <w:tcPr>
                  <w:tcW w:w="81" w:type="pct"/>
                </w:tcPr>
                <w:p w:rsidR="00A95271" w:rsidRDefault="00A95271" w:rsidP="00AB7509">
                  <w:pPr>
                    <w:pStyle w:val="TableBodyText"/>
                  </w:pPr>
                </w:p>
              </w:tc>
              <w:tc>
                <w:tcPr>
                  <w:tcW w:w="1331" w:type="pct"/>
                  <w:vAlign w:val="bottom"/>
                </w:tcPr>
                <w:p w:rsidR="00A95271" w:rsidRDefault="00A95271" w:rsidP="00AB7509">
                  <w:pPr>
                    <w:pStyle w:val="TableBodyText"/>
                  </w:pPr>
                  <w:r>
                    <w:t>2.2</w:t>
                  </w:r>
                </w:p>
              </w:tc>
              <w:tc>
                <w:tcPr>
                  <w:tcW w:w="1331" w:type="pct"/>
                  <w:vAlign w:val="bottom"/>
                </w:tcPr>
                <w:p w:rsidR="00A95271" w:rsidRDefault="00A95271" w:rsidP="00AB7509">
                  <w:pPr>
                    <w:pStyle w:val="TableBodyText"/>
                  </w:pPr>
                  <w:r>
                    <w:t>3.4</w:t>
                  </w:r>
                </w:p>
              </w:tc>
            </w:tr>
            <w:tr w:rsidR="00A95271" w:rsidTr="00AB7509">
              <w:tc>
                <w:tcPr>
                  <w:tcW w:w="1000" w:type="pct"/>
                  <w:vAlign w:val="bottom"/>
                </w:tcPr>
                <w:p w:rsidR="00A95271" w:rsidRDefault="00A95271" w:rsidP="00AB7509">
                  <w:pPr>
                    <w:pStyle w:val="TableBodyText"/>
                    <w:jc w:val="left"/>
                  </w:pPr>
                  <w:r>
                    <w:t>5</w:t>
                  </w:r>
                </w:p>
              </w:tc>
              <w:tc>
                <w:tcPr>
                  <w:tcW w:w="1258" w:type="pct"/>
                  <w:vAlign w:val="bottom"/>
                </w:tcPr>
                <w:p w:rsidR="00A95271" w:rsidRDefault="00A95271" w:rsidP="00AB7509">
                  <w:pPr>
                    <w:pStyle w:val="TableBodyText"/>
                  </w:pPr>
                  <w:r>
                    <w:t>10.2</w:t>
                  </w:r>
                </w:p>
              </w:tc>
              <w:tc>
                <w:tcPr>
                  <w:tcW w:w="81" w:type="pct"/>
                </w:tcPr>
                <w:p w:rsidR="00A95271" w:rsidRDefault="00A95271" w:rsidP="00AB7509">
                  <w:pPr>
                    <w:pStyle w:val="TableBodyText"/>
                  </w:pPr>
                </w:p>
              </w:tc>
              <w:tc>
                <w:tcPr>
                  <w:tcW w:w="1331" w:type="pct"/>
                  <w:vAlign w:val="bottom"/>
                </w:tcPr>
                <w:p w:rsidR="00A95271" w:rsidRDefault="00A95271" w:rsidP="00AB7509">
                  <w:pPr>
                    <w:pStyle w:val="TableBodyText"/>
                  </w:pPr>
                  <w:r>
                    <w:t>4.1</w:t>
                  </w:r>
                </w:p>
              </w:tc>
              <w:tc>
                <w:tcPr>
                  <w:tcW w:w="1331" w:type="pct"/>
                  <w:vAlign w:val="bottom"/>
                </w:tcPr>
                <w:p w:rsidR="00A95271" w:rsidRDefault="00A95271" w:rsidP="00AB7509">
                  <w:pPr>
                    <w:pStyle w:val="TableBodyText"/>
                  </w:pPr>
                  <w:r>
                    <w:t>4.2</w:t>
                  </w:r>
                </w:p>
              </w:tc>
            </w:tr>
            <w:tr w:rsidR="00A95271" w:rsidTr="00AB7509">
              <w:tc>
                <w:tcPr>
                  <w:tcW w:w="1000" w:type="pct"/>
                  <w:vAlign w:val="bottom"/>
                </w:tcPr>
                <w:p w:rsidR="00A95271" w:rsidRDefault="00A95271" w:rsidP="00AB7509">
                  <w:pPr>
                    <w:pStyle w:val="TableBodyText"/>
                    <w:jc w:val="left"/>
                  </w:pPr>
                  <w:r>
                    <w:t>6</w:t>
                  </w:r>
                </w:p>
              </w:tc>
              <w:tc>
                <w:tcPr>
                  <w:tcW w:w="1258" w:type="pct"/>
                  <w:vAlign w:val="bottom"/>
                </w:tcPr>
                <w:p w:rsidR="00A95271" w:rsidRDefault="00A95271" w:rsidP="00AB7509">
                  <w:pPr>
                    <w:pStyle w:val="TableBodyText"/>
                  </w:pPr>
                  <w:r>
                    <w:t>11.5</w:t>
                  </w:r>
                </w:p>
              </w:tc>
              <w:tc>
                <w:tcPr>
                  <w:tcW w:w="81" w:type="pct"/>
                </w:tcPr>
                <w:p w:rsidR="00A95271" w:rsidRDefault="00A95271" w:rsidP="00AB7509">
                  <w:pPr>
                    <w:pStyle w:val="TableBodyText"/>
                  </w:pPr>
                </w:p>
              </w:tc>
              <w:tc>
                <w:tcPr>
                  <w:tcW w:w="1331" w:type="pct"/>
                  <w:vAlign w:val="bottom"/>
                </w:tcPr>
                <w:p w:rsidR="00A95271" w:rsidRDefault="00A95271" w:rsidP="00AB7509">
                  <w:pPr>
                    <w:pStyle w:val="TableBodyText"/>
                  </w:pPr>
                  <w:r>
                    <w:t>4.1</w:t>
                  </w:r>
                </w:p>
              </w:tc>
              <w:tc>
                <w:tcPr>
                  <w:tcW w:w="1331" w:type="pct"/>
                  <w:vAlign w:val="bottom"/>
                </w:tcPr>
                <w:p w:rsidR="00A95271" w:rsidRDefault="00A95271" w:rsidP="00AB7509">
                  <w:pPr>
                    <w:pStyle w:val="TableBodyText"/>
                  </w:pPr>
                  <w:r>
                    <w:t>4.1</w:t>
                  </w:r>
                </w:p>
              </w:tc>
            </w:tr>
            <w:tr w:rsidR="00A95271" w:rsidTr="00AB7509">
              <w:tc>
                <w:tcPr>
                  <w:tcW w:w="1000" w:type="pct"/>
                  <w:vAlign w:val="bottom"/>
                </w:tcPr>
                <w:p w:rsidR="00A95271" w:rsidRDefault="00A95271" w:rsidP="00AB7509">
                  <w:pPr>
                    <w:pStyle w:val="TableBodyText"/>
                    <w:jc w:val="left"/>
                  </w:pPr>
                  <w:r>
                    <w:t>7</w:t>
                  </w:r>
                </w:p>
              </w:tc>
              <w:tc>
                <w:tcPr>
                  <w:tcW w:w="1258" w:type="pct"/>
                  <w:vAlign w:val="bottom"/>
                </w:tcPr>
                <w:p w:rsidR="00A95271" w:rsidRDefault="00A95271" w:rsidP="00AB7509">
                  <w:pPr>
                    <w:pStyle w:val="TableBodyText"/>
                  </w:pPr>
                  <w:r>
                    <w:t>10.0</w:t>
                  </w:r>
                </w:p>
              </w:tc>
              <w:tc>
                <w:tcPr>
                  <w:tcW w:w="81" w:type="pct"/>
                </w:tcPr>
                <w:p w:rsidR="00A95271" w:rsidRDefault="00A95271" w:rsidP="00AB7509">
                  <w:pPr>
                    <w:pStyle w:val="TableBodyText"/>
                  </w:pPr>
                </w:p>
              </w:tc>
              <w:tc>
                <w:tcPr>
                  <w:tcW w:w="1331" w:type="pct"/>
                  <w:vAlign w:val="bottom"/>
                </w:tcPr>
                <w:p w:rsidR="00A95271" w:rsidRDefault="00A95271" w:rsidP="00AB7509">
                  <w:pPr>
                    <w:pStyle w:val="TableBodyText"/>
                  </w:pPr>
                  <w:r>
                    <w:t>4.1</w:t>
                  </w:r>
                </w:p>
              </w:tc>
              <w:tc>
                <w:tcPr>
                  <w:tcW w:w="1331" w:type="pct"/>
                  <w:vAlign w:val="bottom"/>
                </w:tcPr>
                <w:p w:rsidR="00A95271" w:rsidRDefault="00A95271" w:rsidP="00AB7509">
                  <w:pPr>
                    <w:pStyle w:val="TableBodyText"/>
                  </w:pPr>
                  <w:r>
                    <w:t>3.6</w:t>
                  </w:r>
                </w:p>
              </w:tc>
            </w:tr>
            <w:tr w:rsidR="00A95271" w:rsidTr="00AB7509">
              <w:tc>
                <w:tcPr>
                  <w:tcW w:w="1000" w:type="pct"/>
                  <w:vAlign w:val="bottom"/>
                </w:tcPr>
                <w:p w:rsidR="00A95271" w:rsidRDefault="00A95271" w:rsidP="00AB7509">
                  <w:pPr>
                    <w:pStyle w:val="TableBodyText"/>
                    <w:jc w:val="left"/>
                  </w:pPr>
                  <w:r>
                    <w:t>8</w:t>
                  </w:r>
                </w:p>
              </w:tc>
              <w:tc>
                <w:tcPr>
                  <w:tcW w:w="1258" w:type="pct"/>
                  <w:vAlign w:val="bottom"/>
                </w:tcPr>
                <w:p w:rsidR="00A95271" w:rsidRDefault="00A95271" w:rsidP="00AB7509">
                  <w:pPr>
                    <w:pStyle w:val="TableBodyText"/>
                  </w:pPr>
                  <w:r>
                    <w:t>10.0</w:t>
                  </w:r>
                </w:p>
              </w:tc>
              <w:tc>
                <w:tcPr>
                  <w:tcW w:w="81" w:type="pct"/>
                </w:tcPr>
                <w:p w:rsidR="00A95271" w:rsidRDefault="00A95271" w:rsidP="00AB7509">
                  <w:pPr>
                    <w:pStyle w:val="TableBodyText"/>
                  </w:pPr>
                </w:p>
              </w:tc>
              <w:tc>
                <w:tcPr>
                  <w:tcW w:w="1331" w:type="pct"/>
                  <w:vAlign w:val="bottom"/>
                </w:tcPr>
                <w:p w:rsidR="00A95271" w:rsidRDefault="00A95271" w:rsidP="00AB7509">
                  <w:pPr>
                    <w:pStyle w:val="TableBodyText"/>
                  </w:pPr>
                  <w:r>
                    <w:t>30.1</w:t>
                  </w:r>
                </w:p>
              </w:tc>
              <w:tc>
                <w:tcPr>
                  <w:tcW w:w="1331" w:type="pct"/>
                  <w:vAlign w:val="bottom"/>
                </w:tcPr>
                <w:p w:rsidR="00A95271" w:rsidRDefault="00A95271" w:rsidP="00AB7509">
                  <w:pPr>
                    <w:pStyle w:val="TableBodyText"/>
                  </w:pPr>
                  <w:r>
                    <w:t>29.8</w:t>
                  </w:r>
                </w:p>
              </w:tc>
            </w:tr>
            <w:tr w:rsidR="00A95271" w:rsidTr="00AB7509">
              <w:tc>
                <w:tcPr>
                  <w:tcW w:w="1000" w:type="pct"/>
                  <w:vAlign w:val="bottom"/>
                </w:tcPr>
                <w:p w:rsidR="00A95271" w:rsidRDefault="00A95271" w:rsidP="00AB7509">
                  <w:pPr>
                    <w:pStyle w:val="TableBodyText"/>
                    <w:jc w:val="left"/>
                  </w:pPr>
                  <w:r>
                    <w:t>9</w:t>
                  </w:r>
                </w:p>
              </w:tc>
              <w:tc>
                <w:tcPr>
                  <w:tcW w:w="1258" w:type="pct"/>
                  <w:vAlign w:val="bottom"/>
                </w:tcPr>
                <w:p w:rsidR="00A95271" w:rsidRDefault="00A95271" w:rsidP="00AB7509">
                  <w:pPr>
                    <w:pStyle w:val="TableBodyText"/>
                  </w:pPr>
                  <w:r>
                    <w:t>12.5</w:t>
                  </w:r>
                </w:p>
              </w:tc>
              <w:tc>
                <w:tcPr>
                  <w:tcW w:w="81" w:type="pct"/>
                </w:tcPr>
                <w:p w:rsidR="00A95271" w:rsidRDefault="00A95271" w:rsidP="00AB7509">
                  <w:pPr>
                    <w:pStyle w:val="TableBodyText"/>
                  </w:pPr>
                </w:p>
              </w:tc>
              <w:tc>
                <w:tcPr>
                  <w:tcW w:w="1331" w:type="pct"/>
                  <w:vAlign w:val="bottom"/>
                </w:tcPr>
                <w:p w:rsidR="00A95271" w:rsidRDefault="00A95271" w:rsidP="00AB7509">
                  <w:pPr>
                    <w:pStyle w:val="TableBodyText"/>
                  </w:pPr>
                  <w:r>
                    <w:t>22.6</w:t>
                  </w:r>
                </w:p>
              </w:tc>
              <w:tc>
                <w:tcPr>
                  <w:tcW w:w="1331" w:type="pct"/>
                  <w:vAlign w:val="bottom"/>
                </w:tcPr>
                <w:p w:rsidR="00A95271" w:rsidRDefault="00A95271" w:rsidP="00AB7509">
                  <w:pPr>
                    <w:pStyle w:val="TableBodyText"/>
                  </w:pPr>
                  <w:r>
                    <w:t>22.4</w:t>
                  </w:r>
                </w:p>
              </w:tc>
            </w:tr>
            <w:tr w:rsidR="00A95271" w:rsidTr="00AB7509">
              <w:tc>
                <w:tcPr>
                  <w:tcW w:w="1000" w:type="pct"/>
                  <w:vAlign w:val="bottom"/>
                </w:tcPr>
                <w:p w:rsidR="00A95271" w:rsidRDefault="00A95271" w:rsidP="00AB7509">
                  <w:pPr>
                    <w:pStyle w:val="TableBodyText"/>
                    <w:jc w:val="left"/>
                  </w:pPr>
                  <w:r>
                    <w:t>10</w:t>
                  </w:r>
                </w:p>
              </w:tc>
              <w:tc>
                <w:tcPr>
                  <w:tcW w:w="1258" w:type="pct"/>
                  <w:vAlign w:val="bottom"/>
                </w:tcPr>
                <w:p w:rsidR="00A95271" w:rsidRDefault="00A95271" w:rsidP="00AB7509">
                  <w:pPr>
                    <w:pStyle w:val="TableBodyText"/>
                  </w:pPr>
                  <w:r>
                    <w:t>8.0</w:t>
                  </w:r>
                </w:p>
              </w:tc>
              <w:tc>
                <w:tcPr>
                  <w:tcW w:w="81" w:type="pct"/>
                </w:tcPr>
                <w:p w:rsidR="00A95271" w:rsidRDefault="00A95271" w:rsidP="00AB7509">
                  <w:pPr>
                    <w:pStyle w:val="TableBodyText"/>
                  </w:pPr>
                </w:p>
              </w:tc>
              <w:tc>
                <w:tcPr>
                  <w:tcW w:w="1331" w:type="pct"/>
                  <w:vAlign w:val="bottom"/>
                </w:tcPr>
                <w:p w:rsidR="00A95271" w:rsidRDefault="00A95271" w:rsidP="00AB7509">
                  <w:pPr>
                    <w:pStyle w:val="TableBodyText"/>
                  </w:pPr>
                  <w:r>
                    <w:t>6.2</w:t>
                  </w:r>
                </w:p>
              </w:tc>
              <w:tc>
                <w:tcPr>
                  <w:tcW w:w="1331" w:type="pct"/>
                  <w:vAlign w:val="bottom"/>
                </w:tcPr>
                <w:p w:rsidR="00A95271" w:rsidRDefault="00A95271" w:rsidP="00AB7509">
                  <w:pPr>
                    <w:pStyle w:val="TableBodyText"/>
                  </w:pPr>
                  <w:r>
                    <w:t>8.2</w:t>
                  </w:r>
                </w:p>
              </w:tc>
            </w:tr>
            <w:tr w:rsidR="00A95271" w:rsidTr="007C6895">
              <w:tc>
                <w:tcPr>
                  <w:tcW w:w="1000" w:type="pct"/>
                  <w:vAlign w:val="bottom"/>
                </w:tcPr>
                <w:p w:rsidR="00A95271" w:rsidRDefault="00A95271" w:rsidP="007C6895">
                  <w:pPr>
                    <w:pStyle w:val="TableBodyText"/>
                    <w:jc w:val="left"/>
                  </w:pPr>
                  <w:proofErr w:type="spellStart"/>
                  <w:r>
                    <w:t>na</w:t>
                  </w:r>
                  <w:proofErr w:type="spellEnd"/>
                  <w:r w:rsidR="00A00F76">
                    <w:rPr>
                      <w:rStyle w:val="NoteLabel"/>
                    </w:rPr>
                    <w:t>a</w:t>
                  </w:r>
                </w:p>
              </w:tc>
              <w:tc>
                <w:tcPr>
                  <w:tcW w:w="1258" w:type="pct"/>
                  <w:vAlign w:val="bottom"/>
                </w:tcPr>
                <w:p w:rsidR="00A95271" w:rsidRDefault="00A95271" w:rsidP="007C6895">
                  <w:pPr>
                    <w:pStyle w:val="TableBodyText"/>
                  </w:pPr>
                  <w:r>
                    <w:t>0.8</w:t>
                  </w:r>
                </w:p>
              </w:tc>
              <w:tc>
                <w:tcPr>
                  <w:tcW w:w="81" w:type="pct"/>
                  <w:vAlign w:val="bottom"/>
                </w:tcPr>
                <w:p w:rsidR="00A95271" w:rsidRDefault="00A95271" w:rsidP="007C6895">
                  <w:pPr>
                    <w:pStyle w:val="TableBodyText"/>
                  </w:pPr>
                </w:p>
              </w:tc>
              <w:tc>
                <w:tcPr>
                  <w:tcW w:w="1331" w:type="pct"/>
                  <w:vAlign w:val="bottom"/>
                </w:tcPr>
                <w:p w:rsidR="00A95271" w:rsidRDefault="00A95271" w:rsidP="007C6895">
                  <w:pPr>
                    <w:pStyle w:val="TableBodyText"/>
                  </w:pPr>
                  <w:r>
                    <w:t>6.3</w:t>
                  </w:r>
                </w:p>
              </w:tc>
              <w:tc>
                <w:tcPr>
                  <w:tcW w:w="1331" w:type="pct"/>
                  <w:vAlign w:val="bottom"/>
                </w:tcPr>
                <w:p w:rsidR="00A95271" w:rsidRDefault="00A95271" w:rsidP="007C6895">
                  <w:pPr>
                    <w:pStyle w:val="TableBodyText"/>
                  </w:pPr>
                  <w:r>
                    <w:t>5.0</w:t>
                  </w:r>
                </w:p>
              </w:tc>
            </w:tr>
            <w:tr w:rsidR="00A95271" w:rsidTr="007C6895">
              <w:tc>
                <w:tcPr>
                  <w:tcW w:w="1000" w:type="pct"/>
                  <w:vAlign w:val="bottom"/>
                </w:tcPr>
                <w:p w:rsidR="00A95271" w:rsidRPr="0016250C" w:rsidRDefault="00A95271" w:rsidP="007C6895">
                  <w:pPr>
                    <w:pStyle w:val="TableBodyText"/>
                    <w:jc w:val="left"/>
                  </w:pPr>
                  <w:r>
                    <w:t>Other</w:t>
                  </w:r>
                  <w:r w:rsidR="00A00F76">
                    <w:rPr>
                      <w:rStyle w:val="NoteLabel"/>
                    </w:rPr>
                    <w:t>b</w:t>
                  </w:r>
                </w:p>
              </w:tc>
              <w:tc>
                <w:tcPr>
                  <w:tcW w:w="1258" w:type="pct"/>
                  <w:vAlign w:val="bottom"/>
                </w:tcPr>
                <w:p w:rsidR="00A95271" w:rsidRDefault="00A95271" w:rsidP="007C6895">
                  <w:pPr>
                    <w:pStyle w:val="TableBodyText"/>
                  </w:pPr>
                  <w:r>
                    <w:t>0.2</w:t>
                  </w:r>
                </w:p>
              </w:tc>
              <w:tc>
                <w:tcPr>
                  <w:tcW w:w="81" w:type="pct"/>
                  <w:vAlign w:val="bottom"/>
                </w:tcPr>
                <w:p w:rsidR="00A95271" w:rsidRDefault="00A95271" w:rsidP="007C6895">
                  <w:pPr>
                    <w:pStyle w:val="TableBodyText"/>
                  </w:pPr>
                </w:p>
              </w:tc>
              <w:tc>
                <w:tcPr>
                  <w:tcW w:w="1331" w:type="pct"/>
                  <w:vAlign w:val="bottom"/>
                </w:tcPr>
                <w:p w:rsidR="00A95271" w:rsidRDefault="00A95271" w:rsidP="007C6895">
                  <w:pPr>
                    <w:pStyle w:val="TableBodyText"/>
                  </w:pPr>
                </w:p>
              </w:tc>
              <w:tc>
                <w:tcPr>
                  <w:tcW w:w="1331" w:type="pct"/>
                  <w:vAlign w:val="bottom"/>
                </w:tcPr>
                <w:p w:rsidR="00A95271" w:rsidRDefault="00A95271" w:rsidP="007C6895">
                  <w:pPr>
                    <w:pStyle w:val="TableBodyText"/>
                  </w:pPr>
                </w:p>
              </w:tc>
            </w:tr>
            <w:tr w:rsidR="00A95271" w:rsidTr="007C6895">
              <w:tc>
                <w:tcPr>
                  <w:tcW w:w="1000" w:type="pct"/>
                  <w:tcBorders>
                    <w:bottom w:val="single" w:sz="6" w:space="0" w:color="BFBFBF" w:themeColor="background2"/>
                  </w:tcBorders>
                  <w:shd w:val="clear" w:color="auto" w:fill="auto"/>
                  <w:vAlign w:val="bottom"/>
                </w:tcPr>
                <w:p w:rsidR="00A95271" w:rsidRDefault="00A95271" w:rsidP="007C6895">
                  <w:pPr>
                    <w:pStyle w:val="TableBodyText"/>
                    <w:jc w:val="left"/>
                  </w:pPr>
                  <w:r>
                    <w:t>Total</w:t>
                  </w:r>
                  <w:r w:rsidR="00A00F76">
                    <w:rPr>
                      <w:rStyle w:val="NoteLabel"/>
                    </w:rPr>
                    <w:t>c</w:t>
                  </w:r>
                </w:p>
              </w:tc>
              <w:tc>
                <w:tcPr>
                  <w:tcW w:w="1258" w:type="pct"/>
                  <w:tcBorders>
                    <w:bottom w:val="single" w:sz="6" w:space="0" w:color="BFBFBF" w:themeColor="background2"/>
                  </w:tcBorders>
                  <w:shd w:val="clear" w:color="auto" w:fill="auto"/>
                  <w:vAlign w:val="bottom"/>
                </w:tcPr>
                <w:p w:rsidR="00A95271" w:rsidRDefault="00A95271" w:rsidP="007C6895">
                  <w:pPr>
                    <w:pStyle w:val="TableBodyText"/>
                  </w:pPr>
                  <w:r>
                    <w:t>100.0</w:t>
                  </w:r>
                </w:p>
              </w:tc>
              <w:tc>
                <w:tcPr>
                  <w:tcW w:w="81" w:type="pct"/>
                  <w:tcBorders>
                    <w:bottom w:val="single" w:sz="6" w:space="0" w:color="BFBFBF" w:themeColor="background2"/>
                  </w:tcBorders>
                  <w:shd w:val="clear" w:color="auto" w:fill="auto"/>
                  <w:vAlign w:val="bottom"/>
                </w:tcPr>
                <w:p w:rsidR="00A95271" w:rsidRDefault="00A95271" w:rsidP="007C6895">
                  <w:pPr>
                    <w:pStyle w:val="TableBodyText"/>
                  </w:pPr>
                </w:p>
              </w:tc>
              <w:tc>
                <w:tcPr>
                  <w:tcW w:w="1331" w:type="pct"/>
                  <w:tcBorders>
                    <w:bottom w:val="single" w:sz="6" w:space="0" w:color="BFBFBF" w:themeColor="background2"/>
                  </w:tcBorders>
                  <w:shd w:val="clear" w:color="auto" w:fill="auto"/>
                  <w:vAlign w:val="bottom"/>
                </w:tcPr>
                <w:p w:rsidR="00A95271" w:rsidRDefault="00A95271" w:rsidP="007C6895">
                  <w:pPr>
                    <w:pStyle w:val="TableBodyText"/>
                  </w:pPr>
                  <w:r>
                    <w:t>100.0</w:t>
                  </w:r>
                </w:p>
              </w:tc>
              <w:tc>
                <w:tcPr>
                  <w:tcW w:w="1331" w:type="pct"/>
                  <w:tcBorders>
                    <w:bottom w:val="single" w:sz="6" w:space="0" w:color="BFBFBF" w:themeColor="background2"/>
                  </w:tcBorders>
                  <w:shd w:val="clear" w:color="auto" w:fill="auto"/>
                  <w:vAlign w:val="bottom"/>
                </w:tcPr>
                <w:p w:rsidR="00A95271" w:rsidRDefault="00A95271" w:rsidP="007C6895">
                  <w:pPr>
                    <w:pStyle w:val="TableBodyText"/>
                  </w:pPr>
                  <w:r>
                    <w:t>100.0</w:t>
                  </w:r>
                </w:p>
              </w:tc>
            </w:tr>
          </w:tbl>
          <w:p w:rsidR="00A05500" w:rsidRDefault="00A05500" w:rsidP="00846637">
            <w:pPr>
              <w:pStyle w:val="Box"/>
            </w:pPr>
          </w:p>
        </w:tc>
      </w:tr>
      <w:tr w:rsidR="00A05500" w:rsidTr="00F95957">
        <w:trPr>
          <w:cantSplit/>
        </w:trPr>
        <w:tc>
          <w:tcPr>
            <w:tcW w:w="8771" w:type="dxa"/>
            <w:tcBorders>
              <w:top w:val="nil"/>
              <w:left w:val="nil"/>
              <w:bottom w:val="nil"/>
              <w:right w:val="nil"/>
            </w:tcBorders>
            <w:shd w:val="clear" w:color="auto" w:fill="auto"/>
          </w:tcPr>
          <w:p w:rsidR="00A05500" w:rsidRDefault="00A00F76" w:rsidP="00A00F76">
            <w:pPr>
              <w:pStyle w:val="Note"/>
              <w:rPr>
                <w:i/>
              </w:rPr>
            </w:pPr>
            <w:proofErr w:type="gramStart"/>
            <w:r>
              <w:rPr>
                <w:rStyle w:val="NoteLabel"/>
              </w:rPr>
              <w:t>a</w:t>
            </w:r>
            <w:proofErr w:type="gramEnd"/>
            <w:r w:rsidR="002332F0">
              <w:t xml:space="preserve"> ‘</w:t>
            </w:r>
            <w:proofErr w:type="spellStart"/>
            <w:r w:rsidR="002332F0">
              <w:t>na</w:t>
            </w:r>
            <w:proofErr w:type="spellEnd"/>
            <w:r w:rsidR="002332F0">
              <w:t xml:space="preserve">’ refers either to clients or CLCs whose locality maps to a postcode exclusively for post office box use. Accordingly, these special postcodes have no population or SEIFA index. </w:t>
            </w:r>
            <w:proofErr w:type="gramStart"/>
            <w:r>
              <w:rPr>
                <w:rStyle w:val="NoteLabel"/>
              </w:rPr>
              <w:t>b</w:t>
            </w:r>
            <w:proofErr w:type="gramEnd"/>
            <w:r w:rsidR="002332F0">
              <w:t xml:space="preserve"> Includes those where location could not be identified, or the locality of the individual was an overseas location. </w:t>
            </w:r>
            <w:proofErr w:type="gramStart"/>
            <w:r>
              <w:rPr>
                <w:rStyle w:val="NoteLabel"/>
              </w:rPr>
              <w:t>c</w:t>
            </w:r>
            <w:proofErr w:type="gramEnd"/>
            <w:r>
              <w:t xml:space="preserve"> May not sum to 100 due to rounding. </w:t>
            </w:r>
            <w:proofErr w:type="gramStart"/>
            <w:r>
              <w:rPr>
                <w:rStyle w:val="NoteLabel"/>
              </w:rPr>
              <w:t>d</w:t>
            </w:r>
            <w:proofErr w:type="gramEnd"/>
            <w:r w:rsidR="002332F0">
              <w:t xml:space="preserve"> CLC location is weighted by the number of clients it serves.</w:t>
            </w:r>
          </w:p>
        </w:tc>
      </w:tr>
      <w:tr w:rsidR="00A05500" w:rsidTr="006852A2">
        <w:trPr>
          <w:cantSplit/>
        </w:trPr>
        <w:tc>
          <w:tcPr>
            <w:tcW w:w="8771" w:type="dxa"/>
            <w:tcBorders>
              <w:top w:val="nil"/>
              <w:left w:val="nil"/>
              <w:bottom w:val="nil"/>
              <w:right w:val="nil"/>
            </w:tcBorders>
            <w:shd w:val="clear" w:color="auto" w:fill="auto"/>
          </w:tcPr>
          <w:p w:rsidR="00A05500" w:rsidRDefault="000F7331" w:rsidP="00FD5CAD">
            <w:pPr>
              <w:pStyle w:val="Source"/>
            </w:pPr>
            <w:r>
              <w:rPr>
                <w:i/>
              </w:rPr>
              <w:t>Source</w:t>
            </w:r>
            <w:r w:rsidR="000A018C">
              <w:rPr>
                <w:i/>
              </w:rPr>
              <w:t>s</w:t>
            </w:r>
            <w:r>
              <w:t>: Commission estimates based on unpublished CLSIS data and ABS (</w:t>
            </w:r>
            <w:r w:rsidRPr="0006552F">
              <w:rPr>
                <w:i/>
              </w:rPr>
              <w:t>Census of Population and Housing: Socio-Economic Indexes for Areas (SEIFA), Australia, 2011</w:t>
            </w:r>
            <w:r>
              <w:rPr>
                <w:i/>
              </w:rPr>
              <w:t xml:space="preserve">, </w:t>
            </w:r>
            <w:r>
              <w:t>Cat. no. 2033.0.55.001).</w:t>
            </w:r>
          </w:p>
        </w:tc>
      </w:tr>
      <w:tr w:rsidR="00A05500" w:rsidTr="006852A2">
        <w:trPr>
          <w:cantSplit/>
        </w:trPr>
        <w:tc>
          <w:tcPr>
            <w:tcW w:w="8771" w:type="dxa"/>
            <w:tcBorders>
              <w:top w:val="nil"/>
              <w:left w:val="nil"/>
              <w:bottom w:val="single" w:sz="6" w:space="0" w:color="78A22F"/>
              <w:right w:val="nil"/>
            </w:tcBorders>
            <w:shd w:val="clear" w:color="auto" w:fill="auto"/>
          </w:tcPr>
          <w:p w:rsidR="00A05500" w:rsidRDefault="00A05500" w:rsidP="00846637">
            <w:pPr>
              <w:pStyle w:val="Box"/>
              <w:spacing w:before="0" w:line="120" w:lineRule="exact"/>
            </w:pPr>
          </w:p>
        </w:tc>
      </w:tr>
      <w:tr w:rsidR="00A05500" w:rsidRPr="000863A5" w:rsidTr="006852A2">
        <w:tc>
          <w:tcPr>
            <w:tcW w:w="8771" w:type="dxa"/>
            <w:tcBorders>
              <w:top w:val="single" w:sz="6" w:space="0" w:color="78A22F"/>
              <w:left w:val="nil"/>
              <w:bottom w:val="nil"/>
              <w:right w:val="nil"/>
            </w:tcBorders>
          </w:tcPr>
          <w:p w:rsidR="00A05500" w:rsidRPr="000A018C" w:rsidRDefault="00A05500" w:rsidP="00784A05">
            <w:pPr>
              <w:pStyle w:val="BoxSpaceBelow"/>
            </w:pPr>
          </w:p>
        </w:tc>
      </w:tr>
    </w:tbl>
    <w:p w:rsidR="00D830F0" w:rsidRDefault="00F53505" w:rsidP="00D830F0">
      <w:pPr>
        <w:pStyle w:val="BodyText"/>
      </w:pPr>
      <w:r>
        <w:t>However, t</w:t>
      </w:r>
      <w:r w:rsidR="00D830F0">
        <w:t>here are some reasons why using SEIFA postcodes may not be appropriate to measure legal need</w:t>
      </w:r>
      <w:r w:rsidR="00807814">
        <w:t>.</w:t>
      </w:r>
    </w:p>
    <w:p w:rsidR="00D830F0" w:rsidRDefault="00716D32" w:rsidP="00807814">
      <w:pPr>
        <w:pStyle w:val="ListNumber"/>
      </w:pPr>
      <w:r>
        <w:t xml:space="preserve">The SEIFA scores associated with postcodes reflect the </w:t>
      </w:r>
      <w:r>
        <w:rPr>
          <w:i/>
        </w:rPr>
        <w:t>average</w:t>
      </w:r>
      <w:r>
        <w:t xml:space="preserve"> level of disadvantage. There </w:t>
      </w:r>
      <w:r w:rsidR="00B95E77">
        <w:t xml:space="preserve">can be relatively disadvantaged individuals in </w:t>
      </w:r>
      <w:r w:rsidR="00204433">
        <w:t xml:space="preserve">postcodes associated with </w:t>
      </w:r>
      <w:r w:rsidR="00B95E77">
        <w:t xml:space="preserve">high SEIFA </w:t>
      </w:r>
      <w:r w:rsidR="00BF55E5">
        <w:t>scores</w:t>
      </w:r>
      <w:r w:rsidR="00B95E77">
        <w:t xml:space="preserve">. </w:t>
      </w:r>
    </w:p>
    <w:p w:rsidR="00946815" w:rsidRDefault="00946815" w:rsidP="00807814">
      <w:pPr>
        <w:pStyle w:val="ListNumber"/>
      </w:pPr>
      <w:r>
        <w:t xml:space="preserve">Many CLCs offer outreach services, and so travel to more disadvantaged locations relative to their main office. </w:t>
      </w:r>
    </w:p>
    <w:p w:rsidR="00D830F0" w:rsidRDefault="00361850" w:rsidP="00807814">
      <w:pPr>
        <w:pStyle w:val="ListNumber"/>
      </w:pPr>
      <w:r>
        <w:t>Some</w:t>
      </w:r>
      <w:r w:rsidR="00E14CA0">
        <w:t xml:space="preserve"> specialised CLCs provide a </w:t>
      </w:r>
      <w:r w:rsidR="00FE3883">
        <w:t>particular</w:t>
      </w:r>
      <w:r w:rsidR="00E14CA0">
        <w:t xml:space="preserve"> service that is not aimed at disadvantaged clients.</w:t>
      </w:r>
      <w:r w:rsidR="00A7543C">
        <w:t xml:space="preserve"> F</w:t>
      </w:r>
      <w:r w:rsidR="00EB3F0F">
        <w:t xml:space="preserve">or example, </w:t>
      </w:r>
      <w:r w:rsidR="00A94082">
        <w:t>environmental defender</w:t>
      </w:r>
      <w:r w:rsidR="00FC029F">
        <w:t xml:space="preserve"> offices</w:t>
      </w:r>
      <w:r w:rsidR="00A94082">
        <w:t xml:space="preserve"> provide</w:t>
      </w:r>
      <w:r w:rsidR="00D830F0">
        <w:t xml:space="preserve"> assistance to all members of the community irrespective of their socioeconomic status. </w:t>
      </w:r>
    </w:p>
    <w:p w:rsidR="00E1132C" w:rsidRDefault="00E1132C" w:rsidP="00E1132C">
      <w:pPr>
        <w:pStyle w:val="ListNumber"/>
      </w:pPr>
      <w:r>
        <w:t xml:space="preserve">Some CLCs focus on particular matters rather than servicing a particular geographical area. In doing so, it may make sense for them to be centrally located (in high SEIFA </w:t>
      </w:r>
      <w:proofErr w:type="spellStart"/>
      <w:r>
        <w:t>decile</w:t>
      </w:r>
      <w:proofErr w:type="spellEnd"/>
      <w:r>
        <w:t xml:space="preserve"> areas) to try and provide services to as many people as possible.</w:t>
      </w:r>
    </w:p>
    <w:p w:rsidR="00E40389" w:rsidRDefault="00F003F0">
      <w:pPr>
        <w:pStyle w:val="BodyText"/>
      </w:pPr>
      <w:r>
        <w:t xml:space="preserve">These concerns can be addressed by comparing </w:t>
      </w:r>
      <w:r w:rsidR="00276E9B">
        <w:t xml:space="preserve">administrative data on </w:t>
      </w:r>
      <w:r>
        <w:t xml:space="preserve">the </w:t>
      </w:r>
      <w:r w:rsidR="000B21FA">
        <w:t xml:space="preserve">income of individuals </w:t>
      </w:r>
      <w:r w:rsidR="00D85611">
        <w:t>that use</w:t>
      </w:r>
      <w:r w:rsidR="000B21FA">
        <w:t xml:space="preserve"> CLCs against the SEIFA </w:t>
      </w:r>
      <w:proofErr w:type="spellStart"/>
      <w:r w:rsidR="000B21FA">
        <w:t>decile</w:t>
      </w:r>
      <w:proofErr w:type="spellEnd"/>
      <w:r w:rsidR="000B21FA">
        <w:t xml:space="preserve"> of their postcode</w:t>
      </w:r>
      <w:r w:rsidR="00276E9B">
        <w:t xml:space="preserve"> </w:t>
      </w:r>
      <w:r w:rsidR="00BB4FDB">
        <w:t>(figure I.1)</w:t>
      </w:r>
      <w:r w:rsidR="000B21FA">
        <w:t>.</w:t>
      </w:r>
      <w:r w:rsidR="00DF6C91">
        <w:t xml:space="preserve"> </w:t>
      </w:r>
      <w:r w:rsidR="00E40389">
        <w:t>The left hand panel presents this distribution</w:t>
      </w:r>
      <w:r w:rsidR="00352020">
        <w:t>, and indicates that</w:t>
      </w:r>
      <w:r w:rsidR="00E40389">
        <w:t xml:space="preserve"> while most CLC clients report low incomes irrespective of their SEIFA </w:t>
      </w:r>
      <w:proofErr w:type="spellStart"/>
      <w:r w:rsidR="00352020">
        <w:t>decile</w:t>
      </w:r>
      <w:proofErr w:type="spellEnd"/>
      <w:r w:rsidR="00E40389">
        <w:t xml:space="preserve">, the average income of CLC clients from advantaged postcodes is higher than those from disadvantaged postcodes. The right hand </w:t>
      </w:r>
      <w:r w:rsidR="00E40389">
        <w:lastRenderedPageBreak/>
        <w:t xml:space="preserve">panel in </w:t>
      </w:r>
      <w:r w:rsidR="00D5160E">
        <w:t>f</w:t>
      </w:r>
      <w:r w:rsidR="00E40389">
        <w:t xml:space="preserve">igure I.1 is </w:t>
      </w:r>
      <w:r w:rsidR="00D95E79">
        <w:t xml:space="preserve">also </w:t>
      </w:r>
      <w:r w:rsidR="00E40389">
        <w:t xml:space="preserve">consistent with this finding, suggesting that CLCs located in high SEIFA </w:t>
      </w:r>
      <w:proofErr w:type="spellStart"/>
      <w:r w:rsidR="00E40389">
        <w:t>deciles</w:t>
      </w:r>
      <w:proofErr w:type="spellEnd"/>
      <w:r w:rsidR="00E40389">
        <w:t xml:space="preserve"> serve smaller proportions of low-income clients than their counterparts located in low SEIFA </w:t>
      </w:r>
      <w:proofErr w:type="spellStart"/>
      <w:r w:rsidR="00E40389">
        <w:t>deciles</w:t>
      </w:r>
      <w:proofErr w:type="spellEnd"/>
      <w:r w:rsidR="00E40389">
        <w:t>.</w:t>
      </w:r>
    </w:p>
    <w:p w:rsidR="00515028" w:rsidRPr="000A018C" w:rsidRDefault="00515028" w:rsidP="00176D3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515028" w:rsidTr="00F95957">
        <w:tc>
          <w:tcPr>
            <w:tcW w:w="8771" w:type="dxa"/>
            <w:tcBorders>
              <w:top w:val="single" w:sz="6" w:space="0" w:color="78A22F"/>
              <w:left w:val="nil"/>
              <w:bottom w:val="nil"/>
              <w:right w:val="nil"/>
            </w:tcBorders>
            <w:shd w:val="clear" w:color="auto" w:fill="auto"/>
          </w:tcPr>
          <w:p w:rsidR="00515028" w:rsidRDefault="00515028" w:rsidP="00784A05">
            <w:pPr>
              <w:pStyle w:val="FigureTitle"/>
            </w:pPr>
            <w:r w:rsidRPr="00784A05">
              <w:rPr>
                <w:b w:val="0"/>
              </w:rPr>
              <w:t xml:space="preserve">Figure </w:t>
            </w:r>
            <w:r w:rsidR="00AB1EB7">
              <w:rPr>
                <w:b w:val="0"/>
              </w:rPr>
              <w:t>I.</w:t>
            </w:r>
            <w:r w:rsidR="00AB1EB7">
              <w:rPr>
                <w:b w:val="0"/>
                <w:noProof/>
              </w:rPr>
              <w:t>1</w:t>
            </w:r>
            <w:r>
              <w:tab/>
              <w:t xml:space="preserve">Reported income by SEIFA </w:t>
            </w:r>
            <w:proofErr w:type="spellStart"/>
            <w:r>
              <w:t>decile</w:t>
            </w:r>
            <w:proofErr w:type="spellEnd"/>
            <w:r>
              <w:t xml:space="preserve"> of CLC client and CLC location</w:t>
            </w:r>
            <w:r w:rsidRPr="00594E5C">
              <w:rPr>
                <w:rStyle w:val="NoteLabel"/>
                <w:b/>
              </w:rPr>
              <w:t>a</w:t>
            </w:r>
          </w:p>
          <w:p w:rsidR="00515028" w:rsidRPr="00176D3F" w:rsidRDefault="00515028" w:rsidP="00784A05">
            <w:pPr>
              <w:pStyle w:val="Subtitle"/>
            </w:pPr>
            <w:r>
              <w:t>2011</w:t>
            </w:r>
            <w:r>
              <w:noBreakHyphen/>
              <w:t>12</w:t>
            </w:r>
          </w:p>
        </w:tc>
      </w:tr>
      <w:tr w:rsidR="00515028" w:rsidTr="00F95957">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515028" w:rsidTr="00FD33F1">
              <w:tc>
                <w:tcPr>
                  <w:tcW w:w="5000" w:type="pct"/>
                  <w:tcBorders>
                    <w:top w:val="nil"/>
                    <w:bottom w:val="nil"/>
                  </w:tcBorders>
                </w:tcPr>
                <w:p w:rsidR="00515028" w:rsidRDefault="007C6895" w:rsidP="007C17A6">
                  <w:pPr>
                    <w:pStyle w:val="Figure"/>
                    <w:spacing w:before="60" w:after="60"/>
                  </w:pPr>
                  <w:r>
                    <w:rPr>
                      <w:noProof/>
                    </w:rPr>
                    <w:drawing>
                      <wp:inline distT="0" distB="0" distL="0" distR="0">
                        <wp:extent cx="2664000" cy="2860104"/>
                        <wp:effectExtent l="0" t="0" r="3175" b="0"/>
                        <wp:docPr id="3" name="Picture 3" descr="This figure consists of two panels. This panel shows the income category declared by CLC client by SEIFA decile. It indicates that those clients that live in more advantaged (higher SEIFA) deciles are more likely to declare higher income, or not to have their income recorded by CLCs." title="Figure I.1 Reported income by SEIFA decile of CLC client and CLC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4000" cy="2860104"/>
                                </a:xfrm>
                                <a:prstGeom prst="rect">
                                  <a:avLst/>
                                </a:prstGeom>
                                <a:noFill/>
                                <a:ln>
                                  <a:noFill/>
                                </a:ln>
                              </pic:spPr>
                            </pic:pic>
                          </a:graphicData>
                        </a:graphic>
                      </wp:inline>
                    </w:drawing>
                  </w:r>
                  <w:r>
                    <w:rPr>
                      <w:noProof/>
                    </w:rPr>
                    <w:drawing>
                      <wp:inline distT="0" distB="0" distL="0" distR="0">
                        <wp:extent cx="2664000" cy="2860104"/>
                        <wp:effectExtent l="0" t="0" r="3175" b="0"/>
                        <wp:docPr id="7" name="Picture 7" descr="This figure consists of two panels.  This panel shows the proportion of income groups declared by CLC by SEIFA decile, based on the centre’s location. It indicates that CLCs located in more advantaged (higher SEIFA) deciles have more advantaged clients than those located in less advantaged areas." title="Figure I.1 Reported income by SEIFA decile of CLC client and CLC location 20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4000" cy="2860104"/>
                                </a:xfrm>
                                <a:prstGeom prst="rect">
                                  <a:avLst/>
                                </a:prstGeom>
                                <a:noFill/>
                                <a:ln>
                                  <a:noFill/>
                                </a:ln>
                              </pic:spPr>
                            </pic:pic>
                          </a:graphicData>
                        </a:graphic>
                      </wp:inline>
                    </w:drawing>
                  </w:r>
                </w:p>
              </w:tc>
            </w:tr>
            <w:tr w:rsidR="00DD5D4C" w:rsidTr="00FD33F1">
              <w:tc>
                <w:tcPr>
                  <w:tcW w:w="5000" w:type="pct"/>
                  <w:tcBorders>
                    <w:top w:val="nil"/>
                    <w:bottom w:val="nil"/>
                  </w:tcBorders>
                </w:tcPr>
                <w:p w:rsidR="00DD5D4C" w:rsidRDefault="000165EB" w:rsidP="007C17A6">
                  <w:pPr>
                    <w:pStyle w:val="Figure"/>
                    <w:spacing w:before="60" w:after="60"/>
                    <w:rPr>
                      <w:noProof/>
                    </w:rPr>
                  </w:pPr>
                  <w:r>
                    <w:rPr>
                      <w:noProof/>
                    </w:rPr>
                    <w:drawing>
                      <wp:inline distT="0" distB="0" distL="0" distR="0">
                        <wp:extent cx="5287983" cy="181155"/>
                        <wp:effectExtent l="0" t="0" r="0" b="9525"/>
                        <wp:docPr id="8" name="Picture 8" descr="Legend is:&#10;Medium green for No income&#10;Blue for Low income&#10;Light green for Medium income&#10;Black for High income&#10;White/Light blue for Not recorded" title="Legend for Figure I.1 Reported income by SEIFA decile of CLC client and CLC location 20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076" b="36540"/>
                                <a:stretch/>
                              </pic:blipFill>
                              <pic:spPr bwMode="auto">
                                <a:xfrm>
                                  <a:off x="0" y="0"/>
                                  <a:ext cx="5288280" cy="18116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15028" w:rsidRDefault="00515028" w:rsidP="00176D3F">
            <w:pPr>
              <w:pStyle w:val="Figure"/>
            </w:pPr>
          </w:p>
        </w:tc>
      </w:tr>
      <w:tr w:rsidR="00515028" w:rsidRPr="00176D3F" w:rsidTr="00F95957">
        <w:tc>
          <w:tcPr>
            <w:tcW w:w="8771" w:type="dxa"/>
            <w:tcBorders>
              <w:top w:val="nil"/>
              <w:left w:val="nil"/>
              <w:bottom w:val="nil"/>
              <w:right w:val="nil"/>
            </w:tcBorders>
            <w:shd w:val="clear" w:color="auto" w:fill="auto"/>
          </w:tcPr>
          <w:p w:rsidR="00515028" w:rsidRPr="00176D3F" w:rsidRDefault="004C461A" w:rsidP="004C461A">
            <w:pPr>
              <w:pStyle w:val="Note"/>
            </w:pPr>
            <w:proofErr w:type="gramStart"/>
            <w:r>
              <w:rPr>
                <w:rStyle w:val="NoteLabel"/>
              </w:rPr>
              <w:t>a</w:t>
            </w:r>
            <w:proofErr w:type="gramEnd"/>
            <w:r>
              <w:t> ‘</w:t>
            </w:r>
            <w:proofErr w:type="spellStart"/>
            <w:r w:rsidR="00DD5D4C">
              <w:t>na</w:t>
            </w:r>
            <w:proofErr w:type="spellEnd"/>
            <w:r w:rsidR="00DD5D4C">
              <w:t xml:space="preserve">’ of SEIFA </w:t>
            </w:r>
            <w:proofErr w:type="spellStart"/>
            <w:r w:rsidR="00DD5D4C">
              <w:t>decile</w:t>
            </w:r>
            <w:proofErr w:type="spellEnd"/>
            <w:r w:rsidR="00DD5D4C">
              <w:t xml:space="preserve"> refers to those localities linked to postcodes for post-office box purposes only. Income is defined in CLSIS as no income, low inco</w:t>
            </w:r>
            <w:r>
              <w:t>me (‘under $500 per week or $26 </w:t>
            </w:r>
            <w:r w:rsidR="00DD5D4C">
              <w:t>000 per year’), medium income (‘between</w:t>
            </w:r>
            <w:r>
              <w:t xml:space="preserve"> $500 and $1000 per week or $26 000 to $52 </w:t>
            </w:r>
            <w:r w:rsidR="00DD5D4C">
              <w:t>000 per year’), high income (‘$1000 per week or over or $52 000 per year or over’), not applicable or not stated.</w:t>
            </w:r>
          </w:p>
        </w:tc>
      </w:tr>
      <w:tr w:rsidR="00515028" w:rsidRPr="00176D3F" w:rsidTr="00F95957">
        <w:tc>
          <w:tcPr>
            <w:tcW w:w="8771" w:type="dxa"/>
            <w:tcBorders>
              <w:top w:val="nil"/>
              <w:left w:val="nil"/>
              <w:bottom w:val="nil"/>
              <w:right w:val="nil"/>
            </w:tcBorders>
            <w:shd w:val="clear" w:color="auto" w:fill="auto"/>
          </w:tcPr>
          <w:p w:rsidR="00515028" w:rsidRPr="00DD5D4C" w:rsidRDefault="00DD5D4C" w:rsidP="00784A05">
            <w:pPr>
              <w:pStyle w:val="Source"/>
              <w:rPr>
                <w:b/>
              </w:rPr>
            </w:pPr>
            <w:r>
              <w:rPr>
                <w:i/>
              </w:rPr>
              <w:t>Data source</w:t>
            </w:r>
            <w:r w:rsidR="000A018C">
              <w:rPr>
                <w:i/>
              </w:rPr>
              <w:t>s</w:t>
            </w:r>
            <w:r w:rsidRPr="00167F06">
              <w:t xml:space="preserve">: </w:t>
            </w:r>
            <w:r>
              <w:t>Commission estimates based on unpublished CLSIS data and ABS (</w:t>
            </w:r>
            <w:r w:rsidRPr="00047EED">
              <w:rPr>
                <w:i/>
              </w:rPr>
              <w:t>Census of Population and Housing: Socio-Economic Indexes for Areas (SEIFA), Australia, 2011</w:t>
            </w:r>
            <w:r>
              <w:rPr>
                <w:i/>
              </w:rPr>
              <w:t xml:space="preserve">, </w:t>
            </w:r>
            <w:r>
              <w:t>Cat. no. 2033.0.55.001).</w:t>
            </w:r>
          </w:p>
        </w:tc>
      </w:tr>
      <w:tr w:rsidR="00515028" w:rsidTr="00F95957">
        <w:tc>
          <w:tcPr>
            <w:tcW w:w="8771" w:type="dxa"/>
            <w:tcBorders>
              <w:top w:val="nil"/>
              <w:left w:val="nil"/>
              <w:bottom w:val="single" w:sz="6" w:space="0" w:color="78A22F"/>
              <w:right w:val="nil"/>
            </w:tcBorders>
            <w:shd w:val="clear" w:color="auto" w:fill="auto"/>
          </w:tcPr>
          <w:p w:rsidR="00515028" w:rsidRDefault="00515028" w:rsidP="00176D3F">
            <w:pPr>
              <w:pStyle w:val="Figurespace"/>
            </w:pPr>
          </w:p>
        </w:tc>
      </w:tr>
      <w:tr w:rsidR="00515028" w:rsidRPr="000863A5" w:rsidTr="00215A8A">
        <w:tc>
          <w:tcPr>
            <w:tcW w:w="8771" w:type="dxa"/>
            <w:tcBorders>
              <w:top w:val="single" w:sz="6" w:space="0" w:color="78A22F"/>
              <w:left w:val="nil"/>
              <w:bottom w:val="nil"/>
              <w:right w:val="nil"/>
            </w:tcBorders>
          </w:tcPr>
          <w:p w:rsidR="00515028" w:rsidRPr="000A018C" w:rsidRDefault="00515028" w:rsidP="00176D3F">
            <w:pPr>
              <w:pStyle w:val="BoxSpaceBelow"/>
            </w:pPr>
          </w:p>
        </w:tc>
      </w:tr>
    </w:tbl>
    <w:p w:rsidR="00D014C3" w:rsidRDefault="002E109E" w:rsidP="00693127">
      <w:pPr>
        <w:pStyle w:val="BodyText"/>
      </w:pPr>
      <w:r>
        <w:t>The issue of placement of CLCs is</w:t>
      </w:r>
      <w:r w:rsidR="00693127">
        <w:t xml:space="preserve"> </w:t>
      </w:r>
      <w:r w:rsidR="00693127" w:rsidRPr="00693127">
        <w:t>d</w:t>
      </w:r>
      <w:r w:rsidR="0085075E">
        <w:t xml:space="preserve">iscussed </w:t>
      </w:r>
      <w:r w:rsidR="00583ED3">
        <w:t>in further detail</w:t>
      </w:r>
      <w:r w:rsidR="0085075E">
        <w:t xml:space="preserve"> in chapter 21.</w:t>
      </w:r>
      <w:bookmarkEnd w:id="2"/>
    </w:p>
    <w:sectPr w:rsidR="00D014C3" w:rsidSect="00025B9B">
      <w:headerReference w:type="even" r:id="rId12"/>
      <w:headerReference w:type="default" r:id="rId13"/>
      <w:footerReference w:type="even" r:id="rId14"/>
      <w:footerReference w:type="default" r:id="rId15"/>
      <w:pgSz w:w="11907" w:h="16840" w:code="9"/>
      <w:pgMar w:top="1984" w:right="1304" w:bottom="1247" w:left="1814" w:header="1701" w:footer="397" w:gutter="0"/>
      <w:pgNumType w:start="1029" w:chapStyle="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594" w:rsidRDefault="005D5594">
      <w:r>
        <w:separator/>
      </w:r>
    </w:p>
  </w:endnote>
  <w:endnote w:type="continuationSeparator" w:id="0">
    <w:p w:rsidR="005D5594" w:rsidRDefault="005D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52879" w:rsidTr="005F48ED">
      <w:trPr>
        <w:trHeight w:hRule="exact" w:val="567"/>
      </w:trPr>
      <w:tc>
        <w:tcPr>
          <w:tcW w:w="510" w:type="dxa"/>
        </w:tcPr>
        <w:p w:rsidR="00252879" w:rsidRPr="00A24443" w:rsidRDefault="0025287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D45AF">
            <w:rPr>
              <w:rStyle w:val="PageNumber"/>
              <w:caps w:val="0"/>
              <w:noProof/>
            </w:rPr>
            <w:t>1030</w:t>
          </w:r>
          <w:r w:rsidRPr="00A24443">
            <w:rPr>
              <w:rStyle w:val="PageNumber"/>
              <w:caps w:val="0"/>
            </w:rPr>
            <w:fldChar w:fldCharType="end"/>
          </w:r>
        </w:p>
      </w:tc>
      <w:tc>
        <w:tcPr>
          <w:tcW w:w="7767" w:type="dxa"/>
        </w:tcPr>
        <w:p w:rsidR="00252879" w:rsidRPr="0013739A" w:rsidRDefault="00252879"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sidR="00AB1EB7">
            <w:rPr>
              <w:rFonts w:cs="Arial"/>
            </w:rPr>
            <w:t>Access to Justice Arrangements</w:t>
          </w:r>
          <w:r w:rsidRPr="00BA5B14">
            <w:rPr>
              <w:rFonts w:cs="Arial"/>
            </w:rPr>
            <w:fldChar w:fldCharType="end"/>
          </w:r>
          <w:bookmarkStart w:id="5" w:name="DraftReportEven"/>
          <w:bookmarkEnd w:id="5"/>
        </w:p>
      </w:tc>
      <w:tc>
        <w:tcPr>
          <w:tcW w:w="510" w:type="dxa"/>
        </w:tcPr>
        <w:p w:rsidR="00252879" w:rsidRDefault="00252879" w:rsidP="0019293B">
          <w:pPr>
            <w:pStyle w:val="Footer"/>
          </w:pPr>
        </w:p>
      </w:tc>
    </w:tr>
  </w:tbl>
  <w:p w:rsidR="00252879" w:rsidRDefault="00252879" w:rsidP="0019293B">
    <w:pPr>
      <w:pStyle w:val="FooterEnd"/>
    </w:pPr>
  </w:p>
  <w:p w:rsidR="00096E55" w:rsidRDefault="00096E55"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52879" w:rsidTr="005F48ED">
      <w:trPr>
        <w:trHeight w:hRule="exact" w:val="567"/>
      </w:trPr>
      <w:tc>
        <w:tcPr>
          <w:tcW w:w="510" w:type="dxa"/>
        </w:tcPr>
        <w:p w:rsidR="00252879" w:rsidRDefault="00252879">
          <w:pPr>
            <w:pStyle w:val="Footer"/>
            <w:ind w:right="360" w:firstLine="360"/>
          </w:pPr>
        </w:p>
      </w:tc>
      <w:tc>
        <w:tcPr>
          <w:tcW w:w="7767" w:type="dxa"/>
        </w:tcPr>
        <w:p w:rsidR="00252879" w:rsidRPr="00BA5B14" w:rsidRDefault="00252879"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AB1EB7">
            <w:rPr>
              <w:rFonts w:cs="Arial"/>
            </w:rPr>
            <w:t>Location of community legal centres</w:t>
          </w:r>
          <w:r w:rsidRPr="00BA5B14">
            <w:rPr>
              <w:rFonts w:cs="Arial"/>
            </w:rPr>
            <w:fldChar w:fldCharType="end"/>
          </w:r>
        </w:p>
      </w:tc>
      <w:tc>
        <w:tcPr>
          <w:tcW w:w="510" w:type="dxa"/>
        </w:tcPr>
        <w:p w:rsidR="00252879" w:rsidRPr="00A24443" w:rsidRDefault="0025287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D45AF">
            <w:rPr>
              <w:rStyle w:val="PageNumber"/>
              <w:caps w:val="0"/>
              <w:noProof/>
            </w:rPr>
            <w:t>1029</w:t>
          </w:r>
          <w:r w:rsidRPr="00A24443">
            <w:rPr>
              <w:rStyle w:val="PageNumber"/>
              <w:caps w:val="0"/>
            </w:rPr>
            <w:fldChar w:fldCharType="end"/>
          </w:r>
        </w:p>
      </w:tc>
    </w:tr>
  </w:tbl>
  <w:p w:rsidR="00252879" w:rsidRDefault="00252879">
    <w:pPr>
      <w:pStyle w:val="FooterEnd"/>
    </w:pPr>
  </w:p>
  <w:p w:rsidR="00096E55" w:rsidRDefault="00096E5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594" w:rsidRDefault="005D5594">
      <w:r>
        <w:separator/>
      </w:r>
    </w:p>
  </w:footnote>
  <w:footnote w:type="continuationSeparator" w:id="0">
    <w:p w:rsidR="005D5594" w:rsidRDefault="005D5594">
      <w:r>
        <w:continuationSeparator/>
      </w:r>
    </w:p>
  </w:footnote>
  <w:footnote w:id="1">
    <w:p w:rsidR="007C435C" w:rsidRDefault="007C435C">
      <w:pPr>
        <w:pStyle w:val="FootnoteText"/>
      </w:pPr>
      <w:r>
        <w:rPr>
          <w:rStyle w:val="FootnoteReference"/>
        </w:rPr>
        <w:footnoteRef/>
      </w:r>
      <w:r>
        <w:t xml:space="preserve"> </w:t>
      </w:r>
      <w:r w:rsidR="00363ED9">
        <w:tab/>
      </w:r>
      <w:r w:rsidR="007C1A19">
        <w:t>These localities are usually rec</w:t>
      </w:r>
      <w:r w:rsidR="00D85611">
        <w:t>orded as a suburb</w:t>
      </w:r>
      <w:r w:rsidR="007C1A19">
        <w:t xml:space="preserve">, which allows for easy linking to a postcode. More cryptic responses are not always mappable, and in some cases data are not recorded for a small </w:t>
      </w:r>
      <w:r w:rsidR="0084254E">
        <w:t>number of clients.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96E55">
      <w:tc>
        <w:tcPr>
          <w:tcW w:w="2155" w:type="dxa"/>
          <w:tcBorders>
            <w:top w:val="single" w:sz="24" w:space="0" w:color="auto"/>
          </w:tcBorders>
        </w:tcPr>
        <w:p w:rsidR="00096E55" w:rsidRDefault="00096E55" w:rsidP="0019293B">
          <w:pPr>
            <w:pStyle w:val="HeaderEven"/>
          </w:pPr>
        </w:p>
      </w:tc>
      <w:tc>
        <w:tcPr>
          <w:tcW w:w="6634" w:type="dxa"/>
          <w:tcBorders>
            <w:top w:val="single" w:sz="6" w:space="0" w:color="auto"/>
          </w:tcBorders>
        </w:tcPr>
        <w:p w:rsidR="00096E55" w:rsidRDefault="00096E55" w:rsidP="0019293B">
          <w:pPr>
            <w:pStyle w:val="HeaderEven"/>
          </w:pPr>
        </w:p>
      </w:tc>
    </w:tr>
  </w:tbl>
  <w:p w:rsidR="00096E55" w:rsidRDefault="00096E55"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96E55">
      <w:tc>
        <w:tcPr>
          <w:tcW w:w="6634" w:type="dxa"/>
          <w:tcBorders>
            <w:top w:val="single" w:sz="6" w:space="0" w:color="auto"/>
          </w:tcBorders>
        </w:tcPr>
        <w:p w:rsidR="00096E55" w:rsidRDefault="00096E55" w:rsidP="00E669E2">
          <w:pPr>
            <w:pStyle w:val="HeaderOdd"/>
          </w:pPr>
        </w:p>
      </w:tc>
      <w:tc>
        <w:tcPr>
          <w:tcW w:w="2155" w:type="dxa"/>
          <w:tcBorders>
            <w:top w:val="single" w:sz="24" w:space="0" w:color="auto"/>
          </w:tcBorders>
        </w:tcPr>
        <w:p w:rsidR="00096E55" w:rsidRDefault="00096E55" w:rsidP="00E669E2">
          <w:pPr>
            <w:pStyle w:val="HeaderOdd"/>
          </w:pPr>
        </w:p>
      </w:tc>
    </w:tr>
  </w:tbl>
  <w:p w:rsidR="00096E55" w:rsidRDefault="00096E55"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0B5AF1CA"/>
    <w:lvl w:ilvl="0">
      <w:start w:val="1"/>
      <w:numFmt w:val="decimal"/>
      <w:lvlText w:val="%1."/>
      <w:lvlJc w:val="left"/>
      <w:pPr>
        <w:tabs>
          <w:tab w:val="num" w:pos="360"/>
        </w:tabs>
        <w:ind w:left="360" w:hanging="360"/>
      </w:pPr>
    </w:lvl>
  </w:abstractNum>
  <w:abstractNum w:abstractNumId="2">
    <w:nsid w:val="FFFFFFFE"/>
    <w:multiLevelType w:val="singleLevel"/>
    <w:tmpl w:val="FFFFFFFF"/>
    <w:lvl w:ilvl="0">
      <w:numFmt w:val="decimal"/>
      <w:lvlText w:val="*"/>
      <w:lvlJc w:val="left"/>
    </w:lvl>
  </w:abstractNum>
  <w:abstractNum w:abstractNumId="3">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5"/>
  </w:num>
  <w:num w:numId="3">
    <w:abstractNumId w:val="20"/>
  </w:num>
  <w:num w:numId="4">
    <w:abstractNumId w:val="3"/>
  </w:num>
  <w:num w:numId="5">
    <w:abstractNumId w:val="14"/>
  </w:num>
  <w:num w:numId="6">
    <w:abstractNumId w:val="4"/>
  </w:num>
  <w:num w:numId="7">
    <w:abstractNumId w:val="19"/>
  </w:num>
  <w:num w:numId="8">
    <w:abstractNumId w:val="16"/>
  </w:num>
  <w:num w:numId="9">
    <w:abstractNumId w:val="21"/>
  </w:num>
  <w:num w:numId="10">
    <w:abstractNumId w:val="10"/>
  </w:num>
  <w:num w:numId="11">
    <w:abstractNumId w:val="8"/>
  </w:num>
  <w:num w:numId="12">
    <w:abstractNumId w:val="15"/>
  </w:num>
  <w:num w:numId="13">
    <w:abstractNumId w:val="7"/>
  </w:num>
  <w:num w:numId="14">
    <w:abstractNumId w:val="6"/>
  </w:num>
  <w:num w:numId="15">
    <w:abstractNumId w:val="11"/>
  </w:num>
  <w:num w:numId="16">
    <w:abstractNumId w:val="13"/>
  </w:num>
  <w:num w:numId="17">
    <w:abstractNumId w:val="17"/>
  </w:num>
  <w:num w:numId="18">
    <w:abstractNumId w:val="18"/>
  </w:num>
  <w:num w:numId="19">
    <w:abstractNumId w:val="9"/>
  </w:num>
  <w:num w:numId="20">
    <w:abstractNumId w:val="2"/>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1">
    <w:abstractNumId w:val="1"/>
  </w:num>
  <w:num w:numId="22">
    <w:abstractNumId w:val="0"/>
  </w:num>
  <w:num w:numId="23">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I"/>
    <w:docVar w:name="FindingOptions" w:val="1"/>
    <w:docVar w:name="RecOptions" w:val="111"/>
    <w:docVar w:name="ShortChapterTitle" w:val="Location of community legal centres"/>
    <w:docVar w:name="ShortReportTitle" w:val="Access to Justice Arrangements"/>
  </w:docVars>
  <w:rsids>
    <w:rsidRoot w:val="00D014C3"/>
    <w:rsid w:val="000165EB"/>
    <w:rsid w:val="000227D5"/>
    <w:rsid w:val="000245AA"/>
    <w:rsid w:val="00025B9B"/>
    <w:rsid w:val="00027A5A"/>
    <w:rsid w:val="0003664B"/>
    <w:rsid w:val="0004111F"/>
    <w:rsid w:val="0004523D"/>
    <w:rsid w:val="00052E71"/>
    <w:rsid w:val="000565B3"/>
    <w:rsid w:val="00060919"/>
    <w:rsid w:val="0006552F"/>
    <w:rsid w:val="0007150B"/>
    <w:rsid w:val="00075AB8"/>
    <w:rsid w:val="00076895"/>
    <w:rsid w:val="00093669"/>
    <w:rsid w:val="000938F5"/>
    <w:rsid w:val="00096E55"/>
    <w:rsid w:val="000A018C"/>
    <w:rsid w:val="000A59D7"/>
    <w:rsid w:val="000B21FA"/>
    <w:rsid w:val="000B3D20"/>
    <w:rsid w:val="000B601B"/>
    <w:rsid w:val="000C207E"/>
    <w:rsid w:val="000C6D10"/>
    <w:rsid w:val="000D7267"/>
    <w:rsid w:val="000E202C"/>
    <w:rsid w:val="000F0035"/>
    <w:rsid w:val="000F420B"/>
    <w:rsid w:val="000F7331"/>
    <w:rsid w:val="00103EA2"/>
    <w:rsid w:val="00110116"/>
    <w:rsid w:val="001136B3"/>
    <w:rsid w:val="00120072"/>
    <w:rsid w:val="00122260"/>
    <w:rsid w:val="00126EB8"/>
    <w:rsid w:val="001274D4"/>
    <w:rsid w:val="00134061"/>
    <w:rsid w:val="001363AA"/>
    <w:rsid w:val="00151073"/>
    <w:rsid w:val="001529FB"/>
    <w:rsid w:val="001551EE"/>
    <w:rsid w:val="0016250C"/>
    <w:rsid w:val="00163CD5"/>
    <w:rsid w:val="001678F0"/>
    <w:rsid w:val="00183E82"/>
    <w:rsid w:val="00186192"/>
    <w:rsid w:val="001878BB"/>
    <w:rsid w:val="00191AE0"/>
    <w:rsid w:val="0019293B"/>
    <w:rsid w:val="0019426B"/>
    <w:rsid w:val="001A74D5"/>
    <w:rsid w:val="001A7750"/>
    <w:rsid w:val="001C023F"/>
    <w:rsid w:val="001C0865"/>
    <w:rsid w:val="001C11AD"/>
    <w:rsid w:val="001C3ABA"/>
    <w:rsid w:val="001D109A"/>
    <w:rsid w:val="001E2B51"/>
    <w:rsid w:val="001E6332"/>
    <w:rsid w:val="001E7BE8"/>
    <w:rsid w:val="001F0248"/>
    <w:rsid w:val="001F3EB3"/>
    <w:rsid w:val="001F4F86"/>
    <w:rsid w:val="00201DFF"/>
    <w:rsid w:val="00202C2C"/>
    <w:rsid w:val="00204433"/>
    <w:rsid w:val="00211C0D"/>
    <w:rsid w:val="002135AB"/>
    <w:rsid w:val="002144BE"/>
    <w:rsid w:val="0021577A"/>
    <w:rsid w:val="002331F9"/>
    <w:rsid w:val="002332F0"/>
    <w:rsid w:val="00234369"/>
    <w:rsid w:val="002365B7"/>
    <w:rsid w:val="00242279"/>
    <w:rsid w:val="00245C82"/>
    <w:rsid w:val="00246C90"/>
    <w:rsid w:val="00252879"/>
    <w:rsid w:val="00254E9A"/>
    <w:rsid w:val="00276E9B"/>
    <w:rsid w:val="00291B40"/>
    <w:rsid w:val="0029454F"/>
    <w:rsid w:val="002974F6"/>
    <w:rsid w:val="00297527"/>
    <w:rsid w:val="002A1BC3"/>
    <w:rsid w:val="002A31E7"/>
    <w:rsid w:val="002A7AAD"/>
    <w:rsid w:val="002B1E09"/>
    <w:rsid w:val="002B4008"/>
    <w:rsid w:val="002B7B65"/>
    <w:rsid w:val="002C145A"/>
    <w:rsid w:val="002D0DF8"/>
    <w:rsid w:val="002D0E8E"/>
    <w:rsid w:val="002E109E"/>
    <w:rsid w:val="002E5E0E"/>
    <w:rsid w:val="002F0B28"/>
    <w:rsid w:val="00301189"/>
    <w:rsid w:val="003209C4"/>
    <w:rsid w:val="00323E09"/>
    <w:rsid w:val="00333932"/>
    <w:rsid w:val="003518AA"/>
    <w:rsid w:val="00352020"/>
    <w:rsid w:val="00352165"/>
    <w:rsid w:val="00352B4D"/>
    <w:rsid w:val="00353182"/>
    <w:rsid w:val="00355A0D"/>
    <w:rsid w:val="003565D9"/>
    <w:rsid w:val="003602E1"/>
    <w:rsid w:val="0036072D"/>
    <w:rsid w:val="00361850"/>
    <w:rsid w:val="003631A3"/>
    <w:rsid w:val="00363ED9"/>
    <w:rsid w:val="0037026F"/>
    <w:rsid w:val="00371240"/>
    <w:rsid w:val="00372478"/>
    <w:rsid w:val="00373316"/>
    <w:rsid w:val="00374731"/>
    <w:rsid w:val="00376E59"/>
    <w:rsid w:val="003919F9"/>
    <w:rsid w:val="0039414C"/>
    <w:rsid w:val="003C1FAF"/>
    <w:rsid w:val="003C38B5"/>
    <w:rsid w:val="003C5D99"/>
    <w:rsid w:val="003D348D"/>
    <w:rsid w:val="003E2F59"/>
    <w:rsid w:val="003E35C5"/>
    <w:rsid w:val="003F0789"/>
    <w:rsid w:val="004012DA"/>
    <w:rsid w:val="00401882"/>
    <w:rsid w:val="00403491"/>
    <w:rsid w:val="004100C8"/>
    <w:rsid w:val="004103EF"/>
    <w:rsid w:val="00411DBD"/>
    <w:rsid w:val="00412ACE"/>
    <w:rsid w:val="004138A4"/>
    <w:rsid w:val="00416E2B"/>
    <w:rsid w:val="004205AE"/>
    <w:rsid w:val="00423272"/>
    <w:rsid w:val="00431249"/>
    <w:rsid w:val="00434C19"/>
    <w:rsid w:val="00450810"/>
    <w:rsid w:val="00453EB7"/>
    <w:rsid w:val="00477144"/>
    <w:rsid w:val="00491380"/>
    <w:rsid w:val="0049459F"/>
    <w:rsid w:val="004953A7"/>
    <w:rsid w:val="00496FF2"/>
    <w:rsid w:val="004A0516"/>
    <w:rsid w:val="004A1268"/>
    <w:rsid w:val="004A2397"/>
    <w:rsid w:val="004A38DD"/>
    <w:rsid w:val="004B43AE"/>
    <w:rsid w:val="004C30ED"/>
    <w:rsid w:val="004C461A"/>
    <w:rsid w:val="004D30F1"/>
    <w:rsid w:val="004D5675"/>
    <w:rsid w:val="004E728D"/>
    <w:rsid w:val="00502110"/>
    <w:rsid w:val="0051313A"/>
    <w:rsid w:val="005132AB"/>
    <w:rsid w:val="00515028"/>
    <w:rsid w:val="00521C0B"/>
    <w:rsid w:val="00523639"/>
    <w:rsid w:val="0052404F"/>
    <w:rsid w:val="00524D5F"/>
    <w:rsid w:val="00531FE5"/>
    <w:rsid w:val="005402FA"/>
    <w:rsid w:val="00550FB0"/>
    <w:rsid w:val="005548EF"/>
    <w:rsid w:val="00554FDF"/>
    <w:rsid w:val="0056136C"/>
    <w:rsid w:val="0058318E"/>
    <w:rsid w:val="00583C39"/>
    <w:rsid w:val="00583ED3"/>
    <w:rsid w:val="00587F28"/>
    <w:rsid w:val="005909CF"/>
    <w:rsid w:val="00591E71"/>
    <w:rsid w:val="005938EF"/>
    <w:rsid w:val="00593EBB"/>
    <w:rsid w:val="00594E5C"/>
    <w:rsid w:val="00595689"/>
    <w:rsid w:val="005968EB"/>
    <w:rsid w:val="005A0D41"/>
    <w:rsid w:val="005B2D08"/>
    <w:rsid w:val="005B4F90"/>
    <w:rsid w:val="005C2D28"/>
    <w:rsid w:val="005C5571"/>
    <w:rsid w:val="005D5594"/>
    <w:rsid w:val="005D76E3"/>
    <w:rsid w:val="005F1178"/>
    <w:rsid w:val="00607BF1"/>
    <w:rsid w:val="00616834"/>
    <w:rsid w:val="00630D4D"/>
    <w:rsid w:val="00632A74"/>
    <w:rsid w:val="00635F1C"/>
    <w:rsid w:val="006445AD"/>
    <w:rsid w:val="006552F3"/>
    <w:rsid w:val="00675BDC"/>
    <w:rsid w:val="006816D3"/>
    <w:rsid w:val="006852A2"/>
    <w:rsid w:val="00686DC2"/>
    <w:rsid w:val="00693127"/>
    <w:rsid w:val="00694242"/>
    <w:rsid w:val="006A0C16"/>
    <w:rsid w:val="006A4655"/>
    <w:rsid w:val="006B1F2E"/>
    <w:rsid w:val="006B2B3C"/>
    <w:rsid w:val="006B7665"/>
    <w:rsid w:val="006C1D81"/>
    <w:rsid w:val="006C7038"/>
    <w:rsid w:val="006E73EF"/>
    <w:rsid w:val="006F3A50"/>
    <w:rsid w:val="00712648"/>
    <w:rsid w:val="00713FBC"/>
    <w:rsid w:val="00714D4D"/>
    <w:rsid w:val="00716D32"/>
    <w:rsid w:val="007227FB"/>
    <w:rsid w:val="00725487"/>
    <w:rsid w:val="00735104"/>
    <w:rsid w:val="00754C0B"/>
    <w:rsid w:val="007604BB"/>
    <w:rsid w:val="0076096F"/>
    <w:rsid w:val="007760F0"/>
    <w:rsid w:val="00785232"/>
    <w:rsid w:val="00797FFC"/>
    <w:rsid w:val="007A21EB"/>
    <w:rsid w:val="007B1A93"/>
    <w:rsid w:val="007B43AF"/>
    <w:rsid w:val="007B7706"/>
    <w:rsid w:val="007C1A19"/>
    <w:rsid w:val="007C36C9"/>
    <w:rsid w:val="007C435C"/>
    <w:rsid w:val="007C6895"/>
    <w:rsid w:val="007D3106"/>
    <w:rsid w:val="007D6401"/>
    <w:rsid w:val="007E01E4"/>
    <w:rsid w:val="007E092E"/>
    <w:rsid w:val="007E4D49"/>
    <w:rsid w:val="007F1B41"/>
    <w:rsid w:val="007F7107"/>
    <w:rsid w:val="00800D4C"/>
    <w:rsid w:val="00801DA4"/>
    <w:rsid w:val="00802D05"/>
    <w:rsid w:val="00807814"/>
    <w:rsid w:val="0081030F"/>
    <w:rsid w:val="00810FA4"/>
    <w:rsid w:val="0082087D"/>
    <w:rsid w:val="00824165"/>
    <w:rsid w:val="008344EC"/>
    <w:rsid w:val="00835771"/>
    <w:rsid w:val="0084254E"/>
    <w:rsid w:val="008425DD"/>
    <w:rsid w:val="00842933"/>
    <w:rsid w:val="00842FF2"/>
    <w:rsid w:val="0084524E"/>
    <w:rsid w:val="0085075E"/>
    <w:rsid w:val="0086082C"/>
    <w:rsid w:val="00864ADC"/>
    <w:rsid w:val="00864CBF"/>
    <w:rsid w:val="00880153"/>
    <w:rsid w:val="00880F97"/>
    <w:rsid w:val="0088133A"/>
    <w:rsid w:val="0089285E"/>
    <w:rsid w:val="0089436C"/>
    <w:rsid w:val="00895BF2"/>
    <w:rsid w:val="00897AF3"/>
    <w:rsid w:val="008D29FD"/>
    <w:rsid w:val="008D365C"/>
    <w:rsid w:val="008F3F93"/>
    <w:rsid w:val="008F6054"/>
    <w:rsid w:val="009030BF"/>
    <w:rsid w:val="0091032F"/>
    <w:rsid w:val="00914368"/>
    <w:rsid w:val="0092208D"/>
    <w:rsid w:val="00926FA6"/>
    <w:rsid w:val="00927E76"/>
    <w:rsid w:val="00931076"/>
    <w:rsid w:val="009345D9"/>
    <w:rsid w:val="00934B15"/>
    <w:rsid w:val="00940C87"/>
    <w:rsid w:val="00942B62"/>
    <w:rsid w:val="009448CD"/>
    <w:rsid w:val="00946815"/>
    <w:rsid w:val="0095323B"/>
    <w:rsid w:val="00956A0C"/>
    <w:rsid w:val="00956BD9"/>
    <w:rsid w:val="009575E5"/>
    <w:rsid w:val="00962489"/>
    <w:rsid w:val="00966D4D"/>
    <w:rsid w:val="00976435"/>
    <w:rsid w:val="0098598B"/>
    <w:rsid w:val="0098599F"/>
    <w:rsid w:val="00990C2C"/>
    <w:rsid w:val="00997A63"/>
    <w:rsid w:val="009A59C9"/>
    <w:rsid w:val="009B04A3"/>
    <w:rsid w:val="009B3384"/>
    <w:rsid w:val="009B7A2C"/>
    <w:rsid w:val="009C55C0"/>
    <w:rsid w:val="009C57A6"/>
    <w:rsid w:val="009D67FD"/>
    <w:rsid w:val="009E1844"/>
    <w:rsid w:val="009E58DC"/>
    <w:rsid w:val="009F0D1B"/>
    <w:rsid w:val="009F1BE8"/>
    <w:rsid w:val="009F49CC"/>
    <w:rsid w:val="009F696D"/>
    <w:rsid w:val="009F6BC6"/>
    <w:rsid w:val="00A00009"/>
    <w:rsid w:val="00A00F76"/>
    <w:rsid w:val="00A05500"/>
    <w:rsid w:val="00A11E68"/>
    <w:rsid w:val="00A17328"/>
    <w:rsid w:val="00A23A20"/>
    <w:rsid w:val="00A268B9"/>
    <w:rsid w:val="00A2703A"/>
    <w:rsid w:val="00A33DFF"/>
    <w:rsid w:val="00A35115"/>
    <w:rsid w:val="00A36D9A"/>
    <w:rsid w:val="00A50965"/>
    <w:rsid w:val="00A554AB"/>
    <w:rsid w:val="00A56ED6"/>
    <w:rsid w:val="00A57062"/>
    <w:rsid w:val="00A72335"/>
    <w:rsid w:val="00A73AE2"/>
    <w:rsid w:val="00A7543C"/>
    <w:rsid w:val="00A842D6"/>
    <w:rsid w:val="00A86863"/>
    <w:rsid w:val="00A92B53"/>
    <w:rsid w:val="00A94082"/>
    <w:rsid w:val="00A94FA6"/>
    <w:rsid w:val="00A95271"/>
    <w:rsid w:val="00A97A90"/>
    <w:rsid w:val="00AA49A0"/>
    <w:rsid w:val="00AA6710"/>
    <w:rsid w:val="00AB0681"/>
    <w:rsid w:val="00AB1EB7"/>
    <w:rsid w:val="00AB79A8"/>
    <w:rsid w:val="00AC3DDE"/>
    <w:rsid w:val="00AD520B"/>
    <w:rsid w:val="00B20939"/>
    <w:rsid w:val="00B425C3"/>
    <w:rsid w:val="00B440AD"/>
    <w:rsid w:val="00B4772B"/>
    <w:rsid w:val="00B479BB"/>
    <w:rsid w:val="00B53E7E"/>
    <w:rsid w:val="00B6342E"/>
    <w:rsid w:val="00B7113F"/>
    <w:rsid w:val="00B725E5"/>
    <w:rsid w:val="00B95E77"/>
    <w:rsid w:val="00B97C4B"/>
    <w:rsid w:val="00BA73B6"/>
    <w:rsid w:val="00BA7E27"/>
    <w:rsid w:val="00BB2603"/>
    <w:rsid w:val="00BB3631"/>
    <w:rsid w:val="00BB4FCD"/>
    <w:rsid w:val="00BB4FDB"/>
    <w:rsid w:val="00BB50C6"/>
    <w:rsid w:val="00BC04E9"/>
    <w:rsid w:val="00BD13EA"/>
    <w:rsid w:val="00BE3808"/>
    <w:rsid w:val="00BF55E5"/>
    <w:rsid w:val="00BF5C95"/>
    <w:rsid w:val="00C062E9"/>
    <w:rsid w:val="00C07B64"/>
    <w:rsid w:val="00C13721"/>
    <w:rsid w:val="00C14FE4"/>
    <w:rsid w:val="00C3066D"/>
    <w:rsid w:val="00C36640"/>
    <w:rsid w:val="00C43EDD"/>
    <w:rsid w:val="00C52416"/>
    <w:rsid w:val="00C543F4"/>
    <w:rsid w:val="00C612A5"/>
    <w:rsid w:val="00C6291C"/>
    <w:rsid w:val="00C63120"/>
    <w:rsid w:val="00C633CB"/>
    <w:rsid w:val="00C736B7"/>
    <w:rsid w:val="00C81D4A"/>
    <w:rsid w:val="00C8762C"/>
    <w:rsid w:val="00C964D8"/>
    <w:rsid w:val="00CA00F9"/>
    <w:rsid w:val="00CA2961"/>
    <w:rsid w:val="00CA6DF1"/>
    <w:rsid w:val="00CB50D7"/>
    <w:rsid w:val="00CB7177"/>
    <w:rsid w:val="00CB78FD"/>
    <w:rsid w:val="00CC1998"/>
    <w:rsid w:val="00CC1A51"/>
    <w:rsid w:val="00CC4946"/>
    <w:rsid w:val="00CD67FD"/>
    <w:rsid w:val="00CE09EF"/>
    <w:rsid w:val="00CF612F"/>
    <w:rsid w:val="00D014C3"/>
    <w:rsid w:val="00D041BC"/>
    <w:rsid w:val="00D16304"/>
    <w:rsid w:val="00D2144A"/>
    <w:rsid w:val="00D270A4"/>
    <w:rsid w:val="00D31FE9"/>
    <w:rsid w:val="00D34E1B"/>
    <w:rsid w:val="00D376BA"/>
    <w:rsid w:val="00D40DDE"/>
    <w:rsid w:val="00D45634"/>
    <w:rsid w:val="00D5160E"/>
    <w:rsid w:val="00D52F9B"/>
    <w:rsid w:val="00D5568A"/>
    <w:rsid w:val="00D618A4"/>
    <w:rsid w:val="00D63D73"/>
    <w:rsid w:val="00D64452"/>
    <w:rsid w:val="00D66E1E"/>
    <w:rsid w:val="00D75722"/>
    <w:rsid w:val="00D80CF5"/>
    <w:rsid w:val="00D830F0"/>
    <w:rsid w:val="00D85611"/>
    <w:rsid w:val="00D92515"/>
    <w:rsid w:val="00D92E33"/>
    <w:rsid w:val="00D95E79"/>
    <w:rsid w:val="00DA5BBA"/>
    <w:rsid w:val="00DA6A3D"/>
    <w:rsid w:val="00DB26D2"/>
    <w:rsid w:val="00DB67C9"/>
    <w:rsid w:val="00DC0C95"/>
    <w:rsid w:val="00DC72B2"/>
    <w:rsid w:val="00DD146B"/>
    <w:rsid w:val="00DD2D01"/>
    <w:rsid w:val="00DD5D4C"/>
    <w:rsid w:val="00DD6580"/>
    <w:rsid w:val="00DD72E7"/>
    <w:rsid w:val="00DD7992"/>
    <w:rsid w:val="00DE5757"/>
    <w:rsid w:val="00DF077F"/>
    <w:rsid w:val="00DF64B6"/>
    <w:rsid w:val="00DF6C91"/>
    <w:rsid w:val="00E1132C"/>
    <w:rsid w:val="00E14CA0"/>
    <w:rsid w:val="00E163FE"/>
    <w:rsid w:val="00E17C72"/>
    <w:rsid w:val="00E21FC6"/>
    <w:rsid w:val="00E270EE"/>
    <w:rsid w:val="00E2788E"/>
    <w:rsid w:val="00E40389"/>
    <w:rsid w:val="00E431A9"/>
    <w:rsid w:val="00E45FC2"/>
    <w:rsid w:val="00E669E2"/>
    <w:rsid w:val="00E76135"/>
    <w:rsid w:val="00E82F4F"/>
    <w:rsid w:val="00E8502C"/>
    <w:rsid w:val="00EB1864"/>
    <w:rsid w:val="00EB3F0F"/>
    <w:rsid w:val="00EC2844"/>
    <w:rsid w:val="00EC5500"/>
    <w:rsid w:val="00ED18F8"/>
    <w:rsid w:val="00EE558E"/>
    <w:rsid w:val="00EF6C6C"/>
    <w:rsid w:val="00F003F0"/>
    <w:rsid w:val="00F056FC"/>
    <w:rsid w:val="00F10476"/>
    <w:rsid w:val="00F135D8"/>
    <w:rsid w:val="00F31299"/>
    <w:rsid w:val="00F3534A"/>
    <w:rsid w:val="00F452BD"/>
    <w:rsid w:val="00F51609"/>
    <w:rsid w:val="00F53505"/>
    <w:rsid w:val="00F5755A"/>
    <w:rsid w:val="00F626F1"/>
    <w:rsid w:val="00F75C49"/>
    <w:rsid w:val="00F80E81"/>
    <w:rsid w:val="00F81006"/>
    <w:rsid w:val="00F85325"/>
    <w:rsid w:val="00FA5A8F"/>
    <w:rsid w:val="00FB34F5"/>
    <w:rsid w:val="00FB7EC3"/>
    <w:rsid w:val="00FC029F"/>
    <w:rsid w:val="00FC4653"/>
    <w:rsid w:val="00FD22B1"/>
    <w:rsid w:val="00FD45AF"/>
    <w:rsid w:val="00FD5CAD"/>
    <w:rsid w:val="00FE37DD"/>
    <w:rsid w:val="00FE3883"/>
    <w:rsid w:val="00FE5397"/>
    <w:rsid w:val="00FF2D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2A7AAD"/>
    <w:rPr>
      <w:sz w:val="24"/>
      <w:szCs w:val="24"/>
    </w:rPr>
  </w:style>
  <w:style w:type="paragraph" w:styleId="Heading1">
    <w:name w:val="heading 1"/>
    <w:basedOn w:val="BodyText"/>
    <w:next w:val="BodyText"/>
    <w:rsid w:val="002A7AAD"/>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2A7AAD"/>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2A7AAD"/>
    <w:pPr>
      <w:spacing w:before="560" w:line="320" w:lineRule="exact"/>
      <w:ind w:left="0" w:firstLine="0"/>
      <w:outlineLvl w:val="2"/>
    </w:pPr>
    <w:rPr>
      <w:sz w:val="26"/>
    </w:rPr>
  </w:style>
  <w:style w:type="paragraph" w:styleId="Heading4">
    <w:name w:val="heading 4"/>
    <w:basedOn w:val="Heading3"/>
    <w:next w:val="BodyText"/>
    <w:qFormat/>
    <w:rsid w:val="002A7AAD"/>
    <w:pPr>
      <w:spacing w:before="480"/>
      <w:outlineLvl w:val="3"/>
    </w:pPr>
    <w:rPr>
      <w:b w:val="0"/>
      <w:sz w:val="24"/>
    </w:rPr>
  </w:style>
  <w:style w:type="paragraph" w:styleId="Heading5">
    <w:name w:val="heading 5"/>
    <w:basedOn w:val="Heading4"/>
    <w:next w:val="BodyText"/>
    <w:link w:val="Heading5Char"/>
    <w:qFormat/>
    <w:rsid w:val="002A7AAD"/>
    <w:pPr>
      <w:outlineLvl w:val="4"/>
    </w:pPr>
    <w:rPr>
      <w:i/>
      <w:sz w:val="22"/>
    </w:rPr>
  </w:style>
  <w:style w:type="paragraph" w:styleId="Heading6">
    <w:name w:val="heading 6"/>
    <w:basedOn w:val="BodyText"/>
    <w:next w:val="BodyText"/>
    <w:rsid w:val="002A7AAD"/>
    <w:pPr>
      <w:spacing w:after="60"/>
      <w:jc w:val="left"/>
      <w:outlineLvl w:val="5"/>
    </w:pPr>
    <w:rPr>
      <w:i/>
      <w:sz w:val="22"/>
    </w:rPr>
  </w:style>
  <w:style w:type="paragraph" w:styleId="Heading7">
    <w:name w:val="heading 7"/>
    <w:basedOn w:val="BodyText"/>
    <w:next w:val="BodyText"/>
    <w:rsid w:val="002A7AAD"/>
    <w:pPr>
      <w:spacing w:after="60" w:line="240" w:lineRule="auto"/>
      <w:jc w:val="left"/>
      <w:outlineLvl w:val="6"/>
    </w:pPr>
    <w:rPr>
      <w:rFonts w:ascii="Arial" w:hAnsi="Arial"/>
      <w:sz w:val="20"/>
    </w:rPr>
  </w:style>
  <w:style w:type="paragraph" w:styleId="Heading8">
    <w:name w:val="heading 8"/>
    <w:basedOn w:val="BodyText"/>
    <w:next w:val="BodyText"/>
    <w:rsid w:val="002A7AAD"/>
    <w:pPr>
      <w:spacing w:after="60" w:line="240" w:lineRule="auto"/>
      <w:jc w:val="left"/>
      <w:outlineLvl w:val="7"/>
    </w:pPr>
    <w:rPr>
      <w:rFonts w:ascii="Arial" w:hAnsi="Arial"/>
      <w:i/>
      <w:sz w:val="20"/>
    </w:rPr>
  </w:style>
  <w:style w:type="paragraph" w:styleId="Heading9">
    <w:name w:val="heading 9"/>
    <w:basedOn w:val="BodyText"/>
    <w:next w:val="BodyText"/>
    <w:rsid w:val="002A7AAD"/>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2A7A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7AAD"/>
  </w:style>
  <w:style w:type="paragraph" w:styleId="BodyText">
    <w:name w:val="Body Text"/>
    <w:link w:val="BodyTextChar"/>
    <w:qFormat/>
    <w:rsid w:val="002A7AAD"/>
    <w:pPr>
      <w:spacing w:before="240" w:line="300" w:lineRule="atLeast"/>
      <w:jc w:val="both"/>
    </w:pPr>
    <w:rPr>
      <w:sz w:val="24"/>
    </w:rPr>
  </w:style>
  <w:style w:type="paragraph" w:styleId="Footer">
    <w:name w:val="footer"/>
    <w:basedOn w:val="BodyText"/>
    <w:link w:val="FooterChar"/>
    <w:rsid w:val="002A7AAD"/>
    <w:pPr>
      <w:spacing w:before="80" w:line="200" w:lineRule="exact"/>
      <w:ind w:right="6"/>
      <w:jc w:val="left"/>
    </w:pPr>
    <w:rPr>
      <w:rFonts w:ascii="Arial" w:hAnsi="Arial"/>
      <w:caps/>
      <w:spacing w:val="-4"/>
      <w:sz w:val="16"/>
    </w:rPr>
  </w:style>
  <w:style w:type="paragraph" w:customStyle="1" w:styleId="FooterEnd">
    <w:name w:val="Footer End"/>
    <w:basedOn w:val="Footer"/>
    <w:rsid w:val="002A7AAD"/>
    <w:pPr>
      <w:spacing w:before="0" w:line="20" w:lineRule="exact"/>
    </w:pPr>
  </w:style>
  <w:style w:type="paragraph" w:styleId="Header">
    <w:name w:val="header"/>
    <w:basedOn w:val="BodyText"/>
    <w:rsid w:val="002A7AAD"/>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2A7AAD"/>
    <w:pPr>
      <w:spacing w:line="20" w:lineRule="exact"/>
    </w:pPr>
    <w:rPr>
      <w:sz w:val="16"/>
    </w:rPr>
  </w:style>
  <w:style w:type="paragraph" w:customStyle="1" w:styleId="HeaderEven">
    <w:name w:val="Header Even"/>
    <w:basedOn w:val="Header"/>
    <w:semiHidden/>
    <w:rsid w:val="002A7AAD"/>
  </w:style>
  <w:style w:type="paragraph" w:customStyle="1" w:styleId="HeaderOdd">
    <w:name w:val="Header Odd"/>
    <w:basedOn w:val="Header"/>
    <w:semiHidden/>
    <w:rsid w:val="002A7AAD"/>
  </w:style>
  <w:style w:type="character" w:styleId="PageNumber">
    <w:name w:val="page number"/>
    <w:basedOn w:val="DefaultParagraphFont"/>
    <w:rsid w:val="002A7AAD"/>
    <w:rPr>
      <w:rFonts w:ascii="Arial" w:hAnsi="Arial"/>
      <w:b/>
      <w:sz w:val="16"/>
    </w:rPr>
  </w:style>
  <w:style w:type="paragraph" w:customStyle="1" w:styleId="Abbreviation">
    <w:name w:val="Abbreviation"/>
    <w:basedOn w:val="BodyText"/>
    <w:rsid w:val="002A7AAD"/>
    <w:pPr>
      <w:spacing w:before="120"/>
      <w:ind w:left="2381" w:hanging="2381"/>
      <w:jc w:val="left"/>
    </w:pPr>
  </w:style>
  <w:style w:type="paragraph" w:customStyle="1" w:styleId="Box">
    <w:name w:val="Box"/>
    <w:basedOn w:val="BodyText"/>
    <w:qFormat/>
    <w:rsid w:val="002A7AAD"/>
    <w:pPr>
      <w:keepNext/>
      <w:spacing w:before="120" w:line="260" w:lineRule="atLeast"/>
    </w:pPr>
    <w:rPr>
      <w:rFonts w:ascii="Arial" w:hAnsi="Arial"/>
      <w:sz w:val="20"/>
    </w:rPr>
  </w:style>
  <w:style w:type="paragraph" w:customStyle="1" w:styleId="BoxContinued">
    <w:name w:val="Box Continued"/>
    <w:basedOn w:val="BodyText"/>
    <w:next w:val="BodyText"/>
    <w:semiHidden/>
    <w:rsid w:val="002A7AAD"/>
    <w:pPr>
      <w:spacing w:before="180" w:line="220" w:lineRule="exact"/>
      <w:jc w:val="right"/>
    </w:pPr>
    <w:rPr>
      <w:rFonts w:ascii="Arial" w:hAnsi="Arial"/>
      <w:sz w:val="18"/>
    </w:rPr>
  </w:style>
  <w:style w:type="paragraph" w:customStyle="1" w:styleId="BoxHeading1">
    <w:name w:val="Box Heading 1"/>
    <w:basedOn w:val="BodyText"/>
    <w:next w:val="Box"/>
    <w:rsid w:val="002A7AAD"/>
    <w:pPr>
      <w:keepNext/>
      <w:spacing w:before="200" w:line="280" w:lineRule="atLeast"/>
    </w:pPr>
    <w:rPr>
      <w:rFonts w:ascii="Arial" w:hAnsi="Arial"/>
      <w:b/>
      <w:sz w:val="22"/>
    </w:rPr>
  </w:style>
  <w:style w:type="paragraph" w:customStyle="1" w:styleId="BoxHeading2">
    <w:name w:val="Box Heading 2"/>
    <w:basedOn w:val="BoxHeading1"/>
    <w:next w:val="Normal"/>
    <w:rsid w:val="002A7AAD"/>
    <w:rPr>
      <w:b w:val="0"/>
      <w:i/>
    </w:rPr>
  </w:style>
  <w:style w:type="paragraph" w:customStyle="1" w:styleId="BoxListBullet">
    <w:name w:val="Box List Bullet"/>
    <w:basedOn w:val="BodyText"/>
    <w:rsid w:val="002A7AA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2A7AAD"/>
    <w:pPr>
      <w:numPr>
        <w:numId w:val="2"/>
      </w:numPr>
      <w:ind w:left="568" w:hanging="284"/>
    </w:pPr>
  </w:style>
  <w:style w:type="paragraph" w:customStyle="1" w:styleId="BoxListNumber">
    <w:name w:val="Box List Number"/>
    <w:basedOn w:val="BodyText"/>
    <w:rsid w:val="002A7AAD"/>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2A7AAD"/>
    <w:pPr>
      <w:numPr>
        <w:ilvl w:val="1"/>
      </w:numPr>
      <w:ind w:left="681" w:hanging="397"/>
    </w:pPr>
  </w:style>
  <w:style w:type="paragraph" w:customStyle="1" w:styleId="BoxQuote">
    <w:name w:val="Box Quote"/>
    <w:basedOn w:val="BodyText"/>
    <w:next w:val="Box"/>
    <w:qFormat/>
    <w:rsid w:val="002A7AAD"/>
    <w:pPr>
      <w:keepNext/>
      <w:spacing w:before="60" w:line="240" w:lineRule="exact"/>
      <w:ind w:left="284"/>
    </w:pPr>
    <w:rPr>
      <w:rFonts w:ascii="Arial" w:hAnsi="Arial"/>
      <w:sz w:val="18"/>
    </w:rPr>
  </w:style>
  <w:style w:type="paragraph" w:customStyle="1" w:styleId="Note">
    <w:name w:val="Note"/>
    <w:basedOn w:val="BodyText"/>
    <w:next w:val="BodyText"/>
    <w:rsid w:val="002A7AAD"/>
    <w:pPr>
      <w:keepLines/>
      <w:spacing w:before="80" w:line="220" w:lineRule="exact"/>
    </w:pPr>
    <w:rPr>
      <w:rFonts w:ascii="Arial" w:hAnsi="Arial"/>
      <w:sz w:val="18"/>
    </w:rPr>
  </w:style>
  <w:style w:type="paragraph" w:customStyle="1" w:styleId="Source">
    <w:name w:val="Source"/>
    <w:basedOn w:val="Normal"/>
    <w:next w:val="BodyText"/>
    <w:rsid w:val="002A7AAD"/>
    <w:pPr>
      <w:keepLines/>
      <w:spacing w:before="80" w:line="220" w:lineRule="exact"/>
      <w:jc w:val="both"/>
    </w:pPr>
    <w:rPr>
      <w:rFonts w:ascii="Arial" w:hAnsi="Arial"/>
      <w:sz w:val="18"/>
      <w:szCs w:val="20"/>
    </w:rPr>
  </w:style>
  <w:style w:type="paragraph" w:customStyle="1" w:styleId="BoxSource">
    <w:name w:val="Box Source"/>
    <w:basedOn w:val="Source"/>
    <w:next w:val="BodyText"/>
    <w:rsid w:val="002A7AAD"/>
    <w:pPr>
      <w:spacing w:before="120"/>
    </w:pPr>
  </w:style>
  <w:style w:type="paragraph" w:customStyle="1" w:styleId="BoxSpaceAbove">
    <w:name w:val="Box Space Above"/>
    <w:basedOn w:val="BodyText"/>
    <w:rsid w:val="002A7AAD"/>
    <w:pPr>
      <w:keepNext/>
      <w:spacing w:before="360" w:line="80" w:lineRule="exact"/>
      <w:jc w:val="left"/>
    </w:pPr>
  </w:style>
  <w:style w:type="paragraph" w:styleId="Caption">
    <w:name w:val="caption"/>
    <w:basedOn w:val="Normal"/>
    <w:next w:val="BodyText"/>
    <w:rsid w:val="002A7AAD"/>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2A7AAD"/>
    <w:pPr>
      <w:spacing w:before="120" w:after="0"/>
    </w:pPr>
  </w:style>
  <w:style w:type="paragraph" w:customStyle="1" w:styleId="BoxSubtitle">
    <w:name w:val="Box Subtitle"/>
    <w:basedOn w:val="BoxTitle"/>
    <w:next w:val="Normal"/>
    <w:rsid w:val="002A7AAD"/>
    <w:pPr>
      <w:spacing w:after="80" w:line="200" w:lineRule="exact"/>
      <w:ind w:firstLine="0"/>
    </w:pPr>
    <w:rPr>
      <w:b w:val="0"/>
      <w:sz w:val="20"/>
    </w:rPr>
  </w:style>
  <w:style w:type="paragraph" w:customStyle="1" w:styleId="Chapter">
    <w:name w:val="Chapter"/>
    <w:basedOn w:val="Heading1"/>
    <w:next w:val="BodyText"/>
    <w:semiHidden/>
    <w:rsid w:val="002A7AAD"/>
    <w:pPr>
      <w:ind w:left="0" w:firstLine="0"/>
      <w:outlineLvl w:val="9"/>
    </w:pPr>
  </w:style>
  <w:style w:type="paragraph" w:customStyle="1" w:styleId="ChapterSummary">
    <w:name w:val="Chapter Summary"/>
    <w:basedOn w:val="BodyText"/>
    <w:rsid w:val="002A7AAD"/>
    <w:pPr>
      <w:spacing w:line="280" w:lineRule="atLeast"/>
      <w:ind w:left="907"/>
    </w:pPr>
    <w:rPr>
      <w:rFonts w:ascii="Arial" w:hAnsi="Arial"/>
      <w:b/>
      <w:sz w:val="20"/>
    </w:rPr>
  </w:style>
  <w:style w:type="character" w:styleId="CommentReference">
    <w:name w:val="annotation reference"/>
    <w:basedOn w:val="DefaultParagraphFont"/>
    <w:semiHidden/>
    <w:rsid w:val="002A7AAD"/>
    <w:rPr>
      <w:b/>
      <w:vanish/>
      <w:color w:val="FF00FF"/>
      <w:sz w:val="20"/>
    </w:rPr>
  </w:style>
  <w:style w:type="paragraph" w:styleId="CommentText">
    <w:name w:val="annotation text"/>
    <w:basedOn w:val="Normal"/>
    <w:link w:val="CommentTextChar"/>
    <w:semiHidden/>
    <w:rsid w:val="002A7AAD"/>
    <w:pPr>
      <w:spacing w:before="120" w:line="240" w:lineRule="atLeast"/>
      <w:ind w:left="567" w:hanging="567"/>
    </w:pPr>
    <w:rPr>
      <w:sz w:val="20"/>
    </w:rPr>
  </w:style>
  <w:style w:type="paragraph" w:customStyle="1" w:styleId="Continued">
    <w:name w:val="Continued"/>
    <w:basedOn w:val="BoxContinued"/>
    <w:next w:val="BodyText"/>
    <w:rsid w:val="002A7AAD"/>
  </w:style>
  <w:style w:type="character" w:customStyle="1" w:styleId="DocumentInfo">
    <w:name w:val="Document Info"/>
    <w:basedOn w:val="DefaultParagraphFont"/>
    <w:semiHidden/>
    <w:rsid w:val="002A7AAD"/>
    <w:rPr>
      <w:rFonts w:ascii="Arial" w:hAnsi="Arial"/>
      <w:sz w:val="14"/>
    </w:rPr>
  </w:style>
  <w:style w:type="character" w:customStyle="1" w:styleId="DraftingNote">
    <w:name w:val="Drafting Note"/>
    <w:basedOn w:val="DefaultParagraphFont"/>
    <w:rsid w:val="002A7AAD"/>
    <w:rPr>
      <w:b/>
      <w:color w:val="FF0000"/>
      <w:sz w:val="24"/>
      <w:u w:val="dotted"/>
    </w:rPr>
  </w:style>
  <w:style w:type="paragraph" w:customStyle="1" w:styleId="Figure">
    <w:name w:val="Figure"/>
    <w:basedOn w:val="BodyText"/>
    <w:rsid w:val="002A7AAD"/>
    <w:pPr>
      <w:keepNext/>
      <w:spacing w:before="120" w:after="120" w:line="240" w:lineRule="atLeast"/>
      <w:jc w:val="center"/>
    </w:pPr>
  </w:style>
  <w:style w:type="paragraph" w:customStyle="1" w:styleId="FigureTitle">
    <w:name w:val="Figure Title"/>
    <w:basedOn w:val="Caption"/>
    <w:next w:val="Subtitle"/>
    <w:rsid w:val="002A7AAD"/>
    <w:pPr>
      <w:spacing w:before="120"/>
    </w:pPr>
  </w:style>
  <w:style w:type="paragraph" w:styleId="Subtitle">
    <w:name w:val="Subtitle"/>
    <w:basedOn w:val="Caption"/>
    <w:link w:val="SubtitleChar"/>
    <w:qFormat/>
    <w:rsid w:val="002A7AAD"/>
    <w:pPr>
      <w:spacing w:before="0" w:line="200" w:lineRule="exact"/>
      <w:ind w:firstLine="0"/>
    </w:pPr>
    <w:rPr>
      <w:b w:val="0"/>
      <w:sz w:val="20"/>
    </w:rPr>
  </w:style>
  <w:style w:type="paragraph" w:customStyle="1" w:styleId="Finding">
    <w:name w:val="Finding"/>
    <w:basedOn w:val="BodyText"/>
    <w:rsid w:val="002A7AAD"/>
    <w:pPr>
      <w:keepLines/>
      <w:spacing w:before="120" w:line="280" w:lineRule="atLeast"/>
    </w:pPr>
    <w:rPr>
      <w:rFonts w:ascii="Arial" w:hAnsi="Arial"/>
      <w:sz w:val="22"/>
    </w:rPr>
  </w:style>
  <w:style w:type="paragraph" w:customStyle="1" w:styleId="FindingBullet">
    <w:name w:val="Finding Bullet"/>
    <w:basedOn w:val="Finding"/>
    <w:rsid w:val="002A7AAD"/>
    <w:pPr>
      <w:numPr>
        <w:numId w:val="3"/>
      </w:numPr>
      <w:spacing w:before="80"/>
    </w:pPr>
  </w:style>
  <w:style w:type="paragraph" w:customStyle="1" w:styleId="FindingNoTitle">
    <w:name w:val="Finding NoTitle"/>
    <w:basedOn w:val="Finding"/>
    <w:semiHidden/>
    <w:rsid w:val="002A7AAD"/>
    <w:pPr>
      <w:spacing w:before="240"/>
    </w:pPr>
  </w:style>
  <w:style w:type="paragraph" w:customStyle="1" w:styleId="RecTitle">
    <w:name w:val="Rec Title"/>
    <w:basedOn w:val="BodyText"/>
    <w:next w:val="Rec"/>
    <w:qFormat/>
    <w:rsid w:val="002A7AAD"/>
    <w:pPr>
      <w:keepNext/>
      <w:keepLines/>
      <w:spacing w:line="280" w:lineRule="atLeast"/>
    </w:pPr>
    <w:rPr>
      <w:rFonts w:ascii="Arial" w:hAnsi="Arial"/>
      <w:caps/>
      <w:sz w:val="18"/>
    </w:rPr>
  </w:style>
  <w:style w:type="paragraph" w:customStyle="1" w:styleId="FindingTitle">
    <w:name w:val="Finding Title"/>
    <w:basedOn w:val="RecTitle"/>
    <w:next w:val="Finding"/>
    <w:rsid w:val="002A7AAD"/>
  </w:style>
  <w:style w:type="character" w:styleId="FootnoteReference">
    <w:name w:val="footnote reference"/>
    <w:basedOn w:val="DefaultParagraphFont"/>
    <w:semiHidden/>
    <w:rsid w:val="002A7AAD"/>
    <w:rPr>
      <w:rFonts w:ascii="Times New Roman" w:hAnsi="Times New Roman"/>
      <w:position w:val="6"/>
      <w:sz w:val="20"/>
      <w:vertAlign w:val="baseline"/>
    </w:rPr>
  </w:style>
  <w:style w:type="paragraph" w:styleId="FootnoteText">
    <w:name w:val="footnote text"/>
    <w:basedOn w:val="BodyText"/>
    <w:rsid w:val="002A7AAD"/>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2A7AAD"/>
    <w:rPr>
      <w:i/>
    </w:rPr>
  </w:style>
  <w:style w:type="paragraph" w:customStyle="1" w:styleId="Jurisdictioncommentsbodytext">
    <w:name w:val="Jurisdiction comments body text"/>
    <w:rsid w:val="002A7AAD"/>
    <w:pPr>
      <w:spacing w:after="140"/>
      <w:jc w:val="both"/>
    </w:pPr>
    <w:rPr>
      <w:rFonts w:ascii="Arial" w:hAnsi="Arial"/>
      <w:sz w:val="24"/>
      <w:lang w:eastAsia="en-US"/>
    </w:rPr>
  </w:style>
  <w:style w:type="paragraph" w:customStyle="1" w:styleId="Jurisdictioncommentsheading">
    <w:name w:val="Jurisdiction comments heading"/>
    <w:rsid w:val="002A7AAD"/>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2A7AAD"/>
    <w:pPr>
      <w:numPr>
        <w:numId w:val="4"/>
      </w:numPr>
      <w:spacing w:after="140"/>
      <w:jc w:val="both"/>
    </w:pPr>
    <w:rPr>
      <w:rFonts w:ascii="Arial" w:hAnsi="Arial"/>
      <w:sz w:val="24"/>
      <w:lang w:eastAsia="en-US"/>
    </w:rPr>
  </w:style>
  <w:style w:type="paragraph" w:styleId="ListBullet">
    <w:name w:val="List Bullet"/>
    <w:basedOn w:val="BodyText"/>
    <w:rsid w:val="002A7AAD"/>
    <w:pPr>
      <w:numPr>
        <w:numId w:val="5"/>
      </w:numPr>
      <w:spacing w:before="120"/>
    </w:pPr>
  </w:style>
  <w:style w:type="paragraph" w:styleId="ListBullet2">
    <w:name w:val="List Bullet 2"/>
    <w:basedOn w:val="BodyText"/>
    <w:rsid w:val="002A7AAD"/>
    <w:pPr>
      <w:numPr>
        <w:numId w:val="6"/>
      </w:numPr>
      <w:spacing w:before="120"/>
    </w:pPr>
  </w:style>
  <w:style w:type="paragraph" w:styleId="ListBullet3">
    <w:name w:val="List Bullet 3"/>
    <w:basedOn w:val="BodyText"/>
    <w:rsid w:val="002A7AAD"/>
    <w:pPr>
      <w:numPr>
        <w:numId w:val="7"/>
      </w:numPr>
      <w:spacing w:before="120"/>
      <w:ind w:left="1020" w:hanging="340"/>
    </w:pPr>
  </w:style>
  <w:style w:type="paragraph" w:styleId="ListNumber">
    <w:name w:val="List Number"/>
    <w:basedOn w:val="BodyText"/>
    <w:rsid w:val="002A7AAD"/>
    <w:pPr>
      <w:numPr>
        <w:numId w:val="13"/>
      </w:numPr>
      <w:spacing w:before="120"/>
    </w:pPr>
  </w:style>
  <w:style w:type="paragraph" w:styleId="ListNumber2">
    <w:name w:val="List Number 2"/>
    <w:basedOn w:val="ListNumber"/>
    <w:rsid w:val="002A7AAD"/>
    <w:pPr>
      <w:numPr>
        <w:ilvl w:val="1"/>
      </w:numPr>
    </w:pPr>
  </w:style>
  <w:style w:type="paragraph" w:styleId="ListNumber3">
    <w:name w:val="List Number 3"/>
    <w:basedOn w:val="ListNumber2"/>
    <w:rsid w:val="002A7AAD"/>
    <w:pPr>
      <w:numPr>
        <w:ilvl w:val="2"/>
      </w:numPr>
    </w:pPr>
  </w:style>
  <w:style w:type="character" w:customStyle="1" w:styleId="NoteLabel">
    <w:name w:val="Note Label"/>
    <w:basedOn w:val="DefaultParagraphFont"/>
    <w:rsid w:val="002A7AAD"/>
    <w:rPr>
      <w:rFonts w:ascii="Arial" w:hAnsi="Arial"/>
      <w:b/>
      <w:position w:val="6"/>
      <w:sz w:val="18"/>
    </w:rPr>
  </w:style>
  <w:style w:type="paragraph" w:customStyle="1" w:styleId="PartDivider">
    <w:name w:val="Part Divider"/>
    <w:basedOn w:val="BodyText"/>
    <w:next w:val="BodyText"/>
    <w:semiHidden/>
    <w:rsid w:val="002A7AAD"/>
    <w:pPr>
      <w:spacing w:before="0" w:line="40" w:lineRule="exact"/>
      <w:jc w:val="right"/>
    </w:pPr>
    <w:rPr>
      <w:smallCaps/>
      <w:sz w:val="16"/>
    </w:rPr>
  </w:style>
  <w:style w:type="paragraph" w:customStyle="1" w:styleId="PartNumber">
    <w:name w:val="Part Number"/>
    <w:basedOn w:val="BodyText"/>
    <w:next w:val="BodyText"/>
    <w:semiHidden/>
    <w:rsid w:val="002A7AAD"/>
    <w:pPr>
      <w:spacing w:before="4000" w:line="320" w:lineRule="exact"/>
      <w:ind w:left="6634"/>
      <w:jc w:val="right"/>
    </w:pPr>
    <w:rPr>
      <w:smallCaps/>
      <w:spacing w:val="60"/>
      <w:sz w:val="32"/>
    </w:rPr>
  </w:style>
  <w:style w:type="paragraph" w:customStyle="1" w:styleId="PartTitle">
    <w:name w:val="Part Title"/>
    <w:basedOn w:val="BodyText"/>
    <w:semiHidden/>
    <w:rsid w:val="002A7AAD"/>
    <w:pPr>
      <w:spacing w:before="160" w:after="1360" w:line="520" w:lineRule="exact"/>
      <w:ind w:right="2381"/>
      <w:jc w:val="right"/>
    </w:pPr>
    <w:rPr>
      <w:smallCaps/>
      <w:sz w:val="52"/>
    </w:rPr>
  </w:style>
  <w:style w:type="paragraph" w:styleId="Quote">
    <w:name w:val="Quote"/>
    <w:basedOn w:val="BodyText"/>
    <w:next w:val="BodyText"/>
    <w:qFormat/>
    <w:rsid w:val="002A7AAD"/>
    <w:pPr>
      <w:spacing w:before="120" w:line="280" w:lineRule="exact"/>
      <w:ind w:left="340"/>
    </w:pPr>
    <w:rPr>
      <w:sz w:val="22"/>
    </w:rPr>
  </w:style>
  <w:style w:type="paragraph" w:customStyle="1" w:styleId="QuoteBullet">
    <w:name w:val="Quote Bullet"/>
    <w:basedOn w:val="Quote"/>
    <w:rsid w:val="002A7AAD"/>
    <w:pPr>
      <w:numPr>
        <w:numId w:val="8"/>
      </w:numPr>
    </w:pPr>
  </w:style>
  <w:style w:type="paragraph" w:customStyle="1" w:styleId="Rec">
    <w:name w:val="Rec"/>
    <w:basedOn w:val="BodyText"/>
    <w:qFormat/>
    <w:rsid w:val="002A7AAD"/>
    <w:pPr>
      <w:keepLines/>
      <w:spacing w:before="120" w:line="280" w:lineRule="atLeast"/>
    </w:pPr>
    <w:rPr>
      <w:rFonts w:ascii="Arial" w:hAnsi="Arial"/>
      <w:sz w:val="22"/>
    </w:rPr>
  </w:style>
  <w:style w:type="paragraph" w:customStyle="1" w:styleId="RecBullet">
    <w:name w:val="Rec Bullet"/>
    <w:basedOn w:val="Rec"/>
    <w:rsid w:val="002A7AAD"/>
    <w:pPr>
      <w:numPr>
        <w:numId w:val="9"/>
      </w:numPr>
      <w:spacing w:before="80"/>
    </w:pPr>
  </w:style>
  <w:style w:type="paragraph" w:customStyle="1" w:styleId="RecB">
    <w:name w:val="RecB"/>
    <w:basedOn w:val="Normal"/>
    <w:semiHidden/>
    <w:rsid w:val="002A7AAD"/>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2A7AAD"/>
    <w:pPr>
      <w:numPr>
        <w:numId w:val="10"/>
      </w:numPr>
      <w:spacing w:before="80"/>
    </w:pPr>
  </w:style>
  <w:style w:type="paragraph" w:customStyle="1" w:styleId="RecBNoTitle">
    <w:name w:val="RecB NoTitle"/>
    <w:basedOn w:val="RecB"/>
    <w:semiHidden/>
    <w:rsid w:val="002A7AAD"/>
    <w:pPr>
      <w:spacing w:before="240"/>
    </w:pPr>
  </w:style>
  <w:style w:type="paragraph" w:customStyle="1" w:styleId="Reference">
    <w:name w:val="Reference"/>
    <w:basedOn w:val="BodyText"/>
    <w:rsid w:val="002A7AAD"/>
    <w:pPr>
      <w:spacing w:before="120"/>
      <w:ind w:left="340" w:hanging="340"/>
    </w:pPr>
  </w:style>
  <w:style w:type="paragraph" w:customStyle="1" w:styleId="SequenceInfo">
    <w:name w:val="Sequence Info"/>
    <w:basedOn w:val="BodyText"/>
    <w:semiHidden/>
    <w:rsid w:val="002A7AAD"/>
    <w:rPr>
      <w:vanish/>
      <w:sz w:val="16"/>
    </w:rPr>
  </w:style>
  <w:style w:type="paragraph" w:customStyle="1" w:styleId="SideNote">
    <w:name w:val="Side Note"/>
    <w:basedOn w:val="BodyText"/>
    <w:next w:val="BodyText"/>
    <w:semiHidden/>
    <w:rsid w:val="002A7AAD"/>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2A7AAD"/>
    <w:pPr>
      <w:framePr w:wrap="around"/>
      <w:numPr>
        <w:numId w:val="11"/>
      </w:numPr>
      <w:tabs>
        <w:tab w:val="left" w:pos="227"/>
      </w:tabs>
    </w:pPr>
  </w:style>
  <w:style w:type="paragraph" w:customStyle="1" w:styleId="SideNoteGraphic">
    <w:name w:val="Side Note Graphic"/>
    <w:basedOn w:val="SideNote"/>
    <w:next w:val="BodyText"/>
    <w:semiHidden/>
    <w:rsid w:val="002A7AAD"/>
    <w:pPr>
      <w:framePr w:wrap="around"/>
    </w:pPr>
  </w:style>
  <w:style w:type="paragraph" w:customStyle="1" w:styleId="TableBodyText">
    <w:name w:val="Table Body Text"/>
    <w:basedOn w:val="BodyText"/>
    <w:rsid w:val="002A7AAD"/>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2A7AAD"/>
    <w:pPr>
      <w:numPr>
        <w:numId w:val="12"/>
      </w:numPr>
      <w:jc w:val="left"/>
    </w:pPr>
  </w:style>
  <w:style w:type="paragraph" w:customStyle="1" w:styleId="TableColumnHeading">
    <w:name w:val="Table Column Heading"/>
    <w:basedOn w:val="TableBodyText"/>
    <w:rsid w:val="002A7AAD"/>
    <w:pPr>
      <w:spacing w:before="80" w:after="80"/>
    </w:pPr>
    <w:rPr>
      <w:i/>
    </w:rPr>
  </w:style>
  <w:style w:type="paragraph" w:styleId="TOC2">
    <w:name w:val="toc 2"/>
    <w:basedOn w:val="TOC1"/>
    <w:rsid w:val="002A7AAD"/>
    <w:pPr>
      <w:ind w:left="1134" w:hanging="624"/>
    </w:pPr>
    <w:rPr>
      <w:b w:val="0"/>
    </w:rPr>
  </w:style>
  <w:style w:type="paragraph" w:styleId="TOC3">
    <w:name w:val="toc 3"/>
    <w:basedOn w:val="TOC2"/>
    <w:rsid w:val="002A7AAD"/>
    <w:pPr>
      <w:spacing w:before="60"/>
      <w:ind w:left="1190" w:hanging="680"/>
    </w:pPr>
  </w:style>
  <w:style w:type="paragraph" w:styleId="TableofFigures">
    <w:name w:val="table of figures"/>
    <w:basedOn w:val="TOC3"/>
    <w:next w:val="BodyText"/>
    <w:semiHidden/>
    <w:rsid w:val="002A7AAD"/>
    <w:pPr>
      <w:ind w:left="737" w:hanging="737"/>
    </w:pPr>
  </w:style>
  <w:style w:type="paragraph" w:customStyle="1" w:styleId="TableTitle">
    <w:name w:val="Table Title"/>
    <w:basedOn w:val="Caption"/>
    <w:next w:val="Subtitle"/>
    <w:qFormat/>
    <w:rsid w:val="002A7AAD"/>
    <w:pPr>
      <w:spacing w:before="120"/>
    </w:pPr>
  </w:style>
  <w:style w:type="paragraph" w:customStyle="1" w:styleId="TableUnitsRow">
    <w:name w:val="Table Units Row"/>
    <w:basedOn w:val="TableBodyText"/>
    <w:rsid w:val="002A7AAD"/>
    <w:pPr>
      <w:spacing w:before="40"/>
    </w:pPr>
  </w:style>
  <w:style w:type="paragraph" w:styleId="TOC1">
    <w:name w:val="toc 1"/>
    <w:basedOn w:val="Normal"/>
    <w:next w:val="TOC2"/>
    <w:link w:val="TOC1Char"/>
    <w:rsid w:val="002A7AAD"/>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2A7AAD"/>
    <w:pPr>
      <w:ind w:left="1191" w:firstLine="0"/>
    </w:pPr>
  </w:style>
  <w:style w:type="paragraph" w:customStyle="1" w:styleId="RecBBullet2">
    <w:name w:val="RecB Bullet 2"/>
    <w:basedOn w:val="ListBullet2"/>
    <w:semiHidden/>
    <w:rsid w:val="002A7AAD"/>
    <w:pPr>
      <w:pBdr>
        <w:left w:val="single" w:sz="24" w:space="29" w:color="C0C0C0"/>
      </w:pBdr>
    </w:pPr>
    <w:rPr>
      <w:b/>
      <w:i/>
    </w:rPr>
  </w:style>
  <w:style w:type="paragraph" w:styleId="BalloonText">
    <w:name w:val="Balloon Text"/>
    <w:basedOn w:val="Normal"/>
    <w:link w:val="BalloonTextChar"/>
    <w:rsid w:val="002A7AAD"/>
    <w:rPr>
      <w:rFonts w:ascii="Tahoma" w:hAnsi="Tahoma" w:cs="Tahoma"/>
      <w:sz w:val="16"/>
      <w:szCs w:val="16"/>
    </w:rPr>
  </w:style>
  <w:style w:type="character" w:customStyle="1" w:styleId="BalloonTextChar">
    <w:name w:val="Balloon Text Char"/>
    <w:basedOn w:val="DefaultParagraphFont"/>
    <w:link w:val="BalloonText"/>
    <w:rsid w:val="002A7AAD"/>
    <w:rPr>
      <w:rFonts w:ascii="Tahoma" w:hAnsi="Tahoma" w:cs="Tahoma"/>
      <w:sz w:val="16"/>
      <w:szCs w:val="16"/>
    </w:rPr>
  </w:style>
  <w:style w:type="character" w:customStyle="1" w:styleId="SubtitleChar">
    <w:name w:val="Subtitle Char"/>
    <w:basedOn w:val="DefaultParagraphFont"/>
    <w:link w:val="Subtitle"/>
    <w:rsid w:val="002A7AAD"/>
    <w:rPr>
      <w:rFonts w:ascii="Arial" w:hAnsi="Arial"/>
      <w:szCs w:val="24"/>
    </w:rPr>
  </w:style>
  <w:style w:type="paragraph" w:customStyle="1" w:styleId="BoxListBullet3">
    <w:name w:val="Box List Bullet 3"/>
    <w:basedOn w:val="ListBullet3"/>
    <w:rsid w:val="002A7AAD"/>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2A7AAD"/>
    <w:rPr>
      <w:i/>
      <w:iCs/>
    </w:rPr>
  </w:style>
  <w:style w:type="paragraph" w:customStyle="1" w:styleId="BoxQuoteBullet">
    <w:name w:val="Box Quote Bullet"/>
    <w:basedOn w:val="BoxQuote"/>
    <w:next w:val="Box"/>
    <w:rsid w:val="002A7AAD"/>
    <w:pPr>
      <w:numPr>
        <w:numId w:val="15"/>
      </w:numPr>
      <w:ind w:left="568" w:hanging="284"/>
    </w:pPr>
  </w:style>
  <w:style w:type="paragraph" w:customStyle="1" w:styleId="InformationRequestBullet">
    <w:name w:val="Information Request Bullet"/>
    <w:basedOn w:val="ListBullet"/>
    <w:next w:val="BodyText"/>
    <w:rsid w:val="002A7AAD"/>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2A7AAD"/>
    <w:pPr>
      <w:keepNext w:val="0"/>
      <w:spacing w:before="60" w:after="60" w:line="80" w:lineRule="exact"/>
    </w:pPr>
    <w:rPr>
      <w:sz w:val="14"/>
    </w:rPr>
  </w:style>
  <w:style w:type="character" w:customStyle="1" w:styleId="BodyTextChar">
    <w:name w:val="Body Text Char"/>
    <w:basedOn w:val="DefaultParagraphFont"/>
    <w:link w:val="BodyText"/>
    <w:rsid w:val="002A7AAD"/>
    <w:rPr>
      <w:sz w:val="24"/>
    </w:rPr>
  </w:style>
  <w:style w:type="paragraph" w:styleId="CommentSubject">
    <w:name w:val="annotation subject"/>
    <w:basedOn w:val="CommentText"/>
    <w:next w:val="CommentText"/>
    <w:link w:val="CommentSubjectChar"/>
    <w:rsid w:val="00D52F9B"/>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D52F9B"/>
    <w:rPr>
      <w:szCs w:val="24"/>
    </w:rPr>
  </w:style>
  <w:style w:type="character" w:customStyle="1" w:styleId="CommentSubjectChar">
    <w:name w:val="Comment Subject Char"/>
    <w:basedOn w:val="CommentTextChar"/>
    <w:link w:val="CommentSubject"/>
    <w:rsid w:val="00D52F9B"/>
    <w:rPr>
      <w:rFonts w:ascii="Arial" w:hAnsi="Arial"/>
      <w:b/>
      <w:bCs/>
      <w:szCs w:val="24"/>
      <w:lang w:eastAsia="en-US"/>
    </w:rPr>
  </w:style>
  <w:style w:type="paragraph" w:customStyle="1" w:styleId="KeyPointsListBullet">
    <w:name w:val="Key Points List Bullet"/>
    <w:basedOn w:val="Normal"/>
    <w:qFormat/>
    <w:rsid w:val="002A7AAD"/>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2A7AAD"/>
    <w:pPr>
      <w:numPr>
        <w:numId w:val="19"/>
      </w:numPr>
      <w:ind w:left="568" w:hanging="284"/>
    </w:pPr>
  </w:style>
  <w:style w:type="paragraph" w:customStyle="1" w:styleId="InformationRequestTitle">
    <w:name w:val="Information Request Title"/>
    <w:basedOn w:val="FindingTitle"/>
    <w:next w:val="InformationRequest"/>
    <w:rsid w:val="002A7AAD"/>
    <w:rPr>
      <w:i/>
    </w:rPr>
  </w:style>
  <w:style w:type="paragraph" w:customStyle="1" w:styleId="Space">
    <w:name w:val="Space"/>
    <w:basedOn w:val="Normal"/>
    <w:rsid w:val="002A7AAD"/>
    <w:pPr>
      <w:keepNext/>
      <w:spacing w:line="120" w:lineRule="exact"/>
      <w:jc w:val="both"/>
    </w:pPr>
    <w:rPr>
      <w:rFonts w:ascii="Arial" w:hAnsi="Arial"/>
      <w:sz w:val="20"/>
      <w:szCs w:val="20"/>
    </w:rPr>
  </w:style>
  <w:style w:type="paragraph" w:customStyle="1" w:styleId="Heading1nochapterno">
    <w:name w:val="Heading 1 (no chapter no.)"/>
    <w:basedOn w:val="Heading1"/>
    <w:rsid w:val="002A7AAD"/>
    <w:pPr>
      <w:spacing w:before="0"/>
      <w:ind w:left="0" w:firstLine="0"/>
    </w:pPr>
  </w:style>
  <w:style w:type="paragraph" w:customStyle="1" w:styleId="Heading2nosectionno">
    <w:name w:val="Heading 2 (no section no.)"/>
    <w:basedOn w:val="Heading2"/>
    <w:rsid w:val="002A7AAD"/>
    <w:pPr>
      <w:ind w:left="0" w:firstLine="0"/>
    </w:pPr>
  </w:style>
  <w:style w:type="character" w:customStyle="1" w:styleId="Heading5Char">
    <w:name w:val="Heading 5 Char"/>
    <w:basedOn w:val="DefaultParagraphFont"/>
    <w:link w:val="Heading5"/>
    <w:rsid w:val="002A7AAD"/>
    <w:rPr>
      <w:rFonts w:ascii="Arial" w:hAnsi="Arial"/>
      <w:i/>
      <w:sz w:val="22"/>
    </w:rPr>
  </w:style>
  <w:style w:type="paragraph" w:customStyle="1" w:styleId="Figurespace">
    <w:name w:val="Figure space"/>
    <w:basedOn w:val="Box"/>
    <w:rsid w:val="002A7AAD"/>
    <w:pPr>
      <w:spacing w:before="0" w:line="120" w:lineRule="exact"/>
    </w:pPr>
  </w:style>
  <w:style w:type="paragraph" w:customStyle="1" w:styleId="FooterDraftReport">
    <w:name w:val="FooterDraftReport"/>
    <w:basedOn w:val="Footer"/>
    <w:link w:val="FooterDraftReportChar"/>
    <w:rsid w:val="002A7AAD"/>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2A7AAD"/>
    <w:rPr>
      <w:rFonts w:ascii="Arial" w:hAnsi="Arial"/>
      <w:caps/>
      <w:spacing w:val="-4"/>
      <w:sz w:val="16"/>
    </w:rPr>
  </w:style>
  <w:style w:type="character" w:customStyle="1" w:styleId="FooterDraftReportChar">
    <w:name w:val="FooterDraftReport Char"/>
    <w:basedOn w:val="FooterChar"/>
    <w:link w:val="FooterDraftReport"/>
    <w:rsid w:val="002A7AAD"/>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2A7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2A7AAD"/>
    <w:rPr>
      <w:rFonts w:ascii="Arial" w:hAnsi="Arial"/>
      <w:b/>
      <w:sz w:val="26"/>
      <w:szCs w:val="26"/>
      <w:lang w:eastAsia="en-US"/>
    </w:rPr>
  </w:style>
  <w:style w:type="paragraph" w:styleId="Bibliography">
    <w:name w:val="Bibliography"/>
    <w:basedOn w:val="Normal"/>
    <w:next w:val="Normal"/>
    <w:uiPriority w:val="37"/>
    <w:unhideWhenUsed/>
    <w:rsid w:val="005B2D08"/>
    <w:pPr>
      <w:spacing w:after="240"/>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2A7AAD"/>
    <w:rPr>
      <w:sz w:val="24"/>
      <w:szCs w:val="24"/>
    </w:rPr>
  </w:style>
  <w:style w:type="paragraph" w:styleId="Heading1">
    <w:name w:val="heading 1"/>
    <w:basedOn w:val="BodyText"/>
    <w:next w:val="BodyText"/>
    <w:rsid w:val="002A7AAD"/>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2A7AAD"/>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2A7AAD"/>
    <w:pPr>
      <w:spacing w:before="560" w:line="320" w:lineRule="exact"/>
      <w:ind w:left="0" w:firstLine="0"/>
      <w:outlineLvl w:val="2"/>
    </w:pPr>
    <w:rPr>
      <w:sz w:val="26"/>
    </w:rPr>
  </w:style>
  <w:style w:type="paragraph" w:styleId="Heading4">
    <w:name w:val="heading 4"/>
    <w:basedOn w:val="Heading3"/>
    <w:next w:val="BodyText"/>
    <w:qFormat/>
    <w:rsid w:val="002A7AAD"/>
    <w:pPr>
      <w:spacing w:before="480"/>
      <w:outlineLvl w:val="3"/>
    </w:pPr>
    <w:rPr>
      <w:b w:val="0"/>
      <w:sz w:val="24"/>
    </w:rPr>
  </w:style>
  <w:style w:type="paragraph" w:styleId="Heading5">
    <w:name w:val="heading 5"/>
    <w:basedOn w:val="Heading4"/>
    <w:next w:val="BodyText"/>
    <w:link w:val="Heading5Char"/>
    <w:qFormat/>
    <w:rsid w:val="002A7AAD"/>
    <w:pPr>
      <w:outlineLvl w:val="4"/>
    </w:pPr>
    <w:rPr>
      <w:i/>
      <w:sz w:val="22"/>
    </w:rPr>
  </w:style>
  <w:style w:type="paragraph" w:styleId="Heading6">
    <w:name w:val="heading 6"/>
    <w:basedOn w:val="BodyText"/>
    <w:next w:val="BodyText"/>
    <w:rsid w:val="002A7AAD"/>
    <w:pPr>
      <w:spacing w:after="60"/>
      <w:jc w:val="left"/>
      <w:outlineLvl w:val="5"/>
    </w:pPr>
    <w:rPr>
      <w:i/>
      <w:sz w:val="22"/>
    </w:rPr>
  </w:style>
  <w:style w:type="paragraph" w:styleId="Heading7">
    <w:name w:val="heading 7"/>
    <w:basedOn w:val="BodyText"/>
    <w:next w:val="BodyText"/>
    <w:rsid w:val="002A7AAD"/>
    <w:pPr>
      <w:spacing w:after="60" w:line="240" w:lineRule="auto"/>
      <w:jc w:val="left"/>
      <w:outlineLvl w:val="6"/>
    </w:pPr>
    <w:rPr>
      <w:rFonts w:ascii="Arial" w:hAnsi="Arial"/>
      <w:sz w:val="20"/>
    </w:rPr>
  </w:style>
  <w:style w:type="paragraph" w:styleId="Heading8">
    <w:name w:val="heading 8"/>
    <w:basedOn w:val="BodyText"/>
    <w:next w:val="BodyText"/>
    <w:rsid w:val="002A7AAD"/>
    <w:pPr>
      <w:spacing w:after="60" w:line="240" w:lineRule="auto"/>
      <w:jc w:val="left"/>
      <w:outlineLvl w:val="7"/>
    </w:pPr>
    <w:rPr>
      <w:rFonts w:ascii="Arial" w:hAnsi="Arial"/>
      <w:i/>
      <w:sz w:val="20"/>
    </w:rPr>
  </w:style>
  <w:style w:type="paragraph" w:styleId="Heading9">
    <w:name w:val="heading 9"/>
    <w:basedOn w:val="BodyText"/>
    <w:next w:val="BodyText"/>
    <w:rsid w:val="002A7AAD"/>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2A7A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7AAD"/>
  </w:style>
  <w:style w:type="paragraph" w:styleId="BodyText">
    <w:name w:val="Body Text"/>
    <w:link w:val="BodyTextChar"/>
    <w:qFormat/>
    <w:rsid w:val="002A7AAD"/>
    <w:pPr>
      <w:spacing w:before="240" w:line="300" w:lineRule="atLeast"/>
      <w:jc w:val="both"/>
    </w:pPr>
    <w:rPr>
      <w:sz w:val="24"/>
    </w:rPr>
  </w:style>
  <w:style w:type="paragraph" w:styleId="Footer">
    <w:name w:val="footer"/>
    <w:basedOn w:val="BodyText"/>
    <w:link w:val="FooterChar"/>
    <w:rsid w:val="002A7AAD"/>
    <w:pPr>
      <w:spacing w:before="80" w:line="200" w:lineRule="exact"/>
      <w:ind w:right="6"/>
      <w:jc w:val="left"/>
    </w:pPr>
    <w:rPr>
      <w:rFonts w:ascii="Arial" w:hAnsi="Arial"/>
      <w:caps/>
      <w:spacing w:val="-4"/>
      <w:sz w:val="16"/>
    </w:rPr>
  </w:style>
  <w:style w:type="paragraph" w:customStyle="1" w:styleId="FooterEnd">
    <w:name w:val="Footer End"/>
    <w:basedOn w:val="Footer"/>
    <w:rsid w:val="002A7AAD"/>
    <w:pPr>
      <w:spacing w:before="0" w:line="20" w:lineRule="exact"/>
    </w:pPr>
  </w:style>
  <w:style w:type="paragraph" w:styleId="Header">
    <w:name w:val="header"/>
    <w:basedOn w:val="BodyText"/>
    <w:rsid w:val="002A7AAD"/>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2A7AAD"/>
    <w:pPr>
      <w:spacing w:line="20" w:lineRule="exact"/>
    </w:pPr>
    <w:rPr>
      <w:sz w:val="16"/>
    </w:rPr>
  </w:style>
  <w:style w:type="paragraph" w:customStyle="1" w:styleId="HeaderEven">
    <w:name w:val="Header Even"/>
    <w:basedOn w:val="Header"/>
    <w:semiHidden/>
    <w:rsid w:val="002A7AAD"/>
  </w:style>
  <w:style w:type="paragraph" w:customStyle="1" w:styleId="HeaderOdd">
    <w:name w:val="Header Odd"/>
    <w:basedOn w:val="Header"/>
    <w:semiHidden/>
    <w:rsid w:val="002A7AAD"/>
  </w:style>
  <w:style w:type="character" w:styleId="PageNumber">
    <w:name w:val="page number"/>
    <w:basedOn w:val="DefaultParagraphFont"/>
    <w:rsid w:val="002A7AAD"/>
    <w:rPr>
      <w:rFonts w:ascii="Arial" w:hAnsi="Arial"/>
      <w:b/>
      <w:sz w:val="16"/>
    </w:rPr>
  </w:style>
  <w:style w:type="paragraph" w:customStyle="1" w:styleId="Abbreviation">
    <w:name w:val="Abbreviation"/>
    <w:basedOn w:val="BodyText"/>
    <w:rsid w:val="002A7AAD"/>
    <w:pPr>
      <w:spacing w:before="120"/>
      <w:ind w:left="2381" w:hanging="2381"/>
      <w:jc w:val="left"/>
    </w:pPr>
  </w:style>
  <w:style w:type="paragraph" w:customStyle="1" w:styleId="Box">
    <w:name w:val="Box"/>
    <w:basedOn w:val="BodyText"/>
    <w:qFormat/>
    <w:rsid w:val="002A7AAD"/>
    <w:pPr>
      <w:keepNext/>
      <w:spacing w:before="120" w:line="260" w:lineRule="atLeast"/>
    </w:pPr>
    <w:rPr>
      <w:rFonts w:ascii="Arial" w:hAnsi="Arial"/>
      <w:sz w:val="20"/>
    </w:rPr>
  </w:style>
  <w:style w:type="paragraph" w:customStyle="1" w:styleId="BoxContinued">
    <w:name w:val="Box Continued"/>
    <w:basedOn w:val="BodyText"/>
    <w:next w:val="BodyText"/>
    <w:semiHidden/>
    <w:rsid w:val="002A7AAD"/>
    <w:pPr>
      <w:spacing w:before="180" w:line="220" w:lineRule="exact"/>
      <w:jc w:val="right"/>
    </w:pPr>
    <w:rPr>
      <w:rFonts w:ascii="Arial" w:hAnsi="Arial"/>
      <w:sz w:val="18"/>
    </w:rPr>
  </w:style>
  <w:style w:type="paragraph" w:customStyle="1" w:styleId="BoxHeading1">
    <w:name w:val="Box Heading 1"/>
    <w:basedOn w:val="BodyText"/>
    <w:next w:val="Box"/>
    <w:rsid w:val="002A7AAD"/>
    <w:pPr>
      <w:keepNext/>
      <w:spacing w:before="200" w:line="280" w:lineRule="atLeast"/>
    </w:pPr>
    <w:rPr>
      <w:rFonts w:ascii="Arial" w:hAnsi="Arial"/>
      <w:b/>
      <w:sz w:val="22"/>
    </w:rPr>
  </w:style>
  <w:style w:type="paragraph" w:customStyle="1" w:styleId="BoxHeading2">
    <w:name w:val="Box Heading 2"/>
    <w:basedOn w:val="BoxHeading1"/>
    <w:next w:val="Normal"/>
    <w:rsid w:val="002A7AAD"/>
    <w:rPr>
      <w:b w:val="0"/>
      <w:i/>
    </w:rPr>
  </w:style>
  <w:style w:type="paragraph" w:customStyle="1" w:styleId="BoxListBullet">
    <w:name w:val="Box List Bullet"/>
    <w:basedOn w:val="BodyText"/>
    <w:rsid w:val="002A7AA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2A7AAD"/>
    <w:pPr>
      <w:numPr>
        <w:numId w:val="2"/>
      </w:numPr>
      <w:ind w:left="568" w:hanging="284"/>
    </w:pPr>
  </w:style>
  <w:style w:type="paragraph" w:customStyle="1" w:styleId="BoxListNumber">
    <w:name w:val="Box List Number"/>
    <w:basedOn w:val="BodyText"/>
    <w:rsid w:val="002A7AAD"/>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2A7AAD"/>
    <w:pPr>
      <w:numPr>
        <w:ilvl w:val="1"/>
      </w:numPr>
      <w:ind w:left="681" w:hanging="397"/>
    </w:pPr>
  </w:style>
  <w:style w:type="paragraph" w:customStyle="1" w:styleId="BoxQuote">
    <w:name w:val="Box Quote"/>
    <w:basedOn w:val="BodyText"/>
    <w:next w:val="Box"/>
    <w:qFormat/>
    <w:rsid w:val="002A7AAD"/>
    <w:pPr>
      <w:keepNext/>
      <w:spacing w:before="60" w:line="240" w:lineRule="exact"/>
      <w:ind w:left="284"/>
    </w:pPr>
    <w:rPr>
      <w:rFonts w:ascii="Arial" w:hAnsi="Arial"/>
      <w:sz w:val="18"/>
    </w:rPr>
  </w:style>
  <w:style w:type="paragraph" w:customStyle="1" w:styleId="Note">
    <w:name w:val="Note"/>
    <w:basedOn w:val="BodyText"/>
    <w:next w:val="BodyText"/>
    <w:rsid w:val="002A7AAD"/>
    <w:pPr>
      <w:keepLines/>
      <w:spacing w:before="80" w:line="220" w:lineRule="exact"/>
    </w:pPr>
    <w:rPr>
      <w:rFonts w:ascii="Arial" w:hAnsi="Arial"/>
      <w:sz w:val="18"/>
    </w:rPr>
  </w:style>
  <w:style w:type="paragraph" w:customStyle="1" w:styleId="Source">
    <w:name w:val="Source"/>
    <w:basedOn w:val="Normal"/>
    <w:next w:val="BodyText"/>
    <w:rsid w:val="002A7AAD"/>
    <w:pPr>
      <w:keepLines/>
      <w:spacing w:before="80" w:line="220" w:lineRule="exact"/>
      <w:jc w:val="both"/>
    </w:pPr>
    <w:rPr>
      <w:rFonts w:ascii="Arial" w:hAnsi="Arial"/>
      <w:sz w:val="18"/>
      <w:szCs w:val="20"/>
    </w:rPr>
  </w:style>
  <w:style w:type="paragraph" w:customStyle="1" w:styleId="BoxSource">
    <w:name w:val="Box Source"/>
    <w:basedOn w:val="Source"/>
    <w:next w:val="BodyText"/>
    <w:rsid w:val="002A7AAD"/>
    <w:pPr>
      <w:spacing w:before="120"/>
    </w:pPr>
  </w:style>
  <w:style w:type="paragraph" w:customStyle="1" w:styleId="BoxSpaceAbove">
    <w:name w:val="Box Space Above"/>
    <w:basedOn w:val="BodyText"/>
    <w:rsid w:val="002A7AAD"/>
    <w:pPr>
      <w:keepNext/>
      <w:spacing w:before="360" w:line="80" w:lineRule="exact"/>
      <w:jc w:val="left"/>
    </w:pPr>
  </w:style>
  <w:style w:type="paragraph" w:styleId="Caption">
    <w:name w:val="caption"/>
    <w:basedOn w:val="Normal"/>
    <w:next w:val="BodyText"/>
    <w:rsid w:val="002A7AAD"/>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2A7AAD"/>
    <w:pPr>
      <w:spacing w:before="120" w:after="0"/>
    </w:pPr>
  </w:style>
  <w:style w:type="paragraph" w:customStyle="1" w:styleId="BoxSubtitle">
    <w:name w:val="Box Subtitle"/>
    <w:basedOn w:val="BoxTitle"/>
    <w:next w:val="Normal"/>
    <w:rsid w:val="002A7AAD"/>
    <w:pPr>
      <w:spacing w:after="80" w:line="200" w:lineRule="exact"/>
      <w:ind w:firstLine="0"/>
    </w:pPr>
    <w:rPr>
      <w:b w:val="0"/>
      <w:sz w:val="20"/>
    </w:rPr>
  </w:style>
  <w:style w:type="paragraph" w:customStyle="1" w:styleId="Chapter">
    <w:name w:val="Chapter"/>
    <w:basedOn w:val="Heading1"/>
    <w:next w:val="BodyText"/>
    <w:semiHidden/>
    <w:rsid w:val="002A7AAD"/>
    <w:pPr>
      <w:ind w:left="0" w:firstLine="0"/>
      <w:outlineLvl w:val="9"/>
    </w:pPr>
  </w:style>
  <w:style w:type="paragraph" w:customStyle="1" w:styleId="ChapterSummary">
    <w:name w:val="Chapter Summary"/>
    <w:basedOn w:val="BodyText"/>
    <w:rsid w:val="002A7AAD"/>
    <w:pPr>
      <w:spacing w:line="280" w:lineRule="atLeast"/>
      <w:ind w:left="907"/>
    </w:pPr>
    <w:rPr>
      <w:rFonts w:ascii="Arial" w:hAnsi="Arial"/>
      <w:b/>
      <w:sz w:val="20"/>
    </w:rPr>
  </w:style>
  <w:style w:type="character" w:styleId="CommentReference">
    <w:name w:val="annotation reference"/>
    <w:basedOn w:val="DefaultParagraphFont"/>
    <w:semiHidden/>
    <w:rsid w:val="002A7AAD"/>
    <w:rPr>
      <w:b/>
      <w:vanish/>
      <w:color w:val="FF00FF"/>
      <w:sz w:val="20"/>
    </w:rPr>
  </w:style>
  <w:style w:type="paragraph" w:styleId="CommentText">
    <w:name w:val="annotation text"/>
    <w:basedOn w:val="Normal"/>
    <w:link w:val="CommentTextChar"/>
    <w:semiHidden/>
    <w:rsid w:val="002A7AAD"/>
    <w:pPr>
      <w:spacing w:before="120" w:line="240" w:lineRule="atLeast"/>
      <w:ind w:left="567" w:hanging="567"/>
    </w:pPr>
    <w:rPr>
      <w:sz w:val="20"/>
    </w:rPr>
  </w:style>
  <w:style w:type="paragraph" w:customStyle="1" w:styleId="Continued">
    <w:name w:val="Continued"/>
    <w:basedOn w:val="BoxContinued"/>
    <w:next w:val="BodyText"/>
    <w:rsid w:val="002A7AAD"/>
  </w:style>
  <w:style w:type="character" w:customStyle="1" w:styleId="DocumentInfo">
    <w:name w:val="Document Info"/>
    <w:basedOn w:val="DefaultParagraphFont"/>
    <w:semiHidden/>
    <w:rsid w:val="002A7AAD"/>
    <w:rPr>
      <w:rFonts w:ascii="Arial" w:hAnsi="Arial"/>
      <w:sz w:val="14"/>
    </w:rPr>
  </w:style>
  <w:style w:type="character" w:customStyle="1" w:styleId="DraftingNote">
    <w:name w:val="Drafting Note"/>
    <w:basedOn w:val="DefaultParagraphFont"/>
    <w:rsid w:val="002A7AAD"/>
    <w:rPr>
      <w:b/>
      <w:color w:val="FF0000"/>
      <w:sz w:val="24"/>
      <w:u w:val="dotted"/>
    </w:rPr>
  </w:style>
  <w:style w:type="paragraph" w:customStyle="1" w:styleId="Figure">
    <w:name w:val="Figure"/>
    <w:basedOn w:val="BodyText"/>
    <w:rsid w:val="002A7AAD"/>
    <w:pPr>
      <w:keepNext/>
      <w:spacing w:before="120" w:after="120" w:line="240" w:lineRule="atLeast"/>
      <w:jc w:val="center"/>
    </w:pPr>
  </w:style>
  <w:style w:type="paragraph" w:customStyle="1" w:styleId="FigureTitle">
    <w:name w:val="Figure Title"/>
    <w:basedOn w:val="Caption"/>
    <w:next w:val="Subtitle"/>
    <w:rsid w:val="002A7AAD"/>
    <w:pPr>
      <w:spacing w:before="120"/>
    </w:pPr>
  </w:style>
  <w:style w:type="paragraph" w:styleId="Subtitle">
    <w:name w:val="Subtitle"/>
    <w:basedOn w:val="Caption"/>
    <w:link w:val="SubtitleChar"/>
    <w:qFormat/>
    <w:rsid w:val="002A7AAD"/>
    <w:pPr>
      <w:spacing w:before="0" w:line="200" w:lineRule="exact"/>
      <w:ind w:firstLine="0"/>
    </w:pPr>
    <w:rPr>
      <w:b w:val="0"/>
      <w:sz w:val="20"/>
    </w:rPr>
  </w:style>
  <w:style w:type="paragraph" w:customStyle="1" w:styleId="Finding">
    <w:name w:val="Finding"/>
    <w:basedOn w:val="BodyText"/>
    <w:rsid w:val="002A7AAD"/>
    <w:pPr>
      <w:keepLines/>
      <w:spacing w:before="120" w:line="280" w:lineRule="atLeast"/>
    </w:pPr>
    <w:rPr>
      <w:rFonts w:ascii="Arial" w:hAnsi="Arial"/>
      <w:sz w:val="22"/>
    </w:rPr>
  </w:style>
  <w:style w:type="paragraph" w:customStyle="1" w:styleId="FindingBullet">
    <w:name w:val="Finding Bullet"/>
    <w:basedOn w:val="Finding"/>
    <w:rsid w:val="002A7AAD"/>
    <w:pPr>
      <w:numPr>
        <w:numId w:val="3"/>
      </w:numPr>
      <w:spacing w:before="80"/>
    </w:pPr>
  </w:style>
  <w:style w:type="paragraph" w:customStyle="1" w:styleId="FindingNoTitle">
    <w:name w:val="Finding NoTitle"/>
    <w:basedOn w:val="Finding"/>
    <w:semiHidden/>
    <w:rsid w:val="002A7AAD"/>
    <w:pPr>
      <w:spacing w:before="240"/>
    </w:pPr>
  </w:style>
  <w:style w:type="paragraph" w:customStyle="1" w:styleId="RecTitle">
    <w:name w:val="Rec Title"/>
    <w:basedOn w:val="BodyText"/>
    <w:next w:val="Rec"/>
    <w:qFormat/>
    <w:rsid w:val="002A7AAD"/>
    <w:pPr>
      <w:keepNext/>
      <w:keepLines/>
      <w:spacing w:line="280" w:lineRule="atLeast"/>
    </w:pPr>
    <w:rPr>
      <w:rFonts w:ascii="Arial" w:hAnsi="Arial"/>
      <w:caps/>
      <w:sz w:val="18"/>
    </w:rPr>
  </w:style>
  <w:style w:type="paragraph" w:customStyle="1" w:styleId="FindingTitle">
    <w:name w:val="Finding Title"/>
    <w:basedOn w:val="RecTitle"/>
    <w:next w:val="Finding"/>
    <w:rsid w:val="002A7AAD"/>
  </w:style>
  <w:style w:type="character" w:styleId="FootnoteReference">
    <w:name w:val="footnote reference"/>
    <w:basedOn w:val="DefaultParagraphFont"/>
    <w:semiHidden/>
    <w:rsid w:val="002A7AAD"/>
    <w:rPr>
      <w:rFonts w:ascii="Times New Roman" w:hAnsi="Times New Roman"/>
      <w:position w:val="6"/>
      <w:sz w:val="20"/>
      <w:vertAlign w:val="baseline"/>
    </w:rPr>
  </w:style>
  <w:style w:type="paragraph" w:styleId="FootnoteText">
    <w:name w:val="footnote text"/>
    <w:basedOn w:val="BodyText"/>
    <w:rsid w:val="002A7AAD"/>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2A7AAD"/>
    <w:rPr>
      <w:i/>
    </w:rPr>
  </w:style>
  <w:style w:type="paragraph" w:customStyle="1" w:styleId="Jurisdictioncommentsbodytext">
    <w:name w:val="Jurisdiction comments body text"/>
    <w:rsid w:val="002A7AAD"/>
    <w:pPr>
      <w:spacing w:after="140"/>
      <w:jc w:val="both"/>
    </w:pPr>
    <w:rPr>
      <w:rFonts w:ascii="Arial" w:hAnsi="Arial"/>
      <w:sz w:val="24"/>
      <w:lang w:eastAsia="en-US"/>
    </w:rPr>
  </w:style>
  <w:style w:type="paragraph" w:customStyle="1" w:styleId="Jurisdictioncommentsheading">
    <w:name w:val="Jurisdiction comments heading"/>
    <w:rsid w:val="002A7AAD"/>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2A7AAD"/>
    <w:pPr>
      <w:numPr>
        <w:numId w:val="4"/>
      </w:numPr>
      <w:spacing w:after="140"/>
      <w:jc w:val="both"/>
    </w:pPr>
    <w:rPr>
      <w:rFonts w:ascii="Arial" w:hAnsi="Arial"/>
      <w:sz w:val="24"/>
      <w:lang w:eastAsia="en-US"/>
    </w:rPr>
  </w:style>
  <w:style w:type="paragraph" w:styleId="ListBullet">
    <w:name w:val="List Bullet"/>
    <w:basedOn w:val="BodyText"/>
    <w:rsid w:val="002A7AAD"/>
    <w:pPr>
      <w:numPr>
        <w:numId w:val="5"/>
      </w:numPr>
      <w:spacing w:before="120"/>
    </w:pPr>
  </w:style>
  <w:style w:type="paragraph" w:styleId="ListBullet2">
    <w:name w:val="List Bullet 2"/>
    <w:basedOn w:val="BodyText"/>
    <w:rsid w:val="002A7AAD"/>
    <w:pPr>
      <w:numPr>
        <w:numId w:val="6"/>
      </w:numPr>
      <w:spacing w:before="120"/>
    </w:pPr>
  </w:style>
  <w:style w:type="paragraph" w:styleId="ListBullet3">
    <w:name w:val="List Bullet 3"/>
    <w:basedOn w:val="BodyText"/>
    <w:rsid w:val="002A7AAD"/>
    <w:pPr>
      <w:numPr>
        <w:numId w:val="7"/>
      </w:numPr>
      <w:spacing w:before="120"/>
      <w:ind w:left="1020" w:hanging="340"/>
    </w:pPr>
  </w:style>
  <w:style w:type="paragraph" w:styleId="ListNumber">
    <w:name w:val="List Number"/>
    <w:basedOn w:val="BodyText"/>
    <w:rsid w:val="002A7AAD"/>
    <w:pPr>
      <w:numPr>
        <w:numId w:val="13"/>
      </w:numPr>
      <w:spacing w:before="120"/>
    </w:pPr>
  </w:style>
  <w:style w:type="paragraph" w:styleId="ListNumber2">
    <w:name w:val="List Number 2"/>
    <w:basedOn w:val="ListNumber"/>
    <w:rsid w:val="002A7AAD"/>
    <w:pPr>
      <w:numPr>
        <w:ilvl w:val="1"/>
      </w:numPr>
    </w:pPr>
  </w:style>
  <w:style w:type="paragraph" w:styleId="ListNumber3">
    <w:name w:val="List Number 3"/>
    <w:basedOn w:val="ListNumber2"/>
    <w:rsid w:val="002A7AAD"/>
    <w:pPr>
      <w:numPr>
        <w:ilvl w:val="2"/>
      </w:numPr>
    </w:pPr>
  </w:style>
  <w:style w:type="character" w:customStyle="1" w:styleId="NoteLabel">
    <w:name w:val="Note Label"/>
    <w:basedOn w:val="DefaultParagraphFont"/>
    <w:rsid w:val="002A7AAD"/>
    <w:rPr>
      <w:rFonts w:ascii="Arial" w:hAnsi="Arial"/>
      <w:b/>
      <w:position w:val="6"/>
      <w:sz w:val="18"/>
    </w:rPr>
  </w:style>
  <w:style w:type="paragraph" w:customStyle="1" w:styleId="PartDivider">
    <w:name w:val="Part Divider"/>
    <w:basedOn w:val="BodyText"/>
    <w:next w:val="BodyText"/>
    <w:semiHidden/>
    <w:rsid w:val="002A7AAD"/>
    <w:pPr>
      <w:spacing w:before="0" w:line="40" w:lineRule="exact"/>
      <w:jc w:val="right"/>
    </w:pPr>
    <w:rPr>
      <w:smallCaps/>
      <w:sz w:val="16"/>
    </w:rPr>
  </w:style>
  <w:style w:type="paragraph" w:customStyle="1" w:styleId="PartNumber">
    <w:name w:val="Part Number"/>
    <w:basedOn w:val="BodyText"/>
    <w:next w:val="BodyText"/>
    <w:semiHidden/>
    <w:rsid w:val="002A7AAD"/>
    <w:pPr>
      <w:spacing w:before="4000" w:line="320" w:lineRule="exact"/>
      <w:ind w:left="6634"/>
      <w:jc w:val="right"/>
    </w:pPr>
    <w:rPr>
      <w:smallCaps/>
      <w:spacing w:val="60"/>
      <w:sz w:val="32"/>
    </w:rPr>
  </w:style>
  <w:style w:type="paragraph" w:customStyle="1" w:styleId="PartTitle">
    <w:name w:val="Part Title"/>
    <w:basedOn w:val="BodyText"/>
    <w:semiHidden/>
    <w:rsid w:val="002A7AAD"/>
    <w:pPr>
      <w:spacing w:before="160" w:after="1360" w:line="520" w:lineRule="exact"/>
      <w:ind w:right="2381"/>
      <w:jc w:val="right"/>
    </w:pPr>
    <w:rPr>
      <w:smallCaps/>
      <w:sz w:val="52"/>
    </w:rPr>
  </w:style>
  <w:style w:type="paragraph" w:styleId="Quote">
    <w:name w:val="Quote"/>
    <w:basedOn w:val="BodyText"/>
    <w:next w:val="BodyText"/>
    <w:qFormat/>
    <w:rsid w:val="002A7AAD"/>
    <w:pPr>
      <w:spacing w:before="120" w:line="280" w:lineRule="exact"/>
      <w:ind w:left="340"/>
    </w:pPr>
    <w:rPr>
      <w:sz w:val="22"/>
    </w:rPr>
  </w:style>
  <w:style w:type="paragraph" w:customStyle="1" w:styleId="QuoteBullet">
    <w:name w:val="Quote Bullet"/>
    <w:basedOn w:val="Quote"/>
    <w:rsid w:val="002A7AAD"/>
    <w:pPr>
      <w:numPr>
        <w:numId w:val="8"/>
      </w:numPr>
    </w:pPr>
  </w:style>
  <w:style w:type="paragraph" w:customStyle="1" w:styleId="Rec">
    <w:name w:val="Rec"/>
    <w:basedOn w:val="BodyText"/>
    <w:qFormat/>
    <w:rsid w:val="002A7AAD"/>
    <w:pPr>
      <w:keepLines/>
      <w:spacing w:before="120" w:line="280" w:lineRule="atLeast"/>
    </w:pPr>
    <w:rPr>
      <w:rFonts w:ascii="Arial" w:hAnsi="Arial"/>
      <w:sz w:val="22"/>
    </w:rPr>
  </w:style>
  <w:style w:type="paragraph" w:customStyle="1" w:styleId="RecBullet">
    <w:name w:val="Rec Bullet"/>
    <w:basedOn w:val="Rec"/>
    <w:rsid w:val="002A7AAD"/>
    <w:pPr>
      <w:numPr>
        <w:numId w:val="9"/>
      </w:numPr>
      <w:spacing w:before="80"/>
    </w:pPr>
  </w:style>
  <w:style w:type="paragraph" w:customStyle="1" w:styleId="RecB">
    <w:name w:val="RecB"/>
    <w:basedOn w:val="Normal"/>
    <w:semiHidden/>
    <w:rsid w:val="002A7AAD"/>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2A7AAD"/>
    <w:pPr>
      <w:numPr>
        <w:numId w:val="10"/>
      </w:numPr>
      <w:spacing w:before="80"/>
    </w:pPr>
  </w:style>
  <w:style w:type="paragraph" w:customStyle="1" w:styleId="RecBNoTitle">
    <w:name w:val="RecB NoTitle"/>
    <w:basedOn w:val="RecB"/>
    <w:semiHidden/>
    <w:rsid w:val="002A7AAD"/>
    <w:pPr>
      <w:spacing w:before="240"/>
    </w:pPr>
  </w:style>
  <w:style w:type="paragraph" w:customStyle="1" w:styleId="Reference">
    <w:name w:val="Reference"/>
    <w:basedOn w:val="BodyText"/>
    <w:rsid w:val="002A7AAD"/>
    <w:pPr>
      <w:spacing w:before="120"/>
      <w:ind w:left="340" w:hanging="340"/>
    </w:pPr>
  </w:style>
  <w:style w:type="paragraph" w:customStyle="1" w:styleId="SequenceInfo">
    <w:name w:val="Sequence Info"/>
    <w:basedOn w:val="BodyText"/>
    <w:semiHidden/>
    <w:rsid w:val="002A7AAD"/>
    <w:rPr>
      <w:vanish/>
      <w:sz w:val="16"/>
    </w:rPr>
  </w:style>
  <w:style w:type="paragraph" w:customStyle="1" w:styleId="SideNote">
    <w:name w:val="Side Note"/>
    <w:basedOn w:val="BodyText"/>
    <w:next w:val="BodyText"/>
    <w:semiHidden/>
    <w:rsid w:val="002A7AAD"/>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2A7AAD"/>
    <w:pPr>
      <w:framePr w:wrap="around"/>
      <w:numPr>
        <w:numId w:val="11"/>
      </w:numPr>
      <w:tabs>
        <w:tab w:val="left" w:pos="227"/>
      </w:tabs>
    </w:pPr>
  </w:style>
  <w:style w:type="paragraph" w:customStyle="1" w:styleId="SideNoteGraphic">
    <w:name w:val="Side Note Graphic"/>
    <w:basedOn w:val="SideNote"/>
    <w:next w:val="BodyText"/>
    <w:semiHidden/>
    <w:rsid w:val="002A7AAD"/>
    <w:pPr>
      <w:framePr w:wrap="around"/>
    </w:pPr>
  </w:style>
  <w:style w:type="paragraph" w:customStyle="1" w:styleId="TableBodyText">
    <w:name w:val="Table Body Text"/>
    <w:basedOn w:val="BodyText"/>
    <w:rsid w:val="002A7AAD"/>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2A7AAD"/>
    <w:pPr>
      <w:numPr>
        <w:numId w:val="12"/>
      </w:numPr>
      <w:jc w:val="left"/>
    </w:pPr>
  </w:style>
  <w:style w:type="paragraph" w:customStyle="1" w:styleId="TableColumnHeading">
    <w:name w:val="Table Column Heading"/>
    <w:basedOn w:val="TableBodyText"/>
    <w:rsid w:val="002A7AAD"/>
    <w:pPr>
      <w:spacing w:before="80" w:after="80"/>
    </w:pPr>
    <w:rPr>
      <w:i/>
    </w:rPr>
  </w:style>
  <w:style w:type="paragraph" w:styleId="TOC2">
    <w:name w:val="toc 2"/>
    <w:basedOn w:val="TOC1"/>
    <w:rsid w:val="002A7AAD"/>
    <w:pPr>
      <w:ind w:left="1134" w:hanging="624"/>
    </w:pPr>
    <w:rPr>
      <w:b w:val="0"/>
    </w:rPr>
  </w:style>
  <w:style w:type="paragraph" w:styleId="TOC3">
    <w:name w:val="toc 3"/>
    <w:basedOn w:val="TOC2"/>
    <w:rsid w:val="002A7AAD"/>
    <w:pPr>
      <w:spacing w:before="60"/>
      <w:ind w:left="1190" w:hanging="680"/>
    </w:pPr>
  </w:style>
  <w:style w:type="paragraph" w:styleId="TableofFigures">
    <w:name w:val="table of figures"/>
    <w:basedOn w:val="TOC3"/>
    <w:next w:val="BodyText"/>
    <w:semiHidden/>
    <w:rsid w:val="002A7AAD"/>
    <w:pPr>
      <w:ind w:left="737" w:hanging="737"/>
    </w:pPr>
  </w:style>
  <w:style w:type="paragraph" w:customStyle="1" w:styleId="TableTitle">
    <w:name w:val="Table Title"/>
    <w:basedOn w:val="Caption"/>
    <w:next w:val="Subtitle"/>
    <w:qFormat/>
    <w:rsid w:val="002A7AAD"/>
    <w:pPr>
      <w:spacing w:before="120"/>
    </w:pPr>
  </w:style>
  <w:style w:type="paragraph" w:customStyle="1" w:styleId="TableUnitsRow">
    <w:name w:val="Table Units Row"/>
    <w:basedOn w:val="TableBodyText"/>
    <w:rsid w:val="002A7AAD"/>
    <w:pPr>
      <w:spacing w:before="40"/>
    </w:pPr>
  </w:style>
  <w:style w:type="paragraph" w:styleId="TOC1">
    <w:name w:val="toc 1"/>
    <w:basedOn w:val="Normal"/>
    <w:next w:val="TOC2"/>
    <w:link w:val="TOC1Char"/>
    <w:rsid w:val="002A7AAD"/>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2A7AAD"/>
    <w:pPr>
      <w:ind w:left="1191" w:firstLine="0"/>
    </w:pPr>
  </w:style>
  <w:style w:type="paragraph" w:customStyle="1" w:styleId="RecBBullet2">
    <w:name w:val="RecB Bullet 2"/>
    <w:basedOn w:val="ListBullet2"/>
    <w:semiHidden/>
    <w:rsid w:val="002A7AAD"/>
    <w:pPr>
      <w:pBdr>
        <w:left w:val="single" w:sz="24" w:space="29" w:color="C0C0C0"/>
      </w:pBdr>
    </w:pPr>
    <w:rPr>
      <w:b/>
      <w:i/>
    </w:rPr>
  </w:style>
  <w:style w:type="paragraph" w:styleId="BalloonText">
    <w:name w:val="Balloon Text"/>
    <w:basedOn w:val="Normal"/>
    <w:link w:val="BalloonTextChar"/>
    <w:rsid w:val="002A7AAD"/>
    <w:rPr>
      <w:rFonts w:ascii="Tahoma" w:hAnsi="Tahoma" w:cs="Tahoma"/>
      <w:sz w:val="16"/>
      <w:szCs w:val="16"/>
    </w:rPr>
  </w:style>
  <w:style w:type="character" w:customStyle="1" w:styleId="BalloonTextChar">
    <w:name w:val="Balloon Text Char"/>
    <w:basedOn w:val="DefaultParagraphFont"/>
    <w:link w:val="BalloonText"/>
    <w:rsid w:val="002A7AAD"/>
    <w:rPr>
      <w:rFonts w:ascii="Tahoma" w:hAnsi="Tahoma" w:cs="Tahoma"/>
      <w:sz w:val="16"/>
      <w:szCs w:val="16"/>
    </w:rPr>
  </w:style>
  <w:style w:type="character" w:customStyle="1" w:styleId="SubtitleChar">
    <w:name w:val="Subtitle Char"/>
    <w:basedOn w:val="DefaultParagraphFont"/>
    <w:link w:val="Subtitle"/>
    <w:rsid w:val="002A7AAD"/>
    <w:rPr>
      <w:rFonts w:ascii="Arial" w:hAnsi="Arial"/>
      <w:szCs w:val="24"/>
    </w:rPr>
  </w:style>
  <w:style w:type="paragraph" w:customStyle="1" w:styleId="BoxListBullet3">
    <w:name w:val="Box List Bullet 3"/>
    <w:basedOn w:val="ListBullet3"/>
    <w:rsid w:val="002A7AAD"/>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2A7AAD"/>
    <w:rPr>
      <w:i/>
      <w:iCs/>
    </w:rPr>
  </w:style>
  <w:style w:type="paragraph" w:customStyle="1" w:styleId="BoxQuoteBullet">
    <w:name w:val="Box Quote Bullet"/>
    <w:basedOn w:val="BoxQuote"/>
    <w:next w:val="Box"/>
    <w:rsid w:val="002A7AAD"/>
    <w:pPr>
      <w:numPr>
        <w:numId w:val="15"/>
      </w:numPr>
      <w:ind w:left="568" w:hanging="284"/>
    </w:pPr>
  </w:style>
  <w:style w:type="paragraph" w:customStyle="1" w:styleId="InformationRequestBullet">
    <w:name w:val="Information Request Bullet"/>
    <w:basedOn w:val="ListBullet"/>
    <w:next w:val="BodyText"/>
    <w:rsid w:val="002A7AAD"/>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2A7AAD"/>
    <w:pPr>
      <w:keepNext w:val="0"/>
      <w:spacing w:before="60" w:after="60" w:line="80" w:lineRule="exact"/>
    </w:pPr>
    <w:rPr>
      <w:sz w:val="14"/>
    </w:rPr>
  </w:style>
  <w:style w:type="character" w:customStyle="1" w:styleId="BodyTextChar">
    <w:name w:val="Body Text Char"/>
    <w:basedOn w:val="DefaultParagraphFont"/>
    <w:link w:val="BodyText"/>
    <w:rsid w:val="002A7AAD"/>
    <w:rPr>
      <w:sz w:val="24"/>
    </w:rPr>
  </w:style>
  <w:style w:type="paragraph" w:styleId="CommentSubject">
    <w:name w:val="annotation subject"/>
    <w:basedOn w:val="CommentText"/>
    <w:next w:val="CommentText"/>
    <w:link w:val="CommentSubjectChar"/>
    <w:rsid w:val="00D52F9B"/>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D52F9B"/>
    <w:rPr>
      <w:szCs w:val="24"/>
    </w:rPr>
  </w:style>
  <w:style w:type="character" w:customStyle="1" w:styleId="CommentSubjectChar">
    <w:name w:val="Comment Subject Char"/>
    <w:basedOn w:val="CommentTextChar"/>
    <w:link w:val="CommentSubject"/>
    <w:rsid w:val="00D52F9B"/>
    <w:rPr>
      <w:rFonts w:ascii="Arial" w:hAnsi="Arial"/>
      <w:b/>
      <w:bCs/>
      <w:szCs w:val="24"/>
      <w:lang w:eastAsia="en-US"/>
    </w:rPr>
  </w:style>
  <w:style w:type="paragraph" w:customStyle="1" w:styleId="KeyPointsListBullet">
    <w:name w:val="Key Points List Bullet"/>
    <w:basedOn w:val="Normal"/>
    <w:qFormat/>
    <w:rsid w:val="002A7AAD"/>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2A7AAD"/>
    <w:pPr>
      <w:numPr>
        <w:numId w:val="19"/>
      </w:numPr>
      <w:ind w:left="568" w:hanging="284"/>
    </w:pPr>
  </w:style>
  <w:style w:type="paragraph" w:customStyle="1" w:styleId="InformationRequestTitle">
    <w:name w:val="Information Request Title"/>
    <w:basedOn w:val="FindingTitle"/>
    <w:next w:val="InformationRequest"/>
    <w:rsid w:val="002A7AAD"/>
    <w:rPr>
      <w:i/>
    </w:rPr>
  </w:style>
  <w:style w:type="paragraph" w:customStyle="1" w:styleId="Space">
    <w:name w:val="Space"/>
    <w:basedOn w:val="Normal"/>
    <w:rsid w:val="002A7AAD"/>
    <w:pPr>
      <w:keepNext/>
      <w:spacing w:line="120" w:lineRule="exact"/>
      <w:jc w:val="both"/>
    </w:pPr>
    <w:rPr>
      <w:rFonts w:ascii="Arial" w:hAnsi="Arial"/>
      <w:sz w:val="20"/>
      <w:szCs w:val="20"/>
    </w:rPr>
  </w:style>
  <w:style w:type="paragraph" w:customStyle="1" w:styleId="Heading1nochapterno">
    <w:name w:val="Heading 1 (no chapter no.)"/>
    <w:basedOn w:val="Heading1"/>
    <w:rsid w:val="002A7AAD"/>
    <w:pPr>
      <w:spacing w:before="0"/>
      <w:ind w:left="0" w:firstLine="0"/>
    </w:pPr>
  </w:style>
  <w:style w:type="paragraph" w:customStyle="1" w:styleId="Heading2nosectionno">
    <w:name w:val="Heading 2 (no section no.)"/>
    <w:basedOn w:val="Heading2"/>
    <w:rsid w:val="002A7AAD"/>
    <w:pPr>
      <w:ind w:left="0" w:firstLine="0"/>
    </w:pPr>
  </w:style>
  <w:style w:type="character" w:customStyle="1" w:styleId="Heading5Char">
    <w:name w:val="Heading 5 Char"/>
    <w:basedOn w:val="DefaultParagraphFont"/>
    <w:link w:val="Heading5"/>
    <w:rsid w:val="002A7AAD"/>
    <w:rPr>
      <w:rFonts w:ascii="Arial" w:hAnsi="Arial"/>
      <w:i/>
      <w:sz w:val="22"/>
    </w:rPr>
  </w:style>
  <w:style w:type="paragraph" w:customStyle="1" w:styleId="Figurespace">
    <w:name w:val="Figure space"/>
    <w:basedOn w:val="Box"/>
    <w:rsid w:val="002A7AAD"/>
    <w:pPr>
      <w:spacing w:before="0" w:line="120" w:lineRule="exact"/>
    </w:pPr>
  </w:style>
  <w:style w:type="paragraph" w:customStyle="1" w:styleId="FooterDraftReport">
    <w:name w:val="FooterDraftReport"/>
    <w:basedOn w:val="Footer"/>
    <w:link w:val="FooterDraftReportChar"/>
    <w:rsid w:val="002A7AAD"/>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2A7AAD"/>
    <w:rPr>
      <w:rFonts w:ascii="Arial" w:hAnsi="Arial"/>
      <w:caps/>
      <w:spacing w:val="-4"/>
      <w:sz w:val="16"/>
    </w:rPr>
  </w:style>
  <w:style w:type="character" w:customStyle="1" w:styleId="FooterDraftReportChar">
    <w:name w:val="FooterDraftReport Char"/>
    <w:basedOn w:val="FooterChar"/>
    <w:link w:val="FooterDraftReport"/>
    <w:rsid w:val="002A7AAD"/>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2A7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2A7AAD"/>
    <w:rPr>
      <w:rFonts w:ascii="Arial" w:hAnsi="Arial"/>
      <w:b/>
      <w:sz w:val="26"/>
      <w:szCs w:val="26"/>
      <w:lang w:eastAsia="en-US"/>
    </w:rPr>
  </w:style>
  <w:style w:type="paragraph" w:styleId="Bibliography">
    <w:name w:val="Bibliography"/>
    <w:basedOn w:val="Normal"/>
    <w:next w:val="Normal"/>
    <w:uiPriority w:val="37"/>
    <w:unhideWhenUsed/>
    <w:rsid w:val="005B2D08"/>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239661">
      <w:bodyDiv w:val="1"/>
      <w:marLeft w:val="0"/>
      <w:marRight w:val="0"/>
      <w:marTop w:val="0"/>
      <w:marBottom w:val="0"/>
      <w:divBdr>
        <w:top w:val="none" w:sz="0" w:space="0" w:color="auto"/>
        <w:left w:val="none" w:sz="0" w:space="0" w:color="auto"/>
        <w:bottom w:val="none" w:sz="0" w:space="0" w:color="auto"/>
        <w:right w:val="none" w:sz="0" w:space="0" w:color="auto"/>
      </w:divBdr>
    </w:div>
    <w:div w:id="1130901457">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2618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Office 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EC5D6-76F9-401E-A61E-8B924E34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193</TotalTime>
  <Pages>3</Pages>
  <Words>842</Words>
  <Characters>4412</Characters>
  <Application>Microsoft Office Word</Application>
  <DocSecurity>0</DocSecurity>
  <Lines>95</Lines>
  <Paragraphs>38</Paragraphs>
  <ScaleCrop>false</ScaleCrop>
  <HeadingPairs>
    <vt:vector size="2" baseType="variant">
      <vt:variant>
        <vt:lpstr>Title</vt:lpstr>
      </vt:variant>
      <vt:variant>
        <vt:i4>1</vt:i4>
      </vt:variant>
    </vt:vector>
  </HeadingPairs>
  <TitlesOfParts>
    <vt:vector size="1" baseType="lpstr">
      <vt:lpstr>Location of community legal centres</vt:lpstr>
    </vt:vector>
  </TitlesOfParts>
  <Company>Productivity Commission</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of community legal centres</dc:title>
  <dc:subject>Access to Justice Arrangements</dc:subject>
  <dc:creator>Productivity Commission</dc:creator>
  <cp:keywords/>
  <dc:description>I.</dc:description>
  <cp:lastModifiedBy>Mark Pimperl</cp:lastModifiedBy>
  <cp:revision>88</cp:revision>
  <cp:lastPrinted>2014-04-04T04:32:00Z</cp:lastPrinted>
  <dcterms:created xsi:type="dcterms:W3CDTF">2014-04-04T00:03:00Z</dcterms:created>
  <dcterms:modified xsi:type="dcterms:W3CDTF">2014-10-12T23:25:00Z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id="ilBkHQrJ"/&gt;&lt;style id="http://www.zotero.org/styles/unisa-harvard" hasBibliography="1" bibliographyStyleHasBeenSet="1"/&gt;&lt;prefs&gt;&lt;pref name="fieldType" value="Field"/&gt;&lt;pref name="storeReferences" va</vt:lpwstr>
  </property>
  <property fmtid="{D5CDD505-2E9C-101B-9397-08002B2CF9AE}" pid="3" name="ZOTERO_PREF_2">
    <vt:lpwstr>lue="true"/&gt;&lt;pref name="automaticJournalAbbreviations" value="true"/&gt;&lt;pref name="noteType" value="0"/&gt;&lt;/prefs&gt;&lt;/data&gt;</vt:lpwstr>
  </property>
</Properties>
</file>