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90750D" w:rsidP="0090750D">
      <w:pPr>
        <w:pStyle w:val="Chapter"/>
        <w:ind w:left="907" w:hanging="907"/>
      </w:pPr>
      <w:bookmarkStart w:id="0" w:name="_AppendixNotByChapter"/>
      <w:bookmarkStart w:id="1" w:name="ChapterNumber"/>
      <w:bookmarkStart w:id="2" w:name="_GoBack"/>
      <w:bookmarkEnd w:id="0"/>
      <w:r>
        <w:t>K</w:t>
      </w:r>
      <w:bookmarkEnd w:id="1"/>
      <w:r>
        <w:tab/>
      </w:r>
      <w:bookmarkStart w:id="3" w:name="ChapterTitle"/>
      <w:r>
        <w:t>Measuring the benefits of legal assistance services</w:t>
      </w:r>
      <w:bookmarkEnd w:id="3"/>
    </w:p>
    <w:p w:rsidR="006801FB" w:rsidRDefault="006801FB" w:rsidP="006801FB">
      <w:pPr>
        <w:pStyle w:val="BodyText"/>
      </w:pPr>
      <w:bookmarkStart w:id="4" w:name="begin"/>
      <w:bookmarkEnd w:id="4"/>
      <w:r>
        <w:t>As noted in chapter 21, there are strong qualitat</w:t>
      </w:r>
      <w:r w:rsidR="003E3EDC">
        <w:t>ive arguments for the expansion</w:t>
      </w:r>
      <w:r>
        <w:t xml:space="preserve"> in legal assistance funding recommended by the Commission. However, consistent with the policy framework outlined in chapter 4, the impacts of legal assistance services should still be quantified where possible — this appendix aims to broadly illustrate how such quantification </w:t>
      </w:r>
      <w:r w:rsidR="00704F8B">
        <w:t>can</w:t>
      </w:r>
      <w:r>
        <w:t xml:space="preserve"> be carried out.</w:t>
      </w:r>
    </w:p>
    <w:p w:rsidR="00AE0A53" w:rsidRDefault="00230A59" w:rsidP="00120072">
      <w:pPr>
        <w:pStyle w:val="BodyText"/>
      </w:pPr>
      <w:r>
        <w:t>P</w:t>
      </w:r>
      <w:r w:rsidR="008519ED">
        <w:t>roviding accessible legal assistance services</w:t>
      </w:r>
      <w:r w:rsidR="00B973A8">
        <w:t xml:space="preserve"> (such as legal aid)</w:t>
      </w:r>
      <w:r w:rsidR="008519ED">
        <w:t xml:space="preserve"> can deliver</w:t>
      </w:r>
      <w:r>
        <w:t xml:space="preserve"> a range of benefits to both the clients receiving services</w:t>
      </w:r>
      <w:r w:rsidR="00132466">
        <w:t xml:space="preserve"> and</w:t>
      </w:r>
      <w:r>
        <w:t xml:space="preserve"> the </w:t>
      </w:r>
      <w:r w:rsidR="00132466">
        <w:t xml:space="preserve">broader </w:t>
      </w:r>
      <w:r>
        <w:t xml:space="preserve">community (chapter 21). Some of these benefits — such as the enforcement of legal rights and the </w:t>
      </w:r>
      <w:r w:rsidR="00E41D42">
        <w:t>support</w:t>
      </w:r>
      <w:r>
        <w:t xml:space="preserve"> of social norms — are challenging to </w:t>
      </w:r>
      <w:r w:rsidR="00B973A8">
        <w:t>quantify</w:t>
      </w:r>
      <w:r>
        <w:t xml:space="preserve"> in a </w:t>
      </w:r>
      <w:r w:rsidR="00B973A8">
        <w:t>monetary</w:t>
      </w:r>
      <w:r>
        <w:t xml:space="preserve"> sense, making it difficult to weigh them against the costs of service provision.</w:t>
      </w:r>
    </w:p>
    <w:p w:rsidR="00230A59" w:rsidRDefault="00230A59" w:rsidP="00120072">
      <w:pPr>
        <w:pStyle w:val="BodyText"/>
      </w:pPr>
      <w:r>
        <w:t>Howe</w:t>
      </w:r>
      <w:r w:rsidR="000D2CE1">
        <w:t xml:space="preserve">ver, legal assistance </w:t>
      </w:r>
      <w:r w:rsidR="000E2B5D">
        <w:t>may</w:t>
      </w:r>
      <w:r w:rsidR="000D2CE1">
        <w:t xml:space="preserve"> also produce tangible benefits that — with sufficient empirical data and reasonable assumptions — can be more easily </w:t>
      </w:r>
      <w:r w:rsidR="00693132">
        <w:t>measured</w:t>
      </w:r>
      <w:r w:rsidR="000D2CE1">
        <w:t>, including:</w:t>
      </w:r>
    </w:p>
    <w:p w:rsidR="000D2CE1" w:rsidRDefault="000D2CE1" w:rsidP="000D2CE1">
      <w:pPr>
        <w:pStyle w:val="ListBullet"/>
      </w:pPr>
      <w:r>
        <w:t>the costs to individuals and the community that can arise from unresolved or escalated legal problems</w:t>
      </w:r>
    </w:p>
    <w:p w:rsidR="000D2CE1" w:rsidRDefault="00B973A8" w:rsidP="000D2CE1">
      <w:pPr>
        <w:pStyle w:val="ListBullet"/>
      </w:pPr>
      <w:proofErr w:type="gramStart"/>
      <w:r>
        <w:t>the</w:t>
      </w:r>
      <w:proofErr w:type="gramEnd"/>
      <w:r>
        <w:t xml:space="preserve"> costs to the community from the inefficienc</w:t>
      </w:r>
      <w:r w:rsidR="0050086F">
        <w:t>ies</w:t>
      </w:r>
      <w:r>
        <w:t xml:space="preserve"> caused by </w:t>
      </w:r>
      <w:r w:rsidR="00E41D42">
        <w:t>self</w:t>
      </w:r>
      <w:r w:rsidR="00E41D42">
        <w:noBreakHyphen/>
      </w:r>
      <w:r>
        <w:t>represented people using the legal system, especially the courts.</w:t>
      </w:r>
    </w:p>
    <w:p w:rsidR="000E2B5D" w:rsidRDefault="003A3AA6" w:rsidP="000E2B5D">
      <w:pPr>
        <w:pStyle w:val="BodyText"/>
      </w:pPr>
      <w:r>
        <w:t>This appendix</w:t>
      </w:r>
      <w:r w:rsidR="000E2B5D">
        <w:t xml:space="preserve"> </w:t>
      </w:r>
      <w:r w:rsidR="00D630C8">
        <w:t xml:space="preserve">first </w:t>
      </w:r>
      <w:r w:rsidR="000E2B5D">
        <w:t xml:space="preserve">outlines some broad principles that should be </w:t>
      </w:r>
      <w:r w:rsidR="00D630C8">
        <w:t xml:space="preserve">followed when analysing </w:t>
      </w:r>
      <w:proofErr w:type="gramStart"/>
      <w:r w:rsidR="00D630C8">
        <w:t>these</w:t>
      </w:r>
      <w:proofErr w:type="gramEnd"/>
      <w:r w:rsidR="00D630C8">
        <w:t xml:space="preserve"> tangible benefits, and surveys the existing literature on the benefits of legal assistance</w:t>
      </w:r>
      <w:r w:rsidR="002D76DD">
        <w:t xml:space="preserve">. It then illustrates how these principles can be applied — using the limited empirical evidence available — to estimate the benefits to the community from providing legal assistance to victims of family violence seeking an apprehended violence order. Finally, it </w:t>
      </w:r>
      <w:r w:rsidR="00AD5048">
        <w:t xml:space="preserve">queries whether legal assistance is justified on the basis of efficiency gains to the legal process, as a number of </w:t>
      </w:r>
      <w:r w:rsidR="00155827">
        <w:t xml:space="preserve">inquiry </w:t>
      </w:r>
      <w:r w:rsidR="00AD5048">
        <w:t>stakeholders have argued.</w:t>
      </w:r>
    </w:p>
    <w:p w:rsidR="002D76DD" w:rsidRDefault="0090750D" w:rsidP="002D76DD">
      <w:pPr>
        <w:pStyle w:val="Heading2"/>
      </w:pPr>
      <w:r>
        <w:t>K.</w:t>
      </w:r>
      <w:r>
        <w:rPr>
          <w:noProof/>
        </w:rPr>
        <w:t>1</w:t>
      </w:r>
      <w:r w:rsidR="002D76DD">
        <w:tab/>
        <w:t>A conceptual framework for considering the benefits of legal assistance</w:t>
      </w:r>
    </w:p>
    <w:p w:rsidR="003C66A5" w:rsidRDefault="003C66A5" w:rsidP="00120072">
      <w:pPr>
        <w:pStyle w:val="BodyText"/>
      </w:pPr>
      <w:r>
        <w:t>When</w:t>
      </w:r>
      <w:r w:rsidRPr="003C66A5">
        <w:t xml:space="preserve"> analysi</w:t>
      </w:r>
      <w:r>
        <w:t>ng the benefits of any government service, including legal assistance</w:t>
      </w:r>
      <w:r w:rsidRPr="003C66A5">
        <w:t xml:space="preserve">, </w:t>
      </w:r>
      <w:r w:rsidR="00D37DFF">
        <w:t>it is not enough to</w:t>
      </w:r>
      <w:r>
        <w:t xml:space="preserve"> identify </w:t>
      </w:r>
      <w:r w:rsidRPr="003C66A5">
        <w:t>a problem</w:t>
      </w:r>
      <w:r>
        <w:t xml:space="preserve"> to be addressed</w:t>
      </w:r>
      <w:r w:rsidR="00E41D42">
        <w:t xml:space="preserve"> (that is,</w:t>
      </w:r>
      <w:r w:rsidR="00396071">
        <w:t xml:space="preserve"> unmet legal need)</w:t>
      </w:r>
      <w:r w:rsidRPr="003C66A5">
        <w:t xml:space="preserve">, </w:t>
      </w:r>
      <w:r w:rsidR="00D37DFF">
        <w:t>it is also necessary to assess</w:t>
      </w:r>
      <w:r>
        <w:t xml:space="preserve"> the extent to which providing assistance</w:t>
      </w:r>
      <w:r w:rsidRPr="003C66A5">
        <w:t xml:space="preserve"> would make a difference. </w:t>
      </w:r>
      <w:r w:rsidRPr="003C66A5">
        <w:lastRenderedPageBreak/>
        <w:t>Conceptually, that involves comparing the ex</w:t>
      </w:r>
      <w:r w:rsidR="00B973A8">
        <w:noBreakHyphen/>
      </w:r>
      <w:r w:rsidRPr="003C66A5">
        <w:t xml:space="preserve">post outcomes from </w:t>
      </w:r>
      <w:r w:rsidR="00396071">
        <w:t>assistance</w:t>
      </w:r>
      <w:r w:rsidRPr="003C66A5">
        <w:t xml:space="preserve"> with what would </w:t>
      </w:r>
      <w:r w:rsidR="00396071">
        <w:t xml:space="preserve">have happened in its absence </w:t>
      </w:r>
      <w:r w:rsidRPr="003C66A5">
        <w:t>(the ‘counterfactual’).</w:t>
      </w:r>
    </w:p>
    <w:p w:rsidR="003C66A5" w:rsidRDefault="003C66A5" w:rsidP="00120072">
      <w:pPr>
        <w:pStyle w:val="BodyText"/>
      </w:pPr>
      <w:r>
        <w:t xml:space="preserve">Such an assessment can be challenging </w:t>
      </w:r>
      <w:r w:rsidRPr="003C66A5">
        <w:t xml:space="preserve">with even the best </w:t>
      </w:r>
      <w:r w:rsidR="00396071">
        <w:t>approaches</w:t>
      </w:r>
      <w:r w:rsidRPr="003C66A5">
        <w:t xml:space="preserve"> (</w:t>
      </w:r>
      <w:r>
        <w:t xml:space="preserve">such as </w:t>
      </w:r>
      <w:r w:rsidRPr="003C66A5">
        <w:t xml:space="preserve">randomised control trials), but </w:t>
      </w:r>
      <w:r w:rsidR="007F6A0B">
        <w:t xml:space="preserve">it is particularly </w:t>
      </w:r>
      <w:r w:rsidR="007931D3">
        <w:t>difficult</w:t>
      </w:r>
      <w:r w:rsidR="007F6A0B">
        <w:t xml:space="preserve"> in the legal assistance sector</w:t>
      </w:r>
      <w:r w:rsidR="00396071">
        <w:t>,</w:t>
      </w:r>
      <w:r w:rsidR="003C02EE">
        <w:t xml:space="preserve"> where providers have </w:t>
      </w:r>
      <w:r w:rsidR="00B973A8">
        <w:t>usually</w:t>
      </w:r>
      <w:r w:rsidR="003C02EE">
        <w:t xml:space="preserve"> not </w:t>
      </w:r>
      <w:r w:rsidR="007F6A0B">
        <w:t>capture</w:t>
      </w:r>
      <w:r w:rsidR="00D37DFF">
        <w:t>d</w:t>
      </w:r>
      <w:r w:rsidR="003C02EE">
        <w:t xml:space="preserve"> </w:t>
      </w:r>
      <w:r w:rsidR="007F6A0B">
        <w:t>data on out</w:t>
      </w:r>
      <w:r w:rsidR="00D37DFF">
        <w:t>comes</w:t>
      </w:r>
      <w:r w:rsidR="007931D3">
        <w:t xml:space="preserve"> that are fit for </w:t>
      </w:r>
      <w:r w:rsidR="009B3FB0">
        <w:t>the purposes of objective evalu</w:t>
      </w:r>
      <w:r w:rsidR="007931D3">
        <w:t>ation.</w:t>
      </w:r>
    </w:p>
    <w:p w:rsidR="00E45EF2" w:rsidRDefault="007619A7" w:rsidP="00120072">
      <w:pPr>
        <w:pStyle w:val="BodyText"/>
      </w:pPr>
      <w:r>
        <w:t>When attempting to estimate the benefits of legal assistance, researchers need to be mindful of a number of questions, including:</w:t>
      </w:r>
    </w:p>
    <w:p w:rsidR="007619A7" w:rsidRDefault="007619A7" w:rsidP="007619A7">
      <w:pPr>
        <w:pStyle w:val="ListBullet"/>
      </w:pPr>
      <w:proofErr w:type="gramStart"/>
      <w:r>
        <w:t>what</w:t>
      </w:r>
      <w:proofErr w:type="gramEnd"/>
      <w:r>
        <w:t xml:space="preserve"> would happen to an individual if legal assistance were not provided?</w:t>
      </w:r>
    </w:p>
    <w:p w:rsidR="007619A7" w:rsidRDefault="007619A7" w:rsidP="007619A7">
      <w:pPr>
        <w:pStyle w:val="ListBullet"/>
      </w:pPr>
      <w:proofErr w:type="gramStart"/>
      <w:r>
        <w:t>how</w:t>
      </w:r>
      <w:proofErr w:type="gramEnd"/>
      <w:r>
        <w:t xml:space="preserve"> much does receiving assistance affect</w:t>
      </w:r>
      <w:r w:rsidR="003C02EE">
        <w:t xml:space="preserve"> the</w:t>
      </w:r>
      <w:r>
        <w:t xml:space="preserve"> legal outcom</w:t>
      </w:r>
      <w:r w:rsidR="003C02EE">
        <w:t>e of a case</w:t>
      </w:r>
      <w:r>
        <w:t>?</w:t>
      </w:r>
    </w:p>
    <w:p w:rsidR="007619A7" w:rsidRDefault="007619A7" w:rsidP="007619A7">
      <w:pPr>
        <w:pStyle w:val="ListBullet"/>
      </w:pPr>
      <w:proofErr w:type="gramStart"/>
      <w:r>
        <w:t>does</w:t>
      </w:r>
      <w:proofErr w:type="gramEnd"/>
      <w:r>
        <w:t xml:space="preserve"> obtaining a favourable legal outcome avoid adverse outcomes</w:t>
      </w:r>
      <w:r w:rsidR="00A77326">
        <w:t xml:space="preserve"> in the client’s life</w:t>
      </w:r>
      <w:r w:rsidR="00585BF8">
        <w:t xml:space="preserve"> </w:t>
      </w:r>
      <w:r w:rsidR="00AE0A53">
        <w:t>‘</w:t>
      </w:r>
      <w:r w:rsidR="00585BF8">
        <w:t>outside the court room</w:t>
      </w:r>
      <w:r w:rsidR="00AE0A53">
        <w:t>’</w:t>
      </w:r>
      <w:r>
        <w:t>?</w:t>
      </w:r>
    </w:p>
    <w:p w:rsidR="007619A7" w:rsidRDefault="007619A7" w:rsidP="007619A7">
      <w:pPr>
        <w:pStyle w:val="ListBullet"/>
      </w:pPr>
      <w:proofErr w:type="gramStart"/>
      <w:r>
        <w:t>what</w:t>
      </w:r>
      <w:proofErr w:type="gramEnd"/>
      <w:r>
        <w:t xml:space="preserve"> are the costs of the</w:t>
      </w:r>
      <w:r w:rsidR="00A77326">
        <w:t>se</w:t>
      </w:r>
      <w:r>
        <w:t xml:space="preserve"> adverse outcomes</w:t>
      </w:r>
      <w:r w:rsidR="00A77326">
        <w:t xml:space="preserve"> that are avoided</w:t>
      </w:r>
      <w:r>
        <w:t>?</w:t>
      </w:r>
    </w:p>
    <w:p w:rsidR="00E45EF2" w:rsidRDefault="00444CDF" w:rsidP="00E45EF2">
      <w:pPr>
        <w:pStyle w:val="Heading4"/>
      </w:pPr>
      <w:r>
        <w:t xml:space="preserve">What </w:t>
      </w:r>
      <w:r w:rsidR="00E41781">
        <w:t xml:space="preserve">would happen </w:t>
      </w:r>
      <w:r w:rsidR="003C02EE">
        <w:t xml:space="preserve">to </w:t>
      </w:r>
      <w:r w:rsidR="00632F53">
        <w:t>individuals</w:t>
      </w:r>
      <w:r w:rsidR="003C02EE">
        <w:t xml:space="preserve"> </w:t>
      </w:r>
      <w:r w:rsidR="00E43301">
        <w:t>without</w:t>
      </w:r>
      <w:r w:rsidR="00E41781">
        <w:t xml:space="preserve"> assistance</w:t>
      </w:r>
      <w:r>
        <w:t>?</w:t>
      </w:r>
    </w:p>
    <w:p w:rsidR="00E45EF2" w:rsidRDefault="003B2CF4" w:rsidP="00E45EF2">
      <w:pPr>
        <w:pStyle w:val="BodyText"/>
      </w:pPr>
      <w:r>
        <w:t>An</w:t>
      </w:r>
      <w:r w:rsidR="00B32115">
        <w:t xml:space="preserve"> important step in estimating the benefits associated with providing a service is identifying the scenarios that would be likely to occur if the serv</w:t>
      </w:r>
      <w:r w:rsidR="00444CDF">
        <w:t xml:space="preserve">ice </w:t>
      </w:r>
      <w:r w:rsidR="00157F85">
        <w:t>were</w:t>
      </w:r>
      <w:r w:rsidR="00444CDF">
        <w:t xml:space="preserve"> not provided.</w:t>
      </w:r>
    </w:p>
    <w:p w:rsidR="00444CDF" w:rsidRDefault="00444CDF" w:rsidP="00E45EF2">
      <w:pPr>
        <w:pStyle w:val="BodyText"/>
      </w:pPr>
      <w:r>
        <w:t xml:space="preserve">In the case of legal assistance, there are a number of possible </w:t>
      </w:r>
      <w:r w:rsidR="00790568">
        <w:t>outcomes</w:t>
      </w:r>
      <w:r>
        <w:t xml:space="preserve"> that could arise if an individual </w:t>
      </w:r>
      <w:r w:rsidR="00157F85">
        <w:t>were</w:t>
      </w:r>
      <w:r>
        <w:t xml:space="preserve"> not provided with assistance, including:</w:t>
      </w:r>
    </w:p>
    <w:p w:rsidR="00444CDF" w:rsidRDefault="00444CDF" w:rsidP="00444CDF">
      <w:pPr>
        <w:pStyle w:val="ListBullet"/>
      </w:pPr>
      <w:r>
        <w:t>no action being taken, leaving the</w:t>
      </w:r>
      <w:r w:rsidR="004D07E9">
        <w:t xml:space="preserve"> legal</w:t>
      </w:r>
      <w:r>
        <w:t xml:space="preserve"> problem unresolved, </w:t>
      </w:r>
      <w:r w:rsidR="00890EE8">
        <w:t xml:space="preserve">with the potential to </w:t>
      </w:r>
      <w:r>
        <w:t>escalat</w:t>
      </w:r>
      <w:r w:rsidR="00890EE8">
        <w:t>e</w:t>
      </w:r>
    </w:p>
    <w:p w:rsidR="00444CDF" w:rsidRDefault="00444CDF" w:rsidP="00444CDF">
      <w:pPr>
        <w:pStyle w:val="ListBullet"/>
      </w:pPr>
      <w:r>
        <w:t xml:space="preserve">the individual taking steps to solve the legal problem </w:t>
      </w:r>
      <w:r w:rsidR="003B2CF4">
        <w:t>without assistance</w:t>
      </w:r>
    </w:p>
    <w:p w:rsidR="00444CDF" w:rsidRDefault="00444CDF" w:rsidP="00444CDF">
      <w:pPr>
        <w:pStyle w:val="ListBullet"/>
      </w:pPr>
      <w:r>
        <w:t>the individual acquiring legal representation from the private market</w:t>
      </w:r>
    </w:p>
    <w:p w:rsidR="00444CDF" w:rsidRDefault="00444CDF" w:rsidP="00444CDF">
      <w:pPr>
        <w:pStyle w:val="ListBullet"/>
      </w:pPr>
      <w:proofErr w:type="gramStart"/>
      <w:r>
        <w:t>the</w:t>
      </w:r>
      <w:proofErr w:type="gramEnd"/>
      <w:r>
        <w:t xml:space="preserve"> legal problem </w:t>
      </w:r>
      <w:r w:rsidR="000F1CB0">
        <w:t>being resolved</w:t>
      </w:r>
      <w:r w:rsidR="00016757">
        <w:t xml:space="preserve"> </w:t>
      </w:r>
      <w:r w:rsidR="000F1CB0">
        <w:t>(</w:t>
      </w:r>
      <w:r w:rsidR="00016757">
        <w:t xml:space="preserve">or not pursued </w:t>
      </w:r>
      <w:r w:rsidR="000F1CB0">
        <w:t>further)</w:t>
      </w:r>
      <w:r w:rsidR="00016757">
        <w:t xml:space="preserve"> by </w:t>
      </w:r>
      <w:r w:rsidR="000F1CB0">
        <w:t>the other</w:t>
      </w:r>
      <w:r w:rsidR="00E170BE">
        <w:t xml:space="preserve"> party</w:t>
      </w:r>
      <w:r w:rsidR="009C5A1F">
        <w:t>.</w:t>
      </w:r>
    </w:p>
    <w:p w:rsidR="00E170BE" w:rsidRDefault="00262738" w:rsidP="00EA36A7">
      <w:pPr>
        <w:pStyle w:val="BodyText"/>
      </w:pPr>
      <w:r>
        <w:t xml:space="preserve">The choice of </w:t>
      </w:r>
      <w:r w:rsidR="00444CDF">
        <w:t>counterfactual</w:t>
      </w:r>
      <w:r>
        <w:t>s</w:t>
      </w:r>
      <w:r w:rsidR="00444CDF">
        <w:t xml:space="preserve"> will have a crucial impact on </w:t>
      </w:r>
      <w:r w:rsidR="004D07E9">
        <w:t>any</w:t>
      </w:r>
      <w:r w:rsidR="00444CDF">
        <w:t xml:space="preserve"> </w:t>
      </w:r>
      <w:r w:rsidR="004D07E9">
        <w:t>estimate of benefits</w:t>
      </w:r>
      <w:r w:rsidR="00444CDF">
        <w:t>. For example, an</w:t>
      </w:r>
      <w:r w:rsidR="00396071">
        <w:t>alysis based on the</w:t>
      </w:r>
      <w:r w:rsidR="00444CDF">
        <w:t xml:space="preserve"> assumption that an individual will never act on a legal problem without legal assistance may substantially overestimate the benefits of </w:t>
      </w:r>
      <w:r w:rsidR="00396071">
        <w:t>such</w:t>
      </w:r>
      <w:r w:rsidR="00016757">
        <w:t xml:space="preserve"> assistance. </w:t>
      </w:r>
      <w:r w:rsidR="00E170BE">
        <w:t>Conversely</w:t>
      </w:r>
      <w:r w:rsidR="00444CDF">
        <w:t xml:space="preserve">, assuming that legal problems will always go away on their own </w:t>
      </w:r>
      <w:r w:rsidR="00072261">
        <w:t>c</w:t>
      </w:r>
      <w:r w:rsidR="00444CDF">
        <w:t xml:space="preserve">ould </w:t>
      </w:r>
      <w:r w:rsidR="00E170BE">
        <w:t xml:space="preserve">significantly underestimate the </w:t>
      </w:r>
      <w:r w:rsidR="00444CDF">
        <w:t>benefits.</w:t>
      </w:r>
      <w:r w:rsidR="00072261">
        <w:t xml:space="preserve"> The appropriate assumptions can vary depending on the demographics of those with a legal problem and the nature or severity of the legal problem itself.</w:t>
      </w:r>
    </w:p>
    <w:p w:rsidR="00EA36A7" w:rsidRDefault="00262738" w:rsidP="00EA36A7">
      <w:pPr>
        <w:pStyle w:val="BodyText"/>
      </w:pPr>
      <w:r>
        <w:t>Previous studies into the benefits of legal assistance</w:t>
      </w:r>
      <w:r w:rsidR="00045DF9">
        <w:t xml:space="preserve"> ha</w:t>
      </w:r>
      <w:r>
        <w:t>ve</w:t>
      </w:r>
      <w:r w:rsidR="00045DF9">
        <w:t xml:space="preserve"> adopted various approaches to ch</w:t>
      </w:r>
      <w:r w:rsidR="00215CA2">
        <w:t>oosing counterfactuals.</w:t>
      </w:r>
      <w:r w:rsidR="00E170BE">
        <w:t xml:space="preserve"> </w:t>
      </w:r>
      <w:r w:rsidR="00F5659B">
        <w:t>In some</w:t>
      </w:r>
      <w:r w:rsidR="00EA36A7">
        <w:t xml:space="preserve"> studies, a single, consistent outcome is assumed to arise. For example, in estimating the benefits of providing legal assistance in family law matters, PricewaterhouseCoopers </w:t>
      </w:r>
      <w:r w:rsidR="00EA36A7" w:rsidRPr="00262738">
        <w:t>(2009)</w:t>
      </w:r>
      <w:r w:rsidR="00EA36A7">
        <w:t xml:space="preserve"> assumed that all parties without access to legal representation or family dispute resolution services would go to court as self</w:t>
      </w:r>
      <w:r w:rsidR="00EA36A7">
        <w:noBreakHyphen/>
        <w:t xml:space="preserve">represented </w:t>
      </w:r>
      <w:r w:rsidR="00EA36A7">
        <w:lastRenderedPageBreak/>
        <w:t xml:space="preserve">litigants. This approach has the benefit of minimising the number of subjective </w:t>
      </w:r>
      <w:r w:rsidR="00F5659B">
        <w:t xml:space="preserve">assumptions that must be made. A downside to this approach is that it may not accurately account for differences in behaviours and outcomes between a wide </w:t>
      </w:r>
      <w:proofErr w:type="gramStart"/>
      <w:r w:rsidR="00F5659B">
        <w:t>range</w:t>
      </w:r>
      <w:proofErr w:type="gramEnd"/>
      <w:r w:rsidR="00F5659B">
        <w:t xml:space="preserve"> of parties — for example, some people may decide not to initiate court proceedings in the absence of assistance, rather than appearing as a self</w:t>
      </w:r>
      <w:r w:rsidR="00F5659B">
        <w:noBreakHyphen/>
        <w:t>represented litigant.</w:t>
      </w:r>
    </w:p>
    <w:p w:rsidR="0030419C" w:rsidRDefault="0030419C" w:rsidP="00EA36A7">
      <w:pPr>
        <w:pStyle w:val="BodyText"/>
      </w:pPr>
      <w:r>
        <w:t>Other</w:t>
      </w:r>
      <w:r w:rsidR="00C85422">
        <w:t xml:space="preserve"> studies </w:t>
      </w:r>
      <w:r w:rsidR="00F72AA2">
        <w:t xml:space="preserve">use a </w:t>
      </w:r>
      <w:r w:rsidR="00C85422">
        <w:t xml:space="preserve">weighted set of </w:t>
      </w:r>
      <w:r w:rsidR="00F72AA2">
        <w:t xml:space="preserve">possible </w:t>
      </w:r>
      <w:r w:rsidR="00C85422">
        <w:t>counterfactuals across the population of legal assistance clients based on survey data. For example, a cost</w:t>
      </w:r>
      <w:r w:rsidR="00C85422">
        <w:noBreakHyphen/>
        <w:t xml:space="preserve">benefit analysis </w:t>
      </w:r>
      <w:r w:rsidR="00264339">
        <w:t xml:space="preserve">undertaken </w:t>
      </w:r>
      <w:r w:rsidR="003A4299">
        <w:t xml:space="preserve">by the Citizen’s Advice Bureau </w:t>
      </w:r>
      <w:r w:rsidR="003A4299" w:rsidRPr="003A4299">
        <w:t>(2010)</w:t>
      </w:r>
      <w:r w:rsidR="00D94888">
        <w:t xml:space="preserve"> </w:t>
      </w:r>
      <w:r w:rsidR="00C85422">
        <w:t xml:space="preserve">of legal assistance in the United Kingdom used results from the UK’s </w:t>
      </w:r>
      <w:r w:rsidR="00C85422">
        <w:rPr>
          <w:i/>
        </w:rPr>
        <w:t xml:space="preserve">Civil and </w:t>
      </w:r>
      <w:r w:rsidR="008E476B">
        <w:rPr>
          <w:i/>
        </w:rPr>
        <w:t>S</w:t>
      </w:r>
      <w:r w:rsidR="00C85422">
        <w:rPr>
          <w:i/>
        </w:rPr>
        <w:t xml:space="preserve">ocial </w:t>
      </w:r>
      <w:r w:rsidR="008E476B">
        <w:rPr>
          <w:i/>
        </w:rPr>
        <w:t>J</w:t>
      </w:r>
      <w:r w:rsidR="00C85422">
        <w:rPr>
          <w:i/>
        </w:rPr>
        <w:t xml:space="preserve">ustice </w:t>
      </w:r>
      <w:r w:rsidR="008E476B">
        <w:rPr>
          <w:i/>
        </w:rPr>
        <w:t>S</w:t>
      </w:r>
      <w:r w:rsidR="00C85422">
        <w:rPr>
          <w:i/>
        </w:rPr>
        <w:t>urvey</w:t>
      </w:r>
      <w:r w:rsidR="00C85422">
        <w:t xml:space="preserve"> to identify the proportion of people who experience a range of adverse consequences as a result of a civil legal problem. By identifying the number of people for whom assistance would have prevented such adverse problems (see below), the benefits of legal assistance can be</w:t>
      </w:r>
      <w:r w:rsidR="00E170BE">
        <w:t xml:space="preserve"> more accurately</w:t>
      </w:r>
      <w:r w:rsidR="00C85422">
        <w:t xml:space="preserve"> estimated.</w:t>
      </w:r>
    </w:p>
    <w:p w:rsidR="00E370DC" w:rsidRDefault="00E370DC" w:rsidP="00E370DC">
      <w:pPr>
        <w:pStyle w:val="BodyText"/>
      </w:pPr>
      <w:r>
        <w:t xml:space="preserve">In the Commission’s view, acknowledging that a </w:t>
      </w:r>
      <w:r w:rsidR="00AE0A53">
        <w:t>number</w:t>
      </w:r>
      <w:r>
        <w:t xml:space="preserve"> of possible outcomes may arise with varying probability is a desirable approach to identify potential counterfactuals. Where possible, the relative probabilities of these outcomes should be identified from the available data and literature, and the analysis weighted accordingly. In many cases, the available data and evidence may not be able to paint a complete picture of the possible scenarios, at which point informed assumptions should be made.</w:t>
      </w:r>
    </w:p>
    <w:p w:rsidR="00632F53" w:rsidRDefault="00144909" w:rsidP="00444CDF">
      <w:pPr>
        <w:pStyle w:val="BodyText"/>
      </w:pPr>
      <w:r>
        <w:t>In</w:t>
      </w:r>
      <w:r w:rsidR="00F5659B">
        <w:t xml:space="preserve"> contrast, </w:t>
      </w:r>
      <w:r w:rsidR="00921F95">
        <w:t xml:space="preserve">some </w:t>
      </w:r>
      <w:r w:rsidR="00F5659B">
        <w:t>studies do not use a consistent assumption or methodology to identify the likely counterfactual.</w:t>
      </w:r>
      <w:r w:rsidR="00B06796">
        <w:t xml:space="preserve"> </w:t>
      </w:r>
      <w:r w:rsidR="007A0BE7">
        <w:t>For example, a</w:t>
      </w:r>
      <w:r w:rsidR="00C940DB">
        <w:t xml:space="preserve"> </w:t>
      </w:r>
      <w:r w:rsidR="00B06796">
        <w:t xml:space="preserve">number of inquiry stakeholders pointed to a recent </w:t>
      </w:r>
      <w:r w:rsidR="00C940DB">
        <w:t>cost</w:t>
      </w:r>
      <w:r w:rsidR="00C940DB">
        <w:noBreakHyphen/>
        <w:t xml:space="preserve">benefit analysis of community legal centres (CLCs) </w:t>
      </w:r>
      <w:r w:rsidR="00B06796">
        <w:t xml:space="preserve">as evidence of the value of </w:t>
      </w:r>
      <w:r w:rsidR="00DC762E">
        <w:t>CLC</w:t>
      </w:r>
      <w:r w:rsidR="00B06796">
        <w:t xml:space="preserve"> services. This study estimated the benefits of legal assistance by making</w:t>
      </w:r>
      <w:r w:rsidR="00C940DB">
        <w:t xml:space="preserve"> subjective assessment</w:t>
      </w:r>
      <w:r w:rsidR="0084483C">
        <w:t>s</w:t>
      </w:r>
      <w:r w:rsidR="00C940DB">
        <w:t xml:space="preserve"> </w:t>
      </w:r>
      <w:r w:rsidR="00F5659B">
        <w:t xml:space="preserve">for each of </w:t>
      </w:r>
      <w:r w:rsidR="00B06796">
        <w:t>a number of</w:t>
      </w:r>
      <w:r w:rsidR="00F5659B">
        <w:t xml:space="preserve"> case studies </w:t>
      </w:r>
      <w:r w:rsidR="00C940DB">
        <w:t>as to what would have happened to CLC client</w:t>
      </w:r>
      <w:r w:rsidR="0084483C">
        <w:t>s</w:t>
      </w:r>
      <w:r w:rsidR="00C940DB">
        <w:t xml:space="preserve"> in </w:t>
      </w:r>
      <w:r w:rsidR="00EA36A7">
        <w:t>the absence of legal assistance</w:t>
      </w:r>
      <w:r w:rsidR="00B06796">
        <w:t xml:space="preserve"> </w:t>
      </w:r>
      <w:r w:rsidR="00B06796" w:rsidRPr="00B06796">
        <w:rPr>
          <w:szCs w:val="24"/>
        </w:rPr>
        <w:t>(Judith Stubbs and Associates 2012)</w:t>
      </w:r>
      <w:r w:rsidR="00202E13">
        <w:t xml:space="preserve">. </w:t>
      </w:r>
      <w:r w:rsidR="008A74D5">
        <w:t>For some cases, i</w:t>
      </w:r>
      <w:r w:rsidR="00202E13">
        <w:t xml:space="preserve">t appears to have been assumed by the </w:t>
      </w:r>
      <w:r>
        <w:t>authors</w:t>
      </w:r>
      <w:r w:rsidR="00202E13">
        <w:t xml:space="preserve"> that without assistance,</w:t>
      </w:r>
      <w:r w:rsidR="00722B4C">
        <w:t xml:space="preserve"> a client’s legal problems would have</w:t>
      </w:r>
      <w:r w:rsidR="00840BBB">
        <w:t xml:space="preserve"> always</w:t>
      </w:r>
      <w:r w:rsidR="00722B4C">
        <w:t xml:space="preserve"> remained unresolved</w:t>
      </w:r>
      <w:r w:rsidR="00D32A98">
        <w:t>, and that with the assistance of a CLC, that the best possible outcome is always achieved</w:t>
      </w:r>
      <w:r w:rsidR="00632F53">
        <w:t>.</w:t>
      </w:r>
      <w:r w:rsidR="008A74D5">
        <w:t xml:space="preserve"> In other</w:t>
      </w:r>
      <w:r w:rsidR="003B2CF4">
        <w:t xml:space="preserve"> case</w:t>
      </w:r>
      <w:r w:rsidR="008A74D5">
        <w:t xml:space="preserve">s, it is assumed that without the CLC’s assistance, the client may have pursued a resolution to their problem, but via a more expensive </w:t>
      </w:r>
      <w:r w:rsidR="00AF55AC">
        <w:t>or</w:t>
      </w:r>
      <w:r w:rsidR="008A74D5">
        <w:t xml:space="preserve"> </w:t>
      </w:r>
      <w:r w:rsidR="00C74C5B">
        <w:t>ineffective</w:t>
      </w:r>
      <w:r w:rsidR="008A74D5">
        <w:t xml:space="preserve"> </w:t>
      </w:r>
      <w:r w:rsidR="00C74C5B">
        <w:t>avenue</w:t>
      </w:r>
      <w:r w:rsidR="008A74D5">
        <w:t>.</w:t>
      </w:r>
    </w:p>
    <w:p w:rsidR="00632F53" w:rsidRDefault="00632F53" w:rsidP="00722B4C">
      <w:pPr>
        <w:pStyle w:val="BodyText"/>
      </w:pPr>
      <w:r>
        <w:t>The avai</w:t>
      </w:r>
      <w:r w:rsidR="00B06796">
        <w:t>lable evidence suggests that the</w:t>
      </w:r>
      <w:r>
        <w:t>s</w:t>
      </w:r>
      <w:r w:rsidR="00B06796">
        <w:t>e</w:t>
      </w:r>
      <w:r>
        <w:t xml:space="preserve"> </w:t>
      </w:r>
      <w:r w:rsidR="00B06796">
        <w:t>are</w:t>
      </w:r>
      <w:r>
        <w:t xml:space="preserve"> not a reasonable </w:t>
      </w:r>
      <w:r w:rsidR="003B2CF4">
        <w:t xml:space="preserve">set of </w:t>
      </w:r>
      <w:r>
        <w:t>counterfactual</w:t>
      </w:r>
      <w:r w:rsidR="003B2CF4">
        <w:t>s</w:t>
      </w:r>
      <w:r w:rsidR="00B06796">
        <w:t xml:space="preserve"> to assume</w:t>
      </w:r>
      <w:r>
        <w:t xml:space="preserve">. For example, the Commission has estimated, based on unpublished </w:t>
      </w:r>
      <w:r w:rsidRPr="00722B4C">
        <w:rPr>
          <w:i/>
        </w:rPr>
        <w:t>LAW Survey</w:t>
      </w:r>
      <w:r>
        <w:t xml:space="preserve"> data, </w:t>
      </w:r>
      <w:r w:rsidR="00292528">
        <w:t xml:space="preserve">of all finalised problems examined in the </w:t>
      </w:r>
      <w:r w:rsidR="00292528">
        <w:rPr>
          <w:i/>
        </w:rPr>
        <w:t>LAW Survey</w:t>
      </w:r>
      <w:r w:rsidR="00722B4C">
        <w:t>,</w:t>
      </w:r>
      <w:r w:rsidR="00722B4C" w:rsidRPr="00722B4C">
        <w:t xml:space="preserve"> </w:t>
      </w:r>
      <w:r w:rsidR="004633E2">
        <w:t>j</w:t>
      </w:r>
      <w:r w:rsidR="00292528">
        <w:t xml:space="preserve">ust </w:t>
      </w:r>
      <w:proofErr w:type="gramStart"/>
      <w:r w:rsidR="00292528">
        <w:t>under</w:t>
      </w:r>
      <w:proofErr w:type="gramEnd"/>
      <w:r w:rsidR="00722B4C">
        <w:t xml:space="preserve"> </w:t>
      </w:r>
      <w:r w:rsidR="00292528">
        <w:t>20</w:t>
      </w:r>
      <w:r w:rsidR="00722B4C">
        <w:t xml:space="preserve"> per cent were resolved because the respondent or the other side did not pursue the matter further. Another </w:t>
      </w:r>
      <w:r w:rsidR="00292528">
        <w:t>20</w:t>
      </w:r>
      <w:r>
        <w:t xml:space="preserve"> per cent of </w:t>
      </w:r>
      <w:r w:rsidR="00722B4C">
        <w:t xml:space="preserve">all legal </w:t>
      </w:r>
      <w:r>
        <w:t>problems were resolved by direct agreement between the parties</w:t>
      </w:r>
      <w:r w:rsidR="00722B4C">
        <w:t xml:space="preserve">, </w:t>
      </w:r>
      <w:r>
        <w:t>without a lawyer or someone else’</w:t>
      </w:r>
      <w:r w:rsidR="00722B4C">
        <w:t>s help.</w:t>
      </w:r>
      <w:r w:rsidR="009C5A1F">
        <w:t xml:space="preserve"> While many of these survey respondents would not have the same characteristics as the clients of legal assistance providers, t</w:t>
      </w:r>
      <w:r w:rsidR="00722B4C">
        <w:t>his</w:t>
      </w:r>
      <w:r w:rsidR="009C5A1F">
        <w:t xml:space="preserve"> nonetheless</w:t>
      </w:r>
      <w:r w:rsidR="00722B4C">
        <w:t xml:space="preserve"> </w:t>
      </w:r>
      <w:r w:rsidR="009E3481">
        <w:t>demonstrates</w:t>
      </w:r>
      <w:r w:rsidR="00722B4C">
        <w:t xml:space="preserve"> that legal problems </w:t>
      </w:r>
      <w:r w:rsidR="00750240">
        <w:t>can be</w:t>
      </w:r>
      <w:r w:rsidR="0053300D">
        <w:t xml:space="preserve"> </w:t>
      </w:r>
      <w:r w:rsidR="00722B4C" w:rsidRPr="0053300D">
        <w:t>resolve</w:t>
      </w:r>
      <w:r w:rsidR="009C5A1F" w:rsidRPr="0053300D">
        <w:t>d</w:t>
      </w:r>
      <w:r w:rsidR="009C5A1F">
        <w:t xml:space="preserve"> by parties without</w:t>
      </w:r>
      <w:r w:rsidR="00E248A3">
        <w:t xml:space="preserve"> legal</w:t>
      </w:r>
      <w:r w:rsidR="009C5A1F">
        <w:t xml:space="preserve"> assistance. It therefore</w:t>
      </w:r>
      <w:r w:rsidR="00722B4C">
        <w:t xml:space="preserve"> </w:t>
      </w:r>
      <w:r w:rsidR="00292528">
        <w:t>may</w:t>
      </w:r>
      <w:r w:rsidR="00722B4C">
        <w:t xml:space="preserve"> be unreasonable to assume</w:t>
      </w:r>
      <w:r w:rsidR="009C5A1F">
        <w:t xml:space="preserve"> </w:t>
      </w:r>
      <w:r w:rsidR="00722B4C">
        <w:t xml:space="preserve">that </w:t>
      </w:r>
      <w:r w:rsidR="009C5A1F">
        <w:t xml:space="preserve">without </w:t>
      </w:r>
      <w:r w:rsidR="00710512">
        <w:t xml:space="preserve">legal </w:t>
      </w:r>
      <w:r w:rsidR="009C5A1F">
        <w:t xml:space="preserve">assistance, </w:t>
      </w:r>
      <w:r w:rsidR="00722B4C">
        <w:t xml:space="preserve">a </w:t>
      </w:r>
      <w:r w:rsidR="009C5A1F">
        <w:t xml:space="preserve">legal problem would </w:t>
      </w:r>
      <w:r w:rsidR="003635CF">
        <w:t>certainly</w:t>
      </w:r>
      <w:r w:rsidR="009C5A1F">
        <w:t xml:space="preserve"> </w:t>
      </w:r>
      <w:r w:rsidR="003635CF">
        <w:t xml:space="preserve">have </w:t>
      </w:r>
      <w:r w:rsidR="009C5A1F">
        <w:t>remained unresolved.</w:t>
      </w:r>
    </w:p>
    <w:p w:rsidR="00F51EF0" w:rsidRDefault="00202E13" w:rsidP="009D703A">
      <w:pPr>
        <w:pStyle w:val="BodyText"/>
      </w:pPr>
      <w:r>
        <w:t>Further,</w:t>
      </w:r>
      <w:r w:rsidR="00722B4C">
        <w:t xml:space="preserve"> </w:t>
      </w:r>
      <w:r w:rsidR="00B06796">
        <w:t>the report</w:t>
      </w:r>
      <w:r w:rsidR="00722B4C">
        <w:t xml:space="preserve"> </w:t>
      </w:r>
      <w:r w:rsidR="0084483C">
        <w:t xml:space="preserve">by </w:t>
      </w:r>
      <w:r w:rsidR="0084483C" w:rsidRPr="0084483C">
        <w:t>Judith Stubbs and Associates (2012)</w:t>
      </w:r>
      <w:r w:rsidR="0084483C">
        <w:t xml:space="preserve"> generally appears to </w:t>
      </w:r>
      <w:r w:rsidR="00722B4C">
        <w:t>assume that without assistance, clients’ legal problems would escalate further, often to</w:t>
      </w:r>
      <w:r>
        <w:t xml:space="preserve"> </w:t>
      </w:r>
      <w:r w:rsidR="0084483C">
        <w:t xml:space="preserve">what could be </w:t>
      </w:r>
      <w:r w:rsidR="0084483C">
        <w:lastRenderedPageBreak/>
        <w:t>described as a</w:t>
      </w:r>
      <w:r>
        <w:t xml:space="preserve"> </w:t>
      </w:r>
      <w:r w:rsidR="00CF2D71">
        <w:t>‘</w:t>
      </w:r>
      <w:r>
        <w:t>worst case scenario</w:t>
      </w:r>
      <w:r w:rsidR="00722B4C">
        <w:t>’.</w:t>
      </w:r>
      <w:r w:rsidR="00EA36A7">
        <w:t xml:space="preserve"> </w:t>
      </w:r>
      <w:r w:rsidR="00722B4C">
        <w:t>N</w:t>
      </w:r>
      <w:r w:rsidR="00EA36A7">
        <w:t xml:space="preserve">o attempt </w:t>
      </w:r>
      <w:r w:rsidR="00722B4C">
        <w:t xml:space="preserve">is made </w:t>
      </w:r>
      <w:r w:rsidR="0084483C">
        <w:t>within the</w:t>
      </w:r>
      <w:r w:rsidR="00722B4C">
        <w:t xml:space="preserve"> analysis </w:t>
      </w:r>
      <w:r w:rsidR="00EA36A7">
        <w:t xml:space="preserve">to account for the possibility that </w:t>
      </w:r>
      <w:r w:rsidR="0084483C">
        <w:t>such a</w:t>
      </w:r>
      <w:r w:rsidR="00EA36A7">
        <w:t xml:space="preserve"> scenario may </w:t>
      </w:r>
      <w:r w:rsidR="004B21F3">
        <w:t xml:space="preserve">not </w:t>
      </w:r>
      <w:r w:rsidR="00EA36A7">
        <w:t xml:space="preserve">have </w:t>
      </w:r>
      <w:r w:rsidR="00655A89">
        <w:t>occurred</w:t>
      </w:r>
      <w:r w:rsidR="00EA36A7">
        <w:t xml:space="preserve">. </w:t>
      </w:r>
      <w:r w:rsidR="001B700E">
        <w:t xml:space="preserve">For example, in </w:t>
      </w:r>
      <w:r w:rsidR="001B700E" w:rsidRPr="001B700E">
        <w:t>matters involving</w:t>
      </w:r>
      <w:r w:rsidR="001B700E">
        <w:t xml:space="preserve"> violence</w:t>
      </w:r>
      <w:r w:rsidR="001B700E" w:rsidRPr="001B700E">
        <w:t xml:space="preserve"> intervention orders, </w:t>
      </w:r>
      <w:r w:rsidR="001B700E">
        <w:t>the study</w:t>
      </w:r>
      <w:r w:rsidR="001B700E" w:rsidRPr="001B700E">
        <w:t xml:space="preserve"> </w:t>
      </w:r>
      <w:r w:rsidR="001B700E">
        <w:t>assumes</w:t>
      </w:r>
      <w:r w:rsidR="001B700E" w:rsidRPr="001B700E">
        <w:t xml:space="preserve"> that an</w:t>
      </w:r>
      <w:r w:rsidR="001B700E">
        <w:t>y</w:t>
      </w:r>
      <w:r w:rsidR="001B700E" w:rsidRPr="001B700E">
        <w:t xml:space="preserve"> intervention order </w:t>
      </w:r>
      <w:r w:rsidR="001B700E">
        <w:t xml:space="preserve">sought </w:t>
      </w:r>
      <w:r w:rsidR="001B700E" w:rsidRPr="001B700E">
        <w:t>would require enforcement comprising a police response and a</w:t>
      </w:r>
      <w:r w:rsidR="001B700E">
        <w:t xml:space="preserve"> custodial sentence, costing </w:t>
      </w:r>
      <w:r w:rsidR="00176B3E">
        <w:t xml:space="preserve">a total of </w:t>
      </w:r>
      <w:r w:rsidR="001B700E">
        <w:t>$3</w:t>
      </w:r>
      <w:r w:rsidR="001B700E" w:rsidRPr="001B700E">
        <w:t>350.</w:t>
      </w:r>
      <w:r w:rsidR="001B700E">
        <w:t xml:space="preserve"> </w:t>
      </w:r>
      <w:r w:rsidR="001B700E" w:rsidRPr="001B700E">
        <w:t xml:space="preserve">In some cases involving violence, it was </w:t>
      </w:r>
      <w:r w:rsidR="001B700E">
        <w:t xml:space="preserve">also </w:t>
      </w:r>
      <w:r w:rsidR="001B700E" w:rsidRPr="001B700E">
        <w:t>assumed that without a CLC’s assistance, an individual would have required state care costing more than $1 million.</w:t>
      </w:r>
      <w:r w:rsidR="00137CE3">
        <w:t xml:space="preserve"> The result is </w:t>
      </w:r>
      <w:r w:rsidR="00D412E0">
        <w:t xml:space="preserve">a very high </w:t>
      </w:r>
      <w:r w:rsidR="00222CB5">
        <w:t xml:space="preserve">estimated </w:t>
      </w:r>
      <w:r w:rsidR="00D412E0">
        <w:t>benefit</w:t>
      </w:r>
      <w:r w:rsidR="00D412E0">
        <w:noBreakHyphen/>
        <w:t>cost ratio of</w:t>
      </w:r>
      <w:r w:rsidR="00993B79">
        <w:t xml:space="preserve"> 18:1.</w:t>
      </w:r>
    </w:p>
    <w:p w:rsidR="0084483C" w:rsidRDefault="0084483C" w:rsidP="0084483C">
      <w:pPr>
        <w:pStyle w:val="BodyText"/>
      </w:pPr>
      <w:proofErr w:type="gramStart"/>
      <w:r>
        <w:t xml:space="preserve">While </w:t>
      </w:r>
      <w:r w:rsidR="00993B79">
        <w:t>some</w:t>
      </w:r>
      <w:r w:rsidR="00B06796">
        <w:t xml:space="preserve"> stakeholders</w:t>
      </w:r>
      <w:r>
        <w:t xml:space="preserve"> </w:t>
      </w:r>
      <w:r w:rsidR="00137CE3">
        <w:t>described</w:t>
      </w:r>
      <w:r>
        <w:t xml:space="preserve"> </w:t>
      </w:r>
      <w:r w:rsidR="00137CE3">
        <w:t xml:space="preserve">this estimated ratio as conservative (NACLC, </w:t>
      </w:r>
      <w:r w:rsidR="00993B79">
        <w:t xml:space="preserve">sub. 91 and </w:t>
      </w:r>
      <w:r w:rsidR="00137CE3">
        <w:t>sub.</w:t>
      </w:r>
      <w:proofErr w:type="gramEnd"/>
      <w:r w:rsidR="00137CE3">
        <w:t> DR268; Community Legal Centres Tasmania, sub DR294</w:t>
      </w:r>
      <w:r w:rsidR="00222CB5">
        <w:t>)</w:t>
      </w:r>
      <w:r>
        <w:t>,</w:t>
      </w:r>
      <w:r w:rsidR="00B06796">
        <w:t xml:space="preserve"> </w:t>
      </w:r>
      <w:r>
        <w:t>in the Commission’s view</w:t>
      </w:r>
      <w:r w:rsidR="00B06796">
        <w:t xml:space="preserve"> the </w:t>
      </w:r>
      <w:r w:rsidR="00993B79">
        <w:t xml:space="preserve">estimated </w:t>
      </w:r>
      <w:r w:rsidR="00B06796">
        <w:t>benefits of many of the case studies represent the most optimistic interpretation of the value of these services.</w:t>
      </w:r>
      <w:r w:rsidRPr="0084483C">
        <w:t xml:space="preserve"> </w:t>
      </w:r>
      <w:r>
        <w:t>Such ‘optimism bias’ is a common problem in cost</w:t>
      </w:r>
      <w:r>
        <w:noBreakHyphen/>
        <w:t xml:space="preserve">benefit analysis, as noted in the Department of Finance’s </w:t>
      </w:r>
      <w:r>
        <w:rPr>
          <w:i/>
        </w:rPr>
        <w:t xml:space="preserve">Handbook of </w:t>
      </w:r>
      <w:r w:rsidR="00E41D42">
        <w:rPr>
          <w:i/>
        </w:rPr>
        <w:t>C</w:t>
      </w:r>
      <w:r>
        <w:rPr>
          <w:i/>
        </w:rPr>
        <w:t>ost</w:t>
      </w:r>
      <w:r>
        <w:rPr>
          <w:i/>
        </w:rPr>
        <w:noBreakHyphen/>
      </w:r>
      <w:r w:rsidR="00E41D42">
        <w:rPr>
          <w:i/>
        </w:rPr>
        <w:t>B</w:t>
      </w:r>
      <w:r>
        <w:rPr>
          <w:i/>
        </w:rPr>
        <w:t xml:space="preserve">enefit </w:t>
      </w:r>
      <w:r w:rsidR="00E41D42">
        <w:rPr>
          <w:i/>
        </w:rPr>
        <w:t>A</w:t>
      </w:r>
      <w:r>
        <w:rPr>
          <w:i/>
        </w:rPr>
        <w:t>nalysis:</w:t>
      </w:r>
    </w:p>
    <w:p w:rsidR="0084483C" w:rsidRDefault="0084483C" w:rsidP="0084483C">
      <w:pPr>
        <w:pStyle w:val="Quote"/>
      </w:pPr>
      <w:r>
        <w:t xml:space="preserve">Optimism bias occurs when favourable estimates of net benefits are presented as the most likely or mean estimates. It is an endemic problem in cost-benefit analysis and may reflect overestimation of future benefits or underestimation of future costs. … Varying each parameter to their pessimistic values one by one and collectively can uncover a great deal of the over-optimism that may underpin an analysis. This process must be done honestly and should, if anything, err on the pessimistic side. </w:t>
      </w:r>
      <w:r w:rsidRPr="008100FB">
        <w:rPr>
          <w:szCs w:val="24"/>
        </w:rPr>
        <w:t>(Department of Finance and Administration 2006, p. 78)</w:t>
      </w:r>
    </w:p>
    <w:p w:rsidR="0084483C" w:rsidRPr="001D62F9" w:rsidRDefault="0084483C" w:rsidP="0084483C">
      <w:pPr>
        <w:pStyle w:val="BodyText"/>
      </w:pPr>
      <w:r>
        <w:t xml:space="preserve">Accounting for optimism bias is likely to be particularly pertinent when analysing benefits in the legal assistance sector, where there </w:t>
      </w:r>
      <w:r w:rsidR="00E41D42">
        <w:t>is</w:t>
      </w:r>
      <w:r>
        <w:t xml:space="preserve"> considerable ambiguity in outcomes. The Commission’s analysis of assistance for family violence matters </w:t>
      </w:r>
      <w:r w:rsidR="007A0BE7">
        <w:t xml:space="preserve">(outlined below) </w:t>
      </w:r>
      <w:r>
        <w:t>provides a simple example of this, by providing lower and upper estimates of the parameters for analysis.</w:t>
      </w:r>
    </w:p>
    <w:p w:rsidR="00E45EF2" w:rsidRDefault="00CD4B99" w:rsidP="00E45EF2">
      <w:pPr>
        <w:pStyle w:val="Heading4"/>
      </w:pPr>
      <w:r>
        <w:t xml:space="preserve">How </w:t>
      </w:r>
      <w:r w:rsidR="003C02EE">
        <w:t>does legal assistance affect the legal outcome of a case</w:t>
      </w:r>
      <w:r>
        <w:t>?</w:t>
      </w:r>
    </w:p>
    <w:p w:rsidR="00E41781" w:rsidRDefault="00F55160" w:rsidP="00E45EF2">
      <w:pPr>
        <w:pStyle w:val="BodyText"/>
      </w:pPr>
      <w:r>
        <w:t>P</w:t>
      </w:r>
      <w:r w:rsidR="00574CA1">
        <w:t>rovi</w:t>
      </w:r>
      <w:r>
        <w:t>sion of</w:t>
      </w:r>
      <w:r w:rsidR="00574CA1">
        <w:t xml:space="preserve"> legal assistance is based on the premise that a</w:t>
      </w:r>
      <w:r>
        <w:t xml:space="preserve"> client </w:t>
      </w:r>
      <w:r w:rsidR="00574CA1">
        <w:t xml:space="preserve">would generally be </w:t>
      </w:r>
      <w:r>
        <w:t>more likely to</w:t>
      </w:r>
      <w:r w:rsidR="00574CA1">
        <w:t xml:space="preserve"> obtain a favourable legal outcome when assisted than if they were left to resolve the dispute on the</w:t>
      </w:r>
      <w:r>
        <w:t xml:space="preserve">ir own. </w:t>
      </w:r>
      <w:r w:rsidR="00B00272">
        <w:t>However, as noted in chapter 14, evidence on the effect of representation on legal outcomes for parties</w:t>
      </w:r>
      <w:r w:rsidR="004B21F3">
        <w:t xml:space="preserve"> is patchy</w:t>
      </w:r>
      <w:r w:rsidR="00B00272">
        <w:t xml:space="preserve">. Further, </w:t>
      </w:r>
      <w:r w:rsidR="00AC6288">
        <w:t>t</w:t>
      </w:r>
      <w:r w:rsidR="00B00272">
        <w:t>he extent of any improvements in legal outcomes for</w:t>
      </w:r>
      <w:r w:rsidR="00AC6288">
        <w:t xml:space="preserve"> </w:t>
      </w:r>
      <w:r w:rsidR="00B00272">
        <w:t>legal assistance clients</w:t>
      </w:r>
      <w:r w:rsidR="00AC6288">
        <w:t xml:space="preserve"> is not well understood</w:t>
      </w:r>
      <w:r w:rsidR="0072382C">
        <w:t xml:space="preserve"> in the Australian context</w:t>
      </w:r>
      <w:r w:rsidR="0063067F">
        <w:t xml:space="preserve">, as </w:t>
      </w:r>
      <w:r w:rsidR="00E41781">
        <w:t xml:space="preserve">legal assistance providers in Australia do not </w:t>
      </w:r>
      <w:r w:rsidR="00EE3E0E">
        <w:t>consistently</w:t>
      </w:r>
      <w:r w:rsidR="00E41781">
        <w:t xml:space="preserve"> record the outcomes </w:t>
      </w:r>
      <w:r w:rsidR="0063067F">
        <w:t xml:space="preserve">they have </w:t>
      </w:r>
      <w:r w:rsidR="00E41781">
        <w:t xml:space="preserve">obtained </w:t>
      </w:r>
      <w:r w:rsidR="00E41D42">
        <w:t>for</w:t>
      </w:r>
      <w:r w:rsidR="00E41781">
        <w:t xml:space="preserve"> clients. This undermines the ability for researchers to estimate the benefits </w:t>
      </w:r>
      <w:r w:rsidR="00AC6288">
        <w:t>that</w:t>
      </w:r>
      <w:r w:rsidR="00E41781">
        <w:t xml:space="preserve"> legal assistance</w:t>
      </w:r>
      <w:r w:rsidR="00AC6288">
        <w:t xml:space="preserve"> brings to clients</w:t>
      </w:r>
      <w:r w:rsidR="00E41781">
        <w:t>.</w:t>
      </w:r>
    </w:p>
    <w:p w:rsidR="00072A11" w:rsidRDefault="00072A11" w:rsidP="00E45EF2">
      <w:pPr>
        <w:pStyle w:val="BodyText"/>
      </w:pPr>
      <w:r>
        <w:t xml:space="preserve">The </w:t>
      </w:r>
      <w:r w:rsidR="00102C3E">
        <w:t>outcomes</w:t>
      </w:r>
      <w:r>
        <w:t xml:space="preserve"> of legal assistance are </w:t>
      </w:r>
      <w:r w:rsidR="004E0A49">
        <w:t xml:space="preserve">better </w:t>
      </w:r>
      <w:r w:rsidR="00102C3E">
        <w:t>understood</w:t>
      </w:r>
      <w:r>
        <w:t xml:space="preserve"> in the United Kingdom, where l</w:t>
      </w:r>
      <w:r w:rsidR="0063067F">
        <w:t>egal assistance providers are required to report the outcomes obtained for clients</w:t>
      </w:r>
      <w:r>
        <w:t xml:space="preserve">. </w:t>
      </w:r>
      <w:r w:rsidR="00D52DC9">
        <w:t xml:space="preserve">The </w:t>
      </w:r>
      <w:r>
        <w:t xml:space="preserve">Citizen’s Advice Bureau </w:t>
      </w:r>
      <w:r w:rsidRPr="00072A11">
        <w:t>(2010)</w:t>
      </w:r>
      <w:r w:rsidR="0063067F">
        <w:t xml:space="preserve"> </w:t>
      </w:r>
      <w:r>
        <w:t>estimated that more than 60 per cent of legal aid work led to outcomes that were of substantial benefit for clients.</w:t>
      </w:r>
    </w:p>
    <w:p w:rsidR="00A1459C" w:rsidRDefault="00072A11" w:rsidP="00E45EF2">
      <w:pPr>
        <w:pStyle w:val="BodyText"/>
      </w:pPr>
      <w:r>
        <w:t xml:space="preserve">While such outcomes data is useful, it must also be compared against how successful clients would be in the absence of representation. </w:t>
      </w:r>
      <w:r w:rsidR="00A1459C">
        <w:t xml:space="preserve">There are numerous </w:t>
      </w:r>
      <w:r w:rsidR="00AE0A53">
        <w:t xml:space="preserve">observational </w:t>
      </w:r>
      <w:r w:rsidR="00A1459C">
        <w:lastRenderedPageBreak/>
        <w:t>studies</w:t>
      </w:r>
      <w:r w:rsidR="00AE483A">
        <w:t>, particularly</w:t>
      </w:r>
      <w:r w:rsidR="00A1459C">
        <w:t xml:space="preserve"> from the </w:t>
      </w:r>
      <w:r w:rsidR="00FC25A5">
        <w:t>United States</w:t>
      </w:r>
      <w:r w:rsidR="00AE483A">
        <w:t>,</w:t>
      </w:r>
      <w:r w:rsidR="00A1459C">
        <w:t xml:space="preserve"> that observe differences in the rates of success between represented and unrepresented parties</w:t>
      </w:r>
      <w:r w:rsidR="00744EE3">
        <w:t>, and</w:t>
      </w:r>
      <w:r w:rsidR="0003671B">
        <w:t xml:space="preserve"> thus</w:t>
      </w:r>
      <w:r w:rsidR="00744EE3">
        <w:t xml:space="preserve"> infer </w:t>
      </w:r>
      <w:r w:rsidR="0003671B">
        <w:t xml:space="preserve">a positive </w:t>
      </w:r>
      <w:r w:rsidR="00744EE3">
        <w:t>correlation between representation and success</w:t>
      </w:r>
      <w:r w:rsidR="0003671B">
        <w:t xml:space="preserve"> </w:t>
      </w:r>
      <w:r w:rsidR="0003671B" w:rsidRPr="00D52DC9">
        <w:t>(</w:t>
      </w:r>
      <w:proofErr w:type="spellStart"/>
      <w:r w:rsidR="0003671B" w:rsidRPr="00D52DC9">
        <w:t>Engler</w:t>
      </w:r>
      <w:proofErr w:type="spellEnd"/>
      <w:r w:rsidR="0003671B" w:rsidRPr="00D52DC9">
        <w:t> 2009)</w:t>
      </w:r>
      <w:r w:rsidR="00A1459C">
        <w:t xml:space="preserve">. However, </w:t>
      </w:r>
      <w:r w:rsidR="003C02EE">
        <w:t xml:space="preserve">most of these studies </w:t>
      </w:r>
      <w:r w:rsidR="00651ACC">
        <w:t>do not use randomised control trials,</w:t>
      </w:r>
      <w:r w:rsidR="00651ACC" w:rsidRPr="0060577C">
        <w:rPr>
          <w:rStyle w:val="FootnoteReference"/>
        </w:rPr>
        <w:footnoteReference w:id="1"/>
      </w:r>
      <w:r w:rsidR="00651ACC">
        <w:t xml:space="preserve"> and so cannot</w:t>
      </w:r>
      <w:r w:rsidR="003C02EE">
        <w:t xml:space="preserve"> </w:t>
      </w:r>
      <w:r w:rsidR="0003671B">
        <w:t>infer a causative relationship</w:t>
      </w:r>
      <w:r w:rsidR="003C02EE">
        <w:t xml:space="preserve"> </w:t>
      </w:r>
      <w:r w:rsidR="00651ACC">
        <w:t>between representation and favourable legal outcomes because they do n</w:t>
      </w:r>
      <w:r w:rsidR="003C02EE">
        <w:t xml:space="preserve">ot account for </w:t>
      </w:r>
      <w:r w:rsidR="00651ACC">
        <w:t xml:space="preserve">other </w:t>
      </w:r>
      <w:r w:rsidR="0003671B">
        <w:t xml:space="preserve">possible </w:t>
      </w:r>
      <w:r w:rsidR="003C02EE">
        <w:t xml:space="preserve">differences between </w:t>
      </w:r>
      <w:r w:rsidR="003F3F24">
        <w:t>professionally</w:t>
      </w:r>
      <w:r w:rsidR="00651ACC">
        <w:t xml:space="preserve"> </w:t>
      </w:r>
      <w:r w:rsidR="003F3F24">
        <w:t>represented and self</w:t>
      </w:r>
      <w:r w:rsidR="003F3F24">
        <w:noBreakHyphen/>
      </w:r>
      <w:r w:rsidR="003C02EE">
        <w:t>represented parties</w:t>
      </w:r>
      <w:r w:rsidR="00651ACC">
        <w:t xml:space="preserve"> (and their cases)</w:t>
      </w:r>
      <w:r w:rsidR="003C02EE">
        <w:t>.</w:t>
      </w:r>
    </w:p>
    <w:p w:rsidR="00A1459C" w:rsidRDefault="00044ADC" w:rsidP="00892D60">
      <w:pPr>
        <w:pStyle w:val="BodyText"/>
      </w:pPr>
      <w:r>
        <w:t>Where</w:t>
      </w:r>
      <w:r w:rsidR="00892D60">
        <w:t xml:space="preserve"> randomised control trials</w:t>
      </w:r>
      <w:r>
        <w:t xml:space="preserve"> have been used</w:t>
      </w:r>
      <w:r w:rsidR="00892D60">
        <w:t xml:space="preserve"> to measure the effect of representation on legal outcomes, </w:t>
      </w:r>
      <w:r>
        <w:t>the results have been</w:t>
      </w:r>
      <w:r w:rsidR="00892D60">
        <w:t xml:space="preserve"> mixed. </w:t>
      </w:r>
      <w:r w:rsidR="00D0664D">
        <w:t>In a randomised control study of legal aid in a housing court in the United States, Gr</w:t>
      </w:r>
      <w:r w:rsidR="0003671B">
        <w:t xml:space="preserve">einer, </w:t>
      </w:r>
      <w:proofErr w:type="spellStart"/>
      <w:r w:rsidR="0003671B">
        <w:t>Pattanayak</w:t>
      </w:r>
      <w:proofErr w:type="spellEnd"/>
      <w:r w:rsidR="0003671B">
        <w:t xml:space="preserve"> and Hennessy </w:t>
      </w:r>
      <w:r w:rsidR="0003671B" w:rsidRPr="00651ACC">
        <w:t>(2013)</w:t>
      </w:r>
      <w:r w:rsidR="00D0664D">
        <w:t xml:space="preserve"> found that </w:t>
      </w:r>
      <w:r w:rsidR="00240033">
        <w:t xml:space="preserve">receiving </w:t>
      </w:r>
      <w:r w:rsidR="00D0664D">
        <w:t>full representation led to a favourable outcome</w:t>
      </w:r>
      <w:r w:rsidR="00651ACC">
        <w:t xml:space="preserve"> in</w:t>
      </w:r>
      <w:r w:rsidR="00D0664D">
        <w:t xml:space="preserve"> two thirds of </w:t>
      </w:r>
      <w:r w:rsidR="00651ACC">
        <w:t>cases</w:t>
      </w:r>
      <w:r w:rsidR="00D0664D">
        <w:t xml:space="preserve">, compared with only one third for those </w:t>
      </w:r>
      <w:r w:rsidR="00704883">
        <w:t xml:space="preserve">who </w:t>
      </w:r>
      <w:r w:rsidR="00D0664D">
        <w:t>receiv</w:t>
      </w:r>
      <w:r w:rsidR="00704883">
        <w:t>ed</w:t>
      </w:r>
      <w:r w:rsidR="00D0664D">
        <w:t xml:space="preserve"> ‘unbundled’ assistance.</w:t>
      </w:r>
      <w:r w:rsidR="00892D60">
        <w:t xml:space="preserve"> However, i</w:t>
      </w:r>
      <w:r w:rsidR="00D0664D">
        <w:t xml:space="preserve">n a previous randomised control trial for unemployment </w:t>
      </w:r>
      <w:r w:rsidR="00A1459C">
        <w:t>benefits appeals</w:t>
      </w:r>
      <w:r w:rsidR="00D0664D">
        <w:t xml:space="preserve">, </w:t>
      </w:r>
      <w:r>
        <w:t xml:space="preserve">no firm conclusion could be drawn on whether being represented affected the probability that a claimant would prevail </w:t>
      </w:r>
      <w:r w:rsidRPr="00651ACC">
        <w:t xml:space="preserve">(Greiner and </w:t>
      </w:r>
      <w:proofErr w:type="spellStart"/>
      <w:r w:rsidRPr="00651ACC">
        <w:t>Pattanayak</w:t>
      </w:r>
      <w:proofErr w:type="spellEnd"/>
      <w:r w:rsidRPr="00651ACC">
        <w:t> 2012)</w:t>
      </w:r>
      <w:r>
        <w:t>. It was</w:t>
      </w:r>
      <w:r w:rsidR="00D0664D">
        <w:t xml:space="preserve"> found that </w:t>
      </w:r>
      <w:r>
        <w:t xml:space="preserve">being </w:t>
      </w:r>
      <w:r w:rsidR="00D0664D">
        <w:t>offer</w:t>
      </w:r>
      <w:r>
        <w:t>ed</w:t>
      </w:r>
      <w:r w:rsidR="00D0664D">
        <w:t xml:space="preserve"> representation</w:t>
      </w:r>
      <w:r>
        <w:t xml:space="preserve"> (regardless of whether the offer was accepted)</w:t>
      </w:r>
      <w:r w:rsidR="00D0664D">
        <w:t xml:space="preserve"> </w:t>
      </w:r>
      <w:r w:rsidR="00A1459C">
        <w:t xml:space="preserve">had no statistically </w:t>
      </w:r>
      <w:r>
        <w:t>significant effect on outcomes.</w:t>
      </w:r>
    </w:p>
    <w:p w:rsidR="00D0664D" w:rsidRDefault="0003671B" w:rsidP="00E45EF2">
      <w:pPr>
        <w:pStyle w:val="BodyText"/>
      </w:pPr>
      <w:r>
        <w:t xml:space="preserve">Based on the </w:t>
      </w:r>
      <w:r w:rsidR="008B69A5">
        <w:t>available evidence</w:t>
      </w:r>
      <w:r>
        <w:t>, it would appear that parties are more likely to obtain a successful legal outcome when they receive legal assistance</w:t>
      </w:r>
      <w:r w:rsidR="000E2B5D">
        <w:t xml:space="preserve"> —</w:t>
      </w:r>
      <w:r w:rsidR="00F57636">
        <w:t xml:space="preserve"> </w:t>
      </w:r>
      <w:r w:rsidR="007D5B47">
        <w:t xml:space="preserve">although the degree </w:t>
      </w:r>
      <w:r w:rsidR="00704883">
        <w:t xml:space="preserve">of </w:t>
      </w:r>
      <w:r w:rsidR="007D5B47">
        <w:t>success</w:t>
      </w:r>
      <w:r w:rsidR="00704883">
        <w:t xml:space="preserve"> varies </w:t>
      </w:r>
      <w:r w:rsidR="002775DD">
        <w:t xml:space="preserve">widely </w:t>
      </w:r>
      <w:r w:rsidR="00704883">
        <w:t>between studies</w:t>
      </w:r>
      <w:r w:rsidR="002775DD">
        <w:t>, dispute types, and jurisdictions</w:t>
      </w:r>
      <w:r w:rsidR="00704883">
        <w:t>.</w:t>
      </w:r>
      <w:r w:rsidR="000E2B5D">
        <w:t xml:space="preserve"> However, this does not mean that unassisted parties will always be unsuccessful, nor will an assisted party always obtain a favourable outcome. Estimates of the benefits of legal assistance should factor these considerations into their analysis.</w:t>
      </w:r>
    </w:p>
    <w:p w:rsidR="007B5B81" w:rsidRDefault="007B5B81" w:rsidP="00F14385">
      <w:pPr>
        <w:pStyle w:val="Heading4"/>
      </w:pPr>
      <w:r>
        <w:t>D</w:t>
      </w:r>
      <w:r w:rsidR="00C41E9C">
        <w:t>o</w:t>
      </w:r>
      <w:r w:rsidRPr="007B5B81">
        <w:t xml:space="preserve"> </w:t>
      </w:r>
      <w:r w:rsidR="0003671B">
        <w:t xml:space="preserve">favourable </w:t>
      </w:r>
      <w:r w:rsidRPr="007B5B81">
        <w:t>legal outcome</w:t>
      </w:r>
      <w:r w:rsidR="00C41E9C">
        <w:t>s</w:t>
      </w:r>
      <w:r w:rsidRPr="007B5B81">
        <w:t xml:space="preserve"> </w:t>
      </w:r>
      <w:r w:rsidR="00C41E9C">
        <w:t>translate into positive</w:t>
      </w:r>
      <w:r w:rsidRPr="007B5B81">
        <w:t xml:space="preserve"> </w:t>
      </w:r>
      <w:r w:rsidR="0003671B">
        <w:t xml:space="preserve">practical </w:t>
      </w:r>
      <w:r w:rsidRPr="007B5B81">
        <w:t>outcomes</w:t>
      </w:r>
      <w:r>
        <w:t>?</w:t>
      </w:r>
    </w:p>
    <w:p w:rsidR="007B5B81" w:rsidRDefault="0003671B" w:rsidP="007B5B81">
      <w:pPr>
        <w:pStyle w:val="BodyText"/>
      </w:pPr>
      <w:r>
        <w:t xml:space="preserve">While legal assistance is generally provided to address the legal problems of clients, </w:t>
      </w:r>
      <w:r w:rsidR="00C41E9C">
        <w:t xml:space="preserve">obtaining a favourable </w:t>
      </w:r>
      <w:r>
        <w:t xml:space="preserve">legal outcome </w:t>
      </w:r>
      <w:r w:rsidR="00C41E9C">
        <w:t xml:space="preserve">or </w:t>
      </w:r>
      <w:r>
        <w:t xml:space="preserve">decision </w:t>
      </w:r>
      <w:r w:rsidR="00C41E9C">
        <w:t xml:space="preserve">may not necessarily translate into </w:t>
      </w:r>
      <w:r>
        <w:t>a positive</w:t>
      </w:r>
      <w:r w:rsidR="00C41E9C">
        <w:t xml:space="preserve"> outcome</w:t>
      </w:r>
      <w:r>
        <w:t xml:space="preserve"> ‘outside the court room’</w:t>
      </w:r>
      <w:r w:rsidR="00C41E9C">
        <w:t xml:space="preserve">. </w:t>
      </w:r>
      <w:r w:rsidR="00D5176D">
        <w:t>While formal acknowledgment of a particular legal right may bring some emotional benefits to the individual in question</w:t>
      </w:r>
      <w:r w:rsidR="004E59B6">
        <w:t xml:space="preserve"> (which may be important)</w:t>
      </w:r>
      <w:r w:rsidR="00D5176D">
        <w:t xml:space="preserve">, many of the potential tangible benefits from legal assistance will only arise if </w:t>
      </w:r>
      <w:r w:rsidR="00644F1A">
        <w:t xml:space="preserve">the formal acknowledgment </w:t>
      </w:r>
      <w:r w:rsidR="005228B0">
        <w:t>actually causes</w:t>
      </w:r>
      <w:r w:rsidR="00644F1A">
        <w:t xml:space="preserve"> a practical change in circumstances.</w:t>
      </w:r>
    </w:p>
    <w:p w:rsidR="005228B0" w:rsidRDefault="005228B0" w:rsidP="007B5B81">
      <w:pPr>
        <w:pStyle w:val="BodyText"/>
      </w:pPr>
      <w:r>
        <w:t xml:space="preserve">For example, obtaining an </w:t>
      </w:r>
      <w:r w:rsidR="00EA538C">
        <w:t>AVO</w:t>
      </w:r>
      <w:r>
        <w:t xml:space="preserve"> for a victim of family violence will only produce benefits to the client (and society) if the order actually prevents further violence from occurring. This is not the case</w:t>
      </w:r>
      <w:r w:rsidR="005164D8">
        <w:t>, for example,</w:t>
      </w:r>
      <w:r>
        <w:t xml:space="preserve"> if the offender breach</w:t>
      </w:r>
      <w:r w:rsidR="0003671B">
        <w:t>es</w:t>
      </w:r>
      <w:r>
        <w:t xml:space="preserve"> the order, or if it is likely that the violence may have ceased regardless of whether an order was obtained. This example is discussed in further detail later in this appendix.</w:t>
      </w:r>
    </w:p>
    <w:p w:rsidR="00D5176D" w:rsidRDefault="00377689" w:rsidP="007B5B81">
      <w:pPr>
        <w:pStyle w:val="BodyText"/>
      </w:pPr>
      <w:r>
        <w:lastRenderedPageBreak/>
        <w:t>Assumptions about the duration of outcomes are also critical. For example,</w:t>
      </w:r>
      <w:r w:rsidR="00D5176D">
        <w:t xml:space="preserve"> preventing an eviction order against an individual could lead to tangible social benefits in</w:t>
      </w:r>
      <w:r w:rsidR="005228B0">
        <w:t xml:space="preserve"> the prevention of homelessness. B</w:t>
      </w:r>
      <w:r w:rsidR="00D5176D">
        <w:t xml:space="preserve">ut </w:t>
      </w:r>
      <w:r w:rsidR="005228B0">
        <w:t>the</w:t>
      </w:r>
      <w:r w:rsidR="00D5176D">
        <w:t xml:space="preserve"> benefits</w:t>
      </w:r>
      <w:r w:rsidR="005228B0">
        <w:t xml:space="preserve"> of such an outcome</w:t>
      </w:r>
      <w:r w:rsidR="00D5176D">
        <w:t xml:space="preserve"> may be overstated if the </w:t>
      </w:r>
      <w:r w:rsidR="00644F1A">
        <w:t xml:space="preserve">individual </w:t>
      </w:r>
      <w:r w:rsidR="005228B0">
        <w:t>is</w:t>
      </w:r>
      <w:r w:rsidR="00644F1A">
        <w:t xml:space="preserve"> still unable to secure stable housing in the long run</w:t>
      </w:r>
      <w:r w:rsidR="005228B0">
        <w:t>, and becomes homeless despite receiving legal assistance.</w:t>
      </w:r>
    </w:p>
    <w:p w:rsidR="00F14385" w:rsidRPr="00E45EF2" w:rsidRDefault="00CD4B99" w:rsidP="00F14385">
      <w:pPr>
        <w:pStyle w:val="Heading4"/>
      </w:pPr>
      <w:r>
        <w:t>What are</w:t>
      </w:r>
      <w:r w:rsidR="00F14385">
        <w:t xml:space="preserve"> the costs of</w:t>
      </w:r>
      <w:r w:rsidR="00A4087F">
        <w:t xml:space="preserve"> the</w:t>
      </w:r>
      <w:r w:rsidR="00F14385">
        <w:t xml:space="preserve"> adverse outcomes</w:t>
      </w:r>
      <w:r w:rsidR="00A4087F">
        <w:t xml:space="preserve"> that may be avoided</w:t>
      </w:r>
      <w:r>
        <w:t>?</w:t>
      </w:r>
    </w:p>
    <w:p w:rsidR="008D2762" w:rsidRDefault="002775DD" w:rsidP="002B6F1F">
      <w:pPr>
        <w:pStyle w:val="BodyText"/>
      </w:pPr>
      <w:r>
        <w:t>Adverse outcomes that are often suggested to arise from unresolved legal problems can include loss of employment, financial distress, homelessness,</w:t>
      </w:r>
      <w:r w:rsidR="000E3530">
        <w:t xml:space="preserve"> relationship breakdown,</w:t>
      </w:r>
      <w:r>
        <w:t xml:space="preserve"> family violence</w:t>
      </w:r>
      <w:r w:rsidR="00240D22">
        <w:t>, mental illness</w:t>
      </w:r>
      <w:r>
        <w:t xml:space="preserve"> and substance abuse</w:t>
      </w:r>
      <w:r w:rsidR="00C333FF">
        <w:t xml:space="preserve"> </w:t>
      </w:r>
      <w:r w:rsidR="00C333FF" w:rsidRPr="00C333FF">
        <w:rPr>
          <w:szCs w:val="24"/>
        </w:rPr>
        <w:t>(</w:t>
      </w:r>
      <w:proofErr w:type="spellStart"/>
      <w:r w:rsidR="00C333FF" w:rsidRPr="00C333FF">
        <w:rPr>
          <w:szCs w:val="24"/>
        </w:rPr>
        <w:t>Coumarelos</w:t>
      </w:r>
      <w:proofErr w:type="spellEnd"/>
      <w:r w:rsidR="00C333FF" w:rsidRPr="00C333FF">
        <w:rPr>
          <w:szCs w:val="24"/>
        </w:rPr>
        <w:t xml:space="preserve"> et al. 2012)</w:t>
      </w:r>
      <w:r>
        <w:t>.</w:t>
      </w:r>
      <w:r w:rsidR="000E3530">
        <w:t xml:space="preserve"> </w:t>
      </w:r>
      <w:r w:rsidR="002B6F1F">
        <w:t>The</w:t>
      </w:r>
      <w:r w:rsidR="000246F1">
        <w:t>s</w:t>
      </w:r>
      <w:r w:rsidR="002B6F1F">
        <w:t xml:space="preserve">e </w:t>
      </w:r>
      <w:r w:rsidR="000246F1">
        <w:t>outcomes can lead to substantial costs to individuals, governments and the wider community — costs which may be avoided in some cases by providing legal assistance.</w:t>
      </w:r>
      <w:r w:rsidR="008D2762">
        <w:t xml:space="preserve"> </w:t>
      </w:r>
      <w:r w:rsidR="00AE44A0">
        <w:t>The social costs of m</w:t>
      </w:r>
      <w:r w:rsidR="008D2762">
        <w:t>any of these adverse outcome</w:t>
      </w:r>
      <w:r w:rsidR="00AE44A0">
        <w:t>s</w:t>
      </w:r>
      <w:r w:rsidR="008D2762">
        <w:t xml:space="preserve"> </w:t>
      </w:r>
      <w:r w:rsidR="00AE44A0">
        <w:t xml:space="preserve">have been previously investigated </w:t>
      </w:r>
      <w:r w:rsidR="008D2762">
        <w:t xml:space="preserve">— for example, the social costs of </w:t>
      </w:r>
      <w:r w:rsidR="00C91E01">
        <w:t>family</w:t>
      </w:r>
      <w:r w:rsidR="008D2762">
        <w:t xml:space="preserve"> violence in Australia have been estimated extensively in the past (section K.2).</w:t>
      </w:r>
    </w:p>
    <w:p w:rsidR="002B6F1F" w:rsidRDefault="000246F1" w:rsidP="002B6F1F">
      <w:pPr>
        <w:pStyle w:val="BodyText"/>
      </w:pPr>
      <w:r>
        <w:t>As noted in chapter 21, n</w:t>
      </w:r>
      <w:r w:rsidRPr="000246F1">
        <w:t>ot providing legal assistance for civil matters can be a false economy where the costs of unresolved problems are shifted to other areas of government spending such as health care, housing and child protection.</w:t>
      </w:r>
      <w:r w:rsidR="002A4F54">
        <w:t xml:space="preserve"> It </w:t>
      </w:r>
      <w:r w:rsidR="008069E3">
        <w:t>is</w:t>
      </w:r>
      <w:r w:rsidR="002A4F54">
        <w:t xml:space="preserve"> desirable, from a </w:t>
      </w:r>
      <w:r w:rsidR="002A4F54" w:rsidRPr="002A4F54">
        <w:t>budgetary perspective</w:t>
      </w:r>
      <w:r w:rsidR="002A4F54">
        <w:t>,</w:t>
      </w:r>
      <w:r>
        <w:t xml:space="preserve"> </w:t>
      </w:r>
      <w:r w:rsidR="002A4F54">
        <w:t>for government to u</w:t>
      </w:r>
      <w:r>
        <w:t>nderstand the</w:t>
      </w:r>
      <w:r w:rsidR="002A4F54">
        <w:t xml:space="preserve"> extent to which these costs are</w:t>
      </w:r>
      <w:r w:rsidR="007B0917">
        <w:t xml:space="preserve"> avoided through legal assistance. Even within a given </w:t>
      </w:r>
      <w:r w:rsidR="00FD7AEC">
        <w:t xml:space="preserve">set of </w:t>
      </w:r>
      <w:r w:rsidR="007B0917">
        <w:t>budget constraint</w:t>
      </w:r>
      <w:r w:rsidR="00FD7AEC">
        <w:t>s,</w:t>
      </w:r>
      <w:r w:rsidR="007B0917">
        <w:t xml:space="preserve"> additional outlays on legal assistance </w:t>
      </w:r>
      <w:r w:rsidR="00606AAB">
        <w:t>are likely to be justified</w:t>
      </w:r>
      <w:r w:rsidR="007B0917">
        <w:t xml:space="preserve"> if they reduce outlays in othe</w:t>
      </w:r>
      <w:r w:rsidR="00905C2C">
        <w:t>r areas of government spending</w:t>
      </w:r>
      <w:r w:rsidR="000518EB">
        <w:t xml:space="preserve"> by a similar or greater amount</w:t>
      </w:r>
      <w:r w:rsidR="00905C2C">
        <w:t>.</w:t>
      </w:r>
    </w:p>
    <w:p w:rsidR="002B6F1F" w:rsidRPr="00E45EF2" w:rsidRDefault="002A4F54" w:rsidP="007D1C08">
      <w:pPr>
        <w:pStyle w:val="BodyText"/>
      </w:pPr>
      <w:r>
        <w:t xml:space="preserve">However, of greater economic significance are the costs to the community as a whole that may be avoided by providing </w:t>
      </w:r>
      <w:r w:rsidR="007B0917">
        <w:t>assistance with legal problems.</w:t>
      </w:r>
      <w:r w:rsidR="00301C7C">
        <w:t xml:space="preserve"> </w:t>
      </w:r>
      <w:r w:rsidR="005D664F">
        <w:t>In</w:t>
      </w:r>
      <w:r w:rsidR="00301C7C">
        <w:t xml:space="preserve"> many types of adverse outcomes,</w:t>
      </w:r>
      <w:r w:rsidR="005D664F">
        <w:t xml:space="preserve"> the costs are </w:t>
      </w:r>
      <w:r w:rsidR="00A43D48">
        <w:t>mainly</w:t>
      </w:r>
      <w:r w:rsidR="005D664F">
        <w:t xml:space="preserve"> borne by g</w:t>
      </w:r>
      <w:r w:rsidR="00492962">
        <w:t>roups other than the government. F</w:t>
      </w:r>
      <w:r w:rsidR="005D664F">
        <w:t xml:space="preserve">or example, more than two thirds of the costs of family violence are estimated to fall </w:t>
      </w:r>
      <w:r w:rsidR="00492962">
        <w:t xml:space="preserve">upon </w:t>
      </w:r>
      <w:r w:rsidR="005D664F">
        <w:t xml:space="preserve">victims, their families and employers </w:t>
      </w:r>
      <w:r w:rsidR="005D664F" w:rsidRPr="005D664F">
        <w:rPr>
          <w:szCs w:val="24"/>
        </w:rPr>
        <w:t>(Access Economics 2004)</w:t>
      </w:r>
      <w:r w:rsidR="005D664F">
        <w:t>.</w:t>
      </w:r>
      <w:r w:rsidR="00DF2CA3">
        <w:t xml:space="preserve"> </w:t>
      </w:r>
      <w:r w:rsidR="007E1B72">
        <w:t>Thus</w:t>
      </w:r>
      <w:r w:rsidR="00492962">
        <w:t>,</w:t>
      </w:r>
      <w:r w:rsidR="007E1B72">
        <w:t xml:space="preserve"> reducing the incidence of these adverse outcomes may be welfare-enhancing across society, even if this comes at a net</w:t>
      </w:r>
      <w:r w:rsidR="008250AC">
        <w:t xml:space="preserve"> budgetary</w:t>
      </w:r>
      <w:r w:rsidR="007E1B72">
        <w:t xml:space="preserve"> cost to government</w:t>
      </w:r>
      <w:r w:rsidR="000D6FA6">
        <w:t xml:space="preserve"> and so, in principle, may justify public funding of legal assistance.</w:t>
      </w:r>
    </w:p>
    <w:p w:rsidR="00D837B5" w:rsidRDefault="0090750D" w:rsidP="00010B04">
      <w:pPr>
        <w:pStyle w:val="Heading2"/>
      </w:pPr>
      <w:r>
        <w:t>K.</w:t>
      </w:r>
      <w:r>
        <w:rPr>
          <w:noProof/>
        </w:rPr>
        <w:t>2</w:t>
      </w:r>
      <w:r w:rsidR="00377689">
        <w:tab/>
      </w:r>
      <w:r w:rsidR="00AE1852">
        <w:t xml:space="preserve">Illustrating </w:t>
      </w:r>
      <w:r w:rsidR="007179B5">
        <w:t>costs</w:t>
      </w:r>
      <w:r w:rsidR="00AE1852">
        <w:t xml:space="preserve"> avoided by providing</w:t>
      </w:r>
      <w:r w:rsidR="00377689">
        <w:t xml:space="preserve"> legal assistance</w:t>
      </w:r>
      <w:r w:rsidR="00BF2F4F">
        <w:t xml:space="preserve"> for family violence matters</w:t>
      </w:r>
    </w:p>
    <w:p w:rsidR="006846D5" w:rsidRDefault="006846D5" w:rsidP="00930482">
      <w:pPr>
        <w:pStyle w:val="BodyText"/>
      </w:pPr>
      <w:r>
        <w:t xml:space="preserve">Prevention of family violence has been featured </w:t>
      </w:r>
      <w:r w:rsidR="00966EEA">
        <w:t xml:space="preserve">as a benefit arising from legal assistance </w:t>
      </w:r>
      <w:r>
        <w:t>in</w:t>
      </w:r>
      <w:r w:rsidR="008965F7">
        <w:t xml:space="preserve"> a number of</w:t>
      </w:r>
      <w:r>
        <w:t xml:space="preserve"> previous </w:t>
      </w:r>
      <w:r w:rsidR="00966EEA">
        <w:t>studies, both in Australia and overseas</w:t>
      </w:r>
      <w:r>
        <w:t xml:space="preserve"> </w:t>
      </w:r>
      <w:r w:rsidR="008965F7" w:rsidRPr="008965F7">
        <w:rPr>
          <w:szCs w:val="24"/>
        </w:rPr>
        <w:t xml:space="preserve">(Florida </w:t>
      </w:r>
      <w:proofErr w:type="spellStart"/>
      <w:r w:rsidR="008965F7" w:rsidRPr="008965F7">
        <w:rPr>
          <w:szCs w:val="24"/>
        </w:rPr>
        <w:t>TaxWatch</w:t>
      </w:r>
      <w:proofErr w:type="spellEnd"/>
      <w:r w:rsidR="008965F7" w:rsidRPr="008965F7">
        <w:rPr>
          <w:szCs w:val="24"/>
        </w:rPr>
        <w:t> 2010; Judith Stubbs and Associates 2012; Kushner 2012)</w:t>
      </w:r>
      <w:r>
        <w:t xml:space="preserve">. </w:t>
      </w:r>
      <w:r w:rsidR="00966EEA">
        <w:t xml:space="preserve">Legal assistance providers can provide </w:t>
      </w:r>
      <w:r w:rsidR="00D54691">
        <w:t>people</w:t>
      </w:r>
      <w:r w:rsidR="00966EEA">
        <w:t xml:space="preserve"> seeking an </w:t>
      </w:r>
      <w:r w:rsidR="007A0BE7">
        <w:t>apprehended violence order</w:t>
      </w:r>
      <w:r w:rsidR="00966EEA">
        <w:t xml:space="preserve"> </w:t>
      </w:r>
      <w:r w:rsidR="0083260E">
        <w:t xml:space="preserve">(AVO) </w:t>
      </w:r>
      <w:r w:rsidR="00966EEA">
        <w:t>with assistance, including preparation and assistance with documentation, and repre</w:t>
      </w:r>
      <w:r w:rsidR="001F79F8">
        <w:t xml:space="preserve">sentation at court proceedings. </w:t>
      </w:r>
      <w:r w:rsidR="001F79F8">
        <w:lastRenderedPageBreak/>
        <w:t>This section demonstrates how the principles outlined previously in this appendix can be used to e</w:t>
      </w:r>
      <w:r w:rsidR="008965F7">
        <w:t>stimat</w:t>
      </w:r>
      <w:r w:rsidR="001F79F8">
        <w:t>e</w:t>
      </w:r>
      <w:r w:rsidR="008965F7">
        <w:t xml:space="preserve"> the benefits of </w:t>
      </w:r>
      <w:r w:rsidR="00FE2104">
        <w:t xml:space="preserve">providing </w:t>
      </w:r>
      <w:r w:rsidR="00966EEA">
        <w:t>such</w:t>
      </w:r>
      <w:r w:rsidR="008965F7">
        <w:t xml:space="preserve"> assistance with AVOs</w:t>
      </w:r>
      <w:r w:rsidR="001F79F8">
        <w:t>.</w:t>
      </w:r>
    </w:p>
    <w:p w:rsidR="00BA0E55" w:rsidRDefault="00BA0E55" w:rsidP="00583A24">
      <w:pPr>
        <w:pStyle w:val="Heading4"/>
      </w:pPr>
      <w:r>
        <w:t>What would happen to clients without assistance?</w:t>
      </w:r>
    </w:p>
    <w:p w:rsidR="00BA0E55" w:rsidRDefault="00A730C6" w:rsidP="00BA0E55">
      <w:pPr>
        <w:pStyle w:val="BodyText"/>
      </w:pPr>
      <w:r>
        <w:t>Some previous studies</w:t>
      </w:r>
      <w:r w:rsidR="00BA0E55">
        <w:t xml:space="preserve"> have assumed that a lack of assistance with </w:t>
      </w:r>
      <w:r w:rsidR="004107D9">
        <w:t>an AVO</w:t>
      </w:r>
      <w:r w:rsidR="00BA0E55">
        <w:t xml:space="preserve"> will lead to a continuation of violence</w:t>
      </w:r>
      <w:r w:rsidR="004107D9">
        <w:t xml:space="preserve"> for victims</w:t>
      </w:r>
      <w:r w:rsidR="00BA0E55">
        <w:t>. However, this does not appear to be a reasonable assumption as:</w:t>
      </w:r>
    </w:p>
    <w:p w:rsidR="00BA0E55" w:rsidRDefault="004107D9" w:rsidP="00BA0E55">
      <w:pPr>
        <w:pStyle w:val="ListBullet"/>
      </w:pPr>
      <w:r>
        <w:t xml:space="preserve">some </w:t>
      </w:r>
      <w:r w:rsidR="00BA0E55">
        <w:t xml:space="preserve">victims may take steps themselves to obtain an </w:t>
      </w:r>
      <w:r w:rsidR="004271F8">
        <w:t xml:space="preserve">AVO </w:t>
      </w:r>
      <w:r>
        <w:t>without assistance</w:t>
      </w:r>
    </w:p>
    <w:p w:rsidR="00BA0E55" w:rsidRDefault="004107D9" w:rsidP="00BA0E55">
      <w:pPr>
        <w:pStyle w:val="ListBullet"/>
      </w:pPr>
      <w:r>
        <w:t>in</w:t>
      </w:r>
      <w:r w:rsidR="00BA0E55">
        <w:t xml:space="preserve"> some cas</w:t>
      </w:r>
      <w:r>
        <w:t xml:space="preserve">es where an AVO is not obtained, </w:t>
      </w:r>
      <w:r w:rsidR="00BA0E55">
        <w:t>the perpetrator</w:t>
      </w:r>
      <w:r>
        <w:t xml:space="preserve"> may</w:t>
      </w:r>
      <w:r w:rsidR="00BA0E55">
        <w:t xml:space="preserve"> cease </w:t>
      </w:r>
      <w:r w:rsidR="00382EA4">
        <w:t>to commit</w:t>
      </w:r>
      <w:r w:rsidR="00BA0E55">
        <w:t xml:space="preserve"> violent behaviour anyway</w:t>
      </w:r>
    </w:p>
    <w:p w:rsidR="00BA0E55" w:rsidRDefault="004107D9" w:rsidP="00BA0E55">
      <w:pPr>
        <w:pStyle w:val="ListBullet"/>
      </w:pPr>
      <w:proofErr w:type="gramStart"/>
      <w:r>
        <w:t>some</w:t>
      </w:r>
      <w:proofErr w:type="gramEnd"/>
      <w:r w:rsidR="00BA0E55">
        <w:t xml:space="preserve"> victim</w:t>
      </w:r>
      <w:r>
        <w:t>s</w:t>
      </w:r>
      <w:r w:rsidR="00BA0E55">
        <w:t xml:space="preserve"> </w:t>
      </w:r>
      <w:r>
        <w:t>may</w:t>
      </w:r>
      <w:r w:rsidR="00BA0E55">
        <w:t xml:space="preserve"> </w:t>
      </w:r>
      <w:r w:rsidR="00044C6C">
        <w:t>undertake other actions</w:t>
      </w:r>
      <w:r>
        <w:t xml:space="preserve"> </w:t>
      </w:r>
      <w:r w:rsidR="00BA0E55">
        <w:t>to prevent</w:t>
      </w:r>
      <w:r>
        <w:t xml:space="preserve"> or</w:t>
      </w:r>
      <w:r w:rsidR="00BA0E55">
        <w:t xml:space="preserve"> reduce the risk of </w:t>
      </w:r>
      <w:r w:rsidR="00BB33DF">
        <w:t>further</w:t>
      </w:r>
      <w:r w:rsidR="00BA0E55">
        <w:t xml:space="preserve"> violence.</w:t>
      </w:r>
    </w:p>
    <w:p w:rsidR="004107D9" w:rsidRDefault="004107D9" w:rsidP="00BA0E55">
      <w:pPr>
        <w:pStyle w:val="BodyText"/>
      </w:pPr>
      <w:r>
        <w:t xml:space="preserve">This is evident in the empirical literature surrounding family violence — discussed further below — which indicates that over time, a significant share of victims do not continue to be subjected to ongoing family violence, even in the absence of legal protections such as </w:t>
      </w:r>
      <w:r w:rsidR="00635820">
        <w:t>AVOs</w:t>
      </w:r>
      <w:r>
        <w:t>.</w:t>
      </w:r>
    </w:p>
    <w:p w:rsidR="00105D70" w:rsidRPr="00947A0C" w:rsidRDefault="0047695C" w:rsidP="00105D70">
      <w:pPr>
        <w:pStyle w:val="BodyText"/>
      </w:pPr>
      <w:r>
        <w:t>However, i</w:t>
      </w:r>
      <w:r w:rsidR="00B324E8">
        <w:t xml:space="preserve">t is less clear to what extent </w:t>
      </w:r>
      <w:r w:rsidR="001031E0">
        <w:t xml:space="preserve">some </w:t>
      </w:r>
      <w:r w:rsidR="00B324E8">
        <w:t xml:space="preserve">individuals would take steps to obtain </w:t>
      </w:r>
      <w:r w:rsidR="00635820">
        <w:t>AVO</w:t>
      </w:r>
      <w:r w:rsidR="00B324E8">
        <w:t xml:space="preserve">s without assistance. There is little evidence </w:t>
      </w:r>
      <w:r w:rsidR="00105D70">
        <w:t xml:space="preserve">on how the </w:t>
      </w:r>
      <w:r w:rsidR="00105D70">
        <w:rPr>
          <w:i/>
        </w:rPr>
        <w:t>presence</w:t>
      </w:r>
      <w:r w:rsidR="00105D70">
        <w:t xml:space="preserve"> of a duty lawyer would affect the decision of an individual to attend court proceedings seeking an AVO. On the one hand, the knowledge that such a service is present could encourage attendance. On the other hand, the knowledge that the service would not be provided in advance, or be particularly tailored to the individual’s circumstances may not encourage attendance to any greater degree than if the duty lawyer were not present.</w:t>
      </w:r>
    </w:p>
    <w:p w:rsidR="00947A0C" w:rsidRDefault="00947A0C" w:rsidP="00947A0C">
      <w:pPr>
        <w:pStyle w:val="BodyText"/>
      </w:pPr>
      <w:r>
        <w:t>For this analysis, the Commission has assumed that, in the absence of duty lawyer services, victims of family violence would represent themselves in proceedings to obtain an AVO — though it is not assumed they would always successfully obtain an AVO following proceedings. This assumption is based on the fact that duty lawyer services are generally located ‘in</w:t>
      </w:r>
      <w:r>
        <w:noBreakHyphen/>
        <w:t>court’, meaning that at the point at which assistance is received, the victim has already made the decision to attend proceedings.</w:t>
      </w:r>
    </w:p>
    <w:p w:rsidR="00583A24" w:rsidRDefault="001C43BC" w:rsidP="00583A24">
      <w:pPr>
        <w:pStyle w:val="Heading4"/>
      </w:pPr>
      <w:r>
        <w:t>How effective are</w:t>
      </w:r>
      <w:r w:rsidR="000620A6">
        <w:t xml:space="preserve"> legal assistance </w:t>
      </w:r>
      <w:r>
        <w:t xml:space="preserve">providers </w:t>
      </w:r>
      <w:r w:rsidR="000620A6">
        <w:t xml:space="preserve">in </w:t>
      </w:r>
      <w:r w:rsidR="00A23C7D">
        <w:t>obtaining AVOs</w:t>
      </w:r>
      <w:r w:rsidR="000620A6">
        <w:t>?</w:t>
      </w:r>
    </w:p>
    <w:p w:rsidR="00583A24" w:rsidRPr="00583A24" w:rsidRDefault="00583A24" w:rsidP="00583A24">
      <w:pPr>
        <w:pStyle w:val="BodyText"/>
      </w:pPr>
      <w:r>
        <w:t>Measuring the benefits of legal assistance requires</w:t>
      </w:r>
      <w:r w:rsidR="00262F5A">
        <w:t xml:space="preserve"> an estimate</w:t>
      </w:r>
      <w:r>
        <w:t xml:space="preserve"> of how </w:t>
      </w:r>
      <w:r w:rsidR="00262F5A">
        <w:t>often</w:t>
      </w:r>
      <w:r>
        <w:t xml:space="preserve"> providers are able to obtain a favou</w:t>
      </w:r>
      <w:r w:rsidR="00262F5A">
        <w:t>rable outcome for their clients, compared with a situation where the individual had received no assistance. In the case of family violence, this could be measured by comparing the rates at which AVOs are successfully obtained by LAC clients and the wider population (</w:t>
      </w:r>
      <w:r w:rsidR="0054534D">
        <w:t>bearing in mind</w:t>
      </w:r>
      <w:r w:rsidR="001E64FB">
        <w:t xml:space="preserve"> bo</w:t>
      </w:r>
      <w:r w:rsidR="00262F5A">
        <w:t xml:space="preserve">th the merit test applied by LACs, and the possibility that a LAC client may be less capable than others of securing an AVO if </w:t>
      </w:r>
      <w:r w:rsidR="00B910F3">
        <w:t>self</w:t>
      </w:r>
      <w:r w:rsidR="00B910F3">
        <w:noBreakHyphen/>
      </w:r>
      <w:r w:rsidR="00262F5A">
        <w:t>represented)</w:t>
      </w:r>
      <w:r w:rsidR="008B69A5">
        <w:t>.</w:t>
      </w:r>
    </w:p>
    <w:p w:rsidR="00583A24" w:rsidRDefault="00262F5A" w:rsidP="0061656C">
      <w:pPr>
        <w:pStyle w:val="BodyText"/>
      </w:pPr>
      <w:r>
        <w:lastRenderedPageBreak/>
        <w:t>However, i</w:t>
      </w:r>
      <w:r w:rsidR="0061656C">
        <w:t xml:space="preserve">n Australia, the ‘success rate’ of AVO applications </w:t>
      </w:r>
      <w:r w:rsidR="00583A24">
        <w:t>does not appear</w:t>
      </w:r>
      <w:r w:rsidR="0061656C">
        <w:t xml:space="preserve"> to have been</w:t>
      </w:r>
      <w:r w:rsidR="00583A24">
        <w:t xml:space="preserve"> </w:t>
      </w:r>
      <w:r w:rsidR="0061656C">
        <w:t>measured.</w:t>
      </w:r>
      <w:r w:rsidR="00583A24">
        <w:t xml:space="preserve"> W</w:t>
      </w:r>
      <w:r w:rsidR="0061656C">
        <w:t xml:space="preserve">hile data </w:t>
      </w:r>
      <w:r>
        <w:t xml:space="preserve">is generally available </w:t>
      </w:r>
      <w:r w:rsidR="0061656C">
        <w:t>on the number of AVO</w:t>
      </w:r>
      <w:r w:rsidR="00583A24">
        <w:t>s granted</w:t>
      </w:r>
      <w:r w:rsidR="0061656C">
        <w:t xml:space="preserve"> </w:t>
      </w:r>
      <w:r w:rsidR="00583A24">
        <w:t xml:space="preserve">annually, the number of AVO applications each year is not published. </w:t>
      </w:r>
      <w:r w:rsidR="009A7626">
        <w:t>W</w:t>
      </w:r>
      <w:r w:rsidR="00583A24">
        <w:t>hen approached by the Commission, several LACs were also unable to produce data outlining how many of their applications for AVOs were successful.</w:t>
      </w:r>
      <w:r>
        <w:t xml:space="preserve"> This poses a challenge to measuring the extent to which legal assistance providers </w:t>
      </w:r>
      <w:r w:rsidR="00491D3F">
        <w:t>affect legal outcomes</w:t>
      </w:r>
      <w:r>
        <w:t xml:space="preserve"> for clients</w:t>
      </w:r>
      <w:r w:rsidR="009A7626">
        <w:t xml:space="preserve"> seeking AVOs</w:t>
      </w:r>
      <w:r>
        <w:t>.</w:t>
      </w:r>
    </w:p>
    <w:p w:rsidR="008B69A5" w:rsidRDefault="009A7626" w:rsidP="00105D70">
      <w:pPr>
        <w:pStyle w:val="BodyText"/>
      </w:pPr>
      <w:r>
        <w:t>However, t</w:t>
      </w:r>
      <w:r w:rsidR="00C870F5">
        <w:t xml:space="preserve">here is some evidence from overseas </w:t>
      </w:r>
      <w:r w:rsidR="00FC0109">
        <w:t>that legal representation is correlated with</w:t>
      </w:r>
      <w:r w:rsidR="00C870F5">
        <w:t xml:space="preserve"> success in obtaining a protection order — for example, a</w:t>
      </w:r>
      <w:r w:rsidR="00262F5A">
        <w:t xml:space="preserve"> study from the</w:t>
      </w:r>
      <w:r w:rsidR="00956699">
        <w:t xml:space="preserve"> United States</w:t>
      </w:r>
      <w:r w:rsidR="00262F5A">
        <w:t xml:space="preserve"> </w:t>
      </w:r>
      <w:r w:rsidR="00956699">
        <w:t>found that 83 per cent of women who were</w:t>
      </w:r>
      <w:r w:rsidR="00FF33CC">
        <w:t xml:space="preserve"> professionally</w:t>
      </w:r>
      <w:r w:rsidR="00956699">
        <w:t xml:space="preserve"> represented were successful in obtaining an order, compared to 32 per cent of </w:t>
      </w:r>
      <w:r w:rsidR="00FF33CC">
        <w:t>self</w:t>
      </w:r>
      <w:r w:rsidR="00FF33CC">
        <w:noBreakHyphen/>
      </w:r>
      <w:r w:rsidR="00956699">
        <w:t>represented women</w:t>
      </w:r>
      <w:r w:rsidR="00262F5A">
        <w:t xml:space="preserve"> </w:t>
      </w:r>
      <w:r w:rsidR="00C870F5" w:rsidRPr="00C870F5">
        <w:rPr>
          <w:szCs w:val="24"/>
        </w:rPr>
        <w:t>(Murphy 2002)</w:t>
      </w:r>
      <w:r w:rsidR="00956699">
        <w:t>.</w:t>
      </w:r>
      <w:r w:rsidR="008B69A5">
        <w:t xml:space="preserve"> </w:t>
      </w:r>
      <w:r w:rsidR="005203F6">
        <w:t>This is supported by the broader literature outlined above on the benefits of repr</w:t>
      </w:r>
      <w:r w:rsidR="00105D70">
        <w:t>esentation in other case types. Those cases represented by LACs may also be expected to be more likely to be successful given the merit test applied by LACs when considering whether to represent a client.</w:t>
      </w:r>
    </w:p>
    <w:p w:rsidR="003473D5" w:rsidRDefault="0054534D" w:rsidP="00930482">
      <w:pPr>
        <w:pStyle w:val="BodyText"/>
      </w:pPr>
      <w:r>
        <w:t xml:space="preserve">Other studies have assumed a smaller advantage is gained by being represented. </w:t>
      </w:r>
      <w:r w:rsidR="008B69A5">
        <w:t>In a previous cost</w:t>
      </w:r>
      <w:r w:rsidR="008B69A5">
        <w:noBreakHyphen/>
        <w:t xml:space="preserve">benefit analysis of legal aid provision in Florida, a success rate of 69 per cent was assumed for legal aid clients securing a restraining order, compared with 55 per cent for those </w:t>
      </w:r>
      <w:r w:rsidR="00AF0C2E">
        <w:t xml:space="preserve">seeking a restraining order </w:t>
      </w:r>
      <w:r w:rsidR="008B69A5">
        <w:t xml:space="preserve">without legal aid assistance </w:t>
      </w:r>
      <w:r w:rsidR="00AF0C2E" w:rsidRPr="00AF0C2E">
        <w:rPr>
          <w:szCs w:val="24"/>
        </w:rPr>
        <w:t xml:space="preserve">(Florida </w:t>
      </w:r>
      <w:proofErr w:type="spellStart"/>
      <w:r w:rsidR="00AF0C2E" w:rsidRPr="00AF0C2E">
        <w:rPr>
          <w:szCs w:val="24"/>
        </w:rPr>
        <w:t>TaxWatch</w:t>
      </w:r>
      <w:proofErr w:type="spellEnd"/>
      <w:r w:rsidR="00AF0C2E" w:rsidRPr="00AF0C2E">
        <w:rPr>
          <w:szCs w:val="24"/>
        </w:rPr>
        <w:t> 2010)</w:t>
      </w:r>
      <w:r w:rsidR="008B69A5">
        <w:t>.</w:t>
      </w:r>
      <w:r w:rsidR="00407A3F">
        <w:t xml:space="preserve"> While the authors of this study suggest that these assumptions are based on research, they do not </w:t>
      </w:r>
      <w:r w:rsidR="0033697C">
        <w:t>point to</w:t>
      </w:r>
      <w:r w:rsidR="00407A3F">
        <w:t xml:space="preserve"> any </w:t>
      </w:r>
      <w:r w:rsidR="0033697C">
        <w:t xml:space="preserve">specific </w:t>
      </w:r>
      <w:r w:rsidR="00407A3F">
        <w:t>sources or studies that comprise</w:t>
      </w:r>
      <w:r w:rsidR="00A04712">
        <w:t>d</w:t>
      </w:r>
      <w:r w:rsidR="00407A3F">
        <w:t xml:space="preserve"> this</w:t>
      </w:r>
      <w:r>
        <w:t xml:space="preserve"> research</w:t>
      </w:r>
      <w:r w:rsidR="00407A3F">
        <w:t>.</w:t>
      </w:r>
    </w:p>
    <w:p w:rsidR="00442BF5" w:rsidRDefault="00442BF5" w:rsidP="00A23C7D">
      <w:pPr>
        <w:pStyle w:val="Heading4"/>
      </w:pPr>
      <w:r>
        <w:t xml:space="preserve">How often do AVOs prevent </w:t>
      </w:r>
      <w:r w:rsidR="00C91E01">
        <w:t>family</w:t>
      </w:r>
      <w:r>
        <w:t xml:space="preserve"> violence?</w:t>
      </w:r>
    </w:p>
    <w:p w:rsidR="0085780F" w:rsidRDefault="00442BF5" w:rsidP="00442BF5">
      <w:pPr>
        <w:pStyle w:val="BodyText"/>
      </w:pPr>
      <w:r>
        <w:t xml:space="preserve">Some previous studies into the </w:t>
      </w:r>
      <w:r w:rsidR="005111B3">
        <w:t xml:space="preserve">benefits of legal assistance have assessed the benefits of an </w:t>
      </w:r>
      <w:r w:rsidR="00EE2D7F">
        <w:t>AVO</w:t>
      </w:r>
      <w:r w:rsidR="005111B3">
        <w:t xml:space="preserve"> as being the full cost of an avoid</w:t>
      </w:r>
      <w:r w:rsidR="0085780F">
        <w:t xml:space="preserve">ed case of violence or assault. </w:t>
      </w:r>
      <w:r w:rsidR="00A451B5">
        <w:t xml:space="preserve">For example, Judith Stubbs and Associates </w:t>
      </w:r>
      <w:r w:rsidR="00A451B5" w:rsidRPr="00A451B5">
        <w:t>(2012)</w:t>
      </w:r>
      <w:r w:rsidR="00A451B5">
        <w:t xml:space="preserve"> estimated the community benefits of assisting an individual with an </w:t>
      </w:r>
      <w:r w:rsidR="00F0550E">
        <w:t>AVO</w:t>
      </w:r>
      <w:r w:rsidR="00A451B5">
        <w:t xml:space="preserve"> at $37 000, based on </w:t>
      </w:r>
      <w:r w:rsidR="009B58EF">
        <w:t>estimates</w:t>
      </w:r>
      <w:r w:rsidR="0056472E">
        <w:t xml:space="preserve"> of the costs of family violence by</w:t>
      </w:r>
      <w:r w:rsidR="009B58EF">
        <w:t xml:space="preserve"> </w:t>
      </w:r>
      <w:r w:rsidR="00A451B5">
        <w:t>Access Economics</w:t>
      </w:r>
      <w:r w:rsidR="0056472E">
        <w:t xml:space="preserve"> </w:t>
      </w:r>
      <w:r w:rsidR="0056472E" w:rsidRPr="0056472E">
        <w:t>(2004)</w:t>
      </w:r>
      <w:r w:rsidR="00A451B5">
        <w:t xml:space="preserve">. </w:t>
      </w:r>
      <w:r w:rsidR="00746866">
        <w:t>However, f</w:t>
      </w:r>
      <w:r w:rsidR="0085780F">
        <w:t xml:space="preserve">or this to be </w:t>
      </w:r>
      <w:r w:rsidR="00746866">
        <w:t>a reasonable estimate</w:t>
      </w:r>
      <w:r w:rsidR="0051772C">
        <w:t xml:space="preserve"> of </w:t>
      </w:r>
      <w:r w:rsidR="0056472E">
        <w:t xml:space="preserve">the </w:t>
      </w:r>
      <w:r w:rsidR="0051772C">
        <w:t>benefits</w:t>
      </w:r>
      <w:r w:rsidR="0056472E">
        <w:t xml:space="preserve"> of assistance with an AVO</w:t>
      </w:r>
      <w:r w:rsidR="0085780F">
        <w:t xml:space="preserve">, </w:t>
      </w:r>
      <w:r w:rsidR="00C32EE5">
        <w:t xml:space="preserve">it must </w:t>
      </w:r>
      <w:r w:rsidR="000F5F73">
        <w:t xml:space="preserve">also </w:t>
      </w:r>
      <w:r w:rsidR="00C32EE5">
        <w:t>be assumed that</w:t>
      </w:r>
      <w:r w:rsidR="0085780F">
        <w:t>:</w:t>
      </w:r>
    </w:p>
    <w:p w:rsidR="0085780F" w:rsidRDefault="0085780F" w:rsidP="0085780F">
      <w:pPr>
        <w:pStyle w:val="ListBullet"/>
      </w:pPr>
      <w:r>
        <w:t xml:space="preserve">the perpetrator </w:t>
      </w:r>
      <w:r w:rsidR="00C32EE5">
        <w:t>will</w:t>
      </w:r>
      <w:r>
        <w:t xml:space="preserve"> not breach </w:t>
      </w:r>
      <w:r w:rsidR="0051772C">
        <w:t>the</w:t>
      </w:r>
      <w:r w:rsidR="00407A3F">
        <w:t xml:space="preserve"> AVO</w:t>
      </w:r>
    </w:p>
    <w:p w:rsidR="0085780F" w:rsidRDefault="0085780F" w:rsidP="0085780F">
      <w:pPr>
        <w:pStyle w:val="ListBullet"/>
      </w:pPr>
      <w:r>
        <w:t xml:space="preserve">in the absence of </w:t>
      </w:r>
      <w:r w:rsidR="0051772C">
        <w:t>the</w:t>
      </w:r>
      <w:r>
        <w:t xml:space="preserve"> AVO, the perpetrator would</w:t>
      </w:r>
      <w:r w:rsidR="0051772C">
        <w:t xml:space="preserve"> have</w:t>
      </w:r>
      <w:r w:rsidR="00407A3F">
        <w:t xml:space="preserve"> </w:t>
      </w:r>
      <w:r>
        <w:t>continue</w:t>
      </w:r>
      <w:r w:rsidR="0051772C">
        <w:t>d</w:t>
      </w:r>
      <w:r>
        <w:t xml:space="preserve"> to commit abuse</w:t>
      </w:r>
    </w:p>
    <w:p w:rsidR="0085780F" w:rsidRDefault="0051772C" w:rsidP="0085780F">
      <w:pPr>
        <w:pStyle w:val="ListBullet"/>
      </w:pPr>
      <w:proofErr w:type="gramStart"/>
      <w:r>
        <w:t>without</w:t>
      </w:r>
      <w:proofErr w:type="gramEnd"/>
      <w:r>
        <w:t xml:space="preserve"> the </w:t>
      </w:r>
      <w:r w:rsidR="0085780F">
        <w:t xml:space="preserve">AVO, the victim would not </w:t>
      </w:r>
      <w:r>
        <w:t xml:space="preserve">have </w:t>
      </w:r>
      <w:r w:rsidR="0085780F">
        <w:t>take</w:t>
      </w:r>
      <w:r>
        <w:t>n</w:t>
      </w:r>
      <w:r w:rsidR="0085780F">
        <w:t xml:space="preserve"> other act</w:t>
      </w:r>
      <w:r w:rsidR="00BE18A0">
        <w:t>ions to prevent</w:t>
      </w:r>
      <w:r>
        <w:t xml:space="preserve"> </w:t>
      </w:r>
      <w:r w:rsidR="00297B7F">
        <w:t xml:space="preserve">or </w:t>
      </w:r>
      <w:r>
        <w:t>reduce the risk of</w:t>
      </w:r>
      <w:r w:rsidR="00BE18A0">
        <w:t xml:space="preserve"> family violence</w:t>
      </w:r>
      <w:r w:rsidR="00C32EE5">
        <w:t>.</w:t>
      </w:r>
    </w:p>
    <w:p w:rsidR="00442BF5" w:rsidRDefault="00746866" w:rsidP="00442BF5">
      <w:pPr>
        <w:pStyle w:val="BodyText"/>
      </w:pPr>
      <w:r>
        <w:t>The available evidence suggests that</w:t>
      </w:r>
      <w:r w:rsidR="005111B3">
        <w:t xml:space="preserve"> </w:t>
      </w:r>
      <w:r w:rsidR="0085780F">
        <w:t>these</w:t>
      </w:r>
      <w:r w:rsidR="00C32EE5">
        <w:t xml:space="preserve"> are not reasonable</w:t>
      </w:r>
      <w:r w:rsidR="0085780F">
        <w:t xml:space="preserve"> assumptions </w:t>
      </w:r>
      <w:r w:rsidR="00C32EE5">
        <w:t xml:space="preserve">on which </w:t>
      </w:r>
      <w:r>
        <w:t>such estimates</w:t>
      </w:r>
      <w:r w:rsidR="00C32EE5">
        <w:t xml:space="preserve"> should be based. </w:t>
      </w:r>
      <w:r w:rsidR="00A451B5">
        <w:t>First, i</w:t>
      </w:r>
      <w:r w:rsidR="00C32EE5">
        <w:t xml:space="preserve">n practice, perpetrators </w:t>
      </w:r>
      <w:r w:rsidR="00A451B5">
        <w:t xml:space="preserve">of family violence </w:t>
      </w:r>
      <w:r w:rsidR="00C32EE5">
        <w:t xml:space="preserve">are known </w:t>
      </w:r>
      <w:r w:rsidR="00297B7F">
        <w:t xml:space="preserve">to </w:t>
      </w:r>
      <w:r w:rsidR="00A451B5">
        <w:t xml:space="preserve">breach AVOs </w:t>
      </w:r>
      <w:r w:rsidR="00C32EE5">
        <w:t xml:space="preserve">— </w:t>
      </w:r>
      <w:r w:rsidR="00BE18A0">
        <w:t>for example, roughly one in three AVOs were b</w:t>
      </w:r>
      <w:r w:rsidR="00B961E7">
        <w:t>reached in Victoria in 2012</w:t>
      </w:r>
      <w:r w:rsidR="00B961E7">
        <w:noBreakHyphen/>
        <w:t xml:space="preserve">13 </w:t>
      </w:r>
      <w:r w:rsidR="00B961E7" w:rsidRPr="00B961E7">
        <w:rPr>
          <w:szCs w:val="24"/>
        </w:rPr>
        <w:t>(Spooner and Butt 2013)</w:t>
      </w:r>
      <w:r w:rsidR="00A451B5">
        <w:t xml:space="preserve">. Second, </w:t>
      </w:r>
      <w:r w:rsidR="00BA0E55">
        <w:t xml:space="preserve">as noted above, </w:t>
      </w:r>
      <w:r w:rsidR="00A451B5">
        <w:t>there may be some cases where an AVO is not obtained</w:t>
      </w:r>
      <w:r w:rsidR="001F7D87">
        <w:t>,</w:t>
      </w:r>
      <w:r w:rsidR="00A451B5">
        <w:t xml:space="preserve"> but the perpetrator ceases </w:t>
      </w:r>
      <w:r w:rsidR="00BE18A0">
        <w:t>their</w:t>
      </w:r>
      <w:r w:rsidR="00A451B5">
        <w:t xml:space="preserve"> violen</w:t>
      </w:r>
      <w:r w:rsidR="00BE18A0">
        <w:t>t behaviour anyway</w:t>
      </w:r>
      <w:r w:rsidR="00A451B5">
        <w:t xml:space="preserve">. Finally, as </w:t>
      </w:r>
      <w:r w:rsidR="00C539EF">
        <w:t xml:space="preserve">acknowledged by Kushner </w:t>
      </w:r>
      <w:r w:rsidR="00C539EF" w:rsidRPr="00C539EF">
        <w:t>(2012)</w:t>
      </w:r>
      <w:r w:rsidR="00C539EF">
        <w:t xml:space="preserve">, </w:t>
      </w:r>
      <w:r w:rsidR="00C029DD">
        <w:t>those that do not obtain a</w:t>
      </w:r>
      <w:r w:rsidR="00CA7BFF">
        <w:t>n</w:t>
      </w:r>
      <w:r w:rsidR="00C029DD">
        <w:t xml:space="preserve"> order </w:t>
      </w:r>
      <w:r w:rsidR="00BE18A0">
        <w:t>may still undertake other actions</w:t>
      </w:r>
      <w:r w:rsidR="002A4FD9">
        <w:t xml:space="preserve"> to prevent, or reduce the risk of, further violence</w:t>
      </w:r>
      <w:r w:rsidR="00BE18A0">
        <w:t>.</w:t>
      </w:r>
    </w:p>
    <w:p w:rsidR="00737F24" w:rsidRDefault="008F0DDC" w:rsidP="00737F24">
      <w:pPr>
        <w:pStyle w:val="BodyText"/>
      </w:pPr>
      <w:r>
        <w:lastRenderedPageBreak/>
        <w:t>Empirical</w:t>
      </w:r>
      <w:r w:rsidR="003473D5">
        <w:t xml:space="preserve"> research on the effectiveness of </w:t>
      </w:r>
      <w:r w:rsidR="00032AC0">
        <w:t>AVOs</w:t>
      </w:r>
      <w:r w:rsidR="00BE18A0">
        <w:t xml:space="preserve"> at reducing subsequent violence </w:t>
      </w:r>
      <w:r w:rsidR="003473D5">
        <w:t>is limited</w:t>
      </w:r>
      <w:r w:rsidR="00BE18A0">
        <w:t>, especially in the Australian context</w:t>
      </w:r>
      <w:r w:rsidR="003473D5">
        <w:t>.</w:t>
      </w:r>
      <w:r w:rsidR="00BE18A0">
        <w:t xml:space="preserve"> While </w:t>
      </w:r>
      <w:r w:rsidR="0051772C">
        <w:t>some</w:t>
      </w:r>
      <w:r w:rsidR="00BE18A0">
        <w:t xml:space="preserve"> studies have shown reductions in the incidence of family violence </w:t>
      </w:r>
      <w:r>
        <w:t>for those who</w:t>
      </w:r>
      <w:r w:rsidR="00BE18A0">
        <w:t xml:space="preserve"> </w:t>
      </w:r>
      <w:r w:rsidR="00D208ED">
        <w:t xml:space="preserve">did </w:t>
      </w:r>
      <w:r w:rsidR="00BE18A0">
        <w:t xml:space="preserve">obtain a protection order, </w:t>
      </w:r>
      <w:r w:rsidR="0051772C">
        <w:t>most</w:t>
      </w:r>
      <w:r w:rsidR="00BE18A0">
        <w:t xml:space="preserve"> of these do not include a comparison with the </w:t>
      </w:r>
      <w:r>
        <w:t>rate</w:t>
      </w:r>
      <w:r w:rsidR="00BE18A0">
        <w:t xml:space="preserve"> of subsequent violence for those who did not obtain a protection order.</w:t>
      </w:r>
    </w:p>
    <w:p w:rsidR="00042A11" w:rsidRDefault="00042A11" w:rsidP="00737F24">
      <w:pPr>
        <w:pStyle w:val="BodyText"/>
      </w:pPr>
      <w:r>
        <w:t>A study</w:t>
      </w:r>
      <w:r w:rsidR="00385458">
        <w:t xml:space="preserve"> from the A</w:t>
      </w:r>
      <w:r w:rsidR="00737F24">
        <w:t xml:space="preserve">ustralian </w:t>
      </w:r>
      <w:r w:rsidR="00385458">
        <w:t>I</w:t>
      </w:r>
      <w:r w:rsidR="00737F24">
        <w:t xml:space="preserve">nstitute of </w:t>
      </w:r>
      <w:r w:rsidR="00385458">
        <w:t>C</w:t>
      </w:r>
      <w:r w:rsidR="00737F24">
        <w:t>riminology</w:t>
      </w:r>
      <w:r w:rsidR="00F21841">
        <w:t xml:space="preserve"> of young women (aged 18</w:t>
      </w:r>
      <w:r w:rsidR="00F21841">
        <w:noBreakHyphen/>
        <w:t>23 years) experiencing violence</w:t>
      </w:r>
      <w:r w:rsidR="00385458">
        <w:t xml:space="preserve"> </w:t>
      </w:r>
      <w:r>
        <w:t xml:space="preserve">found that </w:t>
      </w:r>
      <w:r w:rsidR="00F21841">
        <w:t>among those who obtained both an AVO and police assistance, 55 per cent e</w:t>
      </w:r>
      <w:r>
        <w:t>xperienced no</w:t>
      </w:r>
      <w:r w:rsidR="00F21841">
        <w:t xml:space="preserve"> subsequent</w:t>
      </w:r>
      <w:r>
        <w:t xml:space="preserve"> violence</w:t>
      </w:r>
      <w:r w:rsidR="00F21841">
        <w:t>. Of those who only received police assistance</w:t>
      </w:r>
      <w:r w:rsidR="00C9773A">
        <w:t xml:space="preserve"> (without an AVO)</w:t>
      </w:r>
      <w:r w:rsidR="00F21841">
        <w:t xml:space="preserve"> this figure was</w:t>
      </w:r>
      <w:r>
        <w:t xml:space="preserve"> 40 per cent </w:t>
      </w:r>
      <w:r w:rsidR="00737F24" w:rsidRPr="00737F24">
        <w:rPr>
          <w:szCs w:val="24"/>
        </w:rPr>
        <w:t xml:space="preserve">(Young, </w:t>
      </w:r>
      <w:proofErr w:type="spellStart"/>
      <w:r w:rsidR="00737F24" w:rsidRPr="00737F24">
        <w:rPr>
          <w:szCs w:val="24"/>
        </w:rPr>
        <w:t>Byles</w:t>
      </w:r>
      <w:proofErr w:type="spellEnd"/>
      <w:r w:rsidR="00737F24" w:rsidRPr="00737F24">
        <w:rPr>
          <w:szCs w:val="24"/>
        </w:rPr>
        <w:t xml:space="preserve"> and Dobson 2000)</w:t>
      </w:r>
      <w:r w:rsidR="00F4440A">
        <w:t>.</w:t>
      </w:r>
      <w:r w:rsidR="008C5AA3">
        <w:t xml:space="preserve"> </w:t>
      </w:r>
      <w:r w:rsidR="00737F24">
        <w:t>However, i</w:t>
      </w:r>
      <w:r>
        <w:t xml:space="preserve">t is worth noting that the study found that </w:t>
      </w:r>
      <w:r w:rsidR="00737F24">
        <w:t>after a 12 month period, violence had ceased for</w:t>
      </w:r>
      <w:r>
        <w:t xml:space="preserve"> similar share</w:t>
      </w:r>
      <w:r w:rsidR="00737F24">
        <w:t>s</w:t>
      </w:r>
      <w:r>
        <w:t xml:space="preserve"> of </w:t>
      </w:r>
      <w:r w:rsidR="00F21841">
        <w:t xml:space="preserve">young </w:t>
      </w:r>
      <w:r>
        <w:t xml:space="preserve">women (91 per cent </w:t>
      </w:r>
      <w:r w:rsidR="00737F24">
        <w:t>compared with</w:t>
      </w:r>
      <w:r>
        <w:t xml:space="preserve"> 90 per cent) whether </w:t>
      </w:r>
      <w:r w:rsidR="00297B7F">
        <w:t xml:space="preserve">or not </w:t>
      </w:r>
      <w:r>
        <w:t>they had sought</w:t>
      </w:r>
      <w:r w:rsidR="00BC211F">
        <w:t xml:space="preserve"> any form of</w:t>
      </w:r>
      <w:r>
        <w:t xml:space="preserve"> legal protection </w:t>
      </w:r>
      <w:r w:rsidR="00BC211F">
        <w:t>(</w:t>
      </w:r>
      <w:r w:rsidR="004C63A4">
        <w:t xml:space="preserve">such as an </w:t>
      </w:r>
      <w:r w:rsidR="00BC211F">
        <w:t>AVO or police</w:t>
      </w:r>
      <w:r w:rsidR="00737F24">
        <w:t xml:space="preserve"> protection</w:t>
      </w:r>
      <w:r w:rsidR="00BC211F">
        <w:t>)</w:t>
      </w:r>
      <w:r>
        <w:t>.</w:t>
      </w:r>
    </w:p>
    <w:p w:rsidR="00E41781" w:rsidRDefault="00662E52" w:rsidP="00B87E80">
      <w:pPr>
        <w:pStyle w:val="BodyText"/>
      </w:pPr>
      <w:r>
        <w:t xml:space="preserve">The available </w:t>
      </w:r>
      <w:r w:rsidR="00B21411">
        <w:t>evidence from Australia can</w:t>
      </w:r>
      <w:r w:rsidR="00160CED">
        <w:t xml:space="preserve"> also</w:t>
      </w:r>
      <w:r w:rsidR="00B21411">
        <w:t xml:space="preserve"> be compared with </w:t>
      </w:r>
      <w:r w:rsidR="00B87E80">
        <w:t>similar studies</w:t>
      </w:r>
      <w:r w:rsidR="00B21411">
        <w:t xml:space="preserve"> from overseas</w:t>
      </w:r>
      <w:r w:rsidR="00B87E80">
        <w:t xml:space="preserve"> jurisdictions, such as the </w:t>
      </w:r>
      <w:r w:rsidR="00FC25A5">
        <w:t>United States</w:t>
      </w:r>
      <w:r w:rsidR="00B21411">
        <w:t xml:space="preserve">. </w:t>
      </w:r>
      <w:r w:rsidR="00B87E80">
        <w:t>A study</w:t>
      </w:r>
      <w:r w:rsidR="00E41781">
        <w:t xml:space="preserve"> </w:t>
      </w:r>
      <w:r w:rsidR="00B87E80">
        <w:t xml:space="preserve">from Washington State </w:t>
      </w:r>
      <w:r w:rsidR="00930482">
        <w:t>found</w:t>
      </w:r>
      <w:r w:rsidR="00E41781">
        <w:t xml:space="preserve"> that </w:t>
      </w:r>
      <w:r w:rsidR="00B87E80">
        <w:t xml:space="preserve">in </w:t>
      </w:r>
      <w:r w:rsidR="00032AC0">
        <w:t>the</w:t>
      </w:r>
      <w:r w:rsidR="00B87E80">
        <w:t xml:space="preserve"> 12</w:t>
      </w:r>
      <w:r w:rsidR="00757534">
        <w:t> </w:t>
      </w:r>
      <w:r w:rsidR="00B87E80">
        <w:t>month</w:t>
      </w:r>
      <w:r w:rsidR="009C7516">
        <w:t xml:space="preserve"> period</w:t>
      </w:r>
      <w:r w:rsidR="00B87E80">
        <w:t xml:space="preserve"> following </w:t>
      </w:r>
      <w:r w:rsidR="009C7516">
        <w:t>an</w:t>
      </w:r>
      <w:r w:rsidR="00B87E80">
        <w:t xml:space="preserve"> initial incident of domestic violence, </w:t>
      </w:r>
      <w:r w:rsidR="00930482">
        <w:t>women who obtained protecti</w:t>
      </w:r>
      <w:r w:rsidR="00B87E80">
        <w:t>on</w:t>
      </w:r>
      <w:r w:rsidR="00930482">
        <w:t xml:space="preserve"> orders experienced 11.1 fewer incidents of physical </w:t>
      </w:r>
      <w:r w:rsidR="00B87E80">
        <w:t>violence</w:t>
      </w:r>
      <w:r w:rsidR="00930482">
        <w:t xml:space="preserve"> per 100 women than a group with</w:t>
      </w:r>
      <w:r w:rsidR="00B87E80">
        <w:t>out</w:t>
      </w:r>
      <w:r w:rsidR="00930482">
        <w:t xml:space="preserve"> protecti</w:t>
      </w:r>
      <w:r w:rsidR="00B87E80">
        <w:t>on</w:t>
      </w:r>
      <w:r w:rsidR="00930482">
        <w:t xml:space="preserve"> orders </w:t>
      </w:r>
      <w:r w:rsidR="00C855A9">
        <w:t>(2.9 incidents of physic</w:t>
      </w:r>
      <w:r w:rsidR="009C7516">
        <w:t xml:space="preserve">al abuse per 100 person years </w:t>
      </w:r>
      <w:r w:rsidR="009F5A4B">
        <w:t xml:space="preserve">for those with protection orders </w:t>
      </w:r>
      <w:r w:rsidR="009C7516">
        <w:t>compared with</w:t>
      </w:r>
      <w:r w:rsidR="00C855A9">
        <w:t xml:space="preserve"> 14.0 incidents of physical abuse</w:t>
      </w:r>
      <w:r w:rsidR="009F5A4B">
        <w:t xml:space="preserve"> for those without </w:t>
      </w:r>
      <w:proofErr w:type="spellStart"/>
      <w:r w:rsidR="009F5A4B">
        <w:t>orders</w:t>
      </w:r>
      <w:proofErr w:type="spellEnd"/>
      <w:r w:rsidR="00C855A9">
        <w:t>)</w:t>
      </w:r>
      <w:r w:rsidR="009C7516" w:rsidRPr="009C7516">
        <w:t xml:space="preserve"> </w:t>
      </w:r>
      <w:r w:rsidR="009C7516" w:rsidRPr="00930482">
        <w:rPr>
          <w:szCs w:val="24"/>
        </w:rPr>
        <w:t>(Holt et al. 2002)</w:t>
      </w:r>
      <w:r w:rsidR="009C7516">
        <w:t>.</w:t>
      </w:r>
      <w:r>
        <w:t xml:space="preserve"> This study was also used by Kushner </w:t>
      </w:r>
      <w:r w:rsidRPr="00662E52">
        <w:t>(2012)</w:t>
      </w:r>
      <w:r>
        <w:t xml:space="preserve"> to estimate the number of incidents of abuse avoided by providing legal aid.</w:t>
      </w:r>
    </w:p>
    <w:p w:rsidR="00793F7B" w:rsidRDefault="00B21411" w:rsidP="00745585">
      <w:pPr>
        <w:pStyle w:val="BodyText"/>
      </w:pPr>
      <w:r>
        <w:t>Other studies have aimed to establish a direct link between the provision of legal assistance</w:t>
      </w:r>
      <w:r w:rsidR="00745585">
        <w:t xml:space="preserve"> for family violence</w:t>
      </w:r>
      <w:r>
        <w:t xml:space="preserve"> and </w:t>
      </w:r>
      <w:r w:rsidR="00745585">
        <w:t xml:space="preserve">reductions in family violence. Farmer and </w:t>
      </w:r>
      <w:proofErr w:type="spellStart"/>
      <w:r w:rsidR="00745585">
        <w:t>Tiefenthaler</w:t>
      </w:r>
      <w:proofErr w:type="spellEnd"/>
      <w:r w:rsidR="00745585">
        <w:t xml:space="preserve"> </w:t>
      </w:r>
      <w:r w:rsidR="00745585" w:rsidRPr="00745585">
        <w:t>(2003)</w:t>
      </w:r>
      <w:r w:rsidR="00745585">
        <w:t xml:space="preserve"> </w:t>
      </w:r>
      <w:r w:rsidR="00930482">
        <w:t xml:space="preserve">found that increased provision of legal services for victims of family violence likely contributed significantly to declines in the incidence of </w:t>
      </w:r>
      <w:r w:rsidR="001D4C1E">
        <w:t>family</w:t>
      </w:r>
      <w:r w:rsidR="00930482">
        <w:t xml:space="preserve"> violence during the 1990s in the United States</w:t>
      </w:r>
      <w:r w:rsidR="00C855A9">
        <w:t>.</w:t>
      </w:r>
      <w:r w:rsidR="00745585">
        <w:t xml:space="preserve"> Another study, using </w:t>
      </w:r>
      <w:r w:rsidR="00793F7B">
        <w:t>unpublished evidence from Virginia</w:t>
      </w:r>
      <w:r w:rsidR="00745585">
        <w:t>, found</w:t>
      </w:r>
      <w:r w:rsidR="00793F7B">
        <w:t xml:space="preserve"> that an expansion of legal aid in Southwest Virginia coincided with a 35.5 per cent reduction over four years in requests for protection orders in that region, compared with a statewide reduction of only 16.2 per cent</w:t>
      </w:r>
      <w:r w:rsidR="00D54208">
        <w:t xml:space="preserve"> — while the violent overall crime rate increased by 12.7 per cent </w:t>
      </w:r>
      <w:r w:rsidR="00D54208" w:rsidRPr="00D54208">
        <w:rPr>
          <w:szCs w:val="24"/>
        </w:rPr>
        <w:t>(Abel and Vignola 2010)</w:t>
      </w:r>
      <w:r w:rsidR="00745585">
        <w:t>.</w:t>
      </w:r>
    </w:p>
    <w:p w:rsidR="00BA0E55" w:rsidRDefault="00BA0E55" w:rsidP="00BA0E55">
      <w:pPr>
        <w:pStyle w:val="Heading4"/>
      </w:pPr>
      <w:r>
        <w:t>How much does family violence cost government?</w:t>
      </w:r>
    </w:p>
    <w:p w:rsidR="00BA0E55" w:rsidRDefault="00154A80" w:rsidP="00BA0E55">
      <w:pPr>
        <w:pStyle w:val="BodyText"/>
      </w:pPr>
      <w:r>
        <w:t>As noted previously, the costs of adverse outcomes such as family violence must be calculated in order to determine the benefits associated with their avoidance. In the case of family violence, t</w:t>
      </w:r>
      <w:r w:rsidR="00BA0E55">
        <w:t xml:space="preserve">he costs to government and society have been the subject of many studies. A frequently cited estimate of the economic and social costs of family violence comes from analysis by Access Economics </w:t>
      </w:r>
      <w:r w:rsidR="00BA0E55" w:rsidRPr="007C0BF9">
        <w:t>(2004)</w:t>
      </w:r>
      <w:r w:rsidR="00757534">
        <w:t xml:space="preserve">. They </w:t>
      </w:r>
      <w:r w:rsidR="00BA0E55">
        <w:t>estimated that the annual costs to government from family violence exceeded $1.3 billion in 2002</w:t>
      </w:r>
      <w:r w:rsidR="00BA0E55">
        <w:noBreakHyphen/>
        <w:t>03, with broader costs to society of approximately $8.1 billion. Averaged across the estimated number of victims, this amounted to more than $3000 per victim in annual costs to government, and almost $20 000 per victim in annual costs to society.</w:t>
      </w:r>
    </w:p>
    <w:p w:rsidR="00BA0E55" w:rsidRDefault="00BA0E55" w:rsidP="00BA0E55">
      <w:pPr>
        <w:pStyle w:val="BodyText"/>
      </w:pPr>
      <w:r>
        <w:lastRenderedPageBreak/>
        <w:t xml:space="preserve">The estimates </w:t>
      </w:r>
      <w:r w:rsidR="00D01D8E">
        <w:t xml:space="preserve">by Access Economics </w:t>
      </w:r>
      <w:r>
        <w:t>for 2002</w:t>
      </w:r>
      <w:r>
        <w:noBreakHyphen/>
        <w:t>03 were subsequently updated by KPMG</w:t>
      </w:r>
      <w:r w:rsidR="00674916">
        <w:t> </w:t>
      </w:r>
      <w:r w:rsidRPr="001856A3">
        <w:t>(2009)</w:t>
      </w:r>
      <w:r>
        <w:t xml:space="preserve"> to project the costs of violence against women </w:t>
      </w:r>
      <w:r w:rsidR="005D5352">
        <w:t>in</w:t>
      </w:r>
      <w:r>
        <w:t xml:space="preserve"> the year 2021</w:t>
      </w:r>
      <w:r>
        <w:noBreakHyphen/>
        <w:t>22. They estimated the annual</w:t>
      </w:r>
      <w:r w:rsidR="005245DC">
        <w:t xml:space="preserve"> costs to government will be $7</w:t>
      </w:r>
      <w:r>
        <w:t>640 per victim, with broader social costs of more than $40 000 per victim each year</w:t>
      </w:r>
      <w:r w:rsidR="00500DE6">
        <w:t xml:space="preserve"> in 2021</w:t>
      </w:r>
      <w:r w:rsidR="00500DE6">
        <w:noBreakHyphen/>
        <w:t>22</w:t>
      </w:r>
      <w:r>
        <w:t>.</w:t>
      </w:r>
    </w:p>
    <w:p w:rsidR="00154A80" w:rsidRDefault="00154A80" w:rsidP="00BA0E55">
      <w:pPr>
        <w:pStyle w:val="BodyText"/>
      </w:pPr>
      <w:r>
        <w:t>Such estimates are not without their own shortcomings and uncertainties</w:t>
      </w:r>
      <w:r w:rsidR="00CD6A60">
        <w:t>, especially f</w:t>
      </w:r>
      <w:r>
        <w:t xml:space="preserve">or an issue such as </w:t>
      </w:r>
      <w:r w:rsidR="004B743E">
        <w:t>family violence</w:t>
      </w:r>
      <w:r w:rsidR="00CD6A60">
        <w:t>. Some of the costs associated with violence — such as the pain and suffering experienced by victims — are less tangible (thou</w:t>
      </w:r>
      <w:r w:rsidR="003A5277">
        <w:t>gh are nonetheless significant) and thus</w:t>
      </w:r>
      <w:r w:rsidR="00CD6A60">
        <w:t xml:space="preserve"> can be challenging to quantify in monetary terms. Further, </w:t>
      </w:r>
      <w:r w:rsidR="004B743E">
        <w:t xml:space="preserve">as noted by the Access Economics report, </w:t>
      </w:r>
      <w:r w:rsidR="00CD6A60">
        <w:t>many of the costs often attributed to violence are also lon</w:t>
      </w:r>
      <w:r w:rsidR="004B743E">
        <w:t>g</w:t>
      </w:r>
      <w:r w:rsidR="004B743E">
        <w:noBreakHyphen/>
        <w:t>term,</w:t>
      </w:r>
      <w:r w:rsidR="00CD6A60">
        <w:t xml:space="preserve"> such as health costs, premature mortality, loss of income, and effects on children exposed to viol</w:t>
      </w:r>
      <w:r w:rsidR="004B743E">
        <w:t>ence.</w:t>
      </w:r>
      <w:r w:rsidR="00CD6A60">
        <w:t xml:space="preserve"> </w:t>
      </w:r>
      <w:r w:rsidR="004B743E">
        <w:t xml:space="preserve">This </w:t>
      </w:r>
      <w:r w:rsidR="00CD6A60">
        <w:t>can make their quantification more difficult</w:t>
      </w:r>
      <w:r w:rsidR="004B743E">
        <w:t>, especially where violence intersect</w:t>
      </w:r>
      <w:r w:rsidR="00F44151">
        <w:t>s</w:t>
      </w:r>
      <w:r w:rsidR="004B743E">
        <w:t xml:space="preserve"> with other complex issues and underlying causes </w:t>
      </w:r>
      <w:r w:rsidR="00F44151">
        <w:t xml:space="preserve">of disadvantage </w:t>
      </w:r>
      <w:r w:rsidR="004B743E">
        <w:t xml:space="preserve">(making it challenging to disentangle the costs </w:t>
      </w:r>
      <w:r w:rsidR="0065670F">
        <w:t>and attribute them to</w:t>
      </w:r>
      <w:r w:rsidR="004B743E">
        <w:t xml:space="preserve"> any given cause)</w:t>
      </w:r>
      <w:r w:rsidR="00CD6A60">
        <w:t>.</w:t>
      </w:r>
    </w:p>
    <w:p w:rsidR="00154A80" w:rsidRPr="00D5176D" w:rsidRDefault="00154A80" w:rsidP="00BA0E55">
      <w:pPr>
        <w:pStyle w:val="BodyText"/>
      </w:pPr>
      <w:r>
        <w:t>However, the drawbacks of such costing approaches are not the primary concern of this appendix</w:t>
      </w:r>
      <w:r w:rsidR="00A813D1">
        <w:t>.</w:t>
      </w:r>
      <w:r>
        <w:t xml:space="preserve"> </w:t>
      </w:r>
      <w:r w:rsidR="00A813D1">
        <w:t>R</w:t>
      </w:r>
      <w:r>
        <w:t xml:space="preserve">ather, for </w:t>
      </w:r>
      <w:r w:rsidR="00A813D1">
        <w:t>a</w:t>
      </w:r>
      <w:r>
        <w:t xml:space="preserve"> given estimate of the costs of family violence, </w:t>
      </w:r>
      <w:r w:rsidR="00A813D1">
        <w:t>the</w:t>
      </w:r>
      <w:r>
        <w:t xml:space="preserve"> more relevant concern is the</w:t>
      </w:r>
      <w:r w:rsidR="00BF03C6">
        <w:t xml:space="preserve"> soundness of the</w:t>
      </w:r>
      <w:r>
        <w:t xml:space="preserve"> methodology used to calculate how often such costs are avoided</w:t>
      </w:r>
      <w:r w:rsidR="008A0AE4">
        <w:t xml:space="preserve"> by an intervention such as legal assistance</w:t>
      </w:r>
      <w:r>
        <w:t>.</w:t>
      </w:r>
      <w:r w:rsidR="00BE1DE6" w:rsidRPr="00BE1DE6">
        <w:t xml:space="preserve"> </w:t>
      </w:r>
      <w:r w:rsidR="00BE1DE6">
        <w:t>Given the breadth and complexity of conducting such an estimate, the Commission has not attempted to make its own detailed estimates of the costs of violence</w:t>
      </w:r>
      <w:r w:rsidR="00AA1DA9">
        <w:t xml:space="preserve"> in 2014</w:t>
      </w:r>
      <w:r w:rsidR="00AA1DA9">
        <w:noBreakHyphen/>
        <w:t>15</w:t>
      </w:r>
      <w:r w:rsidR="00BE1DE6">
        <w:t xml:space="preserve">. </w:t>
      </w:r>
      <w:r w:rsidR="00BA0E55">
        <w:t>Rather</w:t>
      </w:r>
      <w:r w:rsidR="00BE1DE6">
        <w:t>,</w:t>
      </w:r>
      <w:r w:rsidR="00BA0E55">
        <w:t xml:space="preserve"> </w:t>
      </w:r>
      <w:r w:rsidR="00BE1DE6">
        <w:t xml:space="preserve">this Appendix has </w:t>
      </w:r>
      <w:r w:rsidR="00BA0E55">
        <w:t>used the Access Economics and KPMG studies to construct two possible bounds (‘lower’ and ‘upper’ estimates) to estimate the costs of family vi</w:t>
      </w:r>
      <w:r w:rsidR="00DA2B76">
        <w:t>olence in 2014</w:t>
      </w:r>
      <w:r w:rsidR="00DA2B76">
        <w:noBreakHyphen/>
        <w:t>15 (see table K.1</w:t>
      </w:r>
      <w:r>
        <w:t>).</w:t>
      </w:r>
    </w:p>
    <w:p w:rsidR="00BA0E55" w:rsidRDefault="00BA0E55" w:rsidP="00BA0E5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BA0E55" w:rsidTr="00301C7C">
        <w:tc>
          <w:tcPr>
            <w:tcW w:w="8771" w:type="dxa"/>
            <w:tcBorders>
              <w:top w:val="single" w:sz="6" w:space="0" w:color="78A22F" w:themeColor="accent1"/>
              <w:left w:val="nil"/>
              <w:bottom w:val="nil"/>
              <w:right w:val="nil"/>
            </w:tcBorders>
            <w:shd w:val="clear" w:color="auto" w:fill="auto"/>
          </w:tcPr>
          <w:p w:rsidR="00BA0E55" w:rsidRPr="00784A05" w:rsidRDefault="00BA0E55" w:rsidP="009106B9">
            <w:pPr>
              <w:pStyle w:val="TableTitle"/>
            </w:pPr>
            <w:r>
              <w:rPr>
                <w:b w:val="0"/>
              </w:rPr>
              <w:t xml:space="preserve">Table </w:t>
            </w:r>
            <w:r w:rsidR="0090750D">
              <w:rPr>
                <w:b w:val="0"/>
              </w:rPr>
              <w:t>K.</w:t>
            </w:r>
            <w:r w:rsidR="0090750D">
              <w:rPr>
                <w:b w:val="0"/>
                <w:noProof/>
              </w:rPr>
              <w:t>1</w:t>
            </w:r>
            <w:r>
              <w:tab/>
              <w:t>Estimating the annual cost to government of family violence</w:t>
            </w:r>
          </w:p>
        </w:tc>
      </w:tr>
      <w:tr w:rsidR="00BA0E55" w:rsidTr="00301C7C">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99"/>
              <w:gridCol w:w="1416"/>
              <w:gridCol w:w="1417"/>
              <w:gridCol w:w="1275"/>
              <w:gridCol w:w="1280"/>
            </w:tblGrid>
            <w:tr w:rsidR="00BA0E55" w:rsidTr="00301C7C">
              <w:tc>
                <w:tcPr>
                  <w:tcW w:w="1826" w:type="pct"/>
                  <w:tcBorders>
                    <w:top w:val="single" w:sz="6" w:space="0" w:color="BFBFBF" w:themeColor="background2"/>
                    <w:bottom w:val="single" w:sz="6" w:space="0" w:color="BFBFBF" w:themeColor="background2"/>
                  </w:tcBorders>
                  <w:shd w:val="clear" w:color="auto" w:fill="auto"/>
                  <w:tcMar>
                    <w:top w:w="28" w:type="dxa"/>
                  </w:tcMar>
                </w:tcPr>
                <w:p w:rsidR="00BA0E55" w:rsidRDefault="00BA0E55" w:rsidP="00301C7C">
                  <w:pPr>
                    <w:pStyle w:val="TableColumnHeading"/>
                    <w:jc w:val="left"/>
                  </w:pPr>
                </w:p>
              </w:tc>
              <w:tc>
                <w:tcPr>
                  <w:tcW w:w="834" w:type="pct"/>
                  <w:tcBorders>
                    <w:top w:val="single" w:sz="6" w:space="0" w:color="BFBFBF" w:themeColor="background2"/>
                    <w:bottom w:val="single" w:sz="6" w:space="0" w:color="BFBFBF" w:themeColor="background2"/>
                  </w:tcBorders>
                  <w:shd w:val="clear" w:color="auto" w:fill="auto"/>
                  <w:tcMar>
                    <w:top w:w="28" w:type="dxa"/>
                  </w:tcMar>
                </w:tcPr>
                <w:p w:rsidR="00BA0E55" w:rsidRDefault="00BA0E55" w:rsidP="00301C7C">
                  <w:pPr>
                    <w:pStyle w:val="TableColumnHeading"/>
                  </w:pPr>
                  <w:r>
                    <w:t>Access Economics</w:t>
                  </w:r>
                </w:p>
              </w:tc>
              <w:tc>
                <w:tcPr>
                  <w:tcW w:w="835" w:type="pct"/>
                  <w:tcBorders>
                    <w:top w:val="single" w:sz="6" w:space="0" w:color="BFBFBF" w:themeColor="background2"/>
                    <w:bottom w:val="single" w:sz="6" w:space="0" w:color="BFBFBF" w:themeColor="background2"/>
                  </w:tcBorders>
                  <w:shd w:val="clear" w:color="auto" w:fill="auto"/>
                  <w:tcMar>
                    <w:top w:w="28" w:type="dxa"/>
                  </w:tcMar>
                </w:tcPr>
                <w:p w:rsidR="00BA0E55" w:rsidRDefault="00BA0E55" w:rsidP="00301C7C">
                  <w:pPr>
                    <w:pStyle w:val="TableColumnHeading"/>
                    <w:ind w:right="28"/>
                  </w:pPr>
                  <w:r>
                    <w:t>KPMG</w:t>
                  </w:r>
                </w:p>
              </w:tc>
              <w:tc>
                <w:tcPr>
                  <w:tcW w:w="751" w:type="pct"/>
                  <w:tcBorders>
                    <w:top w:val="single" w:sz="6" w:space="0" w:color="BFBFBF" w:themeColor="background2"/>
                    <w:bottom w:val="single" w:sz="6" w:space="0" w:color="BFBFBF" w:themeColor="background2"/>
                  </w:tcBorders>
                </w:tcPr>
                <w:p w:rsidR="00BA0E55" w:rsidRDefault="00016B79" w:rsidP="00016B79">
                  <w:pPr>
                    <w:pStyle w:val="TableColumnHeading"/>
                    <w:ind w:right="28"/>
                  </w:pPr>
                  <w:r>
                    <w:t>PC l</w:t>
                  </w:r>
                  <w:r w:rsidR="00BA0E55">
                    <w:t xml:space="preserve">ower estimate </w:t>
                  </w:r>
                </w:p>
              </w:tc>
              <w:tc>
                <w:tcPr>
                  <w:tcW w:w="754" w:type="pct"/>
                  <w:tcBorders>
                    <w:top w:val="single" w:sz="6" w:space="0" w:color="BFBFBF" w:themeColor="background2"/>
                    <w:bottom w:val="single" w:sz="6" w:space="0" w:color="BFBFBF" w:themeColor="background2"/>
                  </w:tcBorders>
                </w:tcPr>
                <w:p w:rsidR="00BA0E55" w:rsidRDefault="00016B79" w:rsidP="00016B79">
                  <w:pPr>
                    <w:pStyle w:val="TableColumnHeading"/>
                    <w:ind w:right="28"/>
                  </w:pPr>
                  <w:r>
                    <w:t>PC u</w:t>
                  </w:r>
                  <w:r w:rsidR="00BA0E55">
                    <w:t>pper estimate</w:t>
                  </w:r>
                </w:p>
              </w:tc>
            </w:tr>
            <w:tr w:rsidR="00BA0E55" w:rsidTr="00301C7C">
              <w:tc>
                <w:tcPr>
                  <w:tcW w:w="1826" w:type="pct"/>
                  <w:tcBorders>
                    <w:top w:val="single" w:sz="6" w:space="0" w:color="BFBFBF" w:themeColor="background2"/>
                  </w:tcBorders>
                </w:tcPr>
                <w:p w:rsidR="00BA0E55" w:rsidRDefault="00BA0E55" w:rsidP="00301C7C">
                  <w:pPr>
                    <w:pStyle w:val="TableUnitsRow"/>
                    <w:jc w:val="left"/>
                  </w:pPr>
                </w:p>
              </w:tc>
              <w:tc>
                <w:tcPr>
                  <w:tcW w:w="834" w:type="pct"/>
                  <w:tcBorders>
                    <w:top w:val="single" w:sz="6" w:space="0" w:color="BFBFBF" w:themeColor="background2"/>
                  </w:tcBorders>
                </w:tcPr>
                <w:p w:rsidR="00BA0E55" w:rsidRDefault="00BA0E55" w:rsidP="00301C7C">
                  <w:pPr>
                    <w:pStyle w:val="TableUnitsRow"/>
                  </w:pPr>
                </w:p>
              </w:tc>
              <w:tc>
                <w:tcPr>
                  <w:tcW w:w="835" w:type="pct"/>
                  <w:tcBorders>
                    <w:top w:val="single" w:sz="6" w:space="0" w:color="BFBFBF" w:themeColor="background2"/>
                  </w:tcBorders>
                </w:tcPr>
                <w:p w:rsidR="00BA0E55" w:rsidRDefault="00BA0E55" w:rsidP="00301C7C">
                  <w:pPr>
                    <w:pStyle w:val="TableUnitsRow"/>
                    <w:ind w:right="28"/>
                  </w:pPr>
                </w:p>
              </w:tc>
              <w:tc>
                <w:tcPr>
                  <w:tcW w:w="751" w:type="pct"/>
                  <w:tcBorders>
                    <w:top w:val="single" w:sz="6" w:space="0" w:color="BFBFBF" w:themeColor="background2"/>
                  </w:tcBorders>
                </w:tcPr>
                <w:p w:rsidR="00BA0E55" w:rsidRDefault="00BA0E55" w:rsidP="00301C7C">
                  <w:pPr>
                    <w:pStyle w:val="TableUnitsRow"/>
                    <w:ind w:right="28"/>
                  </w:pPr>
                </w:p>
              </w:tc>
              <w:tc>
                <w:tcPr>
                  <w:tcW w:w="754" w:type="pct"/>
                  <w:tcBorders>
                    <w:top w:val="single" w:sz="6" w:space="0" w:color="BFBFBF" w:themeColor="background2"/>
                  </w:tcBorders>
                </w:tcPr>
                <w:p w:rsidR="00BA0E55" w:rsidRDefault="00BA0E55" w:rsidP="00301C7C">
                  <w:pPr>
                    <w:pStyle w:val="TableUnitsRow"/>
                    <w:ind w:right="28"/>
                  </w:pPr>
                </w:p>
              </w:tc>
            </w:tr>
            <w:tr w:rsidR="00BA0E55" w:rsidTr="00301C7C">
              <w:tc>
                <w:tcPr>
                  <w:tcW w:w="1826" w:type="pct"/>
                </w:tcPr>
                <w:p w:rsidR="00BA0E55" w:rsidRDefault="00BA0E55" w:rsidP="00301C7C">
                  <w:pPr>
                    <w:pStyle w:val="TableBodyText"/>
                    <w:jc w:val="left"/>
                  </w:pPr>
                  <w:r>
                    <w:t>Year</w:t>
                  </w:r>
                </w:p>
              </w:tc>
              <w:tc>
                <w:tcPr>
                  <w:tcW w:w="834" w:type="pct"/>
                </w:tcPr>
                <w:p w:rsidR="00BA0E55" w:rsidRDefault="00BA0E55" w:rsidP="00301C7C">
                  <w:pPr>
                    <w:pStyle w:val="TableBodyText"/>
                  </w:pPr>
                  <w:r>
                    <w:t>2002-03</w:t>
                  </w:r>
                </w:p>
              </w:tc>
              <w:tc>
                <w:tcPr>
                  <w:tcW w:w="835" w:type="pct"/>
                </w:tcPr>
                <w:p w:rsidR="00BA0E55" w:rsidRDefault="00BA0E55" w:rsidP="00301C7C">
                  <w:pPr>
                    <w:pStyle w:val="TableBodyText"/>
                    <w:ind w:right="28"/>
                  </w:pPr>
                  <w:r>
                    <w:t>2021</w:t>
                  </w:r>
                  <w:r>
                    <w:noBreakHyphen/>
                    <w:t>22</w:t>
                  </w:r>
                </w:p>
              </w:tc>
              <w:tc>
                <w:tcPr>
                  <w:tcW w:w="751" w:type="pct"/>
                </w:tcPr>
                <w:p w:rsidR="00BA0E55" w:rsidRDefault="00BA0E55" w:rsidP="00301C7C">
                  <w:pPr>
                    <w:pStyle w:val="TableBodyText"/>
                    <w:ind w:right="28"/>
                  </w:pPr>
                  <w:r>
                    <w:t>2014</w:t>
                  </w:r>
                  <w:r>
                    <w:noBreakHyphen/>
                    <w:t>15</w:t>
                  </w:r>
                </w:p>
              </w:tc>
              <w:tc>
                <w:tcPr>
                  <w:tcW w:w="754" w:type="pct"/>
                </w:tcPr>
                <w:p w:rsidR="00BA0E55" w:rsidRDefault="00BA0E55" w:rsidP="00301C7C">
                  <w:pPr>
                    <w:pStyle w:val="TableBodyText"/>
                    <w:ind w:right="28"/>
                  </w:pPr>
                  <w:r>
                    <w:t>2014</w:t>
                  </w:r>
                  <w:r>
                    <w:noBreakHyphen/>
                    <w:t>15</w:t>
                  </w:r>
                </w:p>
              </w:tc>
            </w:tr>
            <w:tr w:rsidR="00BA0E55" w:rsidTr="007F6546">
              <w:tc>
                <w:tcPr>
                  <w:tcW w:w="1826" w:type="pct"/>
                  <w:shd w:val="clear" w:color="auto" w:fill="auto"/>
                  <w:vAlign w:val="bottom"/>
                </w:tcPr>
                <w:p w:rsidR="00BA0E55" w:rsidRDefault="00BA0E55" w:rsidP="007F6546">
                  <w:pPr>
                    <w:pStyle w:val="TableBodyText"/>
                    <w:jc w:val="left"/>
                  </w:pPr>
                  <w:r>
                    <w:t>Cost to government</w:t>
                  </w:r>
                </w:p>
              </w:tc>
              <w:tc>
                <w:tcPr>
                  <w:tcW w:w="834" w:type="pct"/>
                  <w:shd w:val="clear" w:color="auto" w:fill="auto"/>
                  <w:vAlign w:val="bottom"/>
                </w:tcPr>
                <w:p w:rsidR="00BA0E55" w:rsidRDefault="00BA0E55" w:rsidP="007F6546">
                  <w:pPr>
                    <w:pStyle w:val="TableBodyText"/>
                  </w:pPr>
                  <w:r>
                    <w:t>$1.3 billion</w:t>
                  </w:r>
                  <w:r>
                    <w:rPr>
                      <w:rStyle w:val="NoteLabel"/>
                    </w:rPr>
                    <w:t>a</w:t>
                  </w:r>
                </w:p>
              </w:tc>
              <w:tc>
                <w:tcPr>
                  <w:tcW w:w="835" w:type="pct"/>
                  <w:shd w:val="clear" w:color="auto" w:fill="auto"/>
                  <w:vAlign w:val="bottom"/>
                </w:tcPr>
                <w:p w:rsidR="00BA0E55" w:rsidRDefault="00BA0E55" w:rsidP="007F6546">
                  <w:pPr>
                    <w:pStyle w:val="TableBodyText"/>
                    <w:ind w:right="28"/>
                  </w:pPr>
                  <w:r>
                    <w:t>$2.9 billion</w:t>
                  </w:r>
                </w:p>
              </w:tc>
              <w:tc>
                <w:tcPr>
                  <w:tcW w:w="751" w:type="pct"/>
                  <w:vAlign w:val="bottom"/>
                </w:tcPr>
                <w:p w:rsidR="00BA0E55" w:rsidRDefault="00BA0E55" w:rsidP="007F6546">
                  <w:pPr>
                    <w:pStyle w:val="TableBodyText"/>
                    <w:ind w:right="28"/>
                  </w:pPr>
                  <w:r>
                    <w:t>$1.8 billion</w:t>
                  </w:r>
                </w:p>
              </w:tc>
              <w:tc>
                <w:tcPr>
                  <w:tcW w:w="754" w:type="pct"/>
                  <w:vAlign w:val="bottom"/>
                </w:tcPr>
                <w:p w:rsidR="00BA0E55" w:rsidRDefault="00BA0E55" w:rsidP="007F6546">
                  <w:pPr>
                    <w:pStyle w:val="TableBodyText"/>
                    <w:ind w:right="28"/>
                  </w:pPr>
                  <w:r>
                    <w:t>$2.6 billion</w:t>
                  </w:r>
                </w:p>
              </w:tc>
            </w:tr>
            <w:tr w:rsidR="00BA0E55" w:rsidTr="00301C7C">
              <w:tc>
                <w:tcPr>
                  <w:tcW w:w="1826" w:type="pct"/>
                  <w:shd w:val="clear" w:color="auto" w:fill="auto"/>
                </w:tcPr>
                <w:p w:rsidR="00BA0E55" w:rsidRDefault="00BA0E55" w:rsidP="00301C7C">
                  <w:pPr>
                    <w:pStyle w:val="TableBodyText"/>
                    <w:jc w:val="left"/>
                  </w:pPr>
                  <w:r>
                    <w:t>Cost to society</w:t>
                  </w:r>
                </w:p>
              </w:tc>
              <w:tc>
                <w:tcPr>
                  <w:tcW w:w="834" w:type="pct"/>
                  <w:shd w:val="clear" w:color="auto" w:fill="auto"/>
                </w:tcPr>
                <w:p w:rsidR="00BA0E55" w:rsidRDefault="00BA0E55" w:rsidP="00301C7C">
                  <w:pPr>
                    <w:pStyle w:val="TableBodyText"/>
                  </w:pPr>
                  <w:r>
                    <w:t>$8.1 billion</w:t>
                  </w:r>
                </w:p>
              </w:tc>
              <w:tc>
                <w:tcPr>
                  <w:tcW w:w="835" w:type="pct"/>
                  <w:shd w:val="clear" w:color="auto" w:fill="auto"/>
                </w:tcPr>
                <w:p w:rsidR="00BA0E55" w:rsidRDefault="00BA0E55" w:rsidP="00301C7C">
                  <w:pPr>
                    <w:pStyle w:val="TableBodyText"/>
                    <w:ind w:right="28"/>
                  </w:pPr>
                  <w:r>
                    <w:t>$15.6 billion</w:t>
                  </w:r>
                </w:p>
              </w:tc>
              <w:tc>
                <w:tcPr>
                  <w:tcW w:w="751" w:type="pct"/>
                </w:tcPr>
                <w:p w:rsidR="00BA0E55" w:rsidRDefault="00BA0E55" w:rsidP="00301C7C">
                  <w:pPr>
                    <w:pStyle w:val="TableBodyText"/>
                    <w:ind w:right="28"/>
                  </w:pPr>
                  <w:r>
                    <w:t>$12.6 billion</w:t>
                  </w:r>
                </w:p>
              </w:tc>
              <w:tc>
                <w:tcPr>
                  <w:tcW w:w="754" w:type="pct"/>
                </w:tcPr>
                <w:p w:rsidR="00BA0E55" w:rsidRDefault="00BA0E55" w:rsidP="00301C7C">
                  <w:pPr>
                    <w:pStyle w:val="TableBodyText"/>
                    <w:ind w:right="28"/>
                  </w:pPr>
                  <w:r>
                    <w:t>$13.6 billion</w:t>
                  </w:r>
                </w:p>
              </w:tc>
            </w:tr>
            <w:tr w:rsidR="00BA0E55" w:rsidTr="00301C7C">
              <w:tc>
                <w:tcPr>
                  <w:tcW w:w="1826" w:type="pct"/>
                  <w:shd w:val="clear" w:color="auto" w:fill="auto"/>
                </w:tcPr>
                <w:p w:rsidR="00BA0E55" w:rsidRDefault="00BA0E55" w:rsidP="00301C7C">
                  <w:pPr>
                    <w:pStyle w:val="TableBodyText"/>
                    <w:jc w:val="left"/>
                  </w:pPr>
                  <w:r>
                    <w:t>Number of female victims</w:t>
                  </w:r>
                </w:p>
              </w:tc>
              <w:tc>
                <w:tcPr>
                  <w:tcW w:w="834" w:type="pct"/>
                  <w:shd w:val="clear" w:color="auto" w:fill="auto"/>
                </w:tcPr>
                <w:p w:rsidR="00BA0E55" w:rsidRDefault="00BA0E55" w:rsidP="00301C7C">
                  <w:pPr>
                    <w:pStyle w:val="TableBodyText"/>
                  </w:pPr>
                  <w:r>
                    <w:t>353 600</w:t>
                  </w:r>
                </w:p>
              </w:tc>
              <w:tc>
                <w:tcPr>
                  <w:tcW w:w="835" w:type="pct"/>
                  <w:shd w:val="clear" w:color="auto" w:fill="auto"/>
                </w:tcPr>
                <w:p w:rsidR="00BA0E55" w:rsidRDefault="00BA0E55" w:rsidP="00301C7C">
                  <w:pPr>
                    <w:pStyle w:val="TableBodyText"/>
                    <w:ind w:right="28"/>
                  </w:pPr>
                  <w:r w:rsidRPr="004B2551">
                    <w:t>385</w:t>
                  </w:r>
                  <w:r>
                    <w:t> </w:t>
                  </w:r>
                  <w:r w:rsidRPr="004B2551">
                    <w:t>426</w:t>
                  </w:r>
                </w:p>
              </w:tc>
              <w:tc>
                <w:tcPr>
                  <w:tcW w:w="751" w:type="pct"/>
                </w:tcPr>
                <w:p w:rsidR="00BA0E55" w:rsidRDefault="00BA0E55" w:rsidP="00301C7C">
                  <w:pPr>
                    <w:pStyle w:val="TableBodyText"/>
                    <w:ind w:right="28"/>
                  </w:pPr>
                  <w:r>
                    <w:t>360 000</w:t>
                  </w:r>
                </w:p>
              </w:tc>
              <w:tc>
                <w:tcPr>
                  <w:tcW w:w="754" w:type="pct"/>
                </w:tcPr>
                <w:p w:rsidR="00BA0E55" w:rsidRDefault="00BA0E55" w:rsidP="00301C7C">
                  <w:pPr>
                    <w:pStyle w:val="TableBodyText"/>
                    <w:ind w:right="28"/>
                  </w:pPr>
                  <w:r>
                    <w:t>370 000</w:t>
                  </w:r>
                </w:p>
              </w:tc>
            </w:tr>
            <w:tr w:rsidR="00BA0E55" w:rsidTr="00301C7C">
              <w:tc>
                <w:tcPr>
                  <w:tcW w:w="1826" w:type="pct"/>
                  <w:shd w:val="clear" w:color="auto" w:fill="auto"/>
                </w:tcPr>
                <w:p w:rsidR="00BA0E55" w:rsidRDefault="00BA0E55" w:rsidP="00301C7C">
                  <w:pPr>
                    <w:pStyle w:val="TableBodyText"/>
                    <w:jc w:val="left"/>
                  </w:pPr>
                  <w:r>
                    <w:t>Cost to government per victim</w:t>
                  </w:r>
                </w:p>
              </w:tc>
              <w:tc>
                <w:tcPr>
                  <w:tcW w:w="834" w:type="pct"/>
                  <w:shd w:val="clear" w:color="auto" w:fill="auto"/>
                </w:tcPr>
                <w:p w:rsidR="00BA0E55" w:rsidRDefault="00BA0E55" w:rsidP="00301C7C">
                  <w:pPr>
                    <w:pStyle w:val="TableBodyText"/>
                  </w:pPr>
                  <w:r>
                    <w:t>$3 270</w:t>
                  </w:r>
                </w:p>
              </w:tc>
              <w:tc>
                <w:tcPr>
                  <w:tcW w:w="835" w:type="pct"/>
                  <w:shd w:val="clear" w:color="auto" w:fill="auto"/>
                </w:tcPr>
                <w:p w:rsidR="00BA0E55" w:rsidRDefault="00BA0E55" w:rsidP="00301C7C">
                  <w:pPr>
                    <w:pStyle w:val="TableBodyText"/>
                    <w:ind w:right="28"/>
                  </w:pPr>
                  <w:r>
                    <w:t>$7 640</w:t>
                  </w:r>
                </w:p>
              </w:tc>
              <w:tc>
                <w:tcPr>
                  <w:tcW w:w="751" w:type="pct"/>
                </w:tcPr>
                <w:p w:rsidR="00BA0E55" w:rsidRDefault="00BA0E55" w:rsidP="00301C7C">
                  <w:pPr>
                    <w:pStyle w:val="TableBodyText"/>
                    <w:ind w:right="28"/>
                  </w:pPr>
                  <w:r>
                    <w:t>$5 000</w:t>
                  </w:r>
                </w:p>
              </w:tc>
              <w:tc>
                <w:tcPr>
                  <w:tcW w:w="754" w:type="pct"/>
                </w:tcPr>
                <w:p w:rsidR="00BA0E55" w:rsidRDefault="00BA0E55" w:rsidP="00301C7C">
                  <w:pPr>
                    <w:pStyle w:val="TableBodyText"/>
                    <w:ind w:right="28"/>
                  </w:pPr>
                  <w:r>
                    <w:t>$7 000</w:t>
                  </w:r>
                </w:p>
              </w:tc>
            </w:tr>
            <w:tr w:rsidR="00BA0E55" w:rsidTr="00301C7C">
              <w:tc>
                <w:tcPr>
                  <w:tcW w:w="1826" w:type="pct"/>
                  <w:tcBorders>
                    <w:bottom w:val="single" w:sz="6" w:space="0" w:color="C8C8C8"/>
                  </w:tcBorders>
                  <w:shd w:val="clear" w:color="auto" w:fill="auto"/>
                </w:tcPr>
                <w:p w:rsidR="00BA0E55" w:rsidRDefault="00BA0E55" w:rsidP="00301C7C">
                  <w:pPr>
                    <w:pStyle w:val="TableBodyText"/>
                    <w:jc w:val="left"/>
                  </w:pPr>
                  <w:r>
                    <w:t>Total social cost per victim</w:t>
                  </w:r>
                </w:p>
              </w:tc>
              <w:tc>
                <w:tcPr>
                  <w:tcW w:w="834" w:type="pct"/>
                  <w:tcBorders>
                    <w:bottom w:val="single" w:sz="6" w:space="0" w:color="C8C8C8"/>
                  </w:tcBorders>
                  <w:shd w:val="clear" w:color="auto" w:fill="auto"/>
                </w:tcPr>
                <w:p w:rsidR="00BA0E55" w:rsidRDefault="00BA0E55" w:rsidP="00301C7C">
                  <w:pPr>
                    <w:pStyle w:val="TableBodyText"/>
                  </w:pPr>
                  <w:r>
                    <w:t>$19 800</w:t>
                  </w:r>
                </w:p>
              </w:tc>
              <w:tc>
                <w:tcPr>
                  <w:tcW w:w="835" w:type="pct"/>
                  <w:tcBorders>
                    <w:bottom w:val="single" w:sz="6" w:space="0" w:color="C8C8C8"/>
                  </w:tcBorders>
                  <w:shd w:val="clear" w:color="auto" w:fill="auto"/>
                </w:tcPr>
                <w:p w:rsidR="00BA0E55" w:rsidRDefault="00BA0E55" w:rsidP="00301C7C">
                  <w:pPr>
                    <w:pStyle w:val="TableBodyText"/>
                    <w:ind w:right="28"/>
                  </w:pPr>
                  <w:r>
                    <w:t>$40 400</w:t>
                  </w:r>
                </w:p>
              </w:tc>
              <w:tc>
                <w:tcPr>
                  <w:tcW w:w="751" w:type="pct"/>
                  <w:tcBorders>
                    <w:bottom w:val="single" w:sz="6" w:space="0" w:color="C8C8C8"/>
                  </w:tcBorders>
                </w:tcPr>
                <w:p w:rsidR="00BA0E55" w:rsidRDefault="00BA0E55" w:rsidP="00301C7C">
                  <w:pPr>
                    <w:pStyle w:val="TableBodyText"/>
                    <w:ind w:right="28"/>
                  </w:pPr>
                  <w:r>
                    <w:t>$35 000</w:t>
                  </w:r>
                </w:p>
              </w:tc>
              <w:tc>
                <w:tcPr>
                  <w:tcW w:w="754" w:type="pct"/>
                  <w:tcBorders>
                    <w:bottom w:val="single" w:sz="6" w:space="0" w:color="C8C8C8"/>
                  </w:tcBorders>
                </w:tcPr>
                <w:p w:rsidR="00BA0E55" w:rsidRDefault="00BA0E55" w:rsidP="00301C7C">
                  <w:pPr>
                    <w:pStyle w:val="TableBodyText"/>
                    <w:ind w:right="28"/>
                  </w:pPr>
                  <w:r>
                    <w:t>$36 750</w:t>
                  </w:r>
                </w:p>
              </w:tc>
            </w:tr>
          </w:tbl>
          <w:p w:rsidR="00BA0E55" w:rsidRDefault="00BA0E55" w:rsidP="00301C7C">
            <w:pPr>
              <w:pStyle w:val="Box"/>
            </w:pPr>
          </w:p>
        </w:tc>
      </w:tr>
      <w:tr w:rsidR="00BA0E55" w:rsidTr="00301C7C">
        <w:trPr>
          <w:cantSplit/>
        </w:trPr>
        <w:tc>
          <w:tcPr>
            <w:tcW w:w="8771" w:type="dxa"/>
            <w:tcBorders>
              <w:top w:val="nil"/>
              <w:left w:val="nil"/>
              <w:bottom w:val="nil"/>
              <w:right w:val="nil"/>
            </w:tcBorders>
            <w:shd w:val="clear" w:color="auto" w:fill="auto"/>
          </w:tcPr>
          <w:p w:rsidR="00BA0E55" w:rsidRDefault="00BA0E55" w:rsidP="00C15B5B">
            <w:pPr>
              <w:pStyle w:val="Note"/>
              <w:rPr>
                <w:i/>
              </w:rPr>
            </w:pPr>
            <w:proofErr w:type="gramStart"/>
            <w:r w:rsidRPr="008E77FE">
              <w:rPr>
                <w:rStyle w:val="NoteLabel"/>
              </w:rPr>
              <w:t>a</w:t>
            </w:r>
            <w:proofErr w:type="gramEnd"/>
            <w:r>
              <w:t xml:space="preserve"> Calculated by combining the estimated costs to the </w:t>
            </w:r>
            <w:r w:rsidR="00C15B5B">
              <w:t>Australian</w:t>
            </w:r>
            <w:r>
              <w:t xml:space="preserve"> government of </w:t>
            </w:r>
            <w:r w:rsidRPr="00A1168B">
              <w:t>$848 million</w:t>
            </w:r>
            <w:r>
              <w:t xml:space="preserve"> and state and territory governments of </w:t>
            </w:r>
            <w:r w:rsidRPr="00A1168B">
              <w:t>$487 million</w:t>
            </w:r>
            <w:r w:rsidR="004A20C1">
              <w:t>.</w:t>
            </w:r>
          </w:p>
        </w:tc>
      </w:tr>
      <w:tr w:rsidR="00BA0E55" w:rsidTr="00301C7C">
        <w:trPr>
          <w:cantSplit/>
        </w:trPr>
        <w:tc>
          <w:tcPr>
            <w:tcW w:w="8771" w:type="dxa"/>
            <w:tcBorders>
              <w:top w:val="nil"/>
              <w:left w:val="nil"/>
              <w:bottom w:val="nil"/>
              <w:right w:val="nil"/>
            </w:tcBorders>
            <w:shd w:val="clear" w:color="auto" w:fill="auto"/>
          </w:tcPr>
          <w:p w:rsidR="00BA0E55" w:rsidRDefault="00DA2B76" w:rsidP="00DA2B76">
            <w:pPr>
              <w:pStyle w:val="Source"/>
            </w:pPr>
            <w:r>
              <w:rPr>
                <w:i/>
              </w:rPr>
              <w:t>Source</w:t>
            </w:r>
            <w:r w:rsidR="00BA0E55">
              <w:rPr>
                <w:i/>
              </w:rPr>
              <w:t>s</w:t>
            </w:r>
            <w:r w:rsidR="00BA0E55" w:rsidRPr="00167F06">
              <w:t xml:space="preserve">: </w:t>
            </w:r>
            <w:r>
              <w:t xml:space="preserve">Access Economics </w:t>
            </w:r>
            <w:r w:rsidRPr="00DA2B76">
              <w:rPr>
                <w:rFonts w:cs="Arial"/>
              </w:rPr>
              <w:t>(2004)</w:t>
            </w:r>
            <w:r>
              <w:t xml:space="preserve">; KPMG </w:t>
            </w:r>
            <w:r w:rsidRPr="00DA2B76">
              <w:rPr>
                <w:rFonts w:cs="Arial"/>
              </w:rPr>
              <w:t>(2009)</w:t>
            </w:r>
            <w:r>
              <w:t>; Productivity Commission estimates</w:t>
            </w:r>
            <w:r w:rsidR="00BA0E55">
              <w:t>.</w:t>
            </w:r>
          </w:p>
        </w:tc>
      </w:tr>
      <w:tr w:rsidR="00BA0E55" w:rsidTr="00301C7C">
        <w:trPr>
          <w:cantSplit/>
        </w:trPr>
        <w:tc>
          <w:tcPr>
            <w:tcW w:w="8771" w:type="dxa"/>
            <w:tcBorders>
              <w:top w:val="nil"/>
              <w:left w:val="nil"/>
              <w:bottom w:val="single" w:sz="6" w:space="0" w:color="78A22F" w:themeColor="accent1"/>
              <w:right w:val="nil"/>
            </w:tcBorders>
            <w:shd w:val="clear" w:color="auto" w:fill="auto"/>
          </w:tcPr>
          <w:p w:rsidR="00BA0E55" w:rsidRDefault="00BA0E55" w:rsidP="00301C7C">
            <w:pPr>
              <w:pStyle w:val="Box"/>
              <w:spacing w:before="0" w:line="120" w:lineRule="exact"/>
            </w:pPr>
          </w:p>
        </w:tc>
      </w:tr>
      <w:tr w:rsidR="00BA0E55" w:rsidRPr="000863A5" w:rsidTr="00301C7C">
        <w:tc>
          <w:tcPr>
            <w:tcW w:w="8771" w:type="dxa"/>
            <w:tcBorders>
              <w:top w:val="single" w:sz="6" w:space="0" w:color="78A22F" w:themeColor="accent1"/>
              <w:left w:val="nil"/>
              <w:bottom w:val="nil"/>
              <w:right w:val="nil"/>
            </w:tcBorders>
          </w:tcPr>
          <w:p w:rsidR="00BA0E55" w:rsidRPr="00626D32" w:rsidRDefault="00BA0E55" w:rsidP="00301C7C">
            <w:pPr>
              <w:pStyle w:val="BoxSpaceBelow"/>
            </w:pPr>
          </w:p>
        </w:tc>
      </w:tr>
    </w:tbl>
    <w:p w:rsidR="00BA0E55" w:rsidRDefault="00BA0E55" w:rsidP="00BA0E55">
      <w:pPr>
        <w:pStyle w:val="BodyText"/>
      </w:pPr>
      <w:r>
        <w:t xml:space="preserve">It </w:t>
      </w:r>
      <w:r w:rsidR="009F5A4B">
        <w:t xml:space="preserve">is </w:t>
      </w:r>
      <w:r w:rsidR="00942495">
        <w:t xml:space="preserve">also </w:t>
      </w:r>
      <w:r>
        <w:t xml:space="preserve">worth noting that the use of the Access Economics and KPMG estimates will lead to a small degree of ‘double counting’, as these estimates include some expenses associated with family violence — such as the cost of legal aid — which would still be incurred when legal assistance is provided to victims of family violence. However, given </w:t>
      </w:r>
      <w:r>
        <w:lastRenderedPageBreak/>
        <w:t>that such costs appear to be relatively negligible compared to the overall estimates, these are unlikely to substantially affect the results of such analysis.</w:t>
      </w:r>
    </w:p>
    <w:p w:rsidR="00D93327" w:rsidRDefault="00D93327" w:rsidP="00BA0E55">
      <w:pPr>
        <w:pStyle w:val="BodyText"/>
      </w:pPr>
      <w:r>
        <w:t>In the next section, the Commission has used its estimates of costs of family violence to the government and society overall, to approximate the costs that may be avoided where legal assistance with AVO applications may prevent further incidents of family violence.</w:t>
      </w:r>
    </w:p>
    <w:p w:rsidR="009B58EF" w:rsidRDefault="009B58EF" w:rsidP="009B58EF">
      <w:pPr>
        <w:pStyle w:val="Heading4"/>
      </w:pPr>
      <w:r>
        <w:t>What are the benefits of providing legal assistance for AVOs?</w:t>
      </w:r>
    </w:p>
    <w:p w:rsidR="009B58EF" w:rsidRDefault="002627A6" w:rsidP="009B58EF">
      <w:pPr>
        <w:pStyle w:val="BodyText"/>
      </w:pPr>
      <w:r>
        <w:t xml:space="preserve">Based on the evidence outlined above, the </w:t>
      </w:r>
      <w:r w:rsidR="00347A78">
        <w:t xml:space="preserve">Commission has constructed some illustrative estimates of the </w:t>
      </w:r>
      <w:r>
        <w:t xml:space="preserve">benefits of providing </w:t>
      </w:r>
      <w:r w:rsidR="00347A78">
        <w:t>duty lawyer services to people seeking AVOs in family violence matters.</w:t>
      </w:r>
      <w:r w:rsidR="005203F6">
        <w:t xml:space="preserve"> </w:t>
      </w:r>
      <w:r w:rsidR="008C5AA3">
        <w:t>The parameters used to construct these estimates have been based on the empirical literature outlined previously in this appendix. To account for uncertainty arising from a lack of empirical data collection by providers, the Commission has used a range of parameters to construct lower and upper bounds for its estimates.</w:t>
      </w:r>
    </w:p>
    <w:p w:rsidR="00347A78" w:rsidRDefault="00347A78" w:rsidP="009B58EF">
      <w:pPr>
        <w:pStyle w:val="BodyText"/>
      </w:pPr>
      <w:r>
        <w:t>For those who do receive duty lawyer assistance, the Commission has assumed, based on the literature outlined above, that the probability of successfully obtaining an AVO is increased by between 40 and 60 per cent.</w:t>
      </w:r>
      <w:r w:rsidR="008C5AA3">
        <w:t xml:space="preserve"> Based on the available evidence, the Commission has estimated that further </w:t>
      </w:r>
      <w:r w:rsidR="00160CED">
        <w:t xml:space="preserve">incidents of </w:t>
      </w:r>
      <w:r w:rsidR="008C5AA3">
        <w:t>violence would have occurred without an AVO in between 10 and 20 per cent of cases. The</w:t>
      </w:r>
      <w:r w:rsidR="00B158C1">
        <w:t>se</w:t>
      </w:r>
      <w:r w:rsidR="008C5AA3">
        <w:t xml:space="preserve"> parameters</w:t>
      </w:r>
      <w:r w:rsidR="00B158C1">
        <w:t xml:space="preserve"> for analysis,</w:t>
      </w:r>
      <w:r w:rsidR="008C5AA3">
        <w:t xml:space="preserve"> and</w:t>
      </w:r>
      <w:r w:rsidR="00B158C1">
        <w:t xml:space="preserve"> the resulting estimates of expected benefits,</w:t>
      </w:r>
      <w:r w:rsidR="008C5AA3">
        <w:t xml:space="preserve"> are set out in table K.</w:t>
      </w:r>
      <w:r w:rsidR="00DA2B76">
        <w:t>2</w:t>
      </w:r>
      <w:r w:rsidR="008C5AA3">
        <w:t>.</w:t>
      </w:r>
    </w:p>
    <w:p w:rsidR="009B58EF" w:rsidRDefault="009B58EF" w:rsidP="001E64F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9B58EF" w:rsidTr="001E64FB">
        <w:tc>
          <w:tcPr>
            <w:tcW w:w="8771" w:type="dxa"/>
            <w:tcBorders>
              <w:top w:val="single" w:sz="6" w:space="0" w:color="78A22F" w:themeColor="accent1"/>
              <w:left w:val="nil"/>
              <w:bottom w:val="nil"/>
              <w:right w:val="nil"/>
            </w:tcBorders>
            <w:shd w:val="clear" w:color="auto" w:fill="auto"/>
          </w:tcPr>
          <w:p w:rsidR="009B58EF" w:rsidRPr="00784A05" w:rsidRDefault="009B58EF" w:rsidP="00C1618D">
            <w:pPr>
              <w:pStyle w:val="TableTitle"/>
            </w:pPr>
            <w:r>
              <w:rPr>
                <w:b w:val="0"/>
              </w:rPr>
              <w:t xml:space="preserve">Table </w:t>
            </w:r>
            <w:r w:rsidR="0090750D">
              <w:rPr>
                <w:b w:val="0"/>
              </w:rPr>
              <w:t>K.</w:t>
            </w:r>
            <w:r w:rsidR="0090750D">
              <w:rPr>
                <w:b w:val="0"/>
                <w:noProof/>
              </w:rPr>
              <w:t>2</w:t>
            </w:r>
            <w:r>
              <w:tab/>
            </w:r>
            <w:r w:rsidR="007B5B81">
              <w:t>Estimating the benefits of providing legal assistance for Apprehended Violence Order applications</w:t>
            </w:r>
            <w:r w:rsidR="006E0A5C">
              <w:t xml:space="preserve"> in 2014</w:t>
            </w:r>
            <w:r w:rsidR="006E0A5C">
              <w:noBreakHyphen/>
              <w:t>15</w:t>
            </w:r>
            <w:r w:rsidR="00B95DBC">
              <w:t xml:space="preserve"> </w:t>
            </w:r>
          </w:p>
        </w:tc>
      </w:tr>
      <w:tr w:rsidR="009B58EF" w:rsidTr="001871DB">
        <w:trPr>
          <w:cantSplit/>
        </w:trPr>
        <w:tc>
          <w:tcPr>
            <w:tcW w:w="8771" w:type="dxa"/>
            <w:tcBorders>
              <w:top w:val="nil"/>
              <w:left w:val="nil"/>
              <w:bottom w:val="single" w:sz="6" w:space="0" w:color="C1C1C1"/>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58"/>
              <w:gridCol w:w="1607"/>
              <w:gridCol w:w="1611"/>
              <w:gridCol w:w="1611"/>
            </w:tblGrid>
            <w:tr w:rsidR="00B81E83" w:rsidTr="00D93BAC">
              <w:tc>
                <w:tcPr>
                  <w:tcW w:w="2155" w:type="pct"/>
                  <w:tcBorders>
                    <w:top w:val="single" w:sz="6" w:space="0" w:color="BFBFBF" w:themeColor="background2"/>
                    <w:bottom w:val="single" w:sz="6" w:space="0" w:color="BFBFBF" w:themeColor="background2"/>
                  </w:tcBorders>
                  <w:shd w:val="clear" w:color="auto" w:fill="auto"/>
                  <w:tcMar>
                    <w:top w:w="28" w:type="dxa"/>
                  </w:tcMar>
                </w:tcPr>
                <w:p w:rsidR="00B81E83" w:rsidRDefault="00B81E83" w:rsidP="001E64FB">
                  <w:pPr>
                    <w:pStyle w:val="TableColumnHeading"/>
                    <w:jc w:val="left"/>
                  </w:pPr>
                </w:p>
              </w:tc>
              <w:tc>
                <w:tcPr>
                  <w:tcW w:w="947" w:type="pct"/>
                  <w:tcBorders>
                    <w:top w:val="single" w:sz="6" w:space="0" w:color="BFBFBF" w:themeColor="background2"/>
                    <w:bottom w:val="single" w:sz="6" w:space="0" w:color="BFBFBF" w:themeColor="background2"/>
                  </w:tcBorders>
                  <w:shd w:val="clear" w:color="auto" w:fill="auto"/>
                  <w:tcMar>
                    <w:top w:w="28" w:type="dxa"/>
                  </w:tcMar>
                </w:tcPr>
                <w:p w:rsidR="00B81E83" w:rsidRDefault="00B81E83" w:rsidP="00297B7F">
                  <w:pPr>
                    <w:pStyle w:val="TableColumnHeading"/>
                    <w:ind w:right="28"/>
                  </w:pPr>
                  <w:r>
                    <w:t>Lower estimate</w:t>
                  </w:r>
                </w:p>
              </w:tc>
              <w:tc>
                <w:tcPr>
                  <w:tcW w:w="949" w:type="pct"/>
                  <w:tcBorders>
                    <w:top w:val="single" w:sz="6" w:space="0" w:color="BFBFBF" w:themeColor="background2"/>
                    <w:bottom w:val="single" w:sz="6" w:space="0" w:color="BFBFBF" w:themeColor="background2"/>
                  </w:tcBorders>
                </w:tcPr>
                <w:p w:rsidR="00B81E83" w:rsidRDefault="00B81E83" w:rsidP="001E64FB">
                  <w:pPr>
                    <w:pStyle w:val="TableColumnHeading"/>
                    <w:ind w:right="28"/>
                  </w:pPr>
                  <w:r>
                    <w:t>Average estimate</w:t>
                  </w:r>
                </w:p>
              </w:tc>
              <w:tc>
                <w:tcPr>
                  <w:tcW w:w="949" w:type="pct"/>
                  <w:tcBorders>
                    <w:top w:val="single" w:sz="6" w:space="0" w:color="BFBFBF" w:themeColor="background2"/>
                    <w:bottom w:val="single" w:sz="6" w:space="0" w:color="BFBFBF" w:themeColor="background2"/>
                  </w:tcBorders>
                  <w:shd w:val="clear" w:color="auto" w:fill="auto"/>
                  <w:tcMar>
                    <w:top w:w="28" w:type="dxa"/>
                  </w:tcMar>
                </w:tcPr>
                <w:p w:rsidR="00B81E83" w:rsidRDefault="00B81E83" w:rsidP="001E64FB">
                  <w:pPr>
                    <w:pStyle w:val="TableColumnHeading"/>
                    <w:ind w:right="28"/>
                  </w:pPr>
                  <w:r>
                    <w:t>Upper estimate</w:t>
                  </w:r>
                </w:p>
              </w:tc>
            </w:tr>
            <w:tr w:rsidR="00B81E83" w:rsidTr="00D93BAC">
              <w:tc>
                <w:tcPr>
                  <w:tcW w:w="2155" w:type="pct"/>
                  <w:tcBorders>
                    <w:top w:val="single" w:sz="6" w:space="0" w:color="BFBFBF" w:themeColor="background2"/>
                  </w:tcBorders>
                </w:tcPr>
                <w:p w:rsidR="00B81E83" w:rsidRPr="00B95DBC" w:rsidRDefault="00B81E83" w:rsidP="001E64FB">
                  <w:pPr>
                    <w:pStyle w:val="TableUnitsRow"/>
                    <w:jc w:val="left"/>
                    <w:rPr>
                      <w:b/>
                    </w:rPr>
                  </w:pPr>
                  <w:r>
                    <w:rPr>
                      <w:b/>
                    </w:rPr>
                    <w:t>Parameters</w:t>
                  </w:r>
                </w:p>
              </w:tc>
              <w:tc>
                <w:tcPr>
                  <w:tcW w:w="947" w:type="pct"/>
                  <w:tcBorders>
                    <w:top w:val="single" w:sz="6" w:space="0" w:color="BFBFBF" w:themeColor="background2"/>
                  </w:tcBorders>
                </w:tcPr>
                <w:p w:rsidR="00B81E83" w:rsidRDefault="00B81E83" w:rsidP="00297B7F">
                  <w:pPr>
                    <w:pStyle w:val="TableUnitsRow"/>
                    <w:ind w:right="28"/>
                  </w:pPr>
                </w:p>
              </w:tc>
              <w:tc>
                <w:tcPr>
                  <w:tcW w:w="949" w:type="pct"/>
                  <w:tcBorders>
                    <w:top w:val="single" w:sz="6" w:space="0" w:color="BFBFBF" w:themeColor="background2"/>
                  </w:tcBorders>
                </w:tcPr>
                <w:p w:rsidR="00B81E83" w:rsidRDefault="00B81E83" w:rsidP="001E64FB">
                  <w:pPr>
                    <w:pStyle w:val="TableUnitsRow"/>
                    <w:ind w:right="28"/>
                  </w:pPr>
                </w:p>
              </w:tc>
              <w:tc>
                <w:tcPr>
                  <w:tcW w:w="949" w:type="pct"/>
                  <w:tcBorders>
                    <w:top w:val="single" w:sz="6" w:space="0" w:color="BFBFBF" w:themeColor="background2"/>
                  </w:tcBorders>
                </w:tcPr>
                <w:p w:rsidR="00B81E83" w:rsidRDefault="00B81E83" w:rsidP="001E64FB">
                  <w:pPr>
                    <w:pStyle w:val="TableUnitsRow"/>
                    <w:ind w:right="28"/>
                  </w:pPr>
                </w:p>
              </w:tc>
            </w:tr>
            <w:tr w:rsidR="00D93BAC" w:rsidTr="00D93BAC">
              <w:tc>
                <w:tcPr>
                  <w:tcW w:w="2155" w:type="pct"/>
                </w:tcPr>
                <w:p w:rsidR="00D93BAC" w:rsidRDefault="00D93BAC" w:rsidP="001E64FB">
                  <w:pPr>
                    <w:pStyle w:val="TableBodyText"/>
                    <w:jc w:val="left"/>
                  </w:pPr>
                  <w:r>
                    <w:t>Cost to government</w:t>
                  </w:r>
                  <w:r w:rsidR="00AC6531">
                    <w:t>s</w:t>
                  </w:r>
                  <w:r>
                    <w:t xml:space="preserve"> per victim</w:t>
                  </w:r>
                </w:p>
              </w:tc>
              <w:tc>
                <w:tcPr>
                  <w:tcW w:w="947" w:type="pct"/>
                </w:tcPr>
                <w:p w:rsidR="00D93BAC" w:rsidRDefault="00D93BAC" w:rsidP="001E64FB">
                  <w:pPr>
                    <w:pStyle w:val="TableBodyText"/>
                    <w:ind w:right="28"/>
                  </w:pPr>
                  <w:r>
                    <w:t>$5 000</w:t>
                  </w:r>
                </w:p>
              </w:tc>
              <w:tc>
                <w:tcPr>
                  <w:tcW w:w="949" w:type="pct"/>
                </w:tcPr>
                <w:p w:rsidR="00D93BAC" w:rsidRDefault="00D93BAC" w:rsidP="001E64FB">
                  <w:pPr>
                    <w:pStyle w:val="TableBodyText"/>
                    <w:ind w:right="28"/>
                  </w:pPr>
                  <w:r>
                    <w:t>$6</w:t>
                  </w:r>
                  <w:r w:rsidR="00B95DBC">
                    <w:t> </w:t>
                  </w:r>
                  <w:r>
                    <w:t>000</w:t>
                  </w:r>
                </w:p>
              </w:tc>
              <w:tc>
                <w:tcPr>
                  <w:tcW w:w="949" w:type="pct"/>
                </w:tcPr>
                <w:p w:rsidR="00D93BAC" w:rsidRDefault="00D93BAC" w:rsidP="001E64FB">
                  <w:pPr>
                    <w:pStyle w:val="TableBodyText"/>
                    <w:ind w:right="28"/>
                  </w:pPr>
                  <w:r>
                    <w:t>$7 000</w:t>
                  </w:r>
                </w:p>
              </w:tc>
            </w:tr>
            <w:tr w:rsidR="00D93BAC" w:rsidTr="00D93BAC">
              <w:tc>
                <w:tcPr>
                  <w:tcW w:w="2155" w:type="pct"/>
                  <w:shd w:val="clear" w:color="auto" w:fill="auto"/>
                </w:tcPr>
                <w:p w:rsidR="00D93BAC" w:rsidRDefault="00D93BAC" w:rsidP="00AC6531">
                  <w:pPr>
                    <w:pStyle w:val="TableBodyText"/>
                    <w:jc w:val="left"/>
                  </w:pPr>
                  <w:r>
                    <w:t xml:space="preserve">Cost to </w:t>
                  </w:r>
                  <w:r w:rsidR="00AC6531">
                    <w:t>the community</w:t>
                  </w:r>
                  <w:r>
                    <w:t xml:space="preserve"> per victim</w:t>
                  </w:r>
                </w:p>
              </w:tc>
              <w:tc>
                <w:tcPr>
                  <w:tcW w:w="947" w:type="pct"/>
                  <w:shd w:val="clear" w:color="auto" w:fill="auto"/>
                </w:tcPr>
                <w:p w:rsidR="00D93BAC" w:rsidRDefault="00D93BAC" w:rsidP="001E64FB">
                  <w:pPr>
                    <w:pStyle w:val="TableBodyText"/>
                    <w:ind w:right="28"/>
                  </w:pPr>
                  <w:r>
                    <w:t>$35 000</w:t>
                  </w:r>
                </w:p>
              </w:tc>
              <w:tc>
                <w:tcPr>
                  <w:tcW w:w="949" w:type="pct"/>
                </w:tcPr>
                <w:p w:rsidR="00D93BAC" w:rsidRDefault="00D93BAC" w:rsidP="001E64FB">
                  <w:pPr>
                    <w:pStyle w:val="TableBodyText"/>
                    <w:ind w:right="28"/>
                  </w:pPr>
                  <w:r>
                    <w:t>$35</w:t>
                  </w:r>
                  <w:r w:rsidR="00B95DBC">
                    <w:t> </w:t>
                  </w:r>
                  <w:r>
                    <w:t>875</w:t>
                  </w:r>
                </w:p>
              </w:tc>
              <w:tc>
                <w:tcPr>
                  <w:tcW w:w="949" w:type="pct"/>
                  <w:shd w:val="clear" w:color="auto" w:fill="auto"/>
                </w:tcPr>
                <w:p w:rsidR="00D93BAC" w:rsidRDefault="00D93BAC" w:rsidP="001E64FB">
                  <w:pPr>
                    <w:pStyle w:val="TableBodyText"/>
                    <w:ind w:right="28"/>
                  </w:pPr>
                  <w:r>
                    <w:t>$36 750</w:t>
                  </w:r>
                </w:p>
              </w:tc>
            </w:tr>
            <w:tr w:rsidR="001F12E5" w:rsidTr="00D93BAC">
              <w:tc>
                <w:tcPr>
                  <w:tcW w:w="2155" w:type="pct"/>
                  <w:shd w:val="clear" w:color="auto" w:fill="auto"/>
                </w:tcPr>
                <w:p w:rsidR="001F12E5" w:rsidRDefault="001F12E5" w:rsidP="00DA6980">
                  <w:pPr>
                    <w:pStyle w:val="TableBodyText"/>
                    <w:jc w:val="left"/>
                  </w:pPr>
                  <w:r>
                    <w:t>Additional probability of obtaining an AVO with legal assistance</w:t>
                  </w:r>
                </w:p>
              </w:tc>
              <w:tc>
                <w:tcPr>
                  <w:tcW w:w="947" w:type="pct"/>
                  <w:shd w:val="clear" w:color="auto" w:fill="auto"/>
                </w:tcPr>
                <w:p w:rsidR="001F12E5" w:rsidRDefault="001F12E5" w:rsidP="00297B7F">
                  <w:pPr>
                    <w:pStyle w:val="TableBodyText"/>
                    <w:ind w:right="28"/>
                  </w:pPr>
                  <w:r>
                    <w:t>40 per cent</w:t>
                  </w:r>
                </w:p>
              </w:tc>
              <w:tc>
                <w:tcPr>
                  <w:tcW w:w="949" w:type="pct"/>
                </w:tcPr>
                <w:p w:rsidR="001F12E5" w:rsidRDefault="001F12E5" w:rsidP="001E64FB">
                  <w:pPr>
                    <w:pStyle w:val="TableBodyText"/>
                    <w:ind w:right="28"/>
                  </w:pPr>
                  <w:r>
                    <w:t>50 per cent</w:t>
                  </w:r>
                </w:p>
              </w:tc>
              <w:tc>
                <w:tcPr>
                  <w:tcW w:w="949" w:type="pct"/>
                  <w:shd w:val="clear" w:color="auto" w:fill="auto"/>
                </w:tcPr>
                <w:p w:rsidR="001F12E5" w:rsidRDefault="001F12E5" w:rsidP="001E64FB">
                  <w:pPr>
                    <w:pStyle w:val="TableBodyText"/>
                    <w:ind w:right="28"/>
                  </w:pPr>
                  <w:r>
                    <w:t>60 per cent</w:t>
                  </w:r>
                </w:p>
              </w:tc>
            </w:tr>
            <w:tr w:rsidR="001F12E5" w:rsidTr="00D93BAC">
              <w:tc>
                <w:tcPr>
                  <w:tcW w:w="2155" w:type="pct"/>
                  <w:shd w:val="clear" w:color="auto" w:fill="auto"/>
                </w:tcPr>
                <w:p w:rsidR="001F12E5" w:rsidRDefault="001F12E5" w:rsidP="00B95DBC">
                  <w:pPr>
                    <w:pStyle w:val="TableBodyText"/>
                    <w:jc w:val="left"/>
                  </w:pPr>
                  <w:r>
                    <w:t>Probability that an incident of violence will be avoided due to obtaining an AVO</w:t>
                  </w:r>
                </w:p>
              </w:tc>
              <w:tc>
                <w:tcPr>
                  <w:tcW w:w="947" w:type="pct"/>
                  <w:shd w:val="clear" w:color="auto" w:fill="auto"/>
                </w:tcPr>
                <w:p w:rsidR="001F12E5" w:rsidRDefault="001F12E5" w:rsidP="001F12E5">
                  <w:pPr>
                    <w:pStyle w:val="TableBodyText"/>
                    <w:ind w:right="28"/>
                  </w:pPr>
                  <w:r>
                    <w:t>10 per cent</w:t>
                  </w:r>
                </w:p>
              </w:tc>
              <w:tc>
                <w:tcPr>
                  <w:tcW w:w="949" w:type="pct"/>
                </w:tcPr>
                <w:p w:rsidR="001F12E5" w:rsidRDefault="001F12E5" w:rsidP="001E64FB">
                  <w:pPr>
                    <w:pStyle w:val="TableBodyText"/>
                    <w:ind w:right="28"/>
                  </w:pPr>
                  <w:r>
                    <w:t>15 per cent</w:t>
                  </w:r>
                </w:p>
              </w:tc>
              <w:tc>
                <w:tcPr>
                  <w:tcW w:w="949" w:type="pct"/>
                  <w:shd w:val="clear" w:color="auto" w:fill="auto"/>
                </w:tcPr>
                <w:p w:rsidR="001F12E5" w:rsidRDefault="001F12E5" w:rsidP="001E64FB">
                  <w:pPr>
                    <w:pStyle w:val="TableBodyText"/>
                    <w:ind w:right="28"/>
                  </w:pPr>
                  <w:r>
                    <w:t>20 per cent</w:t>
                  </w:r>
                </w:p>
              </w:tc>
            </w:tr>
            <w:tr w:rsidR="00B95DBC" w:rsidTr="00D93BAC">
              <w:tc>
                <w:tcPr>
                  <w:tcW w:w="2155" w:type="pct"/>
                  <w:shd w:val="clear" w:color="auto" w:fill="auto"/>
                </w:tcPr>
                <w:p w:rsidR="00B95DBC" w:rsidRPr="00B95DBC" w:rsidRDefault="00C333FF" w:rsidP="001E64FB">
                  <w:pPr>
                    <w:pStyle w:val="TableBodyText"/>
                    <w:jc w:val="left"/>
                    <w:rPr>
                      <w:b/>
                    </w:rPr>
                  </w:pPr>
                  <w:r>
                    <w:rPr>
                      <w:b/>
                    </w:rPr>
                    <w:t>Estimated benefits</w:t>
                  </w:r>
                </w:p>
              </w:tc>
              <w:tc>
                <w:tcPr>
                  <w:tcW w:w="947" w:type="pct"/>
                  <w:shd w:val="clear" w:color="auto" w:fill="auto"/>
                </w:tcPr>
                <w:p w:rsidR="00B95DBC" w:rsidRDefault="00B95DBC" w:rsidP="001E64FB">
                  <w:pPr>
                    <w:pStyle w:val="TableBodyText"/>
                  </w:pPr>
                </w:p>
              </w:tc>
              <w:tc>
                <w:tcPr>
                  <w:tcW w:w="949" w:type="pct"/>
                </w:tcPr>
                <w:p w:rsidR="00B95DBC" w:rsidRDefault="00B95DBC" w:rsidP="001E64FB">
                  <w:pPr>
                    <w:pStyle w:val="TableBodyText"/>
                    <w:ind w:right="28"/>
                  </w:pPr>
                </w:p>
              </w:tc>
              <w:tc>
                <w:tcPr>
                  <w:tcW w:w="949" w:type="pct"/>
                  <w:shd w:val="clear" w:color="auto" w:fill="auto"/>
                </w:tcPr>
                <w:p w:rsidR="00B95DBC" w:rsidRDefault="00B95DBC" w:rsidP="001E64FB">
                  <w:pPr>
                    <w:pStyle w:val="TableBodyText"/>
                    <w:ind w:right="28"/>
                  </w:pPr>
                </w:p>
              </w:tc>
            </w:tr>
            <w:tr w:rsidR="001F12E5" w:rsidTr="00D93BAC">
              <w:tc>
                <w:tcPr>
                  <w:tcW w:w="2155" w:type="pct"/>
                  <w:shd w:val="clear" w:color="auto" w:fill="auto"/>
                </w:tcPr>
                <w:p w:rsidR="001F12E5" w:rsidRDefault="001F12E5" w:rsidP="005361C4">
                  <w:pPr>
                    <w:pStyle w:val="TableBodyText"/>
                    <w:jc w:val="left"/>
                  </w:pPr>
                  <w:r>
                    <w:t>Expected avoided cost to government per instance of assistance for an AVO application</w:t>
                  </w:r>
                </w:p>
              </w:tc>
              <w:tc>
                <w:tcPr>
                  <w:tcW w:w="947" w:type="pct"/>
                  <w:shd w:val="clear" w:color="auto" w:fill="auto"/>
                </w:tcPr>
                <w:p w:rsidR="001F12E5" w:rsidRDefault="001F12E5" w:rsidP="001F12E5">
                  <w:pPr>
                    <w:pStyle w:val="TableBodyText"/>
                    <w:ind w:right="28"/>
                  </w:pPr>
                  <w:r>
                    <w:t>$200</w:t>
                  </w:r>
                </w:p>
              </w:tc>
              <w:tc>
                <w:tcPr>
                  <w:tcW w:w="949" w:type="pct"/>
                </w:tcPr>
                <w:p w:rsidR="001F12E5" w:rsidRDefault="001F12E5" w:rsidP="001E64FB">
                  <w:pPr>
                    <w:pStyle w:val="TableBodyText"/>
                    <w:ind w:right="28"/>
                  </w:pPr>
                  <w:r>
                    <w:t>$450</w:t>
                  </w:r>
                </w:p>
              </w:tc>
              <w:tc>
                <w:tcPr>
                  <w:tcW w:w="949" w:type="pct"/>
                  <w:shd w:val="clear" w:color="auto" w:fill="auto"/>
                </w:tcPr>
                <w:p w:rsidR="001F12E5" w:rsidRDefault="001F12E5" w:rsidP="001E64FB">
                  <w:pPr>
                    <w:pStyle w:val="TableBodyText"/>
                    <w:ind w:right="28"/>
                  </w:pPr>
                  <w:r>
                    <w:t>$840</w:t>
                  </w:r>
                </w:p>
              </w:tc>
            </w:tr>
            <w:tr w:rsidR="001F12E5" w:rsidTr="00D93BAC">
              <w:tc>
                <w:tcPr>
                  <w:tcW w:w="2155" w:type="pct"/>
                  <w:shd w:val="clear" w:color="auto" w:fill="auto"/>
                </w:tcPr>
                <w:p w:rsidR="001F12E5" w:rsidRDefault="001F12E5" w:rsidP="005361C4">
                  <w:pPr>
                    <w:pStyle w:val="TableBodyText"/>
                    <w:jc w:val="left"/>
                  </w:pPr>
                  <w:r>
                    <w:t>Expected avoided cost to society per instance of assistance for an AVO application</w:t>
                  </w:r>
                </w:p>
              </w:tc>
              <w:tc>
                <w:tcPr>
                  <w:tcW w:w="947" w:type="pct"/>
                  <w:shd w:val="clear" w:color="auto" w:fill="auto"/>
                </w:tcPr>
                <w:p w:rsidR="001F12E5" w:rsidRDefault="001F12E5" w:rsidP="00297B7F">
                  <w:pPr>
                    <w:pStyle w:val="TableBodyText"/>
                    <w:ind w:right="28"/>
                  </w:pPr>
                  <w:r>
                    <w:t>$1 400</w:t>
                  </w:r>
                </w:p>
              </w:tc>
              <w:tc>
                <w:tcPr>
                  <w:tcW w:w="949" w:type="pct"/>
                </w:tcPr>
                <w:p w:rsidR="001F12E5" w:rsidRDefault="001F12E5" w:rsidP="001E64FB">
                  <w:pPr>
                    <w:pStyle w:val="TableBodyText"/>
                    <w:ind w:right="28"/>
                  </w:pPr>
                  <w:r>
                    <w:t>$2 690</w:t>
                  </w:r>
                </w:p>
              </w:tc>
              <w:tc>
                <w:tcPr>
                  <w:tcW w:w="949" w:type="pct"/>
                  <w:shd w:val="clear" w:color="auto" w:fill="auto"/>
                </w:tcPr>
                <w:p w:rsidR="001F12E5" w:rsidRDefault="001F12E5" w:rsidP="001E64FB">
                  <w:pPr>
                    <w:pStyle w:val="TableBodyText"/>
                    <w:ind w:right="28"/>
                  </w:pPr>
                  <w:r>
                    <w:t>$4 410</w:t>
                  </w:r>
                </w:p>
              </w:tc>
            </w:tr>
          </w:tbl>
          <w:p w:rsidR="009B58EF" w:rsidRDefault="009B58EF" w:rsidP="001E64FB">
            <w:pPr>
              <w:pStyle w:val="Box"/>
            </w:pPr>
          </w:p>
        </w:tc>
      </w:tr>
      <w:tr w:rsidR="009B58EF" w:rsidTr="001871DB">
        <w:trPr>
          <w:cantSplit/>
        </w:trPr>
        <w:tc>
          <w:tcPr>
            <w:tcW w:w="8771" w:type="dxa"/>
            <w:tcBorders>
              <w:top w:val="single" w:sz="6" w:space="0" w:color="C1C1C1"/>
              <w:left w:val="nil"/>
              <w:bottom w:val="nil"/>
              <w:right w:val="nil"/>
            </w:tcBorders>
            <w:shd w:val="clear" w:color="auto" w:fill="auto"/>
          </w:tcPr>
          <w:p w:rsidR="009B58EF" w:rsidRDefault="004F3CCF" w:rsidP="004F3CCF">
            <w:pPr>
              <w:pStyle w:val="Source"/>
            </w:pPr>
            <w:r>
              <w:rPr>
                <w:i/>
              </w:rPr>
              <w:t>Source</w:t>
            </w:r>
            <w:r w:rsidR="009B58EF" w:rsidRPr="00167F06">
              <w:t>:</w:t>
            </w:r>
            <w:r>
              <w:t xml:space="preserve"> </w:t>
            </w:r>
            <w:r w:rsidR="00A12765">
              <w:t>Productivity Commission estimates</w:t>
            </w:r>
            <w:r w:rsidR="009B58EF">
              <w:t>.</w:t>
            </w:r>
          </w:p>
        </w:tc>
      </w:tr>
      <w:tr w:rsidR="009B58EF" w:rsidTr="001E64FB">
        <w:trPr>
          <w:cantSplit/>
        </w:trPr>
        <w:tc>
          <w:tcPr>
            <w:tcW w:w="8771" w:type="dxa"/>
            <w:tcBorders>
              <w:top w:val="nil"/>
              <w:left w:val="nil"/>
              <w:bottom w:val="single" w:sz="6" w:space="0" w:color="78A22F" w:themeColor="accent1"/>
              <w:right w:val="nil"/>
            </w:tcBorders>
            <w:shd w:val="clear" w:color="auto" w:fill="auto"/>
          </w:tcPr>
          <w:p w:rsidR="009B58EF" w:rsidRDefault="009B58EF" w:rsidP="001E64FB">
            <w:pPr>
              <w:pStyle w:val="Box"/>
              <w:spacing w:before="0" w:line="120" w:lineRule="exact"/>
            </w:pPr>
          </w:p>
        </w:tc>
      </w:tr>
      <w:tr w:rsidR="009B58EF" w:rsidRPr="000863A5" w:rsidTr="001E64FB">
        <w:tc>
          <w:tcPr>
            <w:tcW w:w="8771" w:type="dxa"/>
            <w:tcBorders>
              <w:top w:val="single" w:sz="6" w:space="0" w:color="78A22F" w:themeColor="accent1"/>
              <w:left w:val="nil"/>
              <w:bottom w:val="nil"/>
              <w:right w:val="nil"/>
            </w:tcBorders>
          </w:tcPr>
          <w:p w:rsidR="009B58EF" w:rsidRPr="00626D32" w:rsidRDefault="009B58EF" w:rsidP="001E64FB">
            <w:pPr>
              <w:pStyle w:val="BoxSpaceBelow"/>
            </w:pPr>
          </w:p>
        </w:tc>
      </w:tr>
    </w:tbl>
    <w:p w:rsidR="00A774F3" w:rsidRDefault="00A774F3" w:rsidP="00A774F3">
      <w:pPr>
        <w:pStyle w:val="BodyText"/>
      </w:pPr>
      <w:r>
        <w:t>The above estimates suggest that the expected benefits to the wider community from providing assistance with family viol</w:t>
      </w:r>
      <w:r w:rsidR="00FA39D6">
        <w:t>ence matters may b</w:t>
      </w:r>
      <w:r w:rsidR="004F163F">
        <w:t>e substantial — ranging from $1400 per case to more than $4</w:t>
      </w:r>
      <w:r w:rsidR="00FA39D6">
        <w:t>400 per case, depending on the parameter values chosen.</w:t>
      </w:r>
      <w:r w:rsidR="00301C7C">
        <w:t xml:space="preserve"> </w:t>
      </w:r>
      <w:r w:rsidR="00301C7C">
        <w:lastRenderedPageBreak/>
        <w:t>However, e</w:t>
      </w:r>
      <w:r>
        <w:t>ven if the significant potential benefits to the whole community — including victims of family violence — are overlooked, the above results suggest that funding legal assistance in these matters is</w:t>
      </w:r>
      <w:r w:rsidR="00FA39D6">
        <w:t xml:space="preserve"> likely to be</w:t>
      </w:r>
      <w:r>
        <w:t xml:space="preserve"> </w:t>
      </w:r>
      <w:r w:rsidR="00026AAD">
        <w:t>justified</w:t>
      </w:r>
      <w:r>
        <w:t xml:space="preserve"> from a </w:t>
      </w:r>
      <w:r w:rsidR="00301C7C">
        <w:t>budgetary</w:t>
      </w:r>
      <w:r>
        <w:t xml:space="preserve"> perspective</w:t>
      </w:r>
      <w:r w:rsidR="00125498">
        <w:t xml:space="preserve"> alone</w:t>
      </w:r>
      <w:r>
        <w:t>. The Commission has estimated that providing duty lawyer assistance for AVOs may, on average, generate expected savings to government of approximately $450 per case (noting that this figure may range b</w:t>
      </w:r>
      <w:r w:rsidR="0012732D">
        <w:t xml:space="preserve">etween $200 and $840, </w:t>
      </w:r>
      <w:r>
        <w:t xml:space="preserve">depending on the assumptions adopted). </w:t>
      </w:r>
      <w:r w:rsidR="009331B2">
        <w:t xml:space="preserve">Based on cost data </w:t>
      </w:r>
      <w:r w:rsidR="0017473A">
        <w:t>from legal assistance providers, t</w:t>
      </w:r>
      <w:r w:rsidR="00921F95">
        <w:t xml:space="preserve">his is </w:t>
      </w:r>
      <w:r>
        <w:t xml:space="preserve">likely to more than offset the cost of providing </w:t>
      </w:r>
      <w:r w:rsidR="00921F95">
        <w:t>a duty lawyer</w:t>
      </w:r>
      <w:r>
        <w:t xml:space="preserve"> in </w:t>
      </w:r>
      <w:r w:rsidR="00921F95">
        <w:t>each</w:t>
      </w:r>
      <w:r>
        <w:t xml:space="preserve"> </w:t>
      </w:r>
      <w:r w:rsidR="00921F95">
        <w:t>case</w:t>
      </w:r>
      <w:r w:rsidR="002153AB">
        <w:t xml:space="preserve"> </w:t>
      </w:r>
      <w:r w:rsidR="007E6BDC">
        <w:t>(chapter </w:t>
      </w:r>
      <w:r w:rsidR="009331B2">
        <w:t>14</w:t>
      </w:r>
      <w:r w:rsidR="007E6BDC">
        <w:t>)</w:t>
      </w:r>
      <w:r w:rsidR="00921F95">
        <w:t>.</w:t>
      </w:r>
    </w:p>
    <w:p w:rsidR="001C536D" w:rsidRDefault="00EE6B5F" w:rsidP="00A20DA8">
      <w:pPr>
        <w:pStyle w:val="BodyText"/>
      </w:pPr>
      <w:r>
        <w:t>A</w:t>
      </w:r>
      <w:r w:rsidR="00E95A78">
        <w:t xml:space="preserve">nother </w:t>
      </w:r>
      <w:r w:rsidR="00FF6505">
        <w:t>implication</w:t>
      </w:r>
      <w:r>
        <w:t xml:space="preserve"> from th</w:t>
      </w:r>
      <w:r w:rsidR="00FF6505">
        <w:t>is</w:t>
      </w:r>
      <w:r>
        <w:t xml:space="preserve"> analysis is </w:t>
      </w:r>
      <w:r w:rsidR="00AC6531">
        <w:t xml:space="preserve">that the </w:t>
      </w:r>
      <w:r>
        <w:t>estimated benefits</w:t>
      </w:r>
      <w:r w:rsidR="00AC6531">
        <w:t xml:space="preserve"> vary</w:t>
      </w:r>
      <w:r w:rsidR="008D6E7B">
        <w:t xml:space="preserve"> widely based on the parameters that are used — this</w:t>
      </w:r>
      <w:r w:rsidR="00921F95">
        <w:t xml:space="preserve"> illustrates the sensitivity of such </w:t>
      </w:r>
      <w:r w:rsidR="00653347">
        <w:t>approaches</w:t>
      </w:r>
      <w:r w:rsidR="008D6E7B">
        <w:t>, and the vulnerability</w:t>
      </w:r>
      <w:r w:rsidR="00921F95">
        <w:t xml:space="preserve"> of these results</w:t>
      </w:r>
      <w:r w:rsidR="008D6E7B">
        <w:t xml:space="preserve"> to being skewed by spurious assumptions.</w:t>
      </w:r>
      <w:r>
        <w:t xml:space="preserve"> </w:t>
      </w:r>
      <w:r w:rsidR="00FC0109">
        <w:t xml:space="preserve">While </w:t>
      </w:r>
      <w:r>
        <w:t xml:space="preserve">the </w:t>
      </w:r>
      <w:r w:rsidR="00921F95">
        <w:t>above parameters</w:t>
      </w:r>
      <w:r w:rsidR="00FC0109">
        <w:t xml:space="preserve"> have been </w:t>
      </w:r>
      <w:r w:rsidR="00E47B3B">
        <w:t>informed</w:t>
      </w:r>
      <w:r w:rsidR="00FC0109">
        <w:t xml:space="preserve"> where possible by existing studies into family violence and legal representation, they remain imperfect approximations in the absence of a consistent evidence base. The Commission has made numerous recommendations to improve the collection of relevant and consistent data in the civil justice system (chapter</w:t>
      </w:r>
      <w:r w:rsidR="008C1C9F">
        <w:t> </w:t>
      </w:r>
      <w:r w:rsidR="00FC0109">
        <w:t xml:space="preserve">25). Without improved data collection, the reliability of such analysis will continue to be limited by a lack of evidence, and the </w:t>
      </w:r>
      <w:r w:rsidR="008100FB">
        <w:t xml:space="preserve">benefits of legal assistance </w:t>
      </w:r>
      <w:r w:rsidR="00FC0109">
        <w:t xml:space="preserve">will continue to be poorly </w:t>
      </w:r>
      <w:r w:rsidR="00392B09">
        <w:t>quantified</w:t>
      </w:r>
      <w:r w:rsidR="00FC0109">
        <w:t>.</w:t>
      </w:r>
    </w:p>
    <w:p w:rsidR="00A20DA8" w:rsidRDefault="0090750D" w:rsidP="00A20DA8">
      <w:pPr>
        <w:pStyle w:val="Heading2"/>
      </w:pPr>
      <w:r>
        <w:t>K.</w:t>
      </w:r>
      <w:r>
        <w:rPr>
          <w:noProof/>
        </w:rPr>
        <w:t>3</w:t>
      </w:r>
      <w:r w:rsidR="00230A59">
        <w:tab/>
      </w:r>
      <w:r w:rsidR="009A0B42">
        <w:t xml:space="preserve">Do </w:t>
      </w:r>
      <w:r w:rsidR="007C33C9">
        <w:t>the costs of self</w:t>
      </w:r>
      <w:r w:rsidR="007C33C9">
        <w:noBreakHyphen/>
        <w:t xml:space="preserve">represented litigants </w:t>
      </w:r>
      <w:r w:rsidR="009A0B42">
        <w:t>justify legal assistance funding</w:t>
      </w:r>
      <w:r w:rsidR="00A20DA8">
        <w:t>?</w:t>
      </w:r>
    </w:p>
    <w:p w:rsidR="0022692E" w:rsidRDefault="00780034" w:rsidP="00A20DA8">
      <w:pPr>
        <w:pStyle w:val="BodyText"/>
      </w:pPr>
      <w:r>
        <w:t>I</w:t>
      </w:r>
      <w:r w:rsidR="00A20DA8">
        <w:t xml:space="preserve">t is </w:t>
      </w:r>
      <w:r>
        <w:t>often</w:t>
      </w:r>
      <w:r w:rsidR="00A20DA8">
        <w:t xml:space="preserve"> </w:t>
      </w:r>
      <w:r>
        <w:t>suggested</w:t>
      </w:r>
      <w:r w:rsidR="00A20DA8">
        <w:t xml:space="preserve"> that</w:t>
      </w:r>
      <w:r>
        <w:t xml:space="preserve"> self-represented litigants (SRLs) can impose a resource burden on the courts and the legal process</w:t>
      </w:r>
      <w:r w:rsidR="00E94631">
        <w:t xml:space="preserve"> —</w:t>
      </w:r>
      <w:r w:rsidR="00F71241">
        <w:t xml:space="preserve"> </w:t>
      </w:r>
      <w:r w:rsidR="00E94631">
        <w:t xml:space="preserve">and </w:t>
      </w:r>
      <w:r w:rsidR="00F71241">
        <w:t xml:space="preserve">especially </w:t>
      </w:r>
      <w:r w:rsidR="00E94631">
        <w:t xml:space="preserve">so </w:t>
      </w:r>
      <w:r w:rsidR="00F71241">
        <w:t>in superior courts</w:t>
      </w:r>
      <w:r w:rsidR="00E94631">
        <w:t>,</w:t>
      </w:r>
      <w:r w:rsidR="00F71241">
        <w:t xml:space="preserve"> where procedures generally operate on the assumption that parties are represented</w:t>
      </w:r>
      <w:r>
        <w:t xml:space="preserve"> (chapter 14). </w:t>
      </w:r>
      <w:r w:rsidR="00A20DA8">
        <w:t>Some have</w:t>
      </w:r>
      <w:r>
        <w:t xml:space="preserve"> thus</w:t>
      </w:r>
      <w:r w:rsidR="00A20DA8">
        <w:t xml:space="preserve"> argued that providing publicly-funded legal representation can save the government money through </w:t>
      </w:r>
      <w:r w:rsidR="0022692E">
        <w:t>more expedient court processes.</w:t>
      </w:r>
    </w:p>
    <w:p w:rsidR="00A20DA8" w:rsidRDefault="0022692E" w:rsidP="00A20DA8">
      <w:pPr>
        <w:pStyle w:val="BodyText"/>
      </w:pPr>
      <w:r>
        <w:t xml:space="preserve">Numerous stakeholders to this inquiry </w:t>
      </w:r>
      <w:r w:rsidR="00A062CF">
        <w:t xml:space="preserve">have </w:t>
      </w:r>
      <w:r>
        <w:t>pointed to PricewaterhouseCoopers</w:t>
      </w:r>
      <w:r w:rsidR="009F7CBF">
        <w:t>’</w:t>
      </w:r>
      <w:r>
        <w:t xml:space="preserve"> (PwC) </w:t>
      </w:r>
      <w:r w:rsidR="009F7CBF">
        <w:t xml:space="preserve">report </w:t>
      </w:r>
      <w:r w:rsidR="009F7CBF">
        <w:rPr>
          <w:i/>
        </w:rPr>
        <w:t xml:space="preserve">The Economic Value of Legal Aid </w:t>
      </w:r>
      <w:r>
        <w:t>as evidence of the benefits of legal aid funding (Law Council of Australia, sub. 96, sub. </w:t>
      </w:r>
      <w:proofErr w:type="gramStart"/>
      <w:r>
        <w:t>DR266; Law Institute of Victoria, sub.</w:t>
      </w:r>
      <w:proofErr w:type="gramEnd"/>
      <w:r>
        <w:t> DR221; Law Society of Western Australia, trans.</w:t>
      </w:r>
      <w:r w:rsidR="009F7CBF">
        <w:t>, p.</w:t>
      </w:r>
      <w:r>
        <w:t> 489). This report</w:t>
      </w:r>
      <w:r w:rsidR="00A20DA8">
        <w:t xml:space="preserve"> focused on quantifying the benefit</w:t>
      </w:r>
      <w:r>
        <w:t>s</w:t>
      </w:r>
      <w:r w:rsidR="00A20DA8">
        <w:t xml:space="preserve"> of </w:t>
      </w:r>
      <w:r w:rsidR="00870B23">
        <w:t>such</w:t>
      </w:r>
      <w:r>
        <w:t xml:space="preserve"> efficiency gains, </w:t>
      </w:r>
      <w:r w:rsidR="00870B23">
        <w:t>and concluded</w:t>
      </w:r>
      <w:r>
        <w:t xml:space="preserve"> </w:t>
      </w:r>
      <w:r w:rsidR="00A20DA8">
        <w:t>that there are net efficiency benefits  — with a reported benefit-cost ratio of 1.60 to 2.25 — from providing the existing legal aid service mix of Family Court representation, duty lawyers and family dispute resolution</w:t>
      </w:r>
      <w:r w:rsidR="00150939">
        <w:t xml:space="preserve"> (FDR)</w:t>
      </w:r>
      <w:r w:rsidR="00A20DA8">
        <w:t xml:space="preserve"> services</w:t>
      </w:r>
      <w:r>
        <w:t xml:space="preserve"> </w:t>
      </w:r>
      <w:r w:rsidRPr="0022692E">
        <w:rPr>
          <w:szCs w:val="24"/>
        </w:rPr>
        <w:t>(PwC 2009)</w:t>
      </w:r>
      <w:r w:rsidR="00A20DA8">
        <w:t>.</w:t>
      </w:r>
    </w:p>
    <w:p w:rsidR="00A20DA8" w:rsidRDefault="00A20DA8" w:rsidP="00A20DA8">
      <w:pPr>
        <w:pStyle w:val="BodyText"/>
      </w:pPr>
      <w:r>
        <w:t>However, in the Commission’s view, the PwC report does not</w:t>
      </w:r>
      <w:r w:rsidR="00A062CF">
        <w:t>,</w:t>
      </w:r>
      <w:r>
        <w:t xml:space="preserve"> in and of itself</w:t>
      </w:r>
      <w:r w:rsidR="00A062CF">
        <w:t>,</w:t>
      </w:r>
      <w:r>
        <w:t xml:space="preserve"> provide a compelling case for the benefits of legal assistance for two main reasons:</w:t>
      </w:r>
    </w:p>
    <w:p w:rsidR="00A20DA8" w:rsidRDefault="00A20DA8" w:rsidP="00A20DA8">
      <w:pPr>
        <w:pStyle w:val="ListBullet"/>
      </w:pPr>
      <w:r>
        <w:t>the findings of PwC</w:t>
      </w:r>
      <w:r w:rsidR="00491D3F">
        <w:t>’s analysis rest largely upon a</w:t>
      </w:r>
      <w:r w:rsidR="003074F7">
        <w:t>n</w:t>
      </w:r>
      <w:r>
        <w:t xml:space="preserve"> assumption regarding the inefficiency of SRLs</w:t>
      </w:r>
      <w:r w:rsidR="003074F7">
        <w:t xml:space="preserve"> which may not be generally applicable</w:t>
      </w:r>
    </w:p>
    <w:p w:rsidR="00A20DA8" w:rsidRDefault="00A20DA8" w:rsidP="00A20DA8">
      <w:pPr>
        <w:pStyle w:val="ListBullet"/>
      </w:pPr>
      <w:proofErr w:type="gramStart"/>
      <w:r>
        <w:t>the</w:t>
      </w:r>
      <w:proofErr w:type="gramEnd"/>
      <w:r>
        <w:t xml:space="preserve"> figures contained within the report indicate that legal </w:t>
      </w:r>
      <w:r w:rsidR="004227EC">
        <w:t xml:space="preserve">aid </w:t>
      </w:r>
      <w:r>
        <w:t>representation and duty lawyer services do not deliver a positive net benefit</w:t>
      </w:r>
      <w:r w:rsidR="00F36E43">
        <w:t xml:space="preserve"> (in terms of efficiency gains)</w:t>
      </w:r>
      <w:r>
        <w:t>.</w:t>
      </w:r>
    </w:p>
    <w:p w:rsidR="00A20DA8" w:rsidRDefault="00780034" w:rsidP="00A20DA8">
      <w:pPr>
        <w:pStyle w:val="BodyText"/>
      </w:pPr>
      <w:r>
        <w:lastRenderedPageBreak/>
        <w:t xml:space="preserve">The Commission has previously noted that any additional costs </w:t>
      </w:r>
      <w:r w:rsidR="00D471DE">
        <w:t xml:space="preserve">imposed </w:t>
      </w:r>
      <w:r>
        <w:t>by SRLs on the courts are not well quantified</w:t>
      </w:r>
      <w:r w:rsidR="002F444B">
        <w:t xml:space="preserve"> (chapter 14)</w:t>
      </w:r>
      <w:r>
        <w:t xml:space="preserve">. Thus </w:t>
      </w:r>
      <w:r w:rsidR="00A20DA8">
        <w:t xml:space="preserve">PwC’s analysis is </w:t>
      </w:r>
      <w:r>
        <w:t>underpinned by a key assumption that</w:t>
      </w:r>
      <w:r w:rsidR="00A20DA8">
        <w:t xml:space="preserve"> cases involving SRLs are assumed to take 20 per cent longer to resolve. </w:t>
      </w:r>
      <w:r w:rsidR="004B5B3D">
        <w:t xml:space="preserve">This figure was also used by Judith Stubbs and Associates </w:t>
      </w:r>
      <w:r w:rsidR="004B5B3D" w:rsidRPr="001A4BFB">
        <w:t>(2012)</w:t>
      </w:r>
      <w:r w:rsidR="004B5B3D">
        <w:t xml:space="preserve"> to estimate the costs of </w:t>
      </w:r>
      <w:r w:rsidR="00202FF0">
        <w:t>SRLs</w:t>
      </w:r>
      <w:r w:rsidR="004B5B3D">
        <w:t xml:space="preserve"> for a cost-benefit analysis of CLCs. </w:t>
      </w:r>
      <w:r w:rsidR="00A20DA8">
        <w:t xml:space="preserve">This </w:t>
      </w:r>
      <w:r>
        <w:t>assumption</w:t>
      </w:r>
      <w:r w:rsidR="00A20DA8">
        <w:t xml:space="preserve"> is based on a single finding for civil appeals cases in a 2004 annual review of the Western Australian courts. The annual review does not report the sample size, measurement approach, or any other details as to how this fig</w:t>
      </w:r>
      <w:r w:rsidR="004B5B3D">
        <w:t>ure was calculated.</w:t>
      </w:r>
    </w:p>
    <w:p w:rsidR="004B5B3D" w:rsidRDefault="004B5B3D" w:rsidP="004B5B3D">
      <w:pPr>
        <w:pStyle w:val="BodyText"/>
      </w:pPr>
      <w:r>
        <w:t>Further, as acknowledged by PwC, the procedures and requirements of a civil appeals court are different to (and are likely to be more onerous than) those of family law courts. Yet their analysis goes on to assert that this 20 per cent figure is ‘considered to be a conservative estimate’ (p. 29). There are no comparisons with other evidence or studies on SRLs to determine whether this assumption is reasonable, or indeed conservative.</w:t>
      </w:r>
    </w:p>
    <w:p w:rsidR="00577AEC" w:rsidRDefault="00BA5B30" w:rsidP="00A20DA8">
      <w:pPr>
        <w:pStyle w:val="BodyText"/>
      </w:pPr>
      <w:r>
        <w:t>The PwC report also assumes an efficiency gain of 5 per cent where parties are assisted by duty lawyers. No evidence is used to form the basis of this assumption, and thus it may be a significant over</w:t>
      </w:r>
      <w:r>
        <w:noBreakHyphen/>
        <w:t xml:space="preserve"> or under</w:t>
      </w:r>
      <w:r>
        <w:noBreakHyphen/>
        <w:t>estimation of any such efficiency benefits.</w:t>
      </w:r>
    </w:p>
    <w:p w:rsidR="00BA5B30" w:rsidRDefault="00BA5B30" w:rsidP="00A20DA8">
      <w:pPr>
        <w:pStyle w:val="BodyText"/>
      </w:pPr>
      <w:r>
        <w:t>For FDR services, PwC assume that without FDR the parties would bring their dispute to the courts as SRLs. This is calculated as an efficiency cost of 120 per cent — the full cost of the court proceedings that may have otherwise been avoided, plus the 20 per cent efficiency cost of the parties self</w:t>
      </w:r>
      <w:r>
        <w:noBreakHyphen/>
        <w:t>representing.</w:t>
      </w:r>
    </w:p>
    <w:p w:rsidR="00D630C8" w:rsidRDefault="00A20DA8" w:rsidP="00A20DA8">
      <w:pPr>
        <w:pStyle w:val="BodyText"/>
      </w:pPr>
      <w:r>
        <w:t>However, even if th</w:t>
      </w:r>
      <w:r w:rsidR="005E6957">
        <w:t>ese</w:t>
      </w:r>
      <w:r>
        <w:t xml:space="preserve"> efficiency benefit assumption</w:t>
      </w:r>
      <w:r w:rsidR="005E6957">
        <w:t>s</w:t>
      </w:r>
      <w:r>
        <w:t xml:space="preserve"> </w:t>
      </w:r>
      <w:r w:rsidR="005E6957">
        <w:t>are</w:t>
      </w:r>
      <w:r>
        <w:t xml:space="preserve"> accepted, the net efficiency benefits of providing representation are not strongly supported by PwC’s own analysis. </w:t>
      </w:r>
      <w:r w:rsidR="00150939">
        <w:t>While the existing legal aid case mix — comprised of representation, duty lawyers and FDR — is found to deliver a positive net benefit, th</w:t>
      </w:r>
      <w:r>
        <w:t xml:space="preserve">ese benefits </w:t>
      </w:r>
      <w:r w:rsidR="00D630C8">
        <w:t xml:space="preserve">primarily </w:t>
      </w:r>
      <w:r>
        <w:t xml:space="preserve">stem from the </w:t>
      </w:r>
      <w:r w:rsidR="00D630C8">
        <w:t xml:space="preserve">provision of </w:t>
      </w:r>
      <w:r w:rsidR="00150939">
        <w:t>FDR</w:t>
      </w:r>
      <w:r w:rsidR="00D630C8">
        <w:t xml:space="preserve">, </w:t>
      </w:r>
      <w:r>
        <w:t xml:space="preserve">rather than </w:t>
      </w:r>
      <w:r w:rsidR="00D630C8">
        <w:t xml:space="preserve">representation or duty lawyers. This echoes analysis by KPMG </w:t>
      </w:r>
      <w:r w:rsidR="00D630C8" w:rsidRPr="00D630C8">
        <w:t>(2008)</w:t>
      </w:r>
      <w:r w:rsidR="00D630C8">
        <w:t xml:space="preserve">, who found that the benefits of </w:t>
      </w:r>
      <w:r w:rsidR="00150939">
        <w:t>FDR</w:t>
      </w:r>
      <w:r w:rsidR="00D630C8">
        <w:t xml:space="preserve"> exceeded the costs of the service.</w:t>
      </w:r>
    </w:p>
    <w:p w:rsidR="00A20DA8" w:rsidRDefault="00A20DA8" w:rsidP="00A20DA8">
      <w:pPr>
        <w:pStyle w:val="BodyText"/>
      </w:pPr>
      <w:r>
        <w:t xml:space="preserve">Disaggregating the </w:t>
      </w:r>
      <w:r w:rsidR="009D35A8">
        <w:t>figures from</w:t>
      </w:r>
      <w:r>
        <w:t xml:space="preserve"> PwC’s analysis </w:t>
      </w:r>
      <w:r w:rsidR="009D35A8">
        <w:t xml:space="preserve">by each service type </w:t>
      </w:r>
      <w:r>
        <w:t>suggests that the assumed efficiency benefits do not outweigh the costs of providing representation in family law matters (table</w:t>
      </w:r>
      <w:r w:rsidR="00DA2B76">
        <w:t xml:space="preserve"> K.3</w:t>
      </w:r>
      <w:r>
        <w:t xml:space="preserve">). Further, the provision of duty lawyers only provides a cost saving where </w:t>
      </w:r>
      <w:r w:rsidR="004B7DFE">
        <w:t xml:space="preserve">average </w:t>
      </w:r>
      <w:r>
        <w:t>court costs are assumed to be higher</w:t>
      </w:r>
      <w:r w:rsidR="00150939">
        <w:t xml:space="preserve"> (and </w:t>
      </w:r>
      <w:r w:rsidR="00A94E5C">
        <w:t>thus</w:t>
      </w:r>
      <w:r w:rsidR="00150939">
        <w:t xml:space="preserve"> the efficiency gain is greater)</w:t>
      </w:r>
      <w:r>
        <w:t xml:space="preserve">. Indeed, PwC’s own analysis of a scenario where only representation services are funded delivers a negative net benefit (in terms of </w:t>
      </w:r>
      <w:r w:rsidR="009418FC">
        <w:t xml:space="preserve">the </w:t>
      </w:r>
      <w:r>
        <w:t>efficiency of proceedings).</w:t>
      </w:r>
    </w:p>
    <w:p w:rsidR="00E16B7F" w:rsidRDefault="00E16B7F" w:rsidP="00A20DA8">
      <w:pPr>
        <w:pStyle w:val="BodyText"/>
      </w:pPr>
      <w:r>
        <w:t xml:space="preserve">Put more simply, </w:t>
      </w:r>
      <w:r w:rsidR="00234A71">
        <w:t>it may be easy to misinterpret</w:t>
      </w:r>
      <w:r>
        <w:t xml:space="preserve"> PwC’s finding that </w:t>
      </w:r>
      <w:r w:rsidR="00403003">
        <w:t xml:space="preserve">the current </w:t>
      </w:r>
      <w:r>
        <w:t>legal assistance service</w:t>
      </w:r>
      <w:r w:rsidR="00403003">
        <w:t xml:space="preserve"> mix</w:t>
      </w:r>
      <w:r>
        <w:t xml:space="preserve"> overall provided a net benefit to mean that each component — representation, duty lawyer services and FDR — was al</w:t>
      </w:r>
      <w:r w:rsidR="00B13E4D">
        <w:t xml:space="preserve">so found to have produced a net </w:t>
      </w:r>
      <w:r>
        <w:t>benefit. But</w:t>
      </w:r>
      <w:r w:rsidR="00B13E4D">
        <w:t xml:space="preserve"> a more thorough </w:t>
      </w:r>
      <w:r w:rsidR="00F417B5">
        <w:t>examination</w:t>
      </w:r>
      <w:r w:rsidR="00B13E4D">
        <w:t xml:space="preserve"> of PwC’s findings indicates that</w:t>
      </w:r>
      <w:r>
        <w:t xml:space="preserve"> this is not the case</w:t>
      </w:r>
      <w:r w:rsidR="0002423A">
        <w:t xml:space="preserve"> for representation services</w:t>
      </w:r>
      <w:r w:rsidR="006562E9">
        <w:t>,</w:t>
      </w:r>
      <w:r w:rsidR="007D10B1">
        <w:t xml:space="preserve"> and possibly duty lawyers</w:t>
      </w:r>
      <w:r>
        <w:t xml:space="preserve">. </w:t>
      </w:r>
      <w:r w:rsidR="00B13E4D">
        <w:t>This highlights the importance of effectively communicating what can ultimately be a complicated message regarding the benefits of legal assistance, and the need for stakeholders to carefully scrutinize the available evidence.</w:t>
      </w:r>
    </w:p>
    <w:p w:rsidR="00A20DA8" w:rsidRDefault="00A20DA8" w:rsidP="00A20DA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20DA8" w:rsidTr="00301C7C">
        <w:tc>
          <w:tcPr>
            <w:tcW w:w="8771" w:type="dxa"/>
            <w:tcBorders>
              <w:top w:val="single" w:sz="6" w:space="0" w:color="78A22F" w:themeColor="accent1"/>
              <w:left w:val="nil"/>
              <w:bottom w:val="nil"/>
              <w:right w:val="nil"/>
            </w:tcBorders>
            <w:shd w:val="clear" w:color="auto" w:fill="auto"/>
          </w:tcPr>
          <w:p w:rsidR="00A20DA8" w:rsidRDefault="00A20DA8" w:rsidP="00301C7C">
            <w:pPr>
              <w:pStyle w:val="TableTitle"/>
              <w:rPr>
                <w:i/>
              </w:rPr>
            </w:pPr>
            <w:r>
              <w:rPr>
                <w:b w:val="0"/>
              </w:rPr>
              <w:t xml:space="preserve">Table </w:t>
            </w:r>
            <w:bookmarkStart w:id="5" w:name="OLE_LINK1"/>
            <w:r w:rsidR="0090750D">
              <w:rPr>
                <w:b w:val="0"/>
              </w:rPr>
              <w:t>K.</w:t>
            </w:r>
            <w:r w:rsidR="0090750D">
              <w:rPr>
                <w:b w:val="0"/>
                <w:noProof/>
              </w:rPr>
              <w:t>3</w:t>
            </w:r>
            <w:bookmarkEnd w:id="5"/>
            <w:r>
              <w:tab/>
              <w:t xml:space="preserve">Disaggregating the results of </w:t>
            </w:r>
            <w:r>
              <w:rPr>
                <w:i/>
              </w:rPr>
              <w:t xml:space="preserve">Economic </w:t>
            </w:r>
            <w:r w:rsidR="00C80C23">
              <w:rPr>
                <w:i/>
              </w:rPr>
              <w:t>V</w:t>
            </w:r>
            <w:r>
              <w:rPr>
                <w:i/>
              </w:rPr>
              <w:t xml:space="preserve">alue of </w:t>
            </w:r>
            <w:r w:rsidR="00C80C23">
              <w:rPr>
                <w:i/>
              </w:rPr>
              <w:t>L</w:t>
            </w:r>
            <w:r>
              <w:rPr>
                <w:i/>
              </w:rPr>
              <w:t xml:space="preserve">egal </w:t>
            </w:r>
            <w:r w:rsidR="00C80C23">
              <w:rPr>
                <w:i/>
              </w:rPr>
              <w:t>A</w:t>
            </w:r>
            <w:r>
              <w:rPr>
                <w:i/>
              </w:rPr>
              <w:t>id</w:t>
            </w:r>
          </w:p>
          <w:p w:rsidR="001E03F7" w:rsidRPr="001E03F7" w:rsidRDefault="001E03F7" w:rsidP="001E03F7">
            <w:pPr>
              <w:pStyle w:val="Subtitle"/>
            </w:pPr>
            <w:r w:rsidRPr="001E03F7">
              <w:t>B</w:t>
            </w:r>
            <w:r>
              <w:t>y legal aid service type</w:t>
            </w:r>
          </w:p>
        </w:tc>
      </w:tr>
      <w:tr w:rsidR="00A20DA8" w:rsidTr="00301C7C">
        <w:trPr>
          <w:cantSplit/>
        </w:trPr>
        <w:tc>
          <w:tcPr>
            <w:tcW w:w="8771" w:type="dxa"/>
            <w:tcBorders>
              <w:top w:val="nil"/>
              <w:left w:val="nil"/>
              <w:bottom w:val="nil"/>
              <w:right w:val="nil"/>
            </w:tcBorders>
            <w:shd w:val="clear" w:color="auto" w:fill="auto"/>
          </w:tcPr>
          <w:tbl>
            <w:tblPr>
              <w:tblW w:w="4940" w:type="pct"/>
              <w:tblCellMar>
                <w:top w:w="28" w:type="dxa"/>
                <w:left w:w="0" w:type="dxa"/>
                <w:right w:w="0" w:type="dxa"/>
              </w:tblCellMar>
              <w:tblLook w:val="0000" w:firstRow="0" w:lastRow="0" w:firstColumn="0" w:lastColumn="0" w:noHBand="0" w:noVBand="0"/>
            </w:tblPr>
            <w:tblGrid>
              <w:gridCol w:w="2812"/>
              <w:gridCol w:w="1845"/>
              <w:gridCol w:w="1982"/>
              <w:gridCol w:w="1746"/>
            </w:tblGrid>
            <w:tr w:rsidR="00A20DA8" w:rsidTr="00301C7C">
              <w:trPr>
                <w:trHeight w:val="567"/>
              </w:trPr>
              <w:tc>
                <w:tcPr>
                  <w:tcW w:w="1677" w:type="pct"/>
                  <w:tcBorders>
                    <w:top w:val="single" w:sz="6" w:space="0" w:color="BFBFBF" w:themeColor="background2"/>
                    <w:bottom w:val="single" w:sz="6" w:space="0" w:color="BFBFBF" w:themeColor="background2"/>
                  </w:tcBorders>
                  <w:shd w:val="clear" w:color="auto" w:fill="auto"/>
                  <w:tcMar>
                    <w:top w:w="28" w:type="dxa"/>
                  </w:tcMar>
                </w:tcPr>
                <w:p w:rsidR="00A20DA8" w:rsidRDefault="00A20DA8" w:rsidP="00301C7C">
                  <w:pPr>
                    <w:pStyle w:val="TableColumnHeading"/>
                    <w:jc w:val="left"/>
                  </w:pPr>
                </w:p>
              </w:tc>
              <w:tc>
                <w:tcPr>
                  <w:tcW w:w="1100" w:type="pct"/>
                  <w:tcBorders>
                    <w:top w:val="single" w:sz="6" w:space="0" w:color="BFBFBF" w:themeColor="background2"/>
                    <w:bottom w:val="single" w:sz="6" w:space="0" w:color="BFBFBF" w:themeColor="background2"/>
                  </w:tcBorders>
                </w:tcPr>
                <w:p w:rsidR="00A20DA8" w:rsidRDefault="00A20DA8" w:rsidP="00301C7C">
                  <w:pPr>
                    <w:pStyle w:val="TableColumnHeading"/>
                  </w:pPr>
                  <w:r>
                    <w:t>Family law representation</w:t>
                  </w:r>
                </w:p>
              </w:tc>
              <w:tc>
                <w:tcPr>
                  <w:tcW w:w="1182" w:type="pct"/>
                  <w:tcBorders>
                    <w:top w:val="single" w:sz="6" w:space="0" w:color="BFBFBF" w:themeColor="background2"/>
                    <w:bottom w:val="single" w:sz="6" w:space="0" w:color="BFBFBF" w:themeColor="background2"/>
                  </w:tcBorders>
                </w:tcPr>
                <w:p w:rsidR="00A20DA8" w:rsidRDefault="00A20DA8" w:rsidP="00301C7C">
                  <w:pPr>
                    <w:pStyle w:val="TableColumnHeading"/>
                  </w:pPr>
                  <w:r>
                    <w:t>Duty lawyer</w:t>
                  </w:r>
                </w:p>
              </w:tc>
              <w:tc>
                <w:tcPr>
                  <w:tcW w:w="1041" w:type="pct"/>
                  <w:tcBorders>
                    <w:top w:val="single" w:sz="6" w:space="0" w:color="BFBFBF" w:themeColor="background2"/>
                    <w:bottom w:val="single" w:sz="6" w:space="0" w:color="BFBFBF" w:themeColor="background2"/>
                  </w:tcBorders>
                  <w:shd w:val="clear" w:color="auto" w:fill="auto"/>
                  <w:tcMar>
                    <w:top w:w="28" w:type="dxa"/>
                  </w:tcMar>
                </w:tcPr>
                <w:p w:rsidR="00A20DA8" w:rsidRDefault="00DD799F" w:rsidP="00DD799F">
                  <w:pPr>
                    <w:pStyle w:val="TableColumnHeading"/>
                  </w:pPr>
                  <w:r>
                    <w:t>Family d</w:t>
                  </w:r>
                  <w:r w:rsidR="00A20DA8">
                    <w:t>ispute resolution</w:t>
                  </w:r>
                </w:p>
              </w:tc>
            </w:tr>
            <w:tr w:rsidR="00A20DA8" w:rsidTr="00D6508B">
              <w:trPr>
                <w:trHeight w:val="243"/>
              </w:trPr>
              <w:tc>
                <w:tcPr>
                  <w:tcW w:w="1677" w:type="pct"/>
                  <w:vAlign w:val="bottom"/>
                </w:tcPr>
                <w:p w:rsidR="00A20DA8" w:rsidRDefault="00A20DA8" w:rsidP="00D6508B">
                  <w:pPr>
                    <w:pStyle w:val="TableBodyText"/>
                    <w:jc w:val="left"/>
                  </w:pPr>
                  <w:r>
                    <w:t>Legal Aid service cost per case</w:t>
                  </w:r>
                  <w:r w:rsidRPr="008E77FE">
                    <w:rPr>
                      <w:rStyle w:val="NoteLabel"/>
                    </w:rPr>
                    <w:t>a</w:t>
                  </w:r>
                </w:p>
              </w:tc>
              <w:tc>
                <w:tcPr>
                  <w:tcW w:w="1100" w:type="pct"/>
                  <w:vAlign w:val="bottom"/>
                </w:tcPr>
                <w:p w:rsidR="00A20DA8" w:rsidRDefault="00A20DA8" w:rsidP="00D6508B">
                  <w:pPr>
                    <w:pStyle w:val="TableBodyText"/>
                  </w:pPr>
                  <w:r>
                    <w:t>$4 143</w:t>
                  </w:r>
                </w:p>
              </w:tc>
              <w:tc>
                <w:tcPr>
                  <w:tcW w:w="1182" w:type="pct"/>
                  <w:vAlign w:val="bottom"/>
                </w:tcPr>
                <w:p w:rsidR="00A20DA8" w:rsidRDefault="00A20DA8" w:rsidP="00D6508B">
                  <w:pPr>
                    <w:pStyle w:val="TableBodyText"/>
                  </w:pPr>
                  <w:r>
                    <w:t>$615</w:t>
                  </w:r>
                </w:p>
              </w:tc>
              <w:tc>
                <w:tcPr>
                  <w:tcW w:w="1041" w:type="pct"/>
                  <w:vAlign w:val="bottom"/>
                </w:tcPr>
                <w:p w:rsidR="00A20DA8" w:rsidRDefault="00A20DA8" w:rsidP="00D6508B">
                  <w:pPr>
                    <w:pStyle w:val="TableBodyText"/>
                  </w:pPr>
                  <w:r>
                    <w:t>$1 411</w:t>
                  </w:r>
                </w:p>
              </w:tc>
            </w:tr>
            <w:tr w:rsidR="00A20DA8" w:rsidTr="00D6508B">
              <w:trPr>
                <w:trHeight w:val="202"/>
              </w:trPr>
              <w:tc>
                <w:tcPr>
                  <w:tcW w:w="1677" w:type="pct"/>
                  <w:vAlign w:val="bottom"/>
                </w:tcPr>
                <w:p w:rsidR="00A20DA8" w:rsidRPr="0014440A" w:rsidRDefault="00A20DA8" w:rsidP="00D6508B">
                  <w:pPr>
                    <w:pStyle w:val="TableBodyText"/>
                    <w:jc w:val="left"/>
                    <w:rPr>
                      <w:b/>
                    </w:rPr>
                  </w:pPr>
                  <w:r>
                    <w:t>Efficiency cost of SRLs in court</w:t>
                  </w:r>
                  <w:r>
                    <w:rPr>
                      <w:rStyle w:val="NoteLabel"/>
                    </w:rPr>
                    <w:t>b</w:t>
                  </w:r>
                </w:p>
              </w:tc>
              <w:tc>
                <w:tcPr>
                  <w:tcW w:w="1100" w:type="pct"/>
                  <w:vAlign w:val="bottom"/>
                </w:tcPr>
                <w:p w:rsidR="00A20DA8" w:rsidRDefault="00A20DA8" w:rsidP="00D6508B">
                  <w:pPr>
                    <w:pStyle w:val="TableBodyText"/>
                  </w:pPr>
                  <w:r>
                    <w:t>20 per cent</w:t>
                  </w:r>
                </w:p>
              </w:tc>
              <w:tc>
                <w:tcPr>
                  <w:tcW w:w="1182" w:type="pct"/>
                  <w:vAlign w:val="bottom"/>
                </w:tcPr>
                <w:p w:rsidR="00A20DA8" w:rsidRDefault="00A20DA8" w:rsidP="00D6508B">
                  <w:pPr>
                    <w:pStyle w:val="TableBodyText"/>
                  </w:pPr>
                  <w:r>
                    <w:t>5 per cent</w:t>
                  </w:r>
                </w:p>
              </w:tc>
              <w:tc>
                <w:tcPr>
                  <w:tcW w:w="1041" w:type="pct"/>
                  <w:vAlign w:val="bottom"/>
                </w:tcPr>
                <w:p w:rsidR="00A20DA8" w:rsidRDefault="00A20DA8" w:rsidP="00D6508B">
                  <w:pPr>
                    <w:pStyle w:val="TableBodyText"/>
                  </w:pPr>
                  <w:r>
                    <w:t>120 per cent</w:t>
                  </w:r>
                </w:p>
              </w:tc>
            </w:tr>
            <w:tr w:rsidR="00A20DA8" w:rsidTr="00D6508B">
              <w:trPr>
                <w:trHeight w:val="202"/>
              </w:trPr>
              <w:tc>
                <w:tcPr>
                  <w:tcW w:w="1677" w:type="pct"/>
                </w:tcPr>
                <w:p w:rsidR="00A20DA8" w:rsidRPr="0014440A" w:rsidRDefault="00A20DA8" w:rsidP="00301C7C">
                  <w:pPr>
                    <w:pStyle w:val="TableBodyText"/>
                    <w:jc w:val="left"/>
                    <w:rPr>
                      <w:b/>
                    </w:rPr>
                  </w:pPr>
                  <w:r w:rsidRPr="0014440A">
                    <w:rPr>
                      <w:b/>
                    </w:rPr>
                    <w:t xml:space="preserve">Case </w:t>
                  </w:r>
                  <w:r w:rsidR="00157076">
                    <w:rPr>
                      <w:b/>
                    </w:rPr>
                    <w:t xml:space="preserve">outcome </w:t>
                  </w:r>
                  <w:r w:rsidRPr="0014440A">
                    <w:rPr>
                      <w:b/>
                    </w:rPr>
                    <w:t>assumption A</w:t>
                  </w:r>
                  <w:r w:rsidR="00157076">
                    <w:rPr>
                      <w:rStyle w:val="NoteLabel"/>
                    </w:rPr>
                    <w:t>c</w:t>
                  </w:r>
                </w:p>
              </w:tc>
              <w:tc>
                <w:tcPr>
                  <w:tcW w:w="1100" w:type="pct"/>
                  <w:vAlign w:val="bottom"/>
                </w:tcPr>
                <w:p w:rsidR="00A20DA8" w:rsidRDefault="00A20DA8" w:rsidP="00D6508B">
                  <w:pPr>
                    <w:pStyle w:val="TableBodyText"/>
                  </w:pPr>
                </w:p>
              </w:tc>
              <w:tc>
                <w:tcPr>
                  <w:tcW w:w="1182" w:type="pct"/>
                  <w:vAlign w:val="bottom"/>
                </w:tcPr>
                <w:p w:rsidR="00A20DA8" w:rsidRDefault="00A20DA8" w:rsidP="00D6508B">
                  <w:pPr>
                    <w:pStyle w:val="TableBodyText"/>
                  </w:pPr>
                </w:p>
              </w:tc>
              <w:tc>
                <w:tcPr>
                  <w:tcW w:w="1041" w:type="pct"/>
                  <w:vAlign w:val="bottom"/>
                </w:tcPr>
                <w:p w:rsidR="00A20DA8" w:rsidRDefault="00A20DA8" w:rsidP="00D6508B">
                  <w:pPr>
                    <w:pStyle w:val="TableBodyText"/>
                  </w:pPr>
                </w:p>
              </w:tc>
            </w:tr>
            <w:tr w:rsidR="00A20DA8" w:rsidTr="00D6508B">
              <w:trPr>
                <w:trHeight w:val="243"/>
              </w:trPr>
              <w:tc>
                <w:tcPr>
                  <w:tcW w:w="1677" w:type="pct"/>
                  <w:vAlign w:val="bottom"/>
                </w:tcPr>
                <w:p w:rsidR="00A20DA8" w:rsidRDefault="00A20DA8" w:rsidP="00D6508B">
                  <w:pPr>
                    <w:pStyle w:val="TableBodyText"/>
                    <w:ind w:left="284"/>
                    <w:jc w:val="left"/>
                  </w:pPr>
                  <w:r>
                    <w:t>Cost to courts per case</w:t>
                  </w:r>
                  <w:r w:rsidR="00157076">
                    <w:rPr>
                      <w:rStyle w:val="NoteLabel"/>
                    </w:rPr>
                    <w:t>d</w:t>
                  </w:r>
                </w:p>
              </w:tc>
              <w:tc>
                <w:tcPr>
                  <w:tcW w:w="1100" w:type="pct"/>
                  <w:vAlign w:val="bottom"/>
                </w:tcPr>
                <w:p w:rsidR="00A20DA8" w:rsidRDefault="00A20DA8" w:rsidP="00D6508B">
                  <w:pPr>
                    <w:pStyle w:val="TableBodyText"/>
                  </w:pPr>
                  <w:r>
                    <w:t>$10 </w:t>
                  </w:r>
                  <w:r w:rsidRPr="00937137">
                    <w:t>763</w:t>
                  </w:r>
                </w:p>
              </w:tc>
              <w:tc>
                <w:tcPr>
                  <w:tcW w:w="1182" w:type="pct"/>
                  <w:vAlign w:val="bottom"/>
                </w:tcPr>
                <w:p w:rsidR="00A20DA8" w:rsidRDefault="00A20DA8" w:rsidP="00D6508B">
                  <w:pPr>
                    <w:pStyle w:val="TableBodyText"/>
                  </w:pPr>
                  <w:r>
                    <w:t>$10 </w:t>
                  </w:r>
                  <w:r w:rsidRPr="00937137">
                    <w:t>763</w:t>
                  </w:r>
                </w:p>
              </w:tc>
              <w:tc>
                <w:tcPr>
                  <w:tcW w:w="1041" w:type="pct"/>
                  <w:vAlign w:val="bottom"/>
                </w:tcPr>
                <w:p w:rsidR="00A20DA8" w:rsidRDefault="00A20DA8" w:rsidP="00D6508B">
                  <w:pPr>
                    <w:pStyle w:val="TableBodyText"/>
                  </w:pPr>
                  <w:r>
                    <w:t>$10 </w:t>
                  </w:r>
                  <w:r w:rsidRPr="00937137">
                    <w:t>763</w:t>
                  </w:r>
                </w:p>
              </w:tc>
            </w:tr>
            <w:tr w:rsidR="00A20DA8" w:rsidTr="00D6508B">
              <w:trPr>
                <w:trHeight w:val="243"/>
              </w:trPr>
              <w:tc>
                <w:tcPr>
                  <w:tcW w:w="1677" w:type="pct"/>
                  <w:vAlign w:val="bottom"/>
                </w:tcPr>
                <w:p w:rsidR="00A20DA8" w:rsidRDefault="00A20DA8" w:rsidP="00D6508B">
                  <w:pPr>
                    <w:pStyle w:val="TableBodyText"/>
                    <w:ind w:left="284"/>
                    <w:jc w:val="left"/>
                  </w:pPr>
                  <w:r>
                    <w:t>Efficiency benefit per case</w:t>
                  </w:r>
                  <w:r w:rsidR="00157076">
                    <w:rPr>
                      <w:rStyle w:val="NoteLabel"/>
                    </w:rPr>
                    <w:t>e</w:t>
                  </w:r>
                </w:p>
              </w:tc>
              <w:tc>
                <w:tcPr>
                  <w:tcW w:w="1100" w:type="pct"/>
                  <w:vAlign w:val="bottom"/>
                </w:tcPr>
                <w:p w:rsidR="00A20DA8" w:rsidRDefault="00A20DA8" w:rsidP="00D6508B">
                  <w:pPr>
                    <w:pStyle w:val="TableBodyText"/>
                  </w:pPr>
                  <w:r>
                    <w:t>$2 153</w:t>
                  </w:r>
                </w:p>
              </w:tc>
              <w:tc>
                <w:tcPr>
                  <w:tcW w:w="1182" w:type="pct"/>
                  <w:vAlign w:val="bottom"/>
                </w:tcPr>
                <w:p w:rsidR="00A20DA8" w:rsidRDefault="00A20DA8" w:rsidP="00D6508B">
                  <w:pPr>
                    <w:pStyle w:val="TableBodyText"/>
                  </w:pPr>
                  <w:r>
                    <w:t>$538</w:t>
                  </w:r>
                </w:p>
              </w:tc>
              <w:tc>
                <w:tcPr>
                  <w:tcW w:w="1041" w:type="pct"/>
                  <w:vAlign w:val="bottom"/>
                </w:tcPr>
                <w:p w:rsidR="00A20DA8" w:rsidRDefault="00A20DA8" w:rsidP="00D6508B">
                  <w:pPr>
                    <w:pStyle w:val="TableBodyText"/>
                  </w:pPr>
                  <w:r>
                    <w:t>$12 916</w:t>
                  </w:r>
                </w:p>
              </w:tc>
            </w:tr>
            <w:tr w:rsidR="00A20DA8" w:rsidTr="00D6508B">
              <w:trPr>
                <w:trHeight w:val="243"/>
              </w:trPr>
              <w:tc>
                <w:tcPr>
                  <w:tcW w:w="1677" w:type="pct"/>
                  <w:vAlign w:val="bottom"/>
                </w:tcPr>
                <w:p w:rsidR="00A20DA8" w:rsidRDefault="00A20DA8" w:rsidP="00D6508B">
                  <w:pPr>
                    <w:pStyle w:val="TableBodyText"/>
                    <w:ind w:left="284"/>
                    <w:jc w:val="left"/>
                  </w:pPr>
                  <w:r>
                    <w:t>Benefit-cost ratio</w:t>
                  </w:r>
                  <w:r w:rsidR="00157076">
                    <w:rPr>
                      <w:rStyle w:val="NoteLabel"/>
                    </w:rPr>
                    <w:t>f</w:t>
                  </w:r>
                </w:p>
              </w:tc>
              <w:tc>
                <w:tcPr>
                  <w:tcW w:w="1100" w:type="pct"/>
                  <w:vAlign w:val="bottom"/>
                </w:tcPr>
                <w:p w:rsidR="00A20DA8" w:rsidRDefault="00A20DA8" w:rsidP="00D6508B">
                  <w:pPr>
                    <w:pStyle w:val="TableBodyText"/>
                  </w:pPr>
                  <w:r>
                    <w:t>0.52</w:t>
                  </w:r>
                </w:p>
              </w:tc>
              <w:tc>
                <w:tcPr>
                  <w:tcW w:w="1182" w:type="pct"/>
                  <w:vAlign w:val="bottom"/>
                </w:tcPr>
                <w:p w:rsidR="00A20DA8" w:rsidRDefault="00A20DA8" w:rsidP="00D6508B">
                  <w:pPr>
                    <w:pStyle w:val="TableBodyText"/>
                  </w:pPr>
                  <w:r>
                    <w:t>0.88</w:t>
                  </w:r>
                </w:p>
              </w:tc>
              <w:tc>
                <w:tcPr>
                  <w:tcW w:w="1041" w:type="pct"/>
                  <w:vAlign w:val="bottom"/>
                </w:tcPr>
                <w:p w:rsidR="00A20DA8" w:rsidRDefault="00A20DA8" w:rsidP="00D6508B">
                  <w:pPr>
                    <w:pStyle w:val="TableBodyText"/>
                  </w:pPr>
                  <w:r>
                    <w:t>9.15</w:t>
                  </w:r>
                </w:p>
              </w:tc>
            </w:tr>
            <w:tr w:rsidR="00A20DA8" w:rsidTr="00301C7C">
              <w:trPr>
                <w:trHeight w:val="256"/>
              </w:trPr>
              <w:tc>
                <w:tcPr>
                  <w:tcW w:w="1677" w:type="pct"/>
                  <w:shd w:val="clear" w:color="auto" w:fill="auto"/>
                </w:tcPr>
                <w:p w:rsidR="00A20DA8" w:rsidRPr="0014440A" w:rsidRDefault="00A20DA8" w:rsidP="00301C7C">
                  <w:pPr>
                    <w:pStyle w:val="TableBodyText"/>
                    <w:jc w:val="left"/>
                    <w:rPr>
                      <w:b/>
                    </w:rPr>
                  </w:pPr>
                  <w:r w:rsidRPr="0014440A">
                    <w:rPr>
                      <w:b/>
                    </w:rPr>
                    <w:t xml:space="preserve">Case </w:t>
                  </w:r>
                  <w:r w:rsidR="00157076">
                    <w:rPr>
                      <w:b/>
                    </w:rPr>
                    <w:t xml:space="preserve">outcome </w:t>
                  </w:r>
                  <w:r w:rsidRPr="0014440A">
                    <w:rPr>
                      <w:b/>
                    </w:rPr>
                    <w:t xml:space="preserve">assumption </w:t>
                  </w:r>
                  <w:r>
                    <w:rPr>
                      <w:b/>
                    </w:rPr>
                    <w:t>B</w:t>
                  </w:r>
                  <w:r w:rsidR="00157076">
                    <w:rPr>
                      <w:rStyle w:val="NoteLabel"/>
                    </w:rPr>
                    <w:t>c</w:t>
                  </w:r>
                </w:p>
              </w:tc>
              <w:tc>
                <w:tcPr>
                  <w:tcW w:w="1100" w:type="pct"/>
                </w:tcPr>
                <w:p w:rsidR="00A20DA8" w:rsidRDefault="00A20DA8" w:rsidP="00301C7C">
                  <w:pPr>
                    <w:pStyle w:val="TableBodyText"/>
                  </w:pPr>
                </w:p>
              </w:tc>
              <w:tc>
                <w:tcPr>
                  <w:tcW w:w="1182" w:type="pct"/>
                </w:tcPr>
                <w:p w:rsidR="00A20DA8" w:rsidRDefault="00A20DA8" w:rsidP="00301C7C">
                  <w:pPr>
                    <w:pStyle w:val="TableBodyText"/>
                  </w:pPr>
                </w:p>
              </w:tc>
              <w:tc>
                <w:tcPr>
                  <w:tcW w:w="1041" w:type="pct"/>
                  <w:shd w:val="clear" w:color="auto" w:fill="auto"/>
                </w:tcPr>
                <w:p w:rsidR="00A20DA8" w:rsidRDefault="00A20DA8" w:rsidP="00301C7C">
                  <w:pPr>
                    <w:pStyle w:val="TableBodyText"/>
                  </w:pPr>
                </w:p>
              </w:tc>
            </w:tr>
            <w:tr w:rsidR="00A20DA8" w:rsidTr="00D6508B">
              <w:trPr>
                <w:trHeight w:val="256"/>
              </w:trPr>
              <w:tc>
                <w:tcPr>
                  <w:tcW w:w="1677" w:type="pct"/>
                  <w:shd w:val="clear" w:color="auto" w:fill="auto"/>
                  <w:vAlign w:val="bottom"/>
                </w:tcPr>
                <w:p w:rsidR="00A20DA8" w:rsidRDefault="00A20DA8" w:rsidP="00D6508B">
                  <w:pPr>
                    <w:pStyle w:val="TableBodyText"/>
                    <w:ind w:left="284"/>
                    <w:jc w:val="left"/>
                  </w:pPr>
                  <w:r>
                    <w:t>Cost to court per case</w:t>
                  </w:r>
                  <w:r w:rsidR="00157076">
                    <w:rPr>
                      <w:rStyle w:val="NoteLabel"/>
                    </w:rPr>
                    <w:t>d</w:t>
                  </w:r>
                </w:p>
              </w:tc>
              <w:tc>
                <w:tcPr>
                  <w:tcW w:w="1100" w:type="pct"/>
                  <w:vAlign w:val="bottom"/>
                </w:tcPr>
                <w:p w:rsidR="00A20DA8" w:rsidRDefault="00A20DA8" w:rsidP="00D6508B">
                  <w:pPr>
                    <w:pStyle w:val="TableBodyText"/>
                    <w:ind w:left="0"/>
                  </w:pPr>
                  <w:r>
                    <w:t>$15 </w:t>
                  </w:r>
                  <w:r w:rsidRPr="00937137">
                    <w:t>106</w:t>
                  </w:r>
                </w:p>
              </w:tc>
              <w:tc>
                <w:tcPr>
                  <w:tcW w:w="1182" w:type="pct"/>
                  <w:vAlign w:val="bottom"/>
                </w:tcPr>
                <w:p w:rsidR="00A20DA8" w:rsidRDefault="00A20DA8" w:rsidP="00D6508B">
                  <w:pPr>
                    <w:pStyle w:val="TableBodyText"/>
                  </w:pPr>
                  <w:r>
                    <w:t>$15 </w:t>
                  </w:r>
                  <w:r w:rsidRPr="00937137">
                    <w:t>106</w:t>
                  </w:r>
                </w:p>
              </w:tc>
              <w:tc>
                <w:tcPr>
                  <w:tcW w:w="1041" w:type="pct"/>
                  <w:shd w:val="clear" w:color="auto" w:fill="auto"/>
                  <w:vAlign w:val="bottom"/>
                </w:tcPr>
                <w:p w:rsidR="00A20DA8" w:rsidRDefault="00A20DA8" w:rsidP="00D6508B">
                  <w:pPr>
                    <w:pStyle w:val="TableBodyText"/>
                  </w:pPr>
                  <w:r>
                    <w:t>$15 </w:t>
                  </w:r>
                  <w:r w:rsidRPr="00937137">
                    <w:t>106</w:t>
                  </w:r>
                </w:p>
              </w:tc>
            </w:tr>
            <w:tr w:rsidR="00A20DA8" w:rsidTr="00D6508B">
              <w:trPr>
                <w:trHeight w:val="256"/>
              </w:trPr>
              <w:tc>
                <w:tcPr>
                  <w:tcW w:w="1677" w:type="pct"/>
                  <w:shd w:val="clear" w:color="auto" w:fill="auto"/>
                  <w:vAlign w:val="bottom"/>
                </w:tcPr>
                <w:p w:rsidR="00A20DA8" w:rsidRDefault="00A20DA8" w:rsidP="00D6508B">
                  <w:pPr>
                    <w:pStyle w:val="TableBodyText"/>
                    <w:ind w:left="284"/>
                    <w:jc w:val="left"/>
                  </w:pPr>
                  <w:r>
                    <w:t xml:space="preserve">Efficiency benefit per </w:t>
                  </w:r>
                  <w:r w:rsidR="00157076">
                    <w:t>case</w:t>
                  </w:r>
                  <w:r w:rsidR="00C124B6">
                    <w:rPr>
                      <w:rStyle w:val="NoteLabel"/>
                    </w:rPr>
                    <w:t>e</w:t>
                  </w:r>
                </w:p>
              </w:tc>
              <w:tc>
                <w:tcPr>
                  <w:tcW w:w="1100" w:type="pct"/>
                  <w:vAlign w:val="bottom"/>
                </w:tcPr>
                <w:p w:rsidR="00A20DA8" w:rsidRDefault="00A20DA8" w:rsidP="00D6508B">
                  <w:pPr>
                    <w:pStyle w:val="TableBodyText"/>
                  </w:pPr>
                  <w:r>
                    <w:t>$3 021</w:t>
                  </w:r>
                </w:p>
              </w:tc>
              <w:tc>
                <w:tcPr>
                  <w:tcW w:w="1182" w:type="pct"/>
                  <w:vAlign w:val="bottom"/>
                </w:tcPr>
                <w:p w:rsidR="00A20DA8" w:rsidRDefault="00A20DA8" w:rsidP="00D6508B">
                  <w:pPr>
                    <w:pStyle w:val="TableBodyText"/>
                  </w:pPr>
                  <w:r>
                    <w:t>$755</w:t>
                  </w:r>
                </w:p>
              </w:tc>
              <w:tc>
                <w:tcPr>
                  <w:tcW w:w="1041" w:type="pct"/>
                  <w:shd w:val="clear" w:color="auto" w:fill="auto"/>
                  <w:vAlign w:val="bottom"/>
                </w:tcPr>
                <w:p w:rsidR="00A20DA8" w:rsidRDefault="00A20DA8" w:rsidP="00D6508B">
                  <w:pPr>
                    <w:pStyle w:val="TableBodyText"/>
                  </w:pPr>
                  <w:r>
                    <w:t>$18 127</w:t>
                  </w:r>
                </w:p>
              </w:tc>
            </w:tr>
            <w:tr w:rsidR="00A20DA8" w:rsidTr="00D6508B">
              <w:trPr>
                <w:trHeight w:val="256"/>
              </w:trPr>
              <w:tc>
                <w:tcPr>
                  <w:tcW w:w="1677" w:type="pct"/>
                  <w:tcBorders>
                    <w:bottom w:val="single" w:sz="6" w:space="0" w:color="C8C8C8"/>
                  </w:tcBorders>
                  <w:shd w:val="clear" w:color="auto" w:fill="auto"/>
                  <w:vAlign w:val="bottom"/>
                </w:tcPr>
                <w:p w:rsidR="00A20DA8" w:rsidRDefault="00A20DA8" w:rsidP="00D6508B">
                  <w:pPr>
                    <w:pStyle w:val="TableBodyText"/>
                    <w:ind w:left="284"/>
                    <w:jc w:val="left"/>
                  </w:pPr>
                  <w:r>
                    <w:t>Benefit-cost ratio</w:t>
                  </w:r>
                  <w:r w:rsidR="00157076">
                    <w:rPr>
                      <w:rStyle w:val="NoteLabel"/>
                    </w:rPr>
                    <w:t>f</w:t>
                  </w:r>
                </w:p>
              </w:tc>
              <w:tc>
                <w:tcPr>
                  <w:tcW w:w="1100" w:type="pct"/>
                  <w:tcBorders>
                    <w:bottom w:val="single" w:sz="6" w:space="0" w:color="C8C8C8"/>
                  </w:tcBorders>
                  <w:vAlign w:val="bottom"/>
                </w:tcPr>
                <w:p w:rsidR="00A20DA8" w:rsidRDefault="00A20DA8" w:rsidP="00D6508B">
                  <w:pPr>
                    <w:pStyle w:val="TableBodyText"/>
                  </w:pPr>
                  <w:r>
                    <w:t>0.73</w:t>
                  </w:r>
                </w:p>
              </w:tc>
              <w:tc>
                <w:tcPr>
                  <w:tcW w:w="1182" w:type="pct"/>
                  <w:tcBorders>
                    <w:bottom w:val="single" w:sz="6" w:space="0" w:color="C8C8C8"/>
                  </w:tcBorders>
                  <w:vAlign w:val="bottom"/>
                </w:tcPr>
                <w:p w:rsidR="00A20DA8" w:rsidRDefault="00A20DA8" w:rsidP="00D6508B">
                  <w:pPr>
                    <w:pStyle w:val="TableBodyText"/>
                  </w:pPr>
                  <w:r>
                    <w:t>1.23</w:t>
                  </w:r>
                </w:p>
              </w:tc>
              <w:tc>
                <w:tcPr>
                  <w:tcW w:w="1041" w:type="pct"/>
                  <w:tcBorders>
                    <w:bottom w:val="single" w:sz="6" w:space="0" w:color="C8C8C8"/>
                  </w:tcBorders>
                  <w:shd w:val="clear" w:color="auto" w:fill="auto"/>
                  <w:vAlign w:val="bottom"/>
                </w:tcPr>
                <w:p w:rsidR="00A20DA8" w:rsidRDefault="00A20DA8" w:rsidP="00D6508B">
                  <w:pPr>
                    <w:pStyle w:val="TableBodyText"/>
                  </w:pPr>
                  <w:r>
                    <w:t>12.85</w:t>
                  </w:r>
                </w:p>
              </w:tc>
            </w:tr>
          </w:tbl>
          <w:p w:rsidR="00A20DA8" w:rsidRDefault="00A20DA8" w:rsidP="00301C7C">
            <w:pPr>
              <w:pStyle w:val="Box"/>
            </w:pPr>
          </w:p>
        </w:tc>
      </w:tr>
      <w:tr w:rsidR="00A20DA8" w:rsidTr="00301C7C">
        <w:trPr>
          <w:cantSplit/>
        </w:trPr>
        <w:tc>
          <w:tcPr>
            <w:tcW w:w="8771" w:type="dxa"/>
            <w:tcBorders>
              <w:top w:val="nil"/>
              <w:left w:val="nil"/>
              <w:bottom w:val="nil"/>
              <w:right w:val="nil"/>
            </w:tcBorders>
            <w:shd w:val="clear" w:color="auto" w:fill="auto"/>
          </w:tcPr>
          <w:p w:rsidR="00A20DA8" w:rsidRDefault="00A20DA8" w:rsidP="00157076">
            <w:pPr>
              <w:pStyle w:val="Note"/>
              <w:rPr>
                <w:i/>
              </w:rPr>
            </w:pPr>
            <w:proofErr w:type="gramStart"/>
            <w:r w:rsidRPr="008E77FE">
              <w:rPr>
                <w:rStyle w:val="NoteLabel"/>
              </w:rPr>
              <w:t>a</w:t>
            </w:r>
            <w:proofErr w:type="gramEnd"/>
            <w:r>
              <w:t xml:space="preserve"> From table 5.1, p. 30 of PwC report. </w:t>
            </w:r>
            <w:proofErr w:type="gramStart"/>
            <w:r>
              <w:rPr>
                <w:rStyle w:val="NoteLabel"/>
              </w:rPr>
              <w:t>b</w:t>
            </w:r>
            <w:proofErr w:type="gramEnd"/>
            <w:r>
              <w:t xml:space="preserve"> From p. 29 of PwC report. </w:t>
            </w:r>
            <w:proofErr w:type="gramStart"/>
            <w:r>
              <w:rPr>
                <w:rStyle w:val="NoteLabel"/>
              </w:rPr>
              <w:t>c</w:t>
            </w:r>
            <w:proofErr w:type="gramEnd"/>
            <w:r>
              <w:t xml:space="preserve"> </w:t>
            </w:r>
            <w:r w:rsidR="00157076">
              <w:t xml:space="preserve">Two case outcomes assumptions are used to calculate court costs, with the share of cases finalised by mediated and final agreements varied (see pp. 30–34 of PwC report). </w:t>
            </w:r>
            <w:proofErr w:type="gramStart"/>
            <w:r w:rsidR="00157076">
              <w:rPr>
                <w:rStyle w:val="NoteLabel"/>
              </w:rPr>
              <w:t>d</w:t>
            </w:r>
            <w:proofErr w:type="gramEnd"/>
            <w:r w:rsidR="00157076">
              <w:t xml:space="preserve"> </w:t>
            </w:r>
            <w:r>
              <w:t xml:space="preserve">From </w:t>
            </w:r>
            <w:r w:rsidR="00A10CC6">
              <w:t xml:space="preserve">table 5.5, </w:t>
            </w:r>
            <w:r>
              <w:t xml:space="preserve">p. 34 of PwC report. </w:t>
            </w:r>
            <w:proofErr w:type="gramStart"/>
            <w:r w:rsidR="00C124B6">
              <w:rPr>
                <w:rStyle w:val="NoteLabel"/>
              </w:rPr>
              <w:t>e</w:t>
            </w:r>
            <w:proofErr w:type="gramEnd"/>
            <w:r>
              <w:t xml:space="preserve"> Calculated by multiplying the efficiency cost of SRLs by the cost to the courts per case. </w:t>
            </w:r>
            <w:proofErr w:type="gramStart"/>
            <w:r w:rsidR="00F542C9">
              <w:rPr>
                <w:rStyle w:val="NoteLabel"/>
              </w:rPr>
              <w:t>f</w:t>
            </w:r>
            <w:proofErr w:type="gramEnd"/>
            <w:r>
              <w:t xml:space="preserve"> Calculated by dividing the efficiency benefit of each legal aid service by the legal aid service cost per case. A ratio below 1 implies that costs exceed benefits.</w:t>
            </w:r>
          </w:p>
        </w:tc>
      </w:tr>
      <w:tr w:rsidR="00A20DA8" w:rsidTr="00301C7C">
        <w:trPr>
          <w:cantSplit/>
        </w:trPr>
        <w:tc>
          <w:tcPr>
            <w:tcW w:w="8771" w:type="dxa"/>
            <w:tcBorders>
              <w:top w:val="nil"/>
              <w:left w:val="nil"/>
              <w:bottom w:val="nil"/>
              <w:right w:val="nil"/>
            </w:tcBorders>
            <w:shd w:val="clear" w:color="auto" w:fill="auto"/>
          </w:tcPr>
          <w:p w:rsidR="00A20DA8" w:rsidRDefault="00DD799F" w:rsidP="00DD799F">
            <w:pPr>
              <w:pStyle w:val="Source"/>
            </w:pPr>
            <w:r>
              <w:rPr>
                <w:i/>
              </w:rPr>
              <w:t>Source</w:t>
            </w:r>
            <w:r w:rsidR="00A20DA8" w:rsidRPr="00167F06">
              <w:t>:</w:t>
            </w:r>
            <w:r w:rsidR="00A20DA8">
              <w:t xml:space="preserve"> </w:t>
            </w:r>
            <w:r w:rsidR="00D555E4">
              <w:t xml:space="preserve">Commission estimates based on figures and results contained in </w:t>
            </w:r>
            <w:r w:rsidR="00A20DA8">
              <w:t xml:space="preserve">PwC </w:t>
            </w:r>
            <w:r w:rsidR="00A20DA8" w:rsidRPr="003A4A45">
              <w:rPr>
                <w:rFonts w:cs="Arial"/>
              </w:rPr>
              <w:t>(2009)</w:t>
            </w:r>
            <w:r w:rsidR="00A20DA8">
              <w:t>.</w:t>
            </w:r>
          </w:p>
        </w:tc>
      </w:tr>
      <w:tr w:rsidR="00A20DA8" w:rsidTr="00301C7C">
        <w:trPr>
          <w:cantSplit/>
        </w:trPr>
        <w:tc>
          <w:tcPr>
            <w:tcW w:w="8771" w:type="dxa"/>
            <w:tcBorders>
              <w:top w:val="nil"/>
              <w:left w:val="nil"/>
              <w:bottom w:val="single" w:sz="6" w:space="0" w:color="78A22F" w:themeColor="accent1"/>
              <w:right w:val="nil"/>
            </w:tcBorders>
            <w:shd w:val="clear" w:color="auto" w:fill="auto"/>
          </w:tcPr>
          <w:p w:rsidR="00A20DA8" w:rsidRDefault="00A20DA8" w:rsidP="00301C7C">
            <w:pPr>
              <w:pStyle w:val="Box"/>
              <w:spacing w:before="0" w:line="120" w:lineRule="exact"/>
            </w:pPr>
          </w:p>
        </w:tc>
      </w:tr>
      <w:tr w:rsidR="00A20DA8" w:rsidRPr="000863A5" w:rsidTr="00301C7C">
        <w:tc>
          <w:tcPr>
            <w:tcW w:w="8771" w:type="dxa"/>
            <w:tcBorders>
              <w:top w:val="single" w:sz="6" w:space="0" w:color="78A22F" w:themeColor="accent1"/>
              <w:left w:val="nil"/>
              <w:bottom w:val="nil"/>
              <w:right w:val="nil"/>
            </w:tcBorders>
          </w:tcPr>
          <w:p w:rsidR="00A20DA8" w:rsidRPr="00626D32" w:rsidRDefault="00A20DA8" w:rsidP="00301C7C">
            <w:pPr>
              <w:pStyle w:val="BoxSpaceBelow"/>
            </w:pPr>
          </w:p>
        </w:tc>
      </w:tr>
    </w:tbl>
    <w:p w:rsidR="00E16B7F" w:rsidRDefault="00E16B7F" w:rsidP="00E16B7F">
      <w:pPr>
        <w:pStyle w:val="BodyText"/>
      </w:pPr>
      <w:r>
        <w:t>This is not to suggest that the overall benefits of providing legal representation are necessarily outweighed by the costs — rather, it indicates that the cost of providing legal aid representation is not justified by these assumed efficiency gains alone. However, as noted above, other benefits to the community — such as avoiding greater costs to government that can arise from an unresolved legal problem — may outweigh the costs of providing legal assistance.</w:t>
      </w:r>
    </w:p>
    <w:bookmarkEnd w:id="2"/>
    <w:p w:rsidR="009A7626" w:rsidRPr="0048016D" w:rsidRDefault="009A7626" w:rsidP="0048016D">
      <w:pPr>
        <w:rPr>
          <w:szCs w:val="20"/>
        </w:rPr>
      </w:pPr>
    </w:p>
    <w:sectPr w:rsidR="009A7626" w:rsidRPr="0048016D" w:rsidSect="00395F42">
      <w:headerReference w:type="even" r:id="rId9"/>
      <w:headerReference w:type="default" r:id="rId10"/>
      <w:footerReference w:type="even" r:id="rId11"/>
      <w:footerReference w:type="default" r:id="rId12"/>
      <w:pgSz w:w="11907" w:h="16840" w:code="9"/>
      <w:pgMar w:top="1984" w:right="1304" w:bottom="1247" w:left="1814" w:header="1701" w:footer="397" w:gutter="0"/>
      <w:pgNumType w:start="1049"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E3" w:rsidRDefault="00137CE3">
      <w:r>
        <w:separator/>
      </w:r>
    </w:p>
  </w:endnote>
  <w:endnote w:type="continuationSeparator" w:id="0">
    <w:p w:rsidR="00137CE3" w:rsidRDefault="0013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37CE3" w:rsidTr="005C1C3F">
      <w:trPr>
        <w:trHeight w:hRule="exact" w:val="567"/>
      </w:trPr>
      <w:tc>
        <w:tcPr>
          <w:tcW w:w="510" w:type="dxa"/>
        </w:tcPr>
        <w:p w:rsidR="00137CE3" w:rsidRPr="00A24443" w:rsidRDefault="00137CE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91853">
            <w:rPr>
              <w:rStyle w:val="PageNumber"/>
              <w:caps w:val="0"/>
              <w:noProof/>
            </w:rPr>
            <w:t>1062</w:t>
          </w:r>
          <w:r w:rsidRPr="00A24443">
            <w:rPr>
              <w:rStyle w:val="PageNumber"/>
              <w:caps w:val="0"/>
            </w:rPr>
            <w:fldChar w:fldCharType="end"/>
          </w:r>
        </w:p>
      </w:tc>
      <w:tc>
        <w:tcPr>
          <w:tcW w:w="7767" w:type="dxa"/>
        </w:tcPr>
        <w:p w:rsidR="00137CE3" w:rsidRPr="0013739A" w:rsidRDefault="00137CE3" w:rsidP="005C1C3F">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90750D">
            <w:rPr>
              <w:rFonts w:cs="Arial"/>
            </w:rPr>
            <w:t>Access to Justice Arrangements</w:t>
          </w:r>
          <w:r w:rsidRPr="00BA5B14">
            <w:rPr>
              <w:rFonts w:cs="Arial"/>
            </w:rPr>
            <w:fldChar w:fldCharType="end"/>
          </w:r>
          <w:bookmarkStart w:id="6" w:name="DraftReportEven"/>
          <w:bookmarkEnd w:id="6"/>
        </w:p>
      </w:tc>
      <w:tc>
        <w:tcPr>
          <w:tcW w:w="510" w:type="dxa"/>
        </w:tcPr>
        <w:p w:rsidR="00137CE3" w:rsidRDefault="00137CE3" w:rsidP="0019293B">
          <w:pPr>
            <w:pStyle w:val="Footer"/>
          </w:pPr>
        </w:p>
      </w:tc>
    </w:tr>
  </w:tbl>
  <w:p w:rsidR="00137CE3" w:rsidRDefault="00137CE3" w:rsidP="0019293B">
    <w:pPr>
      <w:pStyle w:val="FooterEnd"/>
    </w:pPr>
  </w:p>
  <w:p w:rsidR="00137CE3" w:rsidRDefault="00137CE3"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37CE3" w:rsidTr="005C1C3F">
      <w:trPr>
        <w:trHeight w:hRule="exact" w:val="567"/>
      </w:trPr>
      <w:tc>
        <w:tcPr>
          <w:tcW w:w="510" w:type="dxa"/>
        </w:tcPr>
        <w:p w:rsidR="00137CE3" w:rsidRDefault="00137CE3">
          <w:pPr>
            <w:pStyle w:val="Footer"/>
            <w:ind w:right="360" w:firstLine="360"/>
          </w:pPr>
        </w:p>
      </w:tc>
      <w:tc>
        <w:tcPr>
          <w:tcW w:w="7767" w:type="dxa"/>
        </w:tcPr>
        <w:p w:rsidR="00137CE3" w:rsidRPr="00BA5B14" w:rsidRDefault="00137CE3" w:rsidP="005C1C3F">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90750D">
            <w:rPr>
              <w:rFonts w:cs="Arial"/>
            </w:rPr>
            <w:t>Measuring the benefits of legal assistance services</w:t>
          </w:r>
          <w:r w:rsidRPr="00BA5B14">
            <w:rPr>
              <w:rFonts w:cs="Arial"/>
            </w:rPr>
            <w:fldChar w:fldCharType="end"/>
          </w:r>
        </w:p>
      </w:tc>
      <w:tc>
        <w:tcPr>
          <w:tcW w:w="510" w:type="dxa"/>
        </w:tcPr>
        <w:p w:rsidR="00137CE3" w:rsidRPr="00A24443" w:rsidRDefault="00137CE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91853">
            <w:rPr>
              <w:rStyle w:val="PageNumber"/>
              <w:caps w:val="0"/>
              <w:noProof/>
            </w:rPr>
            <w:t>1049</w:t>
          </w:r>
          <w:r w:rsidRPr="00A24443">
            <w:rPr>
              <w:rStyle w:val="PageNumber"/>
              <w:caps w:val="0"/>
            </w:rPr>
            <w:fldChar w:fldCharType="end"/>
          </w:r>
        </w:p>
      </w:tc>
    </w:tr>
  </w:tbl>
  <w:p w:rsidR="00137CE3" w:rsidRDefault="00137CE3">
    <w:pPr>
      <w:pStyle w:val="FooterEnd"/>
    </w:pPr>
  </w:p>
  <w:p w:rsidR="00137CE3" w:rsidRDefault="00137CE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E3" w:rsidRDefault="00137CE3">
      <w:r>
        <w:separator/>
      </w:r>
    </w:p>
  </w:footnote>
  <w:footnote w:type="continuationSeparator" w:id="0">
    <w:p w:rsidR="00137CE3" w:rsidRDefault="00137CE3">
      <w:r>
        <w:continuationSeparator/>
      </w:r>
    </w:p>
  </w:footnote>
  <w:footnote w:id="1">
    <w:p w:rsidR="00137CE3" w:rsidRPr="00AE0A53" w:rsidRDefault="00137CE3" w:rsidP="00651ACC">
      <w:pPr>
        <w:pStyle w:val="FootnoteText"/>
        <w:rPr>
          <w:lang w:val="en-US"/>
        </w:rPr>
      </w:pPr>
      <w:r w:rsidRPr="0060577C">
        <w:rPr>
          <w:rStyle w:val="FootnoteReference"/>
        </w:rPr>
        <w:footnoteRef/>
      </w:r>
      <w:r>
        <w:tab/>
        <w:t>Randomised control trials allocate people at random to receive one of a number of interventions (or ‘treatments’)</w:t>
      </w:r>
      <w:proofErr w:type="gramStart"/>
      <w:r>
        <w:t>,</w:t>
      </w:r>
      <w:proofErr w:type="gramEnd"/>
      <w:r>
        <w:t xml:space="preserve"> usually along with a randomly assigned ‘control’ group that receives no intervention. This reduces the effect of selection bias between treatment groups, and thus any significant differences in outcomes between the groups can be more conclusively attributed to the interventions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137CE3">
      <w:tc>
        <w:tcPr>
          <w:tcW w:w="2155" w:type="dxa"/>
          <w:tcBorders>
            <w:top w:val="single" w:sz="24" w:space="0" w:color="auto"/>
          </w:tcBorders>
        </w:tcPr>
        <w:p w:rsidR="00137CE3" w:rsidRDefault="00137CE3" w:rsidP="0019293B">
          <w:pPr>
            <w:pStyle w:val="HeaderEven"/>
          </w:pPr>
        </w:p>
      </w:tc>
      <w:tc>
        <w:tcPr>
          <w:tcW w:w="6634" w:type="dxa"/>
          <w:tcBorders>
            <w:top w:val="single" w:sz="6" w:space="0" w:color="auto"/>
          </w:tcBorders>
        </w:tcPr>
        <w:p w:rsidR="00137CE3" w:rsidRDefault="00137CE3" w:rsidP="0019293B">
          <w:pPr>
            <w:pStyle w:val="HeaderEven"/>
          </w:pPr>
        </w:p>
      </w:tc>
    </w:tr>
  </w:tbl>
  <w:p w:rsidR="00137CE3" w:rsidRDefault="00137CE3"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37CE3">
      <w:tc>
        <w:tcPr>
          <w:tcW w:w="6634" w:type="dxa"/>
          <w:tcBorders>
            <w:top w:val="single" w:sz="6" w:space="0" w:color="auto"/>
          </w:tcBorders>
        </w:tcPr>
        <w:p w:rsidR="00137CE3" w:rsidRDefault="00137CE3" w:rsidP="00E669E2">
          <w:pPr>
            <w:pStyle w:val="HeaderOdd"/>
          </w:pPr>
        </w:p>
      </w:tc>
      <w:tc>
        <w:tcPr>
          <w:tcW w:w="2155" w:type="dxa"/>
          <w:tcBorders>
            <w:top w:val="single" w:sz="24" w:space="0" w:color="auto"/>
          </w:tcBorders>
        </w:tcPr>
        <w:p w:rsidR="00137CE3" w:rsidRDefault="00137CE3" w:rsidP="00E669E2">
          <w:pPr>
            <w:pStyle w:val="HeaderOdd"/>
          </w:pPr>
        </w:p>
      </w:tc>
    </w:tr>
  </w:tbl>
  <w:p w:rsidR="00137CE3" w:rsidRDefault="00137CE3"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0B5AF1CA"/>
    <w:lvl w:ilvl="0">
      <w:start w:val="1"/>
      <w:numFmt w:val="decimal"/>
      <w:lvlText w:val="%1."/>
      <w:lvlJc w:val="left"/>
      <w:pPr>
        <w:tabs>
          <w:tab w:val="num" w:pos="360"/>
        </w:tabs>
        <w:ind w:left="360" w:hanging="360"/>
      </w:p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5"/>
  </w:num>
  <w:num w:numId="3">
    <w:abstractNumId w:val="20"/>
  </w:num>
  <w:num w:numId="4">
    <w:abstractNumId w:val="3"/>
  </w:num>
  <w:num w:numId="5">
    <w:abstractNumId w:val="14"/>
  </w:num>
  <w:num w:numId="6">
    <w:abstractNumId w:val="4"/>
  </w:num>
  <w:num w:numId="7">
    <w:abstractNumId w:val="19"/>
  </w:num>
  <w:num w:numId="8">
    <w:abstractNumId w:val="16"/>
  </w:num>
  <w:num w:numId="9">
    <w:abstractNumId w:val="21"/>
  </w:num>
  <w:num w:numId="10">
    <w:abstractNumId w:val="10"/>
  </w:num>
  <w:num w:numId="11">
    <w:abstractNumId w:val="8"/>
  </w:num>
  <w:num w:numId="12">
    <w:abstractNumId w:val="15"/>
  </w:num>
  <w:num w:numId="13">
    <w:abstractNumId w:val="7"/>
  </w:num>
  <w:num w:numId="14">
    <w:abstractNumId w:val="6"/>
  </w:num>
  <w:num w:numId="15">
    <w:abstractNumId w:val="11"/>
  </w:num>
  <w:num w:numId="16">
    <w:abstractNumId w:val="13"/>
  </w:num>
  <w:num w:numId="17">
    <w:abstractNumId w:val="17"/>
  </w:num>
  <w:num w:numId="18">
    <w:abstractNumId w:val="18"/>
  </w:num>
  <w:num w:numId="19">
    <w:abstractNumId w:val="9"/>
  </w:num>
  <w:num w:numId="20">
    <w:abstractNumId w:val="0"/>
  </w:num>
  <w:num w:numId="21">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2"/>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K"/>
    <w:docVar w:name="FindingOptions" w:val="1"/>
    <w:docVar w:name="RecOptions" w:val="111"/>
    <w:docVar w:name="ShortChapterTitle" w:val="Measuring the benefits of legal assistance services"/>
    <w:docVar w:name="ShortReportTitle" w:val="Access to Justice Arrangements"/>
  </w:docVars>
  <w:rsids>
    <w:rsidRoot w:val="002050C0"/>
    <w:rsid w:val="000004F0"/>
    <w:rsid w:val="000006EA"/>
    <w:rsid w:val="00001BFE"/>
    <w:rsid w:val="00010B04"/>
    <w:rsid w:val="00016757"/>
    <w:rsid w:val="00016B79"/>
    <w:rsid w:val="00017139"/>
    <w:rsid w:val="000227D5"/>
    <w:rsid w:val="0002423A"/>
    <w:rsid w:val="000245AA"/>
    <w:rsid w:val="000246F1"/>
    <w:rsid w:val="00026AAD"/>
    <w:rsid w:val="00032AC0"/>
    <w:rsid w:val="0003664B"/>
    <w:rsid w:val="0003671B"/>
    <w:rsid w:val="0004111F"/>
    <w:rsid w:val="00042A11"/>
    <w:rsid w:val="000449FC"/>
    <w:rsid w:val="00044ADC"/>
    <w:rsid w:val="00044C6C"/>
    <w:rsid w:val="00045DF9"/>
    <w:rsid w:val="000518EB"/>
    <w:rsid w:val="0005327F"/>
    <w:rsid w:val="000565B3"/>
    <w:rsid w:val="000620A6"/>
    <w:rsid w:val="00067932"/>
    <w:rsid w:val="0007150B"/>
    <w:rsid w:val="00072261"/>
    <w:rsid w:val="00072A11"/>
    <w:rsid w:val="00093017"/>
    <w:rsid w:val="000938F5"/>
    <w:rsid w:val="00096E55"/>
    <w:rsid w:val="000B601B"/>
    <w:rsid w:val="000C207E"/>
    <w:rsid w:val="000D2CE1"/>
    <w:rsid w:val="000D6FA6"/>
    <w:rsid w:val="000E2B5D"/>
    <w:rsid w:val="000E3530"/>
    <w:rsid w:val="000E65CC"/>
    <w:rsid w:val="000E76B9"/>
    <w:rsid w:val="000F0035"/>
    <w:rsid w:val="000F1CB0"/>
    <w:rsid w:val="000F3C11"/>
    <w:rsid w:val="000F420B"/>
    <w:rsid w:val="000F5F73"/>
    <w:rsid w:val="00100FDF"/>
    <w:rsid w:val="00102382"/>
    <w:rsid w:val="00102C3E"/>
    <w:rsid w:val="001031E0"/>
    <w:rsid w:val="00105D70"/>
    <w:rsid w:val="00110116"/>
    <w:rsid w:val="00120072"/>
    <w:rsid w:val="0012397A"/>
    <w:rsid w:val="00123AAF"/>
    <w:rsid w:val="00125498"/>
    <w:rsid w:val="00126EB8"/>
    <w:rsid w:val="0012732D"/>
    <w:rsid w:val="001274D4"/>
    <w:rsid w:val="00132466"/>
    <w:rsid w:val="001363AA"/>
    <w:rsid w:val="00137CE3"/>
    <w:rsid w:val="0014440A"/>
    <w:rsid w:val="00144909"/>
    <w:rsid w:val="00150939"/>
    <w:rsid w:val="0015190C"/>
    <w:rsid w:val="00154A80"/>
    <w:rsid w:val="00155827"/>
    <w:rsid w:val="00157076"/>
    <w:rsid w:val="00157F85"/>
    <w:rsid w:val="00160CED"/>
    <w:rsid w:val="0017165A"/>
    <w:rsid w:val="00173108"/>
    <w:rsid w:val="0017473A"/>
    <w:rsid w:val="00176B3E"/>
    <w:rsid w:val="00182192"/>
    <w:rsid w:val="00183E82"/>
    <w:rsid w:val="001843DE"/>
    <w:rsid w:val="001856A3"/>
    <w:rsid w:val="001871DB"/>
    <w:rsid w:val="001878BB"/>
    <w:rsid w:val="0019116A"/>
    <w:rsid w:val="0019144F"/>
    <w:rsid w:val="00191AE0"/>
    <w:rsid w:val="0019293B"/>
    <w:rsid w:val="0019426B"/>
    <w:rsid w:val="001A4BFB"/>
    <w:rsid w:val="001B700E"/>
    <w:rsid w:val="001C0865"/>
    <w:rsid w:val="001C3ABA"/>
    <w:rsid w:val="001C43BC"/>
    <w:rsid w:val="001C536D"/>
    <w:rsid w:val="001C6271"/>
    <w:rsid w:val="001D0B6B"/>
    <w:rsid w:val="001D2F3F"/>
    <w:rsid w:val="001D4C1E"/>
    <w:rsid w:val="001D62F9"/>
    <w:rsid w:val="001E03F7"/>
    <w:rsid w:val="001E4F6C"/>
    <w:rsid w:val="001E64FB"/>
    <w:rsid w:val="001E7BE8"/>
    <w:rsid w:val="001F0248"/>
    <w:rsid w:val="001F12E5"/>
    <w:rsid w:val="001F3EB3"/>
    <w:rsid w:val="001F4F86"/>
    <w:rsid w:val="001F79F8"/>
    <w:rsid w:val="001F7D87"/>
    <w:rsid w:val="00202C2C"/>
    <w:rsid w:val="00202E13"/>
    <w:rsid w:val="00202FF0"/>
    <w:rsid w:val="00204E92"/>
    <w:rsid w:val="002050C0"/>
    <w:rsid w:val="00205E12"/>
    <w:rsid w:val="002113D6"/>
    <w:rsid w:val="00212620"/>
    <w:rsid w:val="002135AB"/>
    <w:rsid w:val="002144BE"/>
    <w:rsid w:val="002153AB"/>
    <w:rsid w:val="00215CA2"/>
    <w:rsid w:val="00222CB5"/>
    <w:rsid w:val="0022372E"/>
    <w:rsid w:val="0022629C"/>
    <w:rsid w:val="0022692E"/>
    <w:rsid w:val="00230A59"/>
    <w:rsid w:val="00234A71"/>
    <w:rsid w:val="00240033"/>
    <w:rsid w:val="00240D22"/>
    <w:rsid w:val="00242279"/>
    <w:rsid w:val="00245C82"/>
    <w:rsid w:val="0026206F"/>
    <w:rsid w:val="00262738"/>
    <w:rsid w:val="002627A6"/>
    <w:rsid w:val="00262F5A"/>
    <w:rsid w:val="00264339"/>
    <w:rsid w:val="00276A7A"/>
    <w:rsid w:val="002775DD"/>
    <w:rsid w:val="00290280"/>
    <w:rsid w:val="00291B40"/>
    <w:rsid w:val="00292528"/>
    <w:rsid w:val="00297B7F"/>
    <w:rsid w:val="002A3142"/>
    <w:rsid w:val="002A4F54"/>
    <w:rsid w:val="002A4FD9"/>
    <w:rsid w:val="002B4008"/>
    <w:rsid w:val="002B6F1F"/>
    <w:rsid w:val="002C21F5"/>
    <w:rsid w:val="002D0BAC"/>
    <w:rsid w:val="002D0E8E"/>
    <w:rsid w:val="002D76DD"/>
    <w:rsid w:val="002E0B40"/>
    <w:rsid w:val="002F424D"/>
    <w:rsid w:val="002F444B"/>
    <w:rsid w:val="00301189"/>
    <w:rsid w:val="00301C7C"/>
    <w:rsid w:val="0030419C"/>
    <w:rsid w:val="00305CE1"/>
    <w:rsid w:val="003074F7"/>
    <w:rsid w:val="0032206B"/>
    <w:rsid w:val="00323E09"/>
    <w:rsid w:val="00333635"/>
    <w:rsid w:val="00333932"/>
    <w:rsid w:val="0033697C"/>
    <w:rsid w:val="003409D0"/>
    <w:rsid w:val="00343704"/>
    <w:rsid w:val="003473D5"/>
    <w:rsid w:val="00347A78"/>
    <w:rsid w:val="00350AC1"/>
    <w:rsid w:val="003518AA"/>
    <w:rsid w:val="00352165"/>
    <w:rsid w:val="00353182"/>
    <w:rsid w:val="003565D9"/>
    <w:rsid w:val="003566B5"/>
    <w:rsid w:val="003602E1"/>
    <w:rsid w:val="003635CF"/>
    <w:rsid w:val="0037026F"/>
    <w:rsid w:val="00371240"/>
    <w:rsid w:val="00374731"/>
    <w:rsid w:val="00376E59"/>
    <w:rsid w:val="00377689"/>
    <w:rsid w:val="00382EA4"/>
    <w:rsid w:val="003832B2"/>
    <w:rsid w:val="00384227"/>
    <w:rsid w:val="00385458"/>
    <w:rsid w:val="003919F9"/>
    <w:rsid w:val="00392B09"/>
    <w:rsid w:val="003955DB"/>
    <w:rsid w:val="00395F42"/>
    <w:rsid w:val="00396071"/>
    <w:rsid w:val="003A3AA6"/>
    <w:rsid w:val="003A4299"/>
    <w:rsid w:val="003A4A45"/>
    <w:rsid w:val="003A5277"/>
    <w:rsid w:val="003B2CF4"/>
    <w:rsid w:val="003B3C0B"/>
    <w:rsid w:val="003C02EE"/>
    <w:rsid w:val="003C38B5"/>
    <w:rsid w:val="003C5D99"/>
    <w:rsid w:val="003C66A5"/>
    <w:rsid w:val="003E2F59"/>
    <w:rsid w:val="003E3EDC"/>
    <w:rsid w:val="003E6BEF"/>
    <w:rsid w:val="003F0789"/>
    <w:rsid w:val="003F3F24"/>
    <w:rsid w:val="003F5967"/>
    <w:rsid w:val="00401882"/>
    <w:rsid w:val="00403003"/>
    <w:rsid w:val="00407A3F"/>
    <w:rsid w:val="004100C8"/>
    <w:rsid w:val="004107D9"/>
    <w:rsid w:val="00411DBD"/>
    <w:rsid w:val="00412ACE"/>
    <w:rsid w:val="004222A2"/>
    <w:rsid w:val="004227EC"/>
    <w:rsid w:val="004271F8"/>
    <w:rsid w:val="00427766"/>
    <w:rsid w:val="00431249"/>
    <w:rsid w:val="00434C19"/>
    <w:rsid w:val="00442BF5"/>
    <w:rsid w:val="00444B68"/>
    <w:rsid w:val="00444CDF"/>
    <w:rsid w:val="00447276"/>
    <w:rsid w:val="00447B7A"/>
    <w:rsid w:val="00450810"/>
    <w:rsid w:val="0046258B"/>
    <w:rsid w:val="00463385"/>
    <w:rsid w:val="004633E2"/>
    <w:rsid w:val="0047695C"/>
    <w:rsid w:val="00477144"/>
    <w:rsid w:val="0048016D"/>
    <w:rsid w:val="00491380"/>
    <w:rsid w:val="00491D3F"/>
    <w:rsid w:val="00492962"/>
    <w:rsid w:val="0049459F"/>
    <w:rsid w:val="00494811"/>
    <w:rsid w:val="004A09A0"/>
    <w:rsid w:val="004A20C1"/>
    <w:rsid w:val="004A38DD"/>
    <w:rsid w:val="004A67D6"/>
    <w:rsid w:val="004B21F3"/>
    <w:rsid w:val="004B2551"/>
    <w:rsid w:val="004B43AE"/>
    <w:rsid w:val="004B5B3D"/>
    <w:rsid w:val="004B61F6"/>
    <w:rsid w:val="004B743E"/>
    <w:rsid w:val="004B7DFE"/>
    <w:rsid w:val="004C30ED"/>
    <w:rsid w:val="004C63A4"/>
    <w:rsid w:val="004D07E9"/>
    <w:rsid w:val="004D5675"/>
    <w:rsid w:val="004D5EED"/>
    <w:rsid w:val="004E0A49"/>
    <w:rsid w:val="004E3EAC"/>
    <w:rsid w:val="004E59B6"/>
    <w:rsid w:val="004E7B14"/>
    <w:rsid w:val="004F163F"/>
    <w:rsid w:val="004F3CCF"/>
    <w:rsid w:val="0050086F"/>
    <w:rsid w:val="00500DE6"/>
    <w:rsid w:val="005019D9"/>
    <w:rsid w:val="005111B3"/>
    <w:rsid w:val="005120D9"/>
    <w:rsid w:val="005164D8"/>
    <w:rsid w:val="0051772C"/>
    <w:rsid w:val="005203F6"/>
    <w:rsid w:val="005228B0"/>
    <w:rsid w:val="00523639"/>
    <w:rsid w:val="005245DC"/>
    <w:rsid w:val="00531FE5"/>
    <w:rsid w:val="0053300D"/>
    <w:rsid w:val="00534561"/>
    <w:rsid w:val="005361C4"/>
    <w:rsid w:val="005402FA"/>
    <w:rsid w:val="005427D3"/>
    <w:rsid w:val="0054534D"/>
    <w:rsid w:val="00547756"/>
    <w:rsid w:val="0056472E"/>
    <w:rsid w:val="00574CA1"/>
    <w:rsid w:val="00577AEC"/>
    <w:rsid w:val="005801E7"/>
    <w:rsid w:val="005810AA"/>
    <w:rsid w:val="00582453"/>
    <w:rsid w:val="00583A24"/>
    <w:rsid w:val="00583C39"/>
    <w:rsid w:val="00585BF8"/>
    <w:rsid w:val="00586573"/>
    <w:rsid w:val="00587F28"/>
    <w:rsid w:val="005909CF"/>
    <w:rsid w:val="00591853"/>
    <w:rsid w:val="00591E71"/>
    <w:rsid w:val="00592FFD"/>
    <w:rsid w:val="005A0D41"/>
    <w:rsid w:val="005A56B1"/>
    <w:rsid w:val="005B69CF"/>
    <w:rsid w:val="005C1C3F"/>
    <w:rsid w:val="005C6102"/>
    <w:rsid w:val="005D5352"/>
    <w:rsid w:val="005D664F"/>
    <w:rsid w:val="005E2D45"/>
    <w:rsid w:val="005E6957"/>
    <w:rsid w:val="005F7E89"/>
    <w:rsid w:val="0060577C"/>
    <w:rsid w:val="00606AAB"/>
    <w:rsid w:val="00607BF1"/>
    <w:rsid w:val="00613A31"/>
    <w:rsid w:val="0061656C"/>
    <w:rsid w:val="0063067F"/>
    <w:rsid w:val="00630D4D"/>
    <w:rsid w:val="00632A74"/>
    <w:rsid w:val="00632F53"/>
    <w:rsid w:val="00635820"/>
    <w:rsid w:val="00644F1A"/>
    <w:rsid w:val="00647BC7"/>
    <w:rsid w:val="00651ACC"/>
    <w:rsid w:val="00653347"/>
    <w:rsid w:val="006551FF"/>
    <w:rsid w:val="00655A89"/>
    <w:rsid w:val="006562E9"/>
    <w:rsid w:val="0065670F"/>
    <w:rsid w:val="00660B1A"/>
    <w:rsid w:val="00661795"/>
    <w:rsid w:val="00662E52"/>
    <w:rsid w:val="00674916"/>
    <w:rsid w:val="006801FB"/>
    <w:rsid w:val="00682062"/>
    <w:rsid w:val="006846D5"/>
    <w:rsid w:val="00693132"/>
    <w:rsid w:val="006A4655"/>
    <w:rsid w:val="006B1673"/>
    <w:rsid w:val="006B2B3C"/>
    <w:rsid w:val="006C1D81"/>
    <w:rsid w:val="006C45D6"/>
    <w:rsid w:val="006C550C"/>
    <w:rsid w:val="006C7038"/>
    <w:rsid w:val="006E0A5C"/>
    <w:rsid w:val="006E73EF"/>
    <w:rsid w:val="006F3041"/>
    <w:rsid w:val="00704883"/>
    <w:rsid w:val="00704F8B"/>
    <w:rsid w:val="00710512"/>
    <w:rsid w:val="00714D4D"/>
    <w:rsid w:val="007179B5"/>
    <w:rsid w:val="00722B4C"/>
    <w:rsid w:val="0072382C"/>
    <w:rsid w:val="0072383F"/>
    <w:rsid w:val="00723A73"/>
    <w:rsid w:val="00737F24"/>
    <w:rsid w:val="00744EE3"/>
    <w:rsid w:val="00745585"/>
    <w:rsid w:val="00746866"/>
    <w:rsid w:val="00750240"/>
    <w:rsid w:val="00750856"/>
    <w:rsid w:val="00752AEB"/>
    <w:rsid w:val="00757534"/>
    <w:rsid w:val="007604BB"/>
    <w:rsid w:val="007619A7"/>
    <w:rsid w:val="00766167"/>
    <w:rsid w:val="00780034"/>
    <w:rsid w:val="00780148"/>
    <w:rsid w:val="00785232"/>
    <w:rsid w:val="007879DA"/>
    <w:rsid w:val="00790568"/>
    <w:rsid w:val="007931D3"/>
    <w:rsid w:val="00793F7B"/>
    <w:rsid w:val="0079753F"/>
    <w:rsid w:val="00797F91"/>
    <w:rsid w:val="007A0BE7"/>
    <w:rsid w:val="007A21EB"/>
    <w:rsid w:val="007B0917"/>
    <w:rsid w:val="007B176E"/>
    <w:rsid w:val="007B1A93"/>
    <w:rsid w:val="007B5B81"/>
    <w:rsid w:val="007B7AD1"/>
    <w:rsid w:val="007C0BF9"/>
    <w:rsid w:val="007C33C9"/>
    <w:rsid w:val="007C36C9"/>
    <w:rsid w:val="007C37C0"/>
    <w:rsid w:val="007D10B1"/>
    <w:rsid w:val="007D1C08"/>
    <w:rsid w:val="007D5B47"/>
    <w:rsid w:val="007D6401"/>
    <w:rsid w:val="007E01E4"/>
    <w:rsid w:val="007E1B72"/>
    <w:rsid w:val="007E6BDC"/>
    <w:rsid w:val="007F2142"/>
    <w:rsid w:val="007F6546"/>
    <w:rsid w:val="007F6A0B"/>
    <w:rsid w:val="007F7107"/>
    <w:rsid w:val="008007FC"/>
    <w:rsid w:val="00800D4C"/>
    <w:rsid w:val="008069E3"/>
    <w:rsid w:val="008100FB"/>
    <w:rsid w:val="0081030F"/>
    <w:rsid w:val="0082087D"/>
    <w:rsid w:val="008250AC"/>
    <w:rsid w:val="00830EF0"/>
    <w:rsid w:val="0083260E"/>
    <w:rsid w:val="00835771"/>
    <w:rsid w:val="008401D3"/>
    <w:rsid w:val="00840BBB"/>
    <w:rsid w:val="00842933"/>
    <w:rsid w:val="0084483C"/>
    <w:rsid w:val="00850014"/>
    <w:rsid w:val="008519ED"/>
    <w:rsid w:val="0085780F"/>
    <w:rsid w:val="0086082C"/>
    <w:rsid w:val="00861BAB"/>
    <w:rsid w:val="00864ADC"/>
    <w:rsid w:val="00865CF9"/>
    <w:rsid w:val="00870B23"/>
    <w:rsid w:val="00877DE0"/>
    <w:rsid w:val="00880153"/>
    <w:rsid w:val="00880F97"/>
    <w:rsid w:val="0088133A"/>
    <w:rsid w:val="00890EE8"/>
    <w:rsid w:val="0089285E"/>
    <w:rsid w:val="00892D60"/>
    <w:rsid w:val="0089436C"/>
    <w:rsid w:val="008965F7"/>
    <w:rsid w:val="008A0954"/>
    <w:rsid w:val="008A0AE4"/>
    <w:rsid w:val="008A74D5"/>
    <w:rsid w:val="008B69A5"/>
    <w:rsid w:val="008C1C9F"/>
    <w:rsid w:val="008C2BA2"/>
    <w:rsid w:val="008C5AA3"/>
    <w:rsid w:val="008D188E"/>
    <w:rsid w:val="008D189A"/>
    <w:rsid w:val="008D2762"/>
    <w:rsid w:val="008D365C"/>
    <w:rsid w:val="008D6E7B"/>
    <w:rsid w:val="008E30B2"/>
    <w:rsid w:val="008E476B"/>
    <w:rsid w:val="008E58B5"/>
    <w:rsid w:val="008F0DDC"/>
    <w:rsid w:val="008F28A9"/>
    <w:rsid w:val="008F3547"/>
    <w:rsid w:val="008F76CC"/>
    <w:rsid w:val="009030BF"/>
    <w:rsid w:val="00905C2C"/>
    <w:rsid w:val="00906781"/>
    <w:rsid w:val="0090750D"/>
    <w:rsid w:val="0091032F"/>
    <w:rsid w:val="009106B9"/>
    <w:rsid w:val="00913FA1"/>
    <w:rsid w:val="00914368"/>
    <w:rsid w:val="009161E7"/>
    <w:rsid w:val="00921F95"/>
    <w:rsid w:val="009277C6"/>
    <w:rsid w:val="00930482"/>
    <w:rsid w:val="00931076"/>
    <w:rsid w:val="009331B2"/>
    <w:rsid w:val="00933D9F"/>
    <w:rsid w:val="009345D9"/>
    <w:rsid w:val="00934B15"/>
    <w:rsid w:val="00937137"/>
    <w:rsid w:val="00940C87"/>
    <w:rsid w:val="009418FC"/>
    <w:rsid w:val="00942495"/>
    <w:rsid w:val="00942B62"/>
    <w:rsid w:val="00947A0C"/>
    <w:rsid w:val="0095323B"/>
    <w:rsid w:val="00956699"/>
    <w:rsid w:val="00956A0C"/>
    <w:rsid w:val="00956BD9"/>
    <w:rsid w:val="00962489"/>
    <w:rsid w:val="00966EEA"/>
    <w:rsid w:val="00990C2C"/>
    <w:rsid w:val="0099216C"/>
    <w:rsid w:val="00993B79"/>
    <w:rsid w:val="0099692F"/>
    <w:rsid w:val="009A0B42"/>
    <w:rsid w:val="009A7626"/>
    <w:rsid w:val="009B3FB0"/>
    <w:rsid w:val="009B58EF"/>
    <w:rsid w:val="009C5A1F"/>
    <w:rsid w:val="009C7516"/>
    <w:rsid w:val="009D35A8"/>
    <w:rsid w:val="009D703A"/>
    <w:rsid w:val="009E1844"/>
    <w:rsid w:val="009E3481"/>
    <w:rsid w:val="009E6C31"/>
    <w:rsid w:val="009F0D1B"/>
    <w:rsid w:val="009F4644"/>
    <w:rsid w:val="009F5A4B"/>
    <w:rsid w:val="009F696D"/>
    <w:rsid w:val="009F6BC6"/>
    <w:rsid w:val="009F7CBF"/>
    <w:rsid w:val="00A03A67"/>
    <w:rsid w:val="00A04712"/>
    <w:rsid w:val="00A062CF"/>
    <w:rsid w:val="00A070B6"/>
    <w:rsid w:val="00A10317"/>
    <w:rsid w:val="00A10CC6"/>
    <w:rsid w:val="00A1168B"/>
    <w:rsid w:val="00A12765"/>
    <w:rsid w:val="00A13AD1"/>
    <w:rsid w:val="00A1459C"/>
    <w:rsid w:val="00A17328"/>
    <w:rsid w:val="00A20DA8"/>
    <w:rsid w:val="00A23A20"/>
    <w:rsid w:val="00A23C7D"/>
    <w:rsid w:val="00A268B9"/>
    <w:rsid w:val="00A2703A"/>
    <w:rsid w:val="00A33DFF"/>
    <w:rsid w:val="00A35115"/>
    <w:rsid w:val="00A36D9A"/>
    <w:rsid w:val="00A4087F"/>
    <w:rsid w:val="00A43D48"/>
    <w:rsid w:val="00A451B5"/>
    <w:rsid w:val="00A554AB"/>
    <w:rsid w:val="00A57062"/>
    <w:rsid w:val="00A60FB4"/>
    <w:rsid w:val="00A730C6"/>
    <w:rsid w:val="00A77326"/>
    <w:rsid w:val="00A774F3"/>
    <w:rsid w:val="00A813D1"/>
    <w:rsid w:val="00A90305"/>
    <w:rsid w:val="00A903DD"/>
    <w:rsid w:val="00A92B53"/>
    <w:rsid w:val="00A94E5C"/>
    <w:rsid w:val="00A94FA6"/>
    <w:rsid w:val="00AA1DA9"/>
    <w:rsid w:val="00AA2CF0"/>
    <w:rsid w:val="00AA49A0"/>
    <w:rsid w:val="00AA5411"/>
    <w:rsid w:val="00AA6710"/>
    <w:rsid w:val="00AB0681"/>
    <w:rsid w:val="00AC6288"/>
    <w:rsid w:val="00AC6531"/>
    <w:rsid w:val="00AD1495"/>
    <w:rsid w:val="00AD5048"/>
    <w:rsid w:val="00AD520B"/>
    <w:rsid w:val="00AD62AF"/>
    <w:rsid w:val="00AE0A53"/>
    <w:rsid w:val="00AE1852"/>
    <w:rsid w:val="00AE44A0"/>
    <w:rsid w:val="00AE483A"/>
    <w:rsid w:val="00AE760D"/>
    <w:rsid w:val="00AF0C2E"/>
    <w:rsid w:val="00AF55AC"/>
    <w:rsid w:val="00B00272"/>
    <w:rsid w:val="00B06796"/>
    <w:rsid w:val="00B13E4D"/>
    <w:rsid w:val="00B158C1"/>
    <w:rsid w:val="00B175B3"/>
    <w:rsid w:val="00B21411"/>
    <w:rsid w:val="00B32115"/>
    <w:rsid w:val="00B324E8"/>
    <w:rsid w:val="00B425C3"/>
    <w:rsid w:val="00B440AD"/>
    <w:rsid w:val="00B479BB"/>
    <w:rsid w:val="00B53E7E"/>
    <w:rsid w:val="00B6342E"/>
    <w:rsid w:val="00B6358B"/>
    <w:rsid w:val="00B7113F"/>
    <w:rsid w:val="00B77D3B"/>
    <w:rsid w:val="00B81E83"/>
    <w:rsid w:val="00B821D4"/>
    <w:rsid w:val="00B8557D"/>
    <w:rsid w:val="00B87E80"/>
    <w:rsid w:val="00B910F3"/>
    <w:rsid w:val="00B95DBC"/>
    <w:rsid w:val="00B961E7"/>
    <w:rsid w:val="00B973A8"/>
    <w:rsid w:val="00B97AB9"/>
    <w:rsid w:val="00BA0E55"/>
    <w:rsid w:val="00BA4C09"/>
    <w:rsid w:val="00BA5B30"/>
    <w:rsid w:val="00BA73B6"/>
    <w:rsid w:val="00BA7E27"/>
    <w:rsid w:val="00BB2603"/>
    <w:rsid w:val="00BB33DF"/>
    <w:rsid w:val="00BB4FCD"/>
    <w:rsid w:val="00BC04E9"/>
    <w:rsid w:val="00BC211F"/>
    <w:rsid w:val="00BD13EA"/>
    <w:rsid w:val="00BE18A0"/>
    <w:rsid w:val="00BE1DE6"/>
    <w:rsid w:val="00BE3808"/>
    <w:rsid w:val="00BE7761"/>
    <w:rsid w:val="00BF03C6"/>
    <w:rsid w:val="00BF0A2F"/>
    <w:rsid w:val="00BF2F4F"/>
    <w:rsid w:val="00C0082F"/>
    <w:rsid w:val="00C029DD"/>
    <w:rsid w:val="00C062E9"/>
    <w:rsid w:val="00C07B64"/>
    <w:rsid w:val="00C124B6"/>
    <w:rsid w:val="00C13721"/>
    <w:rsid w:val="00C14FE4"/>
    <w:rsid w:val="00C15B5B"/>
    <w:rsid w:val="00C1618D"/>
    <w:rsid w:val="00C20F26"/>
    <w:rsid w:val="00C26F0B"/>
    <w:rsid w:val="00C3066D"/>
    <w:rsid w:val="00C30B62"/>
    <w:rsid w:val="00C32EE5"/>
    <w:rsid w:val="00C333FF"/>
    <w:rsid w:val="00C41E9C"/>
    <w:rsid w:val="00C52416"/>
    <w:rsid w:val="00C53543"/>
    <w:rsid w:val="00C539EF"/>
    <w:rsid w:val="00C543F4"/>
    <w:rsid w:val="00C6112F"/>
    <w:rsid w:val="00C6291C"/>
    <w:rsid w:val="00C633CB"/>
    <w:rsid w:val="00C70313"/>
    <w:rsid w:val="00C7038F"/>
    <w:rsid w:val="00C71364"/>
    <w:rsid w:val="00C71EB2"/>
    <w:rsid w:val="00C736B7"/>
    <w:rsid w:val="00C74C5B"/>
    <w:rsid w:val="00C80C23"/>
    <w:rsid w:val="00C81D4A"/>
    <w:rsid w:val="00C81DB0"/>
    <w:rsid w:val="00C85422"/>
    <w:rsid w:val="00C855A9"/>
    <w:rsid w:val="00C870F5"/>
    <w:rsid w:val="00C8762C"/>
    <w:rsid w:val="00C91E01"/>
    <w:rsid w:val="00C940DB"/>
    <w:rsid w:val="00C9773A"/>
    <w:rsid w:val="00CA00F9"/>
    <w:rsid w:val="00CA2961"/>
    <w:rsid w:val="00CA7699"/>
    <w:rsid w:val="00CA7BFF"/>
    <w:rsid w:val="00CB50D7"/>
    <w:rsid w:val="00CB7177"/>
    <w:rsid w:val="00CC1998"/>
    <w:rsid w:val="00CC4946"/>
    <w:rsid w:val="00CC49B7"/>
    <w:rsid w:val="00CC4F93"/>
    <w:rsid w:val="00CD4B99"/>
    <w:rsid w:val="00CD6A60"/>
    <w:rsid w:val="00CF1E68"/>
    <w:rsid w:val="00CF2D71"/>
    <w:rsid w:val="00CF5712"/>
    <w:rsid w:val="00CF5F60"/>
    <w:rsid w:val="00D01D8E"/>
    <w:rsid w:val="00D039F0"/>
    <w:rsid w:val="00D0664D"/>
    <w:rsid w:val="00D104C3"/>
    <w:rsid w:val="00D1468D"/>
    <w:rsid w:val="00D208ED"/>
    <w:rsid w:val="00D267B5"/>
    <w:rsid w:val="00D270A4"/>
    <w:rsid w:val="00D31FE9"/>
    <w:rsid w:val="00D32A98"/>
    <w:rsid w:val="00D34E1B"/>
    <w:rsid w:val="00D376BA"/>
    <w:rsid w:val="00D37D76"/>
    <w:rsid w:val="00D37DFF"/>
    <w:rsid w:val="00D412E0"/>
    <w:rsid w:val="00D45634"/>
    <w:rsid w:val="00D471DE"/>
    <w:rsid w:val="00D5176D"/>
    <w:rsid w:val="00D52DC9"/>
    <w:rsid w:val="00D54208"/>
    <w:rsid w:val="00D54691"/>
    <w:rsid w:val="00D555E4"/>
    <w:rsid w:val="00D5568A"/>
    <w:rsid w:val="00D630C8"/>
    <w:rsid w:val="00D63D73"/>
    <w:rsid w:val="00D64452"/>
    <w:rsid w:val="00D6508B"/>
    <w:rsid w:val="00D66E1E"/>
    <w:rsid w:val="00D75722"/>
    <w:rsid w:val="00D80CF5"/>
    <w:rsid w:val="00D82C02"/>
    <w:rsid w:val="00D837B5"/>
    <w:rsid w:val="00D83A52"/>
    <w:rsid w:val="00D842CE"/>
    <w:rsid w:val="00D910DA"/>
    <w:rsid w:val="00D92BE4"/>
    <w:rsid w:val="00D93327"/>
    <w:rsid w:val="00D93BAC"/>
    <w:rsid w:val="00D94888"/>
    <w:rsid w:val="00DA2B76"/>
    <w:rsid w:val="00DA5BBA"/>
    <w:rsid w:val="00DA6980"/>
    <w:rsid w:val="00DB075A"/>
    <w:rsid w:val="00DB26D2"/>
    <w:rsid w:val="00DB67C9"/>
    <w:rsid w:val="00DC0C95"/>
    <w:rsid w:val="00DC762E"/>
    <w:rsid w:val="00DD0AA9"/>
    <w:rsid w:val="00DD6580"/>
    <w:rsid w:val="00DD799F"/>
    <w:rsid w:val="00DE1BB4"/>
    <w:rsid w:val="00DF2CA3"/>
    <w:rsid w:val="00E16B7F"/>
    <w:rsid w:val="00E170BE"/>
    <w:rsid w:val="00E17C72"/>
    <w:rsid w:val="00E21FC6"/>
    <w:rsid w:val="00E248A3"/>
    <w:rsid w:val="00E370DC"/>
    <w:rsid w:val="00E41781"/>
    <w:rsid w:val="00E41D42"/>
    <w:rsid w:val="00E431A9"/>
    <w:rsid w:val="00E43301"/>
    <w:rsid w:val="00E455F8"/>
    <w:rsid w:val="00E45EF2"/>
    <w:rsid w:val="00E46D0C"/>
    <w:rsid w:val="00E478B5"/>
    <w:rsid w:val="00E47B3B"/>
    <w:rsid w:val="00E55C87"/>
    <w:rsid w:val="00E5608E"/>
    <w:rsid w:val="00E669E2"/>
    <w:rsid w:val="00E76135"/>
    <w:rsid w:val="00E82F4F"/>
    <w:rsid w:val="00E91A25"/>
    <w:rsid w:val="00E92159"/>
    <w:rsid w:val="00E94631"/>
    <w:rsid w:val="00E95A78"/>
    <w:rsid w:val="00EA0021"/>
    <w:rsid w:val="00EA077F"/>
    <w:rsid w:val="00EA088A"/>
    <w:rsid w:val="00EA36A7"/>
    <w:rsid w:val="00EA538C"/>
    <w:rsid w:val="00EC2844"/>
    <w:rsid w:val="00EC5500"/>
    <w:rsid w:val="00ED18F8"/>
    <w:rsid w:val="00EE2D7F"/>
    <w:rsid w:val="00EE3E0E"/>
    <w:rsid w:val="00EE6B5F"/>
    <w:rsid w:val="00EF2B62"/>
    <w:rsid w:val="00EF6A36"/>
    <w:rsid w:val="00EF6C6C"/>
    <w:rsid w:val="00F0550E"/>
    <w:rsid w:val="00F056FC"/>
    <w:rsid w:val="00F10476"/>
    <w:rsid w:val="00F135D8"/>
    <w:rsid w:val="00F14385"/>
    <w:rsid w:val="00F21841"/>
    <w:rsid w:val="00F23552"/>
    <w:rsid w:val="00F274CC"/>
    <w:rsid w:val="00F31299"/>
    <w:rsid w:val="00F3534A"/>
    <w:rsid w:val="00F36E43"/>
    <w:rsid w:val="00F417B5"/>
    <w:rsid w:val="00F41B1D"/>
    <w:rsid w:val="00F44151"/>
    <w:rsid w:val="00F4440A"/>
    <w:rsid w:val="00F51609"/>
    <w:rsid w:val="00F51EF0"/>
    <w:rsid w:val="00F542C9"/>
    <w:rsid w:val="00F55160"/>
    <w:rsid w:val="00F5582B"/>
    <w:rsid w:val="00F5659B"/>
    <w:rsid w:val="00F57636"/>
    <w:rsid w:val="00F66495"/>
    <w:rsid w:val="00F71241"/>
    <w:rsid w:val="00F7158F"/>
    <w:rsid w:val="00F72AA2"/>
    <w:rsid w:val="00F81006"/>
    <w:rsid w:val="00F85325"/>
    <w:rsid w:val="00F9787E"/>
    <w:rsid w:val="00FA39D6"/>
    <w:rsid w:val="00FB076A"/>
    <w:rsid w:val="00FB1811"/>
    <w:rsid w:val="00FC0109"/>
    <w:rsid w:val="00FC25A5"/>
    <w:rsid w:val="00FC65BD"/>
    <w:rsid w:val="00FD22B1"/>
    <w:rsid w:val="00FD66EB"/>
    <w:rsid w:val="00FD7AEC"/>
    <w:rsid w:val="00FE2104"/>
    <w:rsid w:val="00FE5397"/>
    <w:rsid w:val="00FF33CC"/>
    <w:rsid w:val="00FF5423"/>
    <w:rsid w:val="00FF5519"/>
    <w:rsid w:val="00FF65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10CC6"/>
    <w:rPr>
      <w:sz w:val="24"/>
      <w:szCs w:val="24"/>
    </w:rPr>
  </w:style>
  <w:style w:type="paragraph" w:styleId="Heading1">
    <w:name w:val="heading 1"/>
    <w:basedOn w:val="BodyText"/>
    <w:next w:val="BodyText"/>
    <w:rsid w:val="00A10CC6"/>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0CC6"/>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0CC6"/>
    <w:pPr>
      <w:spacing w:before="560" w:line="320" w:lineRule="exact"/>
      <w:ind w:left="0" w:firstLine="0"/>
      <w:outlineLvl w:val="2"/>
    </w:pPr>
    <w:rPr>
      <w:sz w:val="26"/>
    </w:rPr>
  </w:style>
  <w:style w:type="paragraph" w:styleId="Heading4">
    <w:name w:val="heading 4"/>
    <w:basedOn w:val="Heading3"/>
    <w:next w:val="BodyText"/>
    <w:qFormat/>
    <w:rsid w:val="00A10CC6"/>
    <w:pPr>
      <w:spacing w:before="480"/>
      <w:outlineLvl w:val="3"/>
    </w:pPr>
    <w:rPr>
      <w:b w:val="0"/>
      <w:sz w:val="24"/>
    </w:rPr>
  </w:style>
  <w:style w:type="paragraph" w:styleId="Heading5">
    <w:name w:val="heading 5"/>
    <w:basedOn w:val="Heading4"/>
    <w:next w:val="BodyText"/>
    <w:link w:val="Heading5Char"/>
    <w:qFormat/>
    <w:rsid w:val="00A10CC6"/>
    <w:pPr>
      <w:outlineLvl w:val="4"/>
    </w:pPr>
    <w:rPr>
      <w:i/>
      <w:sz w:val="22"/>
    </w:rPr>
  </w:style>
  <w:style w:type="paragraph" w:styleId="Heading6">
    <w:name w:val="heading 6"/>
    <w:basedOn w:val="BodyText"/>
    <w:next w:val="BodyText"/>
    <w:rsid w:val="00A10CC6"/>
    <w:pPr>
      <w:spacing w:after="60"/>
      <w:jc w:val="left"/>
      <w:outlineLvl w:val="5"/>
    </w:pPr>
    <w:rPr>
      <w:i/>
      <w:sz w:val="22"/>
    </w:rPr>
  </w:style>
  <w:style w:type="paragraph" w:styleId="Heading7">
    <w:name w:val="heading 7"/>
    <w:basedOn w:val="BodyText"/>
    <w:next w:val="BodyText"/>
    <w:rsid w:val="00A10CC6"/>
    <w:pPr>
      <w:spacing w:after="60" w:line="240" w:lineRule="auto"/>
      <w:jc w:val="left"/>
      <w:outlineLvl w:val="6"/>
    </w:pPr>
    <w:rPr>
      <w:rFonts w:ascii="Arial" w:hAnsi="Arial"/>
      <w:sz w:val="20"/>
    </w:rPr>
  </w:style>
  <w:style w:type="paragraph" w:styleId="Heading8">
    <w:name w:val="heading 8"/>
    <w:basedOn w:val="BodyText"/>
    <w:next w:val="BodyText"/>
    <w:rsid w:val="00A10CC6"/>
    <w:pPr>
      <w:spacing w:after="60" w:line="240" w:lineRule="auto"/>
      <w:jc w:val="left"/>
      <w:outlineLvl w:val="7"/>
    </w:pPr>
    <w:rPr>
      <w:rFonts w:ascii="Arial" w:hAnsi="Arial"/>
      <w:i/>
      <w:sz w:val="20"/>
    </w:rPr>
  </w:style>
  <w:style w:type="paragraph" w:styleId="Heading9">
    <w:name w:val="heading 9"/>
    <w:basedOn w:val="BodyText"/>
    <w:next w:val="BodyText"/>
    <w:rsid w:val="00A10CC6"/>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A10CC6"/>
    <w:pPr>
      <w:spacing w:before="240" w:line="300" w:lineRule="atLeast"/>
      <w:jc w:val="both"/>
    </w:pPr>
    <w:rPr>
      <w:sz w:val="24"/>
    </w:rPr>
  </w:style>
  <w:style w:type="paragraph" w:styleId="Footer">
    <w:name w:val="footer"/>
    <w:basedOn w:val="BodyText"/>
    <w:link w:val="FooterChar"/>
    <w:rsid w:val="00A10CC6"/>
    <w:pPr>
      <w:spacing w:before="80" w:line="200" w:lineRule="exact"/>
      <w:ind w:right="6"/>
      <w:jc w:val="left"/>
    </w:pPr>
    <w:rPr>
      <w:rFonts w:ascii="Arial" w:hAnsi="Arial"/>
      <w:caps/>
      <w:spacing w:val="-4"/>
      <w:sz w:val="16"/>
    </w:rPr>
  </w:style>
  <w:style w:type="paragraph" w:customStyle="1" w:styleId="FooterEnd">
    <w:name w:val="Footer End"/>
    <w:basedOn w:val="Footer"/>
    <w:rsid w:val="00A10CC6"/>
    <w:pPr>
      <w:spacing w:before="0" w:line="20" w:lineRule="exact"/>
    </w:pPr>
  </w:style>
  <w:style w:type="paragraph" w:styleId="Header">
    <w:name w:val="header"/>
    <w:basedOn w:val="BodyText"/>
    <w:rsid w:val="00A10CC6"/>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10CC6"/>
    <w:pPr>
      <w:spacing w:line="20" w:lineRule="exact"/>
    </w:pPr>
    <w:rPr>
      <w:sz w:val="16"/>
    </w:rPr>
  </w:style>
  <w:style w:type="paragraph" w:customStyle="1" w:styleId="HeaderEven">
    <w:name w:val="Header Even"/>
    <w:basedOn w:val="Header"/>
    <w:semiHidden/>
    <w:rsid w:val="00A10CC6"/>
  </w:style>
  <w:style w:type="paragraph" w:customStyle="1" w:styleId="HeaderOdd">
    <w:name w:val="Header Odd"/>
    <w:basedOn w:val="Header"/>
    <w:semiHidden/>
    <w:rsid w:val="00A10CC6"/>
  </w:style>
  <w:style w:type="character" w:styleId="PageNumber">
    <w:name w:val="page number"/>
    <w:basedOn w:val="DefaultParagraphFont"/>
    <w:rsid w:val="00A10CC6"/>
    <w:rPr>
      <w:rFonts w:ascii="Arial" w:hAnsi="Arial"/>
      <w:b/>
      <w:sz w:val="16"/>
    </w:rPr>
  </w:style>
  <w:style w:type="paragraph" w:customStyle="1" w:styleId="Abbreviation">
    <w:name w:val="Abbreviation"/>
    <w:basedOn w:val="BodyText"/>
    <w:rsid w:val="00A10CC6"/>
    <w:pPr>
      <w:spacing w:before="120"/>
      <w:ind w:left="2381" w:hanging="2381"/>
      <w:jc w:val="left"/>
    </w:pPr>
  </w:style>
  <w:style w:type="paragraph" w:customStyle="1" w:styleId="Box">
    <w:name w:val="Box"/>
    <w:basedOn w:val="BodyText"/>
    <w:qFormat/>
    <w:rsid w:val="00A10CC6"/>
    <w:pPr>
      <w:keepNext/>
      <w:spacing w:before="120" w:line="260" w:lineRule="atLeast"/>
    </w:pPr>
    <w:rPr>
      <w:rFonts w:ascii="Arial" w:hAnsi="Arial"/>
      <w:sz w:val="20"/>
    </w:rPr>
  </w:style>
  <w:style w:type="paragraph" w:customStyle="1" w:styleId="BoxContinued">
    <w:name w:val="Box Continued"/>
    <w:basedOn w:val="BodyText"/>
    <w:next w:val="BodyText"/>
    <w:semiHidden/>
    <w:rsid w:val="00A10CC6"/>
    <w:pPr>
      <w:spacing w:before="180" w:line="220" w:lineRule="exact"/>
      <w:jc w:val="right"/>
    </w:pPr>
    <w:rPr>
      <w:rFonts w:ascii="Arial" w:hAnsi="Arial"/>
      <w:sz w:val="18"/>
    </w:rPr>
  </w:style>
  <w:style w:type="paragraph" w:customStyle="1" w:styleId="BoxHeading1">
    <w:name w:val="Box Heading 1"/>
    <w:basedOn w:val="BodyText"/>
    <w:next w:val="Box"/>
    <w:rsid w:val="00A10CC6"/>
    <w:pPr>
      <w:keepNext/>
      <w:spacing w:before="200" w:line="280" w:lineRule="atLeast"/>
    </w:pPr>
    <w:rPr>
      <w:rFonts w:ascii="Arial" w:hAnsi="Arial"/>
      <w:b/>
      <w:sz w:val="22"/>
    </w:rPr>
  </w:style>
  <w:style w:type="paragraph" w:customStyle="1" w:styleId="BoxHeading2">
    <w:name w:val="Box Heading 2"/>
    <w:basedOn w:val="BoxHeading1"/>
    <w:next w:val="Normal"/>
    <w:rsid w:val="00A10CC6"/>
    <w:rPr>
      <w:b w:val="0"/>
      <w:i/>
    </w:rPr>
  </w:style>
  <w:style w:type="paragraph" w:customStyle="1" w:styleId="BoxListBullet">
    <w:name w:val="Box List Bullet"/>
    <w:basedOn w:val="BodyText"/>
    <w:rsid w:val="00A10CC6"/>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10CC6"/>
    <w:pPr>
      <w:numPr>
        <w:numId w:val="2"/>
      </w:numPr>
      <w:ind w:left="568" w:hanging="284"/>
    </w:pPr>
  </w:style>
  <w:style w:type="paragraph" w:customStyle="1" w:styleId="BoxListNumber">
    <w:name w:val="Box List Number"/>
    <w:basedOn w:val="BodyText"/>
    <w:rsid w:val="00A10CC6"/>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A10CC6"/>
    <w:pPr>
      <w:numPr>
        <w:ilvl w:val="1"/>
      </w:numPr>
      <w:ind w:left="681" w:hanging="397"/>
    </w:pPr>
  </w:style>
  <w:style w:type="paragraph" w:customStyle="1" w:styleId="BoxQuote">
    <w:name w:val="Box Quote"/>
    <w:basedOn w:val="BodyText"/>
    <w:next w:val="Box"/>
    <w:qFormat/>
    <w:rsid w:val="00A10CC6"/>
    <w:pPr>
      <w:keepNext/>
      <w:spacing w:before="60" w:line="240" w:lineRule="exact"/>
      <w:ind w:left="284"/>
    </w:pPr>
    <w:rPr>
      <w:rFonts w:ascii="Arial" w:hAnsi="Arial"/>
      <w:sz w:val="18"/>
    </w:rPr>
  </w:style>
  <w:style w:type="paragraph" w:customStyle="1" w:styleId="Note">
    <w:name w:val="Note"/>
    <w:basedOn w:val="BodyText"/>
    <w:next w:val="BodyText"/>
    <w:rsid w:val="00A10CC6"/>
    <w:pPr>
      <w:keepLines/>
      <w:spacing w:before="80" w:line="220" w:lineRule="exact"/>
    </w:pPr>
    <w:rPr>
      <w:rFonts w:ascii="Arial" w:hAnsi="Arial"/>
      <w:sz w:val="18"/>
    </w:rPr>
  </w:style>
  <w:style w:type="paragraph" w:customStyle="1" w:styleId="Source">
    <w:name w:val="Source"/>
    <w:basedOn w:val="Normal"/>
    <w:next w:val="BodyText"/>
    <w:rsid w:val="00A10CC6"/>
    <w:pPr>
      <w:keepLines/>
      <w:spacing w:before="80" w:line="220" w:lineRule="exact"/>
      <w:jc w:val="both"/>
    </w:pPr>
    <w:rPr>
      <w:rFonts w:ascii="Arial" w:hAnsi="Arial"/>
      <w:sz w:val="18"/>
      <w:szCs w:val="20"/>
    </w:rPr>
  </w:style>
  <w:style w:type="paragraph" w:customStyle="1" w:styleId="BoxSource">
    <w:name w:val="Box Source"/>
    <w:basedOn w:val="Source"/>
    <w:next w:val="BodyText"/>
    <w:rsid w:val="00A10CC6"/>
    <w:pPr>
      <w:spacing w:before="120"/>
    </w:pPr>
  </w:style>
  <w:style w:type="paragraph" w:customStyle="1" w:styleId="BoxSpaceAbove">
    <w:name w:val="Box Space Above"/>
    <w:basedOn w:val="BodyText"/>
    <w:rsid w:val="00A10CC6"/>
    <w:pPr>
      <w:keepNext/>
      <w:spacing w:before="360" w:line="80" w:lineRule="exact"/>
      <w:jc w:val="left"/>
    </w:pPr>
  </w:style>
  <w:style w:type="paragraph" w:styleId="Caption">
    <w:name w:val="caption"/>
    <w:basedOn w:val="Normal"/>
    <w:next w:val="BodyText"/>
    <w:rsid w:val="00A10CC6"/>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10CC6"/>
    <w:pPr>
      <w:spacing w:before="120" w:after="0"/>
    </w:pPr>
  </w:style>
  <w:style w:type="paragraph" w:customStyle="1" w:styleId="BoxSubtitle">
    <w:name w:val="Box Subtitle"/>
    <w:basedOn w:val="BoxTitle"/>
    <w:next w:val="Normal"/>
    <w:rsid w:val="00A10CC6"/>
    <w:pPr>
      <w:spacing w:after="80" w:line="200" w:lineRule="exact"/>
      <w:ind w:firstLine="0"/>
    </w:pPr>
    <w:rPr>
      <w:b w:val="0"/>
      <w:sz w:val="20"/>
    </w:rPr>
  </w:style>
  <w:style w:type="paragraph" w:customStyle="1" w:styleId="Chapter">
    <w:name w:val="Chapter"/>
    <w:basedOn w:val="Heading1"/>
    <w:next w:val="BodyText"/>
    <w:semiHidden/>
    <w:rsid w:val="00A10CC6"/>
    <w:pPr>
      <w:ind w:left="0" w:firstLine="0"/>
      <w:outlineLvl w:val="9"/>
    </w:pPr>
  </w:style>
  <w:style w:type="paragraph" w:customStyle="1" w:styleId="ChapterSummary">
    <w:name w:val="Chapter Summary"/>
    <w:basedOn w:val="BodyText"/>
    <w:rsid w:val="00A10CC6"/>
    <w:pPr>
      <w:spacing w:line="280" w:lineRule="atLeast"/>
      <w:ind w:left="907"/>
    </w:pPr>
    <w:rPr>
      <w:rFonts w:ascii="Arial" w:hAnsi="Arial"/>
      <w:b/>
      <w:sz w:val="20"/>
    </w:rPr>
  </w:style>
  <w:style w:type="character" w:styleId="CommentReference">
    <w:name w:val="annotation reference"/>
    <w:basedOn w:val="DefaultParagraphFont"/>
    <w:semiHidden/>
    <w:rsid w:val="00A10CC6"/>
    <w:rPr>
      <w:b/>
      <w:vanish/>
      <w:color w:val="FF00FF"/>
      <w:sz w:val="20"/>
    </w:rPr>
  </w:style>
  <w:style w:type="paragraph" w:styleId="CommentText">
    <w:name w:val="annotation text"/>
    <w:basedOn w:val="Normal"/>
    <w:link w:val="CommentTextChar"/>
    <w:semiHidden/>
    <w:rsid w:val="00A10CC6"/>
    <w:pPr>
      <w:spacing w:before="120" w:line="240" w:lineRule="atLeast"/>
      <w:ind w:left="567" w:hanging="567"/>
    </w:pPr>
    <w:rPr>
      <w:sz w:val="20"/>
    </w:rPr>
  </w:style>
  <w:style w:type="paragraph" w:customStyle="1" w:styleId="Continued">
    <w:name w:val="Continued"/>
    <w:basedOn w:val="BoxContinued"/>
    <w:next w:val="BodyText"/>
    <w:rsid w:val="00A10CC6"/>
  </w:style>
  <w:style w:type="character" w:customStyle="1" w:styleId="DocumentInfo">
    <w:name w:val="Document Info"/>
    <w:basedOn w:val="DefaultParagraphFont"/>
    <w:semiHidden/>
    <w:rsid w:val="00A10CC6"/>
    <w:rPr>
      <w:rFonts w:ascii="Arial" w:hAnsi="Arial"/>
      <w:sz w:val="14"/>
    </w:rPr>
  </w:style>
  <w:style w:type="character" w:customStyle="1" w:styleId="DraftingNote">
    <w:name w:val="Drafting Note"/>
    <w:basedOn w:val="DefaultParagraphFont"/>
    <w:rsid w:val="00A10CC6"/>
    <w:rPr>
      <w:b/>
      <w:color w:val="FF0000"/>
      <w:sz w:val="24"/>
      <w:u w:val="dotted"/>
    </w:rPr>
  </w:style>
  <w:style w:type="paragraph" w:customStyle="1" w:styleId="Figure">
    <w:name w:val="Figure"/>
    <w:basedOn w:val="BodyText"/>
    <w:rsid w:val="00A10CC6"/>
    <w:pPr>
      <w:keepNext/>
      <w:spacing w:before="120" w:after="120" w:line="240" w:lineRule="atLeast"/>
      <w:jc w:val="center"/>
    </w:pPr>
  </w:style>
  <w:style w:type="paragraph" w:customStyle="1" w:styleId="FigureTitle">
    <w:name w:val="Figure Title"/>
    <w:basedOn w:val="Caption"/>
    <w:next w:val="Subtitle"/>
    <w:rsid w:val="00A10CC6"/>
    <w:pPr>
      <w:spacing w:before="120"/>
    </w:pPr>
  </w:style>
  <w:style w:type="paragraph" w:styleId="Subtitle">
    <w:name w:val="Subtitle"/>
    <w:basedOn w:val="Caption"/>
    <w:link w:val="SubtitleChar"/>
    <w:qFormat/>
    <w:rsid w:val="00A10CC6"/>
    <w:pPr>
      <w:spacing w:before="0" w:line="200" w:lineRule="exact"/>
      <w:ind w:firstLine="0"/>
    </w:pPr>
    <w:rPr>
      <w:b w:val="0"/>
      <w:sz w:val="20"/>
    </w:rPr>
  </w:style>
  <w:style w:type="paragraph" w:customStyle="1" w:styleId="Finding">
    <w:name w:val="Finding"/>
    <w:basedOn w:val="BodyText"/>
    <w:rsid w:val="00A10CC6"/>
    <w:pPr>
      <w:keepLines/>
      <w:spacing w:before="120" w:line="280" w:lineRule="atLeast"/>
    </w:pPr>
    <w:rPr>
      <w:rFonts w:ascii="Arial" w:hAnsi="Arial"/>
      <w:sz w:val="22"/>
    </w:rPr>
  </w:style>
  <w:style w:type="paragraph" w:customStyle="1" w:styleId="FindingBullet">
    <w:name w:val="Finding Bullet"/>
    <w:basedOn w:val="Finding"/>
    <w:rsid w:val="00A10CC6"/>
    <w:pPr>
      <w:numPr>
        <w:numId w:val="3"/>
      </w:numPr>
      <w:spacing w:before="80"/>
    </w:pPr>
  </w:style>
  <w:style w:type="paragraph" w:customStyle="1" w:styleId="FindingNoTitle">
    <w:name w:val="Finding NoTitle"/>
    <w:basedOn w:val="Finding"/>
    <w:semiHidden/>
    <w:rsid w:val="00A10CC6"/>
    <w:pPr>
      <w:spacing w:before="240"/>
    </w:pPr>
  </w:style>
  <w:style w:type="paragraph" w:customStyle="1" w:styleId="RecTitle">
    <w:name w:val="Rec Title"/>
    <w:basedOn w:val="BodyText"/>
    <w:next w:val="Rec"/>
    <w:qFormat/>
    <w:rsid w:val="00A10CC6"/>
    <w:pPr>
      <w:keepNext/>
      <w:keepLines/>
      <w:spacing w:line="280" w:lineRule="atLeast"/>
    </w:pPr>
    <w:rPr>
      <w:rFonts w:ascii="Arial" w:hAnsi="Arial"/>
      <w:caps/>
      <w:sz w:val="18"/>
    </w:rPr>
  </w:style>
  <w:style w:type="paragraph" w:customStyle="1" w:styleId="FindingTitle">
    <w:name w:val="Finding Title"/>
    <w:basedOn w:val="RecTitle"/>
    <w:next w:val="Finding"/>
    <w:rsid w:val="00A10CC6"/>
  </w:style>
  <w:style w:type="character" w:styleId="FootnoteReference">
    <w:name w:val="footnote reference"/>
    <w:basedOn w:val="DefaultParagraphFont"/>
    <w:semiHidden/>
    <w:rsid w:val="00A10CC6"/>
    <w:rPr>
      <w:rFonts w:ascii="Times New Roman" w:hAnsi="Times New Roman"/>
      <w:position w:val="6"/>
      <w:sz w:val="20"/>
      <w:vertAlign w:val="baseline"/>
    </w:rPr>
  </w:style>
  <w:style w:type="paragraph" w:styleId="FootnoteText">
    <w:name w:val="footnote text"/>
    <w:basedOn w:val="BodyText"/>
    <w:rsid w:val="00A10CC6"/>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10CC6"/>
    <w:rPr>
      <w:i/>
    </w:rPr>
  </w:style>
  <w:style w:type="paragraph" w:customStyle="1" w:styleId="Jurisdictioncommentsbodytext">
    <w:name w:val="Jurisdiction comments body text"/>
    <w:rsid w:val="00A10CC6"/>
    <w:pPr>
      <w:spacing w:after="140"/>
      <w:jc w:val="both"/>
    </w:pPr>
    <w:rPr>
      <w:rFonts w:ascii="Arial" w:hAnsi="Arial"/>
      <w:sz w:val="24"/>
      <w:lang w:eastAsia="en-US"/>
    </w:rPr>
  </w:style>
  <w:style w:type="paragraph" w:customStyle="1" w:styleId="Jurisdictioncommentsheading">
    <w:name w:val="Jurisdiction comments heading"/>
    <w:rsid w:val="00A10CC6"/>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0CC6"/>
    <w:pPr>
      <w:numPr>
        <w:numId w:val="4"/>
      </w:numPr>
      <w:spacing w:after="140"/>
      <w:jc w:val="both"/>
    </w:pPr>
    <w:rPr>
      <w:rFonts w:ascii="Arial" w:hAnsi="Arial"/>
      <w:sz w:val="24"/>
      <w:lang w:eastAsia="en-US"/>
    </w:rPr>
  </w:style>
  <w:style w:type="paragraph" w:styleId="ListBullet">
    <w:name w:val="List Bullet"/>
    <w:basedOn w:val="BodyText"/>
    <w:rsid w:val="00A10CC6"/>
    <w:pPr>
      <w:numPr>
        <w:numId w:val="5"/>
      </w:numPr>
      <w:spacing w:before="120"/>
    </w:pPr>
  </w:style>
  <w:style w:type="paragraph" w:styleId="ListBullet2">
    <w:name w:val="List Bullet 2"/>
    <w:basedOn w:val="BodyText"/>
    <w:rsid w:val="00A10CC6"/>
    <w:pPr>
      <w:numPr>
        <w:numId w:val="6"/>
      </w:numPr>
      <w:spacing w:before="120"/>
    </w:pPr>
  </w:style>
  <w:style w:type="paragraph" w:styleId="ListBullet3">
    <w:name w:val="List Bullet 3"/>
    <w:basedOn w:val="BodyText"/>
    <w:rsid w:val="00A10CC6"/>
    <w:pPr>
      <w:numPr>
        <w:numId w:val="7"/>
      </w:numPr>
      <w:spacing w:before="120"/>
      <w:ind w:left="1020" w:hanging="340"/>
    </w:pPr>
  </w:style>
  <w:style w:type="paragraph" w:styleId="ListNumber">
    <w:name w:val="List Number"/>
    <w:basedOn w:val="BodyText"/>
    <w:rsid w:val="00A10CC6"/>
    <w:pPr>
      <w:numPr>
        <w:numId w:val="13"/>
      </w:numPr>
      <w:spacing w:before="120"/>
    </w:pPr>
  </w:style>
  <w:style w:type="paragraph" w:styleId="ListNumber2">
    <w:name w:val="List Number 2"/>
    <w:basedOn w:val="ListNumber"/>
    <w:rsid w:val="00A10CC6"/>
    <w:pPr>
      <w:numPr>
        <w:ilvl w:val="1"/>
      </w:numPr>
    </w:pPr>
  </w:style>
  <w:style w:type="paragraph" w:styleId="ListNumber3">
    <w:name w:val="List Number 3"/>
    <w:basedOn w:val="ListNumber2"/>
    <w:rsid w:val="00A10CC6"/>
    <w:pPr>
      <w:numPr>
        <w:ilvl w:val="2"/>
      </w:numPr>
    </w:pPr>
  </w:style>
  <w:style w:type="character" w:customStyle="1" w:styleId="NoteLabel">
    <w:name w:val="Note Label"/>
    <w:basedOn w:val="DefaultParagraphFont"/>
    <w:rsid w:val="00A10CC6"/>
    <w:rPr>
      <w:rFonts w:ascii="Arial" w:hAnsi="Arial"/>
      <w:b/>
      <w:position w:val="6"/>
      <w:sz w:val="18"/>
    </w:rPr>
  </w:style>
  <w:style w:type="paragraph" w:customStyle="1" w:styleId="PartDivider">
    <w:name w:val="Part Divider"/>
    <w:basedOn w:val="BodyText"/>
    <w:next w:val="BodyText"/>
    <w:semiHidden/>
    <w:rsid w:val="00A10CC6"/>
    <w:pPr>
      <w:spacing w:before="0" w:line="40" w:lineRule="exact"/>
      <w:jc w:val="right"/>
    </w:pPr>
    <w:rPr>
      <w:smallCaps/>
      <w:sz w:val="16"/>
    </w:rPr>
  </w:style>
  <w:style w:type="paragraph" w:customStyle="1" w:styleId="PartNumber">
    <w:name w:val="Part Number"/>
    <w:basedOn w:val="BodyText"/>
    <w:next w:val="BodyText"/>
    <w:semiHidden/>
    <w:rsid w:val="00A10CC6"/>
    <w:pPr>
      <w:spacing w:before="4000" w:line="320" w:lineRule="exact"/>
      <w:ind w:left="6634"/>
      <w:jc w:val="right"/>
    </w:pPr>
    <w:rPr>
      <w:smallCaps/>
      <w:spacing w:val="60"/>
      <w:sz w:val="32"/>
    </w:rPr>
  </w:style>
  <w:style w:type="paragraph" w:customStyle="1" w:styleId="PartTitle">
    <w:name w:val="Part Title"/>
    <w:basedOn w:val="BodyText"/>
    <w:semiHidden/>
    <w:rsid w:val="00A10CC6"/>
    <w:pPr>
      <w:spacing w:before="160" w:after="1360" w:line="520" w:lineRule="exact"/>
      <w:ind w:right="2381"/>
      <w:jc w:val="right"/>
    </w:pPr>
    <w:rPr>
      <w:smallCaps/>
      <w:sz w:val="52"/>
    </w:rPr>
  </w:style>
  <w:style w:type="paragraph" w:styleId="Quote">
    <w:name w:val="Quote"/>
    <w:basedOn w:val="BodyText"/>
    <w:next w:val="BodyText"/>
    <w:qFormat/>
    <w:rsid w:val="00A10CC6"/>
    <w:pPr>
      <w:spacing w:before="120" w:line="280" w:lineRule="exact"/>
      <w:ind w:left="340"/>
    </w:pPr>
    <w:rPr>
      <w:sz w:val="22"/>
    </w:rPr>
  </w:style>
  <w:style w:type="paragraph" w:customStyle="1" w:styleId="QuoteBullet">
    <w:name w:val="Quote Bullet"/>
    <w:basedOn w:val="Quote"/>
    <w:rsid w:val="00A10CC6"/>
    <w:pPr>
      <w:numPr>
        <w:numId w:val="8"/>
      </w:numPr>
    </w:pPr>
  </w:style>
  <w:style w:type="paragraph" w:customStyle="1" w:styleId="Rec">
    <w:name w:val="Rec"/>
    <w:basedOn w:val="BodyText"/>
    <w:qFormat/>
    <w:rsid w:val="00A10CC6"/>
    <w:pPr>
      <w:keepLines/>
      <w:spacing w:before="120" w:line="280" w:lineRule="atLeast"/>
    </w:pPr>
    <w:rPr>
      <w:rFonts w:ascii="Arial" w:hAnsi="Arial"/>
      <w:sz w:val="22"/>
    </w:rPr>
  </w:style>
  <w:style w:type="paragraph" w:customStyle="1" w:styleId="RecBullet">
    <w:name w:val="Rec Bullet"/>
    <w:basedOn w:val="Rec"/>
    <w:rsid w:val="00A10CC6"/>
    <w:pPr>
      <w:numPr>
        <w:numId w:val="9"/>
      </w:numPr>
      <w:spacing w:before="80"/>
    </w:pPr>
  </w:style>
  <w:style w:type="paragraph" w:customStyle="1" w:styleId="RecB">
    <w:name w:val="RecB"/>
    <w:basedOn w:val="Normal"/>
    <w:semiHidden/>
    <w:rsid w:val="00A10CC6"/>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10CC6"/>
    <w:pPr>
      <w:numPr>
        <w:numId w:val="10"/>
      </w:numPr>
      <w:spacing w:before="80"/>
    </w:pPr>
  </w:style>
  <w:style w:type="paragraph" w:customStyle="1" w:styleId="RecBNoTitle">
    <w:name w:val="RecB NoTitle"/>
    <w:basedOn w:val="RecB"/>
    <w:semiHidden/>
    <w:rsid w:val="00A10CC6"/>
    <w:pPr>
      <w:spacing w:before="240"/>
    </w:pPr>
  </w:style>
  <w:style w:type="paragraph" w:customStyle="1" w:styleId="Reference">
    <w:name w:val="Reference"/>
    <w:basedOn w:val="BodyText"/>
    <w:rsid w:val="00A10CC6"/>
    <w:pPr>
      <w:spacing w:before="120"/>
      <w:ind w:left="340" w:hanging="340"/>
    </w:pPr>
  </w:style>
  <w:style w:type="paragraph" w:customStyle="1" w:styleId="SequenceInfo">
    <w:name w:val="Sequence Info"/>
    <w:basedOn w:val="BodyText"/>
    <w:semiHidden/>
    <w:rsid w:val="00A10CC6"/>
    <w:rPr>
      <w:vanish/>
      <w:sz w:val="16"/>
    </w:rPr>
  </w:style>
  <w:style w:type="paragraph" w:customStyle="1" w:styleId="SideNote">
    <w:name w:val="Side Note"/>
    <w:basedOn w:val="BodyText"/>
    <w:next w:val="BodyText"/>
    <w:semiHidden/>
    <w:rsid w:val="00A10CC6"/>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0CC6"/>
    <w:pPr>
      <w:framePr w:wrap="around"/>
      <w:numPr>
        <w:numId w:val="11"/>
      </w:numPr>
      <w:tabs>
        <w:tab w:val="left" w:pos="227"/>
      </w:tabs>
    </w:pPr>
  </w:style>
  <w:style w:type="paragraph" w:customStyle="1" w:styleId="SideNoteGraphic">
    <w:name w:val="Side Note Graphic"/>
    <w:basedOn w:val="SideNote"/>
    <w:next w:val="BodyText"/>
    <w:semiHidden/>
    <w:rsid w:val="00A10CC6"/>
    <w:pPr>
      <w:framePr w:wrap="around"/>
    </w:pPr>
  </w:style>
  <w:style w:type="paragraph" w:customStyle="1" w:styleId="TableBodyText">
    <w:name w:val="Table Body Text"/>
    <w:basedOn w:val="BodyText"/>
    <w:rsid w:val="00A10CC6"/>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10CC6"/>
    <w:pPr>
      <w:numPr>
        <w:numId w:val="12"/>
      </w:numPr>
      <w:jc w:val="left"/>
    </w:pPr>
  </w:style>
  <w:style w:type="paragraph" w:customStyle="1" w:styleId="TableColumnHeading">
    <w:name w:val="Table Column Heading"/>
    <w:basedOn w:val="TableBodyText"/>
    <w:rsid w:val="00A10CC6"/>
    <w:pPr>
      <w:spacing w:before="80" w:after="80"/>
    </w:pPr>
    <w:rPr>
      <w:i/>
    </w:rPr>
  </w:style>
  <w:style w:type="paragraph" w:styleId="TOC2">
    <w:name w:val="toc 2"/>
    <w:basedOn w:val="TOC1"/>
    <w:rsid w:val="00A10CC6"/>
    <w:pPr>
      <w:ind w:left="1134" w:hanging="624"/>
    </w:pPr>
    <w:rPr>
      <w:b w:val="0"/>
    </w:rPr>
  </w:style>
  <w:style w:type="paragraph" w:styleId="TOC3">
    <w:name w:val="toc 3"/>
    <w:basedOn w:val="TOC2"/>
    <w:rsid w:val="00A10CC6"/>
    <w:pPr>
      <w:spacing w:before="60"/>
      <w:ind w:left="1190" w:hanging="680"/>
    </w:pPr>
  </w:style>
  <w:style w:type="paragraph" w:styleId="TableofFigures">
    <w:name w:val="table of figures"/>
    <w:basedOn w:val="TOC3"/>
    <w:next w:val="BodyText"/>
    <w:semiHidden/>
    <w:rsid w:val="00A10CC6"/>
    <w:pPr>
      <w:ind w:left="737" w:hanging="737"/>
    </w:pPr>
  </w:style>
  <w:style w:type="paragraph" w:customStyle="1" w:styleId="TableTitle">
    <w:name w:val="Table Title"/>
    <w:basedOn w:val="Caption"/>
    <w:next w:val="Subtitle"/>
    <w:qFormat/>
    <w:rsid w:val="00A10CC6"/>
    <w:pPr>
      <w:spacing w:before="120"/>
    </w:pPr>
  </w:style>
  <w:style w:type="paragraph" w:customStyle="1" w:styleId="TableUnitsRow">
    <w:name w:val="Table Units Row"/>
    <w:basedOn w:val="TableBodyText"/>
    <w:rsid w:val="00A10CC6"/>
    <w:pPr>
      <w:spacing w:before="40"/>
    </w:pPr>
  </w:style>
  <w:style w:type="paragraph" w:styleId="TOC1">
    <w:name w:val="toc 1"/>
    <w:basedOn w:val="Normal"/>
    <w:next w:val="TOC2"/>
    <w:link w:val="TOC1Char"/>
    <w:rsid w:val="00A10CC6"/>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0CC6"/>
    <w:pPr>
      <w:ind w:left="1191" w:firstLine="0"/>
    </w:pPr>
  </w:style>
  <w:style w:type="paragraph" w:customStyle="1" w:styleId="RecBBullet2">
    <w:name w:val="RecB Bullet 2"/>
    <w:basedOn w:val="ListBullet2"/>
    <w:semiHidden/>
    <w:rsid w:val="00A10CC6"/>
    <w:pPr>
      <w:pBdr>
        <w:left w:val="single" w:sz="24" w:space="29" w:color="C0C0C0"/>
      </w:pBdr>
    </w:pPr>
    <w:rPr>
      <w:b/>
      <w:i/>
    </w:rPr>
  </w:style>
  <w:style w:type="paragraph" w:styleId="BalloonText">
    <w:name w:val="Balloon Text"/>
    <w:basedOn w:val="Normal"/>
    <w:link w:val="BalloonTextChar"/>
    <w:rsid w:val="00A10CC6"/>
    <w:rPr>
      <w:rFonts w:ascii="Tahoma" w:hAnsi="Tahoma" w:cs="Tahoma"/>
      <w:sz w:val="16"/>
      <w:szCs w:val="16"/>
    </w:rPr>
  </w:style>
  <w:style w:type="character" w:customStyle="1" w:styleId="BalloonTextChar">
    <w:name w:val="Balloon Text Char"/>
    <w:basedOn w:val="DefaultParagraphFont"/>
    <w:link w:val="BalloonText"/>
    <w:rsid w:val="00A10CC6"/>
    <w:rPr>
      <w:rFonts w:ascii="Tahoma" w:hAnsi="Tahoma" w:cs="Tahoma"/>
      <w:sz w:val="16"/>
      <w:szCs w:val="16"/>
    </w:rPr>
  </w:style>
  <w:style w:type="character" w:customStyle="1" w:styleId="SubtitleChar">
    <w:name w:val="Subtitle Char"/>
    <w:basedOn w:val="DefaultParagraphFont"/>
    <w:link w:val="Subtitle"/>
    <w:rsid w:val="00A10CC6"/>
    <w:rPr>
      <w:rFonts w:ascii="Arial" w:hAnsi="Arial"/>
      <w:szCs w:val="24"/>
    </w:rPr>
  </w:style>
  <w:style w:type="paragraph" w:customStyle="1" w:styleId="BoxListBullet3">
    <w:name w:val="Box List Bullet 3"/>
    <w:basedOn w:val="ListBullet3"/>
    <w:rsid w:val="00A10CC6"/>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10CC6"/>
    <w:rPr>
      <w:i/>
      <w:iCs/>
    </w:rPr>
  </w:style>
  <w:style w:type="paragraph" w:customStyle="1" w:styleId="BoxQuoteBullet">
    <w:name w:val="Box Quote Bullet"/>
    <w:basedOn w:val="BoxQuote"/>
    <w:next w:val="Box"/>
    <w:rsid w:val="00A10CC6"/>
    <w:pPr>
      <w:numPr>
        <w:numId w:val="15"/>
      </w:numPr>
      <w:ind w:left="568" w:hanging="284"/>
    </w:pPr>
  </w:style>
  <w:style w:type="paragraph" w:customStyle="1" w:styleId="InformationRequestBullet">
    <w:name w:val="Information Request Bullet"/>
    <w:basedOn w:val="ListBullet"/>
    <w:next w:val="BodyText"/>
    <w:rsid w:val="00A10CC6"/>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10CC6"/>
    <w:pPr>
      <w:keepNext w:val="0"/>
      <w:spacing w:before="60" w:after="60" w:line="80" w:lineRule="exact"/>
    </w:pPr>
    <w:rPr>
      <w:sz w:val="14"/>
    </w:rPr>
  </w:style>
  <w:style w:type="character" w:styleId="Hyperlink">
    <w:name w:val="Hyperlink"/>
    <w:basedOn w:val="DefaultParagraphFont"/>
    <w:rsid w:val="00350AC1"/>
    <w:rPr>
      <w:color w:val="78A22F" w:themeColor="hyperlink"/>
      <w:u w:val="single"/>
    </w:rPr>
  </w:style>
  <w:style w:type="paragraph" w:customStyle="1" w:styleId="KeyPointsListBullet">
    <w:name w:val="Key Points List Bullet"/>
    <w:basedOn w:val="Normal"/>
    <w:qFormat/>
    <w:rsid w:val="00A10CC6"/>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10CC6"/>
    <w:pPr>
      <w:numPr>
        <w:numId w:val="19"/>
      </w:numPr>
      <w:ind w:left="568" w:hanging="284"/>
    </w:pPr>
  </w:style>
  <w:style w:type="paragraph" w:customStyle="1" w:styleId="InformationRequestTitle">
    <w:name w:val="Information Request Title"/>
    <w:basedOn w:val="FindingTitle"/>
    <w:next w:val="InformationRequest"/>
    <w:rsid w:val="00A10CC6"/>
    <w:rPr>
      <w:i/>
    </w:rPr>
  </w:style>
  <w:style w:type="paragraph" w:customStyle="1" w:styleId="Space">
    <w:name w:val="Space"/>
    <w:basedOn w:val="Normal"/>
    <w:rsid w:val="00A10CC6"/>
    <w:pPr>
      <w:keepNext/>
      <w:spacing w:line="120" w:lineRule="exact"/>
      <w:jc w:val="both"/>
    </w:pPr>
    <w:rPr>
      <w:rFonts w:ascii="Arial" w:hAnsi="Arial"/>
      <w:sz w:val="20"/>
      <w:szCs w:val="20"/>
    </w:rPr>
  </w:style>
  <w:style w:type="paragraph" w:customStyle="1" w:styleId="Heading1nochapterno">
    <w:name w:val="Heading 1 (no chapter no.)"/>
    <w:basedOn w:val="Heading1"/>
    <w:rsid w:val="00A10CC6"/>
    <w:pPr>
      <w:spacing w:before="0"/>
      <w:ind w:left="0" w:firstLine="0"/>
    </w:pPr>
  </w:style>
  <w:style w:type="paragraph" w:customStyle="1" w:styleId="Heading2nosectionno">
    <w:name w:val="Heading 2 (no section no.)"/>
    <w:basedOn w:val="Heading2"/>
    <w:rsid w:val="00A10CC6"/>
    <w:pPr>
      <w:ind w:left="0" w:firstLine="0"/>
    </w:pPr>
  </w:style>
  <w:style w:type="character" w:customStyle="1" w:styleId="Heading5Char">
    <w:name w:val="Heading 5 Char"/>
    <w:basedOn w:val="DefaultParagraphFont"/>
    <w:link w:val="Heading5"/>
    <w:rsid w:val="00A10CC6"/>
    <w:rPr>
      <w:rFonts w:ascii="Arial" w:hAnsi="Arial"/>
      <w:i/>
      <w:sz w:val="22"/>
    </w:rPr>
  </w:style>
  <w:style w:type="paragraph" w:customStyle="1" w:styleId="Figurespace">
    <w:name w:val="Figure space"/>
    <w:basedOn w:val="Box"/>
    <w:rsid w:val="00A10CC6"/>
    <w:pPr>
      <w:spacing w:before="0" w:line="120" w:lineRule="exact"/>
    </w:pPr>
  </w:style>
  <w:style w:type="paragraph" w:customStyle="1" w:styleId="FooterDraftReport">
    <w:name w:val="FooterDraftReport"/>
    <w:basedOn w:val="Footer"/>
    <w:link w:val="FooterDraftReportChar"/>
    <w:rsid w:val="00A10CC6"/>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10CC6"/>
    <w:rPr>
      <w:sz w:val="24"/>
    </w:rPr>
  </w:style>
  <w:style w:type="character" w:customStyle="1" w:styleId="FooterChar">
    <w:name w:val="Footer Char"/>
    <w:basedOn w:val="BodyTextChar"/>
    <w:link w:val="Footer"/>
    <w:rsid w:val="00A10CC6"/>
    <w:rPr>
      <w:rFonts w:ascii="Arial" w:hAnsi="Arial"/>
      <w:caps/>
      <w:spacing w:val="-4"/>
      <w:sz w:val="16"/>
    </w:rPr>
  </w:style>
  <w:style w:type="character" w:customStyle="1" w:styleId="FooterDraftReportChar">
    <w:name w:val="FooterDraftReport Char"/>
    <w:basedOn w:val="FooterChar"/>
    <w:link w:val="FooterDraftReport"/>
    <w:rsid w:val="00A10CC6"/>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1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A10CC6"/>
    <w:rPr>
      <w:rFonts w:ascii="Arial" w:hAnsi="Arial"/>
      <w:b/>
      <w:sz w:val="26"/>
      <w:szCs w:val="26"/>
      <w:lang w:eastAsia="en-US"/>
    </w:rPr>
  </w:style>
  <w:style w:type="paragraph" w:styleId="Bibliography">
    <w:name w:val="Bibliography"/>
    <w:basedOn w:val="Normal"/>
    <w:next w:val="Normal"/>
    <w:uiPriority w:val="37"/>
    <w:unhideWhenUsed/>
    <w:rsid w:val="0099216C"/>
    <w:pPr>
      <w:spacing w:after="240"/>
      <w:ind w:left="720" w:hanging="720"/>
    </w:pPr>
  </w:style>
  <w:style w:type="character" w:styleId="EndnoteReference">
    <w:name w:val="endnote reference"/>
    <w:basedOn w:val="DefaultParagraphFont"/>
    <w:rsid w:val="0060577C"/>
    <w:rPr>
      <w:vertAlign w:val="superscript"/>
    </w:rPr>
  </w:style>
  <w:style w:type="paragraph" w:styleId="CommentSubject">
    <w:name w:val="annotation subject"/>
    <w:basedOn w:val="CommentText"/>
    <w:next w:val="CommentText"/>
    <w:link w:val="CommentSubjectChar"/>
    <w:rsid w:val="003E3ED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E3EDC"/>
    <w:rPr>
      <w:szCs w:val="24"/>
    </w:rPr>
  </w:style>
  <w:style w:type="character" w:customStyle="1" w:styleId="CommentSubjectChar">
    <w:name w:val="Comment Subject Char"/>
    <w:basedOn w:val="CommentTextChar"/>
    <w:link w:val="CommentSubject"/>
    <w:rsid w:val="003E3EDC"/>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10CC6"/>
    <w:rPr>
      <w:sz w:val="24"/>
      <w:szCs w:val="24"/>
    </w:rPr>
  </w:style>
  <w:style w:type="paragraph" w:styleId="Heading1">
    <w:name w:val="heading 1"/>
    <w:basedOn w:val="BodyText"/>
    <w:next w:val="BodyText"/>
    <w:rsid w:val="00A10CC6"/>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0CC6"/>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0CC6"/>
    <w:pPr>
      <w:spacing w:before="560" w:line="320" w:lineRule="exact"/>
      <w:ind w:left="0" w:firstLine="0"/>
      <w:outlineLvl w:val="2"/>
    </w:pPr>
    <w:rPr>
      <w:sz w:val="26"/>
    </w:rPr>
  </w:style>
  <w:style w:type="paragraph" w:styleId="Heading4">
    <w:name w:val="heading 4"/>
    <w:basedOn w:val="Heading3"/>
    <w:next w:val="BodyText"/>
    <w:qFormat/>
    <w:rsid w:val="00A10CC6"/>
    <w:pPr>
      <w:spacing w:before="480"/>
      <w:outlineLvl w:val="3"/>
    </w:pPr>
    <w:rPr>
      <w:b w:val="0"/>
      <w:sz w:val="24"/>
    </w:rPr>
  </w:style>
  <w:style w:type="paragraph" w:styleId="Heading5">
    <w:name w:val="heading 5"/>
    <w:basedOn w:val="Heading4"/>
    <w:next w:val="BodyText"/>
    <w:link w:val="Heading5Char"/>
    <w:qFormat/>
    <w:rsid w:val="00A10CC6"/>
    <w:pPr>
      <w:outlineLvl w:val="4"/>
    </w:pPr>
    <w:rPr>
      <w:i/>
      <w:sz w:val="22"/>
    </w:rPr>
  </w:style>
  <w:style w:type="paragraph" w:styleId="Heading6">
    <w:name w:val="heading 6"/>
    <w:basedOn w:val="BodyText"/>
    <w:next w:val="BodyText"/>
    <w:rsid w:val="00A10CC6"/>
    <w:pPr>
      <w:spacing w:after="60"/>
      <w:jc w:val="left"/>
      <w:outlineLvl w:val="5"/>
    </w:pPr>
    <w:rPr>
      <w:i/>
      <w:sz w:val="22"/>
    </w:rPr>
  </w:style>
  <w:style w:type="paragraph" w:styleId="Heading7">
    <w:name w:val="heading 7"/>
    <w:basedOn w:val="BodyText"/>
    <w:next w:val="BodyText"/>
    <w:rsid w:val="00A10CC6"/>
    <w:pPr>
      <w:spacing w:after="60" w:line="240" w:lineRule="auto"/>
      <w:jc w:val="left"/>
      <w:outlineLvl w:val="6"/>
    </w:pPr>
    <w:rPr>
      <w:rFonts w:ascii="Arial" w:hAnsi="Arial"/>
      <w:sz w:val="20"/>
    </w:rPr>
  </w:style>
  <w:style w:type="paragraph" w:styleId="Heading8">
    <w:name w:val="heading 8"/>
    <w:basedOn w:val="BodyText"/>
    <w:next w:val="BodyText"/>
    <w:rsid w:val="00A10CC6"/>
    <w:pPr>
      <w:spacing w:after="60" w:line="240" w:lineRule="auto"/>
      <w:jc w:val="left"/>
      <w:outlineLvl w:val="7"/>
    </w:pPr>
    <w:rPr>
      <w:rFonts w:ascii="Arial" w:hAnsi="Arial"/>
      <w:i/>
      <w:sz w:val="20"/>
    </w:rPr>
  </w:style>
  <w:style w:type="paragraph" w:styleId="Heading9">
    <w:name w:val="heading 9"/>
    <w:basedOn w:val="BodyText"/>
    <w:next w:val="BodyText"/>
    <w:rsid w:val="00A10CC6"/>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A10CC6"/>
    <w:pPr>
      <w:spacing w:before="240" w:line="300" w:lineRule="atLeast"/>
      <w:jc w:val="both"/>
    </w:pPr>
    <w:rPr>
      <w:sz w:val="24"/>
    </w:rPr>
  </w:style>
  <w:style w:type="paragraph" w:styleId="Footer">
    <w:name w:val="footer"/>
    <w:basedOn w:val="BodyText"/>
    <w:link w:val="FooterChar"/>
    <w:rsid w:val="00A10CC6"/>
    <w:pPr>
      <w:spacing w:before="80" w:line="200" w:lineRule="exact"/>
      <w:ind w:right="6"/>
      <w:jc w:val="left"/>
    </w:pPr>
    <w:rPr>
      <w:rFonts w:ascii="Arial" w:hAnsi="Arial"/>
      <w:caps/>
      <w:spacing w:val="-4"/>
      <w:sz w:val="16"/>
    </w:rPr>
  </w:style>
  <w:style w:type="paragraph" w:customStyle="1" w:styleId="FooterEnd">
    <w:name w:val="Footer End"/>
    <w:basedOn w:val="Footer"/>
    <w:rsid w:val="00A10CC6"/>
    <w:pPr>
      <w:spacing w:before="0" w:line="20" w:lineRule="exact"/>
    </w:pPr>
  </w:style>
  <w:style w:type="paragraph" w:styleId="Header">
    <w:name w:val="header"/>
    <w:basedOn w:val="BodyText"/>
    <w:rsid w:val="00A10CC6"/>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10CC6"/>
    <w:pPr>
      <w:spacing w:line="20" w:lineRule="exact"/>
    </w:pPr>
    <w:rPr>
      <w:sz w:val="16"/>
    </w:rPr>
  </w:style>
  <w:style w:type="paragraph" w:customStyle="1" w:styleId="HeaderEven">
    <w:name w:val="Header Even"/>
    <w:basedOn w:val="Header"/>
    <w:semiHidden/>
    <w:rsid w:val="00A10CC6"/>
  </w:style>
  <w:style w:type="paragraph" w:customStyle="1" w:styleId="HeaderOdd">
    <w:name w:val="Header Odd"/>
    <w:basedOn w:val="Header"/>
    <w:semiHidden/>
    <w:rsid w:val="00A10CC6"/>
  </w:style>
  <w:style w:type="character" w:styleId="PageNumber">
    <w:name w:val="page number"/>
    <w:basedOn w:val="DefaultParagraphFont"/>
    <w:rsid w:val="00A10CC6"/>
    <w:rPr>
      <w:rFonts w:ascii="Arial" w:hAnsi="Arial"/>
      <w:b/>
      <w:sz w:val="16"/>
    </w:rPr>
  </w:style>
  <w:style w:type="paragraph" w:customStyle="1" w:styleId="Abbreviation">
    <w:name w:val="Abbreviation"/>
    <w:basedOn w:val="BodyText"/>
    <w:rsid w:val="00A10CC6"/>
    <w:pPr>
      <w:spacing w:before="120"/>
      <w:ind w:left="2381" w:hanging="2381"/>
      <w:jc w:val="left"/>
    </w:pPr>
  </w:style>
  <w:style w:type="paragraph" w:customStyle="1" w:styleId="Box">
    <w:name w:val="Box"/>
    <w:basedOn w:val="BodyText"/>
    <w:qFormat/>
    <w:rsid w:val="00A10CC6"/>
    <w:pPr>
      <w:keepNext/>
      <w:spacing w:before="120" w:line="260" w:lineRule="atLeast"/>
    </w:pPr>
    <w:rPr>
      <w:rFonts w:ascii="Arial" w:hAnsi="Arial"/>
      <w:sz w:val="20"/>
    </w:rPr>
  </w:style>
  <w:style w:type="paragraph" w:customStyle="1" w:styleId="BoxContinued">
    <w:name w:val="Box Continued"/>
    <w:basedOn w:val="BodyText"/>
    <w:next w:val="BodyText"/>
    <w:semiHidden/>
    <w:rsid w:val="00A10CC6"/>
    <w:pPr>
      <w:spacing w:before="180" w:line="220" w:lineRule="exact"/>
      <w:jc w:val="right"/>
    </w:pPr>
    <w:rPr>
      <w:rFonts w:ascii="Arial" w:hAnsi="Arial"/>
      <w:sz w:val="18"/>
    </w:rPr>
  </w:style>
  <w:style w:type="paragraph" w:customStyle="1" w:styleId="BoxHeading1">
    <w:name w:val="Box Heading 1"/>
    <w:basedOn w:val="BodyText"/>
    <w:next w:val="Box"/>
    <w:rsid w:val="00A10CC6"/>
    <w:pPr>
      <w:keepNext/>
      <w:spacing w:before="200" w:line="280" w:lineRule="atLeast"/>
    </w:pPr>
    <w:rPr>
      <w:rFonts w:ascii="Arial" w:hAnsi="Arial"/>
      <w:b/>
      <w:sz w:val="22"/>
    </w:rPr>
  </w:style>
  <w:style w:type="paragraph" w:customStyle="1" w:styleId="BoxHeading2">
    <w:name w:val="Box Heading 2"/>
    <w:basedOn w:val="BoxHeading1"/>
    <w:next w:val="Normal"/>
    <w:rsid w:val="00A10CC6"/>
    <w:rPr>
      <w:b w:val="0"/>
      <w:i/>
    </w:rPr>
  </w:style>
  <w:style w:type="paragraph" w:customStyle="1" w:styleId="BoxListBullet">
    <w:name w:val="Box List Bullet"/>
    <w:basedOn w:val="BodyText"/>
    <w:rsid w:val="00A10CC6"/>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10CC6"/>
    <w:pPr>
      <w:numPr>
        <w:numId w:val="2"/>
      </w:numPr>
      <w:ind w:left="568" w:hanging="284"/>
    </w:pPr>
  </w:style>
  <w:style w:type="paragraph" w:customStyle="1" w:styleId="BoxListNumber">
    <w:name w:val="Box List Number"/>
    <w:basedOn w:val="BodyText"/>
    <w:rsid w:val="00A10CC6"/>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A10CC6"/>
    <w:pPr>
      <w:numPr>
        <w:ilvl w:val="1"/>
      </w:numPr>
      <w:ind w:left="681" w:hanging="397"/>
    </w:pPr>
  </w:style>
  <w:style w:type="paragraph" w:customStyle="1" w:styleId="BoxQuote">
    <w:name w:val="Box Quote"/>
    <w:basedOn w:val="BodyText"/>
    <w:next w:val="Box"/>
    <w:qFormat/>
    <w:rsid w:val="00A10CC6"/>
    <w:pPr>
      <w:keepNext/>
      <w:spacing w:before="60" w:line="240" w:lineRule="exact"/>
      <w:ind w:left="284"/>
    </w:pPr>
    <w:rPr>
      <w:rFonts w:ascii="Arial" w:hAnsi="Arial"/>
      <w:sz w:val="18"/>
    </w:rPr>
  </w:style>
  <w:style w:type="paragraph" w:customStyle="1" w:styleId="Note">
    <w:name w:val="Note"/>
    <w:basedOn w:val="BodyText"/>
    <w:next w:val="BodyText"/>
    <w:rsid w:val="00A10CC6"/>
    <w:pPr>
      <w:keepLines/>
      <w:spacing w:before="80" w:line="220" w:lineRule="exact"/>
    </w:pPr>
    <w:rPr>
      <w:rFonts w:ascii="Arial" w:hAnsi="Arial"/>
      <w:sz w:val="18"/>
    </w:rPr>
  </w:style>
  <w:style w:type="paragraph" w:customStyle="1" w:styleId="Source">
    <w:name w:val="Source"/>
    <w:basedOn w:val="Normal"/>
    <w:next w:val="BodyText"/>
    <w:rsid w:val="00A10CC6"/>
    <w:pPr>
      <w:keepLines/>
      <w:spacing w:before="80" w:line="220" w:lineRule="exact"/>
      <w:jc w:val="both"/>
    </w:pPr>
    <w:rPr>
      <w:rFonts w:ascii="Arial" w:hAnsi="Arial"/>
      <w:sz w:val="18"/>
      <w:szCs w:val="20"/>
    </w:rPr>
  </w:style>
  <w:style w:type="paragraph" w:customStyle="1" w:styleId="BoxSource">
    <w:name w:val="Box Source"/>
    <w:basedOn w:val="Source"/>
    <w:next w:val="BodyText"/>
    <w:rsid w:val="00A10CC6"/>
    <w:pPr>
      <w:spacing w:before="120"/>
    </w:pPr>
  </w:style>
  <w:style w:type="paragraph" w:customStyle="1" w:styleId="BoxSpaceAbove">
    <w:name w:val="Box Space Above"/>
    <w:basedOn w:val="BodyText"/>
    <w:rsid w:val="00A10CC6"/>
    <w:pPr>
      <w:keepNext/>
      <w:spacing w:before="360" w:line="80" w:lineRule="exact"/>
      <w:jc w:val="left"/>
    </w:pPr>
  </w:style>
  <w:style w:type="paragraph" w:styleId="Caption">
    <w:name w:val="caption"/>
    <w:basedOn w:val="Normal"/>
    <w:next w:val="BodyText"/>
    <w:rsid w:val="00A10CC6"/>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10CC6"/>
    <w:pPr>
      <w:spacing w:before="120" w:after="0"/>
    </w:pPr>
  </w:style>
  <w:style w:type="paragraph" w:customStyle="1" w:styleId="BoxSubtitle">
    <w:name w:val="Box Subtitle"/>
    <w:basedOn w:val="BoxTitle"/>
    <w:next w:val="Normal"/>
    <w:rsid w:val="00A10CC6"/>
    <w:pPr>
      <w:spacing w:after="80" w:line="200" w:lineRule="exact"/>
      <w:ind w:firstLine="0"/>
    </w:pPr>
    <w:rPr>
      <w:b w:val="0"/>
      <w:sz w:val="20"/>
    </w:rPr>
  </w:style>
  <w:style w:type="paragraph" w:customStyle="1" w:styleId="Chapter">
    <w:name w:val="Chapter"/>
    <w:basedOn w:val="Heading1"/>
    <w:next w:val="BodyText"/>
    <w:semiHidden/>
    <w:rsid w:val="00A10CC6"/>
    <w:pPr>
      <w:ind w:left="0" w:firstLine="0"/>
      <w:outlineLvl w:val="9"/>
    </w:pPr>
  </w:style>
  <w:style w:type="paragraph" w:customStyle="1" w:styleId="ChapterSummary">
    <w:name w:val="Chapter Summary"/>
    <w:basedOn w:val="BodyText"/>
    <w:rsid w:val="00A10CC6"/>
    <w:pPr>
      <w:spacing w:line="280" w:lineRule="atLeast"/>
      <w:ind w:left="907"/>
    </w:pPr>
    <w:rPr>
      <w:rFonts w:ascii="Arial" w:hAnsi="Arial"/>
      <w:b/>
      <w:sz w:val="20"/>
    </w:rPr>
  </w:style>
  <w:style w:type="character" w:styleId="CommentReference">
    <w:name w:val="annotation reference"/>
    <w:basedOn w:val="DefaultParagraphFont"/>
    <w:semiHidden/>
    <w:rsid w:val="00A10CC6"/>
    <w:rPr>
      <w:b/>
      <w:vanish/>
      <w:color w:val="FF00FF"/>
      <w:sz w:val="20"/>
    </w:rPr>
  </w:style>
  <w:style w:type="paragraph" w:styleId="CommentText">
    <w:name w:val="annotation text"/>
    <w:basedOn w:val="Normal"/>
    <w:link w:val="CommentTextChar"/>
    <w:semiHidden/>
    <w:rsid w:val="00A10CC6"/>
    <w:pPr>
      <w:spacing w:before="120" w:line="240" w:lineRule="atLeast"/>
      <w:ind w:left="567" w:hanging="567"/>
    </w:pPr>
    <w:rPr>
      <w:sz w:val="20"/>
    </w:rPr>
  </w:style>
  <w:style w:type="paragraph" w:customStyle="1" w:styleId="Continued">
    <w:name w:val="Continued"/>
    <w:basedOn w:val="BoxContinued"/>
    <w:next w:val="BodyText"/>
    <w:rsid w:val="00A10CC6"/>
  </w:style>
  <w:style w:type="character" w:customStyle="1" w:styleId="DocumentInfo">
    <w:name w:val="Document Info"/>
    <w:basedOn w:val="DefaultParagraphFont"/>
    <w:semiHidden/>
    <w:rsid w:val="00A10CC6"/>
    <w:rPr>
      <w:rFonts w:ascii="Arial" w:hAnsi="Arial"/>
      <w:sz w:val="14"/>
    </w:rPr>
  </w:style>
  <w:style w:type="character" w:customStyle="1" w:styleId="DraftingNote">
    <w:name w:val="Drafting Note"/>
    <w:basedOn w:val="DefaultParagraphFont"/>
    <w:rsid w:val="00A10CC6"/>
    <w:rPr>
      <w:b/>
      <w:color w:val="FF0000"/>
      <w:sz w:val="24"/>
      <w:u w:val="dotted"/>
    </w:rPr>
  </w:style>
  <w:style w:type="paragraph" w:customStyle="1" w:styleId="Figure">
    <w:name w:val="Figure"/>
    <w:basedOn w:val="BodyText"/>
    <w:rsid w:val="00A10CC6"/>
    <w:pPr>
      <w:keepNext/>
      <w:spacing w:before="120" w:after="120" w:line="240" w:lineRule="atLeast"/>
      <w:jc w:val="center"/>
    </w:pPr>
  </w:style>
  <w:style w:type="paragraph" w:customStyle="1" w:styleId="FigureTitle">
    <w:name w:val="Figure Title"/>
    <w:basedOn w:val="Caption"/>
    <w:next w:val="Subtitle"/>
    <w:rsid w:val="00A10CC6"/>
    <w:pPr>
      <w:spacing w:before="120"/>
    </w:pPr>
  </w:style>
  <w:style w:type="paragraph" w:styleId="Subtitle">
    <w:name w:val="Subtitle"/>
    <w:basedOn w:val="Caption"/>
    <w:link w:val="SubtitleChar"/>
    <w:qFormat/>
    <w:rsid w:val="00A10CC6"/>
    <w:pPr>
      <w:spacing w:before="0" w:line="200" w:lineRule="exact"/>
      <w:ind w:firstLine="0"/>
    </w:pPr>
    <w:rPr>
      <w:b w:val="0"/>
      <w:sz w:val="20"/>
    </w:rPr>
  </w:style>
  <w:style w:type="paragraph" w:customStyle="1" w:styleId="Finding">
    <w:name w:val="Finding"/>
    <w:basedOn w:val="BodyText"/>
    <w:rsid w:val="00A10CC6"/>
    <w:pPr>
      <w:keepLines/>
      <w:spacing w:before="120" w:line="280" w:lineRule="atLeast"/>
    </w:pPr>
    <w:rPr>
      <w:rFonts w:ascii="Arial" w:hAnsi="Arial"/>
      <w:sz w:val="22"/>
    </w:rPr>
  </w:style>
  <w:style w:type="paragraph" w:customStyle="1" w:styleId="FindingBullet">
    <w:name w:val="Finding Bullet"/>
    <w:basedOn w:val="Finding"/>
    <w:rsid w:val="00A10CC6"/>
    <w:pPr>
      <w:numPr>
        <w:numId w:val="3"/>
      </w:numPr>
      <w:spacing w:before="80"/>
    </w:pPr>
  </w:style>
  <w:style w:type="paragraph" w:customStyle="1" w:styleId="FindingNoTitle">
    <w:name w:val="Finding NoTitle"/>
    <w:basedOn w:val="Finding"/>
    <w:semiHidden/>
    <w:rsid w:val="00A10CC6"/>
    <w:pPr>
      <w:spacing w:before="240"/>
    </w:pPr>
  </w:style>
  <w:style w:type="paragraph" w:customStyle="1" w:styleId="RecTitle">
    <w:name w:val="Rec Title"/>
    <w:basedOn w:val="BodyText"/>
    <w:next w:val="Rec"/>
    <w:qFormat/>
    <w:rsid w:val="00A10CC6"/>
    <w:pPr>
      <w:keepNext/>
      <w:keepLines/>
      <w:spacing w:line="280" w:lineRule="atLeast"/>
    </w:pPr>
    <w:rPr>
      <w:rFonts w:ascii="Arial" w:hAnsi="Arial"/>
      <w:caps/>
      <w:sz w:val="18"/>
    </w:rPr>
  </w:style>
  <w:style w:type="paragraph" w:customStyle="1" w:styleId="FindingTitle">
    <w:name w:val="Finding Title"/>
    <w:basedOn w:val="RecTitle"/>
    <w:next w:val="Finding"/>
    <w:rsid w:val="00A10CC6"/>
  </w:style>
  <w:style w:type="character" w:styleId="FootnoteReference">
    <w:name w:val="footnote reference"/>
    <w:basedOn w:val="DefaultParagraphFont"/>
    <w:semiHidden/>
    <w:rsid w:val="00A10CC6"/>
    <w:rPr>
      <w:rFonts w:ascii="Times New Roman" w:hAnsi="Times New Roman"/>
      <w:position w:val="6"/>
      <w:sz w:val="20"/>
      <w:vertAlign w:val="baseline"/>
    </w:rPr>
  </w:style>
  <w:style w:type="paragraph" w:styleId="FootnoteText">
    <w:name w:val="footnote text"/>
    <w:basedOn w:val="BodyText"/>
    <w:rsid w:val="00A10CC6"/>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10CC6"/>
    <w:rPr>
      <w:i/>
    </w:rPr>
  </w:style>
  <w:style w:type="paragraph" w:customStyle="1" w:styleId="Jurisdictioncommentsbodytext">
    <w:name w:val="Jurisdiction comments body text"/>
    <w:rsid w:val="00A10CC6"/>
    <w:pPr>
      <w:spacing w:after="140"/>
      <w:jc w:val="both"/>
    </w:pPr>
    <w:rPr>
      <w:rFonts w:ascii="Arial" w:hAnsi="Arial"/>
      <w:sz w:val="24"/>
      <w:lang w:eastAsia="en-US"/>
    </w:rPr>
  </w:style>
  <w:style w:type="paragraph" w:customStyle="1" w:styleId="Jurisdictioncommentsheading">
    <w:name w:val="Jurisdiction comments heading"/>
    <w:rsid w:val="00A10CC6"/>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0CC6"/>
    <w:pPr>
      <w:numPr>
        <w:numId w:val="4"/>
      </w:numPr>
      <w:spacing w:after="140"/>
      <w:jc w:val="both"/>
    </w:pPr>
    <w:rPr>
      <w:rFonts w:ascii="Arial" w:hAnsi="Arial"/>
      <w:sz w:val="24"/>
      <w:lang w:eastAsia="en-US"/>
    </w:rPr>
  </w:style>
  <w:style w:type="paragraph" w:styleId="ListBullet">
    <w:name w:val="List Bullet"/>
    <w:basedOn w:val="BodyText"/>
    <w:rsid w:val="00A10CC6"/>
    <w:pPr>
      <w:numPr>
        <w:numId w:val="5"/>
      </w:numPr>
      <w:spacing w:before="120"/>
    </w:pPr>
  </w:style>
  <w:style w:type="paragraph" w:styleId="ListBullet2">
    <w:name w:val="List Bullet 2"/>
    <w:basedOn w:val="BodyText"/>
    <w:rsid w:val="00A10CC6"/>
    <w:pPr>
      <w:numPr>
        <w:numId w:val="6"/>
      </w:numPr>
      <w:spacing w:before="120"/>
    </w:pPr>
  </w:style>
  <w:style w:type="paragraph" w:styleId="ListBullet3">
    <w:name w:val="List Bullet 3"/>
    <w:basedOn w:val="BodyText"/>
    <w:rsid w:val="00A10CC6"/>
    <w:pPr>
      <w:numPr>
        <w:numId w:val="7"/>
      </w:numPr>
      <w:spacing w:before="120"/>
      <w:ind w:left="1020" w:hanging="340"/>
    </w:pPr>
  </w:style>
  <w:style w:type="paragraph" w:styleId="ListNumber">
    <w:name w:val="List Number"/>
    <w:basedOn w:val="BodyText"/>
    <w:rsid w:val="00A10CC6"/>
    <w:pPr>
      <w:numPr>
        <w:numId w:val="13"/>
      </w:numPr>
      <w:spacing w:before="120"/>
    </w:pPr>
  </w:style>
  <w:style w:type="paragraph" w:styleId="ListNumber2">
    <w:name w:val="List Number 2"/>
    <w:basedOn w:val="ListNumber"/>
    <w:rsid w:val="00A10CC6"/>
    <w:pPr>
      <w:numPr>
        <w:ilvl w:val="1"/>
      </w:numPr>
    </w:pPr>
  </w:style>
  <w:style w:type="paragraph" w:styleId="ListNumber3">
    <w:name w:val="List Number 3"/>
    <w:basedOn w:val="ListNumber2"/>
    <w:rsid w:val="00A10CC6"/>
    <w:pPr>
      <w:numPr>
        <w:ilvl w:val="2"/>
      </w:numPr>
    </w:pPr>
  </w:style>
  <w:style w:type="character" w:customStyle="1" w:styleId="NoteLabel">
    <w:name w:val="Note Label"/>
    <w:basedOn w:val="DefaultParagraphFont"/>
    <w:rsid w:val="00A10CC6"/>
    <w:rPr>
      <w:rFonts w:ascii="Arial" w:hAnsi="Arial"/>
      <w:b/>
      <w:position w:val="6"/>
      <w:sz w:val="18"/>
    </w:rPr>
  </w:style>
  <w:style w:type="paragraph" w:customStyle="1" w:styleId="PartDivider">
    <w:name w:val="Part Divider"/>
    <w:basedOn w:val="BodyText"/>
    <w:next w:val="BodyText"/>
    <w:semiHidden/>
    <w:rsid w:val="00A10CC6"/>
    <w:pPr>
      <w:spacing w:before="0" w:line="40" w:lineRule="exact"/>
      <w:jc w:val="right"/>
    </w:pPr>
    <w:rPr>
      <w:smallCaps/>
      <w:sz w:val="16"/>
    </w:rPr>
  </w:style>
  <w:style w:type="paragraph" w:customStyle="1" w:styleId="PartNumber">
    <w:name w:val="Part Number"/>
    <w:basedOn w:val="BodyText"/>
    <w:next w:val="BodyText"/>
    <w:semiHidden/>
    <w:rsid w:val="00A10CC6"/>
    <w:pPr>
      <w:spacing w:before="4000" w:line="320" w:lineRule="exact"/>
      <w:ind w:left="6634"/>
      <w:jc w:val="right"/>
    </w:pPr>
    <w:rPr>
      <w:smallCaps/>
      <w:spacing w:val="60"/>
      <w:sz w:val="32"/>
    </w:rPr>
  </w:style>
  <w:style w:type="paragraph" w:customStyle="1" w:styleId="PartTitle">
    <w:name w:val="Part Title"/>
    <w:basedOn w:val="BodyText"/>
    <w:semiHidden/>
    <w:rsid w:val="00A10CC6"/>
    <w:pPr>
      <w:spacing w:before="160" w:after="1360" w:line="520" w:lineRule="exact"/>
      <w:ind w:right="2381"/>
      <w:jc w:val="right"/>
    </w:pPr>
    <w:rPr>
      <w:smallCaps/>
      <w:sz w:val="52"/>
    </w:rPr>
  </w:style>
  <w:style w:type="paragraph" w:styleId="Quote">
    <w:name w:val="Quote"/>
    <w:basedOn w:val="BodyText"/>
    <w:next w:val="BodyText"/>
    <w:qFormat/>
    <w:rsid w:val="00A10CC6"/>
    <w:pPr>
      <w:spacing w:before="120" w:line="280" w:lineRule="exact"/>
      <w:ind w:left="340"/>
    </w:pPr>
    <w:rPr>
      <w:sz w:val="22"/>
    </w:rPr>
  </w:style>
  <w:style w:type="paragraph" w:customStyle="1" w:styleId="QuoteBullet">
    <w:name w:val="Quote Bullet"/>
    <w:basedOn w:val="Quote"/>
    <w:rsid w:val="00A10CC6"/>
    <w:pPr>
      <w:numPr>
        <w:numId w:val="8"/>
      </w:numPr>
    </w:pPr>
  </w:style>
  <w:style w:type="paragraph" w:customStyle="1" w:styleId="Rec">
    <w:name w:val="Rec"/>
    <w:basedOn w:val="BodyText"/>
    <w:qFormat/>
    <w:rsid w:val="00A10CC6"/>
    <w:pPr>
      <w:keepLines/>
      <w:spacing w:before="120" w:line="280" w:lineRule="atLeast"/>
    </w:pPr>
    <w:rPr>
      <w:rFonts w:ascii="Arial" w:hAnsi="Arial"/>
      <w:sz w:val="22"/>
    </w:rPr>
  </w:style>
  <w:style w:type="paragraph" w:customStyle="1" w:styleId="RecBullet">
    <w:name w:val="Rec Bullet"/>
    <w:basedOn w:val="Rec"/>
    <w:rsid w:val="00A10CC6"/>
    <w:pPr>
      <w:numPr>
        <w:numId w:val="9"/>
      </w:numPr>
      <w:spacing w:before="80"/>
    </w:pPr>
  </w:style>
  <w:style w:type="paragraph" w:customStyle="1" w:styleId="RecB">
    <w:name w:val="RecB"/>
    <w:basedOn w:val="Normal"/>
    <w:semiHidden/>
    <w:rsid w:val="00A10CC6"/>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10CC6"/>
    <w:pPr>
      <w:numPr>
        <w:numId w:val="10"/>
      </w:numPr>
      <w:spacing w:before="80"/>
    </w:pPr>
  </w:style>
  <w:style w:type="paragraph" w:customStyle="1" w:styleId="RecBNoTitle">
    <w:name w:val="RecB NoTitle"/>
    <w:basedOn w:val="RecB"/>
    <w:semiHidden/>
    <w:rsid w:val="00A10CC6"/>
    <w:pPr>
      <w:spacing w:before="240"/>
    </w:pPr>
  </w:style>
  <w:style w:type="paragraph" w:customStyle="1" w:styleId="Reference">
    <w:name w:val="Reference"/>
    <w:basedOn w:val="BodyText"/>
    <w:rsid w:val="00A10CC6"/>
    <w:pPr>
      <w:spacing w:before="120"/>
      <w:ind w:left="340" w:hanging="340"/>
    </w:pPr>
  </w:style>
  <w:style w:type="paragraph" w:customStyle="1" w:styleId="SequenceInfo">
    <w:name w:val="Sequence Info"/>
    <w:basedOn w:val="BodyText"/>
    <w:semiHidden/>
    <w:rsid w:val="00A10CC6"/>
    <w:rPr>
      <w:vanish/>
      <w:sz w:val="16"/>
    </w:rPr>
  </w:style>
  <w:style w:type="paragraph" w:customStyle="1" w:styleId="SideNote">
    <w:name w:val="Side Note"/>
    <w:basedOn w:val="BodyText"/>
    <w:next w:val="BodyText"/>
    <w:semiHidden/>
    <w:rsid w:val="00A10CC6"/>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0CC6"/>
    <w:pPr>
      <w:framePr w:wrap="around"/>
      <w:numPr>
        <w:numId w:val="11"/>
      </w:numPr>
      <w:tabs>
        <w:tab w:val="left" w:pos="227"/>
      </w:tabs>
    </w:pPr>
  </w:style>
  <w:style w:type="paragraph" w:customStyle="1" w:styleId="SideNoteGraphic">
    <w:name w:val="Side Note Graphic"/>
    <w:basedOn w:val="SideNote"/>
    <w:next w:val="BodyText"/>
    <w:semiHidden/>
    <w:rsid w:val="00A10CC6"/>
    <w:pPr>
      <w:framePr w:wrap="around"/>
    </w:pPr>
  </w:style>
  <w:style w:type="paragraph" w:customStyle="1" w:styleId="TableBodyText">
    <w:name w:val="Table Body Text"/>
    <w:basedOn w:val="BodyText"/>
    <w:rsid w:val="00A10CC6"/>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10CC6"/>
    <w:pPr>
      <w:numPr>
        <w:numId w:val="12"/>
      </w:numPr>
      <w:jc w:val="left"/>
    </w:pPr>
  </w:style>
  <w:style w:type="paragraph" w:customStyle="1" w:styleId="TableColumnHeading">
    <w:name w:val="Table Column Heading"/>
    <w:basedOn w:val="TableBodyText"/>
    <w:rsid w:val="00A10CC6"/>
    <w:pPr>
      <w:spacing w:before="80" w:after="80"/>
    </w:pPr>
    <w:rPr>
      <w:i/>
    </w:rPr>
  </w:style>
  <w:style w:type="paragraph" w:styleId="TOC2">
    <w:name w:val="toc 2"/>
    <w:basedOn w:val="TOC1"/>
    <w:rsid w:val="00A10CC6"/>
    <w:pPr>
      <w:ind w:left="1134" w:hanging="624"/>
    </w:pPr>
    <w:rPr>
      <w:b w:val="0"/>
    </w:rPr>
  </w:style>
  <w:style w:type="paragraph" w:styleId="TOC3">
    <w:name w:val="toc 3"/>
    <w:basedOn w:val="TOC2"/>
    <w:rsid w:val="00A10CC6"/>
    <w:pPr>
      <w:spacing w:before="60"/>
      <w:ind w:left="1190" w:hanging="680"/>
    </w:pPr>
  </w:style>
  <w:style w:type="paragraph" w:styleId="TableofFigures">
    <w:name w:val="table of figures"/>
    <w:basedOn w:val="TOC3"/>
    <w:next w:val="BodyText"/>
    <w:semiHidden/>
    <w:rsid w:val="00A10CC6"/>
    <w:pPr>
      <w:ind w:left="737" w:hanging="737"/>
    </w:pPr>
  </w:style>
  <w:style w:type="paragraph" w:customStyle="1" w:styleId="TableTitle">
    <w:name w:val="Table Title"/>
    <w:basedOn w:val="Caption"/>
    <w:next w:val="Subtitle"/>
    <w:qFormat/>
    <w:rsid w:val="00A10CC6"/>
    <w:pPr>
      <w:spacing w:before="120"/>
    </w:pPr>
  </w:style>
  <w:style w:type="paragraph" w:customStyle="1" w:styleId="TableUnitsRow">
    <w:name w:val="Table Units Row"/>
    <w:basedOn w:val="TableBodyText"/>
    <w:rsid w:val="00A10CC6"/>
    <w:pPr>
      <w:spacing w:before="40"/>
    </w:pPr>
  </w:style>
  <w:style w:type="paragraph" w:styleId="TOC1">
    <w:name w:val="toc 1"/>
    <w:basedOn w:val="Normal"/>
    <w:next w:val="TOC2"/>
    <w:link w:val="TOC1Char"/>
    <w:rsid w:val="00A10CC6"/>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0CC6"/>
    <w:pPr>
      <w:ind w:left="1191" w:firstLine="0"/>
    </w:pPr>
  </w:style>
  <w:style w:type="paragraph" w:customStyle="1" w:styleId="RecBBullet2">
    <w:name w:val="RecB Bullet 2"/>
    <w:basedOn w:val="ListBullet2"/>
    <w:semiHidden/>
    <w:rsid w:val="00A10CC6"/>
    <w:pPr>
      <w:pBdr>
        <w:left w:val="single" w:sz="24" w:space="29" w:color="C0C0C0"/>
      </w:pBdr>
    </w:pPr>
    <w:rPr>
      <w:b/>
      <w:i/>
    </w:rPr>
  </w:style>
  <w:style w:type="paragraph" w:styleId="BalloonText">
    <w:name w:val="Balloon Text"/>
    <w:basedOn w:val="Normal"/>
    <w:link w:val="BalloonTextChar"/>
    <w:rsid w:val="00A10CC6"/>
    <w:rPr>
      <w:rFonts w:ascii="Tahoma" w:hAnsi="Tahoma" w:cs="Tahoma"/>
      <w:sz w:val="16"/>
      <w:szCs w:val="16"/>
    </w:rPr>
  </w:style>
  <w:style w:type="character" w:customStyle="1" w:styleId="BalloonTextChar">
    <w:name w:val="Balloon Text Char"/>
    <w:basedOn w:val="DefaultParagraphFont"/>
    <w:link w:val="BalloonText"/>
    <w:rsid w:val="00A10CC6"/>
    <w:rPr>
      <w:rFonts w:ascii="Tahoma" w:hAnsi="Tahoma" w:cs="Tahoma"/>
      <w:sz w:val="16"/>
      <w:szCs w:val="16"/>
    </w:rPr>
  </w:style>
  <w:style w:type="character" w:customStyle="1" w:styleId="SubtitleChar">
    <w:name w:val="Subtitle Char"/>
    <w:basedOn w:val="DefaultParagraphFont"/>
    <w:link w:val="Subtitle"/>
    <w:rsid w:val="00A10CC6"/>
    <w:rPr>
      <w:rFonts w:ascii="Arial" w:hAnsi="Arial"/>
      <w:szCs w:val="24"/>
    </w:rPr>
  </w:style>
  <w:style w:type="paragraph" w:customStyle="1" w:styleId="BoxListBullet3">
    <w:name w:val="Box List Bullet 3"/>
    <w:basedOn w:val="ListBullet3"/>
    <w:rsid w:val="00A10CC6"/>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10CC6"/>
    <w:rPr>
      <w:i/>
      <w:iCs/>
    </w:rPr>
  </w:style>
  <w:style w:type="paragraph" w:customStyle="1" w:styleId="BoxQuoteBullet">
    <w:name w:val="Box Quote Bullet"/>
    <w:basedOn w:val="BoxQuote"/>
    <w:next w:val="Box"/>
    <w:rsid w:val="00A10CC6"/>
    <w:pPr>
      <w:numPr>
        <w:numId w:val="15"/>
      </w:numPr>
      <w:ind w:left="568" w:hanging="284"/>
    </w:pPr>
  </w:style>
  <w:style w:type="paragraph" w:customStyle="1" w:styleId="InformationRequestBullet">
    <w:name w:val="Information Request Bullet"/>
    <w:basedOn w:val="ListBullet"/>
    <w:next w:val="BodyText"/>
    <w:rsid w:val="00A10CC6"/>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10CC6"/>
    <w:pPr>
      <w:keepNext w:val="0"/>
      <w:spacing w:before="60" w:after="60" w:line="80" w:lineRule="exact"/>
    </w:pPr>
    <w:rPr>
      <w:sz w:val="14"/>
    </w:rPr>
  </w:style>
  <w:style w:type="character" w:styleId="Hyperlink">
    <w:name w:val="Hyperlink"/>
    <w:basedOn w:val="DefaultParagraphFont"/>
    <w:rsid w:val="00350AC1"/>
    <w:rPr>
      <w:color w:val="78A22F" w:themeColor="hyperlink"/>
      <w:u w:val="single"/>
    </w:rPr>
  </w:style>
  <w:style w:type="paragraph" w:customStyle="1" w:styleId="KeyPointsListBullet">
    <w:name w:val="Key Points List Bullet"/>
    <w:basedOn w:val="Normal"/>
    <w:qFormat/>
    <w:rsid w:val="00A10CC6"/>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10CC6"/>
    <w:pPr>
      <w:numPr>
        <w:numId w:val="19"/>
      </w:numPr>
      <w:ind w:left="568" w:hanging="284"/>
    </w:pPr>
  </w:style>
  <w:style w:type="paragraph" w:customStyle="1" w:styleId="InformationRequestTitle">
    <w:name w:val="Information Request Title"/>
    <w:basedOn w:val="FindingTitle"/>
    <w:next w:val="InformationRequest"/>
    <w:rsid w:val="00A10CC6"/>
    <w:rPr>
      <w:i/>
    </w:rPr>
  </w:style>
  <w:style w:type="paragraph" w:customStyle="1" w:styleId="Space">
    <w:name w:val="Space"/>
    <w:basedOn w:val="Normal"/>
    <w:rsid w:val="00A10CC6"/>
    <w:pPr>
      <w:keepNext/>
      <w:spacing w:line="120" w:lineRule="exact"/>
      <w:jc w:val="both"/>
    </w:pPr>
    <w:rPr>
      <w:rFonts w:ascii="Arial" w:hAnsi="Arial"/>
      <w:sz w:val="20"/>
      <w:szCs w:val="20"/>
    </w:rPr>
  </w:style>
  <w:style w:type="paragraph" w:customStyle="1" w:styleId="Heading1nochapterno">
    <w:name w:val="Heading 1 (no chapter no.)"/>
    <w:basedOn w:val="Heading1"/>
    <w:rsid w:val="00A10CC6"/>
    <w:pPr>
      <w:spacing w:before="0"/>
      <w:ind w:left="0" w:firstLine="0"/>
    </w:pPr>
  </w:style>
  <w:style w:type="paragraph" w:customStyle="1" w:styleId="Heading2nosectionno">
    <w:name w:val="Heading 2 (no section no.)"/>
    <w:basedOn w:val="Heading2"/>
    <w:rsid w:val="00A10CC6"/>
    <w:pPr>
      <w:ind w:left="0" w:firstLine="0"/>
    </w:pPr>
  </w:style>
  <w:style w:type="character" w:customStyle="1" w:styleId="Heading5Char">
    <w:name w:val="Heading 5 Char"/>
    <w:basedOn w:val="DefaultParagraphFont"/>
    <w:link w:val="Heading5"/>
    <w:rsid w:val="00A10CC6"/>
    <w:rPr>
      <w:rFonts w:ascii="Arial" w:hAnsi="Arial"/>
      <w:i/>
      <w:sz w:val="22"/>
    </w:rPr>
  </w:style>
  <w:style w:type="paragraph" w:customStyle="1" w:styleId="Figurespace">
    <w:name w:val="Figure space"/>
    <w:basedOn w:val="Box"/>
    <w:rsid w:val="00A10CC6"/>
    <w:pPr>
      <w:spacing w:before="0" w:line="120" w:lineRule="exact"/>
    </w:pPr>
  </w:style>
  <w:style w:type="paragraph" w:customStyle="1" w:styleId="FooterDraftReport">
    <w:name w:val="FooterDraftReport"/>
    <w:basedOn w:val="Footer"/>
    <w:link w:val="FooterDraftReportChar"/>
    <w:rsid w:val="00A10CC6"/>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10CC6"/>
    <w:rPr>
      <w:sz w:val="24"/>
    </w:rPr>
  </w:style>
  <w:style w:type="character" w:customStyle="1" w:styleId="FooterChar">
    <w:name w:val="Footer Char"/>
    <w:basedOn w:val="BodyTextChar"/>
    <w:link w:val="Footer"/>
    <w:rsid w:val="00A10CC6"/>
    <w:rPr>
      <w:rFonts w:ascii="Arial" w:hAnsi="Arial"/>
      <w:caps/>
      <w:spacing w:val="-4"/>
      <w:sz w:val="16"/>
    </w:rPr>
  </w:style>
  <w:style w:type="character" w:customStyle="1" w:styleId="FooterDraftReportChar">
    <w:name w:val="FooterDraftReport Char"/>
    <w:basedOn w:val="FooterChar"/>
    <w:link w:val="FooterDraftReport"/>
    <w:rsid w:val="00A10CC6"/>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1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A10CC6"/>
    <w:rPr>
      <w:rFonts w:ascii="Arial" w:hAnsi="Arial"/>
      <w:b/>
      <w:sz w:val="26"/>
      <w:szCs w:val="26"/>
      <w:lang w:eastAsia="en-US"/>
    </w:rPr>
  </w:style>
  <w:style w:type="paragraph" w:styleId="Bibliography">
    <w:name w:val="Bibliography"/>
    <w:basedOn w:val="Normal"/>
    <w:next w:val="Normal"/>
    <w:uiPriority w:val="37"/>
    <w:unhideWhenUsed/>
    <w:rsid w:val="0099216C"/>
    <w:pPr>
      <w:spacing w:after="240"/>
      <w:ind w:left="720" w:hanging="720"/>
    </w:pPr>
  </w:style>
  <w:style w:type="character" w:styleId="EndnoteReference">
    <w:name w:val="endnote reference"/>
    <w:basedOn w:val="DefaultParagraphFont"/>
    <w:rsid w:val="0060577C"/>
    <w:rPr>
      <w:vertAlign w:val="superscript"/>
    </w:rPr>
  </w:style>
  <w:style w:type="paragraph" w:styleId="CommentSubject">
    <w:name w:val="annotation subject"/>
    <w:basedOn w:val="CommentText"/>
    <w:next w:val="CommentText"/>
    <w:link w:val="CommentSubjectChar"/>
    <w:rsid w:val="003E3ED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E3EDC"/>
    <w:rPr>
      <w:szCs w:val="24"/>
    </w:rPr>
  </w:style>
  <w:style w:type="character" w:customStyle="1" w:styleId="CommentSubjectChar">
    <w:name w:val="Comment Subject Char"/>
    <w:basedOn w:val="CommentTextChar"/>
    <w:link w:val="CommentSubject"/>
    <w:rsid w:val="003E3EDC"/>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ith\AppData\Local\Microsoft\Windows\Temporary%20Internet%20Files\Content.MSO\6B1C60C3.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DA8A-8A3B-4F19-9FCE-EB22BCAD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6B1C60C3.dotm</Template>
  <TotalTime>214</TotalTime>
  <Pages>14</Pages>
  <Words>6225</Words>
  <Characters>33383</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Measuring the benefits of legal assistance services</vt:lpstr>
    </vt:vector>
  </TitlesOfParts>
  <Company>Productivity Commission</Company>
  <LinksUpToDate>false</LinksUpToDate>
  <CharactersWithSpaces>39529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the benefits of legal assistance services</dc:title>
  <dc:subject>Access to Justice Arrangements</dc:subject>
  <dc:creator>Productivity Commission</dc:creator>
  <cp:keywords/>
  <dc:description>K.</dc:description>
  <cp:lastModifiedBy>Mark Pimperl</cp:lastModifiedBy>
  <cp:revision>36</cp:revision>
  <cp:lastPrinted>2014-08-26T01:28:00Z</cp:lastPrinted>
  <dcterms:created xsi:type="dcterms:W3CDTF">2014-09-05T03:35:00Z</dcterms:created>
  <dcterms:modified xsi:type="dcterms:W3CDTF">2014-10-12T23:37:00Z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id="bCr2ydY9"/&gt;&lt;style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