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164401" w:rsidP="00CD5E6B">
      <w:pPr>
        <w:pStyle w:val="BodyText"/>
        <w:rPr>
          <w:b/>
          <w:szCs w:val="26"/>
        </w:rPr>
      </w:pPr>
      <w:bookmarkStart w:id="0" w:name="_GoBack"/>
      <w:bookmarkEnd w:id="0"/>
      <w:r>
        <w:rPr>
          <w:noProof/>
        </w:rPr>
        <w:drawing>
          <wp:anchor distT="0" distB="0" distL="114300" distR="114300" simplePos="0" relativeHeight="251658240" behindDoc="0" locked="0" layoutInCell="1" allowOverlap="1" wp14:anchorId="6012719E" wp14:editId="3E9DB3DC">
            <wp:simplePos x="0" y="0"/>
            <wp:positionH relativeFrom="column">
              <wp:posOffset>-1151890</wp:posOffset>
            </wp:positionH>
            <wp:positionV relativeFrom="paragraph">
              <wp:posOffset>-255905</wp:posOffset>
            </wp:positionV>
            <wp:extent cx="7560000" cy="10123200"/>
            <wp:effectExtent l="0" t="0" r="3175" b="0"/>
            <wp:wrapSquare wrapText="bothSides"/>
            <wp:docPr id="5" name="Picture 5" descr="Cover image for the Australian Government Productivity Commission Inquiry Report titled 'Access to Justice Arrangements, Overview'. No.72, 5 September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Justice-Overview-FINA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123200"/>
                    </a:xfrm>
                    <a:prstGeom prst="rect">
                      <a:avLst/>
                    </a:prstGeom>
                  </pic:spPr>
                </pic:pic>
              </a:graphicData>
            </a:graphic>
            <wp14:sizeRelH relativeFrom="page">
              <wp14:pctWidth>0</wp14:pctWidth>
            </wp14:sizeRelH>
            <wp14:sizeRelV relativeFrom="page">
              <wp14:pctHeight>0</wp14:pctHeight>
            </wp14:sizeRelV>
          </wp:anchor>
        </w:drawing>
      </w:r>
      <w:r w:rsidR="00B04D19">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E91F35" w:rsidRPr="007809B8" w:rsidRDefault="00E91F35" w:rsidP="006F7F5B">
      <w:pPr>
        <w:pStyle w:val="BodyText"/>
        <w:tabs>
          <w:tab w:val="left" w:pos="851"/>
        </w:tabs>
        <w:spacing w:before="200" w:after="120"/>
        <w:jc w:val="left"/>
        <w:rPr>
          <w:b/>
        </w:rPr>
      </w:pPr>
      <w:bookmarkStart w:id="1" w:name="ISSN"/>
      <w:bookmarkEnd w:id="1"/>
      <w:r>
        <w:rPr>
          <w:b/>
        </w:rPr>
        <w:t>ISSN</w:t>
      </w:r>
      <w:r>
        <w:rPr>
          <w:b/>
        </w:rPr>
        <w:tab/>
      </w:r>
      <w:r w:rsidR="006F7F5B" w:rsidRPr="006F7F5B">
        <w:rPr>
          <w:b/>
        </w:rPr>
        <w:t>1447-1329</w:t>
      </w:r>
      <w:r>
        <w:rPr>
          <w:b/>
        </w:rPr>
        <w:br/>
      </w:r>
      <w:r w:rsidR="006F7F5B">
        <w:rPr>
          <w:b/>
        </w:rPr>
        <w:t>ISBN</w:t>
      </w:r>
      <w:r w:rsidR="006F7F5B">
        <w:rPr>
          <w:b/>
        </w:rPr>
        <w:tab/>
      </w:r>
      <w:r w:rsidR="006F7F5B" w:rsidRPr="006F7F5B">
        <w:rPr>
          <w:b/>
        </w:rPr>
        <w:t>978-1-74037-493-4</w:t>
      </w:r>
      <w:r w:rsidR="006F7F5B">
        <w:rPr>
          <w:b/>
        </w:rPr>
        <w:t xml:space="preserve"> (overview PDF</w:t>
      </w:r>
      <w:proofErr w:type="gramStart"/>
      <w:r w:rsidR="006F7F5B">
        <w:rPr>
          <w:b/>
        </w:rPr>
        <w:t>)</w:t>
      </w:r>
      <w:proofErr w:type="gramEnd"/>
      <w:r w:rsidR="006F7F5B">
        <w:rPr>
          <w:b/>
        </w:rPr>
        <w:br/>
        <w:t>ISBN</w:t>
      </w:r>
      <w:r w:rsidR="006F7F5B">
        <w:rPr>
          <w:b/>
        </w:rPr>
        <w:tab/>
      </w:r>
      <w:r w:rsidR="006F7F5B" w:rsidRPr="006F7F5B">
        <w:rPr>
          <w:b/>
        </w:rPr>
        <w:t>978-1-74037-492-7</w:t>
      </w:r>
      <w:r w:rsidR="006F7F5B">
        <w:rPr>
          <w:b/>
        </w:rPr>
        <w:t xml:space="preserve"> (overview Print)</w:t>
      </w:r>
    </w:p>
    <w:p w:rsidR="008A3857" w:rsidRDefault="008A3857" w:rsidP="008E242D">
      <w:pPr>
        <w:pStyle w:val="BodyText"/>
        <w:spacing w:after="120"/>
      </w:pPr>
      <w:r w:rsidRPr="00862D8F">
        <w:rPr>
          <w:noProof/>
          <w:sz w:val="22"/>
          <w:szCs w:val="22"/>
        </w:rPr>
        <w:drawing>
          <wp:inline distT="0" distB="0" distL="0" distR="0" wp14:anchorId="2CD3AF6A" wp14:editId="4FFD527E">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http://creativecommons.org/licenses/by/3.0/au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w:t>
      </w:r>
      <w:proofErr w:type="gramStart"/>
      <w:r w:rsidRPr="008A3857">
        <w:t>endorses</w:t>
      </w:r>
      <w:proofErr w:type="gramEnd"/>
      <w:r w:rsidRPr="008A3857">
        <w:t xml:space="preserve">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http://www.itsanhonour.gov.au</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6F7F5B">
        <w:rPr>
          <w:i/>
        </w:rPr>
        <w:t>Access to Justice Arrangements</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6F7F5B">
        <w:rPr>
          <w:i/>
        </w:rPr>
        <w:t>Access to Justice Arrangements</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8A3857" w:rsidRPr="008A3857" w:rsidRDefault="001C3B99" w:rsidP="008A3857">
      <w:pPr>
        <w:pStyle w:val="Copyrightbodytext"/>
      </w:pPr>
      <w:r>
        <w:t xml:space="preserve">Productivity Commission 2014, </w:t>
      </w:r>
      <w:r>
        <w:rPr>
          <w:i/>
        </w:rPr>
        <w:t>Access to Justice Arrangements</w:t>
      </w:r>
      <w:r w:rsidR="00907CE7">
        <w:rPr>
          <w:i/>
        </w:rPr>
        <w:t>: Overview</w:t>
      </w:r>
      <w:r>
        <w:t>, Inquiry Report No. 72, Canberra.</w:t>
      </w:r>
    </w:p>
    <w:p w:rsidR="008A3857" w:rsidRPr="008A3857" w:rsidRDefault="008A3857" w:rsidP="008A3857">
      <w:pPr>
        <w:pStyle w:val="Copyrightsubtitle"/>
      </w:pPr>
      <w:bookmarkStart w:id="2" w:name="JEL"/>
      <w:bookmarkEnd w:id="2"/>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1E2225">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1E2225">
            <w:pPr>
              <w:pStyle w:val="BoxTitle"/>
              <w:rPr>
                <w:sz w:val="22"/>
                <w:szCs w:val="22"/>
              </w:rPr>
            </w:pPr>
            <w:r w:rsidRPr="008A3857">
              <w:rPr>
                <w:sz w:val="22"/>
                <w:szCs w:val="22"/>
              </w:rPr>
              <w:t>The Productivity Commission</w:t>
            </w:r>
          </w:p>
        </w:tc>
      </w:tr>
      <w:tr w:rsidR="008A3857" w:rsidTr="001E2225">
        <w:trPr>
          <w:cantSplit/>
        </w:trPr>
        <w:tc>
          <w:tcPr>
            <w:tcW w:w="8771" w:type="dxa"/>
            <w:tcBorders>
              <w:top w:val="nil"/>
              <w:left w:val="nil"/>
              <w:bottom w:val="nil"/>
              <w:right w:val="nil"/>
            </w:tcBorders>
            <w:shd w:val="clear" w:color="auto" w:fill="F2F2F2" w:themeFill="background1" w:themeFillShade="F2"/>
          </w:tcPr>
          <w:p w:rsidR="008A3857" w:rsidRDefault="008A3857" w:rsidP="001E2225">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1E2225">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rsidTr="001E2225">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1E2225">
            <w:pPr>
              <w:pStyle w:val="Box"/>
              <w:spacing w:before="0" w:line="120" w:lineRule="exact"/>
            </w:pPr>
          </w:p>
        </w:tc>
      </w:tr>
    </w:tbl>
    <w:p w:rsidR="00E91F35" w:rsidRDefault="00E91F35" w:rsidP="00E91F35">
      <w:pPr>
        <w:pStyle w:val="BodyText"/>
      </w:pPr>
      <w:bookmarkStart w:id="3" w:name="cov"/>
      <w:bookmarkEnd w:id="3"/>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E91F35" w:rsidTr="001E2225">
        <w:trPr>
          <w:cantSplit/>
          <w:trHeight w:hRule="exact" w:val="996"/>
        </w:trPr>
        <w:tc>
          <w:tcPr>
            <w:tcW w:w="2434" w:type="dxa"/>
          </w:tcPr>
          <w:p w:rsidR="00E91F35" w:rsidRPr="00205C77" w:rsidRDefault="00E91F35">
            <w:pPr>
              <w:pStyle w:val="PCAddress"/>
              <w:ind w:left="709"/>
              <w:rPr>
                <w:rFonts w:ascii="Goudy Old Style" w:hAnsi="Goudy Old Style"/>
                <w:b/>
                <w:i/>
              </w:rPr>
            </w:pPr>
          </w:p>
        </w:tc>
        <w:tc>
          <w:tcPr>
            <w:tcW w:w="1824" w:type="dxa"/>
          </w:tcPr>
          <w:p w:rsidR="00E91F35" w:rsidRPr="00205C77" w:rsidRDefault="00E91F35">
            <w:pPr>
              <w:pStyle w:val="PCAddress"/>
              <w:ind w:left="709"/>
              <w:rPr>
                <w:rFonts w:ascii="Goudy Old Style" w:hAnsi="Goudy Old Style"/>
                <w:b/>
                <w:i/>
              </w:rPr>
            </w:pPr>
          </w:p>
        </w:tc>
        <w:tc>
          <w:tcPr>
            <w:tcW w:w="4815" w:type="dxa"/>
            <w:gridSpan w:val="2"/>
          </w:tcPr>
          <w:p w:rsidR="00E91F35" w:rsidRPr="00205C77" w:rsidRDefault="00E91F35" w:rsidP="001E2225">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44529592" wp14:editId="2F40EE29">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1"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E91F35" w:rsidTr="001E2225">
        <w:trPr>
          <w:cantSplit/>
          <w:trHeight w:hRule="exact" w:val="2793"/>
        </w:trPr>
        <w:tc>
          <w:tcPr>
            <w:tcW w:w="5954" w:type="dxa"/>
            <w:gridSpan w:val="3"/>
            <w:vAlign w:val="bottom"/>
          </w:tcPr>
          <w:p w:rsidR="00E91F35" w:rsidRPr="00E61DA2" w:rsidRDefault="00E91F35" w:rsidP="001E2225">
            <w:pPr>
              <w:pStyle w:val="LetterDate"/>
            </w:pPr>
            <w:r>
              <w:cr/>
            </w:r>
            <w:r w:rsidRPr="00E91F35">
              <w:t>5 September 2014</w:t>
            </w:r>
          </w:p>
        </w:tc>
        <w:tc>
          <w:tcPr>
            <w:tcW w:w="3119" w:type="dxa"/>
            <w:vAlign w:val="center"/>
          </w:tcPr>
          <w:p w:rsidR="00186F85" w:rsidRPr="00186F85" w:rsidRDefault="00186F85" w:rsidP="00186F85">
            <w:pPr>
              <w:tabs>
                <w:tab w:val="left" w:pos="866"/>
              </w:tabs>
              <w:spacing w:after="60"/>
              <w:rPr>
                <w:rFonts w:ascii="Goudy Old Style" w:hAnsi="Goudy Old Style"/>
                <w:b/>
                <w:i/>
                <w:sz w:val="16"/>
                <w:lang w:eastAsia="en-AU"/>
              </w:rPr>
            </w:pPr>
            <w:smartTag w:uri="urn:schemas-microsoft-com:office:smarttags" w:element="City">
              <w:smartTag w:uri="urn:schemas-microsoft-com:office:smarttags" w:element="place">
                <w:r w:rsidRPr="00186F85">
                  <w:rPr>
                    <w:rFonts w:ascii="Goudy Old Style" w:hAnsi="Goudy Old Style"/>
                    <w:b/>
                    <w:i/>
                    <w:sz w:val="16"/>
                    <w:lang w:eastAsia="en-AU"/>
                  </w:rPr>
                  <w:t>Canberra</w:t>
                </w:r>
              </w:smartTag>
            </w:smartTag>
            <w:r w:rsidRPr="00186F85">
              <w:rPr>
                <w:rFonts w:ascii="Goudy Old Style" w:hAnsi="Goudy Old Style"/>
                <w:b/>
                <w:i/>
                <w:sz w:val="16"/>
                <w:lang w:eastAsia="en-AU"/>
              </w:rPr>
              <w:t xml:space="preserve"> Office</w:t>
            </w:r>
          </w:p>
          <w:p w:rsidR="00186F85" w:rsidRPr="00186F85" w:rsidRDefault="00186F85" w:rsidP="00186F85">
            <w:pPr>
              <w:tabs>
                <w:tab w:val="left" w:pos="866"/>
              </w:tabs>
              <w:spacing w:after="60"/>
              <w:rPr>
                <w:rFonts w:ascii="Goudy Old Style" w:hAnsi="Goudy Old Style"/>
                <w:sz w:val="16"/>
                <w:lang w:eastAsia="en-AU"/>
              </w:rPr>
            </w:pPr>
            <w:r w:rsidRPr="00186F85">
              <w:rPr>
                <w:rFonts w:ascii="Goudy Old Style" w:hAnsi="Goudy Old Style"/>
                <w:sz w:val="16"/>
                <w:lang w:eastAsia="en-AU"/>
              </w:rPr>
              <w:t>Level 2, 15 Moore Street</w:t>
            </w:r>
            <w:r w:rsidRPr="00186F85">
              <w:rPr>
                <w:rFonts w:ascii="Goudy Old Style" w:hAnsi="Goudy Old Style"/>
                <w:sz w:val="16"/>
                <w:lang w:eastAsia="en-AU"/>
              </w:rPr>
              <w:br/>
              <w:t>Canberra City ACT  2600</w:t>
            </w:r>
            <w:r w:rsidRPr="00186F85">
              <w:rPr>
                <w:rFonts w:ascii="Goudy Old Style" w:hAnsi="Goudy Old Style"/>
                <w:sz w:val="16"/>
                <w:lang w:eastAsia="en-AU"/>
              </w:rPr>
              <w:br/>
              <w:t>GPO Box 1428</w:t>
            </w:r>
            <w:r w:rsidRPr="00186F85">
              <w:rPr>
                <w:rFonts w:ascii="Goudy Old Style" w:hAnsi="Goudy Old Style"/>
                <w:sz w:val="16"/>
                <w:lang w:eastAsia="en-AU"/>
              </w:rPr>
              <w:br/>
              <w:t>Canberra City ACT  2600</w:t>
            </w:r>
          </w:p>
          <w:p w:rsidR="00186F85" w:rsidRPr="00186F85" w:rsidRDefault="00186F85" w:rsidP="00186F85">
            <w:pPr>
              <w:tabs>
                <w:tab w:val="left" w:pos="866"/>
              </w:tabs>
              <w:spacing w:after="60"/>
              <w:rPr>
                <w:rFonts w:ascii="Goudy Old Style" w:hAnsi="Goudy Old Style"/>
                <w:sz w:val="16"/>
                <w:lang w:eastAsia="en-AU"/>
              </w:rPr>
            </w:pPr>
            <w:r w:rsidRPr="00186F85">
              <w:rPr>
                <w:rFonts w:ascii="Goudy Old Style" w:hAnsi="Goudy Old Style"/>
                <w:sz w:val="16"/>
                <w:lang w:eastAsia="en-AU"/>
              </w:rPr>
              <w:t>Telephone</w:t>
            </w:r>
            <w:r w:rsidRPr="00186F85">
              <w:rPr>
                <w:rFonts w:ascii="Goudy Old Style" w:hAnsi="Goudy Old Style"/>
                <w:sz w:val="16"/>
                <w:lang w:eastAsia="en-AU"/>
              </w:rPr>
              <w:tab/>
              <w:t>02 6240 3200</w:t>
            </w:r>
            <w:r w:rsidRPr="00186F85">
              <w:rPr>
                <w:rFonts w:ascii="Goudy Old Style" w:hAnsi="Goudy Old Style"/>
                <w:sz w:val="16"/>
                <w:lang w:eastAsia="en-AU"/>
              </w:rPr>
              <w:br/>
              <w:t>Facsimile</w:t>
            </w:r>
            <w:r w:rsidRPr="00186F85">
              <w:rPr>
                <w:rFonts w:ascii="Goudy Old Style" w:hAnsi="Goudy Old Style"/>
                <w:sz w:val="16"/>
                <w:lang w:eastAsia="en-AU"/>
              </w:rPr>
              <w:tab/>
              <w:t>02 6240 3399</w:t>
            </w:r>
          </w:p>
          <w:p w:rsidR="00186F85" w:rsidRPr="00186F85" w:rsidRDefault="00186F85" w:rsidP="00186F85">
            <w:pPr>
              <w:tabs>
                <w:tab w:val="left" w:pos="866"/>
              </w:tabs>
              <w:spacing w:after="60"/>
              <w:rPr>
                <w:rFonts w:ascii="Goudy Old Style" w:hAnsi="Goudy Old Style"/>
                <w:b/>
                <w:i/>
                <w:sz w:val="16"/>
                <w:lang w:eastAsia="en-AU"/>
              </w:rPr>
            </w:pPr>
            <w:smartTag w:uri="urn:schemas-microsoft-com:office:smarttags" w:element="City">
              <w:smartTag w:uri="urn:schemas-microsoft-com:office:smarttags" w:element="place">
                <w:r w:rsidRPr="00186F85">
                  <w:rPr>
                    <w:rFonts w:ascii="Goudy Old Style" w:hAnsi="Goudy Old Style"/>
                    <w:b/>
                    <w:i/>
                    <w:sz w:val="16"/>
                    <w:lang w:eastAsia="en-AU"/>
                  </w:rPr>
                  <w:t>Melbourne</w:t>
                </w:r>
              </w:smartTag>
            </w:smartTag>
            <w:r w:rsidRPr="00186F85">
              <w:rPr>
                <w:rFonts w:ascii="Goudy Old Style" w:hAnsi="Goudy Old Style"/>
                <w:b/>
                <w:i/>
                <w:sz w:val="16"/>
                <w:lang w:eastAsia="en-AU"/>
              </w:rPr>
              <w:t xml:space="preserve"> Office</w:t>
            </w:r>
          </w:p>
          <w:p w:rsidR="00186F85" w:rsidRPr="00186F85" w:rsidRDefault="00186F85" w:rsidP="00186F85">
            <w:pPr>
              <w:tabs>
                <w:tab w:val="left" w:pos="866"/>
              </w:tabs>
              <w:spacing w:after="60"/>
              <w:rPr>
                <w:rFonts w:ascii="Goudy Old Style" w:hAnsi="Goudy Old Style"/>
                <w:sz w:val="16"/>
                <w:lang w:eastAsia="en-AU"/>
              </w:rPr>
            </w:pPr>
            <w:r w:rsidRPr="00186F85">
              <w:rPr>
                <w:rFonts w:ascii="Goudy Old Style" w:hAnsi="Goudy Old Style"/>
                <w:sz w:val="16"/>
                <w:lang w:eastAsia="en-AU"/>
              </w:rPr>
              <w:t>Telephone</w:t>
            </w:r>
            <w:r w:rsidRPr="00186F85">
              <w:rPr>
                <w:rFonts w:ascii="Goudy Old Style" w:hAnsi="Goudy Old Style"/>
                <w:sz w:val="16"/>
                <w:lang w:eastAsia="en-AU"/>
              </w:rPr>
              <w:tab/>
              <w:t>03 9653 2100</w:t>
            </w:r>
          </w:p>
          <w:p w:rsidR="00E91F35" w:rsidRPr="00205C77" w:rsidRDefault="00186F85" w:rsidP="00186F85">
            <w:pPr>
              <w:pStyle w:val="PCAddress"/>
              <w:tabs>
                <w:tab w:val="clear" w:pos="866"/>
                <w:tab w:val="left" w:pos="34"/>
              </w:tabs>
              <w:ind w:left="709" w:hanging="675"/>
              <w:rPr>
                <w:rFonts w:ascii="Goudy Old Style" w:hAnsi="Goudy Old Style"/>
              </w:rPr>
            </w:pPr>
            <w:r w:rsidRPr="00186F85">
              <w:rPr>
                <w:sz w:val="24"/>
              </w:rPr>
              <w:t>www.pc.gov.au</w:t>
            </w:r>
          </w:p>
        </w:tc>
      </w:tr>
    </w:tbl>
    <w:p w:rsidR="00E91F35" w:rsidRPr="00C76C25" w:rsidRDefault="00E91F35" w:rsidP="001E2225">
      <w:pPr>
        <w:pStyle w:val="LetterAddress"/>
      </w:pPr>
    </w:p>
    <w:p w:rsidR="00E91F35" w:rsidRDefault="00E91F35" w:rsidP="001E2225">
      <w:pPr>
        <w:pStyle w:val="LetterAddress"/>
      </w:pPr>
      <w:r>
        <w:t xml:space="preserve">The Hon Joe Hockey </w:t>
      </w:r>
    </w:p>
    <w:p w:rsidR="00E91F35" w:rsidRDefault="00E91F35" w:rsidP="001E2225">
      <w:pPr>
        <w:pStyle w:val="LetterAddress"/>
      </w:pPr>
      <w:r>
        <w:t>Treasurer</w:t>
      </w:r>
    </w:p>
    <w:p w:rsidR="00E91F35" w:rsidRDefault="00E91F35" w:rsidP="001E2225">
      <w:pPr>
        <w:pStyle w:val="LetterAddress"/>
      </w:pPr>
      <w:r>
        <w:t>Parliament House</w:t>
      </w:r>
    </w:p>
    <w:p w:rsidR="00E91F35" w:rsidRDefault="00E91F35" w:rsidP="001E2225">
      <w:pPr>
        <w:pStyle w:val="LetterAddress"/>
      </w:pPr>
      <w:r>
        <w:t>CANBERRA ACT 2600</w:t>
      </w:r>
    </w:p>
    <w:p w:rsidR="00E91F35" w:rsidRPr="00C76C25" w:rsidRDefault="00E91F35" w:rsidP="00E91F35">
      <w:pPr>
        <w:pStyle w:val="Salutation"/>
      </w:pPr>
      <w:r w:rsidRPr="00C76C25">
        <w:t>Dear Treasurer</w:t>
      </w:r>
    </w:p>
    <w:p w:rsidR="00E91F35" w:rsidRPr="0027513F" w:rsidRDefault="00E91F35" w:rsidP="001E2225">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report into </w:t>
      </w:r>
      <w:r w:rsidR="006E763E">
        <w:rPr>
          <w:i/>
        </w:rPr>
        <w:t>Access to Justice Arrangements</w:t>
      </w:r>
      <w:r w:rsidRPr="0027513F">
        <w:t>.</w:t>
      </w:r>
    </w:p>
    <w:p w:rsidR="00E91F35" w:rsidRPr="00C76C25" w:rsidRDefault="00E91F35" w:rsidP="001E2225">
      <w:pPr>
        <w:pStyle w:val="Signoff"/>
      </w:pPr>
      <w:r w:rsidRPr="00C76C25">
        <w:t>Yours sincerely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3"/>
      </w:tblGrid>
      <w:tr w:rsidR="00E91F35" w:rsidTr="006F7F5B">
        <w:tc>
          <w:tcPr>
            <w:tcW w:w="2500" w:type="pct"/>
          </w:tcPr>
          <w:p w:rsidR="00587DCE" w:rsidRDefault="00587DCE" w:rsidP="001E2225">
            <w:pPr>
              <w:pStyle w:val="LetterAddress"/>
              <w:rPr>
                <w:noProof/>
              </w:rPr>
            </w:pPr>
          </w:p>
          <w:p w:rsidR="00587DCE" w:rsidRDefault="00587DCE" w:rsidP="001E2225">
            <w:pPr>
              <w:pStyle w:val="LetterAddress"/>
              <w:rPr>
                <w:noProof/>
              </w:rPr>
            </w:pPr>
          </w:p>
          <w:p w:rsidR="00587DCE" w:rsidRDefault="00587DCE" w:rsidP="001E2225">
            <w:pPr>
              <w:pStyle w:val="LetterAddress"/>
              <w:rPr>
                <w:noProof/>
              </w:rPr>
            </w:pPr>
          </w:p>
          <w:p w:rsidR="00587DCE" w:rsidRDefault="00587DCE" w:rsidP="001E2225">
            <w:pPr>
              <w:pStyle w:val="LetterAddress"/>
              <w:rPr>
                <w:noProof/>
              </w:rPr>
            </w:pPr>
          </w:p>
          <w:p w:rsidR="006E763E" w:rsidRDefault="006F7F5B" w:rsidP="001E2225">
            <w:pPr>
              <w:pStyle w:val="LetterAddress"/>
              <w:rPr>
                <w:szCs w:val="25"/>
              </w:rPr>
            </w:pPr>
            <w:r>
              <w:br/>
            </w:r>
            <w:r w:rsidR="00E91F35" w:rsidRPr="00E91F35">
              <w:t>Dr Warren Mundy</w:t>
            </w:r>
            <w:r w:rsidR="00E91F35" w:rsidRPr="0027513F">
              <w:rPr>
                <w:szCs w:val="25"/>
              </w:rPr>
              <w:t xml:space="preserve"> </w:t>
            </w:r>
          </w:p>
          <w:p w:rsidR="00E91F35" w:rsidRPr="0027513F" w:rsidRDefault="00E91F35" w:rsidP="006E763E">
            <w:pPr>
              <w:pStyle w:val="LetterAddress"/>
              <w:rPr>
                <w:szCs w:val="25"/>
              </w:rPr>
            </w:pPr>
            <w:r w:rsidRPr="0027513F">
              <w:rPr>
                <w:szCs w:val="25"/>
              </w:rPr>
              <w:t>Presiding Commissioner</w:t>
            </w:r>
          </w:p>
        </w:tc>
        <w:tc>
          <w:tcPr>
            <w:tcW w:w="2500" w:type="pct"/>
            <w:vAlign w:val="bottom"/>
          </w:tcPr>
          <w:p w:rsidR="00E91F35" w:rsidRDefault="006F7F5B" w:rsidP="006F7F5B">
            <w:pPr>
              <w:pStyle w:val="LetterAddress"/>
            </w:pPr>
            <w:r>
              <w:br/>
            </w:r>
            <w:r w:rsidR="00E91F35" w:rsidRPr="00E91F35">
              <w:t>Angela MacRae</w:t>
            </w:r>
          </w:p>
          <w:p w:rsidR="00E91F35" w:rsidRPr="0027513F" w:rsidRDefault="00E91F35" w:rsidP="006F7F5B">
            <w:pPr>
              <w:pStyle w:val="LetterAddress"/>
              <w:rPr>
                <w:szCs w:val="25"/>
              </w:rPr>
            </w:pPr>
            <w:r w:rsidRPr="0027513F">
              <w:rPr>
                <w:szCs w:val="25"/>
              </w:rPr>
              <w:t xml:space="preserve"> Commissioner</w:t>
            </w:r>
          </w:p>
        </w:tc>
      </w:tr>
    </w:tbl>
    <w:p w:rsidR="00E91F35" w:rsidRDefault="00E91F35"/>
    <w:p w:rsidR="00735FEA" w:rsidRDefault="00735FEA">
      <w:pPr>
        <w:pStyle w:val="BodyText"/>
        <w:sectPr w:rsidR="00735FEA" w:rsidSect="00122FE9">
          <w:headerReference w:type="first" r:id="rId12"/>
          <w:type w:val="oddPage"/>
          <w:pgSz w:w="11907" w:h="16840" w:code="9"/>
          <w:pgMar w:top="1304" w:right="1304" w:bottom="567" w:left="1814" w:header="1701" w:footer="397" w:gutter="0"/>
          <w:pgNumType w:fmt="lowerRoman" w:start="1"/>
          <w:cols w:space="720"/>
          <w:titlePg/>
        </w:sectPr>
      </w:pPr>
    </w:p>
    <w:p w:rsidR="00E91F35" w:rsidRPr="00E91F35" w:rsidRDefault="00E91F35" w:rsidP="00E91F35">
      <w:pPr>
        <w:keepNext/>
        <w:spacing w:before="160" w:after="1360" w:line="600" w:lineRule="exact"/>
        <w:ind w:left="907" w:hanging="907"/>
        <w:outlineLvl w:val="0"/>
        <w:rPr>
          <w:kern w:val="28"/>
          <w:sz w:val="52"/>
        </w:rPr>
      </w:pPr>
      <w:r w:rsidRPr="00E91F35">
        <w:rPr>
          <w:kern w:val="28"/>
          <w:sz w:val="52"/>
        </w:rPr>
        <w:lastRenderedPageBreak/>
        <w:t>Terms of reference</w:t>
      </w:r>
    </w:p>
    <w:p w:rsidR="00E91F35" w:rsidRPr="00E91F35" w:rsidRDefault="00E91F35" w:rsidP="00363A12">
      <w:pPr>
        <w:pStyle w:val="BodyText"/>
      </w:pPr>
      <w:r w:rsidRPr="00E91F35">
        <w:t xml:space="preserve">I, David Bradbury, Assistant Treasurer, pursuant to Parts 2 and 3 of the </w:t>
      </w:r>
      <w:r w:rsidRPr="00363A12">
        <w:rPr>
          <w:i/>
        </w:rPr>
        <w:t>Productivity Commission Act 1998</w:t>
      </w:r>
      <w:r w:rsidRPr="00E91F35">
        <w:t>, hereby request that the Productivity Commission undertake an inquiry into Australia's system of civil dispute resolution, with a focus on constraining costs and promoting access to justice and equality before the law.</w:t>
      </w:r>
    </w:p>
    <w:p w:rsidR="00E91F35" w:rsidRPr="00E91F35" w:rsidRDefault="00E91F35" w:rsidP="00363A12">
      <w:pPr>
        <w:pStyle w:val="Heading3"/>
      </w:pPr>
      <w:r w:rsidRPr="00E91F35">
        <w:t>Background</w:t>
      </w:r>
    </w:p>
    <w:p w:rsidR="00E91F35" w:rsidRPr="00E91F35" w:rsidRDefault="00E91F35" w:rsidP="00363A12">
      <w:pPr>
        <w:pStyle w:val="BodyText"/>
      </w:pPr>
      <w:r w:rsidRPr="00E91F35">
        <w:t>The cost of accessing justice services and securing legal representation can prevent many Australians from gaining effective access to the justice system. For a well-functioning justice system, access to the system should not be dependent on capacity to pay and vulnerable litigants should not be disadvantaged.</w:t>
      </w:r>
    </w:p>
    <w:p w:rsidR="00E91F35" w:rsidRPr="00E91F35" w:rsidRDefault="00E91F35" w:rsidP="00363A12">
      <w:pPr>
        <w:pStyle w:val="BodyText"/>
      </w:pPr>
      <w:r w:rsidRPr="00E91F35">
        <w:t>A well-functioning justice system should provide timely and affordable justice. This means delivering fair and equitable outcomes as efficiently as possible and resolving disputes early, expeditiously and at the most appropriate level. A justice system which effectively excludes a sizable portion of society from adequate redress risks considerable economic and social costs.</w:t>
      </w:r>
    </w:p>
    <w:p w:rsidR="00E91F35" w:rsidRPr="00E91F35" w:rsidRDefault="00E91F35" w:rsidP="00363A12">
      <w:pPr>
        <w:pStyle w:val="Heading3"/>
      </w:pPr>
      <w:r w:rsidRPr="00E91F35">
        <w:t>Scope of the Inquiry</w:t>
      </w:r>
    </w:p>
    <w:p w:rsidR="00E91F35" w:rsidRPr="00E91F35" w:rsidRDefault="00E91F35" w:rsidP="00363A12">
      <w:pPr>
        <w:pStyle w:val="BodyText"/>
      </w:pPr>
      <w:r w:rsidRPr="00E91F35">
        <w:t>The Commission is requested to examine the current costs of accessing justice services and securing legal representation, and the impact of these costs on access to, and quality of justice. It will make recommendations on the best way to improve access to the justice system and equity of representation including, but not limited to, the funding of legal assistance services.</w:t>
      </w:r>
    </w:p>
    <w:p w:rsidR="00E91F35" w:rsidRPr="00E91F35" w:rsidRDefault="00E91F35" w:rsidP="00363A12">
      <w:pPr>
        <w:pStyle w:val="BodyText"/>
      </w:pPr>
      <w:r w:rsidRPr="00E91F35">
        <w:t xml:space="preserve">In particular, the Commission should have </w:t>
      </w:r>
      <w:proofErr w:type="gramStart"/>
      <w:r w:rsidRPr="00E91F35">
        <w:t>regard</w:t>
      </w:r>
      <w:proofErr w:type="gramEnd"/>
      <w:r w:rsidRPr="00E91F35">
        <w:t xml:space="preserve"> to:</w:t>
      </w:r>
    </w:p>
    <w:p w:rsidR="00E91F35" w:rsidRPr="00E91F35" w:rsidRDefault="00E91F35" w:rsidP="00363A12">
      <w:pPr>
        <w:pStyle w:val="ListNumber"/>
      </w:pPr>
      <w:r w:rsidRPr="00E91F35">
        <w:t xml:space="preserve">an assessment of the real costs of legal representation and trends over time </w:t>
      </w:r>
    </w:p>
    <w:p w:rsidR="00E91F35" w:rsidRPr="00E91F35" w:rsidRDefault="00E91F35" w:rsidP="00363A12">
      <w:pPr>
        <w:pStyle w:val="ListNumber"/>
      </w:pPr>
      <w:r w:rsidRPr="00E91F35">
        <w:t xml:space="preserve">an assessment of the level of demand for legal services, including analysis of: </w:t>
      </w:r>
    </w:p>
    <w:p w:rsidR="00E91F35" w:rsidRPr="00E91F35" w:rsidRDefault="00E91F35" w:rsidP="00363A12">
      <w:pPr>
        <w:pStyle w:val="ListNumber2"/>
      </w:pPr>
      <w:r w:rsidRPr="00E91F35">
        <w:t xml:space="preserve">the number of persons who cannot afford to secure legal services but who do not qualify for legal assistance services, and </w:t>
      </w:r>
    </w:p>
    <w:p w:rsidR="00E91F35" w:rsidRPr="00E91F35" w:rsidRDefault="00E91F35" w:rsidP="00363A12">
      <w:pPr>
        <w:pStyle w:val="ListNumber2"/>
      </w:pPr>
      <w:r w:rsidRPr="00E91F35">
        <w:t xml:space="preserve">the number of pro bono hours provided by legal professionals </w:t>
      </w:r>
    </w:p>
    <w:p w:rsidR="00E91F35" w:rsidRPr="00E91F35" w:rsidRDefault="00E91F35" w:rsidP="00363A12">
      <w:pPr>
        <w:pStyle w:val="ListNumber"/>
      </w:pPr>
      <w:r w:rsidRPr="00E91F35">
        <w:t xml:space="preserve">the factors that contribute to the cost of legal representation in Australia, including analysis of: </w:t>
      </w:r>
    </w:p>
    <w:p w:rsidR="00E91F35" w:rsidRPr="00E91F35" w:rsidRDefault="00E91F35" w:rsidP="00363A12">
      <w:pPr>
        <w:pStyle w:val="ListNumber2"/>
      </w:pPr>
      <w:r w:rsidRPr="00E91F35">
        <w:lastRenderedPageBreak/>
        <w:t xml:space="preserve">the supply of law graduates and barriers to entering the legal services market </w:t>
      </w:r>
    </w:p>
    <w:p w:rsidR="00E91F35" w:rsidRPr="00E91F35" w:rsidRDefault="00E91F35" w:rsidP="00363A12">
      <w:pPr>
        <w:pStyle w:val="ListNumber2"/>
      </w:pPr>
      <w:r w:rsidRPr="00E91F35">
        <w:t xml:space="preserve">information asymmetry </w:t>
      </w:r>
    </w:p>
    <w:p w:rsidR="00E91F35" w:rsidRPr="00E91F35" w:rsidRDefault="00E91F35" w:rsidP="00363A12">
      <w:pPr>
        <w:pStyle w:val="ListNumber2"/>
      </w:pPr>
      <w:r w:rsidRPr="00E91F35">
        <w:t xml:space="preserve">other issues of market failure </w:t>
      </w:r>
    </w:p>
    <w:p w:rsidR="00E91F35" w:rsidRPr="00E91F35" w:rsidRDefault="00E91F35" w:rsidP="00363A12">
      <w:pPr>
        <w:pStyle w:val="ListNumber2"/>
      </w:pPr>
      <w:r w:rsidRPr="00E91F35">
        <w:t xml:space="preserve">the structure of the legal profession in State and Territory jurisdictions </w:t>
      </w:r>
    </w:p>
    <w:p w:rsidR="00E91F35" w:rsidRPr="00E91F35" w:rsidRDefault="00E91F35" w:rsidP="00363A12">
      <w:pPr>
        <w:pStyle w:val="ListNumber2"/>
      </w:pPr>
      <w:r w:rsidRPr="00E91F35">
        <w:t xml:space="preserve">legal professional rules and practices </w:t>
      </w:r>
    </w:p>
    <w:p w:rsidR="00E91F35" w:rsidRPr="00E91F35" w:rsidRDefault="00E91F35" w:rsidP="00363A12">
      <w:pPr>
        <w:pStyle w:val="ListNumber2"/>
      </w:pPr>
      <w:r w:rsidRPr="00E91F35">
        <w:t xml:space="preserve">court practices and procedures </w:t>
      </w:r>
    </w:p>
    <w:p w:rsidR="00E91F35" w:rsidRPr="00E91F35" w:rsidRDefault="00E91F35" w:rsidP="00363A12">
      <w:pPr>
        <w:pStyle w:val="ListNumber2"/>
      </w:pPr>
      <w:r w:rsidRPr="00E91F35">
        <w:t xml:space="preserve">models of billing practices </w:t>
      </w:r>
    </w:p>
    <w:p w:rsidR="00E91F35" w:rsidRPr="00E91F35" w:rsidRDefault="00E91F35" w:rsidP="00363A12">
      <w:pPr>
        <w:pStyle w:val="ListNumber2"/>
      </w:pPr>
      <w:r w:rsidRPr="00E91F35">
        <w:t xml:space="preserve">the application of taxation laws to legal services expenditure, and </w:t>
      </w:r>
    </w:p>
    <w:p w:rsidR="00E91F35" w:rsidRPr="00E91F35" w:rsidRDefault="00E91F35" w:rsidP="00363A12">
      <w:pPr>
        <w:pStyle w:val="ListNumber2"/>
      </w:pPr>
      <w:r w:rsidRPr="00E91F35">
        <w:t xml:space="preserve">other features of the legal services market which drive costs </w:t>
      </w:r>
    </w:p>
    <w:p w:rsidR="00E91F35" w:rsidRPr="00E91F35" w:rsidRDefault="00E91F35" w:rsidP="00363A12">
      <w:pPr>
        <w:pStyle w:val="ListNumber"/>
      </w:pPr>
      <w:r w:rsidRPr="00E91F35">
        <w:t xml:space="preserve">whether the costs charged for accessing justice services and for legal representation are generally proportionate to the issues in dispute </w:t>
      </w:r>
    </w:p>
    <w:p w:rsidR="00E91F35" w:rsidRPr="00E91F35" w:rsidRDefault="00E91F35" w:rsidP="00363A12">
      <w:pPr>
        <w:pStyle w:val="ListNumber"/>
      </w:pPr>
      <w:r w:rsidRPr="00E91F35">
        <w:t xml:space="preserve">the impact of the costs of accessing justice services, and securing legal representation, on the effectiveness of these services, including analysis of: </w:t>
      </w:r>
    </w:p>
    <w:p w:rsidR="00E91F35" w:rsidRPr="00E91F35" w:rsidRDefault="00E91F35" w:rsidP="00363A12">
      <w:pPr>
        <w:pStyle w:val="ListNumber2"/>
      </w:pPr>
      <w:r w:rsidRPr="00E91F35">
        <w:t xml:space="preserve">the ability of disadvantaged parties, including persons for whom English is a second language, to effectively self-represent, and </w:t>
      </w:r>
    </w:p>
    <w:p w:rsidR="00E91F35" w:rsidRPr="00E91F35" w:rsidRDefault="00E91F35" w:rsidP="00363A12">
      <w:pPr>
        <w:pStyle w:val="ListNumber2"/>
      </w:pPr>
      <w:r w:rsidRPr="00E91F35">
        <w:t xml:space="preserve">the extent to which considerable resource disparity impacts on the effectiveness of the adversarial system and court processes </w:t>
      </w:r>
    </w:p>
    <w:p w:rsidR="00E91F35" w:rsidRPr="00E91F35" w:rsidRDefault="00E91F35" w:rsidP="00363A12">
      <w:pPr>
        <w:pStyle w:val="ListNumber"/>
      </w:pPr>
      <w:r w:rsidRPr="00E91F35">
        <w:t xml:space="preserve">the economic and social impact of the costs of accessing justice services, and securing legal representation </w:t>
      </w:r>
    </w:p>
    <w:p w:rsidR="00E91F35" w:rsidRPr="00E91F35" w:rsidRDefault="00E91F35" w:rsidP="00363A12">
      <w:pPr>
        <w:pStyle w:val="ListNumber"/>
      </w:pPr>
      <w:r w:rsidRPr="00E91F35">
        <w:t xml:space="preserve">the impact of the structures and processes of legal institutions on the costs of accessing and utilising these institutions, including analysis of discovery and case management processes </w:t>
      </w:r>
    </w:p>
    <w:p w:rsidR="00E91F35" w:rsidRPr="00E91F35" w:rsidRDefault="00E91F35" w:rsidP="00363A12">
      <w:pPr>
        <w:pStyle w:val="ListNumber"/>
      </w:pPr>
      <w:r w:rsidRPr="00E91F35">
        <w:t xml:space="preserve">alternative mechanisms to improve equity and access to justice and achieve lower cost civil dispute resolution, in both metropolitan areas and regional and remote communities, and the costs and benefits of these, including analysis of the extent to which the following could contribute to addressing cost pressures: </w:t>
      </w:r>
    </w:p>
    <w:p w:rsidR="00E91F35" w:rsidRPr="00E91F35" w:rsidRDefault="00E91F35" w:rsidP="00363A12">
      <w:pPr>
        <w:pStyle w:val="ListNumber2"/>
      </w:pPr>
      <w:r w:rsidRPr="00E91F35">
        <w:t xml:space="preserve">early intervention measures </w:t>
      </w:r>
    </w:p>
    <w:p w:rsidR="00E91F35" w:rsidRPr="00E91F35" w:rsidRDefault="00E91F35" w:rsidP="00363A12">
      <w:pPr>
        <w:pStyle w:val="ListNumber2"/>
      </w:pPr>
      <w:r w:rsidRPr="00E91F35">
        <w:t xml:space="preserve">models of alternative dispute resolution </w:t>
      </w:r>
    </w:p>
    <w:p w:rsidR="00E91F35" w:rsidRPr="00E91F35" w:rsidRDefault="00E91F35" w:rsidP="00363A12">
      <w:pPr>
        <w:pStyle w:val="ListNumber2"/>
      </w:pPr>
      <w:r w:rsidRPr="00E91F35">
        <w:t xml:space="preserve">litigation funding </w:t>
      </w:r>
    </w:p>
    <w:p w:rsidR="00E91F35" w:rsidRPr="00E91F35" w:rsidRDefault="00E91F35" w:rsidP="00363A12">
      <w:pPr>
        <w:pStyle w:val="ListNumber2"/>
      </w:pPr>
      <w:r w:rsidRPr="00E91F35">
        <w:t xml:space="preserve">different models of legal aid assistance </w:t>
      </w:r>
    </w:p>
    <w:p w:rsidR="00E91F35" w:rsidRPr="00E91F35" w:rsidRDefault="00E91F35" w:rsidP="00363A12">
      <w:pPr>
        <w:pStyle w:val="ListNumber2"/>
      </w:pPr>
      <w:r w:rsidRPr="00E91F35">
        <w:t xml:space="preserve">specialist courts or alternative processes, such as community conferencing </w:t>
      </w:r>
    </w:p>
    <w:p w:rsidR="00E91F35" w:rsidRPr="00E91F35" w:rsidRDefault="00E91F35" w:rsidP="00363A12">
      <w:pPr>
        <w:pStyle w:val="ListNumber2"/>
      </w:pPr>
      <w:r w:rsidRPr="00E91F35">
        <w:t xml:space="preserve">use of technology, and </w:t>
      </w:r>
    </w:p>
    <w:p w:rsidR="00E91F35" w:rsidRPr="00E91F35" w:rsidRDefault="00E91F35" w:rsidP="00363A12">
      <w:pPr>
        <w:pStyle w:val="ListNumber2"/>
      </w:pPr>
      <w:r w:rsidRPr="00E91F35">
        <w:t xml:space="preserve">expedited procedures </w:t>
      </w:r>
    </w:p>
    <w:p w:rsidR="00E91F35" w:rsidRPr="00E91F35" w:rsidRDefault="00E91F35" w:rsidP="00363A12">
      <w:pPr>
        <w:pStyle w:val="ListNumber"/>
      </w:pPr>
      <w:r w:rsidRPr="00E91F35">
        <w:lastRenderedPageBreak/>
        <w:t xml:space="preserve">reforms in Australian jurisdictions and overseas which have been effective at lowering the costs of accessing justice services, securing legal representation and promoting equality in the justice system, and </w:t>
      </w:r>
    </w:p>
    <w:p w:rsidR="00E91F35" w:rsidRPr="00E91F35" w:rsidRDefault="00E91F35" w:rsidP="00363A12">
      <w:pPr>
        <w:pStyle w:val="ListNumber"/>
      </w:pPr>
      <w:proofErr w:type="gramStart"/>
      <w:r w:rsidRPr="00E91F35">
        <w:t>data</w:t>
      </w:r>
      <w:proofErr w:type="gramEnd"/>
      <w:r w:rsidRPr="00E91F35">
        <w:t xml:space="preserve"> collection across the justice system that would enable better measurement and evaluation of cost drivers and the effectiveness of measures to contain these. </w:t>
      </w:r>
    </w:p>
    <w:p w:rsidR="00E91F35" w:rsidRPr="00E91F35" w:rsidRDefault="00E91F35" w:rsidP="00363A12">
      <w:pPr>
        <w:pStyle w:val="BodyText"/>
      </w:pPr>
      <w:r w:rsidRPr="00E91F35">
        <w:t>The Commission will report within fifteen months of receipt of this reference and will consult publicly for the purpose of this inquiry. The Commission is to provide both a draft and final report, and the reports will be published.</w:t>
      </w:r>
    </w:p>
    <w:p w:rsidR="00E91F35" w:rsidRPr="00E91F35" w:rsidRDefault="00E91F35" w:rsidP="00363A12">
      <w:pPr>
        <w:pStyle w:val="BodyText"/>
        <w:jc w:val="left"/>
      </w:pPr>
      <w:r w:rsidRPr="00E91F35">
        <w:t>David Bradbury</w:t>
      </w:r>
      <w:r w:rsidR="00363A12">
        <w:br/>
      </w:r>
      <w:r w:rsidRPr="00E91F35">
        <w:t>Assistant Treasurer</w:t>
      </w:r>
    </w:p>
    <w:p w:rsidR="00E91F35" w:rsidRPr="00E91F35" w:rsidRDefault="00E91F35" w:rsidP="00363A12">
      <w:pPr>
        <w:pStyle w:val="BodyText"/>
      </w:pPr>
      <w:r w:rsidRPr="00E91F35">
        <w:t>[Received 21 June 2013]</w:t>
      </w:r>
    </w:p>
    <w:p w:rsidR="00E91F35" w:rsidRDefault="00E91F35" w:rsidP="001E2225">
      <w:pPr>
        <w:pStyle w:val="BodyText"/>
      </w:pPr>
    </w:p>
    <w:p w:rsidR="00E91F35" w:rsidRDefault="00E91F35" w:rsidP="001E2225">
      <w:pPr>
        <w:pStyle w:val="BodyText"/>
        <w:sectPr w:rsidR="00E91F35" w:rsidSect="001E2225">
          <w:headerReference w:type="even" r:id="rId13"/>
          <w:headerReference w:type="default" r:id="rId14"/>
          <w:footerReference w:type="even" r:id="rId15"/>
          <w:footerReference w:type="default" r:id="rId16"/>
          <w:pgSz w:w="11907" w:h="16840" w:code="9"/>
          <w:pgMar w:top="1985" w:right="1304" w:bottom="1247" w:left="1814" w:header="1701" w:footer="397" w:gutter="0"/>
          <w:pgNumType w:fmt="lowerRoman"/>
          <w:cols w:space="720"/>
        </w:sectPr>
      </w:pPr>
    </w:p>
    <w:p w:rsidR="009F2A51" w:rsidRDefault="00735FEA" w:rsidP="008206EE">
      <w:pPr>
        <w:pStyle w:val="Heading1NotTOC"/>
        <w:rPr>
          <w:noProof/>
        </w:rPr>
      </w:pPr>
      <w:bookmarkStart w:id="4" w:name="Contents"/>
      <w:bookmarkEnd w:id="4"/>
      <w:r w:rsidRPr="00B153C3">
        <w:lastRenderedPageBreak/>
        <w:t>Contents</w:t>
      </w:r>
      <w:bookmarkStart w:id="5" w:name="InsertContents"/>
      <w:bookmarkEnd w:id="5"/>
    </w:p>
    <w:p w:rsidR="00BB4B0C" w:rsidRDefault="00BB4B0C">
      <w:pPr>
        <w:pStyle w:val="TOC1"/>
        <w:rPr>
          <w:noProof/>
          <w:sz w:val="22"/>
          <w:szCs w:val="22"/>
        </w:rPr>
      </w:pPr>
      <w:r>
        <w:rPr>
          <w:noProof/>
          <w:sz w:val="22"/>
          <w:szCs w:val="22"/>
        </w:rPr>
        <w:t>Terms of reference</w:t>
      </w:r>
      <w:r>
        <w:rPr>
          <w:noProof/>
          <w:sz w:val="22"/>
          <w:szCs w:val="22"/>
        </w:rPr>
        <w:tab/>
        <w:t>iv</w:t>
      </w:r>
    </w:p>
    <w:p w:rsidR="00BB4B0C" w:rsidRDefault="00BB4B0C">
      <w:pPr>
        <w:pStyle w:val="TOC1"/>
        <w:rPr>
          <w:noProof/>
          <w:sz w:val="22"/>
          <w:szCs w:val="22"/>
        </w:rPr>
      </w:pPr>
      <w:r>
        <w:rPr>
          <w:noProof/>
          <w:sz w:val="22"/>
          <w:szCs w:val="22"/>
        </w:rPr>
        <w:t>Acknowledgements</w:t>
      </w:r>
      <w:r>
        <w:rPr>
          <w:noProof/>
          <w:sz w:val="22"/>
          <w:szCs w:val="22"/>
        </w:rPr>
        <w:tab/>
        <w:t>viii</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Abbreviations and explanations</w:t>
      </w:r>
      <w:r w:rsidRPr="007031AC">
        <w:rPr>
          <w:noProof/>
          <w:sz w:val="22"/>
          <w:szCs w:val="22"/>
        </w:rPr>
        <w:tab/>
      </w:r>
      <w:r w:rsidR="00A57F38">
        <w:rPr>
          <w:noProof/>
          <w:sz w:val="22"/>
          <w:szCs w:val="22"/>
        </w:rPr>
        <w:t>i</w:t>
      </w:r>
      <w:r w:rsidRPr="007031AC">
        <w:rPr>
          <w:noProof/>
          <w:sz w:val="22"/>
          <w:szCs w:val="22"/>
        </w:rPr>
        <w:t>x</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Overview</w:t>
      </w:r>
      <w:r w:rsidRPr="007031AC">
        <w:rPr>
          <w:noProof/>
          <w:sz w:val="22"/>
          <w:szCs w:val="22"/>
        </w:rPr>
        <w:tab/>
        <w:t>1</w:t>
      </w:r>
    </w:p>
    <w:p w:rsidR="00907CE7" w:rsidRPr="00B327CD" w:rsidRDefault="00907CE7" w:rsidP="00907CE7">
      <w:pPr>
        <w:pStyle w:val="TOC2"/>
        <w:tabs>
          <w:tab w:val="left" w:pos="1190"/>
        </w:tabs>
        <w:ind w:left="1134" w:hanging="624"/>
        <w:rPr>
          <w:sz w:val="22"/>
          <w:szCs w:val="22"/>
        </w:rPr>
      </w:pPr>
      <w:r w:rsidRPr="00B327CD">
        <w:rPr>
          <w:sz w:val="22"/>
          <w:szCs w:val="22"/>
        </w:rPr>
        <w:t>The role of this inquiry</w:t>
      </w:r>
      <w:r w:rsidRPr="00B327CD">
        <w:rPr>
          <w:sz w:val="22"/>
          <w:szCs w:val="22"/>
        </w:rPr>
        <w:tab/>
        <w:t>3</w:t>
      </w:r>
    </w:p>
    <w:p w:rsidR="00907CE7" w:rsidRPr="00B327CD" w:rsidRDefault="00907CE7" w:rsidP="00907CE7">
      <w:pPr>
        <w:pStyle w:val="TOC2"/>
        <w:tabs>
          <w:tab w:val="left" w:pos="1190"/>
        </w:tabs>
        <w:ind w:left="1134" w:hanging="624"/>
        <w:rPr>
          <w:sz w:val="22"/>
          <w:szCs w:val="22"/>
        </w:rPr>
      </w:pPr>
      <w:r w:rsidRPr="00B327CD">
        <w:rPr>
          <w:sz w:val="22"/>
          <w:szCs w:val="22"/>
        </w:rPr>
        <w:t>Problems common to informal and formal aspects of the justice system</w:t>
      </w:r>
      <w:r w:rsidRPr="00B327CD">
        <w:rPr>
          <w:sz w:val="22"/>
          <w:szCs w:val="22"/>
        </w:rPr>
        <w:tab/>
        <w:t>8</w:t>
      </w:r>
    </w:p>
    <w:p w:rsidR="00907CE7" w:rsidRPr="00B327CD" w:rsidRDefault="00907CE7" w:rsidP="00907CE7">
      <w:pPr>
        <w:pStyle w:val="TOC2"/>
        <w:tabs>
          <w:tab w:val="left" w:pos="1190"/>
        </w:tabs>
        <w:ind w:left="1134" w:hanging="624"/>
        <w:rPr>
          <w:sz w:val="22"/>
          <w:szCs w:val="22"/>
        </w:rPr>
      </w:pPr>
      <w:r w:rsidRPr="00B327CD">
        <w:rPr>
          <w:sz w:val="22"/>
          <w:szCs w:val="22"/>
        </w:rPr>
        <w:t>Big potential gains from early and informal solutions</w:t>
      </w:r>
      <w:r w:rsidRPr="00B327CD">
        <w:rPr>
          <w:sz w:val="22"/>
          <w:szCs w:val="22"/>
        </w:rPr>
        <w:tab/>
        <w:t>11</w:t>
      </w:r>
    </w:p>
    <w:p w:rsidR="00907CE7" w:rsidRPr="00B327CD" w:rsidRDefault="00907CE7" w:rsidP="00907CE7">
      <w:pPr>
        <w:pStyle w:val="TOC2"/>
        <w:tabs>
          <w:tab w:val="left" w:pos="1190"/>
        </w:tabs>
        <w:ind w:left="1134" w:hanging="624"/>
        <w:rPr>
          <w:sz w:val="22"/>
          <w:szCs w:val="22"/>
        </w:rPr>
      </w:pPr>
      <w:r w:rsidRPr="00B327CD">
        <w:rPr>
          <w:sz w:val="22"/>
          <w:szCs w:val="22"/>
        </w:rPr>
        <w:t>Problems in the formal system cast a long shadow</w:t>
      </w:r>
      <w:r w:rsidRPr="00B327CD">
        <w:rPr>
          <w:sz w:val="22"/>
          <w:szCs w:val="22"/>
        </w:rPr>
        <w:tab/>
        <w:t>13</w:t>
      </w:r>
    </w:p>
    <w:p w:rsidR="00907CE7" w:rsidRPr="00B327CD" w:rsidRDefault="00907CE7" w:rsidP="00907CE7">
      <w:pPr>
        <w:pStyle w:val="TOC2"/>
        <w:tabs>
          <w:tab w:val="left" w:pos="1190"/>
        </w:tabs>
        <w:ind w:left="1134" w:hanging="624"/>
        <w:rPr>
          <w:sz w:val="22"/>
          <w:szCs w:val="22"/>
        </w:rPr>
      </w:pPr>
      <w:r w:rsidRPr="00B327CD">
        <w:rPr>
          <w:sz w:val="22"/>
          <w:szCs w:val="22"/>
        </w:rPr>
        <w:t>Assisting the ‘missing middle’</w:t>
      </w:r>
      <w:r w:rsidRPr="00B327CD">
        <w:rPr>
          <w:sz w:val="22"/>
          <w:szCs w:val="22"/>
        </w:rPr>
        <w:tab/>
        <w:t>20</w:t>
      </w:r>
    </w:p>
    <w:p w:rsidR="00907CE7" w:rsidRPr="00B327CD" w:rsidRDefault="00907CE7" w:rsidP="00907CE7">
      <w:pPr>
        <w:pStyle w:val="TOC2"/>
        <w:tabs>
          <w:tab w:val="left" w:pos="1190"/>
        </w:tabs>
        <w:ind w:left="1134" w:hanging="624"/>
        <w:rPr>
          <w:sz w:val="22"/>
          <w:szCs w:val="22"/>
        </w:rPr>
      </w:pPr>
      <w:r w:rsidRPr="00B327CD">
        <w:rPr>
          <w:sz w:val="22"/>
          <w:szCs w:val="22"/>
        </w:rPr>
        <w:t>Legal assistance services for disadvantaged people</w:t>
      </w:r>
      <w:r w:rsidRPr="00B327CD">
        <w:rPr>
          <w:sz w:val="22"/>
          <w:szCs w:val="22"/>
        </w:rPr>
        <w:tab/>
        <w:t>24</w:t>
      </w:r>
    </w:p>
    <w:p w:rsidR="00907CE7" w:rsidRPr="00B327CD" w:rsidRDefault="00907CE7" w:rsidP="00907CE7">
      <w:pPr>
        <w:pStyle w:val="TOC2"/>
        <w:tabs>
          <w:tab w:val="left" w:pos="1190"/>
        </w:tabs>
        <w:ind w:left="1134" w:hanging="624"/>
        <w:rPr>
          <w:sz w:val="22"/>
          <w:szCs w:val="22"/>
        </w:rPr>
      </w:pPr>
      <w:r w:rsidRPr="00B327CD">
        <w:rPr>
          <w:sz w:val="22"/>
          <w:szCs w:val="22"/>
        </w:rPr>
        <w:t>Steps to better understand how the system is functioning</w:t>
      </w:r>
      <w:r w:rsidRPr="00B327CD">
        <w:rPr>
          <w:sz w:val="22"/>
          <w:szCs w:val="22"/>
        </w:rPr>
        <w:tab/>
        <w:t>33</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Summary of the Commission’s main proposals</w:t>
      </w:r>
      <w:r w:rsidRPr="007031AC">
        <w:rPr>
          <w:noProof/>
          <w:sz w:val="22"/>
          <w:szCs w:val="22"/>
        </w:rPr>
        <w:tab/>
        <w:t>35</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Recommendations</w:t>
      </w:r>
      <w:r w:rsidRPr="007031AC">
        <w:rPr>
          <w:noProof/>
          <w:sz w:val="22"/>
          <w:szCs w:val="22"/>
        </w:rPr>
        <w:tab/>
        <w:t>41</w:t>
      </w:r>
    </w:p>
    <w:p w:rsidR="009F2A51" w:rsidRDefault="009F2A51">
      <w:pPr>
        <w:pStyle w:val="TOC1"/>
        <w:rPr>
          <w:noProof/>
          <w:sz w:val="22"/>
          <w:szCs w:val="22"/>
        </w:rPr>
      </w:pPr>
      <w:r w:rsidRPr="007031AC">
        <w:rPr>
          <w:noProof/>
          <w:sz w:val="22"/>
          <w:szCs w:val="22"/>
        </w:rPr>
        <w:t>References</w:t>
      </w:r>
      <w:r w:rsidRPr="007031AC">
        <w:rPr>
          <w:noProof/>
          <w:sz w:val="22"/>
          <w:szCs w:val="22"/>
        </w:rPr>
        <w:tab/>
      </w:r>
      <w:r w:rsidR="00907CE7">
        <w:rPr>
          <w:noProof/>
          <w:sz w:val="22"/>
          <w:szCs w:val="22"/>
        </w:rPr>
        <w:t>73</w:t>
      </w:r>
    </w:p>
    <w:p w:rsidR="00363A12" w:rsidRPr="00363A12" w:rsidRDefault="00363A12" w:rsidP="00363A12">
      <w:pPr>
        <w:pStyle w:val="BodyText"/>
        <w:spacing w:before="840"/>
        <w:rPr>
          <w:rFonts w:ascii="Arial" w:eastAsiaTheme="minorEastAsia" w:hAnsi="Arial" w:cs="Arial"/>
          <w:sz w:val="22"/>
          <w:szCs w:val="22"/>
        </w:rPr>
      </w:pPr>
      <w:r w:rsidRPr="00363A12">
        <w:rPr>
          <w:rFonts w:ascii="Arial" w:eastAsiaTheme="minorEastAsia" w:hAnsi="Arial" w:cs="Arial"/>
          <w:sz w:val="22"/>
          <w:szCs w:val="22"/>
        </w:rPr>
        <w:t>The complete two volume report is available from the Productivity Commission’s website (www.pc.gov.au).</w:t>
      </w:r>
    </w:p>
    <w:p w:rsidR="00363A12" w:rsidRPr="00363A12" w:rsidRDefault="00363A12" w:rsidP="00363A12">
      <w:pPr>
        <w:pStyle w:val="TOC2"/>
        <w:rPr>
          <w:rFonts w:eastAsiaTheme="minorEastAsia"/>
        </w:rPr>
      </w:pPr>
    </w:p>
    <w:p w:rsidR="004D3F58" w:rsidRPr="007031AC" w:rsidRDefault="004D3F58" w:rsidP="007D0209">
      <w:pPr>
        <w:pStyle w:val="Heading1NotTOC"/>
        <w:rPr>
          <w:sz w:val="22"/>
          <w:szCs w:val="22"/>
        </w:rPr>
        <w:sectPr w:rsidR="004D3F58" w:rsidRPr="007031AC" w:rsidSect="007448F7">
          <w:headerReference w:type="even" r:id="rId17"/>
          <w:headerReference w:type="default" r:id="rId18"/>
          <w:footerReference w:type="even" r:id="rId19"/>
          <w:footerReference w:type="default" r:id="rId20"/>
          <w:type w:val="oddPage"/>
          <w:pgSz w:w="11907" w:h="16840" w:code="9"/>
          <w:pgMar w:top="1985" w:right="1304" w:bottom="1247" w:left="1814" w:header="1701" w:footer="397" w:gutter="0"/>
          <w:pgNumType w:fmt="lowerRoman"/>
          <w:cols w:space="720"/>
        </w:sectPr>
      </w:pPr>
    </w:p>
    <w:p w:rsidR="00F76C78" w:rsidRPr="00F76C78" w:rsidRDefault="00F76C78" w:rsidP="00F76C78">
      <w:pPr>
        <w:keepNext/>
        <w:spacing w:after="1120" w:line="600" w:lineRule="exact"/>
        <w:ind w:left="907" w:hanging="907"/>
        <w:outlineLvl w:val="0"/>
        <w:rPr>
          <w:sz w:val="52"/>
          <w:lang w:eastAsia="en-AU"/>
        </w:rPr>
      </w:pPr>
      <w:bookmarkStart w:id="6" w:name="Abbreviations"/>
      <w:bookmarkStart w:id="7" w:name="RDnote"/>
      <w:bookmarkStart w:id="8" w:name="ChapterTitle"/>
      <w:bookmarkEnd w:id="6"/>
      <w:bookmarkEnd w:id="7"/>
      <w:r w:rsidRPr="00F76C78">
        <w:rPr>
          <w:sz w:val="52"/>
          <w:lang w:eastAsia="en-AU"/>
        </w:rPr>
        <w:lastRenderedPageBreak/>
        <w:t>Acknowledgements</w:t>
      </w:r>
      <w:bookmarkEnd w:id="8"/>
    </w:p>
    <w:p w:rsidR="00F76C78" w:rsidRPr="00F76C78" w:rsidRDefault="00F76C78" w:rsidP="00F76C78">
      <w:pPr>
        <w:spacing w:before="240" w:line="300" w:lineRule="atLeast"/>
        <w:jc w:val="both"/>
        <w:rPr>
          <w:sz w:val="24"/>
          <w:lang w:eastAsia="en-AU"/>
        </w:rPr>
      </w:pPr>
      <w:r w:rsidRPr="00F76C78">
        <w:rPr>
          <w:sz w:val="24"/>
          <w:lang w:eastAsia="en-AU"/>
        </w:rPr>
        <w:t xml:space="preserve">The Commission is grateful to everyone who has taken the time to discuss the very wide range of matters canvassed in the terms of reference. </w:t>
      </w:r>
    </w:p>
    <w:p w:rsidR="00F76C78" w:rsidRPr="00F76C78" w:rsidRDefault="00F76C78" w:rsidP="00F76C78">
      <w:pPr>
        <w:spacing w:before="240" w:line="300" w:lineRule="atLeast"/>
        <w:jc w:val="both"/>
        <w:rPr>
          <w:sz w:val="24"/>
          <w:lang w:eastAsia="en-AU"/>
        </w:rPr>
      </w:pPr>
      <w:r w:rsidRPr="00F76C78">
        <w:rPr>
          <w:sz w:val="24"/>
          <w:lang w:eastAsia="en-AU"/>
        </w:rPr>
        <w:t xml:space="preserve">This </w:t>
      </w:r>
      <w:r w:rsidR="00C5046D">
        <w:rPr>
          <w:sz w:val="24"/>
          <w:lang w:eastAsia="en-AU"/>
        </w:rPr>
        <w:t>inquiry</w:t>
      </w:r>
      <w:r w:rsidRPr="00F76C78">
        <w:rPr>
          <w:sz w:val="24"/>
          <w:lang w:eastAsia="en-AU"/>
        </w:rPr>
        <w:t xml:space="preserve"> uses unpublished data from the Legal Australia-Wide Survey (</w:t>
      </w:r>
      <w:r w:rsidRPr="00F76C78">
        <w:rPr>
          <w:i/>
          <w:sz w:val="24"/>
          <w:lang w:eastAsia="en-AU"/>
        </w:rPr>
        <w:t>LAW Survey</w:t>
      </w:r>
      <w:r w:rsidRPr="00F76C78">
        <w:rPr>
          <w:sz w:val="24"/>
          <w:lang w:eastAsia="en-AU"/>
        </w:rPr>
        <w:t xml:space="preserve">). This survey was undertaken by the Law and Justice Foundation of New South Wales, and more details of the survey are provided in </w:t>
      </w:r>
      <w:proofErr w:type="spellStart"/>
      <w:r w:rsidRPr="00F76C78">
        <w:rPr>
          <w:sz w:val="24"/>
          <w:lang w:eastAsia="en-AU"/>
        </w:rPr>
        <w:t>Coumarelos</w:t>
      </w:r>
      <w:proofErr w:type="spellEnd"/>
      <w:r w:rsidRPr="00F76C78">
        <w:rPr>
          <w:sz w:val="24"/>
          <w:lang w:eastAsia="en-AU"/>
        </w:rPr>
        <w:t xml:space="preserve"> et al. (2012). The Commission acknowledges the Foundation for providing the survey data for use in the inquiry report; any errors in its use are solely the responsibility of the Commission.</w:t>
      </w:r>
    </w:p>
    <w:p w:rsidR="00F76C78" w:rsidRPr="00F76C78" w:rsidRDefault="00F76C78" w:rsidP="00F76C78">
      <w:pPr>
        <w:spacing w:before="240" w:line="300" w:lineRule="atLeast"/>
        <w:jc w:val="both"/>
        <w:rPr>
          <w:sz w:val="24"/>
          <w:lang w:eastAsia="en-AU"/>
        </w:rPr>
      </w:pPr>
      <w:r w:rsidRPr="00F76C78">
        <w:rPr>
          <w:sz w:val="24"/>
          <w:lang w:eastAsia="en-AU"/>
        </w:rPr>
        <w:t xml:space="preserve">The Commission acknowledges the assistance of the South Australian court system, which allowed the inquiry to survey users of South Australian courts. The Commission also acknowledges data provided by </w:t>
      </w:r>
      <w:proofErr w:type="spellStart"/>
      <w:r w:rsidRPr="00F76C78">
        <w:rPr>
          <w:sz w:val="24"/>
          <w:lang w:eastAsia="en-AU"/>
        </w:rPr>
        <w:t>Comcare</w:t>
      </w:r>
      <w:proofErr w:type="spellEnd"/>
      <w:r w:rsidRPr="00F76C78">
        <w:rPr>
          <w:sz w:val="24"/>
          <w:lang w:eastAsia="en-AU"/>
        </w:rPr>
        <w:t xml:space="preserve">, the NSW Costs Assessment Scheme and a number of other stakeholders who provided useful information about litigation costs to the inquiry. In addition, the Commission acknowledges the data and information of the costs and benefits of service provision provided by various legal aid commissions and other legal assistance providers. </w:t>
      </w:r>
    </w:p>
    <w:p w:rsidR="00F76C78" w:rsidRPr="00F76C78" w:rsidRDefault="00F76C78" w:rsidP="00F76C78">
      <w:pPr>
        <w:spacing w:before="240" w:line="300" w:lineRule="atLeast"/>
        <w:jc w:val="both"/>
        <w:rPr>
          <w:sz w:val="24"/>
          <w:lang w:eastAsia="en-AU"/>
        </w:rPr>
      </w:pPr>
      <w:r w:rsidRPr="00F76C78">
        <w:rPr>
          <w:sz w:val="24"/>
          <w:lang w:eastAsia="en-AU"/>
        </w:rPr>
        <w:t xml:space="preserve">The Commissioners would like to express their appreciation to </w:t>
      </w:r>
      <w:r w:rsidR="004C4FFD">
        <w:rPr>
          <w:sz w:val="24"/>
          <w:lang w:eastAsia="en-AU"/>
        </w:rPr>
        <w:t xml:space="preserve">Dominique Lowe, who led the inquiry, and </w:t>
      </w:r>
      <w:r w:rsidR="00324F6F">
        <w:rPr>
          <w:sz w:val="24"/>
          <w:lang w:eastAsia="en-AU"/>
        </w:rPr>
        <w:t>the team</w:t>
      </w:r>
      <w:r w:rsidR="004C4FFD">
        <w:rPr>
          <w:sz w:val="24"/>
          <w:lang w:eastAsia="en-AU"/>
        </w:rPr>
        <w:t xml:space="preserve">: </w:t>
      </w:r>
      <w:r w:rsidRPr="00F76C78">
        <w:rPr>
          <w:sz w:val="24"/>
          <w:lang w:eastAsia="en-AU"/>
        </w:rPr>
        <w:t xml:space="preserve">Meredith Baker, </w:t>
      </w:r>
      <w:proofErr w:type="spellStart"/>
      <w:r w:rsidR="000F2604" w:rsidRPr="00F76C78">
        <w:rPr>
          <w:sz w:val="24"/>
          <w:lang w:eastAsia="en-AU"/>
        </w:rPr>
        <w:t>Elina</w:t>
      </w:r>
      <w:proofErr w:type="spellEnd"/>
      <w:r w:rsidR="000F2604" w:rsidRPr="00F76C78">
        <w:rPr>
          <w:sz w:val="24"/>
          <w:lang w:eastAsia="en-AU"/>
        </w:rPr>
        <w:t xml:space="preserve"> </w:t>
      </w:r>
      <w:proofErr w:type="spellStart"/>
      <w:r w:rsidR="000F2604" w:rsidRPr="00F76C78">
        <w:rPr>
          <w:sz w:val="24"/>
          <w:lang w:eastAsia="en-AU"/>
        </w:rPr>
        <w:t>Gilbourd</w:t>
      </w:r>
      <w:proofErr w:type="spellEnd"/>
      <w:r w:rsidR="000F2604">
        <w:rPr>
          <w:sz w:val="24"/>
          <w:lang w:eastAsia="en-AU"/>
        </w:rPr>
        <w:t>,</w:t>
      </w:r>
      <w:r w:rsidR="000F2604" w:rsidRPr="00F76C78">
        <w:rPr>
          <w:sz w:val="24"/>
          <w:lang w:eastAsia="en-AU"/>
        </w:rPr>
        <w:t xml:space="preserve"> </w:t>
      </w:r>
      <w:r w:rsidRPr="00F76C78">
        <w:rPr>
          <w:sz w:val="24"/>
          <w:lang w:eastAsia="en-AU"/>
        </w:rPr>
        <w:t>Geoff Gilfillan</w:t>
      </w:r>
      <w:proofErr w:type="gramStart"/>
      <w:r w:rsidRPr="00F76C78">
        <w:rPr>
          <w:sz w:val="24"/>
          <w:lang w:eastAsia="en-AU"/>
        </w:rPr>
        <w:t xml:space="preserve">,  </w:t>
      </w:r>
      <w:proofErr w:type="spellStart"/>
      <w:r w:rsidRPr="00F76C78">
        <w:rPr>
          <w:sz w:val="24"/>
          <w:lang w:eastAsia="en-AU"/>
        </w:rPr>
        <w:t>Pragya</w:t>
      </w:r>
      <w:proofErr w:type="spellEnd"/>
      <w:proofErr w:type="gramEnd"/>
      <w:r w:rsidRPr="00F76C78">
        <w:rPr>
          <w:sz w:val="24"/>
          <w:lang w:eastAsia="en-AU"/>
        </w:rPr>
        <w:t xml:space="preserve"> </w:t>
      </w:r>
      <w:proofErr w:type="spellStart"/>
      <w:r w:rsidRPr="00F76C78">
        <w:rPr>
          <w:sz w:val="24"/>
          <w:lang w:eastAsia="en-AU"/>
        </w:rPr>
        <w:t>Giri</w:t>
      </w:r>
      <w:proofErr w:type="spellEnd"/>
      <w:r w:rsidRPr="00F76C78">
        <w:rPr>
          <w:sz w:val="24"/>
          <w:lang w:eastAsia="en-AU"/>
        </w:rPr>
        <w:t xml:space="preserve">, </w:t>
      </w:r>
      <w:proofErr w:type="spellStart"/>
      <w:r w:rsidRPr="00F76C78">
        <w:rPr>
          <w:sz w:val="24"/>
          <w:lang w:eastAsia="en-AU"/>
        </w:rPr>
        <w:t>Suzana</w:t>
      </w:r>
      <w:proofErr w:type="spellEnd"/>
      <w:r w:rsidRPr="00F76C78">
        <w:rPr>
          <w:sz w:val="24"/>
          <w:lang w:eastAsia="en-AU"/>
        </w:rPr>
        <w:t xml:space="preserve"> Hardy, Andrew Irwin, Vashti Maher, Rosalie McLachlan, Dianne Orr, Alan </w:t>
      </w:r>
      <w:proofErr w:type="spellStart"/>
      <w:r w:rsidRPr="00F76C78">
        <w:rPr>
          <w:sz w:val="24"/>
          <w:lang w:eastAsia="en-AU"/>
        </w:rPr>
        <w:t>Raine</w:t>
      </w:r>
      <w:proofErr w:type="spellEnd"/>
      <w:r w:rsidRPr="00F76C78">
        <w:rPr>
          <w:sz w:val="24"/>
          <w:lang w:eastAsia="en-AU"/>
        </w:rPr>
        <w:t xml:space="preserve">, Tina </w:t>
      </w:r>
      <w:proofErr w:type="spellStart"/>
      <w:r w:rsidRPr="00F76C78">
        <w:rPr>
          <w:sz w:val="24"/>
          <w:lang w:eastAsia="en-AU"/>
        </w:rPr>
        <w:t>Samardzija</w:t>
      </w:r>
      <w:proofErr w:type="spellEnd"/>
      <w:r w:rsidRPr="00F76C78">
        <w:rPr>
          <w:sz w:val="24"/>
          <w:lang w:eastAsia="en-AU"/>
        </w:rPr>
        <w:t>, Anthony Smith, Leo Soames and Kirsten Wren.</w:t>
      </w:r>
    </w:p>
    <w:p w:rsidR="00F76C78" w:rsidRPr="00F76C78" w:rsidRDefault="00F76C78" w:rsidP="00CD21EE">
      <w:pPr>
        <w:keepNext/>
        <w:spacing w:before="600" w:after="480" w:line="600" w:lineRule="exact"/>
        <w:ind w:left="907" w:hanging="907"/>
        <w:outlineLvl w:val="0"/>
        <w:rPr>
          <w:sz w:val="52"/>
          <w:lang w:eastAsia="en-AU"/>
        </w:rPr>
      </w:pPr>
      <w:bookmarkStart w:id="9" w:name="_Toc383992862"/>
      <w:bookmarkStart w:id="10" w:name="_Toc383993280"/>
      <w:bookmarkStart w:id="11" w:name="_Toc383995301"/>
      <w:bookmarkStart w:id="12" w:name="_Toc383995382"/>
      <w:bookmarkStart w:id="13" w:name="_Toc383996831"/>
      <w:bookmarkStart w:id="14" w:name="_Toc384045143"/>
      <w:bookmarkStart w:id="15" w:name="_Toc384052348"/>
      <w:bookmarkStart w:id="16" w:name="_Toc384103560"/>
      <w:bookmarkStart w:id="17" w:name="_Toc384103814"/>
      <w:r w:rsidRPr="00F76C78">
        <w:rPr>
          <w:sz w:val="52"/>
          <w:lang w:eastAsia="en-AU"/>
        </w:rPr>
        <w:t>Disclosure of interests</w:t>
      </w:r>
      <w:bookmarkEnd w:id="9"/>
      <w:bookmarkEnd w:id="10"/>
      <w:bookmarkEnd w:id="11"/>
      <w:bookmarkEnd w:id="12"/>
      <w:bookmarkEnd w:id="13"/>
      <w:bookmarkEnd w:id="14"/>
      <w:bookmarkEnd w:id="15"/>
      <w:bookmarkEnd w:id="16"/>
      <w:bookmarkEnd w:id="17"/>
    </w:p>
    <w:p w:rsidR="00F76C78" w:rsidRPr="00F76C78" w:rsidRDefault="00F76C78" w:rsidP="00F76C78">
      <w:pPr>
        <w:spacing w:before="240" w:line="300" w:lineRule="atLeast"/>
        <w:jc w:val="both"/>
        <w:rPr>
          <w:sz w:val="24"/>
          <w:lang w:eastAsia="en-AU"/>
        </w:rPr>
      </w:pPr>
      <w:r w:rsidRPr="00F76C78">
        <w:rPr>
          <w:sz w:val="24"/>
          <w:lang w:eastAsia="en-AU"/>
        </w:rPr>
        <w:t xml:space="preserve">The </w:t>
      </w:r>
      <w:r w:rsidRPr="00706319">
        <w:rPr>
          <w:i/>
          <w:sz w:val="24"/>
          <w:lang w:eastAsia="en-AU"/>
        </w:rPr>
        <w:t xml:space="preserve">Productivity Commission </w:t>
      </w:r>
      <w:r w:rsidRPr="004C4FFD">
        <w:rPr>
          <w:i/>
          <w:sz w:val="24"/>
          <w:lang w:eastAsia="en-AU"/>
        </w:rPr>
        <w:t>Act 1998</w:t>
      </w:r>
      <w:r w:rsidR="00706319">
        <w:rPr>
          <w:sz w:val="24"/>
          <w:lang w:eastAsia="en-AU"/>
        </w:rPr>
        <w:t xml:space="preserve"> (</w:t>
      </w:r>
      <w:proofErr w:type="spellStart"/>
      <w:r w:rsidR="00706319">
        <w:rPr>
          <w:sz w:val="24"/>
          <w:lang w:eastAsia="en-AU"/>
        </w:rPr>
        <w:t>Cth</w:t>
      </w:r>
      <w:proofErr w:type="spellEnd"/>
      <w:r w:rsidR="00706319">
        <w:rPr>
          <w:sz w:val="24"/>
          <w:lang w:eastAsia="en-AU"/>
        </w:rPr>
        <w:t>)</w:t>
      </w:r>
      <w:r w:rsidRPr="00F76C78">
        <w:rPr>
          <w:sz w:val="24"/>
          <w:lang w:eastAsia="en-AU"/>
        </w:rPr>
        <w:t xml:space="preserve"> specifies that where Commissioners have or acquire interests, pecuniary or otherwise, that could conflict with the proper performance of their functions during an inquiry they must disclose the interests.</w:t>
      </w:r>
    </w:p>
    <w:p w:rsidR="00F76C78" w:rsidRPr="00F76C78" w:rsidRDefault="00F76C78" w:rsidP="00F76C78">
      <w:pPr>
        <w:spacing w:before="240" w:line="300" w:lineRule="atLeast"/>
        <w:jc w:val="both"/>
        <w:rPr>
          <w:sz w:val="24"/>
          <w:lang w:eastAsia="en-AU"/>
        </w:rPr>
      </w:pPr>
      <w:r w:rsidRPr="00F76C78">
        <w:rPr>
          <w:sz w:val="24"/>
          <w:lang w:eastAsia="en-AU"/>
        </w:rPr>
        <w:t>Dr Warren Mundy has advised the Commission that he is a Fellow of the Australian Institute of Company Directors and that he has not been involved in any way with the preparation of that organisation’s submission</w:t>
      </w:r>
      <w:r w:rsidR="008C374A">
        <w:rPr>
          <w:sz w:val="24"/>
          <w:lang w:eastAsia="en-AU"/>
        </w:rPr>
        <w:t>s</w:t>
      </w:r>
      <w:r w:rsidR="00F76C02">
        <w:rPr>
          <w:sz w:val="24"/>
          <w:lang w:eastAsia="en-AU"/>
        </w:rPr>
        <w:t xml:space="preserve"> to this i</w:t>
      </w:r>
      <w:r w:rsidRPr="00F76C78">
        <w:rPr>
          <w:sz w:val="24"/>
          <w:lang w:eastAsia="en-AU"/>
        </w:rPr>
        <w:t>nquiry.</w:t>
      </w:r>
    </w:p>
    <w:p w:rsidR="00E91F35" w:rsidRPr="00883E8C" w:rsidRDefault="00E91F35" w:rsidP="001E2225">
      <w:pPr>
        <w:pStyle w:val="BodyText"/>
        <w:rPr>
          <w:lang w:eastAsia="en-US"/>
        </w:rPr>
      </w:pPr>
    </w:p>
    <w:p w:rsidR="00E91F35" w:rsidRDefault="00E91F35">
      <w:pPr>
        <w:pStyle w:val="BodyText"/>
        <w:sectPr w:rsidR="00E91F35" w:rsidSect="001E2225">
          <w:headerReference w:type="even" r:id="rId21"/>
          <w:headerReference w:type="default" r:id="rId22"/>
          <w:footerReference w:type="even" r:id="rId23"/>
          <w:footerReference w:type="default" r:id="rId24"/>
          <w:pgSz w:w="11906" w:h="16838" w:code="9"/>
          <w:pgMar w:top="1985" w:right="1304" w:bottom="1247" w:left="1814" w:header="1701" w:footer="397" w:gutter="0"/>
          <w:pgNumType w:fmt="lowerRoman"/>
          <w:cols w:space="708"/>
          <w:docGrid w:linePitch="360"/>
        </w:sectPr>
      </w:pPr>
    </w:p>
    <w:p w:rsidR="00735FEA" w:rsidRDefault="00735FEA" w:rsidP="000D1F1A">
      <w:pPr>
        <w:pStyle w:val="Heading1"/>
        <w:spacing w:after="960"/>
      </w:pPr>
      <w:bookmarkStart w:id="18" w:name="EndContents"/>
      <w:bookmarkStart w:id="19" w:name="_Toc397596213"/>
      <w:bookmarkStart w:id="20" w:name="_Toc397696197"/>
      <w:bookmarkStart w:id="21" w:name="_Toc397931660"/>
      <w:bookmarkEnd w:id="18"/>
      <w:r>
        <w:lastRenderedPageBreak/>
        <w:t>Abbreviations and explanations</w:t>
      </w:r>
      <w:bookmarkEnd w:id="19"/>
      <w:bookmarkEnd w:id="20"/>
      <w:bookmarkEnd w:id="21"/>
    </w:p>
    <w:p w:rsidR="000D1F1A" w:rsidRDefault="000D1F1A" w:rsidP="000D1F1A">
      <w:pPr>
        <w:pStyle w:val="Abbreviation"/>
      </w:pPr>
      <w:r>
        <w:t>AAT</w:t>
      </w:r>
      <w:r>
        <w:tab/>
        <w:t>Administrative Appeals Tribunal</w:t>
      </w:r>
    </w:p>
    <w:p w:rsidR="000D1F1A" w:rsidRDefault="000D1F1A" w:rsidP="000D1F1A">
      <w:pPr>
        <w:pStyle w:val="Abbreviation"/>
      </w:pPr>
      <w:r>
        <w:t>ABS</w:t>
      </w:r>
      <w:r>
        <w:tab/>
        <w:t>Australian Bureau of Statistics</w:t>
      </w:r>
    </w:p>
    <w:p w:rsidR="000D1F1A" w:rsidRDefault="000D1F1A" w:rsidP="000D1F1A">
      <w:pPr>
        <w:pStyle w:val="Abbreviation"/>
      </w:pPr>
      <w:r>
        <w:t>ACAT</w:t>
      </w:r>
      <w:r>
        <w:tab/>
        <w:t>ACT Civil and Administrative Tribunal</w:t>
      </w:r>
    </w:p>
    <w:p w:rsidR="000D1F1A" w:rsidRDefault="000D1F1A" w:rsidP="000D1F1A">
      <w:pPr>
        <w:pStyle w:val="Abbreviation"/>
      </w:pPr>
      <w:r>
        <w:t>ACCC</w:t>
      </w:r>
      <w:r>
        <w:tab/>
        <w:t>Australian Competition and Consumer Commission</w:t>
      </w:r>
    </w:p>
    <w:p w:rsidR="000D1F1A" w:rsidRDefault="000D1F1A" w:rsidP="000D1F1A">
      <w:pPr>
        <w:pStyle w:val="Abbreviation"/>
      </w:pPr>
      <w:r>
        <w:t>ACG</w:t>
      </w:r>
      <w:r>
        <w:tab/>
        <w:t>Allen Consulting Group</w:t>
      </w:r>
    </w:p>
    <w:p w:rsidR="000D1F1A" w:rsidRDefault="000D1F1A" w:rsidP="000D1F1A">
      <w:pPr>
        <w:pStyle w:val="Abbreviation"/>
      </w:pPr>
      <w:r>
        <w:t>ACL</w:t>
      </w:r>
      <w:r>
        <w:tab/>
        <w:t>Australian Consumer Law</w:t>
      </w:r>
    </w:p>
    <w:p w:rsidR="000D1F1A" w:rsidRDefault="000D1F1A" w:rsidP="000D1F1A">
      <w:pPr>
        <w:pStyle w:val="Abbreviation"/>
      </w:pPr>
      <w:r>
        <w:t>ACT</w:t>
      </w:r>
      <w:r>
        <w:tab/>
        <w:t>Australian Capital Territory</w:t>
      </w:r>
    </w:p>
    <w:p w:rsidR="000D1F1A" w:rsidRDefault="000D1F1A" w:rsidP="000D1F1A">
      <w:pPr>
        <w:pStyle w:val="Abbreviation"/>
      </w:pPr>
      <w:r>
        <w:t>ADR</w:t>
      </w:r>
      <w:r>
        <w:tab/>
        <w:t>alternative dispute resolution</w:t>
      </w:r>
    </w:p>
    <w:p w:rsidR="000D1F1A" w:rsidRDefault="000D1F1A" w:rsidP="000D1F1A">
      <w:pPr>
        <w:pStyle w:val="Abbreviation"/>
      </w:pPr>
      <w:r>
        <w:t>AGD</w:t>
      </w:r>
      <w:r>
        <w:tab/>
        <w:t>Attorney</w:t>
      </w:r>
      <w:r w:rsidR="001766AD">
        <w:noBreakHyphen/>
      </w:r>
      <w:r>
        <w:t>General’s Department</w:t>
      </w:r>
    </w:p>
    <w:p w:rsidR="000D1F1A" w:rsidRDefault="000D1F1A" w:rsidP="000D1F1A">
      <w:pPr>
        <w:pStyle w:val="Abbreviation"/>
      </w:pPr>
      <w:r>
        <w:t>AIFS</w:t>
      </w:r>
      <w:r>
        <w:tab/>
        <w:t>Australian Institute of Family Studies</w:t>
      </w:r>
    </w:p>
    <w:p w:rsidR="000D1F1A" w:rsidRDefault="000D1F1A" w:rsidP="000D1F1A">
      <w:pPr>
        <w:pStyle w:val="Abbreviation"/>
      </w:pPr>
      <w:r>
        <w:t>AIJA</w:t>
      </w:r>
      <w:r>
        <w:tab/>
        <w:t>Australasian Institute of Judicial Administration</w:t>
      </w:r>
    </w:p>
    <w:p w:rsidR="000D1F1A" w:rsidRDefault="000D1F1A" w:rsidP="000D1F1A">
      <w:pPr>
        <w:pStyle w:val="Abbreviation"/>
      </w:pPr>
      <w:r>
        <w:t>ALAF</w:t>
      </w:r>
      <w:r>
        <w:tab/>
        <w:t>Australian Legal Assistance Forum</w:t>
      </w:r>
    </w:p>
    <w:p w:rsidR="000D1F1A" w:rsidRDefault="000D1F1A" w:rsidP="000D1F1A">
      <w:pPr>
        <w:pStyle w:val="Abbreviation"/>
      </w:pPr>
      <w:r>
        <w:t>ALRC</w:t>
      </w:r>
      <w:r>
        <w:tab/>
        <w:t>Australian Law Reform Commission</w:t>
      </w:r>
    </w:p>
    <w:p w:rsidR="000D1F1A" w:rsidRDefault="000D1F1A" w:rsidP="000D1F1A">
      <w:pPr>
        <w:pStyle w:val="Abbreviation"/>
      </w:pPr>
      <w:r>
        <w:t>ANAO</w:t>
      </w:r>
      <w:r>
        <w:tab/>
        <w:t>Australian National Audit Office</w:t>
      </w:r>
    </w:p>
    <w:p w:rsidR="000D1F1A" w:rsidRDefault="000D1F1A" w:rsidP="000D1F1A">
      <w:pPr>
        <w:pStyle w:val="Abbreviation"/>
      </w:pPr>
      <w:r>
        <w:t>ANEDO</w:t>
      </w:r>
      <w:r>
        <w:tab/>
        <w:t>Australian Network of Environmental Defender’s Offices</w:t>
      </w:r>
    </w:p>
    <w:p w:rsidR="000D1F1A" w:rsidRDefault="000D1F1A" w:rsidP="000D1F1A">
      <w:pPr>
        <w:pStyle w:val="Abbreviation"/>
      </w:pPr>
      <w:r>
        <w:t>ANZOA</w:t>
      </w:r>
      <w:r>
        <w:tab/>
        <w:t>Australian and New Zealand Ombudsman Association</w:t>
      </w:r>
    </w:p>
    <w:p w:rsidR="000D1F1A" w:rsidRDefault="000D1F1A" w:rsidP="000D1F1A">
      <w:pPr>
        <w:pStyle w:val="Abbreviation"/>
      </w:pPr>
      <w:r>
        <w:t>APRA</w:t>
      </w:r>
      <w:r>
        <w:tab/>
        <w:t>Australian Prudential Regulation Authority</w:t>
      </w:r>
    </w:p>
    <w:p w:rsidR="000D1F1A" w:rsidRDefault="000D1F1A" w:rsidP="000D1F1A">
      <w:pPr>
        <w:pStyle w:val="Abbreviation"/>
      </w:pPr>
      <w:r>
        <w:t>ASIC</w:t>
      </w:r>
      <w:r>
        <w:tab/>
        <w:t>Australian Securities and Investments Commission</w:t>
      </w:r>
    </w:p>
    <w:p w:rsidR="000D1F1A" w:rsidRDefault="000D1F1A" w:rsidP="000D1F1A">
      <w:pPr>
        <w:pStyle w:val="Abbreviation"/>
      </w:pPr>
      <w:r>
        <w:t>ATO</w:t>
      </w:r>
      <w:r>
        <w:tab/>
        <w:t>Australian Taxation Office</w:t>
      </w:r>
    </w:p>
    <w:p w:rsidR="000D1F1A" w:rsidRDefault="000D1F1A" w:rsidP="000D1F1A">
      <w:pPr>
        <w:pStyle w:val="Abbreviation"/>
      </w:pPr>
      <w:r>
        <w:t>ATSI</w:t>
      </w:r>
      <w:r>
        <w:tab/>
        <w:t>Aboriginal and Torres Strait Islander</w:t>
      </w:r>
    </w:p>
    <w:p w:rsidR="000D1F1A" w:rsidRDefault="000D1F1A" w:rsidP="000D1F1A">
      <w:pPr>
        <w:pStyle w:val="Abbreviation"/>
      </w:pPr>
      <w:r>
        <w:t>ATSILS</w:t>
      </w:r>
      <w:r>
        <w:tab/>
        <w:t>Aboriginal and Torres Strait Islander legal services</w:t>
      </w:r>
    </w:p>
    <w:p w:rsidR="000D1F1A" w:rsidRDefault="000D1F1A" w:rsidP="000D1F1A">
      <w:pPr>
        <w:pStyle w:val="Abbreviation"/>
      </w:pPr>
      <w:r>
        <w:t>AVO</w:t>
      </w:r>
      <w:r>
        <w:tab/>
        <w:t>Apprehended Violence Order</w:t>
      </w:r>
    </w:p>
    <w:p w:rsidR="000D1F1A" w:rsidRDefault="000D1F1A" w:rsidP="000D1F1A">
      <w:pPr>
        <w:pStyle w:val="Abbreviation"/>
      </w:pPr>
      <w:r>
        <w:t>CALD</w:t>
      </w:r>
      <w:r>
        <w:tab/>
        <w:t>culturally and linguistically diverse</w:t>
      </w:r>
    </w:p>
    <w:p w:rsidR="000D1F1A" w:rsidRDefault="000D1F1A" w:rsidP="000D1F1A">
      <w:pPr>
        <w:pStyle w:val="Abbreviation"/>
      </w:pPr>
      <w:r>
        <w:t>CCLC</w:t>
      </w:r>
      <w:r>
        <w:tab/>
        <w:t>Consumer Credit Legal Centre NSW</w:t>
      </w:r>
    </w:p>
    <w:p w:rsidR="000D1F1A" w:rsidRDefault="000D1F1A" w:rsidP="000D1F1A">
      <w:pPr>
        <w:pStyle w:val="Abbreviation"/>
      </w:pPr>
      <w:r>
        <w:t>CFDR</w:t>
      </w:r>
      <w:r>
        <w:tab/>
      </w:r>
      <w:r w:rsidR="00706319">
        <w:t>c</w:t>
      </w:r>
      <w:r>
        <w:t xml:space="preserve">oordinated </w:t>
      </w:r>
      <w:r w:rsidR="00706319">
        <w:t>f</w:t>
      </w:r>
      <w:r>
        <w:t>amily</w:t>
      </w:r>
      <w:r w:rsidR="00706319">
        <w:t xml:space="preserve"> d</w:t>
      </w:r>
      <w:r>
        <w:t xml:space="preserve">ispute </w:t>
      </w:r>
      <w:r w:rsidR="00706319">
        <w:t>r</w:t>
      </w:r>
      <w:r>
        <w:t>esolution</w:t>
      </w:r>
    </w:p>
    <w:p w:rsidR="000D1F1A" w:rsidRDefault="000D1F1A" w:rsidP="000D1F1A">
      <w:pPr>
        <w:pStyle w:val="Abbreviation"/>
      </w:pPr>
      <w:r>
        <w:t>CIJ</w:t>
      </w:r>
      <w:r>
        <w:tab/>
        <w:t>Centre for Innovative Justice</w:t>
      </w:r>
    </w:p>
    <w:p w:rsidR="000D1F1A" w:rsidRDefault="000D1F1A" w:rsidP="000D1F1A">
      <w:pPr>
        <w:pStyle w:val="Abbreviation"/>
      </w:pPr>
      <w:r>
        <w:t>CLC</w:t>
      </w:r>
      <w:r>
        <w:tab/>
        <w:t>community legal centre</w:t>
      </w:r>
    </w:p>
    <w:p w:rsidR="000D1F1A" w:rsidRDefault="000D1F1A" w:rsidP="000D1F1A">
      <w:pPr>
        <w:pStyle w:val="Abbreviation"/>
      </w:pPr>
      <w:r>
        <w:t>CLE</w:t>
      </w:r>
      <w:r>
        <w:tab/>
        <w:t>community legal education</w:t>
      </w:r>
    </w:p>
    <w:p w:rsidR="000D1F1A" w:rsidRDefault="000D1F1A" w:rsidP="000D1F1A">
      <w:pPr>
        <w:pStyle w:val="Abbreviation"/>
      </w:pPr>
      <w:r>
        <w:lastRenderedPageBreak/>
        <w:t>CLSIS</w:t>
      </w:r>
      <w:r>
        <w:tab/>
        <w:t>Community Legal Service Information System</w:t>
      </w:r>
    </w:p>
    <w:p w:rsidR="000D1F1A" w:rsidRDefault="000D1F1A" w:rsidP="000D1F1A">
      <w:pPr>
        <w:pStyle w:val="Abbreviation"/>
      </w:pPr>
      <w:r>
        <w:t>CLSP</w:t>
      </w:r>
      <w:r>
        <w:tab/>
        <w:t>Community Legal Services Program</w:t>
      </w:r>
    </w:p>
    <w:p w:rsidR="000D1F1A" w:rsidRDefault="000D1F1A" w:rsidP="000D1F1A">
      <w:pPr>
        <w:pStyle w:val="Abbreviation"/>
      </w:pPr>
      <w:r>
        <w:t>COAG</w:t>
      </w:r>
      <w:r>
        <w:tab/>
        <w:t>Council of Australian Governments</w:t>
      </w:r>
    </w:p>
    <w:p w:rsidR="000D1F1A" w:rsidRDefault="000D1F1A" w:rsidP="000D1F1A">
      <w:pPr>
        <w:pStyle w:val="Abbreviation"/>
      </w:pPr>
      <w:r>
        <w:t>CRIS</w:t>
      </w:r>
      <w:r>
        <w:tab/>
        <w:t>Consultation Regulation Impact Statement</w:t>
      </w:r>
    </w:p>
    <w:p w:rsidR="000D1F1A" w:rsidRDefault="000D1F1A" w:rsidP="000D1F1A">
      <w:pPr>
        <w:pStyle w:val="Abbreviation"/>
      </w:pPr>
      <w:r>
        <w:t>DHS</w:t>
      </w:r>
      <w:r>
        <w:tab/>
        <w:t>Department of Human Services</w:t>
      </w:r>
    </w:p>
    <w:p w:rsidR="000D1F1A" w:rsidRDefault="000D1F1A" w:rsidP="000D1F1A">
      <w:pPr>
        <w:pStyle w:val="Abbreviation"/>
      </w:pPr>
      <w:r>
        <w:t>EDO</w:t>
      </w:r>
      <w:r>
        <w:tab/>
        <w:t>Environmental Defender’s Office</w:t>
      </w:r>
    </w:p>
    <w:p w:rsidR="000D1F1A" w:rsidRDefault="000D1F1A" w:rsidP="000D1F1A">
      <w:pPr>
        <w:pStyle w:val="Abbreviation"/>
      </w:pPr>
      <w:r>
        <w:t>EWON</w:t>
      </w:r>
      <w:r>
        <w:tab/>
        <w:t>Energy and Water Ombudsman NSW</w:t>
      </w:r>
    </w:p>
    <w:p w:rsidR="000D1F1A" w:rsidRDefault="000D1F1A" w:rsidP="000D1F1A">
      <w:pPr>
        <w:pStyle w:val="Abbreviation"/>
      </w:pPr>
      <w:r>
        <w:t>FCA</w:t>
      </w:r>
      <w:r>
        <w:tab/>
        <w:t>Federal Court of Australia</w:t>
      </w:r>
    </w:p>
    <w:p w:rsidR="000D1F1A" w:rsidRDefault="000D1F1A" w:rsidP="000D1F1A">
      <w:pPr>
        <w:pStyle w:val="Abbreviation"/>
      </w:pPr>
      <w:r>
        <w:t>FCC</w:t>
      </w:r>
      <w:r>
        <w:tab/>
        <w:t>Federal Circuit Court</w:t>
      </w:r>
    </w:p>
    <w:p w:rsidR="000D1F1A" w:rsidRDefault="000D1F1A" w:rsidP="000D1F1A">
      <w:pPr>
        <w:pStyle w:val="Abbreviation"/>
      </w:pPr>
      <w:r>
        <w:t>FCLC</w:t>
      </w:r>
      <w:r>
        <w:tab/>
        <w:t>Federation of Community Legal Centres</w:t>
      </w:r>
      <w:r w:rsidR="00AB2734">
        <w:t xml:space="preserve"> (Victoria)</w:t>
      </w:r>
    </w:p>
    <w:p w:rsidR="000D1F1A" w:rsidRDefault="000D1F1A" w:rsidP="000D1F1A">
      <w:pPr>
        <w:pStyle w:val="Abbreviation"/>
      </w:pPr>
      <w:r>
        <w:t>FCWA</w:t>
      </w:r>
      <w:r>
        <w:tab/>
        <w:t>Family Court of Western Australia</w:t>
      </w:r>
    </w:p>
    <w:p w:rsidR="000D1F1A" w:rsidRDefault="000D1F1A" w:rsidP="000D1F1A">
      <w:pPr>
        <w:pStyle w:val="Abbreviation"/>
      </w:pPr>
      <w:r>
        <w:t>FDR</w:t>
      </w:r>
      <w:r>
        <w:tab/>
        <w:t>family dispute resolution</w:t>
      </w:r>
    </w:p>
    <w:p w:rsidR="000D1F1A" w:rsidRDefault="000D1F1A" w:rsidP="000D1F1A">
      <w:pPr>
        <w:pStyle w:val="Abbreviation"/>
      </w:pPr>
      <w:r>
        <w:t>FMC</w:t>
      </w:r>
      <w:r>
        <w:tab/>
        <w:t>Federal Magistrates Court of Australia</w:t>
      </w:r>
    </w:p>
    <w:p w:rsidR="000D1F1A" w:rsidRDefault="000D1F1A" w:rsidP="000D1F1A">
      <w:pPr>
        <w:pStyle w:val="Abbreviation"/>
      </w:pPr>
      <w:r>
        <w:t>FRC</w:t>
      </w:r>
      <w:r>
        <w:tab/>
        <w:t>Family Relationship Centre</w:t>
      </w:r>
    </w:p>
    <w:p w:rsidR="000D1F1A" w:rsidRDefault="000D1F1A" w:rsidP="000D1F1A">
      <w:pPr>
        <w:pStyle w:val="Abbreviation"/>
      </w:pPr>
      <w:r>
        <w:t>FSP</w:t>
      </w:r>
      <w:r>
        <w:tab/>
        <w:t>Family Support Program</w:t>
      </w:r>
    </w:p>
    <w:p w:rsidR="000D1F1A" w:rsidRDefault="000D1F1A" w:rsidP="000D1F1A">
      <w:pPr>
        <w:pStyle w:val="Abbreviation"/>
      </w:pPr>
      <w:r>
        <w:t>FTE</w:t>
      </w:r>
      <w:r>
        <w:tab/>
        <w:t>full time equivalent</w:t>
      </w:r>
    </w:p>
    <w:p w:rsidR="000D1F1A" w:rsidRDefault="000D1F1A" w:rsidP="000D1F1A">
      <w:pPr>
        <w:pStyle w:val="Abbreviation"/>
      </w:pPr>
      <w:r>
        <w:t>FVPLS</w:t>
      </w:r>
      <w:r>
        <w:tab/>
        <w:t>family violence prevention legal services</w:t>
      </w:r>
    </w:p>
    <w:p w:rsidR="000D1F1A" w:rsidRDefault="000D1F1A" w:rsidP="000D1F1A">
      <w:pPr>
        <w:pStyle w:val="Abbreviation"/>
      </w:pPr>
      <w:r>
        <w:t>GST</w:t>
      </w:r>
      <w:r>
        <w:tab/>
        <w:t>Goods and Services Tax</w:t>
      </w:r>
    </w:p>
    <w:p w:rsidR="000D1F1A" w:rsidRDefault="000D1F1A" w:rsidP="000D1F1A">
      <w:pPr>
        <w:pStyle w:val="Abbreviation"/>
      </w:pPr>
      <w:r>
        <w:t>HCA</w:t>
      </w:r>
      <w:r>
        <w:tab/>
        <w:t>High Court of Australia</w:t>
      </w:r>
    </w:p>
    <w:p w:rsidR="000D1F1A" w:rsidRDefault="000D1F1A" w:rsidP="000D1F1A">
      <w:pPr>
        <w:pStyle w:val="Abbreviation"/>
      </w:pPr>
      <w:r>
        <w:t>HCLC</w:t>
      </w:r>
      <w:r>
        <w:tab/>
        <w:t>Hunter Community Legal Centre</w:t>
      </w:r>
    </w:p>
    <w:p w:rsidR="000D1F1A" w:rsidRDefault="000D1F1A" w:rsidP="000D1F1A">
      <w:pPr>
        <w:pStyle w:val="Abbreviation"/>
      </w:pPr>
      <w:r>
        <w:t>HECS</w:t>
      </w:r>
      <w:r>
        <w:tab/>
        <w:t>Higher Education Contribution Scheme</w:t>
      </w:r>
    </w:p>
    <w:p w:rsidR="000D1F1A" w:rsidRDefault="000D1F1A" w:rsidP="000D1F1A">
      <w:pPr>
        <w:pStyle w:val="Abbreviation"/>
      </w:pPr>
      <w:r>
        <w:t>HELP</w:t>
      </w:r>
      <w:r>
        <w:tab/>
        <w:t>Higher Education Loan Program</w:t>
      </w:r>
    </w:p>
    <w:p w:rsidR="000D1F1A" w:rsidRDefault="000D1F1A" w:rsidP="000D1F1A">
      <w:pPr>
        <w:pStyle w:val="Abbreviation"/>
      </w:pPr>
      <w:r>
        <w:t>HRSCATSIA</w:t>
      </w:r>
      <w:r>
        <w:tab/>
        <w:t>House of Representatives Standing Committee on Aboriginal and Torres Strait Islander Affairs</w:t>
      </w:r>
    </w:p>
    <w:p w:rsidR="000D1F1A" w:rsidRDefault="000D1F1A" w:rsidP="000D1F1A">
      <w:pPr>
        <w:pStyle w:val="Abbreviation"/>
      </w:pPr>
      <w:r>
        <w:t>ILNP</w:t>
      </w:r>
      <w:r>
        <w:tab/>
        <w:t>Indigenous Legal Needs Project</w:t>
      </w:r>
    </w:p>
    <w:p w:rsidR="000D1F1A" w:rsidRDefault="000D1F1A" w:rsidP="000D1F1A">
      <w:pPr>
        <w:pStyle w:val="Abbreviation"/>
      </w:pPr>
      <w:r>
        <w:t>IT</w:t>
      </w:r>
      <w:r>
        <w:tab/>
      </w:r>
      <w:r w:rsidR="00C23BC5">
        <w:t>i</w:t>
      </w:r>
      <w:r>
        <w:t>nformation technology</w:t>
      </w:r>
    </w:p>
    <w:p w:rsidR="000D1F1A" w:rsidRDefault="000D1F1A" w:rsidP="000D1F1A">
      <w:pPr>
        <w:pStyle w:val="Abbreviation"/>
      </w:pPr>
      <w:r>
        <w:t>LACs</w:t>
      </w:r>
      <w:r>
        <w:tab/>
      </w:r>
      <w:r w:rsidR="00C23BC5">
        <w:t>l</w:t>
      </w:r>
      <w:r>
        <w:t>egal aid commissions</w:t>
      </w:r>
    </w:p>
    <w:p w:rsidR="000D1F1A" w:rsidRDefault="000D1F1A" w:rsidP="000D1F1A">
      <w:pPr>
        <w:pStyle w:val="Abbreviation"/>
      </w:pPr>
      <w:r>
        <w:t>LAF</w:t>
      </w:r>
      <w:r>
        <w:tab/>
        <w:t>Legal Assistance Forum</w:t>
      </w:r>
    </w:p>
    <w:p w:rsidR="000D1F1A" w:rsidRDefault="000D1F1A" w:rsidP="000D1F1A">
      <w:pPr>
        <w:pStyle w:val="Abbreviation"/>
      </w:pPr>
      <w:r>
        <w:t>LANSW</w:t>
      </w:r>
      <w:r>
        <w:tab/>
        <w:t>Legal Aid New South Wales</w:t>
      </w:r>
    </w:p>
    <w:p w:rsidR="000D1F1A" w:rsidRDefault="000D1F1A" w:rsidP="000D1F1A">
      <w:pPr>
        <w:pStyle w:val="Abbreviation"/>
      </w:pPr>
      <w:r>
        <w:t>LAQ</w:t>
      </w:r>
      <w:r>
        <w:tab/>
        <w:t>Legal Aid Queensland</w:t>
      </w:r>
    </w:p>
    <w:p w:rsidR="000D1F1A" w:rsidRDefault="000D1F1A" w:rsidP="000D1F1A">
      <w:pPr>
        <w:pStyle w:val="Abbreviation"/>
      </w:pPr>
      <w:r>
        <w:t>LAW Survey</w:t>
      </w:r>
      <w:r>
        <w:tab/>
        <w:t>Legal Australia-Wide Survey</w:t>
      </w:r>
    </w:p>
    <w:p w:rsidR="000D1F1A" w:rsidRDefault="000D1F1A" w:rsidP="000D1F1A">
      <w:pPr>
        <w:pStyle w:val="Abbreviation"/>
      </w:pPr>
      <w:r>
        <w:t>LCA</w:t>
      </w:r>
      <w:r>
        <w:tab/>
        <w:t>Law Council of Australia</w:t>
      </w:r>
    </w:p>
    <w:p w:rsidR="000D1F1A" w:rsidRDefault="000D1F1A" w:rsidP="000D1F1A">
      <w:pPr>
        <w:pStyle w:val="Abbreviation"/>
      </w:pPr>
      <w:r>
        <w:lastRenderedPageBreak/>
        <w:t>LECS</w:t>
      </w:r>
      <w:r>
        <w:tab/>
      </w:r>
      <w:r w:rsidR="00C23BC5">
        <w:t>l</w:t>
      </w:r>
      <w:r>
        <w:t>egal expenses contribution scheme</w:t>
      </w:r>
    </w:p>
    <w:p w:rsidR="000D1F1A" w:rsidRDefault="000D1F1A" w:rsidP="000D1F1A">
      <w:pPr>
        <w:pStyle w:val="Abbreviation"/>
      </w:pPr>
      <w:r>
        <w:t>LEI</w:t>
      </w:r>
      <w:r>
        <w:tab/>
      </w:r>
      <w:r w:rsidR="00C23BC5">
        <w:t>l</w:t>
      </w:r>
      <w:r>
        <w:t>egal expenses insurance</w:t>
      </w:r>
    </w:p>
    <w:p w:rsidR="000D1F1A" w:rsidRDefault="000D1F1A" w:rsidP="000D1F1A">
      <w:pPr>
        <w:pStyle w:val="Abbreviation"/>
      </w:pPr>
      <w:r>
        <w:t>LIV</w:t>
      </w:r>
      <w:r>
        <w:tab/>
        <w:t>Law Institute of Victoria</w:t>
      </w:r>
    </w:p>
    <w:p w:rsidR="000D1F1A" w:rsidRDefault="000D1F1A" w:rsidP="000D1F1A">
      <w:pPr>
        <w:pStyle w:val="Abbreviation"/>
      </w:pPr>
      <w:r>
        <w:t>LSC</w:t>
      </w:r>
      <w:r>
        <w:tab/>
        <w:t>Legal Services Commission</w:t>
      </w:r>
    </w:p>
    <w:p w:rsidR="000D1F1A" w:rsidRDefault="000D1F1A" w:rsidP="000D1F1A">
      <w:pPr>
        <w:pStyle w:val="Abbreviation"/>
      </w:pPr>
      <w:r>
        <w:t>MRT</w:t>
      </w:r>
      <w:r>
        <w:tab/>
        <w:t>Migration Review Tribunal</w:t>
      </w:r>
    </w:p>
    <w:p w:rsidR="000D1F1A" w:rsidRDefault="000D1F1A" w:rsidP="000D1F1A">
      <w:pPr>
        <w:pStyle w:val="Abbreviation"/>
      </w:pPr>
      <w:r>
        <w:t>MYEFO</w:t>
      </w:r>
      <w:r>
        <w:tab/>
      </w:r>
      <w:proofErr w:type="spellStart"/>
      <w:proofErr w:type="gramStart"/>
      <w:r>
        <w:t>Mid</w:t>
      </w:r>
      <w:proofErr w:type="gramEnd"/>
      <w:r>
        <w:t xml:space="preserve"> Year</w:t>
      </w:r>
      <w:proofErr w:type="spellEnd"/>
      <w:r>
        <w:t xml:space="preserve"> Economic and Fiscal Outlook</w:t>
      </w:r>
    </w:p>
    <w:p w:rsidR="000D1F1A" w:rsidRDefault="000D1F1A" w:rsidP="000D1F1A">
      <w:pPr>
        <w:pStyle w:val="Abbreviation"/>
      </w:pPr>
      <w:r>
        <w:t>NAAFVLS</w:t>
      </w:r>
      <w:r>
        <w:tab/>
        <w:t>North Australian Aboriginal Family Violence Legal Service</w:t>
      </w:r>
    </w:p>
    <w:p w:rsidR="000D1F1A" w:rsidRDefault="000D1F1A" w:rsidP="000D1F1A">
      <w:pPr>
        <w:pStyle w:val="Abbreviation"/>
      </w:pPr>
      <w:r>
        <w:t>NAAJA</w:t>
      </w:r>
      <w:r>
        <w:tab/>
        <w:t>North Australian Aboriginal Justice Agency</w:t>
      </w:r>
    </w:p>
    <w:p w:rsidR="000D1F1A" w:rsidRDefault="000D1F1A" w:rsidP="000D1F1A">
      <w:pPr>
        <w:pStyle w:val="Abbreviation"/>
      </w:pPr>
      <w:r>
        <w:t>NAATI</w:t>
      </w:r>
      <w:r>
        <w:tab/>
        <w:t>National Accreditation Authority for Translators and Interpreters</w:t>
      </w:r>
    </w:p>
    <w:p w:rsidR="000D1F1A" w:rsidRDefault="000D1F1A" w:rsidP="000D1F1A">
      <w:pPr>
        <w:pStyle w:val="Abbreviation"/>
      </w:pPr>
      <w:r>
        <w:t>NACLC</w:t>
      </w:r>
      <w:r>
        <w:tab/>
        <w:t>National Association of Community Legal Centres</w:t>
      </w:r>
    </w:p>
    <w:p w:rsidR="000D1F1A" w:rsidRDefault="000D1F1A" w:rsidP="000D1F1A">
      <w:pPr>
        <w:pStyle w:val="Abbreviation"/>
      </w:pPr>
      <w:r>
        <w:t>NADRAC</w:t>
      </w:r>
      <w:r>
        <w:tab/>
        <w:t>National Alternative Dispute Resolution Advisory Council</w:t>
      </w:r>
    </w:p>
    <w:p w:rsidR="000D1F1A" w:rsidRDefault="000D1F1A" w:rsidP="000D1F1A">
      <w:pPr>
        <w:pStyle w:val="Abbreviation"/>
      </w:pPr>
      <w:r>
        <w:t>NATSILS</w:t>
      </w:r>
      <w:r>
        <w:tab/>
        <w:t>National Aboriginal and Torres Strait Islander Legal Services</w:t>
      </w:r>
    </w:p>
    <w:p w:rsidR="000D1F1A" w:rsidRDefault="000D1F1A" w:rsidP="000D1F1A">
      <w:pPr>
        <w:pStyle w:val="Abbreviation"/>
      </w:pPr>
      <w:r>
        <w:t>NCAT</w:t>
      </w:r>
      <w:r>
        <w:tab/>
        <w:t>New South Wales Civil and Administrative Tribunal</w:t>
      </w:r>
    </w:p>
    <w:p w:rsidR="000D1F1A" w:rsidRDefault="000D1F1A" w:rsidP="000D1F1A">
      <w:pPr>
        <w:pStyle w:val="Abbreviation"/>
      </w:pPr>
      <w:r>
        <w:t>NCYLC</w:t>
      </w:r>
      <w:r>
        <w:tab/>
        <w:t>National Children’s and Youth and Law Centre</w:t>
      </w:r>
    </w:p>
    <w:p w:rsidR="000D1F1A" w:rsidRDefault="000D1F1A" w:rsidP="000D1F1A">
      <w:pPr>
        <w:pStyle w:val="Abbreviation"/>
      </w:pPr>
      <w:r>
        <w:t>NDIS</w:t>
      </w:r>
      <w:r>
        <w:tab/>
        <w:t>National Disability Insurance Scheme</w:t>
      </w:r>
    </w:p>
    <w:p w:rsidR="000D1F1A" w:rsidRDefault="000D1F1A" w:rsidP="000D1F1A">
      <w:pPr>
        <w:pStyle w:val="Abbreviation"/>
      </w:pPr>
      <w:r>
        <w:t>NFP</w:t>
      </w:r>
      <w:r>
        <w:tab/>
      </w:r>
      <w:r w:rsidR="00C23BC5">
        <w:t>n</w:t>
      </w:r>
      <w:r>
        <w:t>ot for profit organisation</w:t>
      </w:r>
    </w:p>
    <w:p w:rsidR="000D1F1A" w:rsidRDefault="000D1F1A" w:rsidP="000D1F1A">
      <w:pPr>
        <w:pStyle w:val="Abbreviation"/>
      </w:pPr>
      <w:r>
        <w:t>NLA</w:t>
      </w:r>
      <w:r>
        <w:tab/>
        <w:t>National Legal Aid</w:t>
      </w:r>
    </w:p>
    <w:p w:rsidR="000D1F1A" w:rsidRDefault="000D1F1A" w:rsidP="000D1F1A">
      <w:pPr>
        <w:pStyle w:val="Abbreviation"/>
      </w:pPr>
      <w:r>
        <w:t>NPA</w:t>
      </w:r>
      <w:r>
        <w:tab/>
        <w:t>National Partnership Agreement</w:t>
      </w:r>
    </w:p>
    <w:p w:rsidR="000D1F1A" w:rsidRDefault="000D1F1A" w:rsidP="000D1F1A">
      <w:pPr>
        <w:pStyle w:val="Abbreviation"/>
      </w:pPr>
      <w:r>
        <w:t>NPBRC</w:t>
      </w:r>
      <w:r>
        <w:tab/>
        <w:t>National Pro Bono Resource Centre</w:t>
      </w:r>
    </w:p>
    <w:p w:rsidR="000D1F1A" w:rsidRDefault="000D1F1A" w:rsidP="000D1F1A">
      <w:pPr>
        <w:pStyle w:val="Abbreviation"/>
      </w:pPr>
      <w:r>
        <w:t>NSW</w:t>
      </w:r>
      <w:r>
        <w:tab/>
        <w:t>New South Wales</w:t>
      </w:r>
    </w:p>
    <w:p w:rsidR="000D1F1A" w:rsidRDefault="000D1F1A" w:rsidP="000D1F1A">
      <w:pPr>
        <w:pStyle w:val="Abbreviation"/>
      </w:pPr>
      <w:r>
        <w:t>NSWADT</w:t>
      </w:r>
      <w:r>
        <w:tab/>
        <w:t>New South Wales Administrative Decisions Tribunal</w:t>
      </w:r>
    </w:p>
    <w:p w:rsidR="000D1F1A" w:rsidRDefault="000D1F1A" w:rsidP="000D1F1A">
      <w:pPr>
        <w:pStyle w:val="Abbreviation"/>
      </w:pPr>
      <w:r>
        <w:t>NSWLRC</w:t>
      </w:r>
      <w:r>
        <w:tab/>
        <w:t>New South Wales Law Reform Commission</w:t>
      </w:r>
    </w:p>
    <w:p w:rsidR="000D1F1A" w:rsidRDefault="000D1F1A" w:rsidP="000D1F1A">
      <w:pPr>
        <w:pStyle w:val="Abbreviation"/>
      </w:pPr>
      <w:r>
        <w:t>NT</w:t>
      </w:r>
      <w:r>
        <w:tab/>
        <w:t>Northern Territory</w:t>
      </w:r>
    </w:p>
    <w:p w:rsidR="000D1F1A" w:rsidRDefault="000D1F1A" w:rsidP="000D1F1A">
      <w:pPr>
        <w:pStyle w:val="Abbreviation"/>
      </w:pPr>
      <w:r>
        <w:t>NTLAC</w:t>
      </w:r>
      <w:r>
        <w:tab/>
        <w:t>Northern Territory Legal Aid Commission</w:t>
      </w:r>
    </w:p>
    <w:p w:rsidR="000D1F1A" w:rsidRDefault="000D1F1A" w:rsidP="000D1F1A">
      <w:pPr>
        <w:pStyle w:val="Abbreviation"/>
      </w:pPr>
      <w:r>
        <w:t>NZ</w:t>
      </w:r>
      <w:r>
        <w:tab/>
        <w:t>New Zealand</w:t>
      </w:r>
    </w:p>
    <w:p w:rsidR="000D1F1A" w:rsidRDefault="000D1F1A" w:rsidP="000D1F1A">
      <w:pPr>
        <w:pStyle w:val="Abbreviation"/>
      </w:pPr>
      <w:r>
        <w:t>OECD</w:t>
      </w:r>
      <w:r>
        <w:tab/>
        <w:t>Organisation for Economic Co</w:t>
      </w:r>
      <w:r w:rsidR="00C23BC5">
        <w:t>-</w:t>
      </w:r>
      <w:r>
        <w:t>operation and Development</w:t>
      </w:r>
    </w:p>
    <w:p w:rsidR="000D1F1A" w:rsidRDefault="000D1F1A" w:rsidP="000D1F1A">
      <w:pPr>
        <w:pStyle w:val="Abbreviation"/>
      </w:pPr>
      <w:r>
        <w:t>OLSC</w:t>
      </w:r>
      <w:r>
        <w:tab/>
        <w:t>Office of Legal Services Coordination</w:t>
      </w:r>
    </w:p>
    <w:p w:rsidR="000D1F1A" w:rsidRDefault="000D1F1A" w:rsidP="000D1F1A">
      <w:pPr>
        <w:pStyle w:val="Abbreviation"/>
      </w:pPr>
      <w:r>
        <w:t>OPC</w:t>
      </w:r>
      <w:r>
        <w:tab/>
        <w:t>Office of Parliamentary Counsel</w:t>
      </w:r>
    </w:p>
    <w:p w:rsidR="000D1F1A" w:rsidRDefault="000D1F1A" w:rsidP="000D1F1A">
      <w:pPr>
        <w:pStyle w:val="Abbreviation"/>
      </w:pPr>
      <w:r>
        <w:t>ORIC</w:t>
      </w:r>
      <w:r>
        <w:tab/>
        <w:t>Office of the Registrar of Indigenous Corporations</w:t>
      </w:r>
    </w:p>
    <w:p w:rsidR="000D1F1A" w:rsidRDefault="000D1F1A" w:rsidP="000D1F1A">
      <w:pPr>
        <w:pStyle w:val="Abbreviation"/>
      </w:pPr>
      <w:r>
        <w:t>PBS</w:t>
      </w:r>
      <w:r>
        <w:tab/>
        <w:t>Portfolio Budget Statements</w:t>
      </w:r>
    </w:p>
    <w:p w:rsidR="000D1F1A" w:rsidRDefault="000D1F1A" w:rsidP="000D1F1A">
      <w:pPr>
        <w:pStyle w:val="Abbreviation"/>
      </w:pPr>
      <w:r>
        <w:t>PC</w:t>
      </w:r>
      <w:r>
        <w:tab/>
        <w:t>Productivity Commission</w:t>
      </w:r>
    </w:p>
    <w:p w:rsidR="000D1F1A" w:rsidRDefault="000D1F1A" w:rsidP="000D1F1A">
      <w:pPr>
        <w:pStyle w:val="Abbreviation"/>
      </w:pPr>
      <w:r>
        <w:t>PCLC</w:t>
      </w:r>
      <w:r>
        <w:tab/>
        <w:t>Peninsula Community Legal Centre</w:t>
      </w:r>
    </w:p>
    <w:p w:rsidR="000D1F1A" w:rsidRDefault="000D1F1A" w:rsidP="000D1F1A">
      <w:pPr>
        <w:pStyle w:val="Abbreviation"/>
      </w:pPr>
      <w:r>
        <w:lastRenderedPageBreak/>
        <w:t>PCO</w:t>
      </w:r>
      <w:r>
        <w:tab/>
      </w:r>
      <w:r w:rsidR="000F2604">
        <w:t>p</w:t>
      </w:r>
      <w:r>
        <w:t>rotective costs order</w:t>
      </w:r>
    </w:p>
    <w:p w:rsidR="000D1F1A" w:rsidRDefault="000D1F1A" w:rsidP="000D1F1A">
      <w:pPr>
        <w:pStyle w:val="Abbreviation"/>
      </w:pPr>
      <w:r>
        <w:t>PIAC</w:t>
      </w:r>
      <w:r>
        <w:tab/>
        <w:t>Public Interest Advocacy Centre</w:t>
      </w:r>
    </w:p>
    <w:p w:rsidR="000D1F1A" w:rsidRDefault="000D1F1A" w:rsidP="000D1F1A">
      <w:pPr>
        <w:pStyle w:val="Abbreviation"/>
      </w:pPr>
      <w:r>
        <w:t>PILCH</w:t>
      </w:r>
      <w:r>
        <w:tab/>
        <w:t>Public Interest Law Clearing House</w:t>
      </w:r>
    </w:p>
    <w:p w:rsidR="000D1F1A" w:rsidRDefault="000D1F1A" w:rsidP="000D1F1A">
      <w:pPr>
        <w:pStyle w:val="Abbreviation"/>
      </w:pPr>
      <w:r>
        <w:t>PLEAS</w:t>
      </w:r>
      <w:r>
        <w:tab/>
        <w:t>Public Legal Education and Support</w:t>
      </w:r>
    </w:p>
    <w:p w:rsidR="000D1F1A" w:rsidRDefault="000D1F1A" w:rsidP="000D1F1A">
      <w:pPr>
        <w:pStyle w:val="Abbreviation"/>
      </w:pPr>
      <w:r>
        <w:t>PM&amp;C</w:t>
      </w:r>
      <w:r>
        <w:tab/>
        <w:t>(Department of) Prime Minister and Cabinet</w:t>
      </w:r>
    </w:p>
    <w:p w:rsidR="000D1F1A" w:rsidRDefault="000D1F1A" w:rsidP="000D1F1A">
      <w:pPr>
        <w:pStyle w:val="Abbreviation"/>
      </w:pPr>
      <w:r>
        <w:t>PPF</w:t>
      </w:r>
      <w:r>
        <w:tab/>
        <w:t>Public Purpose Fund</w:t>
      </w:r>
    </w:p>
    <w:p w:rsidR="000D1F1A" w:rsidRDefault="000D1F1A" w:rsidP="000D1F1A">
      <w:pPr>
        <w:pStyle w:val="Abbreviation"/>
      </w:pPr>
      <w:r>
        <w:t>PTO</w:t>
      </w:r>
      <w:r>
        <w:tab/>
        <w:t>Public Transport Ombudsman</w:t>
      </w:r>
    </w:p>
    <w:p w:rsidR="000D1F1A" w:rsidRDefault="000D1F1A" w:rsidP="000D1F1A">
      <w:pPr>
        <w:pStyle w:val="Abbreviation"/>
      </w:pPr>
      <w:r>
        <w:t>PwC</w:t>
      </w:r>
      <w:r>
        <w:tab/>
      </w:r>
      <w:proofErr w:type="spellStart"/>
      <w:r>
        <w:t>Pricewaterhouse</w:t>
      </w:r>
      <w:proofErr w:type="spellEnd"/>
      <w:r>
        <w:t xml:space="preserve"> Coopers</w:t>
      </w:r>
    </w:p>
    <w:p w:rsidR="000D1F1A" w:rsidRDefault="000D1F1A" w:rsidP="000D1F1A">
      <w:pPr>
        <w:pStyle w:val="Abbreviation"/>
      </w:pPr>
      <w:r>
        <w:t>QAILS</w:t>
      </w:r>
      <w:r>
        <w:tab/>
        <w:t>Queensland Association of Independent Legal Services</w:t>
      </w:r>
    </w:p>
    <w:p w:rsidR="000D1F1A" w:rsidRDefault="000D1F1A" w:rsidP="000D1F1A">
      <w:pPr>
        <w:pStyle w:val="Abbreviation"/>
      </w:pPr>
      <w:r>
        <w:t>QC</w:t>
      </w:r>
      <w:r>
        <w:tab/>
        <w:t>Queen’s Council</w:t>
      </w:r>
    </w:p>
    <w:p w:rsidR="000D1F1A" w:rsidRDefault="000D1F1A" w:rsidP="000D1F1A">
      <w:pPr>
        <w:pStyle w:val="Abbreviation"/>
      </w:pPr>
      <w:r>
        <w:t>QCAT</w:t>
      </w:r>
      <w:r>
        <w:tab/>
        <w:t>Queensland Civil and Administrative Tribunal</w:t>
      </w:r>
    </w:p>
    <w:p w:rsidR="000D1F1A" w:rsidRDefault="000D1F1A" w:rsidP="000D1F1A">
      <w:pPr>
        <w:pStyle w:val="Abbreviation"/>
      </w:pPr>
      <w:r>
        <w:t>Qld</w:t>
      </w:r>
      <w:r>
        <w:tab/>
        <w:t>Queensland</w:t>
      </w:r>
    </w:p>
    <w:p w:rsidR="000D1F1A" w:rsidRDefault="000D1F1A" w:rsidP="000D1F1A">
      <w:pPr>
        <w:pStyle w:val="Abbreviation"/>
      </w:pPr>
      <w:r>
        <w:t>QPILCH</w:t>
      </w:r>
      <w:r>
        <w:tab/>
        <w:t>Queensland Public Interest Law Clearing House</w:t>
      </w:r>
    </w:p>
    <w:p w:rsidR="000D1F1A" w:rsidRDefault="000D1F1A" w:rsidP="000D1F1A">
      <w:pPr>
        <w:pStyle w:val="Abbreviation"/>
      </w:pPr>
      <w:r>
        <w:t>RLC</w:t>
      </w:r>
      <w:r>
        <w:tab/>
        <w:t>Redfern Legal Centre</w:t>
      </w:r>
    </w:p>
    <w:p w:rsidR="000D1F1A" w:rsidRDefault="000D1F1A" w:rsidP="000D1F1A">
      <w:pPr>
        <w:pStyle w:val="Abbreviation"/>
      </w:pPr>
      <w:r>
        <w:t>RMIT</w:t>
      </w:r>
      <w:r>
        <w:tab/>
        <w:t>Royal Melbourne Institute of Technology</w:t>
      </w:r>
    </w:p>
    <w:p w:rsidR="000D1F1A" w:rsidRDefault="000D1F1A" w:rsidP="000D1F1A">
      <w:pPr>
        <w:pStyle w:val="Abbreviation"/>
      </w:pPr>
      <w:r>
        <w:t>RRT</w:t>
      </w:r>
      <w:r>
        <w:tab/>
        <w:t>Refugee Review Tribunal</w:t>
      </w:r>
    </w:p>
    <w:p w:rsidR="000D1F1A" w:rsidRDefault="000D1F1A" w:rsidP="000D1F1A">
      <w:pPr>
        <w:pStyle w:val="Abbreviation"/>
      </w:pPr>
      <w:r>
        <w:t>SA</w:t>
      </w:r>
      <w:r>
        <w:tab/>
        <w:t>South Australia</w:t>
      </w:r>
    </w:p>
    <w:p w:rsidR="000D1F1A" w:rsidRDefault="000D1F1A" w:rsidP="000D1F1A">
      <w:pPr>
        <w:pStyle w:val="Abbreviation"/>
      </w:pPr>
      <w:r>
        <w:t>SACAT</w:t>
      </w:r>
      <w:r>
        <w:tab/>
        <w:t>South Australian Civil and Administrative Tribunal</w:t>
      </w:r>
    </w:p>
    <w:p w:rsidR="000D1F1A" w:rsidRDefault="000D1F1A" w:rsidP="000D1F1A">
      <w:pPr>
        <w:pStyle w:val="Abbreviation"/>
      </w:pPr>
      <w:r>
        <w:t>SAT</w:t>
      </w:r>
      <w:r>
        <w:tab/>
        <w:t>State Administrative Tribunal</w:t>
      </w:r>
    </w:p>
    <w:p w:rsidR="000D1F1A" w:rsidRDefault="000D1F1A" w:rsidP="000D1F1A">
      <w:pPr>
        <w:pStyle w:val="Abbreviation"/>
      </w:pPr>
      <w:r>
        <w:t>SBDC</w:t>
      </w:r>
      <w:r>
        <w:tab/>
        <w:t>Small Business Development Corporation</w:t>
      </w:r>
    </w:p>
    <w:p w:rsidR="000D1F1A" w:rsidRDefault="000D1F1A" w:rsidP="000D1F1A">
      <w:pPr>
        <w:pStyle w:val="Abbreviation"/>
      </w:pPr>
      <w:r>
        <w:t>SEIFA</w:t>
      </w:r>
      <w:r>
        <w:tab/>
        <w:t>Socio-Economic Indexes for Areas</w:t>
      </w:r>
    </w:p>
    <w:p w:rsidR="000D1F1A" w:rsidRDefault="000D1F1A" w:rsidP="000D1F1A">
      <w:pPr>
        <w:pStyle w:val="Abbreviation"/>
      </w:pPr>
      <w:r>
        <w:t>SRL</w:t>
      </w:r>
      <w:r>
        <w:tab/>
      </w:r>
      <w:r w:rsidR="000F2604">
        <w:t>s</w:t>
      </w:r>
      <w:r>
        <w:t>elf-represented litigant</w:t>
      </w:r>
    </w:p>
    <w:p w:rsidR="000D1F1A" w:rsidRDefault="000D1F1A" w:rsidP="000D1F1A">
      <w:pPr>
        <w:pStyle w:val="Abbreviation"/>
      </w:pPr>
      <w:r>
        <w:t>SRS</w:t>
      </w:r>
      <w:r>
        <w:tab/>
        <w:t>Self Representation Service</w:t>
      </w:r>
    </w:p>
    <w:p w:rsidR="000D1F1A" w:rsidRDefault="000D1F1A" w:rsidP="000D1F1A">
      <w:pPr>
        <w:pStyle w:val="Abbreviation"/>
      </w:pPr>
      <w:r>
        <w:t>SSAT</w:t>
      </w:r>
      <w:r>
        <w:tab/>
        <w:t>Social Security Appeals Tribunal</w:t>
      </w:r>
    </w:p>
    <w:p w:rsidR="000D1F1A" w:rsidRDefault="000D1F1A" w:rsidP="000D1F1A">
      <w:pPr>
        <w:pStyle w:val="Abbreviation"/>
      </w:pPr>
      <w:proofErr w:type="spellStart"/>
      <w:proofErr w:type="gramStart"/>
      <w:r>
        <w:t>Tas</w:t>
      </w:r>
      <w:proofErr w:type="spellEnd"/>
      <w:proofErr w:type="gramEnd"/>
      <w:r>
        <w:tab/>
        <w:t>Tasmania</w:t>
      </w:r>
    </w:p>
    <w:p w:rsidR="000D1F1A" w:rsidRDefault="000D1F1A" w:rsidP="000D1F1A">
      <w:pPr>
        <w:pStyle w:val="Abbreviation"/>
      </w:pPr>
      <w:r>
        <w:t>TIO</w:t>
      </w:r>
      <w:r>
        <w:tab/>
        <w:t>Telecommunications Industry Ombudsman</w:t>
      </w:r>
    </w:p>
    <w:p w:rsidR="000D1F1A" w:rsidRDefault="000D1F1A" w:rsidP="000D1F1A">
      <w:pPr>
        <w:pStyle w:val="Abbreviation"/>
      </w:pPr>
      <w:r>
        <w:t>UK</w:t>
      </w:r>
      <w:r>
        <w:tab/>
        <w:t>United Kingdom</w:t>
      </w:r>
    </w:p>
    <w:p w:rsidR="000D1F1A" w:rsidRDefault="000D1F1A" w:rsidP="000D1F1A">
      <w:pPr>
        <w:pStyle w:val="Abbreviation"/>
      </w:pPr>
      <w:r>
        <w:t>UNSW</w:t>
      </w:r>
      <w:r>
        <w:tab/>
        <w:t>University of New South Wales</w:t>
      </w:r>
    </w:p>
    <w:p w:rsidR="000D1F1A" w:rsidRDefault="000D1F1A" w:rsidP="000D1F1A">
      <w:pPr>
        <w:pStyle w:val="Abbreviation"/>
      </w:pPr>
      <w:r>
        <w:t>UQ</w:t>
      </w:r>
      <w:r>
        <w:tab/>
        <w:t>University of Queensland</w:t>
      </w:r>
    </w:p>
    <w:p w:rsidR="000D1F1A" w:rsidRDefault="000D1F1A" w:rsidP="000D1F1A">
      <w:pPr>
        <w:pStyle w:val="Abbreviation"/>
      </w:pPr>
      <w:r>
        <w:t>US</w:t>
      </w:r>
      <w:r>
        <w:tab/>
        <w:t>United States</w:t>
      </w:r>
    </w:p>
    <w:p w:rsidR="000D1F1A" w:rsidRDefault="000D1F1A" w:rsidP="000D1F1A">
      <w:pPr>
        <w:pStyle w:val="Abbreviation"/>
      </w:pPr>
      <w:r>
        <w:t>VALS</w:t>
      </w:r>
      <w:r>
        <w:tab/>
        <w:t>Victorian Aboriginal Legal Service</w:t>
      </w:r>
    </w:p>
    <w:p w:rsidR="000D1F1A" w:rsidRDefault="000D1F1A" w:rsidP="000D1F1A">
      <w:pPr>
        <w:pStyle w:val="Abbreviation"/>
      </w:pPr>
      <w:r>
        <w:t>VCAT</w:t>
      </w:r>
      <w:r>
        <w:tab/>
        <w:t>Victorian Civil and Administrative Tribunal</w:t>
      </w:r>
    </w:p>
    <w:p w:rsidR="000D1F1A" w:rsidRDefault="000D1F1A" w:rsidP="000D1F1A">
      <w:pPr>
        <w:pStyle w:val="Abbreviation"/>
      </w:pPr>
      <w:r>
        <w:lastRenderedPageBreak/>
        <w:t>VCOSS</w:t>
      </w:r>
      <w:r>
        <w:tab/>
        <w:t>Victorian Council of Social Services</w:t>
      </w:r>
    </w:p>
    <w:p w:rsidR="000D1F1A" w:rsidRDefault="000D1F1A" w:rsidP="000D1F1A">
      <w:pPr>
        <w:pStyle w:val="Abbreviation"/>
      </w:pPr>
      <w:r>
        <w:t>Vic</w:t>
      </w:r>
      <w:r>
        <w:tab/>
        <w:t>Victoria</w:t>
      </w:r>
    </w:p>
    <w:p w:rsidR="000D1F1A" w:rsidRDefault="000D1F1A" w:rsidP="000D1F1A">
      <w:pPr>
        <w:pStyle w:val="Abbreviation"/>
      </w:pPr>
      <w:r>
        <w:t>VLA</w:t>
      </w:r>
      <w:r>
        <w:tab/>
        <w:t>Victoria Legal Aid</w:t>
      </w:r>
    </w:p>
    <w:p w:rsidR="000D1F1A" w:rsidRDefault="000D1F1A" w:rsidP="000D1F1A">
      <w:pPr>
        <w:pStyle w:val="Abbreviation"/>
      </w:pPr>
      <w:r>
        <w:t>VLRC</w:t>
      </w:r>
      <w:r>
        <w:tab/>
        <w:t>Victorian Law Reform Commission</w:t>
      </w:r>
    </w:p>
    <w:p w:rsidR="000D1F1A" w:rsidRDefault="000D1F1A" w:rsidP="000D1F1A">
      <w:pPr>
        <w:pStyle w:val="Abbreviation"/>
      </w:pPr>
      <w:r>
        <w:t>VSBC</w:t>
      </w:r>
      <w:r>
        <w:tab/>
        <w:t>Victorian Small Business Commissioner</w:t>
      </w:r>
    </w:p>
    <w:p w:rsidR="000D1F1A" w:rsidRDefault="000D1F1A" w:rsidP="000D1F1A">
      <w:pPr>
        <w:pStyle w:val="Abbreviation"/>
      </w:pPr>
      <w:r>
        <w:t>WA</w:t>
      </w:r>
      <w:r>
        <w:tab/>
        <w:t>Western Australia</w:t>
      </w:r>
    </w:p>
    <w:p w:rsidR="000D1F1A" w:rsidRPr="000D1F1A" w:rsidRDefault="000D1F1A" w:rsidP="000D1F1A">
      <w:pPr>
        <w:pStyle w:val="Abbreviation"/>
      </w:pPr>
      <w:r>
        <w:t>WLS</w:t>
      </w:r>
      <w:r>
        <w:tab/>
        <w:t>Women’s Legal Service</w:t>
      </w:r>
    </w:p>
    <w:p w:rsidR="00696801" w:rsidRPr="00696801" w:rsidRDefault="00696801" w:rsidP="00696801">
      <w:pPr>
        <w:keepNext/>
        <w:spacing w:before="600" w:line="400" w:lineRule="exact"/>
        <w:ind w:left="907" w:hanging="907"/>
        <w:outlineLvl w:val="1"/>
        <w:rPr>
          <w:rFonts w:ascii="Arial" w:hAnsi="Arial"/>
          <w:b/>
          <w:kern w:val="28"/>
          <w:sz w:val="32"/>
        </w:rPr>
      </w:pPr>
      <w:bookmarkStart w:id="22" w:name="Glossary"/>
      <w:bookmarkEnd w:id="22"/>
      <w:r w:rsidRPr="00696801">
        <w:rPr>
          <w:rFonts w:ascii="Arial" w:hAnsi="Arial"/>
          <w:b/>
          <w:kern w:val="28"/>
          <w:sz w:val="32"/>
        </w:rPr>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696801" w:rsidRPr="00696801" w:rsidTr="001E2225">
        <w:tc>
          <w:tcPr>
            <w:tcW w:w="2155" w:type="dxa"/>
          </w:tcPr>
          <w:p w:rsidR="00696801" w:rsidRPr="00696801" w:rsidRDefault="00696801" w:rsidP="00696801">
            <w:pPr>
              <w:spacing w:before="120" w:line="320" w:lineRule="atLeast"/>
              <w:ind w:right="6"/>
              <w:jc w:val="both"/>
            </w:pPr>
            <w:r w:rsidRPr="00696801">
              <w:t>Billion</w:t>
            </w:r>
          </w:p>
        </w:tc>
        <w:tc>
          <w:tcPr>
            <w:tcW w:w="6634" w:type="dxa"/>
          </w:tcPr>
          <w:p w:rsidR="00696801" w:rsidRPr="00696801" w:rsidRDefault="00696801" w:rsidP="00696801">
            <w:pPr>
              <w:spacing w:before="120" w:line="320" w:lineRule="atLeast"/>
              <w:ind w:left="227" w:right="6"/>
              <w:jc w:val="both"/>
            </w:pPr>
            <w:r w:rsidRPr="00696801">
              <w:t>The convention used for a billion is a thousand million (10</w:t>
            </w:r>
            <w:r w:rsidRPr="00696801">
              <w:rPr>
                <w:position w:val="6"/>
                <w:sz w:val="22"/>
              </w:rPr>
              <w:t>9</w:t>
            </w:r>
            <w:r w:rsidRPr="00696801">
              <w:t>).</w:t>
            </w:r>
          </w:p>
        </w:tc>
      </w:tr>
      <w:tr w:rsidR="00696801" w:rsidRPr="00E73AE1" w:rsidTr="001E2225">
        <w:tc>
          <w:tcPr>
            <w:tcW w:w="2155" w:type="dxa"/>
          </w:tcPr>
          <w:p w:rsidR="00696801" w:rsidRPr="00696801" w:rsidRDefault="00696801" w:rsidP="001E44DF">
            <w:pPr>
              <w:spacing w:before="120" w:line="320" w:lineRule="atLeast"/>
              <w:ind w:right="6"/>
            </w:pPr>
            <w:r w:rsidRPr="00696801">
              <w:t>Meaning of ‘civil law’</w:t>
            </w:r>
          </w:p>
        </w:tc>
        <w:tc>
          <w:tcPr>
            <w:tcW w:w="6634" w:type="dxa"/>
          </w:tcPr>
          <w:p w:rsidR="00696801" w:rsidRPr="001766AD" w:rsidRDefault="00696801" w:rsidP="00696801">
            <w:pPr>
              <w:spacing w:before="120" w:line="320" w:lineRule="atLeast"/>
              <w:ind w:left="227" w:right="6"/>
              <w:jc w:val="both"/>
              <w:rPr>
                <w:rFonts w:ascii="Arial" w:hAnsi="Arial"/>
                <w:sz w:val="24"/>
              </w:rPr>
            </w:pPr>
            <w:r w:rsidRPr="004E3D69">
              <w:t>In this report, the term ‘civil law’ is used broadly and includes family law matters. It excludes criminal law matters.</w:t>
            </w:r>
            <w:r w:rsidRPr="001766AD">
              <w:rPr>
                <w:rFonts w:ascii="Arial" w:hAnsi="Arial"/>
                <w:sz w:val="24"/>
              </w:rPr>
              <w:t xml:space="preserve"> </w:t>
            </w:r>
          </w:p>
        </w:tc>
      </w:tr>
    </w:tbl>
    <w:p w:rsidR="0039611A" w:rsidRPr="00363A12" w:rsidRDefault="0039611A" w:rsidP="00363A12">
      <w:pPr>
        <w:pStyle w:val="BodyText"/>
        <w:rPr>
          <w:rStyle w:val="CommentReference"/>
          <w:b w:val="0"/>
          <w:vanish w:val="0"/>
          <w:color w:val="auto"/>
          <w:sz w:val="24"/>
        </w:rPr>
      </w:pPr>
    </w:p>
    <w:sectPr w:rsidR="0039611A" w:rsidRPr="00363A12" w:rsidSect="00585B3F">
      <w:headerReference w:type="even" r:id="rId25"/>
      <w:headerReference w:type="default" r:id="rId26"/>
      <w:footerReference w:type="even" r:id="rId27"/>
      <w:footerReference w:type="default" r:id="rId28"/>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209" w:rsidRDefault="007D0209">
      <w:r>
        <w:separator/>
      </w:r>
    </w:p>
    <w:p w:rsidR="007D0209" w:rsidRDefault="007D0209"/>
    <w:p w:rsidR="007D0209" w:rsidRDefault="007D0209"/>
  </w:endnote>
  <w:endnote w:type="continuationSeparator" w:id="0">
    <w:p w:rsidR="007D0209" w:rsidRDefault="007D0209">
      <w:r>
        <w:continuationSeparator/>
      </w:r>
    </w:p>
    <w:p w:rsidR="007D0209" w:rsidRDefault="007D0209"/>
    <w:p w:rsidR="007D0209" w:rsidRDefault="007D0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D0209" w:rsidTr="001E2225">
      <w:trPr>
        <w:trHeight w:hRule="exact" w:val="567"/>
      </w:trPr>
      <w:tc>
        <w:tcPr>
          <w:tcW w:w="510" w:type="dxa"/>
        </w:tcPr>
        <w:p w:rsidR="007D0209" w:rsidRPr="00752FFF" w:rsidRDefault="007D0209" w:rsidP="001E2225">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40033C">
            <w:rPr>
              <w:rStyle w:val="PageNumber"/>
              <w:caps w:val="0"/>
              <w:noProof/>
            </w:rPr>
            <w:t>vi</w:t>
          </w:r>
          <w:r w:rsidRPr="00752FFF">
            <w:rPr>
              <w:rStyle w:val="PageNumber"/>
              <w:caps w:val="0"/>
            </w:rPr>
            <w:fldChar w:fldCharType="end"/>
          </w:r>
        </w:p>
      </w:tc>
      <w:tc>
        <w:tcPr>
          <w:tcW w:w="7767" w:type="dxa"/>
        </w:tcPr>
        <w:p w:rsidR="007D0209" w:rsidRPr="0013739A" w:rsidRDefault="007D0209" w:rsidP="00C919BB">
          <w:pPr>
            <w:pStyle w:val="Footer"/>
            <w:rPr>
              <w:rFonts w:cs="Arial"/>
            </w:rPr>
          </w:pPr>
          <w:r w:rsidRPr="00BA5B14">
            <w:rPr>
              <w:rFonts w:cs="Arial"/>
            </w:rPr>
            <w:fldChar w:fldCharType="begin"/>
          </w:r>
          <w:r>
            <w:rPr>
              <w:rFonts w:cs="Arial"/>
            </w:rPr>
            <w:instrText xml:space="preserve"> TITLE</w:instrText>
          </w:r>
          <w:r w:rsidRPr="00BA5B14">
            <w:rPr>
              <w:rFonts w:cs="Arial"/>
            </w:rPr>
            <w:instrText xml:space="preserve"> </w:instrText>
          </w:r>
          <w:r w:rsidRPr="00BA5B14">
            <w:rPr>
              <w:rFonts w:cs="Arial"/>
            </w:rPr>
            <w:fldChar w:fldCharType="separate"/>
          </w:r>
          <w:r w:rsidR="00B83FB3">
            <w:rPr>
              <w:rFonts w:cs="Arial"/>
            </w:rPr>
            <w:t>Access to Justice Arrangements</w:t>
          </w:r>
          <w:r w:rsidRPr="00BA5B14">
            <w:rPr>
              <w:rFonts w:cs="Arial"/>
            </w:rPr>
            <w:fldChar w:fldCharType="end"/>
          </w:r>
        </w:p>
      </w:tc>
      <w:tc>
        <w:tcPr>
          <w:tcW w:w="510" w:type="dxa"/>
        </w:tcPr>
        <w:p w:rsidR="007D0209" w:rsidRDefault="007D0209" w:rsidP="001E2225">
          <w:pPr>
            <w:pStyle w:val="Footer"/>
          </w:pPr>
        </w:p>
      </w:tc>
    </w:tr>
  </w:tbl>
  <w:p w:rsidR="007D0209" w:rsidRDefault="007D0209" w:rsidP="001E2225">
    <w:pPr>
      <w:pStyle w:val="FooterEnd"/>
    </w:pPr>
  </w:p>
  <w:p w:rsidR="007D0209" w:rsidRDefault="007D020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D0209" w:rsidTr="001E2225">
      <w:trPr>
        <w:trHeight w:hRule="exact" w:val="567"/>
      </w:trPr>
      <w:tc>
        <w:tcPr>
          <w:tcW w:w="510" w:type="dxa"/>
        </w:tcPr>
        <w:p w:rsidR="007D0209" w:rsidRDefault="007D0209">
          <w:pPr>
            <w:pStyle w:val="Footer"/>
            <w:ind w:right="360" w:firstLine="360"/>
          </w:pPr>
        </w:p>
      </w:tc>
      <w:tc>
        <w:tcPr>
          <w:tcW w:w="7767" w:type="dxa"/>
        </w:tcPr>
        <w:p w:rsidR="007D0209" w:rsidRPr="00752FFF" w:rsidRDefault="007D0209" w:rsidP="001E2225">
          <w:pPr>
            <w:pStyle w:val="Footer"/>
            <w:jc w:val="right"/>
            <w:rPr>
              <w:rFonts w:cs="Arial"/>
            </w:rPr>
          </w:pPr>
          <w:r>
            <w:rPr>
              <w:noProof/>
            </w:rPr>
            <w:t>Terms of Reference</w:t>
          </w:r>
        </w:p>
      </w:tc>
      <w:tc>
        <w:tcPr>
          <w:tcW w:w="510" w:type="dxa"/>
        </w:tcPr>
        <w:p w:rsidR="007D0209" w:rsidRPr="00A24443" w:rsidRDefault="007D02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0033C">
            <w:rPr>
              <w:rStyle w:val="PageNumber"/>
              <w:caps w:val="0"/>
              <w:noProof/>
            </w:rPr>
            <w:t>v</w:t>
          </w:r>
          <w:r w:rsidRPr="00A24443">
            <w:rPr>
              <w:rStyle w:val="PageNumber"/>
              <w:caps w:val="0"/>
            </w:rPr>
            <w:fldChar w:fldCharType="end"/>
          </w:r>
        </w:p>
      </w:tc>
    </w:tr>
  </w:tbl>
  <w:p w:rsidR="007D0209" w:rsidRDefault="007D0209">
    <w:pPr>
      <w:pStyle w:val="FooterEnd"/>
    </w:pPr>
  </w:p>
  <w:p w:rsidR="007D0209" w:rsidRPr="00D01645" w:rsidRDefault="007D0209" w:rsidP="001E222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D0209" w:rsidTr="001E2225">
      <w:trPr>
        <w:trHeight w:hRule="exact" w:val="567"/>
      </w:trPr>
      <w:tc>
        <w:tcPr>
          <w:tcW w:w="510" w:type="dxa"/>
        </w:tcPr>
        <w:p w:rsidR="007D0209" w:rsidRPr="00A24443" w:rsidRDefault="007D0209" w:rsidP="001E2225">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F099A">
            <w:rPr>
              <w:rStyle w:val="PageNumber"/>
              <w:caps w:val="0"/>
              <w:noProof/>
            </w:rPr>
            <w:t>viii</w:t>
          </w:r>
          <w:r w:rsidRPr="00A24443">
            <w:rPr>
              <w:rStyle w:val="PageNumber"/>
              <w:caps w:val="0"/>
            </w:rPr>
            <w:fldChar w:fldCharType="end"/>
          </w:r>
        </w:p>
      </w:tc>
      <w:tc>
        <w:tcPr>
          <w:tcW w:w="7767" w:type="dxa"/>
        </w:tcPr>
        <w:p w:rsidR="007D0209" w:rsidRPr="0013739A" w:rsidRDefault="007D0209" w:rsidP="00C919BB">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B83FB3">
            <w:rPr>
              <w:rFonts w:cs="Arial"/>
            </w:rPr>
            <w:t>Access to Justice Arrangements</w:t>
          </w:r>
          <w:r w:rsidRPr="00BA5B14">
            <w:rPr>
              <w:rFonts w:cs="Arial"/>
            </w:rPr>
            <w:fldChar w:fldCharType="end"/>
          </w:r>
        </w:p>
      </w:tc>
      <w:tc>
        <w:tcPr>
          <w:tcW w:w="510" w:type="dxa"/>
        </w:tcPr>
        <w:p w:rsidR="007D0209" w:rsidRDefault="007D0209" w:rsidP="001E2225">
          <w:pPr>
            <w:pStyle w:val="Footer"/>
          </w:pPr>
        </w:p>
      </w:tc>
    </w:tr>
  </w:tbl>
  <w:p w:rsidR="007D0209" w:rsidRDefault="007D0209" w:rsidP="001E2225">
    <w:pPr>
      <w:pStyle w:val="FooterEnd"/>
    </w:pPr>
  </w:p>
  <w:p w:rsidR="007D0209" w:rsidRDefault="007D0209">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D0209" w:rsidTr="001E2225">
      <w:trPr>
        <w:trHeight w:hRule="exact" w:val="567"/>
      </w:trPr>
      <w:tc>
        <w:tcPr>
          <w:tcW w:w="510" w:type="dxa"/>
        </w:tcPr>
        <w:p w:rsidR="007D0209" w:rsidRDefault="007D0209">
          <w:pPr>
            <w:pStyle w:val="Footer"/>
            <w:ind w:right="360" w:firstLine="360"/>
          </w:pPr>
        </w:p>
      </w:tc>
      <w:tc>
        <w:tcPr>
          <w:tcW w:w="7767" w:type="dxa"/>
        </w:tcPr>
        <w:p w:rsidR="007D0209" w:rsidRPr="00BA5B14" w:rsidRDefault="007D0209"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40033C">
            <w:rPr>
              <w:noProof/>
            </w:rPr>
            <w:t>Contents</w:t>
          </w:r>
          <w:r w:rsidRPr="008F7DB7">
            <w:rPr>
              <w:noProof/>
            </w:rPr>
            <w:fldChar w:fldCharType="end"/>
          </w:r>
          <w:r>
            <w:rPr>
              <w:rFonts w:cs="Arial"/>
            </w:rPr>
            <w:t xml:space="preserve"> </w:t>
          </w:r>
        </w:p>
      </w:tc>
      <w:tc>
        <w:tcPr>
          <w:tcW w:w="510" w:type="dxa"/>
        </w:tcPr>
        <w:p w:rsidR="007D0209" w:rsidRPr="007448F7" w:rsidRDefault="007D0209">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40033C">
            <w:rPr>
              <w:rStyle w:val="PageNumber"/>
              <w:caps w:val="0"/>
              <w:noProof/>
            </w:rPr>
            <w:t>vii</w:t>
          </w:r>
          <w:r w:rsidRPr="007448F7">
            <w:rPr>
              <w:rStyle w:val="PageNumber"/>
              <w:caps w:val="0"/>
            </w:rPr>
            <w:fldChar w:fldCharType="end"/>
          </w:r>
        </w:p>
      </w:tc>
    </w:tr>
  </w:tbl>
  <w:p w:rsidR="007D0209" w:rsidRDefault="007D0209">
    <w:pPr>
      <w:pStyle w:val="FooterEnd"/>
    </w:pPr>
  </w:p>
  <w:p w:rsidR="007D0209" w:rsidRDefault="007D0209">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D0209" w:rsidTr="001E2225">
      <w:trPr>
        <w:trHeight w:hRule="exact" w:val="567"/>
      </w:trPr>
      <w:tc>
        <w:tcPr>
          <w:tcW w:w="510" w:type="dxa"/>
        </w:tcPr>
        <w:p w:rsidR="007D0209" w:rsidRPr="00A24443" w:rsidRDefault="007D0209" w:rsidP="001E2225">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0033C">
            <w:rPr>
              <w:rStyle w:val="PageNumber"/>
              <w:caps w:val="0"/>
              <w:noProof/>
            </w:rPr>
            <w:t>viii</w:t>
          </w:r>
          <w:r w:rsidRPr="00A24443">
            <w:rPr>
              <w:rStyle w:val="PageNumber"/>
              <w:caps w:val="0"/>
            </w:rPr>
            <w:fldChar w:fldCharType="end"/>
          </w:r>
        </w:p>
      </w:tc>
      <w:tc>
        <w:tcPr>
          <w:tcW w:w="7767" w:type="dxa"/>
        </w:tcPr>
        <w:p w:rsidR="007D0209" w:rsidRPr="0013739A" w:rsidRDefault="007D0209" w:rsidP="001E2225">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B83FB3">
            <w:rPr>
              <w:rFonts w:cs="Arial"/>
            </w:rPr>
            <w:t>Access to Justice Arrangements</w:t>
          </w:r>
          <w:r w:rsidRPr="00BA5B14">
            <w:rPr>
              <w:rFonts w:cs="Arial"/>
            </w:rPr>
            <w:fldChar w:fldCharType="end"/>
          </w:r>
        </w:p>
      </w:tc>
      <w:tc>
        <w:tcPr>
          <w:tcW w:w="510" w:type="dxa"/>
        </w:tcPr>
        <w:p w:rsidR="007D0209" w:rsidRDefault="007D0209" w:rsidP="001E2225">
          <w:pPr>
            <w:pStyle w:val="Footer"/>
          </w:pPr>
        </w:p>
      </w:tc>
    </w:tr>
  </w:tbl>
  <w:p w:rsidR="007D0209" w:rsidRDefault="007D0209" w:rsidP="001E2225">
    <w:pPr>
      <w:pStyle w:val="FooterEnd"/>
    </w:pPr>
  </w:p>
  <w:p w:rsidR="007D0209" w:rsidRDefault="007D0209">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D0209" w:rsidTr="001E2225">
      <w:trPr>
        <w:trHeight w:hRule="exact" w:val="567"/>
      </w:trPr>
      <w:tc>
        <w:tcPr>
          <w:tcW w:w="510" w:type="dxa"/>
        </w:tcPr>
        <w:p w:rsidR="007D0209" w:rsidRDefault="007D0209">
          <w:pPr>
            <w:pStyle w:val="Footer"/>
            <w:ind w:right="360" w:firstLine="360"/>
          </w:pPr>
        </w:p>
      </w:tc>
      <w:tc>
        <w:tcPr>
          <w:tcW w:w="7767" w:type="dxa"/>
        </w:tcPr>
        <w:p w:rsidR="007D0209" w:rsidRPr="00A90DAF" w:rsidRDefault="007D0209" w:rsidP="001E2225">
          <w:pPr>
            <w:pStyle w:val="Footer"/>
            <w:jc w:val="right"/>
            <w:rPr>
              <w:rFonts w:cs="Arial"/>
            </w:rPr>
          </w:pPr>
          <w:r>
            <w:rPr>
              <w:noProof/>
            </w:rPr>
            <w:t>Acknowledgements</w:t>
          </w:r>
        </w:p>
      </w:tc>
      <w:tc>
        <w:tcPr>
          <w:tcW w:w="510" w:type="dxa"/>
        </w:tcPr>
        <w:p w:rsidR="007D0209" w:rsidRPr="00A24443" w:rsidRDefault="007D02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07CE7">
            <w:rPr>
              <w:rStyle w:val="PageNumber"/>
              <w:caps w:val="0"/>
              <w:noProof/>
            </w:rPr>
            <w:t>xiii</w:t>
          </w:r>
          <w:r w:rsidRPr="00A24443">
            <w:rPr>
              <w:rStyle w:val="PageNumber"/>
              <w:caps w:val="0"/>
            </w:rPr>
            <w:fldChar w:fldCharType="end"/>
          </w:r>
        </w:p>
      </w:tc>
    </w:tr>
  </w:tbl>
  <w:p w:rsidR="007D0209" w:rsidRDefault="007D0209">
    <w:pPr>
      <w:pStyle w:val="FooterEnd"/>
    </w:pPr>
  </w:p>
  <w:p w:rsidR="007D0209" w:rsidRDefault="007D0209">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D0209" w:rsidTr="001E2225">
      <w:trPr>
        <w:trHeight w:hRule="exact" w:val="567"/>
      </w:trPr>
      <w:tc>
        <w:tcPr>
          <w:tcW w:w="510" w:type="dxa"/>
        </w:tcPr>
        <w:p w:rsidR="007D0209" w:rsidRPr="007448F7" w:rsidRDefault="007D0209" w:rsidP="001E2225">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40033C">
            <w:rPr>
              <w:rStyle w:val="PageNumber"/>
              <w:caps w:val="0"/>
              <w:noProof/>
            </w:rPr>
            <w:t>xii</w:t>
          </w:r>
          <w:r w:rsidRPr="007448F7">
            <w:rPr>
              <w:rStyle w:val="PageNumber"/>
              <w:caps w:val="0"/>
            </w:rPr>
            <w:fldChar w:fldCharType="end"/>
          </w:r>
        </w:p>
      </w:tc>
      <w:tc>
        <w:tcPr>
          <w:tcW w:w="7767" w:type="dxa"/>
        </w:tcPr>
        <w:p w:rsidR="007D0209" w:rsidRPr="0013739A" w:rsidRDefault="007D0209" w:rsidP="00C919BB">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B83FB3">
            <w:rPr>
              <w:rFonts w:cs="Arial"/>
            </w:rPr>
            <w:t>Access to Justice Arrangements</w:t>
          </w:r>
          <w:r w:rsidRPr="00BA5B14">
            <w:rPr>
              <w:rFonts w:cs="Arial"/>
            </w:rPr>
            <w:fldChar w:fldCharType="end"/>
          </w:r>
        </w:p>
      </w:tc>
      <w:tc>
        <w:tcPr>
          <w:tcW w:w="510" w:type="dxa"/>
        </w:tcPr>
        <w:p w:rsidR="007D0209" w:rsidRDefault="007D0209" w:rsidP="001E2225">
          <w:pPr>
            <w:pStyle w:val="Footer"/>
          </w:pPr>
        </w:p>
      </w:tc>
    </w:tr>
  </w:tbl>
  <w:p w:rsidR="007D0209" w:rsidRDefault="007D0209" w:rsidP="001E2225">
    <w:pPr>
      <w:pStyle w:val="FooterEnd"/>
    </w:pPr>
  </w:p>
  <w:p w:rsidR="007D0209" w:rsidRDefault="007D0209">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D0209" w:rsidTr="001E2225">
      <w:trPr>
        <w:trHeight w:hRule="exact" w:val="567"/>
      </w:trPr>
      <w:tc>
        <w:tcPr>
          <w:tcW w:w="510" w:type="dxa"/>
        </w:tcPr>
        <w:p w:rsidR="007D0209" w:rsidRDefault="007D0209">
          <w:pPr>
            <w:pStyle w:val="Footer"/>
            <w:ind w:right="360" w:firstLine="360"/>
          </w:pPr>
        </w:p>
      </w:tc>
      <w:tc>
        <w:tcPr>
          <w:tcW w:w="7767" w:type="dxa"/>
        </w:tcPr>
        <w:p w:rsidR="007D0209" w:rsidRPr="00340511" w:rsidRDefault="007D0209"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40033C" w:rsidRPr="0040033C">
            <w:rPr>
              <w:bCs/>
              <w:noProof/>
              <w:lang w:val="en-US"/>
            </w:rPr>
            <w:t>Abbreviations</w:t>
          </w:r>
          <w:r w:rsidR="0040033C">
            <w:rPr>
              <w:noProof/>
            </w:rPr>
            <w:t xml:space="preserve"> and explanations</w:t>
          </w:r>
          <w:r w:rsidRPr="00340511">
            <w:rPr>
              <w:noProof/>
            </w:rPr>
            <w:fldChar w:fldCharType="end"/>
          </w:r>
        </w:p>
      </w:tc>
      <w:tc>
        <w:tcPr>
          <w:tcW w:w="510" w:type="dxa"/>
        </w:tcPr>
        <w:p w:rsidR="007D0209" w:rsidRPr="00A24443" w:rsidRDefault="007D02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0033C">
            <w:rPr>
              <w:rStyle w:val="PageNumber"/>
              <w:caps w:val="0"/>
              <w:noProof/>
            </w:rPr>
            <w:t>xiii</w:t>
          </w:r>
          <w:r w:rsidRPr="00A24443">
            <w:rPr>
              <w:rStyle w:val="PageNumber"/>
              <w:caps w:val="0"/>
            </w:rPr>
            <w:fldChar w:fldCharType="end"/>
          </w:r>
        </w:p>
      </w:tc>
    </w:tr>
  </w:tbl>
  <w:p w:rsidR="007D0209" w:rsidRDefault="007D0209">
    <w:pPr>
      <w:pStyle w:val="FooterEnd"/>
    </w:pPr>
  </w:p>
  <w:p w:rsidR="007D0209" w:rsidRDefault="007D0209"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209" w:rsidRDefault="007D0209">
      <w:r>
        <w:separator/>
      </w:r>
    </w:p>
    <w:p w:rsidR="007D0209" w:rsidRDefault="007D0209"/>
    <w:p w:rsidR="007D0209" w:rsidRDefault="007D0209"/>
  </w:footnote>
  <w:footnote w:type="continuationSeparator" w:id="0">
    <w:p w:rsidR="007D0209" w:rsidRDefault="007D0209">
      <w:r>
        <w:continuationSeparator/>
      </w:r>
    </w:p>
    <w:p w:rsidR="007D0209" w:rsidRDefault="007D0209"/>
    <w:p w:rsidR="007D0209" w:rsidRDefault="007D02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99A" w:rsidRPr="009F099A" w:rsidRDefault="009F099A" w:rsidP="009F099A">
    <w:pPr>
      <w:pStyle w:val="Header"/>
      <w:rPr>
        <w:color w:val="FFFFFF" w:themeColor="background1"/>
        <w:sz w:val="2"/>
        <w:szCs w:val="2"/>
      </w:rPr>
    </w:pPr>
    <w:r w:rsidRPr="009F099A">
      <w:rPr>
        <w:color w:val="FFFFFF" w:themeColor="background1"/>
        <w:sz w:val="2"/>
        <w:szCs w:val="2"/>
      </w:rPr>
      <w:t>Cover image for the Cover image for the Australian Government Productivity Commission preliminary findings report titled 'Access to Justice Arrangements' Published September 2014.</w:t>
    </w:r>
  </w:p>
  <w:p w:rsidR="009F099A" w:rsidRPr="009F099A" w:rsidRDefault="009F099A" w:rsidP="009F099A">
    <w:pPr>
      <w:pStyle w:val="Header"/>
      <w:rPr>
        <w:color w:val="FFFFFF" w:themeColor="background1"/>
        <w:sz w:val="4"/>
        <w:szCs w:val="4"/>
      </w:rPr>
    </w:pPr>
    <w:r w:rsidRPr="009F099A">
      <w:rPr>
        <w:sz w:val="28"/>
        <w:szCs w:val="28"/>
      </w:rPr>
      <w:t>This is a preliminary findings report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7D0209">
      <w:tc>
        <w:tcPr>
          <w:tcW w:w="2155" w:type="dxa"/>
          <w:tcBorders>
            <w:top w:val="single" w:sz="24" w:space="0" w:color="auto"/>
          </w:tcBorders>
        </w:tcPr>
        <w:p w:rsidR="007D0209" w:rsidRDefault="007D0209">
          <w:pPr>
            <w:pStyle w:val="Header"/>
          </w:pPr>
        </w:p>
      </w:tc>
      <w:tc>
        <w:tcPr>
          <w:tcW w:w="6634" w:type="dxa"/>
          <w:tcBorders>
            <w:top w:val="single" w:sz="6" w:space="0" w:color="auto"/>
          </w:tcBorders>
        </w:tcPr>
        <w:p w:rsidR="007D0209" w:rsidRDefault="007D0209">
          <w:pPr>
            <w:pStyle w:val="Header"/>
          </w:pPr>
        </w:p>
      </w:tc>
    </w:tr>
  </w:tbl>
  <w:p w:rsidR="007D0209" w:rsidRDefault="007D0209">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D0209">
      <w:tc>
        <w:tcPr>
          <w:tcW w:w="6634" w:type="dxa"/>
          <w:tcBorders>
            <w:top w:val="single" w:sz="6" w:space="0" w:color="auto"/>
          </w:tcBorders>
        </w:tcPr>
        <w:p w:rsidR="007D0209" w:rsidRDefault="007D0209" w:rsidP="001E2225">
          <w:pPr>
            <w:pStyle w:val="HeaderOdd"/>
          </w:pPr>
        </w:p>
      </w:tc>
      <w:tc>
        <w:tcPr>
          <w:tcW w:w="2155" w:type="dxa"/>
          <w:tcBorders>
            <w:top w:val="single" w:sz="24" w:space="0" w:color="auto"/>
          </w:tcBorders>
        </w:tcPr>
        <w:p w:rsidR="007D0209" w:rsidRDefault="007D0209" w:rsidP="001E2225">
          <w:pPr>
            <w:pStyle w:val="HeaderOdd"/>
          </w:pPr>
        </w:p>
      </w:tc>
    </w:tr>
  </w:tbl>
  <w:p w:rsidR="007D0209" w:rsidRDefault="007D0209" w:rsidP="001E2225">
    <w:pPr>
      <w:pStyle w:val="HeaderEnd"/>
    </w:pPr>
  </w:p>
  <w:p w:rsidR="007D0209" w:rsidRPr="00D01645" w:rsidRDefault="007D0209" w:rsidP="001E2225">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7D0209">
      <w:tc>
        <w:tcPr>
          <w:tcW w:w="2155" w:type="dxa"/>
          <w:tcBorders>
            <w:top w:val="single" w:sz="24" w:space="0" w:color="auto"/>
          </w:tcBorders>
        </w:tcPr>
        <w:p w:rsidR="007D0209" w:rsidRDefault="007D0209">
          <w:pPr>
            <w:pStyle w:val="Header"/>
          </w:pPr>
        </w:p>
      </w:tc>
      <w:tc>
        <w:tcPr>
          <w:tcW w:w="6634" w:type="dxa"/>
          <w:tcBorders>
            <w:top w:val="single" w:sz="6" w:space="0" w:color="auto"/>
          </w:tcBorders>
        </w:tcPr>
        <w:p w:rsidR="007D0209" w:rsidRDefault="007D0209">
          <w:pPr>
            <w:pStyle w:val="Header"/>
          </w:pPr>
        </w:p>
      </w:tc>
    </w:tr>
  </w:tbl>
  <w:p w:rsidR="007D0209" w:rsidRDefault="007D0209">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D0209" w:rsidTr="005C68FE">
      <w:tc>
        <w:tcPr>
          <w:tcW w:w="6634" w:type="dxa"/>
          <w:tcBorders>
            <w:top w:val="single" w:sz="6" w:space="0" w:color="auto"/>
          </w:tcBorders>
        </w:tcPr>
        <w:p w:rsidR="007D0209" w:rsidRDefault="007D0209" w:rsidP="005C68FE">
          <w:pPr>
            <w:pStyle w:val="HeaderOdd"/>
          </w:pPr>
        </w:p>
      </w:tc>
      <w:tc>
        <w:tcPr>
          <w:tcW w:w="2155" w:type="dxa"/>
          <w:tcBorders>
            <w:top w:val="single" w:sz="24" w:space="0" w:color="auto"/>
          </w:tcBorders>
        </w:tcPr>
        <w:p w:rsidR="007D0209" w:rsidRDefault="007D0209" w:rsidP="005C68FE">
          <w:pPr>
            <w:pStyle w:val="HeaderOdd"/>
          </w:pPr>
        </w:p>
      </w:tc>
    </w:tr>
  </w:tbl>
  <w:p w:rsidR="007D0209" w:rsidRPr="005C68FE" w:rsidRDefault="007D0209"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D0209">
      <w:tc>
        <w:tcPr>
          <w:tcW w:w="2155" w:type="dxa"/>
          <w:tcBorders>
            <w:top w:val="single" w:sz="24" w:space="0" w:color="auto"/>
          </w:tcBorders>
        </w:tcPr>
        <w:p w:rsidR="007D0209" w:rsidRDefault="007D0209">
          <w:pPr>
            <w:pStyle w:val="HeaderEven"/>
          </w:pPr>
        </w:p>
      </w:tc>
      <w:tc>
        <w:tcPr>
          <w:tcW w:w="6634" w:type="dxa"/>
          <w:tcBorders>
            <w:top w:val="single" w:sz="6" w:space="0" w:color="auto"/>
          </w:tcBorders>
        </w:tcPr>
        <w:p w:rsidR="007D0209" w:rsidRDefault="007D0209">
          <w:pPr>
            <w:pStyle w:val="HeaderEven"/>
          </w:pPr>
        </w:p>
      </w:tc>
    </w:tr>
  </w:tbl>
  <w:p w:rsidR="007D0209" w:rsidRDefault="007D0209">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D0209">
      <w:tc>
        <w:tcPr>
          <w:tcW w:w="6634" w:type="dxa"/>
          <w:tcBorders>
            <w:top w:val="single" w:sz="6" w:space="0" w:color="auto"/>
          </w:tcBorders>
        </w:tcPr>
        <w:p w:rsidR="007D0209" w:rsidRDefault="007D0209">
          <w:pPr>
            <w:pStyle w:val="HeaderOdd"/>
          </w:pPr>
        </w:p>
      </w:tc>
      <w:tc>
        <w:tcPr>
          <w:tcW w:w="2155" w:type="dxa"/>
          <w:tcBorders>
            <w:top w:val="single" w:sz="24" w:space="0" w:color="auto"/>
            <w:bottom w:val="nil"/>
          </w:tcBorders>
        </w:tcPr>
        <w:p w:rsidR="007D0209" w:rsidRDefault="007D0209">
          <w:pPr>
            <w:pStyle w:val="HeaderOdd"/>
          </w:pPr>
        </w:p>
      </w:tc>
    </w:tr>
  </w:tbl>
  <w:p w:rsidR="007D0209" w:rsidRDefault="007D0209">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D0209" w:rsidTr="005C68FE">
      <w:tc>
        <w:tcPr>
          <w:tcW w:w="2155" w:type="dxa"/>
          <w:tcBorders>
            <w:top w:val="single" w:sz="24" w:space="0" w:color="auto"/>
          </w:tcBorders>
        </w:tcPr>
        <w:p w:rsidR="007D0209" w:rsidRDefault="007D0209" w:rsidP="005C68FE">
          <w:pPr>
            <w:pStyle w:val="HeaderEven"/>
          </w:pPr>
        </w:p>
      </w:tc>
      <w:tc>
        <w:tcPr>
          <w:tcW w:w="6634" w:type="dxa"/>
          <w:tcBorders>
            <w:top w:val="single" w:sz="6" w:space="0" w:color="auto"/>
          </w:tcBorders>
        </w:tcPr>
        <w:p w:rsidR="007D0209" w:rsidRDefault="007D0209" w:rsidP="005C68FE">
          <w:pPr>
            <w:pStyle w:val="HeaderEven"/>
          </w:pPr>
        </w:p>
      </w:tc>
    </w:tr>
  </w:tbl>
  <w:p w:rsidR="007D0209" w:rsidRDefault="007D0209" w:rsidP="00D732FE">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D0209">
      <w:tc>
        <w:tcPr>
          <w:tcW w:w="6634" w:type="dxa"/>
          <w:tcBorders>
            <w:top w:val="single" w:sz="6" w:space="0" w:color="auto"/>
          </w:tcBorders>
        </w:tcPr>
        <w:p w:rsidR="007D0209" w:rsidRDefault="007D0209">
          <w:pPr>
            <w:pStyle w:val="HeaderOdd"/>
          </w:pPr>
        </w:p>
      </w:tc>
      <w:tc>
        <w:tcPr>
          <w:tcW w:w="2155" w:type="dxa"/>
          <w:tcBorders>
            <w:top w:val="single" w:sz="24" w:space="0" w:color="auto"/>
          </w:tcBorders>
        </w:tcPr>
        <w:p w:rsidR="007D0209" w:rsidRDefault="007D0209">
          <w:pPr>
            <w:pStyle w:val="HeaderOdd"/>
          </w:pPr>
        </w:p>
      </w:tc>
    </w:tr>
  </w:tbl>
  <w:p w:rsidR="007D0209" w:rsidRDefault="007D0209"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7311F69"/>
    <w:multiLevelType w:val="hybridMultilevel"/>
    <w:tmpl w:val="99FE22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3">
    <w:nsid w:val="1AB25CDE"/>
    <w:multiLevelType w:val="singleLevel"/>
    <w:tmpl w:val="3086CA22"/>
    <w:lvl w:ilvl="0">
      <w:start w:val="1"/>
      <w:numFmt w:val="decimal"/>
      <w:lvlText w:val="%1."/>
      <w:legacy w:legacy="1" w:legacySpace="0" w:legacyIndent="340"/>
      <w:lvlJc w:val="left"/>
      <w:pPr>
        <w:ind w:left="340" w:hanging="340"/>
      </w:pPr>
    </w:lvl>
  </w:abstractNum>
  <w:abstractNum w:abstractNumId="14">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6B740744"/>
    <w:multiLevelType w:val="singleLevel"/>
    <w:tmpl w:val="B4744B66"/>
    <w:lvl w:ilvl="0">
      <w:start w:val="1"/>
      <w:numFmt w:val="decimal"/>
      <w:lvlText w:val="%1."/>
      <w:legacy w:legacy="1" w:legacySpace="0" w:legacyIndent="340"/>
      <w:lvlJc w:val="left"/>
      <w:pPr>
        <w:ind w:left="340" w:hanging="340"/>
      </w:p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4"/>
  </w:num>
  <w:num w:numId="13">
    <w:abstractNumId w:val="17"/>
  </w:num>
  <w:num w:numId="14">
    <w:abstractNumId w:val="8"/>
  </w:num>
  <w:num w:numId="15">
    <w:abstractNumId w:val="25"/>
  </w:num>
  <w:num w:numId="16">
    <w:abstractNumId w:val="19"/>
  </w:num>
  <w:num w:numId="17">
    <w:abstractNumId w:val="7"/>
  </w:num>
  <w:num w:numId="18">
    <w:abstractNumId w:val="23"/>
  </w:num>
  <w:num w:numId="19">
    <w:abstractNumId w:val="21"/>
  </w:num>
  <w:num w:numId="20">
    <w:abstractNumId w:val="26"/>
  </w:num>
  <w:num w:numId="21">
    <w:abstractNumId w:val="14"/>
  </w:num>
  <w:num w:numId="22">
    <w:abstractNumId w:val="12"/>
  </w:num>
  <w:num w:numId="23">
    <w:abstractNumId w:val="20"/>
  </w:num>
  <w:num w:numId="24">
    <w:abstractNumId w:val="13"/>
  </w:num>
  <w:num w:numId="25">
    <w:abstractNumId w:val="11"/>
  </w:num>
  <w:num w:numId="26">
    <w:abstractNumId w:val="11"/>
  </w:num>
  <w:num w:numId="27">
    <w:abstractNumId w:val="11"/>
  </w:num>
  <w:num w:numId="28">
    <w:abstractNumId w:val="11"/>
  </w:num>
  <w:num w:numId="29">
    <w:abstractNumId w:val="16"/>
  </w:num>
  <w:num w:numId="30">
    <w:abstractNumId w:val="10"/>
  </w:num>
  <w:num w:numId="31">
    <w:abstractNumId w:val="19"/>
  </w:num>
  <w:num w:numId="32">
    <w:abstractNumId w:val="17"/>
  </w:num>
  <w:num w:numId="33">
    <w:abstractNumId w:val="8"/>
  </w:num>
  <w:num w:numId="34">
    <w:abstractNumId w:val="23"/>
  </w:num>
  <w:num w:numId="35">
    <w:abstractNumId w:val="22"/>
  </w:num>
  <w:num w:numId="36">
    <w:abstractNumId w:val="10"/>
  </w:num>
  <w:num w:numId="37">
    <w:abstractNumId w:val="10"/>
  </w:num>
  <w:num w:numId="38">
    <w:abstractNumId w:val="15"/>
  </w:num>
  <w:num w:numId="39">
    <w:abstractNumId w:val="25"/>
  </w:num>
  <w:num w:numId="40">
    <w:abstractNumId w:val="19"/>
  </w:num>
  <w:num w:numId="41">
    <w:abstractNumId w:val="18"/>
  </w:num>
  <w:num w:numId="42">
    <w:abstractNumId w:val="7"/>
  </w:num>
  <w:num w:numId="43">
    <w:abstractNumId w:val="11"/>
  </w:num>
  <w:num w:numId="44">
    <w:abstractNumId w:val="11"/>
  </w:num>
  <w:num w:numId="45">
    <w:abstractNumId w:val="11"/>
  </w:num>
  <w:num w:numId="46">
    <w:abstractNumId w:val="21"/>
  </w:num>
  <w:num w:numId="47">
    <w:abstractNumId w:val="26"/>
  </w:num>
  <w:num w:numId="48">
    <w:abstractNumId w:val="20"/>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F35"/>
    <w:rsid w:val="00012FCC"/>
    <w:rsid w:val="00017AFC"/>
    <w:rsid w:val="00025878"/>
    <w:rsid w:val="00026B38"/>
    <w:rsid w:val="000502D3"/>
    <w:rsid w:val="00052CB2"/>
    <w:rsid w:val="000623BF"/>
    <w:rsid w:val="00083236"/>
    <w:rsid w:val="00095EEA"/>
    <w:rsid w:val="00097C15"/>
    <w:rsid w:val="000A0A0E"/>
    <w:rsid w:val="000A5E12"/>
    <w:rsid w:val="000B416E"/>
    <w:rsid w:val="000C0059"/>
    <w:rsid w:val="000D1F1A"/>
    <w:rsid w:val="000F185F"/>
    <w:rsid w:val="000F2604"/>
    <w:rsid w:val="000F2F5F"/>
    <w:rsid w:val="00106041"/>
    <w:rsid w:val="0010611E"/>
    <w:rsid w:val="00122FE9"/>
    <w:rsid w:val="00131572"/>
    <w:rsid w:val="00131D4F"/>
    <w:rsid w:val="0013399B"/>
    <w:rsid w:val="00164401"/>
    <w:rsid w:val="001766AD"/>
    <w:rsid w:val="00180515"/>
    <w:rsid w:val="00181F4B"/>
    <w:rsid w:val="00186F85"/>
    <w:rsid w:val="00190919"/>
    <w:rsid w:val="00196FB3"/>
    <w:rsid w:val="001A5071"/>
    <w:rsid w:val="001B4E73"/>
    <w:rsid w:val="001B7F1E"/>
    <w:rsid w:val="001C3B99"/>
    <w:rsid w:val="001D4B1F"/>
    <w:rsid w:val="001D6629"/>
    <w:rsid w:val="001E2225"/>
    <w:rsid w:val="001E3390"/>
    <w:rsid w:val="001E44DF"/>
    <w:rsid w:val="001F2270"/>
    <w:rsid w:val="001F59AD"/>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27C1"/>
    <w:rsid w:val="002D6FCE"/>
    <w:rsid w:val="00324F6F"/>
    <w:rsid w:val="00340511"/>
    <w:rsid w:val="00354E77"/>
    <w:rsid w:val="00363A12"/>
    <w:rsid w:val="0038647D"/>
    <w:rsid w:val="00393A49"/>
    <w:rsid w:val="0039611A"/>
    <w:rsid w:val="003A2D6B"/>
    <w:rsid w:val="003B41E0"/>
    <w:rsid w:val="003C268A"/>
    <w:rsid w:val="003C3D73"/>
    <w:rsid w:val="003D624D"/>
    <w:rsid w:val="003E7802"/>
    <w:rsid w:val="0040033C"/>
    <w:rsid w:val="0042007A"/>
    <w:rsid w:val="00433C81"/>
    <w:rsid w:val="00441350"/>
    <w:rsid w:val="00446D6B"/>
    <w:rsid w:val="00457B3F"/>
    <w:rsid w:val="00463022"/>
    <w:rsid w:val="00481CF0"/>
    <w:rsid w:val="00482268"/>
    <w:rsid w:val="004B492A"/>
    <w:rsid w:val="004C0B0C"/>
    <w:rsid w:val="004C4FFD"/>
    <w:rsid w:val="004D3F58"/>
    <w:rsid w:val="004E3D69"/>
    <w:rsid w:val="004E52E2"/>
    <w:rsid w:val="004E6BB4"/>
    <w:rsid w:val="004E7D3C"/>
    <w:rsid w:val="00515D43"/>
    <w:rsid w:val="0052544D"/>
    <w:rsid w:val="00526B19"/>
    <w:rsid w:val="0053599E"/>
    <w:rsid w:val="00551FB8"/>
    <w:rsid w:val="005537F6"/>
    <w:rsid w:val="00560F43"/>
    <w:rsid w:val="005654D0"/>
    <w:rsid w:val="00573EAF"/>
    <w:rsid w:val="00585B3F"/>
    <w:rsid w:val="00587DCE"/>
    <w:rsid w:val="005B17AB"/>
    <w:rsid w:val="005C68FE"/>
    <w:rsid w:val="005D10A6"/>
    <w:rsid w:val="005F1FBE"/>
    <w:rsid w:val="005F7D30"/>
    <w:rsid w:val="00602523"/>
    <w:rsid w:val="006040CB"/>
    <w:rsid w:val="00604351"/>
    <w:rsid w:val="00607D8A"/>
    <w:rsid w:val="0061590F"/>
    <w:rsid w:val="00636497"/>
    <w:rsid w:val="00641AE2"/>
    <w:rsid w:val="006431CB"/>
    <w:rsid w:val="0064456A"/>
    <w:rsid w:val="00650DDA"/>
    <w:rsid w:val="0065126A"/>
    <w:rsid w:val="00653FA6"/>
    <w:rsid w:val="0067557D"/>
    <w:rsid w:val="006802D4"/>
    <w:rsid w:val="00683849"/>
    <w:rsid w:val="00691AB5"/>
    <w:rsid w:val="00696801"/>
    <w:rsid w:val="006E1E6B"/>
    <w:rsid w:val="006E763E"/>
    <w:rsid w:val="006F0EAC"/>
    <w:rsid w:val="006F6A85"/>
    <w:rsid w:val="006F7F5B"/>
    <w:rsid w:val="007031AC"/>
    <w:rsid w:val="0070328D"/>
    <w:rsid w:val="00706184"/>
    <w:rsid w:val="00706319"/>
    <w:rsid w:val="00721132"/>
    <w:rsid w:val="0072504C"/>
    <w:rsid w:val="00731F96"/>
    <w:rsid w:val="00734127"/>
    <w:rsid w:val="00735FEA"/>
    <w:rsid w:val="00743460"/>
    <w:rsid w:val="00743A27"/>
    <w:rsid w:val="007448F7"/>
    <w:rsid w:val="00753DC6"/>
    <w:rsid w:val="0075578C"/>
    <w:rsid w:val="00766DFB"/>
    <w:rsid w:val="007734B5"/>
    <w:rsid w:val="007809B8"/>
    <w:rsid w:val="007813A6"/>
    <w:rsid w:val="007B02FB"/>
    <w:rsid w:val="007D0209"/>
    <w:rsid w:val="00805FD7"/>
    <w:rsid w:val="00806E54"/>
    <w:rsid w:val="008206EE"/>
    <w:rsid w:val="008214B1"/>
    <w:rsid w:val="008273A9"/>
    <w:rsid w:val="00836ED7"/>
    <w:rsid w:val="0084355E"/>
    <w:rsid w:val="008453AC"/>
    <w:rsid w:val="00860D09"/>
    <w:rsid w:val="00862044"/>
    <w:rsid w:val="008764A5"/>
    <w:rsid w:val="00880BF7"/>
    <w:rsid w:val="0089269F"/>
    <w:rsid w:val="008A2133"/>
    <w:rsid w:val="008A3857"/>
    <w:rsid w:val="008B2205"/>
    <w:rsid w:val="008B4C76"/>
    <w:rsid w:val="008C305F"/>
    <w:rsid w:val="008C374A"/>
    <w:rsid w:val="008C3AD2"/>
    <w:rsid w:val="008C7C3D"/>
    <w:rsid w:val="008D5029"/>
    <w:rsid w:val="008D6F66"/>
    <w:rsid w:val="008E1BEA"/>
    <w:rsid w:val="008E242D"/>
    <w:rsid w:val="008E43D2"/>
    <w:rsid w:val="008E5248"/>
    <w:rsid w:val="008F04C9"/>
    <w:rsid w:val="008F6F72"/>
    <w:rsid w:val="008F7C50"/>
    <w:rsid w:val="008F7DB7"/>
    <w:rsid w:val="009064D3"/>
    <w:rsid w:val="00907CE7"/>
    <w:rsid w:val="00915300"/>
    <w:rsid w:val="00921A48"/>
    <w:rsid w:val="009324F6"/>
    <w:rsid w:val="00933B0C"/>
    <w:rsid w:val="00935676"/>
    <w:rsid w:val="0098401D"/>
    <w:rsid w:val="00987703"/>
    <w:rsid w:val="00992158"/>
    <w:rsid w:val="009A155D"/>
    <w:rsid w:val="009A789F"/>
    <w:rsid w:val="009B12EF"/>
    <w:rsid w:val="009B48F7"/>
    <w:rsid w:val="009B6185"/>
    <w:rsid w:val="009C6C6D"/>
    <w:rsid w:val="009C6DA2"/>
    <w:rsid w:val="009E1E78"/>
    <w:rsid w:val="009F099A"/>
    <w:rsid w:val="009F2A51"/>
    <w:rsid w:val="00A1597D"/>
    <w:rsid w:val="00A46989"/>
    <w:rsid w:val="00A469AA"/>
    <w:rsid w:val="00A54B3F"/>
    <w:rsid w:val="00A57F38"/>
    <w:rsid w:val="00A63361"/>
    <w:rsid w:val="00A67A44"/>
    <w:rsid w:val="00A71CE9"/>
    <w:rsid w:val="00A72A19"/>
    <w:rsid w:val="00A75A30"/>
    <w:rsid w:val="00A93C82"/>
    <w:rsid w:val="00AB2734"/>
    <w:rsid w:val="00AB2A48"/>
    <w:rsid w:val="00AB68A9"/>
    <w:rsid w:val="00AC3236"/>
    <w:rsid w:val="00AC48DC"/>
    <w:rsid w:val="00AD20C0"/>
    <w:rsid w:val="00AD4874"/>
    <w:rsid w:val="00AE1F8A"/>
    <w:rsid w:val="00AF05A1"/>
    <w:rsid w:val="00B036B2"/>
    <w:rsid w:val="00B04D19"/>
    <w:rsid w:val="00B153C3"/>
    <w:rsid w:val="00B22087"/>
    <w:rsid w:val="00B327CD"/>
    <w:rsid w:val="00B722F2"/>
    <w:rsid w:val="00B80355"/>
    <w:rsid w:val="00B83FB3"/>
    <w:rsid w:val="00B90958"/>
    <w:rsid w:val="00B95339"/>
    <w:rsid w:val="00BA0B81"/>
    <w:rsid w:val="00BB334E"/>
    <w:rsid w:val="00BB4B0C"/>
    <w:rsid w:val="00BB5DCF"/>
    <w:rsid w:val="00BC2476"/>
    <w:rsid w:val="00BF59EA"/>
    <w:rsid w:val="00BF79CD"/>
    <w:rsid w:val="00C058AB"/>
    <w:rsid w:val="00C0721B"/>
    <w:rsid w:val="00C16BA2"/>
    <w:rsid w:val="00C23BC5"/>
    <w:rsid w:val="00C30C77"/>
    <w:rsid w:val="00C34C8C"/>
    <w:rsid w:val="00C5046D"/>
    <w:rsid w:val="00C50792"/>
    <w:rsid w:val="00C51371"/>
    <w:rsid w:val="00C55A45"/>
    <w:rsid w:val="00C73F43"/>
    <w:rsid w:val="00C74B4A"/>
    <w:rsid w:val="00C904D9"/>
    <w:rsid w:val="00C919BB"/>
    <w:rsid w:val="00C94C06"/>
    <w:rsid w:val="00CA48BF"/>
    <w:rsid w:val="00CB3ACC"/>
    <w:rsid w:val="00CB4745"/>
    <w:rsid w:val="00CC7D58"/>
    <w:rsid w:val="00CD2163"/>
    <w:rsid w:val="00CD21EE"/>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A6DDB"/>
    <w:rsid w:val="00DC02E8"/>
    <w:rsid w:val="00DC75C7"/>
    <w:rsid w:val="00DC78D3"/>
    <w:rsid w:val="00DD1077"/>
    <w:rsid w:val="00DF00FE"/>
    <w:rsid w:val="00DF4592"/>
    <w:rsid w:val="00E15FDC"/>
    <w:rsid w:val="00E2651B"/>
    <w:rsid w:val="00E270F4"/>
    <w:rsid w:val="00E30DDB"/>
    <w:rsid w:val="00E6632E"/>
    <w:rsid w:val="00E73AE1"/>
    <w:rsid w:val="00E90CF2"/>
    <w:rsid w:val="00E91F35"/>
    <w:rsid w:val="00EC38C1"/>
    <w:rsid w:val="00EC628B"/>
    <w:rsid w:val="00ED0F61"/>
    <w:rsid w:val="00EE3F6D"/>
    <w:rsid w:val="00EE73E1"/>
    <w:rsid w:val="00EF5D55"/>
    <w:rsid w:val="00F12107"/>
    <w:rsid w:val="00F13165"/>
    <w:rsid w:val="00F4234E"/>
    <w:rsid w:val="00F61429"/>
    <w:rsid w:val="00F7477E"/>
    <w:rsid w:val="00F76C02"/>
    <w:rsid w:val="00F76C78"/>
    <w:rsid w:val="00F85393"/>
    <w:rsid w:val="00FA4A24"/>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E91F35"/>
    <w:pPr>
      <w:spacing w:before="480" w:after="240" w:line="300" w:lineRule="exact"/>
    </w:pPr>
    <w:rPr>
      <w:noProof/>
      <w:sz w:val="24"/>
      <w:lang w:eastAsia="en-AU"/>
    </w:rPr>
  </w:style>
  <w:style w:type="character" w:customStyle="1" w:styleId="SalutationChar">
    <w:name w:val="Salutation Char"/>
    <w:basedOn w:val="DefaultParagraphFont"/>
    <w:link w:val="Salutation"/>
    <w:rsid w:val="00E91F35"/>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91F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91F35"/>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E91F35"/>
    <w:pPr>
      <w:spacing w:before="480" w:after="240" w:line="300" w:lineRule="exact"/>
    </w:pPr>
    <w:rPr>
      <w:noProof/>
      <w:sz w:val="24"/>
      <w:lang w:eastAsia="en-AU"/>
    </w:rPr>
  </w:style>
  <w:style w:type="character" w:customStyle="1" w:styleId="SalutationChar">
    <w:name w:val="Salutation Char"/>
    <w:basedOn w:val="DefaultParagraphFont"/>
    <w:link w:val="Salutation"/>
    <w:rsid w:val="00E91F35"/>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91F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91F35"/>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24585606">
      <w:bodyDiv w:val="1"/>
      <w:marLeft w:val="0"/>
      <w:marRight w:val="0"/>
      <w:marTop w:val="0"/>
      <w:marBottom w:val="0"/>
      <w:divBdr>
        <w:top w:val="none" w:sz="0" w:space="0" w:color="auto"/>
        <w:left w:val="none" w:sz="0" w:space="0" w:color="auto"/>
        <w:bottom w:val="none" w:sz="0" w:space="0" w:color="auto"/>
        <w:right w:val="none" w:sz="0" w:space="0" w:color="auto"/>
      </w:divBdr>
    </w:div>
    <w:div w:id="719747024">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000888485">
      <w:bodyDiv w:val="1"/>
      <w:marLeft w:val="0"/>
      <w:marRight w:val="0"/>
      <w:marTop w:val="0"/>
      <w:marBottom w:val="0"/>
      <w:divBdr>
        <w:top w:val="none" w:sz="0" w:space="0" w:color="auto"/>
        <w:left w:val="none" w:sz="0" w:space="0" w:color="auto"/>
        <w:bottom w:val="none" w:sz="0" w:space="0" w:color="auto"/>
        <w:right w:val="none" w:sz="0" w:space="0" w:color="auto"/>
      </w:divBdr>
    </w:div>
    <w:div w:id="1468887434">
      <w:bodyDiv w:val="1"/>
      <w:marLeft w:val="0"/>
      <w:marRight w:val="0"/>
      <w:marTop w:val="0"/>
      <w:marBottom w:val="0"/>
      <w:divBdr>
        <w:top w:val="none" w:sz="0" w:space="0" w:color="auto"/>
        <w:left w:val="none" w:sz="0" w:space="0" w:color="auto"/>
        <w:bottom w:val="none" w:sz="0" w:space="0" w:color="auto"/>
        <w:right w:val="none" w:sz="0" w:space="0" w:color="auto"/>
      </w:divBdr>
    </w:div>
    <w:div w:id="1722173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7.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669935C0-ABD7-4E97-83F9-732F071EE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69</TotalTime>
  <Pages>13</Pages>
  <Words>2183</Words>
  <Characters>12859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Access to Justice Arrangements</vt:lpstr>
    </vt:vector>
  </TitlesOfParts>
  <Company>Productivity Commission</Company>
  <LinksUpToDate>false</LinksUpToDate>
  <CharactersWithSpaces>15012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 to Justice Arrangements</dc:title>
  <dc:creator>Productivity Commission</dc:creator>
  <cp:lastModifiedBy>Mark Pimperl</cp:lastModifiedBy>
  <cp:revision>21</cp:revision>
  <cp:lastPrinted>2014-09-10T00:17:00Z</cp:lastPrinted>
  <dcterms:created xsi:type="dcterms:W3CDTF">2014-09-09T03:12:00Z</dcterms:created>
  <dcterms:modified xsi:type="dcterms:W3CDTF">2014-09-30T03:21:00Z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