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CB4F2A" w:rsidP="007462D5">
      <w:pPr>
        <w:pStyle w:val="Heading1"/>
        <w:spacing w:before="0"/>
      </w:pPr>
      <w:bookmarkStart w:id="0" w:name="_GoBack"/>
      <w:bookmarkEnd w:id="0"/>
      <w:r>
        <w:t>References</w:t>
      </w:r>
    </w:p>
    <w:p w:rsidR="007462D5" w:rsidRPr="007462D5" w:rsidRDefault="007462D5" w:rsidP="007462D5">
      <w:pPr>
        <w:pStyle w:val="Bibliography"/>
      </w:pPr>
      <w:bookmarkStart w:id="1" w:name="begin"/>
      <w:bookmarkEnd w:id="1"/>
      <w:r w:rsidRPr="007462D5">
        <w:t>ACG (Allen Consulting Group) 2014</w:t>
      </w:r>
      <w:r w:rsidR="002D209C">
        <w:t>d</w:t>
      </w:r>
      <w:r w:rsidRPr="007462D5">
        <w:t xml:space="preserve">, </w:t>
      </w:r>
      <w:r w:rsidRPr="007462D5">
        <w:rPr>
          <w:i/>
          <w:iCs/>
        </w:rPr>
        <w:t>Review of the National Partnership Agreement on Legal Assistance Services: Legal Aid Commissions</w:t>
      </w:r>
      <w:r w:rsidRPr="007462D5">
        <w:t>, ACIL Allen Consulting, http://www.acilallen.com.au/projects/23/justice/126/review-of-the-national-partnership-agreement-on-legal-assistance-services (accessed 18 August 2014).</w:t>
      </w:r>
    </w:p>
    <w:p w:rsidR="007462D5" w:rsidRPr="007462D5" w:rsidRDefault="007462D5" w:rsidP="007462D5">
      <w:pPr>
        <w:pStyle w:val="Bibliography"/>
      </w:pPr>
      <w:r w:rsidRPr="007462D5">
        <w:t xml:space="preserve">Black, M. 2013, ‘The Relationship </w:t>
      </w:r>
      <w:proofErr w:type="gramStart"/>
      <w:r w:rsidRPr="007462D5">
        <w:t>Between</w:t>
      </w:r>
      <w:proofErr w:type="gramEnd"/>
      <w:r w:rsidRPr="007462D5">
        <w:t xml:space="preserve"> the Courts and Alternative Dispute Resolution’, </w:t>
      </w:r>
      <w:r w:rsidRPr="007462D5">
        <w:rPr>
          <w:i/>
          <w:iCs/>
        </w:rPr>
        <w:t>The Future of Dispute Resolution</w:t>
      </w:r>
      <w:r w:rsidRPr="007462D5">
        <w:t xml:space="preserve">, Lexis </w:t>
      </w:r>
      <w:proofErr w:type="spellStart"/>
      <w:r w:rsidRPr="007462D5">
        <w:t>Nexis</w:t>
      </w:r>
      <w:proofErr w:type="spellEnd"/>
      <w:r w:rsidRPr="007462D5">
        <w:t xml:space="preserve"> </w:t>
      </w:r>
      <w:proofErr w:type="spellStart"/>
      <w:r w:rsidRPr="007462D5">
        <w:t>Butterworths</w:t>
      </w:r>
      <w:proofErr w:type="spellEnd"/>
      <w:r w:rsidRPr="007462D5">
        <w:t>, Australia, pp. 87–95.</w:t>
      </w:r>
    </w:p>
    <w:p w:rsidR="007462D5" w:rsidRPr="007462D5" w:rsidRDefault="007462D5" w:rsidP="007462D5">
      <w:pPr>
        <w:pStyle w:val="Bibliography"/>
      </w:pPr>
      <w:r w:rsidRPr="007462D5">
        <w:t xml:space="preserve">COAG (Council of Australian Governments) 2010, </w:t>
      </w:r>
      <w:r w:rsidRPr="007462D5">
        <w:rPr>
          <w:i/>
          <w:iCs/>
        </w:rPr>
        <w:t>National Partnership Agreement on Legal Assistance Services</w:t>
      </w:r>
      <w:r w:rsidRPr="007462D5">
        <w:t>, http://www.nationallegalaid.org/mwg-internal/de5fs23hu73ds/progress?id=Pyug2tOM7W (accessed 1 September 2014).</w:t>
      </w:r>
    </w:p>
    <w:p w:rsidR="007462D5" w:rsidRPr="007462D5" w:rsidRDefault="007462D5" w:rsidP="007462D5">
      <w:pPr>
        <w:pStyle w:val="Bibliography"/>
      </w:pPr>
      <w:proofErr w:type="spellStart"/>
      <w:r w:rsidRPr="007462D5">
        <w:t>Coumarelos</w:t>
      </w:r>
      <w:proofErr w:type="spellEnd"/>
      <w:r w:rsidRPr="007462D5">
        <w:t xml:space="preserve">, C., </w:t>
      </w:r>
      <w:proofErr w:type="spellStart"/>
      <w:r w:rsidRPr="007462D5">
        <w:t>Macourt</w:t>
      </w:r>
      <w:proofErr w:type="spellEnd"/>
      <w:r w:rsidRPr="007462D5">
        <w:t xml:space="preserve">, D., People, J., McDonald, H.M., Wei, Z., </w:t>
      </w:r>
      <w:proofErr w:type="spellStart"/>
      <w:r w:rsidRPr="007462D5">
        <w:t>Iriana</w:t>
      </w:r>
      <w:proofErr w:type="spellEnd"/>
      <w:r w:rsidRPr="007462D5">
        <w:t xml:space="preserve">, R. and Ramsey, S. 2012, </w:t>
      </w:r>
      <w:r w:rsidRPr="007462D5">
        <w:rPr>
          <w:i/>
          <w:iCs/>
        </w:rPr>
        <w:t>Legal Australia-Wide Survey: Legal Need in Australia</w:t>
      </w:r>
      <w:r w:rsidRPr="007462D5">
        <w:t>, August, Law and Justice Foundation of NSW, Sydney.</w:t>
      </w:r>
    </w:p>
    <w:p w:rsidR="007462D5" w:rsidRPr="007462D5" w:rsidRDefault="007462D5" w:rsidP="007462D5">
      <w:pPr>
        <w:pStyle w:val="Bibliography"/>
      </w:pPr>
      <w:proofErr w:type="spellStart"/>
      <w:r w:rsidRPr="007462D5">
        <w:t>Faulks</w:t>
      </w:r>
      <w:proofErr w:type="spellEnd"/>
      <w:r w:rsidRPr="007462D5">
        <w:t>, J. 2013, ‘Self-represented litigants: tackling the challenge’, presented at Managing People in Court Conference, Canberra, National Judicial College of Australia and the Australian National University, February.</w:t>
      </w:r>
    </w:p>
    <w:p w:rsidR="007462D5" w:rsidRPr="007462D5" w:rsidRDefault="007462D5" w:rsidP="007462D5">
      <w:pPr>
        <w:pStyle w:val="Bibliography"/>
      </w:pPr>
      <w:proofErr w:type="spellStart"/>
      <w:r w:rsidRPr="007462D5">
        <w:t>Genn</w:t>
      </w:r>
      <w:proofErr w:type="spellEnd"/>
      <w:r w:rsidRPr="007462D5">
        <w:t xml:space="preserve">, H. 1997, ‘Understanding civil justice’, </w:t>
      </w:r>
      <w:r w:rsidRPr="007462D5">
        <w:rPr>
          <w:i/>
          <w:iCs/>
        </w:rPr>
        <w:t>Current Legal Problems</w:t>
      </w:r>
      <w:r w:rsidRPr="007462D5">
        <w:t>, vol. 50, no. 1, pp. 155–187.</w:t>
      </w:r>
    </w:p>
    <w:p w:rsidR="007462D5" w:rsidRPr="007462D5" w:rsidRDefault="007462D5" w:rsidP="007462D5">
      <w:pPr>
        <w:pStyle w:val="Bibliography"/>
      </w:pPr>
      <w:r w:rsidRPr="007462D5">
        <w:t xml:space="preserve">Jefferson, W.B. 2013, ‘Liberty and Justice For Some: How the Legal System Falls Short in Protecting Basic Rights’, </w:t>
      </w:r>
      <w:r w:rsidRPr="007462D5">
        <w:rPr>
          <w:i/>
          <w:iCs/>
        </w:rPr>
        <w:t>New York University Law Review</w:t>
      </w:r>
      <w:r w:rsidRPr="007462D5">
        <w:t>, vol. 88, no. 6, pp. 1953–1982.</w:t>
      </w:r>
    </w:p>
    <w:p w:rsidR="007462D5" w:rsidRPr="007462D5" w:rsidRDefault="007462D5" w:rsidP="007462D5">
      <w:pPr>
        <w:pStyle w:val="Bibliography"/>
      </w:pPr>
      <w:r w:rsidRPr="007462D5">
        <w:t>Martin, W. 2012</w:t>
      </w:r>
      <w:r w:rsidR="002D209C">
        <w:t>a</w:t>
      </w:r>
      <w:r w:rsidRPr="007462D5">
        <w:t>, ‘Creating a just future by improving access to justice’, Community Legal Centres Association WA Annual Conference 2012, Perth.</w:t>
      </w:r>
    </w:p>
    <w:p w:rsidR="007462D5" w:rsidRPr="007462D5" w:rsidRDefault="007462D5" w:rsidP="007462D5">
      <w:pPr>
        <w:pStyle w:val="Bibliography"/>
      </w:pPr>
      <w:r w:rsidRPr="007462D5">
        <w:t xml:space="preserve">Sackville, R. 2002, ‘Access to justice: assumptions and reality checks’, presented at the </w:t>
      </w:r>
      <w:r w:rsidRPr="007462D5">
        <w:rPr>
          <w:i/>
          <w:iCs/>
        </w:rPr>
        <w:t>Access to Justice Roundtable: proceedings of a workshop</w:t>
      </w:r>
      <w:r w:rsidRPr="007462D5">
        <w:t>, Law and Justice Foundation of New South Wales, Sydney, July, pp. 19–31.</w:t>
      </w:r>
    </w:p>
    <w:p w:rsidR="007462D5" w:rsidRPr="007462D5" w:rsidRDefault="007462D5" w:rsidP="007462D5">
      <w:pPr>
        <w:pStyle w:val="Bibliography"/>
      </w:pPr>
      <w:r w:rsidRPr="007462D5">
        <w:t xml:space="preserve">Warne, S. 2012, ‘On Rapacity (Like the doors of the Ritz)’, </w:t>
      </w:r>
      <w:r w:rsidRPr="007462D5">
        <w:rPr>
          <w:i/>
          <w:iCs/>
        </w:rPr>
        <w:t>Precedent</w:t>
      </w:r>
      <w:r w:rsidRPr="007462D5">
        <w:t>, no. 110, pp. 10–16.</w:t>
      </w:r>
    </w:p>
    <w:p w:rsidR="007462D5" w:rsidRDefault="007462D5" w:rsidP="00120072">
      <w:pPr>
        <w:pStyle w:val="BodyText"/>
      </w:pPr>
    </w:p>
    <w:sectPr w:rsidR="007462D5" w:rsidSect="00C13E3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7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2D5" w:rsidRDefault="007462D5">
      <w:r>
        <w:separator/>
      </w:r>
    </w:p>
  </w:endnote>
  <w:endnote w:type="continuationSeparator" w:id="0">
    <w:p w:rsidR="007462D5" w:rsidRDefault="0074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2D209C">
            <w:rPr>
              <w:rStyle w:val="PageNumber"/>
              <w:caps w:val="0"/>
              <w:noProof/>
            </w:rPr>
            <w:t>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441852">
            <w:rPr>
              <w:rFonts w:cs="Arial"/>
            </w:rPr>
            <w:t>Access to Justice</w:t>
          </w:r>
          <w:r w:rsidRPr="00BA5B14">
            <w:rPr>
              <w:rFonts w:cs="Arial"/>
            </w:rPr>
            <w:fldChar w:fldCharType="end"/>
          </w:r>
          <w:bookmarkStart w:id="2" w:name="DraftReportEven"/>
          <w:bookmarkEnd w:id="2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C13E33" w:rsidP="0013739A">
          <w:pPr>
            <w:pStyle w:val="Footer"/>
            <w:jc w:val="right"/>
            <w:rPr>
              <w:rFonts w:cs="Arial"/>
            </w:rPr>
          </w:pPr>
          <w:bookmarkStart w:id="3" w:name="DraftReportOdd"/>
          <w:bookmarkEnd w:id="3"/>
          <w:r>
            <w:rPr>
              <w:rFonts w:cs="Arial"/>
            </w:rPr>
            <w:t>references</w:t>
          </w:r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AE134B">
            <w:rPr>
              <w:rStyle w:val="PageNumber"/>
              <w:caps w:val="0"/>
              <w:noProof/>
            </w:rPr>
            <w:t>73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2D5" w:rsidRDefault="007462D5">
      <w:r>
        <w:separator/>
      </w:r>
    </w:p>
  </w:footnote>
  <w:footnote w:type="continuationSeparator" w:id="0">
    <w:p w:rsidR="007462D5" w:rsidRDefault="00746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Dummy reference list for overview"/>
    <w:docVar w:name="ShortReportTitle" w:val="Access to Justice"/>
  </w:docVars>
  <w:rsids>
    <w:rsidRoot w:val="007462D5"/>
    <w:rsid w:val="000227D5"/>
    <w:rsid w:val="000245AA"/>
    <w:rsid w:val="0003664B"/>
    <w:rsid w:val="0004111F"/>
    <w:rsid w:val="00055077"/>
    <w:rsid w:val="000565B3"/>
    <w:rsid w:val="0007150B"/>
    <w:rsid w:val="000938F5"/>
    <w:rsid w:val="0009439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91B40"/>
    <w:rsid w:val="002B4008"/>
    <w:rsid w:val="002C439F"/>
    <w:rsid w:val="002D0C42"/>
    <w:rsid w:val="002D0E8E"/>
    <w:rsid w:val="002D209C"/>
    <w:rsid w:val="00301189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6CB4"/>
    <w:rsid w:val="00431249"/>
    <w:rsid w:val="00434C19"/>
    <w:rsid w:val="00441852"/>
    <w:rsid w:val="00450810"/>
    <w:rsid w:val="00462C59"/>
    <w:rsid w:val="00470737"/>
    <w:rsid w:val="00477144"/>
    <w:rsid w:val="00491380"/>
    <w:rsid w:val="0049459F"/>
    <w:rsid w:val="004A38DD"/>
    <w:rsid w:val="004B43AE"/>
    <w:rsid w:val="004C30ED"/>
    <w:rsid w:val="004D5675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A0D41"/>
    <w:rsid w:val="005D329F"/>
    <w:rsid w:val="005F48ED"/>
    <w:rsid w:val="00606E78"/>
    <w:rsid w:val="00607BF1"/>
    <w:rsid w:val="00630D4D"/>
    <w:rsid w:val="00632A74"/>
    <w:rsid w:val="00641B1D"/>
    <w:rsid w:val="00654D42"/>
    <w:rsid w:val="00666E02"/>
    <w:rsid w:val="006A4655"/>
    <w:rsid w:val="006B2B3C"/>
    <w:rsid w:val="006C1D81"/>
    <w:rsid w:val="006C7038"/>
    <w:rsid w:val="006E73EF"/>
    <w:rsid w:val="007079C9"/>
    <w:rsid w:val="00714D4D"/>
    <w:rsid w:val="007266D3"/>
    <w:rsid w:val="00732029"/>
    <w:rsid w:val="007462D5"/>
    <w:rsid w:val="007604BB"/>
    <w:rsid w:val="00772909"/>
    <w:rsid w:val="00785232"/>
    <w:rsid w:val="0079701E"/>
    <w:rsid w:val="007A21EB"/>
    <w:rsid w:val="007B1A93"/>
    <w:rsid w:val="007C36C9"/>
    <w:rsid w:val="007D6401"/>
    <w:rsid w:val="007E01E4"/>
    <w:rsid w:val="007E7A12"/>
    <w:rsid w:val="007F7107"/>
    <w:rsid w:val="00800D4C"/>
    <w:rsid w:val="0081030F"/>
    <w:rsid w:val="00812F4A"/>
    <w:rsid w:val="0082087D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D365C"/>
    <w:rsid w:val="008D7622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92B53"/>
    <w:rsid w:val="00A94FA6"/>
    <w:rsid w:val="00AA49A0"/>
    <w:rsid w:val="00AA6710"/>
    <w:rsid w:val="00AB0681"/>
    <w:rsid w:val="00AC3A15"/>
    <w:rsid w:val="00AD520B"/>
    <w:rsid w:val="00AE134B"/>
    <w:rsid w:val="00AE3BCC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3E33"/>
    <w:rsid w:val="00C14FE4"/>
    <w:rsid w:val="00C3066D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4F2A"/>
    <w:rsid w:val="00CB50D7"/>
    <w:rsid w:val="00CB7177"/>
    <w:rsid w:val="00CB7CED"/>
    <w:rsid w:val="00CC070F"/>
    <w:rsid w:val="00CC1998"/>
    <w:rsid w:val="00CC4946"/>
    <w:rsid w:val="00CC64A1"/>
    <w:rsid w:val="00CF3B11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5C03"/>
    <w:rsid w:val="00E17C72"/>
    <w:rsid w:val="00E21FC6"/>
    <w:rsid w:val="00E431A9"/>
    <w:rsid w:val="00E669E2"/>
    <w:rsid w:val="00E76135"/>
    <w:rsid w:val="00E82F4F"/>
    <w:rsid w:val="00E864DF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5C25"/>
    <w:rsid w:val="00F73727"/>
    <w:rsid w:val="00F766A7"/>
    <w:rsid w:val="00F81006"/>
    <w:rsid w:val="00F85325"/>
    <w:rsid w:val="00FB6B89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7462D5"/>
    <w:pPr>
      <w:spacing w:after="240"/>
      <w:ind w:left="720" w:hanging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7462D5"/>
    <w:pPr>
      <w:spacing w:after="24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12A4-D3F5-44F2-A683-43EE02CF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8</TotalTime>
  <Pages>1</Pages>
  <Words>245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 - References</vt:lpstr>
    </vt:vector>
  </TitlesOfParts>
  <Company>Productivity Commission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 - References</dc:title>
  <dc:subject>Access to Justice Arrangements</dc:subject>
  <dc:creator>Productivity Commission</dc:creator>
  <cp:keywords/>
  <dc:description>1.</dc:description>
  <cp:lastModifiedBy>Mark Pimperl</cp:lastModifiedBy>
  <cp:revision>9</cp:revision>
  <cp:lastPrinted>2014-09-09T03:41:00Z</cp:lastPrinted>
  <dcterms:created xsi:type="dcterms:W3CDTF">2014-09-09T01:43:00Z</dcterms:created>
  <dcterms:modified xsi:type="dcterms:W3CDTF">2014-09-30T23:57:00Z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zotero-version="4.0.20"&gt;&lt;session id="a69FGYP7"/&gt;&lt;style id="http://www.zotero.org/styles/unisa-harvard" hasBibliography="1" bibliographyStyleHasBeenSet="1"/&gt;&lt;prefs&gt;&lt;pref name="fieldType" value="Field"/&gt;&lt;pref name="storeReferences" va</vt:lpwstr>
  </property>
  <property fmtid="{D5CDD505-2E9C-101B-9397-08002B2CF9AE}" pid="3" name="ZOTERO_PREF_2">
    <vt:lpwstr>lue="true"/&gt;&lt;pref name="automaticJournalAbbreviations" value="true"/&gt;&lt;pref name="noteType" value="0"/&gt;&lt;/prefs&gt;&lt;/data&gt;</vt:lpwstr>
  </property>
</Properties>
</file>