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24" w:rsidRDefault="003C0024" w:rsidP="003C0024">
      <w:pPr>
        <w:rPr>
          <w:rFonts w:ascii="Arial Narrow" w:hAnsi="Arial Narrow"/>
          <w:sz w:val="24"/>
          <w:szCs w:val="24"/>
        </w:rPr>
      </w:pPr>
    </w:p>
    <w:p w:rsidR="003C0024" w:rsidRDefault="003C0024" w:rsidP="003C0024">
      <w:pPr>
        <w:rPr>
          <w:rFonts w:ascii="Arial Narrow" w:hAnsi="Arial Narrow"/>
          <w:sz w:val="24"/>
          <w:szCs w:val="24"/>
        </w:rPr>
      </w:pPr>
    </w:p>
    <w:p w:rsidR="003C0024" w:rsidRPr="00AD3842" w:rsidRDefault="003C0024" w:rsidP="003C0024">
      <w:pPr>
        <w:rPr>
          <w:rFonts w:ascii="Arial Narrow" w:hAnsi="Arial Narrow"/>
          <w:sz w:val="24"/>
          <w:szCs w:val="24"/>
        </w:rPr>
      </w:pPr>
      <w:r>
        <w:rPr>
          <w:rFonts w:ascii="Arial Narrow" w:hAnsi="Arial Narrow"/>
          <w:sz w:val="24"/>
          <w:szCs w:val="24"/>
        </w:rPr>
        <w:t>2</w:t>
      </w:r>
      <w:r w:rsidRPr="00AD3842">
        <w:rPr>
          <w:rFonts w:ascii="Arial Narrow" w:hAnsi="Arial Narrow"/>
          <w:sz w:val="24"/>
          <w:szCs w:val="24"/>
        </w:rPr>
        <w:t xml:space="preserve"> </w:t>
      </w:r>
      <w:r>
        <w:rPr>
          <w:rFonts w:ascii="Arial Narrow" w:hAnsi="Arial Narrow"/>
          <w:sz w:val="24"/>
          <w:szCs w:val="24"/>
        </w:rPr>
        <w:t>August</w:t>
      </w:r>
      <w:r w:rsidRPr="00AD3842">
        <w:rPr>
          <w:rFonts w:ascii="Arial Narrow" w:hAnsi="Arial Narrow"/>
          <w:sz w:val="24"/>
          <w:szCs w:val="24"/>
        </w:rPr>
        <w:t xml:space="preserve"> 2013</w:t>
      </w:r>
    </w:p>
    <w:p w:rsidR="003C0024" w:rsidRPr="00AD3842" w:rsidRDefault="003C0024" w:rsidP="003C0024">
      <w:pPr>
        <w:rPr>
          <w:rFonts w:ascii="Arial Narrow" w:hAnsi="Arial Narrow"/>
          <w:sz w:val="24"/>
          <w:szCs w:val="24"/>
        </w:rPr>
      </w:pPr>
    </w:p>
    <w:p w:rsidR="003C0024" w:rsidRDefault="003C0024" w:rsidP="003C0024">
      <w:pPr>
        <w:rPr>
          <w:rFonts w:ascii="Arial Narrow" w:hAnsi="Arial Narrow"/>
          <w:sz w:val="24"/>
          <w:szCs w:val="24"/>
        </w:rPr>
      </w:pPr>
      <w:r>
        <w:rPr>
          <w:rFonts w:ascii="Arial Narrow" w:hAnsi="Arial Narrow"/>
          <w:sz w:val="24"/>
          <w:szCs w:val="24"/>
        </w:rPr>
        <w:t>Dr Warren Mundy</w:t>
      </w:r>
      <w:r>
        <w:rPr>
          <w:rFonts w:ascii="Arial Narrow" w:hAnsi="Arial Narrow"/>
          <w:sz w:val="24"/>
          <w:szCs w:val="24"/>
        </w:rPr>
        <w:br/>
      </w:r>
      <w:r w:rsidRPr="00AD3842">
        <w:rPr>
          <w:rFonts w:ascii="Arial Narrow" w:hAnsi="Arial Narrow"/>
          <w:sz w:val="24"/>
          <w:szCs w:val="24"/>
        </w:rPr>
        <w:t>Productivity Commission</w:t>
      </w:r>
      <w:r w:rsidRPr="00AD3842">
        <w:rPr>
          <w:rFonts w:ascii="Arial Narrow" w:hAnsi="Arial Narrow"/>
          <w:sz w:val="24"/>
          <w:szCs w:val="24"/>
        </w:rPr>
        <w:br/>
      </w:r>
      <w:proofErr w:type="spellStart"/>
      <w:r w:rsidRPr="00AD3842">
        <w:rPr>
          <w:rFonts w:ascii="Arial Narrow" w:hAnsi="Arial Narrow"/>
          <w:sz w:val="24"/>
          <w:szCs w:val="24"/>
        </w:rPr>
        <w:t>LB2</w:t>
      </w:r>
      <w:proofErr w:type="spellEnd"/>
      <w:r w:rsidRPr="00AD3842">
        <w:rPr>
          <w:rFonts w:ascii="Arial Narrow" w:hAnsi="Arial Narrow"/>
          <w:sz w:val="24"/>
          <w:szCs w:val="24"/>
        </w:rPr>
        <w:t xml:space="preserve"> Collins Street East</w:t>
      </w:r>
      <w:r w:rsidRPr="00AD3842">
        <w:rPr>
          <w:rFonts w:ascii="Arial Narrow" w:hAnsi="Arial Narrow"/>
          <w:sz w:val="24"/>
          <w:szCs w:val="24"/>
        </w:rPr>
        <w:br/>
        <w:t>Melbourne Vic 8003</w:t>
      </w:r>
    </w:p>
    <w:p w:rsidR="003C0024" w:rsidRDefault="003C0024" w:rsidP="003C0024">
      <w:pPr>
        <w:rPr>
          <w:rFonts w:ascii="Arial Narrow" w:hAnsi="Arial Narrow"/>
          <w:sz w:val="24"/>
          <w:szCs w:val="24"/>
        </w:rPr>
      </w:pPr>
    </w:p>
    <w:p w:rsidR="003C0024" w:rsidRDefault="003C0024" w:rsidP="003C0024">
      <w:pPr>
        <w:rPr>
          <w:rFonts w:ascii="Arial Narrow" w:hAnsi="Arial Narrow"/>
          <w:sz w:val="24"/>
          <w:szCs w:val="24"/>
        </w:rPr>
      </w:pPr>
    </w:p>
    <w:p w:rsidR="003C0024" w:rsidRDefault="003C0024" w:rsidP="003C0024">
      <w:pPr>
        <w:rPr>
          <w:rFonts w:ascii="Arial Narrow" w:hAnsi="Arial Narrow"/>
          <w:sz w:val="24"/>
          <w:szCs w:val="24"/>
        </w:rPr>
      </w:pPr>
    </w:p>
    <w:p w:rsidR="003C0024" w:rsidRPr="00AD3842" w:rsidRDefault="003C0024" w:rsidP="003C0024">
      <w:pPr>
        <w:rPr>
          <w:rFonts w:ascii="Arial Narrow" w:hAnsi="Arial Narrow"/>
          <w:sz w:val="24"/>
          <w:szCs w:val="24"/>
        </w:rPr>
      </w:pPr>
    </w:p>
    <w:p w:rsidR="003C0024" w:rsidRDefault="003C0024" w:rsidP="003C0024">
      <w:pPr>
        <w:spacing w:after="120" w:line="260" w:lineRule="atLeast"/>
        <w:rPr>
          <w:rFonts w:ascii="Arial Narrow" w:hAnsi="Arial Narrow"/>
          <w:sz w:val="24"/>
          <w:szCs w:val="24"/>
        </w:rPr>
      </w:pPr>
      <w:r w:rsidRPr="00AD3842">
        <w:rPr>
          <w:rFonts w:ascii="Arial Narrow" w:hAnsi="Arial Narrow"/>
          <w:sz w:val="24"/>
          <w:szCs w:val="24"/>
        </w:rPr>
        <w:t xml:space="preserve">Dear </w:t>
      </w:r>
      <w:r>
        <w:rPr>
          <w:rFonts w:ascii="Arial Narrow" w:hAnsi="Arial Narrow"/>
          <w:sz w:val="24"/>
          <w:szCs w:val="24"/>
        </w:rPr>
        <w:t>Dr Mundy</w:t>
      </w:r>
      <w:r w:rsidRPr="00AD3842">
        <w:rPr>
          <w:rFonts w:ascii="Arial Narrow" w:hAnsi="Arial Narrow"/>
          <w:sz w:val="24"/>
          <w:szCs w:val="24"/>
        </w:rPr>
        <w:t>,</w:t>
      </w:r>
    </w:p>
    <w:p w:rsidR="003C0024" w:rsidRDefault="003C0024" w:rsidP="003C0024">
      <w:pPr>
        <w:spacing w:after="120" w:line="260" w:lineRule="atLeast"/>
        <w:rPr>
          <w:rFonts w:ascii="Arial Narrow" w:hAnsi="Arial Narrow"/>
          <w:b/>
          <w:sz w:val="24"/>
          <w:szCs w:val="24"/>
        </w:rPr>
      </w:pPr>
      <w:r w:rsidRPr="00AD3842">
        <w:rPr>
          <w:rFonts w:ascii="Arial Narrow" w:hAnsi="Arial Narrow"/>
          <w:b/>
          <w:sz w:val="24"/>
          <w:szCs w:val="24"/>
        </w:rPr>
        <w:t xml:space="preserve">Access to Justice </w:t>
      </w:r>
      <w:r>
        <w:rPr>
          <w:rFonts w:ascii="Arial Narrow" w:hAnsi="Arial Narrow"/>
          <w:b/>
          <w:sz w:val="24"/>
          <w:szCs w:val="24"/>
        </w:rPr>
        <w:t>for ‘disadvantaged parties’</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t>We are the five funded peak organisations for community legal centres (</w:t>
      </w:r>
      <w:r>
        <w:rPr>
          <w:rFonts w:ascii="Arial Narrow" w:hAnsi="Arial Narrow"/>
          <w:b/>
          <w:sz w:val="24"/>
          <w:szCs w:val="24"/>
        </w:rPr>
        <w:t>CLCs</w:t>
      </w:r>
      <w:r>
        <w:rPr>
          <w:rFonts w:ascii="Arial Narrow" w:hAnsi="Arial Narrow"/>
          <w:sz w:val="24"/>
          <w:szCs w:val="24"/>
        </w:rPr>
        <w:t xml:space="preserve">) in Australia. </w:t>
      </w:r>
      <w:r w:rsidRPr="00AD3842">
        <w:rPr>
          <w:rFonts w:ascii="Arial Narrow" w:hAnsi="Arial Narrow"/>
          <w:sz w:val="24"/>
          <w:szCs w:val="24"/>
        </w:rPr>
        <w:t xml:space="preserve">CLCs </w:t>
      </w:r>
      <w:r>
        <w:rPr>
          <w:rFonts w:ascii="Arial Narrow" w:hAnsi="Arial Narrow"/>
          <w:sz w:val="24"/>
          <w:szCs w:val="24"/>
        </w:rPr>
        <w:t xml:space="preserve">provide </w:t>
      </w:r>
      <w:r w:rsidRPr="00AD3842">
        <w:rPr>
          <w:rFonts w:ascii="Arial Narrow" w:hAnsi="Arial Narrow"/>
          <w:sz w:val="24"/>
          <w:szCs w:val="24"/>
        </w:rPr>
        <w:t>free information, advice and referral, casework and representation to the community</w:t>
      </w:r>
      <w:r>
        <w:rPr>
          <w:rFonts w:ascii="Arial Narrow" w:hAnsi="Arial Narrow"/>
          <w:sz w:val="24"/>
          <w:szCs w:val="24"/>
        </w:rPr>
        <w:t xml:space="preserve">, </w:t>
      </w:r>
      <w:r w:rsidRPr="00AD3842">
        <w:rPr>
          <w:rFonts w:ascii="Arial Narrow" w:hAnsi="Arial Narrow"/>
          <w:sz w:val="24"/>
          <w:szCs w:val="24"/>
        </w:rPr>
        <w:t>help</w:t>
      </w:r>
      <w:r>
        <w:rPr>
          <w:rFonts w:ascii="Arial Narrow" w:hAnsi="Arial Narrow"/>
          <w:sz w:val="24"/>
          <w:szCs w:val="24"/>
        </w:rPr>
        <w:t>ing</w:t>
      </w:r>
      <w:r w:rsidRPr="00AD3842">
        <w:rPr>
          <w:rFonts w:ascii="Arial Narrow" w:hAnsi="Arial Narrow"/>
          <w:sz w:val="24"/>
          <w:szCs w:val="24"/>
        </w:rPr>
        <w:t xml:space="preserve"> clients who face economic and social disadvantage and have nowhere else to go. </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t>Each of our organisations intends to make detailed submissions to the Commission’s inquiry into access to justice arrangements. This letter is intended to elaborate on paragraph 5(a) in the Commission’s terms of reference, which requires the Commission to have regards to:</w:t>
      </w:r>
    </w:p>
    <w:p w:rsidR="003C0024" w:rsidRPr="00AD3842" w:rsidRDefault="003C0024" w:rsidP="003C0024">
      <w:pPr>
        <w:spacing w:after="120" w:line="260" w:lineRule="atLeast"/>
        <w:ind w:left="1440" w:hanging="360"/>
        <w:rPr>
          <w:rFonts w:ascii="Arial Narrow" w:hAnsi="Arial Narrow"/>
          <w:szCs w:val="24"/>
        </w:rPr>
      </w:pPr>
      <w:r w:rsidRPr="00AD3842">
        <w:rPr>
          <w:rFonts w:ascii="Arial Narrow" w:hAnsi="Arial Narrow"/>
          <w:szCs w:val="24"/>
        </w:rPr>
        <w:t>(5)</w:t>
      </w:r>
      <w:r w:rsidRPr="00AD3842">
        <w:rPr>
          <w:rFonts w:ascii="Arial Narrow" w:hAnsi="Arial Narrow"/>
          <w:szCs w:val="24"/>
        </w:rPr>
        <w:tab/>
        <w:t xml:space="preserve">the impact of the costs of accessing justice services, and securing legal representation, on the effectiveness of these services, including analysis of: </w:t>
      </w:r>
    </w:p>
    <w:p w:rsidR="003C0024" w:rsidRPr="00AD3842" w:rsidRDefault="003C0024" w:rsidP="003C0024">
      <w:pPr>
        <w:pStyle w:val="ListParagraph"/>
        <w:numPr>
          <w:ilvl w:val="0"/>
          <w:numId w:val="24"/>
        </w:numPr>
        <w:spacing w:after="120" w:line="260" w:lineRule="atLeast"/>
        <w:ind w:left="1800"/>
        <w:rPr>
          <w:rFonts w:ascii="Arial Narrow" w:hAnsi="Arial Narrow"/>
          <w:sz w:val="20"/>
          <w:szCs w:val="24"/>
        </w:rPr>
      </w:pPr>
      <w:r w:rsidRPr="00AD3842">
        <w:rPr>
          <w:rFonts w:ascii="Arial Narrow" w:hAnsi="Arial Narrow"/>
          <w:sz w:val="20"/>
          <w:szCs w:val="24"/>
        </w:rPr>
        <w:t>the ability of disadvantaged parties, including persons for whom English is a second language, to effectively self-represent …</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t>We welcome the Inquiry’s focus on the needs of ‘disadvantaged parties’, acknowledging that many people facing disadvantage are unable to access justice services and/or secure legal representation.</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t>While we note that ‘persons for whom English is a second language’ are expressly provided for in the terms of reference, there are a number of other indicators of disadvantage, or disadvantaged groups, that should be specifically considered in the Commission’s investigations. Without limiting those groups, we wish to highlight the following groups that face particular challenges in accessing justice services:</w:t>
      </w:r>
    </w:p>
    <w:p w:rsidR="004C147C" w:rsidRDefault="003C0024" w:rsidP="003C0024">
      <w:pPr>
        <w:pStyle w:val="ListParagraph"/>
        <w:numPr>
          <w:ilvl w:val="0"/>
          <w:numId w:val="25"/>
        </w:numPr>
        <w:spacing w:after="120" w:line="260" w:lineRule="atLeast"/>
        <w:ind w:left="714" w:hanging="357"/>
        <w:rPr>
          <w:rFonts w:ascii="Arial Narrow" w:hAnsi="Arial Narrow"/>
          <w:sz w:val="24"/>
          <w:szCs w:val="24"/>
        </w:rPr>
      </w:pPr>
      <w:r>
        <w:rPr>
          <w:rFonts w:ascii="Arial Narrow" w:hAnsi="Arial Narrow"/>
          <w:b/>
          <w:sz w:val="24"/>
          <w:szCs w:val="24"/>
        </w:rPr>
        <w:t>Aboriginal and Torres Strait Islander peoples</w:t>
      </w:r>
      <w:r>
        <w:rPr>
          <w:rFonts w:ascii="Arial Narrow" w:hAnsi="Arial Narrow"/>
          <w:sz w:val="24"/>
          <w:szCs w:val="24"/>
        </w:rPr>
        <w:t xml:space="preserve">: we refer to the National Aboriginal and Torres Strait Islander Legal Services submission, dated 24 July 2013, that highlights some of the difficulties faced by this group.  We also value the important services provided by Aboriginal Family Violence Prevention Legal Services, and support continued services to meet the needs of victims and survivors of family violence.  The </w:t>
      </w:r>
      <w:proofErr w:type="spellStart"/>
      <w:r>
        <w:rPr>
          <w:rFonts w:ascii="Arial Narrow" w:hAnsi="Arial Narrow"/>
          <w:sz w:val="24"/>
          <w:szCs w:val="24"/>
        </w:rPr>
        <w:t>NATSILS</w:t>
      </w:r>
      <w:proofErr w:type="spellEnd"/>
      <w:r>
        <w:rPr>
          <w:rFonts w:ascii="Arial Narrow" w:hAnsi="Arial Narrow"/>
          <w:sz w:val="24"/>
          <w:szCs w:val="24"/>
        </w:rPr>
        <w:t xml:space="preserve"> submission does not specifically refer to the rights and issues of Aboriginal and Torres Strait Islander women, whose interests are traditionally, socially and economically distinct in some respects from the interests of men.</w:t>
      </w:r>
      <w:r>
        <w:rPr>
          <w:rStyle w:val="FootnoteReference"/>
          <w:rFonts w:ascii="Arial Narrow" w:hAnsi="Arial Narrow"/>
          <w:sz w:val="24"/>
          <w:szCs w:val="24"/>
        </w:rPr>
        <w:footnoteReference w:id="1"/>
      </w:r>
      <w:r>
        <w:rPr>
          <w:rFonts w:ascii="Arial Narrow" w:hAnsi="Arial Narrow"/>
          <w:sz w:val="24"/>
          <w:szCs w:val="24"/>
        </w:rPr>
        <w:t xml:space="preserve"> </w:t>
      </w:r>
      <w:r w:rsidR="004C147C">
        <w:rPr>
          <w:rFonts w:ascii="Arial Narrow" w:hAnsi="Arial Narrow"/>
          <w:sz w:val="24"/>
          <w:szCs w:val="24"/>
        </w:rPr>
        <w:br/>
      </w:r>
    </w:p>
    <w:p w:rsidR="003C0024" w:rsidRDefault="003C0024" w:rsidP="004C147C">
      <w:pPr>
        <w:pStyle w:val="ListParagraph"/>
        <w:spacing w:after="120" w:line="260" w:lineRule="atLeast"/>
        <w:ind w:left="714"/>
        <w:rPr>
          <w:rFonts w:ascii="Arial Narrow" w:hAnsi="Arial Narrow"/>
          <w:sz w:val="24"/>
          <w:szCs w:val="24"/>
        </w:rPr>
      </w:pPr>
      <w:r>
        <w:rPr>
          <w:rFonts w:ascii="Arial Narrow" w:hAnsi="Arial Narrow"/>
          <w:sz w:val="24"/>
          <w:szCs w:val="24"/>
        </w:rPr>
        <w:lastRenderedPageBreak/>
        <w:t>Further, the National Congress of Australia’s First Peoples recognises separate and equal representation of men and women. Aboriginal and Torres Strait Islander women’s interests and legal rights extend beyond the provision of specialist services for women experiencing family violence.  The rights and legal interests of Aboriginal and Torres Strait Islander women must be adequately provided for through targeted, culturally appropriate and secure services, such as those provided by Aboriginal and Torres Strait Islander women’s legal services, of which there are several throughout Australia.  We anticipate that the Aboriginal and Torres Strait Islander Women’s legal services will make specific submissions to the enquiry on their own behalf.</w:t>
      </w:r>
    </w:p>
    <w:p w:rsidR="003C0024" w:rsidRDefault="003C0024" w:rsidP="003C0024">
      <w:pPr>
        <w:pStyle w:val="ListParagraph"/>
        <w:spacing w:after="120" w:line="260" w:lineRule="atLeast"/>
        <w:ind w:left="714"/>
        <w:rPr>
          <w:rFonts w:ascii="Arial Narrow" w:hAnsi="Arial Narrow"/>
          <w:sz w:val="24"/>
          <w:szCs w:val="24"/>
        </w:rPr>
      </w:pPr>
    </w:p>
    <w:p w:rsidR="003C0024" w:rsidRDefault="003C0024" w:rsidP="003C0024">
      <w:pPr>
        <w:pStyle w:val="ListParagraph"/>
        <w:numPr>
          <w:ilvl w:val="0"/>
          <w:numId w:val="25"/>
        </w:numPr>
        <w:spacing w:after="120" w:line="260" w:lineRule="atLeast"/>
        <w:rPr>
          <w:rFonts w:ascii="Arial Narrow" w:hAnsi="Arial Narrow"/>
          <w:sz w:val="24"/>
          <w:szCs w:val="24"/>
        </w:rPr>
      </w:pPr>
      <w:r w:rsidRPr="003737DD">
        <w:rPr>
          <w:rFonts w:ascii="Arial Narrow" w:hAnsi="Arial Narrow"/>
          <w:b/>
          <w:sz w:val="24"/>
          <w:szCs w:val="24"/>
        </w:rPr>
        <w:t>People with disability</w:t>
      </w:r>
      <w:r w:rsidRPr="003737DD">
        <w:rPr>
          <w:rFonts w:ascii="Arial Narrow" w:hAnsi="Arial Narrow"/>
          <w:sz w:val="24"/>
          <w:szCs w:val="24"/>
        </w:rPr>
        <w:t xml:space="preserve">: In the NSW Law and Justice Foundation’s recent survey of over 20,000 Australians, people with disability stood out as the disadvantaged group that most reliably had high prevalence of legal problems according to a variety of measures. The same survey showed that people with disability had significantly higher odds of taking action and seeking advice, but significantly lower odds of </w:t>
      </w:r>
      <w:r>
        <w:rPr>
          <w:rFonts w:ascii="Arial Narrow" w:hAnsi="Arial Narrow"/>
          <w:sz w:val="24"/>
          <w:szCs w:val="24"/>
        </w:rPr>
        <w:t>finalising their legal problems.</w:t>
      </w:r>
      <w:r>
        <w:rPr>
          <w:rStyle w:val="FootnoteReference"/>
          <w:rFonts w:ascii="Arial Narrow" w:hAnsi="Arial Narrow"/>
          <w:sz w:val="24"/>
          <w:szCs w:val="24"/>
        </w:rPr>
        <w:footnoteReference w:id="2"/>
      </w:r>
      <w:r>
        <w:rPr>
          <w:rFonts w:ascii="Arial Narrow" w:hAnsi="Arial Narrow"/>
          <w:sz w:val="24"/>
          <w:szCs w:val="24"/>
        </w:rPr>
        <w:t xml:space="preserve"> These statistics demonstrate the high likelihood of people with disability having a legal problem and taking action to resolve it, but the low likelihood of reaching a resolution.</w:t>
      </w:r>
    </w:p>
    <w:p w:rsidR="003C0024" w:rsidRPr="003C0024" w:rsidRDefault="003C0024" w:rsidP="003C0024">
      <w:pPr>
        <w:pStyle w:val="ListParagraph"/>
        <w:spacing w:after="120" w:line="260" w:lineRule="atLeast"/>
        <w:rPr>
          <w:rFonts w:ascii="Arial Narrow" w:hAnsi="Arial Narrow"/>
          <w:sz w:val="24"/>
          <w:szCs w:val="24"/>
        </w:rPr>
      </w:pPr>
    </w:p>
    <w:p w:rsidR="003C0024" w:rsidRPr="00A0490C" w:rsidRDefault="003C0024" w:rsidP="003C0024">
      <w:pPr>
        <w:pStyle w:val="ListParagraph"/>
        <w:numPr>
          <w:ilvl w:val="0"/>
          <w:numId w:val="25"/>
        </w:numPr>
        <w:spacing w:after="120" w:line="260" w:lineRule="atLeast"/>
        <w:rPr>
          <w:rFonts w:ascii="Arial Narrow" w:hAnsi="Arial Narrow"/>
          <w:sz w:val="24"/>
          <w:szCs w:val="24"/>
        </w:rPr>
      </w:pPr>
      <w:r w:rsidRPr="00A0490C">
        <w:rPr>
          <w:rFonts w:ascii="Arial Narrow" w:hAnsi="Arial Narrow"/>
          <w:b/>
          <w:sz w:val="24"/>
          <w:szCs w:val="24"/>
        </w:rPr>
        <w:t>People with intellectual disabilities</w:t>
      </w:r>
      <w:r>
        <w:rPr>
          <w:rFonts w:ascii="Arial Narrow" w:hAnsi="Arial Narrow"/>
          <w:b/>
          <w:sz w:val="24"/>
          <w:szCs w:val="24"/>
        </w:rPr>
        <w:t xml:space="preserve"> or cognitive impairments</w:t>
      </w:r>
      <w:r w:rsidRPr="00A0490C">
        <w:rPr>
          <w:rFonts w:ascii="Arial Narrow" w:hAnsi="Arial Narrow"/>
          <w:b/>
          <w:sz w:val="24"/>
          <w:szCs w:val="24"/>
        </w:rPr>
        <w:t xml:space="preserve">: </w:t>
      </w:r>
      <w:r w:rsidRPr="00A0490C">
        <w:rPr>
          <w:rFonts w:ascii="Arial Narrow" w:hAnsi="Arial Narrow"/>
          <w:sz w:val="24"/>
          <w:szCs w:val="24"/>
        </w:rPr>
        <w:t xml:space="preserve">There are significant barriers to justice faced by people with intellectual disabilities that are similar to people with disability, but unique in other ways. Key themes identified in the Victorian Parliament’s recent </w:t>
      </w:r>
      <w:r w:rsidRPr="00A0490C">
        <w:rPr>
          <w:rFonts w:ascii="Arial Narrow" w:hAnsi="Arial Narrow"/>
          <w:i/>
          <w:sz w:val="24"/>
          <w:szCs w:val="24"/>
        </w:rPr>
        <w:t>Inquiry into Access to and Interaction with the Justice System by People with an Intellectual Disability and their Families and Carers</w:t>
      </w:r>
      <w:r w:rsidRPr="00A0490C">
        <w:rPr>
          <w:rFonts w:ascii="Arial Narrow" w:hAnsi="Arial Narrow"/>
          <w:sz w:val="24"/>
          <w:szCs w:val="24"/>
        </w:rPr>
        <w:t xml:space="preserve"> included:</w:t>
      </w:r>
      <w:r>
        <w:rPr>
          <w:rStyle w:val="FootnoteReference"/>
          <w:rFonts w:ascii="Arial Narrow" w:hAnsi="Arial Narrow"/>
          <w:sz w:val="24"/>
          <w:szCs w:val="24"/>
        </w:rPr>
        <w:footnoteReference w:id="3"/>
      </w:r>
    </w:p>
    <w:p w:rsidR="003C0024" w:rsidRDefault="003C0024" w:rsidP="003C0024">
      <w:pPr>
        <w:pStyle w:val="ListParagraph"/>
        <w:numPr>
          <w:ilvl w:val="1"/>
          <w:numId w:val="25"/>
        </w:numPr>
        <w:spacing w:after="120" w:line="260" w:lineRule="atLeast"/>
        <w:rPr>
          <w:rFonts w:ascii="Arial Narrow" w:hAnsi="Arial Narrow"/>
          <w:sz w:val="24"/>
          <w:szCs w:val="24"/>
        </w:rPr>
      </w:pPr>
      <w:r w:rsidRPr="00A0490C">
        <w:rPr>
          <w:rFonts w:ascii="Arial Narrow" w:hAnsi="Arial Narrow"/>
          <w:sz w:val="24"/>
          <w:szCs w:val="24"/>
        </w:rPr>
        <w:t>people with an intellectual disability are likely to be overrepresented within</w:t>
      </w:r>
      <w:r>
        <w:rPr>
          <w:rFonts w:ascii="Arial Narrow" w:hAnsi="Arial Narrow"/>
          <w:sz w:val="24"/>
          <w:szCs w:val="24"/>
        </w:rPr>
        <w:t xml:space="preserve"> </w:t>
      </w:r>
      <w:r w:rsidRPr="00A0490C">
        <w:rPr>
          <w:rFonts w:ascii="Arial Narrow" w:hAnsi="Arial Narrow"/>
          <w:sz w:val="24"/>
          <w:szCs w:val="24"/>
        </w:rPr>
        <w:t>the justice system.</w:t>
      </w:r>
    </w:p>
    <w:p w:rsidR="003C0024" w:rsidRPr="00A0490C" w:rsidRDefault="003C0024" w:rsidP="003C0024">
      <w:pPr>
        <w:pStyle w:val="ListParagraph"/>
        <w:numPr>
          <w:ilvl w:val="1"/>
          <w:numId w:val="25"/>
        </w:numPr>
        <w:spacing w:after="120" w:line="260" w:lineRule="atLeast"/>
        <w:rPr>
          <w:rFonts w:ascii="Arial Narrow" w:hAnsi="Arial Narrow"/>
          <w:sz w:val="24"/>
          <w:szCs w:val="24"/>
        </w:rPr>
      </w:pPr>
      <w:r w:rsidRPr="00A0490C">
        <w:rPr>
          <w:rFonts w:ascii="Arial Narrow" w:hAnsi="Arial Narrow"/>
          <w:sz w:val="24"/>
          <w:szCs w:val="24"/>
        </w:rPr>
        <w:t>people with an intellectual disability or cognitive impairment experience a number of common life experiences – increased dependence on others to complete daily activities, limited education and employment opportunities</w:t>
      </w:r>
      <w:r>
        <w:rPr>
          <w:rFonts w:ascii="Arial Narrow" w:hAnsi="Arial Narrow"/>
          <w:sz w:val="24"/>
          <w:szCs w:val="24"/>
        </w:rPr>
        <w:t xml:space="preserve"> </w:t>
      </w:r>
      <w:r w:rsidRPr="00A0490C">
        <w:rPr>
          <w:rFonts w:ascii="Arial Narrow" w:hAnsi="Arial Narrow"/>
          <w:sz w:val="24"/>
          <w:szCs w:val="24"/>
        </w:rPr>
        <w:t>and limitations in conceptual, social and daily living skills;</w:t>
      </w:r>
    </w:p>
    <w:p w:rsidR="003C0024" w:rsidRPr="00A0490C"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e</w:t>
      </w:r>
      <w:r w:rsidRPr="00A0490C">
        <w:rPr>
          <w:rFonts w:ascii="Arial Narrow" w:hAnsi="Arial Narrow"/>
          <w:sz w:val="24"/>
          <w:szCs w:val="24"/>
        </w:rPr>
        <w:t>ven where mechanisms are available in the justice system to assist people with an intellectual disability or cognitive impairment, they may not be able to access them either because they do not know about available services, or because justice sector personnel do not identify that they have</w:t>
      </w:r>
      <w:r>
        <w:rPr>
          <w:rFonts w:ascii="Arial Narrow" w:hAnsi="Arial Narrow"/>
          <w:sz w:val="24"/>
          <w:szCs w:val="24"/>
        </w:rPr>
        <w:t xml:space="preserve"> </w:t>
      </w:r>
      <w:r w:rsidRPr="00A0490C">
        <w:rPr>
          <w:rFonts w:ascii="Arial Narrow" w:hAnsi="Arial Narrow"/>
          <w:sz w:val="24"/>
          <w:szCs w:val="24"/>
        </w:rPr>
        <w:t>a disability</w:t>
      </w:r>
      <w:r>
        <w:rPr>
          <w:rFonts w:ascii="Arial Narrow" w:hAnsi="Arial Narrow"/>
          <w:sz w:val="24"/>
          <w:szCs w:val="24"/>
        </w:rPr>
        <w:t>; and</w:t>
      </w:r>
    </w:p>
    <w:p w:rsidR="003C0024" w:rsidRPr="00A0490C"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w</w:t>
      </w:r>
      <w:r w:rsidRPr="00A0490C">
        <w:rPr>
          <w:rFonts w:ascii="Arial Narrow" w:hAnsi="Arial Narrow"/>
          <w:sz w:val="24"/>
          <w:szCs w:val="24"/>
        </w:rPr>
        <w:t>hile the needs of people with an intellectual disability or cognitive impairment have been accommodated in the justice system through the provision of a range of measures, the use and adequacy of these alternative measures for assisting interaction with the justice system was consistently questioned.</w:t>
      </w:r>
    </w:p>
    <w:p w:rsidR="003C0024" w:rsidRPr="003C0024" w:rsidRDefault="003C0024" w:rsidP="003C0024">
      <w:pPr>
        <w:pStyle w:val="ListParagraph"/>
        <w:spacing w:after="120" w:line="260" w:lineRule="atLeast"/>
        <w:rPr>
          <w:rFonts w:ascii="Arial Narrow" w:hAnsi="Arial Narrow"/>
          <w:sz w:val="24"/>
          <w:szCs w:val="24"/>
        </w:rPr>
      </w:pPr>
    </w:p>
    <w:p w:rsidR="003C0024" w:rsidRDefault="003C0024" w:rsidP="003C0024">
      <w:pPr>
        <w:pStyle w:val="ListParagraph"/>
        <w:numPr>
          <w:ilvl w:val="0"/>
          <w:numId w:val="25"/>
        </w:numPr>
        <w:spacing w:after="120" w:line="260" w:lineRule="atLeast"/>
        <w:rPr>
          <w:rFonts w:ascii="Arial Narrow" w:hAnsi="Arial Narrow"/>
          <w:sz w:val="24"/>
          <w:szCs w:val="24"/>
        </w:rPr>
      </w:pPr>
      <w:r w:rsidRPr="003C74C0">
        <w:rPr>
          <w:rFonts w:ascii="Arial Narrow" w:hAnsi="Arial Narrow"/>
          <w:b/>
          <w:sz w:val="24"/>
          <w:szCs w:val="24"/>
        </w:rPr>
        <w:t>People with mental illness:</w:t>
      </w:r>
      <w:r w:rsidRPr="003C74C0">
        <w:rPr>
          <w:rFonts w:ascii="Arial Narrow" w:hAnsi="Arial Narrow"/>
          <w:sz w:val="24"/>
          <w:szCs w:val="24"/>
        </w:rPr>
        <w:t xml:space="preserve"> There are significant barriers to justice faced by people with mental illness that are similar to people with disability, but unique in other ways. </w:t>
      </w:r>
      <w:r>
        <w:rPr>
          <w:rFonts w:ascii="Arial Narrow" w:hAnsi="Arial Narrow"/>
          <w:sz w:val="24"/>
          <w:szCs w:val="24"/>
        </w:rPr>
        <w:t>Research from t</w:t>
      </w:r>
      <w:r w:rsidRPr="003C74C0">
        <w:rPr>
          <w:rFonts w:ascii="Arial Narrow" w:hAnsi="Arial Narrow"/>
          <w:sz w:val="24"/>
          <w:szCs w:val="24"/>
        </w:rPr>
        <w:t>he Law and Justice Foundation of NSW ha</w:t>
      </w:r>
      <w:r>
        <w:rPr>
          <w:rFonts w:ascii="Arial Narrow" w:hAnsi="Arial Narrow"/>
          <w:sz w:val="24"/>
          <w:szCs w:val="24"/>
        </w:rPr>
        <w:t>s</w:t>
      </w:r>
      <w:r w:rsidRPr="003C74C0">
        <w:rPr>
          <w:rFonts w:ascii="Arial Narrow" w:hAnsi="Arial Narrow"/>
          <w:sz w:val="24"/>
          <w:szCs w:val="24"/>
        </w:rPr>
        <w:t xml:space="preserve"> identified a number of ‘individual’ barriers (including lack of awareness of legal rights; being disorganised; being overwhelmed; mistrust of service providers; difficult behaviour; communication problems; and, lack of mental health care) </w:t>
      </w:r>
      <w:r w:rsidRPr="003C74C0">
        <w:rPr>
          <w:rFonts w:ascii="Arial Narrow" w:hAnsi="Arial Narrow"/>
          <w:sz w:val="24"/>
          <w:szCs w:val="24"/>
        </w:rPr>
        <w:lastRenderedPageBreak/>
        <w:t xml:space="preserve">and ‘systemic’ barriers (including the availability of affordable legal services; time constraints; remote, rural and regional issues; identifying mental illness; credibility; </w:t>
      </w:r>
      <w:r>
        <w:rPr>
          <w:rFonts w:ascii="Arial Narrow" w:hAnsi="Arial Narrow"/>
          <w:sz w:val="24"/>
          <w:szCs w:val="24"/>
        </w:rPr>
        <w:t xml:space="preserve">and </w:t>
      </w:r>
      <w:r w:rsidRPr="003C74C0">
        <w:rPr>
          <w:rFonts w:ascii="Arial Narrow" w:hAnsi="Arial Narrow"/>
          <w:sz w:val="24"/>
          <w:szCs w:val="24"/>
        </w:rPr>
        <w:t>barriers in the physical environment</w:t>
      </w:r>
      <w:r>
        <w:rPr>
          <w:rFonts w:ascii="Arial Narrow" w:hAnsi="Arial Narrow"/>
          <w:sz w:val="24"/>
          <w:szCs w:val="24"/>
        </w:rPr>
        <w:t>),</w:t>
      </w:r>
      <w:r>
        <w:rPr>
          <w:rStyle w:val="FootnoteReference"/>
          <w:rFonts w:ascii="Arial Narrow" w:hAnsi="Arial Narrow"/>
          <w:sz w:val="24"/>
          <w:szCs w:val="24"/>
        </w:rPr>
        <w:footnoteReference w:id="4"/>
      </w:r>
      <w:r>
        <w:rPr>
          <w:rFonts w:ascii="Arial Narrow" w:hAnsi="Arial Narrow"/>
          <w:sz w:val="24"/>
          <w:szCs w:val="24"/>
        </w:rPr>
        <w:t xml:space="preserve"> and community legal centres see this in our day-to-day work with vulnerable Australians.</w:t>
      </w:r>
    </w:p>
    <w:p w:rsidR="003C0024" w:rsidRPr="003C74C0" w:rsidRDefault="003C0024" w:rsidP="003C0024">
      <w:pPr>
        <w:pStyle w:val="ListParagraph"/>
        <w:spacing w:after="120" w:line="260" w:lineRule="atLeast"/>
        <w:rPr>
          <w:rFonts w:ascii="Arial Narrow" w:hAnsi="Arial Narrow"/>
          <w:sz w:val="24"/>
          <w:szCs w:val="24"/>
        </w:rPr>
      </w:pPr>
    </w:p>
    <w:p w:rsidR="003C0024" w:rsidRDefault="003C0024" w:rsidP="003C0024">
      <w:pPr>
        <w:pStyle w:val="ListParagraph"/>
        <w:numPr>
          <w:ilvl w:val="0"/>
          <w:numId w:val="25"/>
        </w:numPr>
        <w:spacing w:after="120" w:line="260" w:lineRule="atLeast"/>
        <w:rPr>
          <w:rFonts w:ascii="Arial Narrow" w:hAnsi="Arial Narrow"/>
          <w:sz w:val="24"/>
          <w:szCs w:val="24"/>
        </w:rPr>
      </w:pPr>
      <w:r w:rsidRPr="005050D4">
        <w:rPr>
          <w:rFonts w:ascii="Arial Narrow" w:hAnsi="Arial Narrow"/>
          <w:b/>
          <w:sz w:val="24"/>
          <w:szCs w:val="24"/>
        </w:rPr>
        <w:t>Older Australians</w:t>
      </w:r>
      <w:r w:rsidRPr="005050D4">
        <w:rPr>
          <w:rFonts w:ascii="Arial Narrow" w:hAnsi="Arial Narrow"/>
          <w:sz w:val="24"/>
          <w:szCs w:val="24"/>
        </w:rPr>
        <w:t>: Studies show that older people often ignore their legal problems and are reluctant to complain about them. Older people have also been found to have poor understanding of their legal rights and avenues for legal redress.</w:t>
      </w:r>
      <w:r>
        <w:rPr>
          <w:rStyle w:val="FootnoteReference"/>
          <w:rFonts w:ascii="Arial Narrow" w:hAnsi="Arial Narrow"/>
          <w:sz w:val="24"/>
          <w:szCs w:val="24"/>
        </w:rPr>
        <w:footnoteReference w:id="5"/>
      </w:r>
      <w:r w:rsidRPr="005050D4">
        <w:rPr>
          <w:rFonts w:ascii="Arial Narrow" w:hAnsi="Arial Narrow"/>
          <w:sz w:val="24"/>
          <w:szCs w:val="24"/>
        </w:rPr>
        <w:t xml:space="preserve"> The Australian Human Rights Commission summarised the barriers to justice for older people, which include:</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t</w:t>
      </w:r>
      <w:r w:rsidRPr="005050D4">
        <w:rPr>
          <w:rFonts w:ascii="Arial Narrow" w:hAnsi="Arial Narrow"/>
          <w:sz w:val="24"/>
          <w:szCs w:val="24"/>
        </w:rPr>
        <w:t>echnological barriers, particularly for telephone and web based services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a</w:t>
      </w:r>
      <w:r w:rsidRPr="005050D4">
        <w:rPr>
          <w:rFonts w:ascii="Arial Narrow" w:hAnsi="Arial Narrow"/>
          <w:sz w:val="24"/>
          <w:szCs w:val="24"/>
        </w:rPr>
        <w:t xml:space="preserve"> lack of awareness regarding where to obtain legal information and assistance</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a</w:t>
      </w:r>
      <w:r w:rsidRPr="005050D4">
        <w:rPr>
          <w:rFonts w:ascii="Arial Narrow" w:hAnsi="Arial Narrow"/>
          <w:sz w:val="24"/>
          <w:szCs w:val="24"/>
        </w:rPr>
        <w:t xml:space="preserve"> lack of appropriately-communicated legal information</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t</w:t>
      </w:r>
      <w:r w:rsidRPr="005050D4">
        <w:rPr>
          <w:rFonts w:ascii="Arial Narrow" w:hAnsi="Arial Narrow"/>
          <w:sz w:val="24"/>
          <w:szCs w:val="24"/>
        </w:rPr>
        <w:t>he high cost of legal services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a</w:t>
      </w:r>
      <w:r w:rsidRPr="005050D4">
        <w:rPr>
          <w:rFonts w:ascii="Arial Narrow" w:hAnsi="Arial Narrow"/>
          <w:sz w:val="24"/>
          <w:szCs w:val="24"/>
        </w:rPr>
        <w:t xml:space="preserve"> lack of interest by some legal practitioners in older clients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p</w:t>
      </w:r>
      <w:r w:rsidRPr="005050D4">
        <w:rPr>
          <w:rFonts w:ascii="Arial Narrow" w:hAnsi="Arial Narrow"/>
          <w:sz w:val="24"/>
          <w:szCs w:val="24"/>
        </w:rPr>
        <w:t>otential conflicts of interest when legal practitioners for older people are arranged by family members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d</w:t>
      </w:r>
      <w:r w:rsidRPr="005050D4">
        <w:rPr>
          <w:rFonts w:ascii="Arial Narrow" w:hAnsi="Arial Narrow"/>
          <w:sz w:val="24"/>
          <w:szCs w:val="24"/>
        </w:rPr>
        <w:t>ifficulties in accessing legal aid, including restrictive eligibility tests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l</w:t>
      </w:r>
      <w:r w:rsidRPr="005050D4">
        <w:rPr>
          <w:rFonts w:ascii="Arial Narrow" w:hAnsi="Arial Narrow"/>
          <w:sz w:val="24"/>
          <w:szCs w:val="24"/>
        </w:rPr>
        <w:t>ack of availability of legal aid for civil disputes</w:t>
      </w:r>
      <w:r>
        <w:rPr>
          <w:rFonts w:ascii="Arial Narrow" w:hAnsi="Arial Narrow"/>
          <w:sz w:val="24"/>
          <w:szCs w:val="24"/>
        </w:rPr>
        <w:t>;</w:t>
      </w:r>
    </w:p>
    <w:p w:rsidR="003C0024" w:rsidRPr="005050D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l</w:t>
      </w:r>
      <w:r w:rsidRPr="005050D4">
        <w:rPr>
          <w:rFonts w:ascii="Arial Narrow" w:hAnsi="Arial Narrow"/>
          <w:sz w:val="24"/>
          <w:szCs w:val="24"/>
        </w:rPr>
        <w:t>ack of specialised legal services for older people, particularly in rural, regional and remote areas</w:t>
      </w:r>
      <w:r>
        <w:rPr>
          <w:rFonts w:ascii="Arial Narrow" w:hAnsi="Arial Narrow"/>
          <w:sz w:val="24"/>
          <w:szCs w:val="24"/>
        </w:rPr>
        <w:t>; and</w:t>
      </w:r>
    </w:p>
    <w:p w:rsidR="003C0024" w:rsidRDefault="003C0024" w:rsidP="003C0024">
      <w:pPr>
        <w:pStyle w:val="ListParagraph"/>
        <w:numPr>
          <w:ilvl w:val="1"/>
          <w:numId w:val="25"/>
        </w:numPr>
        <w:spacing w:after="120" w:line="260" w:lineRule="atLeast"/>
        <w:rPr>
          <w:rFonts w:ascii="Arial Narrow" w:hAnsi="Arial Narrow"/>
          <w:sz w:val="24"/>
          <w:szCs w:val="24"/>
        </w:rPr>
      </w:pPr>
      <w:r>
        <w:rPr>
          <w:rFonts w:ascii="Arial Narrow" w:hAnsi="Arial Narrow"/>
          <w:sz w:val="24"/>
          <w:szCs w:val="24"/>
        </w:rPr>
        <w:t>l</w:t>
      </w:r>
      <w:r w:rsidRPr="005050D4">
        <w:rPr>
          <w:rFonts w:ascii="Arial Narrow" w:hAnsi="Arial Narrow"/>
          <w:sz w:val="24"/>
          <w:szCs w:val="24"/>
        </w:rPr>
        <w:t>ack of resources in community legal centres to tailor their services to the needs of older people.</w:t>
      </w:r>
      <w:r>
        <w:rPr>
          <w:rStyle w:val="FootnoteReference"/>
          <w:rFonts w:ascii="Arial Narrow" w:hAnsi="Arial Narrow"/>
          <w:sz w:val="24"/>
          <w:szCs w:val="24"/>
        </w:rPr>
        <w:footnoteReference w:id="6"/>
      </w:r>
    </w:p>
    <w:p w:rsidR="003C0024" w:rsidRPr="005050D4" w:rsidRDefault="003C0024" w:rsidP="003C0024">
      <w:pPr>
        <w:pStyle w:val="ListParagraph"/>
        <w:spacing w:after="120" w:line="260" w:lineRule="atLeast"/>
        <w:ind w:left="1440"/>
        <w:rPr>
          <w:rFonts w:ascii="Arial Narrow" w:hAnsi="Arial Narrow"/>
          <w:sz w:val="24"/>
          <w:szCs w:val="24"/>
        </w:rPr>
      </w:pPr>
    </w:p>
    <w:p w:rsidR="003C0024" w:rsidRPr="00C358D1" w:rsidRDefault="003C0024" w:rsidP="003C0024">
      <w:pPr>
        <w:pStyle w:val="ListParagraph"/>
        <w:numPr>
          <w:ilvl w:val="0"/>
          <w:numId w:val="25"/>
        </w:numPr>
        <w:spacing w:after="120" w:line="260" w:lineRule="atLeast"/>
        <w:rPr>
          <w:rFonts w:ascii="Arial Narrow" w:hAnsi="Arial Narrow"/>
          <w:sz w:val="24"/>
          <w:szCs w:val="24"/>
        </w:rPr>
      </w:pPr>
      <w:r w:rsidRPr="00C358D1">
        <w:rPr>
          <w:rFonts w:ascii="Arial Narrow" w:hAnsi="Arial Narrow"/>
          <w:b/>
          <w:sz w:val="24"/>
          <w:szCs w:val="24"/>
        </w:rPr>
        <w:t>Women</w:t>
      </w:r>
      <w:r w:rsidRPr="00C358D1">
        <w:rPr>
          <w:rFonts w:ascii="Arial Narrow" w:hAnsi="Arial Narrow"/>
          <w:sz w:val="24"/>
          <w:szCs w:val="24"/>
        </w:rPr>
        <w:t>: The law not only reflects women’s unequal status, in some cases it can exacerbate or perpetuate this inequality. The Australian Law Reform Commission (</w:t>
      </w:r>
      <w:proofErr w:type="spellStart"/>
      <w:r w:rsidRPr="00C358D1">
        <w:rPr>
          <w:rFonts w:ascii="Arial Narrow" w:hAnsi="Arial Narrow"/>
          <w:b/>
          <w:sz w:val="24"/>
          <w:szCs w:val="24"/>
        </w:rPr>
        <w:t>ALRC</w:t>
      </w:r>
      <w:proofErr w:type="spellEnd"/>
      <w:r w:rsidRPr="00C358D1">
        <w:rPr>
          <w:rFonts w:ascii="Arial Narrow" w:hAnsi="Arial Narrow"/>
          <w:sz w:val="24"/>
          <w:szCs w:val="24"/>
        </w:rPr>
        <w:t>) found that gender bias can affect the treatment of women and their experiences in the court process.</w:t>
      </w:r>
      <w:r>
        <w:rPr>
          <w:rStyle w:val="FootnoteReference"/>
          <w:rFonts w:ascii="Arial Narrow" w:hAnsi="Arial Narrow"/>
          <w:sz w:val="24"/>
          <w:szCs w:val="24"/>
        </w:rPr>
        <w:footnoteReference w:id="7"/>
      </w:r>
      <w:r w:rsidRPr="00C358D1">
        <w:rPr>
          <w:rFonts w:ascii="Arial Narrow" w:hAnsi="Arial Narrow"/>
          <w:sz w:val="24"/>
          <w:szCs w:val="24"/>
        </w:rPr>
        <w:t xml:space="preserve"> The </w:t>
      </w:r>
      <w:proofErr w:type="spellStart"/>
      <w:r w:rsidRPr="00C358D1">
        <w:rPr>
          <w:rFonts w:ascii="Arial Narrow" w:hAnsi="Arial Narrow"/>
          <w:sz w:val="24"/>
          <w:szCs w:val="24"/>
        </w:rPr>
        <w:t>ALRC</w:t>
      </w:r>
      <w:proofErr w:type="spellEnd"/>
      <w:r w:rsidRPr="00C358D1">
        <w:rPr>
          <w:rFonts w:ascii="Arial Narrow" w:hAnsi="Arial Narrow"/>
          <w:sz w:val="24"/>
          <w:szCs w:val="24"/>
        </w:rPr>
        <w:t xml:space="preserve"> highlighted the need for improved court support for women, including access to specialist women’s legal services, and addressing the shortage of interpreters, lack of child care facilities, lack of separate waiting areas for victims of violence and the intimidating and often hostile nature of court processes</w:t>
      </w:r>
      <w:r>
        <w:rPr>
          <w:rFonts w:ascii="Arial Narrow" w:hAnsi="Arial Narrow"/>
          <w:sz w:val="24"/>
          <w:szCs w:val="24"/>
        </w:rPr>
        <w:t>.</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t>We also note that the terms of reference focus on the ability or capacity of disadvantaged persons to effectively self-represent. We would encourage the Inquiry to focus on the other areas within the justice system where disadvantaged persons face barriers, rather than simply focussing on the capacity of disadvantaged persons to represent themselves in proceedings before courts and tribunals. These include the ability of disadvantaged people to access legal information and seek early advice.</w:t>
      </w:r>
    </w:p>
    <w:p w:rsidR="003C0024" w:rsidRDefault="003C0024" w:rsidP="003C0024">
      <w:pPr>
        <w:spacing w:after="120" w:line="260" w:lineRule="atLeast"/>
        <w:rPr>
          <w:rFonts w:ascii="Arial Narrow" w:hAnsi="Arial Narrow"/>
          <w:sz w:val="24"/>
          <w:szCs w:val="24"/>
        </w:rPr>
      </w:pPr>
      <w:r>
        <w:rPr>
          <w:rFonts w:ascii="Arial Narrow" w:hAnsi="Arial Narrow"/>
          <w:sz w:val="24"/>
          <w:szCs w:val="24"/>
        </w:rPr>
        <w:lastRenderedPageBreak/>
        <w:t>We hope that this Inquiry will identify the barriers and costs for disadvantaged groups seeking to access the justice system and secure legal representation. However, this analysis must recognise the different forms of disadvantage experienced by many in the community, and take a holistic view of the legal services that may be able to assist them before and during the resolution of disputes.</w:t>
      </w:r>
    </w:p>
    <w:p w:rsidR="003C0024" w:rsidRDefault="003C0024" w:rsidP="003C0024">
      <w:pPr>
        <w:rPr>
          <w:rFonts w:ascii="Arial Narrow" w:hAnsi="Arial Narrow"/>
          <w:sz w:val="24"/>
          <w:szCs w:val="24"/>
        </w:rPr>
      </w:pPr>
      <w:r>
        <w:rPr>
          <w:rFonts w:ascii="Arial Narrow" w:hAnsi="Arial Narrow"/>
          <w:sz w:val="24"/>
          <w:szCs w:val="24"/>
        </w:rPr>
        <w:t>If you have any queries, please contact</w:t>
      </w:r>
      <w:bookmarkStart w:id="0" w:name="_GoBack"/>
      <w:bookmarkEnd w:id="0"/>
      <w:r>
        <w:rPr>
          <w:rFonts w:ascii="Arial Narrow" w:hAnsi="Arial Narrow"/>
          <w:sz w:val="24"/>
          <w:szCs w:val="24"/>
        </w:rPr>
        <w:t xml:space="preserve"> Alastair </w:t>
      </w:r>
      <w:proofErr w:type="spellStart"/>
      <w:r>
        <w:rPr>
          <w:rFonts w:ascii="Arial Narrow" w:hAnsi="Arial Narrow"/>
          <w:sz w:val="24"/>
          <w:szCs w:val="24"/>
        </w:rPr>
        <w:t>McEwin</w:t>
      </w:r>
      <w:proofErr w:type="spellEnd"/>
      <w:r>
        <w:rPr>
          <w:rFonts w:ascii="Arial Narrow" w:hAnsi="Arial Narrow"/>
          <w:sz w:val="24"/>
          <w:szCs w:val="24"/>
        </w:rPr>
        <w:t xml:space="preserve"> from Community Legal Centres NSW on </w:t>
      </w:r>
      <w:proofErr w:type="spellStart"/>
      <w:r w:rsidRPr="00A502DD">
        <w:rPr>
          <w:rFonts w:ascii="Arial Narrow" w:hAnsi="Arial Narrow"/>
          <w:b/>
          <w:sz w:val="24"/>
          <w:szCs w:val="24"/>
        </w:rPr>
        <w:t>alastair_mcewin@clc.net.au</w:t>
      </w:r>
      <w:proofErr w:type="spellEnd"/>
      <w:r>
        <w:rPr>
          <w:rFonts w:ascii="Arial Narrow" w:hAnsi="Arial Narrow"/>
          <w:sz w:val="24"/>
          <w:szCs w:val="24"/>
        </w:rPr>
        <w:t>.</w:t>
      </w:r>
    </w:p>
    <w:p w:rsidR="003C0024" w:rsidRDefault="003C0024" w:rsidP="003C0024">
      <w:pPr>
        <w:rPr>
          <w:rFonts w:ascii="Arial Narrow" w:hAnsi="Arial Narrow"/>
          <w:sz w:val="24"/>
          <w:szCs w:val="24"/>
        </w:rPr>
      </w:pPr>
    </w:p>
    <w:p w:rsidR="003C0024" w:rsidRDefault="003C0024" w:rsidP="003C0024">
      <w:pPr>
        <w:rPr>
          <w:rFonts w:ascii="Arial Narrow" w:hAnsi="Arial Narrow"/>
          <w:sz w:val="24"/>
          <w:szCs w:val="24"/>
        </w:rPr>
      </w:pPr>
      <w:r>
        <w:rPr>
          <w:rFonts w:ascii="Arial Narrow" w:hAnsi="Arial Narrow"/>
          <w:sz w:val="24"/>
          <w:szCs w:val="24"/>
        </w:rPr>
        <w:t>Yours sincerely,</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03"/>
      </w:tblGrid>
      <w:tr w:rsidR="003C0024" w:rsidTr="00954325">
        <w:tc>
          <w:tcPr>
            <w:tcW w:w="4503" w:type="dxa"/>
            <w:vAlign w:val="bottom"/>
          </w:tcPr>
          <w:p w:rsidR="003C0024" w:rsidRDefault="003C0024" w:rsidP="00954325">
            <w:pPr>
              <w:rPr>
                <w:rFonts w:ascii="Arial Narrow" w:hAnsi="Arial Narrow"/>
                <w:b/>
                <w:szCs w:val="24"/>
              </w:rPr>
            </w:pPr>
          </w:p>
          <w:p w:rsidR="00B20427" w:rsidRPr="00050A71" w:rsidRDefault="00B20427" w:rsidP="00954325">
            <w:pPr>
              <w:rPr>
                <w:rFonts w:ascii="Arial Narrow" w:hAnsi="Arial Narrow"/>
                <w:b/>
                <w:szCs w:val="24"/>
              </w:rPr>
            </w:pPr>
          </w:p>
        </w:tc>
        <w:tc>
          <w:tcPr>
            <w:tcW w:w="5103" w:type="dxa"/>
          </w:tcPr>
          <w:p w:rsidR="003C0024" w:rsidRDefault="003C0024" w:rsidP="00954325">
            <w:pPr>
              <w:rPr>
                <w:rFonts w:ascii="Arial Narrow" w:hAnsi="Arial Narrow"/>
                <w:b/>
                <w:szCs w:val="24"/>
              </w:rPr>
            </w:pPr>
          </w:p>
          <w:p w:rsidR="00B20427" w:rsidRDefault="00B20427" w:rsidP="00954325">
            <w:pPr>
              <w:rPr>
                <w:rFonts w:ascii="Arial Narrow" w:hAnsi="Arial Narrow"/>
                <w:b/>
                <w:szCs w:val="24"/>
              </w:rPr>
            </w:pPr>
          </w:p>
          <w:p w:rsidR="00B20427" w:rsidRPr="00050A71" w:rsidRDefault="00B20427" w:rsidP="00954325">
            <w:pPr>
              <w:rPr>
                <w:rFonts w:ascii="Arial Narrow" w:hAnsi="Arial Narrow"/>
                <w:b/>
                <w:szCs w:val="24"/>
              </w:rPr>
            </w:pPr>
          </w:p>
        </w:tc>
      </w:tr>
      <w:tr w:rsidR="003C0024" w:rsidTr="00954325">
        <w:tc>
          <w:tcPr>
            <w:tcW w:w="4503" w:type="dxa"/>
          </w:tcPr>
          <w:p w:rsidR="003C0024" w:rsidRPr="00050A71" w:rsidRDefault="003C0024" w:rsidP="00954325">
            <w:pPr>
              <w:rPr>
                <w:rFonts w:ascii="Arial Narrow" w:hAnsi="Arial Narrow"/>
                <w:szCs w:val="24"/>
              </w:rPr>
            </w:pPr>
            <w:r w:rsidRPr="00050A71">
              <w:rPr>
                <w:rFonts w:ascii="Arial Narrow" w:hAnsi="Arial Narrow"/>
                <w:b/>
                <w:szCs w:val="24"/>
              </w:rPr>
              <w:t xml:space="preserve">Alastair </w:t>
            </w:r>
            <w:proofErr w:type="spellStart"/>
            <w:r w:rsidRPr="00050A71">
              <w:rPr>
                <w:rFonts w:ascii="Arial Narrow" w:hAnsi="Arial Narrow"/>
                <w:b/>
                <w:szCs w:val="24"/>
              </w:rPr>
              <w:t>McEwin</w:t>
            </w:r>
            <w:proofErr w:type="spellEnd"/>
          </w:p>
          <w:p w:rsidR="003C0024" w:rsidRPr="00050A71" w:rsidRDefault="003C0024" w:rsidP="00954325">
            <w:pPr>
              <w:rPr>
                <w:rFonts w:ascii="Arial Narrow" w:hAnsi="Arial Narrow"/>
                <w:szCs w:val="24"/>
              </w:rPr>
            </w:pPr>
            <w:r w:rsidRPr="00050A71">
              <w:rPr>
                <w:rFonts w:ascii="Arial Narrow" w:hAnsi="Arial Narrow"/>
                <w:szCs w:val="24"/>
              </w:rPr>
              <w:t>Director</w:t>
            </w:r>
            <w:r w:rsidRPr="00050A71">
              <w:rPr>
                <w:rFonts w:ascii="Arial Narrow" w:hAnsi="Arial Narrow"/>
                <w:szCs w:val="24"/>
              </w:rPr>
              <w:br/>
              <w:t>Community Legal Centres NSW</w:t>
            </w:r>
          </w:p>
        </w:tc>
        <w:tc>
          <w:tcPr>
            <w:tcW w:w="5103" w:type="dxa"/>
          </w:tcPr>
          <w:p w:rsidR="003C0024" w:rsidRPr="00050A71" w:rsidRDefault="003C0024" w:rsidP="00954325">
            <w:pPr>
              <w:rPr>
                <w:rFonts w:ascii="Arial Narrow" w:hAnsi="Arial Narrow"/>
                <w:szCs w:val="24"/>
              </w:rPr>
            </w:pPr>
            <w:r w:rsidRPr="00050A71">
              <w:rPr>
                <w:rFonts w:ascii="Arial Narrow" w:hAnsi="Arial Narrow"/>
                <w:b/>
                <w:szCs w:val="24"/>
              </w:rPr>
              <w:t>James Farrell</w:t>
            </w:r>
            <w:r w:rsidRPr="00050A71">
              <w:rPr>
                <w:rFonts w:ascii="Arial Narrow" w:hAnsi="Arial Narrow"/>
                <w:szCs w:val="24"/>
              </w:rPr>
              <w:br/>
              <w:t>Director</w:t>
            </w:r>
          </w:p>
          <w:p w:rsidR="003C0024" w:rsidRDefault="003C0024" w:rsidP="00954325">
            <w:pPr>
              <w:rPr>
                <w:rFonts w:ascii="Arial Narrow" w:hAnsi="Arial Narrow"/>
                <w:szCs w:val="24"/>
              </w:rPr>
            </w:pPr>
            <w:r w:rsidRPr="00050A71">
              <w:rPr>
                <w:rFonts w:ascii="Arial Narrow" w:hAnsi="Arial Narrow"/>
                <w:szCs w:val="24"/>
              </w:rPr>
              <w:t>Queensland Association of Independent Legal Services</w:t>
            </w:r>
          </w:p>
          <w:p w:rsidR="003C0024" w:rsidRPr="00050A71" w:rsidRDefault="003C0024" w:rsidP="00954325">
            <w:pPr>
              <w:rPr>
                <w:rFonts w:ascii="Arial Narrow" w:hAnsi="Arial Narrow"/>
                <w:b/>
                <w:szCs w:val="24"/>
              </w:rPr>
            </w:pPr>
          </w:p>
        </w:tc>
      </w:tr>
      <w:tr w:rsidR="003C0024" w:rsidTr="00954325">
        <w:tc>
          <w:tcPr>
            <w:tcW w:w="4503" w:type="dxa"/>
            <w:vAlign w:val="bottom"/>
          </w:tcPr>
          <w:p w:rsidR="003C0024" w:rsidRDefault="003C0024" w:rsidP="00954325">
            <w:pPr>
              <w:rPr>
                <w:rFonts w:ascii="Arial Narrow" w:hAnsi="Arial Narrow"/>
                <w:szCs w:val="24"/>
              </w:rPr>
            </w:pPr>
          </w:p>
          <w:p w:rsidR="00B20427" w:rsidRDefault="00B20427" w:rsidP="00954325">
            <w:pPr>
              <w:rPr>
                <w:rFonts w:ascii="Arial Narrow" w:hAnsi="Arial Narrow"/>
                <w:szCs w:val="24"/>
              </w:rPr>
            </w:pPr>
          </w:p>
          <w:p w:rsidR="00B20427" w:rsidRPr="00050A71" w:rsidRDefault="00B20427" w:rsidP="00954325">
            <w:pPr>
              <w:rPr>
                <w:rFonts w:ascii="Arial Narrow" w:hAnsi="Arial Narrow"/>
                <w:szCs w:val="24"/>
              </w:rPr>
            </w:pPr>
          </w:p>
        </w:tc>
        <w:tc>
          <w:tcPr>
            <w:tcW w:w="5103" w:type="dxa"/>
          </w:tcPr>
          <w:p w:rsidR="003C0024" w:rsidRDefault="003C0024" w:rsidP="00954325">
            <w:pPr>
              <w:rPr>
                <w:rFonts w:ascii="Arial Narrow" w:hAnsi="Arial Narrow"/>
                <w:szCs w:val="24"/>
              </w:rPr>
            </w:pPr>
          </w:p>
          <w:p w:rsidR="00B20427" w:rsidRPr="00050A71" w:rsidRDefault="00B20427" w:rsidP="00954325">
            <w:pPr>
              <w:rPr>
                <w:rFonts w:ascii="Arial Narrow" w:hAnsi="Arial Narrow"/>
                <w:szCs w:val="24"/>
              </w:rPr>
            </w:pPr>
          </w:p>
        </w:tc>
      </w:tr>
      <w:tr w:rsidR="003C0024" w:rsidTr="00954325">
        <w:tc>
          <w:tcPr>
            <w:tcW w:w="4503" w:type="dxa"/>
          </w:tcPr>
          <w:p w:rsidR="003C0024" w:rsidRPr="00050A71" w:rsidRDefault="003C0024" w:rsidP="00954325">
            <w:pPr>
              <w:rPr>
                <w:rFonts w:ascii="Arial Narrow" w:hAnsi="Arial Narrow"/>
                <w:b/>
                <w:szCs w:val="24"/>
              </w:rPr>
            </w:pPr>
            <w:r w:rsidRPr="00050A71">
              <w:rPr>
                <w:rFonts w:ascii="Arial Narrow" w:hAnsi="Arial Narrow"/>
                <w:b/>
                <w:szCs w:val="24"/>
              </w:rPr>
              <w:t>Liana Buchanan</w:t>
            </w:r>
          </w:p>
          <w:p w:rsidR="003C0024" w:rsidRPr="00050A71" w:rsidRDefault="003C0024" w:rsidP="00954325">
            <w:pPr>
              <w:rPr>
                <w:rFonts w:ascii="Arial Narrow" w:hAnsi="Arial Narrow"/>
                <w:szCs w:val="24"/>
              </w:rPr>
            </w:pPr>
            <w:r w:rsidRPr="00050A71">
              <w:rPr>
                <w:rFonts w:ascii="Arial Narrow" w:hAnsi="Arial Narrow"/>
                <w:szCs w:val="24"/>
              </w:rPr>
              <w:t>Executive Director</w:t>
            </w:r>
          </w:p>
          <w:p w:rsidR="003C0024" w:rsidRPr="00050A71" w:rsidRDefault="003C0024" w:rsidP="00954325">
            <w:pPr>
              <w:rPr>
                <w:rFonts w:ascii="Arial Narrow" w:hAnsi="Arial Narrow"/>
                <w:szCs w:val="24"/>
              </w:rPr>
            </w:pPr>
            <w:r w:rsidRPr="00050A71">
              <w:rPr>
                <w:rFonts w:ascii="Arial Narrow" w:hAnsi="Arial Narrow"/>
                <w:szCs w:val="24"/>
              </w:rPr>
              <w:t>Federation of Community Legal Centres (Vic)</w:t>
            </w:r>
          </w:p>
        </w:tc>
        <w:tc>
          <w:tcPr>
            <w:tcW w:w="5103" w:type="dxa"/>
          </w:tcPr>
          <w:p w:rsidR="003C0024" w:rsidRPr="00050A71" w:rsidRDefault="003C0024" w:rsidP="00954325">
            <w:pPr>
              <w:rPr>
                <w:rFonts w:ascii="Arial Narrow" w:hAnsi="Arial Narrow"/>
                <w:b/>
                <w:szCs w:val="24"/>
              </w:rPr>
            </w:pPr>
            <w:r w:rsidRPr="00050A71">
              <w:rPr>
                <w:rFonts w:ascii="Arial Narrow" w:hAnsi="Arial Narrow"/>
                <w:b/>
                <w:szCs w:val="24"/>
              </w:rPr>
              <w:t>John Perrett</w:t>
            </w:r>
          </w:p>
          <w:p w:rsidR="003C0024" w:rsidRPr="00050A71" w:rsidRDefault="003C0024" w:rsidP="00954325">
            <w:pPr>
              <w:rPr>
                <w:rFonts w:ascii="Arial Narrow" w:hAnsi="Arial Narrow"/>
                <w:szCs w:val="24"/>
              </w:rPr>
            </w:pPr>
            <w:r w:rsidRPr="00050A71">
              <w:rPr>
                <w:rFonts w:ascii="Arial Narrow" w:hAnsi="Arial Narrow"/>
                <w:szCs w:val="24"/>
              </w:rPr>
              <w:t>Executive Officer</w:t>
            </w:r>
          </w:p>
          <w:p w:rsidR="003C0024" w:rsidRPr="00050A71" w:rsidRDefault="003C0024" w:rsidP="00954325">
            <w:pPr>
              <w:rPr>
                <w:rFonts w:ascii="Arial Narrow" w:hAnsi="Arial Narrow"/>
                <w:szCs w:val="24"/>
              </w:rPr>
            </w:pPr>
            <w:r w:rsidRPr="00050A71">
              <w:rPr>
                <w:rFonts w:ascii="Arial Narrow" w:hAnsi="Arial Narrow"/>
                <w:szCs w:val="24"/>
              </w:rPr>
              <w:t>Community Legal Centres Association (WA)</w:t>
            </w:r>
          </w:p>
        </w:tc>
      </w:tr>
      <w:tr w:rsidR="003C0024" w:rsidTr="00954325">
        <w:tc>
          <w:tcPr>
            <w:tcW w:w="4503" w:type="dxa"/>
            <w:vAlign w:val="bottom"/>
          </w:tcPr>
          <w:p w:rsidR="003C0024" w:rsidRDefault="003C0024" w:rsidP="00954325">
            <w:pPr>
              <w:rPr>
                <w:rFonts w:ascii="Arial Narrow" w:hAnsi="Arial Narrow"/>
                <w:b/>
                <w:szCs w:val="24"/>
              </w:rPr>
            </w:pPr>
          </w:p>
          <w:p w:rsidR="00B20427" w:rsidRDefault="00B20427" w:rsidP="00954325">
            <w:pPr>
              <w:rPr>
                <w:rFonts w:ascii="Arial Narrow" w:hAnsi="Arial Narrow"/>
                <w:b/>
                <w:szCs w:val="24"/>
              </w:rPr>
            </w:pPr>
          </w:p>
          <w:p w:rsidR="003C0024" w:rsidRPr="00050A71" w:rsidRDefault="003C0024" w:rsidP="00954325">
            <w:pPr>
              <w:rPr>
                <w:rFonts w:ascii="Arial Narrow" w:hAnsi="Arial Narrow"/>
                <w:b/>
                <w:szCs w:val="24"/>
              </w:rPr>
            </w:pPr>
          </w:p>
        </w:tc>
        <w:tc>
          <w:tcPr>
            <w:tcW w:w="5103" w:type="dxa"/>
          </w:tcPr>
          <w:p w:rsidR="003C0024" w:rsidRPr="00050A71" w:rsidRDefault="003C0024" w:rsidP="00954325">
            <w:pPr>
              <w:rPr>
                <w:rFonts w:ascii="Arial Narrow" w:hAnsi="Arial Narrow"/>
                <w:b/>
                <w:szCs w:val="24"/>
              </w:rPr>
            </w:pPr>
          </w:p>
        </w:tc>
      </w:tr>
      <w:tr w:rsidR="003C0024" w:rsidTr="00954325">
        <w:tc>
          <w:tcPr>
            <w:tcW w:w="4503" w:type="dxa"/>
          </w:tcPr>
          <w:p w:rsidR="003C0024" w:rsidRPr="00050A71" w:rsidRDefault="003C0024" w:rsidP="00954325">
            <w:pPr>
              <w:rPr>
                <w:rFonts w:ascii="Arial Narrow" w:hAnsi="Arial Narrow"/>
                <w:szCs w:val="24"/>
              </w:rPr>
            </w:pPr>
            <w:r w:rsidRPr="00050A71">
              <w:rPr>
                <w:rFonts w:ascii="Arial Narrow" w:hAnsi="Arial Narrow"/>
                <w:b/>
                <w:szCs w:val="24"/>
              </w:rPr>
              <w:t>Michael Smith</w:t>
            </w:r>
          </w:p>
          <w:p w:rsidR="003C0024" w:rsidRPr="00050A71" w:rsidRDefault="003C0024" w:rsidP="00954325">
            <w:pPr>
              <w:rPr>
                <w:rFonts w:ascii="Arial Narrow" w:hAnsi="Arial Narrow"/>
                <w:b/>
                <w:szCs w:val="24"/>
              </w:rPr>
            </w:pPr>
            <w:r w:rsidRPr="00050A71">
              <w:rPr>
                <w:rFonts w:ascii="Arial Narrow" w:hAnsi="Arial Narrow"/>
                <w:szCs w:val="24"/>
              </w:rPr>
              <w:t>Convenor</w:t>
            </w:r>
            <w:r w:rsidRPr="00050A71">
              <w:rPr>
                <w:rFonts w:ascii="Arial Narrow" w:hAnsi="Arial Narrow"/>
                <w:szCs w:val="24"/>
              </w:rPr>
              <w:br/>
              <w:t>National Association of Community Legal Centres</w:t>
            </w:r>
          </w:p>
        </w:tc>
        <w:tc>
          <w:tcPr>
            <w:tcW w:w="5103" w:type="dxa"/>
          </w:tcPr>
          <w:p w:rsidR="003C0024" w:rsidRPr="00050A71" w:rsidRDefault="003C0024" w:rsidP="00954325">
            <w:pPr>
              <w:rPr>
                <w:rFonts w:ascii="Arial Narrow" w:hAnsi="Arial Narrow"/>
                <w:b/>
                <w:szCs w:val="24"/>
              </w:rPr>
            </w:pPr>
          </w:p>
        </w:tc>
      </w:tr>
    </w:tbl>
    <w:p w:rsidR="003C0024" w:rsidRPr="00AD3842" w:rsidRDefault="003C0024" w:rsidP="003C0024">
      <w:pPr>
        <w:rPr>
          <w:rFonts w:ascii="Arial Narrow" w:hAnsi="Arial Narrow"/>
          <w:sz w:val="24"/>
          <w:szCs w:val="24"/>
        </w:rPr>
      </w:pPr>
    </w:p>
    <w:p w:rsidR="00EC4447" w:rsidRPr="00F13A25" w:rsidRDefault="00EC4447" w:rsidP="00F13A25"/>
    <w:sectPr w:rsidR="00EC4447" w:rsidRPr="00F13A25" w:rsidSect="003C00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B1" w:rsidRDefault="006735B1">
      <w:r>
        <w:separator/>
      </w:r>
    </w:p>
  </w:endnote>
  <w:endnote w:type="continuationSeparator" w:id="0">
    <w:p w:rsidR="006735B1" w:rsidRDefault="006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B1" w:rsidRDefault="006735B1">
      <w:r>
        <w:separator/>
      </w:r>
    </w:p>
  </w:footnote>
  <w:footnote w:type="continuationSeparator" w:id="0">
    <w:p w:rsidR="006735B1" w:rsidRDefault="006735B1">
      <w:r>
        <w:continuationSeparator/>
      </w:r>
    </w:p>
  </w:footnote>
  <w:footnote w:id="1">
    <w:p w:rsidR="003C0024" w:rsidRPr="00050A71" w:rsidRDefault="003C0024" w:rsidP="003C0024">
      <w:pPr>
        <w:pStyle w:val="FootnoteText"/>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Pr>
          <w:rFonts w:ascii="Arial Narrow" w:hAnsi="Arial Narrow"/>
          <w:sz w:val="16"/>
          <w:szCs w:val="16"/>
        </w:rPr>
        <w:t xml:space="preserve"> N</w:t>
      </w:r>
      <w:r w:rsidRPr="00050A71">
        <w:rPr>
          <w:rFonts w:ascii="Arial Narrow" w:hAnsi="Arial Narrow"/>
          <w:sz w:val="16"/>
          <w:szCs w:val="16"/>
        </w:rPr>
        <w:t>ote, for example, that indigenous women’s interests have been represented through submissions to the UN through the National Aboriginal and Torres Strait Islander Women’s Alliance (</w:t>
      </w:r>
      <w:proofErr w:type="spellStart"/>
      <w:r w:rsidRPr="00050A71">
        <w:rPr>
          <w:rFonts w:ascii="Arial Narrow" w:hAnsi="Arial Narrow"/>
          <w:b/>
          <w:sz w:val="16"/>
          <w:szCs w:val="16"/>
        </w:rPr>
        <w:t>NATSIWA</w:t>
      </w:r>
      <w:proofErr w:type="spellEnd"/>
      <w:r w:rsidRPr="00050A71">
        <w:rPr>
          <w:rFonts w:ascii="Arial Narrow" w:hAnsi="Arial Narrow"/>
          <w:sz w:val="16"/>
          <w:szCs w:val="16"/>
        </w:rPr>
        <w:t xml:space="preserve">): see </w:t>
      </w:r>
      <w:proofErr w:type="spellStart"/>
      <w:r w:rsidRPr="00050A71">
        <w:rPr>
          <w:rFonts w:ascii="Arial Narrow" w:hAnsi="Arial Narrow"/>
          <w:sz w:val="16"/>
          <w:szCs w:val="16"/>
        </w:rPr>
        <w:t>eg</w:t>
      </w:r>
      <w:proofErr w:type="spellEnd"/>
      <w:r w:rsidRPr="00050A71">
        <w:rPr>
          <w:rFonts w:ascii="Arial Narrow" w:hAnsi="Arial Narrow"/>
          <w:sz w:val="16"/>
          <w:szCs w:val="16"/>
        </w:rPr>
        <w:t xml:space="preserve"> </w:t>
      </w:r>
      <w:proofErr w:type="spellStart"/>
      <w:r w:rsidRPr="00050A71">
        <w:rPr>
          <w:rFonts w:ascii="Arial Narrow" w:hAnsi="Arial Narrow"/>
          <w:sz w:val="16"/>
          <w:szCs w:val="16"/>
        </w:rPr>
        <w:t>AWAVA</w:t>
      </w:r>
      <w:proofErr w:type="spellEnd"/>
      <w:r w:rsidRPr="00050A71">
        <w:rPr>
          <w:rFonts w:ascii="Arial Narrow" w:hAnsi="Arial Narrow"/>
          <w:sz w:val="16"/>
          <w:szCs w:val="16"/>
        </w:rPr>
        <w:t xml:space="preserve"> and </w:t>
      </w:r>
      <w:proofErr w:type="spellStart"/>
      <w:r w:rsidRPr="00050A71">
        <w:rPr>
          <w:rFonts w:ascii="Arial Narrow" w:hAnsi="Arial Narrow"/>
          <w:sz w:val="16"/>
          <w:szCs w:val="16"/>
        </w:rPr>
        <w:t>NATSIWA</w:t>
      </w:r>
      <w:proofErr w:type="spellEnd"/>
      <w:r w:rsidRPr="00050A71">
        <w:rPr>
          <w:rFonts w:ascii="Arial Narrow" w:hAnsi="Arial Narrow"/>
          <w:sz w:val="16"/>
          <w:szCs w:val="16"/>
        </w:rPr>
        <w:t xml:space="preserve">, </w:t>
      </w:r>
      <w:r w:rsidRPr="00050A71">
        <w:rPr>
          <w:rFonts w:ascii="Arial Narrow" w:hAnsi="Arial Narrow"/>
          <w:i/>
          <w:sz w:val="16"/>
          <w:szCs w:val="16"/>
        </w:rPr>
        <w:t xml:space="preserve">AUSTRALIA: Non-Government Organisations Follow-up Report to the United Nations Committee on the Elimination of Discrimination Against Women </w:t>
      </w:r>
      <w:r w:rsidRPr="00050A71">
        <w:rPr>
          <w:rFonts w:ascii="Arial Narrow" w:hAnsi="Arial Narrow"/>
          <w:sz w:val="16"/>
          <w:szCs w:val="16"/>
        </w:rPr>
        <w:t>(July 2012).</w:t>
      </w:r>
    </w:p>
  </w:footnote>
  <w:footnote w:id="2">
    <w:p w:rsidR="003C0024" w:rsidRPr="00050A71" w:rsidRDefault="003C0024" w:rsidP="003C0024">
      <w:pPr>
        <w:pStyle w:val="FootnoteText"/>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Law and Justice Foundation of NSW, </w:t>
      </w:r>
      <w:r w:rsidRPr="00050A71">
        <w:rPr>
          <w:rFonts w:ascii="Arial Narrow" w:hAnsi="Arial Narrow"/>
          <w:i/>
          <w:sz w:val="16"/>
          <w:szCs w:val="16"/>
        </w:rPr>
        <w:t xml:space="preserve">Legal Needs of people with a disability in Australia </w:t>
      </w:r>
      <w:r w:rsidRPr="00050A71">
        <w:rPr>
          <w:rFonts w:ascii="Arial Narrow" w:hAnsi="Arial Narrow"/>
          <w:sz w:val="16"/>
          <w:szCs w:val="16"/>
        </w:rPr>
        <w:t xml:space="preserve">(November 2012, </w:t>
      </w:r>
      <w:r w:rsidRPr="00050A71">
        <w:rPr>
          <w:rFonts w:ascii="Arial Narrow" w:eastAsia="Times New Roman" w:hAnsi="Arial Narrow" w:cs="Times New Roman"/>
          <w:sz w:val="16"/>
          <w:szCs w:val="16"/>
          <w:lang w:eastAsia="en-AU"/>
        </w:rPr>
        <w:t xml:space="preserve">Law and Justice Foundation of NSW, Sydney) </w:t>
      </w:r>
      <w:hyperlink r:id="rId1" w:history="1">
        <w:r w:rsidRPr="00050A71">
          <w:rPr>
            <w:rStyle w:val="Hyperlink"/>
            <w:rFonts w:ascii="Arial Narrow" w:eastAsia="Times New Roman" w:hAnsi="Arial Narrow" w:cs="Times New Roman"/>
            <w:sz w:val="16"/>
            <w:szCs w:val="16"/>
            <w:lang w:eastAsia="en-AU"/>
          </w:rPr>
          <w:t>http://www.lawfoundation.net.au/ljf/site/templates/UpdatingJustice/$file/UJ_16_Disability_AUS_FINAL.pdf</w:t>
        </w:r>
      </w:hyperlink>
      <w:r w:rsidRPr="00050A71">
        <w:rPr>
          <w:rFonts w:ascii="Arial Narrow" w:eastAsia="Times New Roman" w:hAnsi="Arial Narrow" w:cs="Times New Roman"/>
          <w:sz w:val="16"/>
          <w:szCs w:val="16"/>
          <w:lang w:eastAsia="en-AU"/>
        </w:rPr>
        <w:t xml:space="preserve">. </w:t>
      </w:r>
    </w:p>
  </w:footnote>
  <w:footnote w:id="3">
    <w:p w:rsidR="003C0024" w:rsidRPr="00050A71" w:rsidRDefault="003C0024" w:rsidP="003C0024">
      <w:pPr>
        <w:pStyle w:val="FootnoteText"/>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Law Reform Committee, Parliament of Victoria, </w:t>
      </w:r>
      <w:r w:rsidRPr="00050A71">
        <w:rPr>
          <w:rFonts w:ascii="Arial Narrow" w:hAnsi="Arial Narrow"/>
          <w:i/>
          <w:sz w:val="16"/>
          <w:szCs w:val="16"/>
        </w:rPr>
        <w:t>Inquiry into Access to and Interaction with the Justice System by People with an Intellectual Disability and their Families and Carers</w:t>
      </w:r>
      <w:r w:rsidRPr="00050A71">
        <w:rPr>
          <w:rFonts w:ascii="Arial Narrow" w:hAnsi="Arial Narrow"/>
          <w:sz w:val="16"/>
          <w:szCs w:val="16"/>
        </w:rPr>
        <w:t xml:space="preserve"> (Melbourne, March 2013) 4-7.</w:t>
      </w:r>
    </w:p>
  </w:footnote>
  <w:footnote w:id="4">
    <w:p w:rsidR="003C0024" w:rsidRPr="00050A71" w:rsidRDefault="003C0024" w:rsidP="003C0024">
      <w:pPr>
        <w:pStyle w:val="FootnoteText"/>
        <w:spacing w:after="80"/>
        <w:ind w:left="153" w:hanging="153"/>
        <w:rPr>
          <w:rFonts w:ascii="Arial Narrow" w:hAnsi="Arial Narrow"/>
          <w:bCs/>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w:t>
      </w:r>
      <w:r w:rsidRPr="00050A71">
        <w:rPr>
          <w:rFonts w:ascii="Arial Narrow" w:hAnsi="Arial Narrow"/>
          <w:bCs/>
          <w:sz w:val="16"/>
          <w:szCs w:val="16"/>
        </w:rPr>
        <w:t xml:space="preserve">Maria </w:t>
      </w:r>
      <w:proofErr w:type="spellStart"/>
      <w:r w:rsidRPr="00050A71">
        <w:rPr>
          <w:rFonts w:ascii="Arial Narrow" w:hAnsi="Arial Narrow"/>
          <w:bCs/>
          <w:sz w:val="16"/>
          <w:szCs w:val="16"/>
        </w:rPr>
        <w:t>Karras</w:t>
      </w:r>
      <w:proofErr w:type="spellEnd"/>
      <w:r w:rsidRPr="00050A71">
        <w:rPr>
          <w:rFonts w:ascii="Arial Narrow" w:hAnsi="Arial Narrow"/>
          <w:bCs/>
          <w:sz w:val="16"/>
          <w:szCs w:val="16"/>
        </w:rPr>
        <w:t xml:space="preserve">, Emily McCarron, Abigail </w:t>
      </w:r>
      <w:proofErr w:type="spellStart"/>
      <w:r w:rsidRPr="00050A71">
        <w:rPr>
          <w:rFonts w:ascii="Arial Narrow" w:hAnsi="Arial Narrow"/>
          <w:bCs/>
          <w:sz w:val="16"/>
          <w:szCs w:val="16"/>
        </w:rPr>
        <w:t>Gray</w:t>
      </w:r>
      <w:proofErr w:type="spellEnd"/>
      <w:r w:rsidRPr="00050A71">
        <w:rPr>
          <w:rFonts w:ascii="Arial Narrow" w:hAnsi="Arial Narrow"/>
          <w:bCs/>
          <w:sz w:val="16"/>
          <w:szCs w:val="16"/>
        </w:rPr>
        <w:t xml:space="preserve"> &amp; Sam </w:t>
      </w:r>
      <w:proofErr w:type="spellStart"/>
      <w:r w:rsidRPr="00050A71">
        <w:rPr>
          <w:rFonts w:ascii="Arial Narrow" w:hAnsi="Arial Narrow"/>
          <w:bCs/>
          <w:sz w:val="16"/>
          <w:szCs w:val="16"/>
        </w:rPr>
        <w:t>Ardasinski</w:t>
      </w:r>
      <w:proofErr w:type="spellEnd"/>
      <w:r w:rsidRPr="00050A71">
        <w:rPr>
          <w:rFonts w:ascii="Arial Narrow" w:hAnsi="Arial Narrow"/>
          <w:sz w:val="16"/>
          <w:szCs w:val="16"/>
        </w:rPr>
        <w:t xml:space="preserve">, </w:t>
      </w:r>
      <w:r w:rsidRPr="00050A71">
        <w:rPr>
          <w:rFonts w:ascii="Arial Narrow" w:hAnsi="Arial Narrow"/>
          <w:bCs/>
          <w:i/>
          <w:sz w:val="16"/>
          <w:szCs w:val="16"/>
        </w:rPr>
        <w:t>On the edge of justice: the legal needs of people with a mental illness in NSW (</w:t>
      </w:r>
      <w:r w:rsidRPr="00050A71">
        <w:rPr>
          <w:rFonts w:ascii="Arial Narrow" w:hAnsi="Arial Narrow"/>
          <w:bCs/>
          <w:sz w:val="16"/>
          <w:szCs w:val="16"/>
        </w:rPr>
        <w:t>Law and Justice Foundation of NSW, Sydney, 2006).</w:t>
      </w:r>
    </w:p>
  </w:footnote>
  <w:footnote w:id="5">
    <w:p w:rsidR="003C0024" w:rsidRPr="00050A71" w:rsidRDefault="003C0024" w:rsidP="003C0024">
      <w:pPr>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S Ellison, L </w:t>
      </w:r>
      <w:proofErr w:type="spellStart"/>
      <w:r w:rsidRPr="00050A71">
        <w:rPr>
          <w:rFonts w:ascii="Arial Narrow" w:hAnsi="Arial Narrow"/>
          <w:sz w:val="16"/>
          <w:szCs w:val="16"/>
        </w:rPr>
        <w:t>Schetzer</w:t>
      </w:r>
      <w:proofErr w:type="spellEnd"/>
      <w:r w:rsidRPr="00050A71">
        <w:rPr>
          <w:rFonts w:ascii="Arial Narrow" w:hAnsi="Arial Narrow"/>
          <w:sz w:val="16"/>
          <w:szCs w:val="16"/>
        </w:rPr>
        <w:t xml:space="preserve">, J Mullins, J Perry and K Wong, </w:t>
      </w:r>
      <w:r w:rsidRPr="00050A71">
        <w:rPr>
          <w:rFonts w:ascii="Arial Narrow" w:hAnsi="Arial Narrow"/>
          <w:i/>
          <w:sz w:val="16"/>
          <w:szCs w:val="16"/>
        </w:rPr>
        <w:t>The legal needs of older people in NSW</w:t>
      </w:r>
      <w:r w:rsidRPr="00050A71">
        <w:rPr>
          <w:rFonts w:ascii="Arial Narrow" w:hAnsi="Arial Narrow"/>
          <w:sz w:val="16"/>
          <w:szCs w:val="16"/>
        </w:rPr>
        <w:t xml:space="preserve"> (2004, Law and Justice Foundation of NSW, Sydney) </w:t>
      </w:r>
      <w:hyperlink r:id="rId2" w:history="1">
        <w:proofErr w:type="spellStart"/>
        <w:r w:rsidRPr="00050A71">
          <w:rPr>
            <w:rStyle w:val="Hyperlink"/>
            <w:rFonts w:ascii="Arial Narrow" w:hAnsi="Arial Narrow"/>
            <w:sz w:val="16"/>
            <w:szCs w:val="16"/>
          </w:rPr>
          <w:t>www.lawfoundation.net.au</w:t>
        </w:r>
        <w:proofErr w:type="spellEnd"/>
        <w:r w:rsidRPr="00050A71">
          <w:rPr>
            <w:rStyle w:val="Hyperlink"/>
            <w:rFonts w:ascii="Arial Narrow" w:hAnsi="Arial Narrow"/>
            <w:sz w:val="16"/>
            <w:szCs w:val="16"/>
          </w:rPr>
          <w:t>/report/older</w:t>
        </w:r>
      </w:hyperlink>
      <w:r w:rsidRPr="00050A71">
        <w:rPr>
          <w:rFonts w:ascii="Arial Narrow" w:hAnsi="Arial Narrow"/>
          <w:sz w:val="16"/>
          <w:szCs w:val="16"/>
        </w:rPr>
        <w:t xml:space="preserve">; C </w:t>
      </w:r>
      <w:proofErr w:type="spellStart"/>
      <w:r w:rsidRPr="00050A71">
        <w:rPr>
          <w:rFonts w:ascii="Arial Narrow" w:hAnsi="Arial Narrow"/>
          <w:sz w:val="16"/>
          <w:szCs w:val="16"/>
        </w:rPr>
        <w:t>Tilse</w:t>
      </w:r>
      <w:proofErr w:type="spellEnd"/>
      <w:r w:rsidRPr="00050A71">
        <w:rPr>
          <w:rFonts w:ascii="Arial Narrow" w:hAnsi="Arial Narrow"/>
          <w:sz w:val="16"/>
          <w:szCs w:val="16"/>
        </w:rPr>
        <w:t xml:space="preserve">, D </w:t>
      </w:r>
      <w:proofErr w:type="spellStart"/>
      <w:r w:rsidRPr="00050A71">
        <w:rPr>
          <w:rFonts w:ascii="Arial Narrow" w:hAnsi="Arial Narrow"/>
          <w:sz w:val="16"/>
          <w:szCs w:val="16"/>
        </w:rPr>
        <w:t>Setterlund</w:t>
      </w:r>
      <w:proofErr w:type="spellEnd"/>
      <w:r w:rsidRPr="00050A71">
        <w:rPr>
          <w:rFonts w:ascii="Arial Narrow" w:hAnsi="Arial Narrow"/>
          <w:sz w:val="16"/>
          <w:szCs w:val="16"/>
        </w:rPr>
        <w:t xml:space="preserve">, J Wilson and B Herd, ‘Legal practitioners and older clients: challenges and opportunities for effective practice’ (2002) 1 </w:t>
      </w:r>
      <w:r w:rsidRPr="00050A71">
        <w:rPr>
          <w:rFonts w:ascii="Arial Narrow" w:hAnsi="Arial Narrow"/>
          <w:i/>
          <w:sz w:val="16"/>
          <w:szCs w:val="16"/>
        </w:rPr>
        <w:t xml:space="preserve">Elder Law Review </w:t>
      </w:r>
      <w:r w:rsidRPr="00050A71">
        <w:rPr>
          <w:rFonts w:ascii="Arial Narrow" w:hAnsi="Arial Narrow"/>
          <w:sz w:val="16"/>
          <w:szCs w:val="16"/>
        </w:rPr>
        <w:t>34.</w:t>
      </w:r>
    </w:p>
  </w:footnote>
  <w:footnote w:id="6">
    <w:p w:rsidR="003C0024" w:rsidRPr="00050A71" w:rsidRDefault="003C0024" w:rsidP="003C0024">
      <w:pPr>
        <w:pStyle w:val="FootnoteText"/>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Australian Human Rights Commission, Inquiry into older people and the Law, (2006). At http://www.humanrights.gov.au/legal/submissions/2006/ADA_200612/older_people_and_the_law_dec06.html#toc12</w:t>
      </w:r>
    </w:p>
  </w:footnote>
  <w:footnote w:id="7">
    <w:p w:rsidR="003C0024" w:rsidRPr="00050A71" w:rsidRDefault="003C0024" w:rsidP="003C0024">
      <w:pPr>
        <w:spacing w:after="80"/>
        <w:ind w:left="153"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Australian Law Reform Commission, Equality before the law: justice for women, Report no. 69, Sydney, 1994. See also Louis </w:t>
      </w:r>
      <w:proofErr w:type="spellStart"/>
      <w:r w:rsidRPr="00050A71">
        <w:rPr>
          <w:rFonts w:ascii="Arial Narrow" w:hAnsi="Arial Narrow"/>
          <w:sz w:val="16"/>
          <w:szCs w:val="16"/>
        </w:rPr>
        <w:t>Schetzer</w:t>
      </w:r>
      <w:proofErr w:type="spellEnd"/>
      <w:r w:rsidRPr="00050A71">
        <w:rPr>
          <w:rFonts w:ascii="Arial Narrow" w:hAnsi="Arial Narrow"/>
          <w:sz w:val="16"/>
          <w:szCs w:val="16"/>
        </w:rPr>
        <w:t xml:space="preserve">, Joanna Mullins and Roberto </w:t>
      </w:r>
      <w:proofErr w:type="spellStart"/>
      <w:r w:rsidRPr="00050A71">
        <w:rPr>
          <w:rFonts w:ascii="Arial Narrow" w:hAnsi="Arial Narrow"/>
          <w:sz w:val="16"/>
          <w:szCs w:val="16"/>
        </w:rPr>
        <w:t>Buonamano</w:t>
      </w:r>
      <w:proofErr w:type="spellEnd"/>
      <w:r w:rsidRPr="00050A71">
        <w:rPr>
          <w:rFonts w:ascii="Arial Narrow" w:hAnsi="Arial Narrow"/>
          <w:sz w:val="16"/>
          <w:szCs w:val="16"/>
        </w:rPr>
        <w:t xml:space="preserve">, </w:t>
      </w:r>
      <w:r w:rsidRPr="00050A71">
        <w:rPr>
          <w:rFonts w:ascii="Arial Narrow" w:hAnsi="Arial Narrow"/>
          <w:i/>
          <w:sz w:val="16"/>
          <w:szCs w:val="16"/>
        </w:rPr>
        <w:t>Access to Justice &amp; Legal Needs A project to identify legal needs, pathways and barriers for disadvantaged people in NSW Background Paper</w:t>
      </w:r>
      <w:r w:rsidRPr="00050A71">
        <w:rPr>
          <w:rFonts w:ascii="Arial Narrow" w:hAnsi="Arial Narrow"/>
          <w:sz w:val="16"/>
          <w:szCs w:val="16"/>
        </w:rPr>
        <w:t xml:space="preserve"> (August 2002, Law and Justice Foundation of NSW, Sydney) 60-61.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1B" w:rsidRDefault="006735B1" w:rsidP="00235D1B">
    <w:pPr>
      <w:jc w:val="center"/>
    </w:pPr>
    <w:r>
      <w:rPr>
        <w:noProof/>
      </w:rPr>
      <w:drawing>
        <wp:inline distT="0" distB="0" distL="0" distR="0" wp14:anchorId="5F8E16E6" wp14:editId="691169B1">
          <wp:extent cx="869950" cy="920214"/>
          <wp:effectExtent l="0" t="0" r="6350" b="0"/>
          <wp:docPr id="26" name="Picture 26" descr="https://si0.twimg.com/profile_images/2200869522/NACL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i0.twimg.com/profile_images/2200869522/NACLC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05" cy="920166"/>
                  </a:xfrm>
                  <a:prstGeom prst="rect">
                    <a:avLst/>
                  </a:prstGeom>
                  <a:noFill/>
                  <a:ln>
                    <a:noFill/>
                  </a:ln>
                </pic:spPr>
              </pic:pic>
            </a:graphicData>
          </a:graphic>
        </wp:inline>
      </w:drawing>
    </w:r>
    <w:r>
      <w:t xml:space="preserve">     </w:t>
    </w:r>
    <w:r>
      <w:rPr>
        <w:noProof/>
      </w:rPr>
      <w:drawing>
        <wp:inline distT="0" distB="0" distL="0" distR="0" wp14:anchorId="5C1099F8" wp14:editId="03EFA3CD">
          <wp:extent cx="901700" cy="850604"/>
          <wp:effectExtent l="0" t="0" r="0" b="6985"/>
          <wp:docPr id="27" name="Picture 27" descr="http://www.barwoncls.org.au/images/FC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arwoncls.org.au/images/FCL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850604"/>
                  </a:xfrm>
                  <a:prstGeom prst="rect">
                    <a:avLst/>
                  </a:prstGeom>
                  <a:noFill/>
                  <a:ln>
                    <a:noFill/>
                  </a:ln>
                </pic:spPr>
              </pic:pic>
            </a:graphicData>
          </a:graphic>
        </wp:inline>
      </w:drawing>
    </w:r>
    <w:r>
      <w:t xml:space="preserve">        </w:t>
    </w:r>
    <w:r>
      <w:rPr>
        <w:noProof/>
      </w:rPr>
      <w:drawing>
        <wp:inline distT="0" distB="0" distL="0" distR="0" wp14:anchorId="1B6BA7BF" wp14:editId="0C0F0DAD">
          <wp:extent cx="1041400" cy="738000"/>
          <wp:effectExtent l="0" t="0" r="6350" b="5080"/>
          <wp:docPr id="28" name="Picture 28" descr="https://si0.twimg.com/profile_images/1816724840/CLC_logo-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i0.twimg.com/profile_images/1816724840/CLC_logo-twitter.jpg"/>
                  <pic:cNvPicPr>
                    <a:picLocks noChangeAspect="1" noChangeArrowheads="1"/>
                  </pic:cNvPicPr>
                </pic:nvPicPr>
                <pic:blipFill rotWithShape="1">
                  <a:blip r:embed="rId3">
                    <a:extLst>
                      <a:ext uri="{28A0092B-C50C-407E-A947-70E740481C1C}">
                        <a14:useLocalDpi xmlns:a14="http://schemas.microsoft.com/office/drawing/2010/main" val="0"/>
                      </a:ext>
                    </a:extLst>
                  </a:blip>
                  <a:srcRect b="29134"/>
                  <a:stretch/>
                </pic:blipFill>
                <pic:spPr bwMode="auto">
                  <a:xfrm>
                    <a:off x="0" y="0"/>
                    <a:ext cx="1041400" cy="738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3C0024">
      <w:t xml:space="preserve"> </w:t>
    </w:r>
    <w:r>
      <w:t xml:space="preserve">    </w:t>
    </w:r>
    <w:r>
      <w:rPr>
        <w:noProof/>
      </w:rPr>
      <w:drawing>
        <wp:inline distT="0" distB="0" distL="0" distR="0" wp14:anchorId="388C5DAC" wp14:editId="7BF24F52">
          <wp:extent cx="768350" cy="768350"/>
          <wp:effectExtent l="0" t="0" r="0" b="0"/>
          <wp:docPr id="29" name="Picture 29" descr="https://si0.twimg.com/profile_images/3083892875/7b77c18c140aefe52723e40523667f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i0.twimg.com/profile_images/3083892875/7b77c18c140aefe52723e40523667f8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r>
      <w:t xml:space="preserve">     </w:t>
    </w:r>
    <w:r w:rsidR="003C0024">
      <w:t xml:space="preserve">  </w:t>
    </w:r>
    <w:r>
      <w:t xml:space="preserve">     </w:t>
    </w:r>
    <w:r>
      <w:rPr>
        <w:noProof/>
      </w:rPr>
      <w:drawing>
        <wp:inline distT="0" distB="0" distL="0" distR="0" wp14:anchorId="19D9F3B4" wp14:editId="5966FE0E">
          <wp:extent cx="1018717" cy="762000"/>
          <wp:effectExtent l="0" t="0" r="0" b="0"/>
          <wp:docPr id="30" name="Picture 30" descr="https://si0.twimg.com/profile_images/1676534941/small_Asso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i0.twimg.com/profile_images/1676534941/small_Assoc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8717" cy="762000"/>
                  </a:xfrm>
                  <a:prstGeom prst="rect">
                    <a:avLst/>
                  </a:prstGeom>
                  <a:noFill/>
                  <a:ln>
                    <a:noFill/>
                  </a:ln>
                </pic:spPr>
              </pic:pic>
            </a:graphicData>
          </a:graphic>
        </wp:inline>
      </w:drawing>
    </w:r>
  </w:p>
  <w:p w:rsidR="003C0024" w:rsidRDefault="003C0024" w:rsidP="00235D1B">
    <w:pPr>
      <w:jc w:val="center"/>
    </w:pPr>
  </w:p>
  <w:p w:rsidR="003C0024" w:rsidRDefault="003C0024" w:rsidP="00235D1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10572B8"/>
    <w:multiLevelType w:val="hybridMultilevel"/>
    <w:tmpl w:val="9F029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DB62CF5"/>
    <w:multiLevelType w:val="hybridMultilevel"/>
    <w:tmpl w:val="967EDFDA"/>
    <w:lvl w:ilvl="0" w:tplc="245C50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6"/>
  </w:num>
  <w:num w:numId="4">
    <w:abstractNumId w:val="11"/>
  </w:num>
  <w:num w:numId="5">
    <w:abstractNumId w:val="12"/>
  </w:num>
  <w:num w:numId="6">
    <w:abstractNumId w:val="3"/>
  </w:num>
  <w:num w:numId="7">
    <w:abstractNumId w:val="19"/>
  </w:num>
  <w:num w:numId="8">
    <w:abstractNumId w:val="1"/>
  </w:num>
  <w:num w:numId="9">
    <w:abstractNumId w:val="15"/>
  </w:num>
  <w:num w:numId="10">
    <w:abstractNumId w:val="2"/>
  </w:num>
  <w:num w:numId="11">
    <w:abstractNumId w:val="7"/>
  </w:num>
  <w:num w:numId="12">
    <w:abstractNumId w:val="18"/>
  </w:num>
  <w:num w:numId="13">
    <w:abstractNumId w:val="10"/>
  </w:num>
  <w:num w:numId="14">
    <w:abstractNumId w:val="17"/>
  </w:num>
  <w:num w:numId="15">
    <w:abstractNumId w:val="0"/>
  </w:num>
  <w:num w:numId="16">
    <w:abstractNumId w:val="14"/>
  </w:num>
  <w:num w:numId="17">
    <w:abstractNumId w:val="23"/>
  </w:num>
  <w:num w:numId="18">
    <w:abstractNumId w:val="9"/>
  </w:num>
  <w:num w:numId="19">
    <w:abstractNumId w:val="16"/>
  </w:num>
  <w:num w:numId="20">
    <w:abstractNumId w:val="5"/>
  </w:num>
  <w:num w:numId="21">
    <w:abstractNumId w:val="4"/>
  </w:num>
  <w:num w:numId="22">
    <w:abstractNumId w:val="22"/>
  </w:num>
  <w:num w:numId="23">
    <w:abstractNumId w:val="13"/>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112A70"/>
    <w:rsid w:val="001216F3"/>
    <w:rsid w:val="001639D2"/>
    <w:rsid w:val="0019530F"/>
    <w:rsid w:val="001C5C7C"/>
    <w:rsid w:val="00222CCB"/>
    <w:rsid w:val="003C0024"/>
    <w:rsid w:val="003C5524"/>
    <w:rsid w:val="00423861"/>
    <w:rsid w:val="00423BFB"/>
    <w:rsid w:val="004757CD"/>
    <w:rsid w:val="0048038E"/>
    <w:rsid w:val="0049297B"/>
    <w:rsid w:val="004B21E0"/>
    <w:rsid w:val="004B6E74"/>
    <w:rsid w:val="004C147C"/>
    <w:rsid w:val="00617198"/>
    <w:rsid w:val="00626C39"/>
    <w:rsid w:val="00627597"/>
    <w:rsid w:val="006349CF"/>
    <w:rsid w:val="00664D41"/>
    <w:rsid w:val="006735B1"/>
    <w:rsid w:val="006B00E1"/>
    <w:rsid w:val="006C6C0E"/>
    <w:rsid w:val="007C3E81"/>
    <w:rsid w:val="00820633"/>
    <w:rsid w:val="00843256"/>
    <w:rsid w:val="009B5A29"/>
    <w:rsid w:val="00A17B13"/>
    <w:rsid w:val="00B0354E"/>
    <w:rsid w:val="00B20427"/>
    <w:rsid w:val="00C75B46"/>
    <w:rsid w:val="00D40904"/>
    <w:rsid w:val="00D94904"/>
    <w:rsid w:val="00E0213B"/>
    <w:rsid w:val="00E05315"/>
    <w:rsid w:val="00E33CD7"/>
    <w:rsid w:val="00E7598B"/>
    <w:rsid w:val="00EC4447"/>
    <w:rsid w:val="00ED0823"/>
    <w:rsid w:val="00F11779"/>
    <w:rsid w:val="00F13A25"/>
    <w:rsid w:val="00F51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3C0024"/>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3C002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C0024"/>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C002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C0024"/>
    <w:rPr>
      <w:vertAlign w:val="superscript"/>
    </w:rPr>
  </w:style>
  <w:style w:type="character" w:styleId="Emphasis">
    <w:name w:val="Emphasis"/>
    <w:basedOn w:val="DefaultParagraphFont"/>
    <w:qFormat/>
    <w:rsid w:val="006B00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3C0024"/>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3C002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C0024"/>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C002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C0024"/>
    <w:rPr>
      <w:vertAlign w:val="superscript"/>
    </w:rPr>
  </w:style>
  <w:style w:type="character" w:styleId="Emphasis">
    <w:name w:val="Emphasis"/>
    <w:basedOn w:val="DefaultParagraphFont"/>
    <w:qFormat/>
    <w:rsid w:val="006B0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8482">
      <w:bodyDiv w:val="1"/>
      <w:marLeft w:val="0"/>
      <w:marRight w:val="0"/>
      <w:marTop w:val="0"/>
      <w:marBottom w:val="0"/>
      <w:divBdr>
        <w:top w:val="none" w:sz="0" w:space="0" w:color="auto"/>
        <w:left w:val="none" w:sz="0" w:space="0" w:color="auto"/>
        <w:bottom w:val="none" w:sz="0" w:space="0" w:color="auto"/>
        <w:right w:val="none" w:sz="0" w:space="0" w:color="auto"/>
      </w:divBdr>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44085">
      <w:bodyDiv w:val="1"/>
      <w:marLeft w:val="0"/>
      <w:marRight w:val="0"/>
      <w:marTop w:val="0"/>
      <w:marBottom w:val="0"/>
      <w:divBdr>
        <w:top w:val="none" w:sz="0" w:space="0" w:color="auto"/>
        <w:left w:val="none" w:sz="0" w:space="0" w:color="auto"/>
        <w:bottom w:val="none" w:sz="0" w:space="0" w:color="auto"/>
        <w:right w:val="none" w:sz="0" w:space="0" w:color="auto"/>
      </w:divBdr>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awfoundation.net.au/report/older" TargetMode="External"/><Relationship Id="rId1" Type="http://schemas.openxmlformats.org/officeDocument/2006/relationships/hyperlink" Target="http://www.lawfoundation.net.au/ljf/site/templates/UpdatingJustice/$file/UJ_16_Disability_AUS_FINA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coversheet - Access to Justice Arrangements - Public inquiry</vt:lpstr>
    </vt:vector>
  </TitlesOfParts>
  <LinksUpToDate>false</LinksUpToDate>
  <CharactersWithSpaces>8926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Community Legal Centres NSW and others - Access to Justice Arrangements public inquiry</dc:title>
  <dc:creator/>
  <cp:lastModifiedBy/>
  <cp:revision>1</cp:revision>
  <dcterms:created xsi:type="dcterms:W3CDTF">2013-08-08T00:52:00Z</dcterms:created>
  <dcterms:modified xsi:type="dcterms:W3CDTF">2013-08-08T00:53:00Z</dcterms:modified>
</cp:coreProperties>
</file>