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BB1" w:rsidRPr="006A14D6" w:rsidRDefault="00B26BB1" w:rsidP="00B26BB1">
      <w:pPr>
        <w:pStyle w:val="Heading1"/>
        <w:jc w:val="center"/>
        <w:rPr>
          <w:rFonts w:hint="eastAsia"/>
        </w:rPr>
      </w:pPr>
      <w:r>
        <w:t>SUBMISSIO</w:t>
      </w:r>
      <w:bookmarkStart w:id="0" w:name="_GoBack"/>
      <w:bookmarkEnd w:id="0"/>
      <w:r>
        <w:t xml:space="preserve">N </w:t>
      </w:r>
      <w:r>
        <w:rPr>
          <w:rFonts w:hint="eastAsia"/>
        </w:rPr>
        <w:t xml:space="preserve">TO THE </w:t>
      </w:r>
      <w:r w:rsidRPr="00D32E3C">
        <w:rPr>
          <w:rFonts w:hint="eastAsia"/>
        </w:rPr>
        <w:t>PRODUCTIVITY COMMISSION</w:t>
      </w:r>
      <w:r w:rsidRPr="00D32E3C">
        <w:rPr>
          <w:rFonts w:ascii="Arial" w:hAnsi="Arial"/>
        </w:rPr>
        <w:t>’</w:t>
      </w:r>
      <w:r>
        <w:rPr>
          <w:rFonts w:hint="eastAsia"/>
        </w:rPr>
        <w:t>S</w:t>
      </w:r>
      <w:r w:rsidRPr="00D32E3C">
        <w:rPr>
          <w:rFonts w:hint="eastAsia"/>
        </w:rPr>
        <w:t xml:space="preserve"> </w:t>
      </w:r>
      <w:r>
        <w:rPr>
          <w:rFonts w:hint="eastAsia"/>
        </w:rPr>
        <w:t xml:space="preserve">INQUIRY INTO </w:t>
      </w:r>
      <w:r w:rsidRPr="00D32E3C">
        <w:rPr>
          <w:rFonts w:hint="eastAsia"/>
        </w:rPr>
        <w:t>ACCESS TO JUSTICE ARRANGEMENTS</w:t>
      </w:r>
    </w:p>
    <w:p w:rsidR="00B26BB1" w:rsidRDefault="00B26BB1" w:rsidP="00B26BB1"/>
    <w:p w:rsidR="00B26BB1" w:rsidRDefault="00B26BB1" w:rsidP="00B26BB1">
      <w:r w:rsidRPr="00B864AB">
        <w:t xml:space="preserve">The Administrative Appeals Tribunal (AAT) welcomes this opportunity to </w:t>
      </w:r>
      <w:r>
        <w:t>contribute</w:t>
      </w:r>
      <w:r w:rsidRPr="00B864AB">
        <w:t xml:space="preserve"> to the Productivity Commission’s Inquiry into Access to Justice Arrangements.</w:t>
      </w:r>
      <w:r>
        <w:t xml:space="preserve">  The Commission’s Issues Paper raises a number of issues relevant to the AAT, including:</w:t>
      </w:r>
    </w:p>
    <w:p w:rsidR="00B26BB1" w:rsidRPr="000F6CC7" w:rsidRDefault="00B26BB1" w:rsidP="00BF77D7">
      <w:pPr>
        <w:pStyle w:val="ListBullet"/>
      </w:pPr>
      <w:r w:rsidRPr="000F6CC7">
        <w:t>the balance between generalist and specialist tribunals</w:t>
      </w:r>
      <w:r w:rsidR="000F6CC7" w:rsidRPr="000F6CC7">
        <w:t>;</w:t>
      </w:r>
    </w:p>
    <w:p w:rsidR="00B26BB1" w:rsidRPr="000F6CC7" w:rsidRDefault="00B26BB1" w:rsidP="00BF77D7">
      <w:pPr>
        <w:pStyle w:val="ListBullet"/>
      </w:pPr>
      <w:r w:rsidRPr="000F6CC7">
        <w:t>entitlement to, and the extent of, legal representation</w:t>
      </w:r>
      <w:r w:rsidR="000F6CC7" w:rsidRPr="000F6CC7">
        <w:t>;</w:t>
      </w:r>
    </w:p>
    <w:p w:rsidR="00B26BB1" w:rsidRPr="000F6CC7" w:rsidRDefault="00B26BB1" w:rsidP="00BF77D7">
      <w:pPr>
        <w:pStyle w:val="ListBullet"/>
      </w:pPr>
      <w:r w:rsidRPr="000F6CC7">
        <w:t>use of alternative dispute resolution</w:t>
      </w:r>
      <w:r w:rsidR="000F6CC7" w:rsidRPr="000F6CC7">
        <w:t>;</w:t>
      </w:r>
      <w:r w:rsidRPr="000F6CC7">
        <w:t xml:space="preserve"> </w:t>
      </w:r>
    </w:p>
    <w:p w:rsidR="00B26BB1" w:rsidRPr="000F6CC7" w:rsidRDefault="00B26BB1" w:rsidP="00BF77D7">
      <w:pPr>
        <w:pStyle w:val="ListBullet"/>
      </w:pPr>
      <w:r w:rsidRPr="000F6CC7">
        <w:t>accessibility of tribunals, particularly</w:t>
      </w:r>
      <w:r w:rsidR="000F6CC7" w:rsidRPr="000F6CC7">
        <w:t xml:space="preserve"> for self-represented litigants;</w:t>
      </w:r>
      <w:r w:rsidRPr="000F6CC7">
        <w:t xml:space="preserve"> and</w:t>
      </w:r>
    </w:p>
    <w:p w:rsidR="00B26BB1" w:rsidRDefault="00B26BB1" w:rsidP="00BF77D7">
      <w:pPr>
        <w:pStyle w:val="ListBullet"/>
      </w:pPr>
      <w:r w:rsidRPr="000F6CC7">
        <w:t>the use</w:t>
      </w:r>
      <w:r>
        <w:t xml:space="preserve"> of technology to facilitate access to justice.</w:t>
      </w:r>
    </w:p>
    <w:p w:rsidR="00B26BB1" w:rsidRDefault="00B26BB1" w:rsidP="00B26BB1">
      <w:r>
        <w:t xml:space="preserve">The first part of this submission deals generally with the role of merits review bodies in the Australian context and the issue raised by the Commission relating to generalist and specialists tribunals.  The remainder of the submission sets out a range of information about the AAT and its processes which should help to inform the Commission’s deliberations on the issues.  The AAT would be happy to provide any further information that would be of assistance to the Commission. </w:t>
      </w:r>
    </w:p>
    <w:p w:rsidR="00B26BB1" w:rsidRPr="00BF77D7" w:rsidRDefault="00B26BB1" w:rsidP="00BF77D7">
      <w:pPr>
        <w:pStyle w:val="Heading2"/>
        <w:rPr>
          <w:rFonts w:hint="eastAsia"/>
        </w:rPr>
      </w:pPr>
      <w:r w:rsidRPr="00BF77D7">
        <w:t>1.</w:t>
      </w:r>
      <w:r w:rsidRPr="00BF77D7">
        <w:tab/>
        <w:t>The role of merits review bodies</w:t>
      </w:r>
    </w:p>
    <w:p w:rsidR="00B26BB1" w:rsidRPr="00957149" w:rsidRDefault="00B26BB1" w:rsidP="00B26BB1">
      <w:r w:rsidRPr="00957149">
        <w:t xml:space="preserve">Merits review is an integral part of </w:t>
      </w:r>
      <w:r>
        <w:t xml:space="preserve">ensuring </w:t>
      </w:r>
      <w:r w:rsidRPr="00957149">
        <w:t>good governance</w:t>
      </w:r>
      <w:r>
        <w:t>,</w:t>
      </w:r>
      <w:r w:rsidRPr="00957149">
        <w:t xml:space="preserve"> accountability </w:t>
      </w:r>
      <w:r>
        <w:t xml:space="preserve">and transparency in public administration and </w:t>
      </w:r>
      <w:r w:rsidRPr="00957149">
        <w:t xml:space="preserve">contributes </w:t>
      </w:r>
      <w:r>
        <w:t xml:space="preserve">more broadly </w:t>
      </w:r>
      <w:r w:rsidRPr="00957149">
        <w:t xml:space="preserve">to better administrative decision making. </w:t>
      </w:r>
      <w:r>
        <w:t xml:space="preserve"> </w:t>
      </w:r>
      <w:r w:rsidRPr="00957149">
        <w:t>Merits review is now probably better developed in Australia than in any other country.</w:t>
      </w:r>
    </w:p>
    <w:p w:rsidR="00B26BB1" w:rsidRPr="00957149" w:rsidRDefault="00B26BB1" w:rsidP="00B26BB1">
      <w:r w:rsidRPr="00957149">
        <w:t>Each year</w:t>
      </w:r>
      <w:r w:rsidR="00107E7A">
        <w:t>,</w:t>
      </w:r>
      <w:r w:rsidRPr="00957149">
        <w:t xml:space="preserve"> while thousands of Australians seek judicial review, hundreds of thousands, perhaps millions of Australians</w:t>
      </w:r>
      <w:r>
        <w:t>,</w:t>
      </w:r>
      <w:r w:rsidRPr="00957149">
        <w:t xml:space="preserve"> apply for one form or other of merits review. </w:t>
      </w:r>
      <w:r>
        <w:t xml:space="preserve"> </w:t>
      </w:r>
      <w:r w:rsidRPr="00957149">
        <w:t>That merits review is more frequently accessed than is judicial review is well acknowledged.</w:t>
      </w:r>
    </w:p>
    <w:p w:rsidR="00B26BB1" w:rsidRPr="00957149" w:rsidRDefault="00B26BB1" w:rsidP="00B26BB1">
      <w:r w:rsidRPr="00957149">
        <w:t xml:space="preserve">The Commonwealth’s </w:t>
      </w:r>
      <w:r w:rsidR="00B232DF">
        <w:t>independent</w:t>
      </w:r>
      <w:r>
        <w:t xml:space="preserve"> </w:t>
      </w:r>
      <w:r w:rsidRPr="00957149">
        <w:t xml:space="preserve">merits review </w:t>
      </w:r>
      <w:r>
        <w:t>tribunals</w:t>
      </w:r>
      <w:r w:rsidRPr="00957149">
        <w:t xml:space="preserve"> offer accessible, informal and relatively cheap processes where citizens can challenge the merits of administrative decisions. </w:t>
      </w:r>
      <w:r>
        <w:t xml:space="preserve"> </w:t>
      </w:r>
      <w:r w:rsidRPr="00957149">
        <w:t xml:space="preserve">Merits review undertaken by skilled independent members allows these tribunals to reach the </w:t>
      </w:r>
      <w:r w:rsidR="00F11A39">
        <w:t>correct or preferable decision –</w:t>
      </w:r>
      <w:r w:rsidRPr="00957149">
        <w:t xml:space="preserve"> not merely to set a flawed decision aside and send it back for reconsideration.</w:t>
      </w:r>
    </w:p>
    <w:p w:rsidR="00B26BB1" w:rsidRPr="00957149" w:rsidRDefault="00B26BB1" w:rsidP="00B26BB1">
      <w:r w:rsidRPr="00957149">
        <w:t xml:space="preserve">Under Commonwealth legislation, judicial review can set decisions aside, compel duties to be performed and prevent wrongs, but it cannot substitute a correct or preferable decision – that is a step which only merits review can </w:t>
      </w:r>
      <w:r w:rsidR="00B232DF">
        <w:t>undertake</w:t>
      </w:r>
      <w:r w:rsidRPr="00957149">
        <w:t>.</w:t>
      </w:r>
    </w:p>
    <w:p w:rsidR="00B26BB1" w:rsidRPr="00957149" w:rsidRDefault="00B26BB1" w:rsidP="003C465F">
      <w:pPr>
        <w:pStyle w:val="Heading3"/>
        <w:keepNext w:val="0"/>
      </w:pPr>
      <w:r>
        <w:t>1</w:t>
      </w:r>
      <w:r w:rsidRPr="00957149">
        <w:t xml:space="preserve">.1     </w:t>
      </w:r>
      <w:r>
        <w:t>Generalist and s</w:t>
      </w:r>
      <w:r w:rsidRPr="00957149">
        <w:t>pecialist tribunals</w:t>
      </w:r>
    </w:p>
    <w:p w:rsidR="00B26BB1" w:rsidRPr="00957149" w:rsidRDefault="00B26BB1" w:rsidP="003C465F">
      <w:r w:rsidRPr="00957149">
        <w:t>The Commission’s Issues Paper seeks comments on the principles to be used to determine the balance between generalist and specialist tribunals.</w:t>
      </w:r>
    </w:p>
    <w:p w:rsidR="00B26BB1" w:rsidRPr="00957149" w:rsidRDefault="00B26BB1" w:rsidP="00B26BB1">
      <w:r w:rsidRPr="00957149">
        <w:lastRenderedPageBreak/>
        <w:t xml:space="preserve">Particular areas of jurisdiction and/or types of applicant require tribunals with the relevant expertise, procedures and accommodation to ensure the efficient and effective determination of disputes. This can be accommodated through the establishment of specialist tribunals, as is the case of the </w:t>
      </w:r>
      <w:r w:rsidR="00C339FA" w:rsidRPr="00C339FA">
        <w:t>Migration Review Tribunal/Refugee Review Tribunal, the Social Security Appeals Tribunal and the Veterans’ Review Board</w:t>
      </w:r>
      <w:r>
        <w:t>,</w:t>
      </w:r>
      <w:r w:rsidRPr="00957149">
        <w:t xml:space="preserve"> or the creation of divisions within a generalist tribunal, as is the case with the AAT</w:t>
      </w:r>
      <w:r>
        <w:t>.  The AAT</w:t>
      </w:r>
      <w:r w:rsidRPr="00957149">
        <w:t xml:space="preserve"> has divisions for </w:t>
      </w:r>
      <w:r>
        <w:t>dealing with N</w:t>
      </w:r>
      <w:r w:rsidRPr="00957149">
        <w:t xml:space="preserve">ational </w:t>
      </w:r>
      <w:r>
        <w:t>D</w:t>
      </w:r>
      <w:r w:rsidRPr="00957149">
        <w:t xml:space="preserve">isability </w:t>
      </w:r>
      <w:r>
        <w:t>I</w:t>
      </w:r>
      <w:r w:rsidRPr="00957149">
        <w:t xml:space="preserve">nsurance </w:t>
      </w:r>
      <w:r>
        <w:t>S</w:t>
      </w:r>
      <w:r w:rsidRPr="00957149">
        <w:t>cheme appeals</w:t>
      </w:r>
      <w:r>
        <w:t>, security appeals, t</w:t>
      </w:r>
      <w:r w:rsidRPr="00957149">
        <w:t>axation appeals</w:t>
      </w:r>
      <w:r>
        <w:t xml:space="preserve"> and</w:t>
      </w:r>
      <w:r w:rsidRPr="00957149">
        <w:t xml:space="preserve"> </w:t>
      </w:r>
      <w:r w:rsidR="00B232DF" w:rsidRPr="00957149">
        <w:t>veterans’</w:t>
      </w:r>
      <w:r w:rsidRPr="00957149">
        <w:t xml:space="preserve"> appeals</w:t>
      </w:r>
      <w:r>
        <w:t xml:space="preserve"> and a G</w:t>
      </w:r>
      <w:r w:rsidRPr="00957149">
        <w:t xml:space="preserve">eneral </w:t>
      </w:r>
      <w:r>
        <w:t>Administrative D</w:t>
      </w:r>
      <w:r w:rsidRPr="00957149">
        <w:t>ivision for all other matters.</w:t>
      </w:r>
    </w:p>
    <w:p w:rsidR="00B26BB1" w:rsidRDefault="00B26BB1" w:rsidP="00B26BB1">
      <w:r w:rsidRPr="00957149">
        <w:t>In 2012</w:t>
      </w:r>
      <w:r>
        <w:t>,</w:t>
      </w:r>
      <w:r w:rsidRPr="00957149">
        <w:t xml:space="preserve"> the </w:t>
      </w:r>
      <w:r>
        <w:t xml:space="preserve">Australian </w:t>
      </w:r>
      <w:r w:rsidRPr="00957149">
        <w:t>Government decided that, except in exceptional circumstances, no new Commonwealth merits review body should be established and that any new merits review jurisdiction should instead be conferred on the AAT.</w:t>
      </w:r>
    </w:p>
    <w:p w:rsidR="00B26BB1" w:rsidRPr="00957149" w:rsidRDefault="00B26BB1" w:rsidP="00B26BB1">
      <w:r w:rsidRPr="00957149">
        <w:t>In principle</w:t>
      </w:r>
      <w:r w:rsidR="00E2633F">
        <w:t>, as the Administrative Review Counci</w:t>
      </w:r>
      <w:r w:rsidR="00545113">
        <w:t xml:space="preserve">l concluded in its </w:t>
      </w:r>
      <w:hyperlink r:id="rId9" w:history="1">
        <w:r w:rsidR="00545113" w:rsidRPr="003722E7">
          <w:rPr>
            <w:rStyle w:val="Hyperlink"/>
          </w:rPr>
          <w:t>Report No 39</w:t>
        </w:r>
      </w:hyperlink>
      <w:r w:rsidR="00545113" w:rsidRPr="003722E7">
        <w:t>,</w:t>
      </w:r>
      <w:r w:rsidR="00E2633F" w:rsidRPr="003722E7">
        <w:t xml:space="preserve"> </w:t>
      </w:r>
      <w:r w:rsidR="00E2633F" w:rsidRPr="003722E7">
        <w:rPr>
          <w:i/>
        </w:rPr>
        <w:t>Better Decisions</w:t>
      </w:r>
      <w:r w:rsidR="00545113" w:rsidRPr="003722E7">
        <w:rPr>
          <w:i/>
        </w:rPr>
        <w:t>: Review of Commonwealth Merits Review Tribunals</w:t>
      </w:r>
      <w:r w:rsidRPr="00957149">
        <w:t>, the preferable model is a unified tribunal framework which is able to address any need for special expertise or for arrangements to accommodate the requirements of particular types of party through:</w:t>
      </w:r>
    </w:p>
    <w:p w:rsidR="00B26BB1" w:rsidRPr="00957149" w:rsidRDefault="00B26BB1" w:rsidP="00BF77D7">
      <w:pPr>
        <w:pStyle w:val="ListBullet"/>
      </w:pPr>
      <w:r w:rsidRPr="00957149">
        <w:t>the use of well-considered and appropriate case management procedures;</w:t>
      </w:r>
    </w:p>
    <w:p w:rsidR="00B26BB1" w:rsidRPr="00957149" w:rsidRDefault="00B26BB1" w:rsidP="00BF77D7">
      <w:pPr>
        <w:pStyle w:val="ListBullet"/>
      </w:pPr>
      <w:r w:rsidRPr="00957149">
        <w:t>the appointment of appropriately qualified and experienced members</w:t>
      </w:r>
      <w:r w:rsidR="00E2633F">
        <w:t xml:space="preserve"> by processes independent of the decision</w:t>
      </w:r>
      <w:r w:rsidR="00545113">
        <w:t>-</w:t>
      </w:r>
      <w:r w:rsidR="00E2633F">
        <w:t>makers subject to review</w:t>
      </w:r>
      <w:r w:rsidRPr="00957149">
        <w:t>; and</w:t>
      </w:r>
    </w:p>
    <w:p w:rsidR="00B232DF" w:rsidRDefault="00B26BB1" w:rsidP="00B232DF">
      <w:pPr>
        <w:pStyle w:val="ListBullet"/>
      </w:pPr>
      <w:r w:rsidRPr="00957149">
        <w:t xml:space="preserve">where the volume of cases or other factors warrant it, the establishment of divisions (including an appeals division </w:t>
      </w:r>
      <w:r w:rsidR="00B232DF">
        <w:t>if</w:t>
      </w:r>
      <w:r w:rsidRPr="00957149">
        <w:t xml:space="preserve"> a second tier of merits review is considered appropriate).</w:t>
      </w:r>
    </w:p>
    <w:p w:rsidR="00626DBC" w:rsidRPr="00545113" w:rsidRDefault="00626DBC" w:rsidP="00545113">
      <w:r w:rsidRPr="00545113">
        <w:rPr>
          <w:rFonts w:hint="eastAsia"/>
        </w:rPr>
        <w:t>The AAT notes that</w:t>
      </w:r>
      <w:r w:rsidR="00107E7A">
        <w:t>,</w:t>
      </w:r>
      <w:r w:rsidRPr="00545113">
        <w:rPr>
          <w:rFonts w:hint="eastAsia"/>
        </w:rPr>
        <w:t xml:space="preserve"> in recent years</w:t>
      </w:r>
      <w:r w:rsidR="00107E7A">
        <w:t>,</w:t>
      </w:r>
      <w:r w:rsidRPr="00545113">
        <w:rPr>
          <w:rFonts w:hint="eastAsia"/>
        </w:rPr>
        <w:t xml:space="preserve"> most State</w:t>
      </w:r>
      <w:r w:rsidRPr="00626DBC">
        <w:t xml:space="preserve"> systems</w:t>
      </w:r>
      <w:r w:rsidRPr="00545113">
        <w:rPr>
          <w:rFonts w:hint="eastAsia"/>
        </w:rPr>
        <w:t xml:space="preserve"> formerly with distinct specialist</w:t>
      </w:r>
      <w:r w:rsidRPr="00626DBC">
        <w:t xml:space="preserve"> review bodies have brought th</w:t>
      </w:r>
      <w:r>
        <w:t>eir merits review tribunals</w:t>
      </w:r>
      <w:r w:rsidRPr="00545113">
        <w:rPr>
          <w:rFonts w:hint="eastAsia"/>
        </w:rPr>
        <w:t xml:space="preserve"> together under a unified structure (</w:t>
      </w:r>
      <w:proofErr w:type="spellStart"/>
      <w:r w:rsidR="00332094">
        <w:t>eg</w:t>
      </w:r>
      <w:proofErr w:type="spellEnd"/>
      <w:r w:rsidR="00332094">
        <w:t xml:space="preserve"> </w:t>
      </w:r>
      <w:r w:rsidR="00545113" w:rsidRPr="00545113">
        <w:t>Queensland Civil and Administrative Tribunal</w:t>
      </w:r>
      <w:r w:rsidRPr="00545113">
        <w:rPr>
          <w:rFonts w:hint="eastAsia"/>
        </w:rPr>
        <w:t>, V</w:t>
      </w:r>
      <w:r w:rsidR="00545113">
        <w:t xml:space="preserve">ictorian </w:t>
      </w:r>
      <w:r w:rsidR="00545113" w:rsidRPr="00545113">
        <w:t>Civil and Administrative Tribunal</w:t>
      </w:r>
      <w:r w:rsidRPr="00545113">
        <w:rPr>
          <w:rFonts w:hint="eastAsia"/>
        </w:rPr>
        <w:t xml:space="preserve">, </w:t>
      </w:r>
      <w:r w:rsidR="00545113" w:rsidRPr="00545113">
        <w:t>NSW Civil and Administrative Tribunal</w:t>
      </w:r>
      <w:r w:rsidRPr="00545113">
        <w:rPr>
          <w:rFonts w:hint="eastAsia"/>
        </w:rPr>
        <w:t>). Whether that precedent should be followed at the Commonwealth level is a matter of policy beyond this submission.</w:t>
      </w:r>
    </w:p>
    <w:p w:rsidR="00B26BB1" w:rsidRPr="00B26BB1" w:rsidRDefault="00B26BB1" w:rsidP="00BF77D7">
      <w:pPr>
        <w:pStyle w:val="Heading2"/>
        <w:rPr>
          <w:rFonts w:hint="eastAsia"/>
          <w:i/>
        </w:rPr>
      </w:pPr>
      <w:r w:rsidRPr="00B26BB1">
        <w:t>2.</w:t>
      </w:r>
      <w:r w:rsidRPr="00B26BB1">
        <w:tab/>
        <w:t xml:space="preserve">The </w:t>
      </w:r>
      <w:r w:rsidR="000F6CC7" w:rsidRPr="00BF77D7">
        <w:t>AAT</w:t>
      </w:r>
      <w:r w:rsidRPr="00BF77D7">
        <w:t xml:space="preserve"> </w:t>
      </w:r>
      <w:r w:rsidRPr="00B26BB1">
        <w:t>and its role</w:t>
      </w:r>
    </w:p>
    <w:p w:rsidR="00B26BB1" w:rsidRDefault="00B26BB1" w:rsidP="00B26BB1">
      <w:r w:rsidRPr="000B2484">
        <w:t xml:space="preserve">The </w:t>
      </w:r>
      <w:r>
        <w:t>AAT</w:t>
      </w:r>
      <w:r w:rsidRPr="000B2484">
        <w:t xml:space="preserve"> was established by the</w:t>
      </w:r>
      <w:r>
        <w:t xml:space="preserve"> </w:t>
      </w:r>
      <w:r w:rsidRPr="000B2484">
        <w:rPr>
          <w:i/>
        </w:rPr>
        <w:t>Administrative Appeals Tribunal Act 1975</w:t>
      </w:r>
      <w:r>
        <w:t xml:space="preserve"> (AAT Act)</w:t>
      </w:r>
      <w:r w:rsidRPr="000B2484">
        <w:t xml:space="preserve"> and commenced operations on 1 July 1976. The Act and the</w:t>
      </w:r>
      <w:r>
        <w:t xml:space="preserve"> </w:t>
      </w:r>
      <w:r w:rsidRPr="000B2484">
        <w:rPr>
          <w:i/>
        </w:rPr>
        <w:t>Administrative Appeals Tribunal Regulations 1976</w:t>
      </w:r>
      <w:r>
        <w:t xml:space="preserve"> (AAT Regulations)</w:t>
      </w:r>
      <w:r w:rsidRPr="000B2484">
        <w:t xml:space="preserve"> set out the </w:t>
      </w:r>
      <w:r>
        <w:t>AAT’s</w:t>
      </w:r>
      <w:r w:rsidRPr="000B2484">
        <w:t xml:space="preserve"> functions, powers and procedures.</w:t>
      </w:r>
    </w:p>
    <w:p w:rsidR="00B26BB1" w:rsidRDefault="00B26BB1" w:rsidP="00B26BB1">
      <w:r w:rsidRPr="00B66567">
        <w:t xml:space="preserve">The AAT </w:t>
      </w:r>
      <w:r>
        <w:t>p</w:t>
      </w:r>
      <w:r w:rsidRPr="00B66567">
        <w:t>rovide</w:t>
      </w:r>
      <w:r>
        <w:t>s</w:t>
      </w:r>
      <w:r w:rsidRPr="00B66567">
        <w:t xml:space="preserve"> independent merits review of a wide range of administrative decisions made under Commonwealth and Norfolk Island legislation.  The </w:t>
      </w:r>
      <w:r>
        <w:t>AAT</w:t>
      </w:r>
      <w:r w:rsidRPr="00B66567">
        <w:t xml:space="preserve"> considers the material before it and decides what is the correct </w:t>
      </w:r>
      <w:r>
        <w:t>–</w:t>
      </w:r>
      <w:r w:rsidRPr="00B66567">
        <w:t xml:space="preserve"> or, in a discretionary area, the preferable </w:t>
      </w:r>
      <w:r>
        <w:t>–</w:t>
      </w:r>
      <w:r w:rsidRPr="00B66567">
        <w:t xml:space="preserve"> decision.  It will affirm, vary or set aside the decision under review.</w:t>
      </w:r>
    </w:p>
    <w:p w:rsidR="00B26BB1" w:rsidRDefault="00B26BB1" w:rsidP="00B26BB1">
      <w:r>
        <w:lastRenderedPageBreak/>
        <w:t>I</w:t>
      </w:r>
      <w:r w:rsidRPr="005F31EE">
        <w:t xml:space="preserve">n carrying out its functions, the </w:t>
      </w:r>
      <w:r>
        <w:t>AAT</w:t>
      </w:r>
      <w:r w:rsidRPr="005F31EE">
        <w:t xml:space="preserve"> must provide a review process that is </w:t>
      </w:r>
      <w:r w:rsidRPr="00CF0B4F">
        <w:rPr>
          <w:i/>
        </w:rPr>
        <w:t>fair, just, economical, informal and quick</w:t>
      </w:r>
      <w:r w:rsidRPr="000219FA">
        <w:t>.</w:t>
      </w:r>
      <w:r w:rsidRPr="001D41A7">
        <w:rPr>
          <w:rStyle w:val="FootnoteReference"/>
        </w:rPr>
        <w:footnoteReference w:id="1"/>
      </w:r>
      <w:r w:rsidRPr="000219FA">
        <w:t xml:space="preserve">  </w:t>
      </w:r>
      <w:r>
        <w:t>P</w:t>
      </w:r>
      <w:r w:rsidRPr="000219FA">
        <w:t>roceeding</w:t>
      </w:r>
      <w:r>
        <w:t>s</w:t>
      </w:r>
      <w:r w:rsidRPr="000219FA">
        <w:t xml:space="preserve"> </w:t>
      </w:r>
      <w:r>
        <w:t>are</w:t>
      </w:r>
      <w:r w:rsidRPr="000219FA">
        <w:t xml:space="preserve"> to be conducted with as little formality and technicality, and with as much expedition, as the requirements of the Act and other relevant legislation and a proper consideration of the matters permit.</w:t>
      </w:r>
      <w:r>
        <w:rPr>
          <w:rStyle w:val="FootnoteReference"/>
        </w:rPr>
        <w:footnoteReference w:id="2"/>
      </w:r>
    </w:p>
    <w:p w:rsidR="00B26BB1" w:rsidRDefault="00B26BB1" w:rsidP="00B26BB1">
      <w:pPr>
        <w:pStyle w:val="Heading3"/>
      </w:pPr>
      <w:r>
        <w:t xml:space="preserve">2.1 </w:t>
      </w:r>
      <w:r>
        <w:tab/>
        <w:t>Jurisdiction and workload</w:t>
      </w:r>
    </w:p>
    <w:p w:rsidR="00B26BB1" w:rsidRDefault="00B26BB1" w:rsidP="00B26BB1">
      <w:r w:rsidRPr="000B2484">
        <w:t xml:space="preserve">The </w:t>
      </w:r>
      <w:r>
        <w:t>AAT’s</w:t>
      </w:r>
      <w:r w:rsidRPr="000B2484">
        <w:t xml:space="preserve"> jurisdiction to review decisions </w:t>
      </w:r>
      <w:r>
        <w:t xml:space="preserve">is conferred under </w:t>
      </w:r>
      <w:r w:rsidRPr="000B2484">
        <w:t xml:space="preserve">more than </w:t>
      </w:r>
      <w:r w:rsidR="00AF06BF">
        <w:t>450</w:t>
      </w:r>
      <w:r w:rsidR="00AF06BF" w:rsidRPr="000B2484">
        <w:t xml:space="preserve"> </w:t>
      </w:r>
      <w:r w:rsidRPr="000B2484">
        <w:t xml:space="preserve">Commonwealth </w:t>
      </w:r>
      <w:r>
        <w:t xml:space="preserve">and Norfolk Island </w:t>
      </w:r>
      <w:r w:rsidRPr="000B2484">
        <w:t xml:space="preserve">Acts and legislative instruments. </w:t>
      </w:r>
      <w:r>
        <w:t xml:space="preserve"> Most </w:t>
      </w:r>
      <w:r w:rsidRPr="00886D66">
        <w:t xml:space="preserve">of the </w:t>
      </w:r>
      <w:r>
        <w:t>AAT’s</w:t>
      </w:r>
      <w:r w:rsidRPr="00886D66">
        <w:t xml:space="preserve"> workload arises from applications about decisions in the areas of</w:t>
      </w:r>
      <w:r>
        <w:t>:</w:t>
      </w:r>
      <w:r w:rsidRPr="00886D66">
        <w:t xml:space="preserve"> </w:t>
      </w:r>
    </w:p>
    <w:p w:rsidR="00B26BB1" w:rsidRDefault="00B26BB1" w:rsidP="00BF77D7">
      <w:pPr>
        <w:pStyle w:val="ListBullet"/>
      </w:pPr>
      <w:r w:rsidRPr="00886D66">
        <w:t>family</w:t>
      </w:r>
      <w:r w:rsidR="000F6CC7">
        <w:t xml:space="preserve"> assistance and social security;</w:t>
      </w:r>
      <w:r w:rsidRPr="00886D66">
        <w:t xml:space="preserve"> </w:t>
      </w:r>
    </w:p>
    <w:p w:rsidR="00B26BB1" w:rsidRDefault="000F6CC7" w:rsidP="00BF77D7">
      <w:pPr>
        <w:pStyle w:val="ListBullet"/>
      </w:pPr>
      <w:r>
        <w:t>taxation;</w:t>
      </w:r>
      <w:r w:rsidR="00B26BB1" w:rsidRPr="00886D66">
        <w:t xml:space="preserve"> </w:t>
      </w:r>
    </w:p>
    <w:p w:rsidR="00B26BB1" w:rsidRDefault="00B26BB1" w:rsidP="00BF77D7">
      <w:pPr>
        <w:pStyle w:val="ListBullet"/>
      </w:pPr>
      <w:r w:rsidRPr="00886D66">
        <w:t>veterans' affairs</w:t>
      </w:r>
      <w:r>
        <w:t>;</w:t>
      </w:r>
      <w:r w:rsidRPr="00886D66">
        <w:t xml:space="preserve"> and </w:t>
      </w:r>
    </w:p>
    <w:p w:rsidR="00B26BB1" w:rsidRDefault="00B26BB1" w:rsidP="00BF77D7">
      <w:pPr>
        <w:pStyle w:val="ListBullet"/>
      </w:pPr>
      <w:r w:rsidRPr="00886D66">
        <w:t xml:space="preserve">workers' compensation. </w:t>
      </w:r>
      <w:r>
        <w:t xml:space="preserve"> </w:t>
      </w:r>
    </w:p>
    <w:p w:rsidR="00B26BB1" w:rsidRDefault="00B26BB1" w:rsidP="00B26BB1">
      <w:r w:rsidRPr="00886D66">
        <w:t xml:space="preserve">The </w:t>
      </w:r>
      <w:r>
        <w:t>AAT</w:t>
      </w:r>
      <w:r w:rsidRPr="00886D66">
        <w:t xml:space="preserve"> also reviews decisions in areas such as bankruptcy, child support, citizenship and immigration, civil aviation, corporations and financial services regulation, customs, freedom of information, industry assistance, mutual recognition of occupations, passports and security assessments by the Australian Security Intelligence Organisation.</w:t>
      </w:r>
      <w:r>
        <w:t xml:space="preserve">  On 1 July 2013, jurisdiction was conferred on the AAT to review decisions made under the National Disability Insurance Scheme.</w:t>
      </w:r>
    </w:p>
    <w:p w:rsidR="00B26BB1" w:rsidRDefault="00B26BB1" w:rsidP="00B26BB1">
      <w:r>
        <w:t>In 2012–13, the AAT received 6,176 applications and finalised 6,042 applications.</w:t>
      </w:r>
      <w:r>
        <w:rPr>
          <w:rStyle w:val="FootnoteReference"/>
        </w:rPr>
        <w:footnoteReference w:id="3"/>
      </w:r>
      <w:r>
        <w:t xml:space="preserve">  </w:t>
      </w:r>
    </w:p>
    <w:p w:rsidR="00B26BB1" w:rsidRDefault="00B26BB1" w:rsidP="00B26BB1">
      <w:pPr>
        <w:pStyle w:val="Heading3"/>
      </w:pPr>
      <w:r>
        <w:t xml:space="preserve">2.2 </w:t>
      </w:r>
      <w:r>
        <w:tab/>
        <w:t>Participants in AAT reviews</w:t>
      </w:r>
    </w:p>
    <w:p w:rsidR="00B26BB1" w:rsidRDefault="00B26BB1" w:rsidP="00B26BB1">
      <w:r w:rsidRPr="00856B0B">
        <w:t xml:space="preserve">The principal users of the AAT are the parties </w:t>
      </w:r>
      <w:r>
        <w:t>to applications lodged with the AAT</w:t>
      </w:r>
      <w:r w:rsidRPr="00856B0B">
        <w:t xml:space="preserve"> – individuals, organisations and government departments and agencies – and their representatives.</w:t>
      </w:r>
      <w:r>
        <w:t xml:space="preserve">  </w:t>
      </w:r>
    </w:p>
    <w:p w:rsidR="00B26BB1" w:rsidRPr="00430105" w:rsidRDefault="00B26BB1" w:rsidP="00B26BB1">
      <w:r w:rsidRPr="005E175A">
        <w:t xml:space="preserve">Given the diversity in the </w:t>
      </w:r>
      <w:r>
        <w:t xml:space="preserve">types of </w:t>
      </w:r>
      <w:r w:rsidRPr="005E175A">
        <w:t>decisions that come before the AAT</w:t>
      </w:r>
      <w:r>
        <w:t>, there is also significant diversity i</w:t>
      </w:r>
      <w:r w:rsidRPr="002941EE">
        <w:t xml:space="preserve">n relation to </w:t>
      </w:r>
      <w:r>
        <w:t xml:space="preserve">the types of </w:t>
      </w:r>
      <w:r w:rsidRPr="002941EE">
        <w:t xml:space="preserve">persons who apply to the AAT. </w:t>
      </w:r>
      <w:r w:rsidR="004029C8">
        <w:t xml:space="preserve"> </w:t>
      </w:r>
      <w:r w:rsidRPr="002941EE">
        <w:t xml:space="preserve">The </w:t>
      </w:r>
      <w:r w:rsidR="00626DBC">
        <w:t xml:space="preserve">overwhelming </w:t>
      </w:r>
      <w:r w:rsidRPr="002941EE">
        <w:t xml:space="preserve">majority of applications are lodged by individuals but </w:t>
      </w:r>
      <w:r w:rsidR="00626DBC">
        <w:t xml:space="preserve">in a number of </w:t>
      </w:r>
      <w:r w:rsidR="008C02E3">
        <w:t>circumstances</w:t>
      </w:r>
      <w:r w:rsidR="00626DBC">
        <w:t xml:space="preserve"> they can </w:t>
      </w:r>
      <w:r w:rsidR="00107E7A">
        <w:t xml:space="preserve">also </w:t>
      </w:r>
      <w:r w:rsidR="00626DBC">
        <w:t xml:space="preserve">be </w:t>
      </w:r>
      <w:r w:rsidRPr="002941EE">
        <w:t>lodged by companies, public interest organisations and a range of other entities.</w:t>
      </w:r>
      <w:r>
        <w:t xml:space="preserve">  </w:t>
      </w:r>
      <w:r w:rsidRPr="00430105">
        <w:t xml:space="preserve">Individual applicants come from diverse socio-economic groups and a wide variety of cultural and linguistic backgrounds and </w:t>
      </w:r>
      <w:r>
        <w:t>reflect</w:t>
      </w:r>
      <w:r w:rsidRPr="00430105">
        <w:t xml:space="preserve"> contemporary Australia.</w:t>
      </w:r>
    </w:p>
    <w:p w:rsidR="00B26BB1" w:rsidRDefault="00B26BB1" w:rsidP="00B26BB1">
      <w:r w:rsidRPr="006A3E57">
        <w:t>The person or body who made the decision to be reviewed is always a party to the review. This may be a Minister</w:t>
      </w:r>
      <w:r>
        <w:t xml:space="preserve"> or</w:t>
      </w:r>
      <w:r w:rsidRPr="006A3E57">
        <w:t xml:space="preserve"> a government department</w:t>
      </w:r>
      <w:r>
        <w:t xml:space="preserve"> or other authority.  It also includes p</w:t>
      </w:r>
      <w:r w:rsidRPr="006A3E57">
        <w:t>rivate corporation</w:t>
      </w:r>
      <w:r>
        <w:t>s</w:t>
      </w:r>
      <w:r w:rsidRPr="006A3E57">
        <w:t xml:space="preserve"> </w:t>
      </w:r>
      <w:r>
        <w:t xml:space="preserve">authorised </w:t>
      </w:r>
      <w:r w:rsidRPr="006A3E57">
        <w:t>to make decisions under Commonwealth laws</w:t>
      </w:r>
      <w:r>
        <w:t xml:space="preserve"> such as employers granted self-insurance licences under Commonwealth workers’ compensation legislation</w:t>
      </w:r>
      <w:r w:rsidRPr="006A3E57">
        <w:t xml:space="preserve">. </w:t>
      </w:r>
    </w:p>
    <w:p w:rsidR="00B26BB1" w:rsidRPr="006A3E57" w:rsidRDefault="00B26BB1" w:rsidP="00B26BB1">
      <w:r w:rsidRPr="006A3E57">
        <w:lastRenderedPageBreak/>
        <w:t xml:space="preserve">Other persons whose interests are affected by </w:t>
      </w:r>
      <w:r>
        <w:t>a</w:t>
      </w:r>
      <w:r w:rsidRPr="006A3E57">
        <w:t xml:space="preserve"> decision may </w:t>
      </w:r>
      <w:r>
        <w:t xml:space="preserve">automatically be a party to an application or </w:t>
      </w:r>
      <w:r w:rsidRPr="006A3E57">
        <w:t>apply to be joined as a party to a review.</w:t>
      </w:r>
    </w:p>
    <w:p w:rsidR="00B26BB1" w:rsidRDefault="00B26BB1" w:rsidP="00B26BB1">
      <w:r>
        <w:t>Parties in the AAT are entitled to be represented by another person.</w:t>
      </w:r>
      <w:r>
        <w:rPr>
          <w:rStyle w:val="FootnoteReference"/>
        </w:rPr>
        <w:footnoteReference w:id="4"/>
      </w:r>
      <w:r>
        <w:t xml:space="preserve">  Levels of representation vary significantly in the AAT according to the type of decision that is being reviewed.  There are also differences in the types of representation.</w:t>
      </w:r>
    </w:p>
    <w:p w:rsidR="00626DBC" w:rsidRDefault="008C02E3" w:rsidP="00B26BB1">
      <w:r>
        <w:t>For example, in</w:t>
      </w:r>
      <w:r w:rsidR="00626DBC">
        <w:t xml:space="preserve"> the AAT’s </w:t>
      </w:r>
      <w:r w:rsidR="00F417E8">
        <w:t>T</w:t>
      </w:r>
      <w:r w:rsidR="00626DBC">
        <w:t xml:space="preserve">axation </w:t>
      </w:r>
      <w:r w:rsidR="00F417E8">
        <w:t>Appeals D</w:t>
      </w:r>
      <w:r w:rsidR="00626DBC">
        <w:t>ivision</w:t>
      </w:r>
      <w:r w:rsidR="00107E7A">
        <w:t>,</w:t>
      </w:r>
      <w:r w:rsidR="00626DBC">
        <w:t xml:space="preserve"> applicants </w:t>
      </w:r>
      <w:r>
        <w:t xml:space="preserve">in smaller matters </w:t>
      </w:r>
      <w:r w:rsidR="00626DBC">
        <w:t>are frequently represented by tax age</w:t>
      </w:r>
      <w:r>
        <w:t>nts</w:t>
      </w:r>
      <w:r w:rsidR="00F417E8">
        <w:t>,</w:t>
      </w:r>
      <w:r>
        <w:t xml:space="preserve"> whereas in larger matters often involving many millions of dollars in dispute it is not uncommon for both parties to appear</w:t>
      </w:r>
      <w:r w:rsidR="00626DBC">
        <w:t xml:space="preserve"> by</w:t>
      </w:r>
      <w:r>
        <w:t xml:space="preserve"> S</w:t>
      </w:r>
      <w:r w:rsidR="00626DBC">
        <w:t xml:space="preserve">enior </w:t>
      </w:r>
      <w:r>
        <w:t>or Q</w:t>
      </w:r>
      <w:r w:rsidR="00626DBC">
        <w:t xml:space="preserve">ueens </w:t>
      </w:r>
      <w:r>
        <w:t>C</w:t>
      </w:r>
      <w:r w:rsidR="00626DBC">
        <w:t>ounsel.</w:t>
      </w:r>
    </w:p>
    <w:p w:rsidR="00B26BB1" w:rsidRDefault="00B26BB1" w:rsidP="00B26BB1">
      <w:r>
        <w:t>The following table provides information on representation for individuals who were parties to cases finalised in 2012–13.</w:t>
      </w:r>
      <w:r>
        <w:rPr>
          <w:rStyle w:val="FootnoteReference"/>
        </w:rPr>
        <w:footnoteReference w:id="5"/>
      </w:r>
      <w:r>
        <w:t xml:space="preserve">  The table set out information for each of the major areas of the AAT’s jurisdiction as well as overall figures.</w:t>
      </w:r>
    </w:p>
    <w:p w:rsidR="00B26BB1" w:rsidRPr="00AB371A" w:rsidRDefault="00B26BB1" w:rsidP="00F26B4C">
      <w:pPr>
        <w:keepNext/>
        <w:spacing w:before="240"/>
        <w:rPr>
          <w:sz w:val="20"/>
        </w:rPr>
      </w:pPr>
      <w:r w:rsidRPr="00AB371A">
        <w:rPr>
          <w:b/>
          <w:sz w:val="20"/>
          <w:lang w:eastAsia="en-AU"/>
        </w:rPr>
        <w:t>Representation of individuals for all cases finalised in 2012–13</w:t>
      </w:r>
    </w:p>
    <w:tbl>
      <w:tblPr>
        <w:tblW w:w="10036" w:type="dxa"/>
        <w:jc w:val="center"/>
        <w:tblInd w:w="308" w:type="dxa"/>
        <w:tblLayout w:type="fixed"/>
        <w:tblCellMar>
          <w:left w:w="0" w:type="dxa"/>
          <w:right w:w="0" w:type="dxa"/>
        </w:tblCellMar>
        <w:tblLook w:val="0000" w:firstRow="0" w:lastRow="0" w:firstColumn="0" w:lastColumn="0" w:noHBand="0" w:noVBand="0"/>
      </w:tblPr>
      <w:tblGrid>
        <w:gridCol w:w="2241"/>
        <w:gridCol w:w="1559"/>
        <w:gridCol w:w="1559"/>
        <w:gridCol w:w="1559"/>
        <w:gridCol w:w="1559"/>
        <w:gridCol w:w="1559"/>
      </w:tblGrid>
      <w:tr w:rsidR="00B26BB1" w:rsidRPr="00723FDB" w:rsidTr="008C02E3">
        <w:trPr>
          <w:trHeight w:val="355"/>
          <w:tblHeader/>
          <w:jc w:val="center"/>
        </w:trPr>
        <w:tc>
          <w:tcPr>
            <w:tcW w:w="2241"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80" w:type="dxa"/>
              <w:left w:w="80" w:type="dxa"/>
              <w:bottom w:w="80" w:type="dxa"/>
              <w:right w:w="80" w:type="dxa"/>
            </w:tcMar>
          </w:tcPr>
          <w:p w:rsidR="00B26BB1" w:rsidRPr="00AB371A" w:rsidRDefault="00B26BB1" w:rsidP="008C02E3">
            <w:pPr>
              <w:pStyle w:val="TableHeader"/>
              <w:keepNext/>
              <w:spacing w:after="0" w:line="240" w:lineRule="auto"/>
              <w:rPr>
                <w:rFonts w:ascii="Arial" w:hAnsi="Arial" w:cs="Arial"/>
              </w:rPr>
            </w:pPr>
            <w:r w:rsidRPr="00AB371A">
              <w:rPr>
                <w:rFonts w:ascii="Arial" w:hAnsi="Arial" w:cs="Arial"/>
              </w:rPr>
              <w:t>Jurisdiction</w:t>
            </w:r>
          </w:p>
        </w:tc>
        <w:tc>
          <w:tcPr>
            <w:tcW w:w="1559"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Pr>
          <w:p w:rsidR="00B26BB1" w:rsidRPr="00AB371A" w:rsidRDefault="00B26BB1" w:rsidP="008C02E3">
            <w:pPr>
              <w:pStyle w:val="TableHeader"/>
              <w:keepNext/>
              <w:spacing w:after="0" w:line="240" w:lineRule="auto"/>
              <w:ind w:left="86"/>
              <w:jc w:val="center"/>
              <w:rPr>
                <w:rFonts w:ascii="Arial" w:hAnsi="Arial" w:cs="Arial"/>
              </w:rPr>
            </w:pPr>
            <w:r w:rsidRPr="00AB371A">
              <w:rPr>
                <w:rFonts w:ascii="Arial" w:hAnsi="Arial" w:cs="Arial"/>
              </w:rPr>
              <w:t>Self-represented</w:t>
            </w:r>
          </w:p>
        </w:tc>
        <w:tc>
          <w:tcPr>
            <w:tcW w:w="6236" w:type="dxa"/>
            <w:gridSpan w:val="4"/>
            <w:tcBorders>
              <w:top w:val="single" w:sz="8" w:space="0" w:color="000000"/>
              <w:left w:val="single" w:sz="8" w:space="0" w:color="000000"/>
              <w:bottom w:val="single" w:sz="8" w:space="0" w:color="000000"/>
              <w:right w:val="single" w:sz="8" w:space="0" w:color="000000"/>
            </w:tcBorders>
            <w:shd w:val="clear" w:color="auto" w:fill="8DB3E2" w:themeFill="text2" w:themeFillTint="66"/>
          </w:tcPr>
          <w:p w:rsidR="00B26BB1" w:rsidRPr="00AB371A" w:rsidRDefault="00B26BB1" w:rsidP="008C02E3">
            <w:pPr>
              <w:pStyle w:val="TableHeader"/>
              <w:keepNext/>
              <w:spacing w:after="0" w:line="240" w:lineRule="auto"/>
              <w:ind w:left="57"/>
              <w:jc w:val="center"/>
              <w:rPr>
                <w:rFonts w:ascii="Arial" w:hAnsi="Arial" w:cs="Arial"/>
              </w:rPr>
            </w:pPr>
            <w:r w:rsidRPr="00AB371A">
              <w:rPr>
                <w:rFonts w:ascii="Arial" w:hAnsi="Arial" w:cs="Arial"/>
              </w:rPr>
              <w:t>Represented (by type of representation)</w:t>
            </w:r>
          </w:p>
        </w:tc>
      </w:tr>
      <w:tr w:rsidR="00B26BB1" w:rsidRPr="00723FDB" w:rsidTr="008C02E3">
        <w:trPr>
          <w:trHeight w:val="60"/>
          <w:tblHeader/>
          <w:jc w:val="center"/>
        </w:trPr>
        <w:tc>
          <w:tcPr>
            <w:tcW w:w="2241"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80" w:type="dxa"/>
              <w:left w:w="80" w:type="dxa"/>
              <w:bottom w:w="80" w:type="dxa"/>
              <w:right w:w="80" w:type="dxa"/>
            </w:tcMar>
          </w:tcPr>
          <w:p w:rsidR="00B26BB1" w:rsidRPr="00AB371A" w:rsidRDefault="00B26BB1" w:rsidP="008C02E3">
            <w:pPr>
              <w:pStyle w:val="TableHeader"/>
              <w:keepNext/>
              <w:spacing w:after="0" w:line="240" w:lineRule="auto"/>
              <w:rPr>
                <w:rFonts w:ascii="Arial" w:hAnsi="Arial" w:cs="Arial"/>
              </w:rPr>
            </w:pPr>
          </w:p>
        </w:tc>
        <w:tc>
          <w:tcPr>
            <w:tcW w:w="1559"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Pr>
          <w:p w:rsidR="00B26BB1" w:rsidRPr="00AB371A" w:rsidRDefault="00B26BB1" w:rsidP="008C02E3">
            <w:pPr>
              <w:pStyle w:val="TableHeader"/>
              <w:keepNext/>
              <w:spacing w:after="0" w:line="240" w:lineRule="auto"/>
              <w:ind w:left="86"/>
              <w:jc w:val="center"/>
              <w:rPr>
                <w:rFonts w:ascii="Arial" w:hAnsi="Arial" w:cs="Arial"/>
              </w:rPr>
            </w:pPr>
          </w:p>
        </w:tc>
        <w:tc>
          <w:tcPr>
            <w:tcW w:w="1559"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Pr>
          <w:p w:rsidR="00B26BB1" w:rsidRPr="00AB371A" w:rsidRDefault="00B26BB1" w:rsidP="008C02E3">
            <w:pPr>
              <w:pStyle w:val="TableHeader"/>
              <w:keepNext/>
              <w:spacing w:after="0" w:line="240" w:lineRule="auto"/>
              <w:ind w:left="86"/>
              <w:jc w:val="center"/>
              <w:rPr>
                <w:rFonts w:ascii="Arial" w:hAnsi="Arial" w:cs="Arial"/>
              </w:rPr>
            </w:pPr>
            <w:r w:rsidRPr="00AB371A">
              <w:rPr>
                <w:rFonts w:ascii="Arial" w:hAnsi="Arial" w:cs="Arial"/>
              </w:rPr>
              <w:t>Private Lawyer</w:t>
            </w:r>
          </w:p>
        </w:tc>
        <w:tc>
          <w:tcPr>
            <w:tcW w:w="1559"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80" w:type="dxa"/>
              <w:left w:w="80" w:type="dxa"/>
              <w:bottom w:w="80" w:type="dxa"/>
              <w:right w:w="80" w:type="dxa"/>
            </w:tcMar>
          </w:tcPr>
          <w:p w:rsidR="00B26BB1" w:rsidRPr="00AB371A" w:rsidRDefault="00B26BB1" w:rsidP="008C02E3">
            <w:pPr>
              <w:pStyle w:val="TableHeader"/>
              <w:keepNext/>
              <w:spacing w:after="0" w:line="240" w:lineRule="auto"/>
              <w:jc w:val="center"/>
              <w:rPr>
                <w:rFonts w:ascii="Arial" w:hAnsi="Arial" w:cs="Arial"/>
              </w:rPr>
            </w:pPr>
            <w:r w:rsidRPr="00AB371A">
              <w:rPr>
                <w:rFonts w:ascii="Arial" w:hAnsi="Arial" w:cs="Arial"/>
              </w:rPr>
              <w:t>Community Legal Centre or Legal Aid</w:t>
            </w:r>
          </w:p>
        </w:tc>
        <w:tc>
          <w:tcPr>
            <w:tcW w:w="1559"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80" w:type="dxa"/>
              <w:left w:w="80" w:type="dxa"/>
              <w:bottom w:w="80" w:type="dxa"/>
              <w:right w:w="80" w:type="dxa"/>
            </w:tcMar>
          </w:tcPr>
          <w:p w:rsidR="00B26BB1" w:rsidRPr="00AB371A" w:rsidRDefault="00B26BB1" w:rsidP="00973049">
            <w:pPr>
              <w:pStyle w:val="TableHeader"/>
              <w:keepNext/>
              <w:spacing w:after="0" w:line="240" w:lineRule="auto"/>
              <w:jc w:val="center"/>
              <w:rPr>
                <w:rFonts w:ascii="Arial" w:hAnsi="Arial" w:cs="Arial"/>
              </w:rPr>
            </w:pPr>
            <w:r w:rsidRPr="00AB371A">
              <w:rPr>
                <w:rFonts w:ascii="Arial" w:hAnsi="Arial" w:cs="Arial"/>
              </w:rPr>
              <w:t>Accountant/ Tax Agent, Migration Agent or Other Advocate</w:t>
            </w:r>
          </w:p>
        </w:tc>
        <w:tc>
          <w:tcPr>
            <w:tcW w:w="1559"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Pr>
          <w:p w:rsidR="00B26BB1" w:rsidRPr="00AB371A" w:rsidRDefault="00B26BB1" w:rsidP="008C02E3">
            <w:pPr>
              <w:pStyle w:val="TableHeader"/>
              <w:keepNext/>
              <w:spacing w:after="0" w:line="240" w:lineRule="auto"/>
              <w:ind w:left="57"/>
              <w:jc w:val="center"/>
              <w:rPr>
                <w:rFonts w:ascii="Arial" w:hAnsi="Arial" w:cs="Arial"/>
              </w:rPr>
            </w:pPr>
            <w:r w:rsidRPr="00AB371A">
              <w:rPr>
                <w:rFonts w:ascii="Arial" w:hAnsi="Arial" w:cs="Arial"/>
              </w:rPr>
              <w:t>Friend/Relative/ Other</w:t>
            </w:r>
          </w:p>
        </w:tc>
      </w:tr>
      <w:tr w:rsidR="00B26BB1" w:rsidRPr="00723FDB" w:rsidTr="008C02E3">
        <w:trPr>
          <w:trHeight w:val="239"/>
          <w:jc w:val="center"/>
        </w:trPr>
        <w:tc>
          <w:tcPr>
            <w:tcW w:w="2241" w:type="dxa"/>
            <w:tcBorders>
              <w:top w:val="single" w:sz="8" w:space="0" w:color="000000"/>
              <w:left w:val="single" w:sz="8" w:space="0" w:color="000000"/>
              <w:right w:val="single" w:sz="8" w:space="0" w:color="000000"/>
            </w:tcBorders>
            <w:tcMar>
              <w:top w:w="80" w:type="dxa"/>
              <w:left w:w="80" w:type="dxa"/>
              <w:bottom w:w="80" w:type="dxa"/>
              <w:right w:w="80" w:type="dxa"/>
            </w:tcMar>
          </w:tcPr>
          <w:p w:rsidR="00B26BB1" w:rsidRPr="00AB371A" w:rsidRDefault="00B26BB1" w:rsidP="008C02E3">
            <w:pPr>
              <w:pStyle w:val="bodycopy"/>
              <w:spacing w:after="0" w:line="240" w:lineRule="auto"/>
              <w:rPr>
                <w:rFonts w:ascii="Arial" w:hAnsi="Arial" w:cs="Arial"/>
              </w:rPr>
            </w:pPr>
            <w:r w:rsidRPr="00AB371A">
              <w:rPr>
                <w:rFonts w:ascii="Arial" w:hAnsi="Arial" w:cs="Arial"/>
              </w:rPr>
              <w:t>Citizenship &amp; Immigration</w:t>
            </w:r>
          </w:p>
        </w:tc>
        <w:tc>
          <w:tcPr>
            <w:tcW w:w="1559" w:type="dxa"/>
            <w:tcBorders>
              <w:top w:val="single" w:sz="8" w:space="0" w:color="000000"/>
              <w:left w:val="single" w:sz="8" w:space="0" w:color="000000"/>
              <w:right w:val="single" w:sz="8" w:space="0" w:color="000000"/>
            </w:tcBorders>
          </w:tcPr>
          <w:p w:rsidR="00B26BB1" w:rsidRPr="00AB371A" w:rsidRDefault="00973049" w:rsidP="008C02E3">
            <w:pPr>
              <w:pStyle w:val="bodycopy"/>
              <w:spacing w:after="0" w:line="240" w:lineRule="auto"/>
              <w:ind w:left="86"/>
              <w:jc w:val="right"/>
              <w:rPr>
                <w:rFonts w:ascii="Arial" w:hAnsi="Arial" w:cs="Arial"/>
              </w:rPr>
            </w:pPr>
            <w:r>
              <w:rPr>
                <w:rFonts w:ascii="Arial" w:hAnsi="Arial" w:cs="Arial"/>
              </w:rPr>
              <w:t>51</w:t>
            </w:r>
            <w:r w:rsidR="00B26BB1" w:rsidRPr="00AB371A">
              <w:rPr>
                <w:rFonts w:ascii="Arial" w:hAnsi="Arial" w:cs="Arial"/>
              </w:rPr>
              <w:t>%</w:t>
            </w:r>
          </w:p>
        </w:tc>
        <w:tc>
          <w:tcPr>
            <w:tcW w:w="1559" w:type="dxa"/>
            <w:tcBorders>
              <w:top w:val="single" w:sz="8" w:space="0" w:color="000000"/>
              <w:left w:val="single" w:sz="8" w:space="0" w:color="000000"/>
              <w:right w:val="single" w:sz="8" w:space="0" w:color="000000"/>
            </w:tcBorders>
          </w:tcPr>
          <w:p w:rsidR="00B26BB1" w:rsidRPr="00AB371A" w:rsidRDefault="00973049" w:rsidP="008C02E3">
            <w:pPr>
              <w:pStyle w:val="bodycopy"/>
              <w:spacing w:after="0" w:line="240" w:lineRule="auto"/>
              <w:ind w:left="86"/>
              <w:jc w:val="right"/>
              <w:rPr>
                <w:rFonts w:ascii="Arial" w:hAnsi="Arial" w:cs="Arial"/>
              </w:rPr>
            </w:pPr>
            <w:r>
              <w:rPr>
                <w:rFonts w:ascii="Arial" w:hAnsi="Arial" w:cs="Arial"/>
              </w:rPr>
              <w:t>22</w:t>
            </w:r>
            <w:r w:rsidR="00B26BB1" w:rsidRPr="00AB371A">
              <w:rPr>
                <w:rFonts w:ascii="Arial" w:hAnsi="Arial" w:cs="Arial"/>
              </w:rPr>
              <w:t>%</w:t>
            </w:r>
          </w:p>
        </w:tc>
        <w:tc>
          <w:tcPr>
            <w:tcW w:w="1559" w:type="dxa"/>
            <w:tcBorders>
              <w:top w:val="single" w:sz="8" w:space="0" w:color="000000"/>
              <w:left w:val="single" w:sz="8" w:space="0" w:color="000000"/>
              <w:right w:val="single" w:sz="8" w:space="0" w:color="000000"/>
            </w:tcBorders>
            <w:tcMar>
              <w:top w:w="80" w:type="dxa"/>
              <w:left w:w="80" w:type="dxa"/>
              <w:bottom w:w="80" w:type="dxa"/>
              <w:right w:w="80" w:type="dxa"/>
            </w:tcMar>
          </w:tcPr>
          <w:p w:rsidR="00B26BB1" w:rsidRPr="00AB371A" w:rsidRDefault="00B26BB1" w:rsidP="008C02E3">
            <w:pPr>
              <w:pStyle w:val="bodycopy"/>
              <w:spacing w:after="0" w:line="240" w:lineRule="auto"/>
              <w:jc w:val="right"/>
              <w:rPr>
                <w:rFonts w:ascii="Arial" w:hAnsi="Arial" w:cs="Arial"/>
              </w:rPr>
            </w:pPr>
            <w:r w:rsidRPr="00AB371A">
              <w:rPr>
                <w:rFonts w:ascii="Arial" w:hAnsi="Arial" w:cs="Arial"/>
              </w:rPr>
              <w:t>5%</w:t>
            </w:r>
          </w:p>
        </w:tc>
        <w:tc>
          <w:tcPr>
            <w:tcW w:w="1559" w:type="dxa"/>
            <w:tcBorders>
              <w:top w:val="single" w:sz="8" w:space="0" w:color="000000"/>
              <w:left w:val="single" w:sz="8" w:space="0" w:color="000000"/>
              <w:right w:val="single" w:sz="8" w:space="0" w:color="000000"/>
            </w:tcBorders>
            <w:tcMar>
              <w:top w:w="80" w:type="dxa"/>
              <w:left w:w="80" w:type="dxa"/>
              <w:bottom w:w="80" w:type="dxa"/>
              <w:right w:w="80" w:type="dxa"/>
            </w:tcMar>
          </w:tcPr>
          <w:p w:rsidR="00B26BB1" w:rsidRPr="00AB371A" w:rsidRDefault="00B26BB1" w:rsidP="008C02E3">
            <w:pPr>
              <w:pStyle w:val="bodycopy"/>
              <w:spacing w:after="0" w:line="240" w:lineRule="auto"/>
              <w:jc w:val="right"/>
              <w:rPr>
                <w:rFonts w:ascii="Arial" w:hAnsi="Arial" w:cs="Arial"/>
              </w:rPr>
            </w:pPr>
            <w:r w:rsidRPr="00AB371A">
              <w:rPr>
                <w:rFonts w:ascii="Arial" w:hAnsi="Arial" w:cs="Arial"/>
              </w:rPr>
              <w:t>6%</w:t>
            </w:r>
          </w:p>
        </w:tc>
        <w:tc>
          <w:tcPr>
            <w:tcW w:w="1559" w:type="dxa"/>
            <w:tcBorders>
              <w:top w:val="single" w:sz="8" w:space="0" w:color="000000"/>
              <w:left w:val="single" w:sz="8" w:space="0" w:color="000000"/>
              <w:right w:val="single" w:sz="8" w:space="0" w:color="000000"/>
            </w:tcBorders>
          </w:tcPr>
          <w:p w:rsidR="00B26BB1" w:rsidRPr="00AB371A" w:rsidRDefault="00B26BB1" w:rsidP="008C02E3">
            <w:pPr>
              <w:pStyle w:val="bodycopy"/>
              <w:spacing w:after="0" w:line="240" w:lineRule="auto"/>
              <w:ind w:left="57"/>
              <w:jc w:val="right"/>
              <w:rPr>
                <w:rFonts w:ascii="Arial" w:hAnsi="Arial" w:cs="Arial"/>
              </w:rPr>
            </w:pPr>
            <w:r w:rsidRPr="00AB371A">
              <w:rPr>
                <w:rFonts w:ascii="Arial" w:hAnsi="Arial" w:cs="Arial"/>
              </w:rPr>
              <w:t>15%</w:t>
            </w:r>
          </w:p>
        </w:tc>
      </w:tr>
      <w:tr w:rsidR="00B26BB1" w:rsidRPr="00723FDB" w:rsidTr="008C02E3">
        <w:trPr>
          <w:trHeight w:val="60"/>
          <w:jc w:val="center"/>
        </w:trPr>
        <w:tc>
          <w:tcPr>
            <w:tcW w:w="2241"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B26BB1" w:rsidRPr="00AB371A" w:rsidRDefault="00B26BB1" w:rsidP="008C02E3">
            <w:pPr>
              <w:pStyle w:val="bodycopy"/>
              <w:spacing w:after="0" w:line="240" w:lineRule="auto"/>
              <w:rPr>
                <w:rFonts w:ascii="Arial" w:hAnsi="Arial" w:cs="Arial"/>
              </w:rPr>
            </w:pPr>
            <w:r w:rsidRPr="00AB371A">
              <w:rPr>
                <w:rFonts w:ascii="Arial" w:hAnsi="Arial" w:cs="Arial"/>
              </w:rPr>
              <w:t xml:space="preserve">Social Security </w:t>
            </w:r>
          </w:p>
        </w:tc>
        <w:tc>
          <w:tcPr>
            <w:tcW w:w="1559"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rsidR="00B26BB1" w:rsidRPr="00AB371A" w:rsidRDefault="00B26BB1" w:rsidP="008C02E3">
            <w:pPr>
              <w:pStyle w:val="bodycopy"/>
              <w:spacing w:after="0" w:line="240" w:lineRule="auto"/>
              <w:ind w:left="86"/>
              <w:jc w:val="right"/>
              <w:rPr>
                <w:rFonts w:ascii="Arial" w:hAnsi="Arial" w:cs="Arial"/>
              </w:rPr>
            </w:pPr>
            <w:r w:rsidRPr="00AB371A">
              <w:rPr>
                <w:rFonts w:ascii="Arial" w:hAnsi="Arial" w:cs="Arial"/>
              </w:rPr>
              <w:t>74%</w:t>
            </w:r>
          </w:p>
        </w:tc>
        <w:tc>
          <w:tcPr>
            <w:tcW w:w="1559"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rsidR="00B26BB1" w:rsidRPr="00AB371A" w:rsidRDefault="00B26BB1" w:rsidP="008C02E3">
            <w:pPr>
              <w:pStyle w:val="bodycopy"/>
              <w:spacing w:after="0" w:line="240" w:lineRule="auto"/>
              <w:ind w:left="86"/>
              <w:jc w:val="right"/>
              <w:rPr>
                <w:rFonts w:ascii="Arial" w:hAnsi="Arial" w:cs="Arial"/>
              </w:rPr>
            </w:pPr>
            <w:r w:rsidRPr="00AB371A">
              <w:rPr>
                <w:rFonts w:ascii="Arial" w:hAnsi="Arial" w:cs="Arial"/>
              </w:rPr>
              <w:t>3%</w:t>
            </w:r>
          </w:p>
        </w:tc>
        <w:tc>
          <w:tcPr>
            <w:tcW w:w="1559"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B26BB1" w:rsidRPr="00AB371A" w:rsidRDefault="00973049" w:rsidP="008C02E3">
            <w:pPr>
              <w:pStyle w:val="bodycopy"/>
              <w:spacing w:after="0" w:line="240" w:lineRule="auto"/>
              <w:jc w:val="right"/>
              <w:rPr>
                <w:rFonts w:ascii="Arial" w:hAnsi="Arial" w:cs="Arial"/>
              </w:rPr>
            </w:pPr>
            <w:r>
              <w:rPr>
                <w:rFonts w:ascii="Arial" w:hAnsi="Arial" w:cs="Arial"/>
              </w:rPr>
              <w:t>12</w:t>
            </w:r>
            <w:r w:rsidR="00B26BB1" w:rsidRPr="00AB371A">
              <w:rPr>
                <w:rFonts w:ascii="Arial" w:hAnsi="Arial" w:cs="Arial"/>
              </w:rPr>
              <w:t>%</w:t>
            </w:r>
          </w:p>
        </w:tc>
        <w:tc>
          <w:tcPr>
            <w:tcW w:w="1559"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B26BB1" w:rsidRPr="00AB371A" w:rsidRDefault="00B26BB1" w:rsidP="008C02E3">
            <w:pPr>
              <w:pStyle w:val="bodycopy"/>
              <w:spacing w:after="0" w:line="240" w:lineRule="auto"/>
              <w:jc w:val="right"/>
              <w:rPr>
                <w:rFonts w:ascii="Arial" w:hAnsi="Arial" w:cs="Arial"/>
              </w:rPr>
            </w:pPr>
            <w:r w:rsidRPr="00AB371A">
              <w:rPr>
                <w:rFonts w:ascii="Arial" w:hAnsi="Arial" w:cs="Arial"/>
              </w:rPr>
              <w:t>1%</w:t>
            </w:r>
          </w:p>
        </w:tc>
        <w:tc>
          <w:tcPr>
            <w:tcW w:w="1559"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rsidR="00B26BB1" w:rsidRPr="00AB371A" w:rsidRDefault="00B26BB1" w:rsidP="008C02E3">
            <w:pPr>
              <w:pStyle w:val="bodycopy"/>
              <w:spacing w:after="0" w:line="240" w:lineRule="auto"/>
              <w:jc w:val="right"/>
              <w:rPr>
                <w:rFonts w:ascii="Arial" w:hAnsi="Arial" w:cs="Arial"/>
              </w:rPr>
            </w:pPr>
            <w:r w:rsidRPr="00AB371A">
              <w:rPr>
                <w:rFonts w:ascii="Arial" w:hAnsi="Arial" w:cs="Arial"/>
              </w:rPr>
              <w:t>10%</w:t>
            </w:r>
          </w:p>
        </w:tc>
      </w:tr>
      <w:tr w:rsidR="00B26BB1" w:rsidRPr="00723FDB" w:rsidTr="008C02E3">
        <w:trPr>
          <w:trHeight w:val="60"/>
          <w:jc w:val="center"/>
        </w:trPr>
        <w:tc>
          <w:tcPr>
            <w:tcW w:w="224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B26BB1" w:rsidRPr="00AB371A" w:rsidRDefault="00B26BB1" w:rsidP="008C02E3">
            <w:pPr>
              <w:pStyle w:val="bodycopy"/>
              <w:spacing w:after="0" w:line="240" w:lineRule="auto"/>
              <w:rPr>
                <w:rFonts w:ascii="Arial" w:hAnsi="Arial" w:cs="Arial"/>
              </w:rPr>
            </w:pPr>
            <w:r w:rsidRPr="00AB371A">
              <w:rPr>
                <w:rFonts w:ascii="Arial" w:hAnsi="Arial" w:cs="Arial"/>
              </w:rPr>
              <w:t>Taxation</w:t>
            </w:r>
          </w:p>
        </w:tc>
        <w:tc>
          <w:tcPr>
            <w:tcW w:w="1559" w:type="dxa"/>
            <w:tcBorders>
              <w:top w:val="single" w:sz="8" w:space="0" w:color="000000"/>
              <w:left w:val="single" w:sz="8" w:space="0" w:color="000000"/>
              <w:bottom w:val="single" w:sz="8" w:space="0" w:color="000000"/>
              <w:right w:val="single" w:sz="8" w:space="0" w:color="000000"/>
            </w:tcBorders>
          </w:tcPr>
          <w:p w:rsidR="00B26BB1" w:rsidRPr="00AB371A" w:rsidRDefault="00973049" w:rsidP="008C02E3">
            <w:pPr>
              <w:pStyle w:val="bodycopy"/>
              <w:spacing w:after="0" w:line="240" w:lineRule="auto"/>
              <w:ind w:left="86"/>
              <w:jc w:val="right"/>
              <w:rPr>
                <w:rFonts w:ascii="Arial" w:hAnsi="Arial" w:cs="Arial"/>
              </w:rPr>
            </w:pPr>
            <w:r>
              <w:rPr>
                <w:rFonts w:ascii="Arial" w:hAnsi="Arial" w:cs="Arial"/>
              </w:rPr>
              <w:t>40</w:t>
            </w:r>
            <w:r w:rsidR="00B26BB1" w:rsidRPr="00AB371A">
              <w:rPr>
                <w:rFonts w:ascii="Arial" w:hAnsi="Arial" w:cs="Arial"/>
              </w:rPr>
              <w:t>%</w:t>
            </w:r>
          </w:p>
        </w:tc>
        <w:tc>
          <w:tcPr>
            <w:tcW w:w="1559" w:type="dxa"/>
            <w:tcBorders>
              <w:top w:val="single" w:sz="8" w:space="0" w:color="000000"/>
              <w:left w:val="single" w:sz="8" w:space="0" w:color="000000"/>
              <w:bottom w:val="single" w:sz="8" w:space="0" w:color="000000"/>
              <w:right w:val="single" w:sz="8" w:space="0" w:color="000000"/>
            </w:tcBorders>
          </w:tcPr>
          <w:p w:rsidR="00B26BB1" w:rsidRPr="00AB371A" w:rsidRDefault="00973049" w:rsidP="008C02E3">
            <w:pPr>
              <w:pStyle w:val="bodycopy"/>
              <w:spacing w:after="0" w:line="240" w:lineRule="auto"/>
              <w:ind w:left="86"/>
              <w:jc w:val="right"/>
              <w:rPr>
                <w:rFonts w:ascii="Arial" w:hAnsi="Arial" w:cs="Arial"/>
              </w:rPr>
            </w:pPr>
            <w:r>
              <w:rPr>
                <w:rFonts w:ascii="Arial" w:hAnsi="Arial" w:cs="Arial"/>
              </w:rPr>
              <w:t>25</w:t>
            </w:r>
            <w:r w:rsidR="00B26BB1" w:rsidRPr="00AB371A">
              <w:rPr>
                <w:rFonts w:ascii="Arial" w:hAnsi="Arial" w:cs="Arial"/>
              </w:rPr>
              <w:t>%</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B26BB1" w:rsidRPr="00AB371A" w:rsidRDefault="00B26BB1" w:rsidP="008C02E3">
            <w:pPr>
              <w:pStyle w:val="bodycopy"/>
              <w:spacing w:after="0" w:line="240" w:lineRule="auto"/>
              <w:jc w:val="right"/>
              <w:rPr>
                <w:rFonts w:ascii="Arial" w:hAnsi="Arial" w:cs="Arial"/>
              </w:rPr>
            </w:pPr>
            <w:r w:rsidRPr="00AB371A">
              <w:rPr>
                <w:rFonts w:ascii="Arial" w:hAnsi="Arial" w:cs="Arial"/>
              </w:rPr>
              <w:t>0%</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B26BB1" w:rsidRPr="00AB371A" w:rsidRDefault="00973049" w:rsidP="008C02E3">
            <w:pPr>
              <w:pStyle w:val="bodycopy"/>
              <w:spacing w:after="0" w:line="240" w:lineRule="auto"/>
              <w:jc w:val="right"/>
              <w:rPr>
                <w:rFonts w:ascii="Arial" w:hAnsi="Arial" w:cs="Arial"/>
              </w:rPr>
            </w:pPr>
            <w:r>
              <w:rPr>
                <w:rFonts w:ascii="Arial" w:hAnsi="Arial" w:cs="Arial"/>
              </w:rPr>
              <w:t>30</w:t>
            </w:r>
            <w:r w:rsidR="00B26BB1" w:rsidRPr="00AB371A">
              <w:rPr>
                <w:rFonts w:ascii="Arial" w:hAnsi="Arial" w:cs="Arial"/>
              </w:rPr>
              <w:t>%</w:t>
            </w:r>
          </w:p>
        </w:tc>
        <w:tc>
          <w:tcPr>
            <w:tcW w:w="1559" w:type="dxa"/>
            <w:tcBorders>
              <w:top w:val="single" w:sz="8" w:space="0" w:color="000000"/>
              <w:left w:val="single" w:sz="8" w:space="0" w:color="000000"/>
              <w:bottom w:val="single" w:sz="8" w:space="0" w:color="000000"/>
              <w:right w:val="single" w:sz="8" w:space="0" w:color="000000"/>
            </w:tcBorders>
          </w:tcPr>
          <w:p w:rsidR="00B26BB1" w:rsidRPr="00AB371A" w:rsidRDefault="00B26BB1" w:rsidP="008C02E3">
            <w:pPr>
              <w:pStyle w:val="bodycopy"/>
              <w:spacing w:after="0" w:line="240" w:lineRule="auto"/>
              <w:ind w:left="57"/>
              <w:jc w:val="right"/>
              <w:rPr>
                <w:rFonts w:ascii="Arial" w:hAnsi="Arial" w:cs="Arial"/>
              </w:rPr>
            </w:pPr>
            <w:r w:rsidRPr="00AB371A">
              <w:rPr>
                <w:rFonts w:ascii="Arial" w:hAnsi="Arial" w:cs="Arial"/>
              </w:rPr>
              <w:t>4%</w:t>
            </w:r>
          </w:p>
        </w:tc>
      </w:tr>
      <w:tr w:rsidR="00B26BB1" w:rsidRPr="00723FDB" w:rsidTr="008C02E3">
        <w:trPr>
          <w:trHeight w:val="60"/>
          <w:jc w:val="center"/>
        </w:trPr>
        <w:tc>
          <w:tcPr>
            <w:tcW w:w="2241"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B26BB1" w:rsidRPr="00AB371A" w:rsidRDefault="00B26BB1" w:rsidP="008C02E3">
            <w:pPr>
              <w:pStyle w:val="bodycopy"/>
              <w:spacing w:after="0" w:line="240" w:lineRule="auto"/>
              <w:rPr>
                <w:rFonts w:ascii="Arial" w:hAnsi="Arial" w:cs="Arial"/>
              </w:rPr>
            </w:pPr>
            <w:r w:rsidRPr="00AB371A">
              <w:rPr>
                <w:rFonts w:ascii="Arial" w:hAnsi="Arial" w:cs="Arial"/>
              </w:rPr>
              <w:t>Veterans’ Affairs</w:t>
            </w:r>
          </w:p>
        </w:tc>
        <w:tc>
          <w:tcPr>
            <w:tcW w:w="1559"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rsidR="00B26BB1" w:rsidRPr="00AB371A" w:rsidRDefault="00973049" w:rsidP="008C02E3">
            <w:pPr>
              <w:pStyle w:val="bodycopy"/>
              <w:spacing w:after="0" w:line="240" w:lineRule="auto"/>
              <w:ind w:left="86"/>
              <w:jc w:val="right"/>
              <w:rPr>
                <w:rFonts w:ascii="Arial" w:hAnsi="Arial" w:cs="Arial"/>
              </w:rPr>
            </w:pPr>
            <w:r>
              <w:rPr>
                <w:rFonts w:ascii="Arial" w:hAnsi="Arial" w:cs="Arial"/>
              </w:rPr>
              <w:t>18</w:t>
            </w:r>
            <w:r w:rsidR="00B26BB1" w:rsidRPr="00AB371A">
              <w:rPr>
                <w:rFonts w:ascii="Arial" w:hAnsi="Arial" w:cs="Arial"/>
              </w:rPr>
              <w:t>%</w:t>
            </w:r>
          </w:p>
        </w:tc>
        <w:tc>
          <w:tcPr>
            <w:tcW w:w="1559"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rsidR="00B26BB1" w:rsidRPr="00AB371A" w:rsidRDefault="00B26BB1" w:rsidP="008C02E3">
            <w:pPr>
              <w:pStyle w:val="bodycopy"/>
              <w:spacing w:after="0" w:line="240" w:lineRule="auto"/>
              <w:ind w:left="86"/>
              <w:jc w:val="right"/>
              <w:rPr>
                <w:rFonts w:ascii="Arial" w:hAnsi="Arial" w:cs="Arial"/>
              </w:rPr>
            </w:pPr>
            <w:r w:rsidRPr="00AB371A">
              <w:rPr>
                <w:rFonts w:ascii="Arial" w:hAnsi="Arial" w:cs="Arial"/>
              </w:rPr>
              <w:t>56%</w:t>
            </w:r>
          </w:p>
        </w:tc>
        <w:tc>
          <w:tcPr>
            <w:tcW w:w="1559"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B26BB1" w:rsidRPr="00AB371A" w:rsidRDefault="00B26BB1" w:rsidP="008C02E3">
            <w:pPr>
              <w:pStyle w:val="bodycopy"/>
              <w:spacing w:after="0" w:line="240" w:lineRule="auto"/>
              <w:jc w:val="right"/>
              <w:rPr>
                <w:rFonts w:ascii="Arial" w:hAnsi="Arial" w:cs="Arial"/>
              </w:rPr>
            </w:pPr>
            <w:r w:rsidRPr="00AB371A">
              <w:rPr>
                <w:rFonts w:ascii="Arial" w:hAnsi="Arial" w:cs="Arial"/>
              </w:rPr>
              <w:t>8%</w:t>
            </w:r>
          </w:p>
        </w:tc>
        <w:tc>
          <w:tcPr>
            <w:tcW w:w="1559"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B26BB1" w:rsidRPr="00AB371A" w:rsidRDefault="00973049" w:rsidP="008C02E3">
            <w:pPr>
              <w:pStyle w:val="bodycopy"/>
              <w:spacing w:after="0" w:line="240" w:lineRule="auto"/>
              <w:jc w:val="right"/>
              <w:rPr>
                <w:rFonts w:ascii="Arial" w:hAnsi="Arial" w:cs="Arial"/>
              </w:rPr>
            </w:pPr>
            <w:r>
              <w:rPr>
                <w:rFonts w:ascii="Arial" w:hAnsi="Arial" w:cs="Arial"/>
              </w:rPr>
              <w:t>15</w:t>
            </w:r>
            <w:r w:rsidR="00B26BB1" w:rsidRPr="00AB371A">
              <w:rPr>
                <w:rFonts w:ascii="Arial" w:hAnsi="Arial" w:cs="Arial"/>
              </w:rPr>
              <w:t>%</w:t>
            </w:r>
          </w:p>
        </w:tc>
        <w:tc>
          <w:tcPr>
            <w:tcW w:w="1559"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rsidR="00B26BB1" w:rsidRPr="00AB371A" w:rsidRDefault="00B26BB1" w:rsidP="008C02E3">
            <w:pPr>
              <w:pStyle w:val="bodycopy"/>
              <w:spacing w:after="0" w:line="240" w:lineRule="auto"/>
              <w:ind w:left="57"/>
              <w:jc w:val="right"/>
              <w:rPr>
                <w:rFonts w:ascii="Arial" w:hAnsi="Arial" w:cs="Arial"/>
              </w:rPr>
            </w:pPr>
            <w:r w:rsidRPr="00AB371A">
              <w:rPr>
                <w:rFonts w:ascii="Arial" w:hAnsi="Arial" w:cs="Arial"/>
              </w:rPr>
              <w:t>3%</w:t>
            </w:r>
          </w:p>
        </w:tc>
      </w:tr>
      <w:tr w:rsidR="00B26BB1" w:rsidRPr="00723FDB" w:rsidTr="008C02E3">
        <w:trPr>
          <w:trHeight w:val="60"/>
          <w:jc w:val="center"/>
        </w:trPr>
        <w:tc>
          <w:tcPr>
            <w:tcW w:w="224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B26BB1" w:rsidRPr="00AB371A" w:rsidRDefault="00B26BB1" w:rsidP="008C02E3">
            <w:pPr>
              <w:pStyle w:val="bodycopy"/>
              <w:spacing w:after="0" w:line="240" w:lineRule="auto"/>
              <w:rPr>
                <w:rFonts w:ascii="Arial" w:hAnsi="Arial" w:cs="Arial"/>
              </w:rPr>
            </w:pPr>
            <w:r w:rsidRPr="00AB371A">
              <w:rPr>
                <w:rFonts w:ascii="Arial" w:hAnsi="Arial" w:cs="Arial"/>
              </w:rPr>
              <w:t xml:space="preserve">Workers’ Compensation </w:t>
            </w:r>
          </w:p>
        </w:tc>
        <w:tc>
          <w:tcPr>
            <w:tcW w:w="1559" w:type="dxa"/>
            <w:tcBorders>
              <w:top w:val="single" w:sz="8" w:space="0" w:color="000000"/>
              <w:left w:val="single" w:sz="8" w:space="0" w:color="000000"/>
              <w:bottom w:val="single" w:sz="8" w:space="0" w:color="000000"/>
              <w:right w:val="single" w:sz="8" w:space="0" w:color="000000"/>
            </w:tcBorders>
          </w:tcPr>
          <w:p w:rsidR="00B26BB1" w:rsidRPr="00AB371A" w:rsidRDefault="00B26BB1" w:rsidP="008C02E3">
            <w:pPr>
              <w:pStyle w:val="bodycopy"/>
              <w:spacing w:after="0" w:line="240" w:lineRule="auto"/>
              <w:ind w:left="86"/>
              <w:jc w:val="right"/>
              <w:rPr>
                <w:rFonts w:ascii="Arial" w:hAnsi="Arial" w:cs="Arial"/>
              </w:rPr>
            </w:pPr>
            <w:r w:rsidRPr="00AB371A">
              <w:rPr>
                <w:rFonts w:ascii="Arial" w:hAnsi="Arial" w:cs="Arial"/>
              </w:rPr>
              <w:t>19%</w:t>
            </w:r>
          </w:p>
        </w:tc>
        <w:tc>
          <w:tcPr>
            <w:tcW w:w="1559" w:type="dxa"/>
            <w:tcBorders>
              <w:top w:val="single" w:sz="8" w:space="0" w:color="000000"/>
              <w:left w:val="single" w:sz="8" w:space="0" w:color="000000"/>
              <w:bottom w:val="single" w:sz="8" w:space="0" w:color="000000"/>
              <w:right w:val="single" w:sz="8" w:space="0" w:color="000000"/>
            </w:tcBorders>
          </w:tcPr>
          <w:p w:rsidR="00B26BB1" w:rsidRPr="00AB371A" w:rsidRDefault="00B26BB1" w:rsidP="008C02E3">
            <w:pPr>
              <w:pStyle w:val="bodycopy"/>
              <w:spacing w:after="0" w:line="240" w:lineRule="auto"/>
              <w:ind w:left="86"/>
              <w:jc w:val="right"/>
              <w:rPr>
                <w:rFonts w:ascii="Arial" w:hAnsi="Arial" w:cs="Arial"/>
              </w:rPr>
            </w:pPr>
            <w:r w:rsidRPr="00AB371A">
              <w:rPr>
                <w:rFonts w:ascii="Arial" w:hAnsi="Arial" w:cs="Arial"/>
              </w:rPr>
              <w:t>77%</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B26BB1" w:rsidRPr="00AB371A" w:rsidRDefault="00B26BB1" w:rsidP="008C02E3">
            <w:pPr>
              <w:pStyle w:val="bodycopy"/>
              <w:spacing w:after="0" w:line="240" w:lineRule="auto"/>
              <w:jc w:val="right"/>
              <w:rPr>
                <w:rFonts w:ascii="Arial" w:hAnsi="Arial" w:cs="Arial"/>
              </w:rPr>
            </w:pPr>
            <w:r w:rsidRPr="00AB371A">
              <w:rPr>
                <w:rFonts w:ascii="Arial" w:hAnsi="Arial" w:cs="Arial"/>
              </w:rPr>
              <w:t>0%</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B26BB1" w:rsidRPr="00AB371A" w:rsidRDefault="00B26BB1" w:rsidP="008C02E3">
            <w:pPr>
              <w:pStyle w:val="bodycopy"/>
              <w:spacing w:after="0" w:line="240" w:lineRule="auto"/>
              <w:jc w:val="right"/>
              <w:rPr>
                <w:rFonts w:ascii="Arial" w:hAnsi="Arial" w:cs="Arial"/>
              </w:rPr>
            </w:pPr>
            <w:r w:rsidRPr="00AB371A">
              <w:rPr>
                <w:rFonts w:ascii="Arial" w:hAnsi="Arial" w:cs="Arial"/>
              </w:rPr>
              <w:t>2%</w:t>
            </w:r>
          </w:p>
        </w:tc>
        <w:tc>
          <w:tcPr>
            <w:tcW w:w="1559" w:type="dxa"/>
            <w:tcBorders>
              <w:top w:val="single" w:sz="8" w:space="0" w:color="000000"/>
              <w:left w:val="single" w:sz="8" w:space="0" w:color="000000"/>
              <w:bottom w:val="single" w:sz="8" w:space="0" w:color="000000"/>
              <w:right w:val="single" w:sz="8" w:space="0" w:color="000000"/>
            </w:tcBorders>
          </w:tcPr>
          <w:p w:rsidR="00B26BB1" w:rsidRPr="00AB371A" w:rsidRDefault="00B26BB1" w:rsidP="008C02E3">
            <w:pPr>
              <w:pStyle w:val="bodycopy"/>
              <w:spacing w:after="0" w:line="240" w:lineRule="auto"/>
              <w:ind w:left="57"/>
              <w:jc w:val="right"/>
              <w:rPr>
                <w:rFonts w:ascii="Arial" w:hAnsi="Arial" w:cs="Arial"/>
              </w:rPr>
            </w:pPr>
            <w:r w:rsidRPr="00AB371A">
              <w:rPr>
                <w:rFonts w:ascii="Arial" w:hAnsi="Arial" w:cs="Arial"/>
              </w:rPr>
              <w:t>2%</w:t>
            </w:r>
          </w:p>
        </w:tc>
      </w:tr>
      <w:tr w:rsidR="00B26BB1" w:rsidRPr="00723FDB" w:rsidTr="008C02E3">
        <w:trPr>
          <w:trHeight w:val="60"/>
          <w:jc w:val="center"/>
        </w:trPr>
        <w:tc>
          <w:tcPr>
            <w:tcW w:w="2241"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B26BB1" w:rsidRPr="00AB371A" w:rsidRDefault="00B26BB1" w:rsidP="008C02E3">
            <w:pPr>
              <w:pStyle w:val="bodycopy"/>
              <w:spacing w:after="0" w:line="240" w:lineRule="auto"/>
              <w:rPr>
                <w:rFonts w:ascii="Arial" w:hAnsi="Arial" w:cs="Arial"/>
              </w:rPr>
            </w:pPr>
            <w:r w:rsidRPr="00AB371A">
              <w:rPr>
                <w:rFonts w:ascii="Arial" w:hAnsi="Arial" w:cs="Arial"/>
              </w:rPr>
              <w:t>Other</w:t>
            </w:r>
          </w:p>
        </w:tc>
        <w:tc>
          <w:tcPr>
            <w:tcW w:w="1559"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rsidR="00B26BB1" w:rsidRPr="00AB371A" w:rsidRDefault="00B26BB1" w:rsidP="008C02E3">
            <w:pPr>
              <w:pStyle w:val="bodycopy"/>
              <w:spacing w:after="0" w:line="240" w:lineRule="auto"/>
              <w:ind w:left="86"/>
              <w:jc w:val="right"/>
              <w:rPr>
                <w:rFonts w:ascii="Arial" w:hAnsi="Arial" w:cs="Arial"/>
              </w:rPr>
            </w:pPr>
            <w:r w:rsidRPr="00AB371A">
              <w:rPr>
                <w:rFonts w:ascii="Arial" w:hAnsi="Arial" w:cs="Arial"/>
              </w:rPr>
              <w:t>67%</w:t>
            </w:r>
          </w:p>
        </w:tc>
        <w:tc>
          <w:tcPr>
            <w:tcW w:w="1559"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rsidR="00B26BB1" w:rsidRPr="00AB371A" w:rsidRDefault="00F26B4C" w:rsidP="008C02E3">
            <w:pPr>
              <w:pStyle w:val="bodycopy"/>
              <w:spacing w:after="0" w:line="240" w:lineRule="auto"/>
              <w:ind w:left="86"/>
              <w:jc w:val="right"/>
              <w:rPr>
                <w:rFonts w:ascii="Arial" w:hAnsi="Arial" w:cs="Arial"/>
              </w:rPr>
            </w:pPr>
            <w:r>
              <w:rPr>
                <w:rFonts w:ascii="Arial" w:hAnsi="Arial" w:cs="Arial"/>
              </w:rPr>
              <w:t>19</w:t>
            </w:r>
            <w:r w:rsidR="00B26BB1" w:rsidRPr="00AB371A">
              <w:rPr>
                <w:rFonts w:ascii="Arial" w:hAnsi="Arial" w:cs="Arial"/>
              </w:rPr>
              <w:t>%</w:t>
            </w:r>
          </w:p>
        </w:tc>
        <w:tc>
          <w:tcPr>
            <w:tcW w:w="1559"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B26BB1" w:rsidRPr="00AB371A" w:rsidRDefault="00B26BB1" w:rsidP="008C02E3">
            <w:pPr>
              <w:pStyle w:val="bodycopy"/>
              <w:spacing w:after="0" w:line="240" w:lineRule="auto"/>
              <w:jc w:val="right"/>
              <w:rPr>
                <w:rFonts w:ascii="Arial" w:hAnsi="Arial" w:cs="Arial"/>
              </w:rPr>
            </w:pPr>
            <w:r w:rsidRPr="00AB371A">
              <w:rPr>
                <w:rFonts w:ascii="Arial" w:hAnsi="Arial" w:cs="Arial"/>
              </w:rPr>
              <w:t>0%</w:t>
            </w:r>
          </w:p>
        </w:tc>
        <w:tc>
          <w:tcPr>
            <w:tcW w:w="1559"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B26BB1" w:rsidRPr="00AB371A" w:rsidRDefault="00F26B4C" w:rsidP="008C02E3">
            <w:pPr>
              <w:pStyle w:val="bodycopy"/>
              <w:spacing w:after="0" w:line="240" w:lineRule="auto"/>
              <w:jc w:val="right"/>
              <w:rPr>
                <w:rFonts w:ascii="Arial" w:hAnsi="Arial" w:cs="Arial"/>
              </w:rPr>
            </w:pPr>
            <w:r>
              <w:rPr>
                <w:rFonts w:ascii="Arial" w:hAnsi="Arial" w:cs="Arial"/>
              </w:rPr>
              <w:t>7</w:t>
            </w:r>
            <w:r w:rsidR="00B26BB1" w:rsidRPr="00AB371A">
              <w:rPr>
                <w:rFonts w:ascii="Arial" w:hAnsi="Arial" w:cs="Arial"/>
              </w:rPr>
              <w:t>%</w:t>
            </w:r>
          </w:p>
        </w:tc>
        <w:tc>
          <w:tcPr>
            <w:tcW w:w="1559"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rsidR="00B26BB1" w:rsidRPr="00AB371A" w:rsidRDefault="00B26BB1" w:rsidP="008C02E3">
            <w:pPr>
              <w:pStyle w:val="bodycopy"/>
              <w:spacing w:after="0" w:line="240" w:lineRule="auto"/>
              <w:ind w:left="57"/>
              <w:jc w:val="right"/>
              <w:rPr>
                <w:rFonts w:ascii="Arial" w:hAnsi="Arial" w:cs="Arial"/>
              </w:rPr>
            </w:pPr>
            <w:r w:rsidRPr="00AB371A">
              <w:rPr>
                <w:rFonts w:ascii="Arial" w:hAnsi="Arial" w:cs="Arial"/>
              </w:rPr>
              <w:t>7%</w:t>
            </w:r>
          </w:p>
        </w:tc>
      </w:tr>
      <w:tr w:rsidR="00B26BB1" w:rsidRPr="00723FDB" w:rsidTr="008C02E3">
        <w:trPr>
          <w:trHeight w:val="60"/>
          <w:jc w:val="center"/>
        </w:trPr>
        <w:tc>
          <w:tcPr>
            <w:tcW w:w="224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B26BB1" w:rsidRPr="00AB371A" w:rsidRDefault="00B26BB1" w:rsidP="008C02E3">
            <w:pPr>
              <w:pStyle w:val="bodycopy"/>
              <w:spacing w:after="0" w:line="240" w:lineRule="auto"/>
              <w:rPr>
                <w:rFonts w:ascii="Arial" w:hAnsi="Arial" w:cs="Arial"/>
                <w:b/>
              </w:rPr>
            </w:pPr>
            <w:r w:rsidRPr="00AB371A">
              <w:rPr>
                <w:rFonts w:ascii="Arial" w:hAnsi="Arial" w:cs="Arial"/>
                <w:b/>
              </w:rPr>
              <w:t>Total</w:t>
            </w:r>
          </w:p>
        </w:tc>
        <w:tc>
          <w:tcPr>
            <w:tcW w:w="1559" w:type="dxa"/>
            <w:tcBorders>
              <w:top w:val="single" w:sz="8" w:space="0" w:color="000000"/>
              <w:left w:val="single" w:sz="8" w:space="0" w:color="000000"/>
              <w:bottom w:val="single" w:sz="8" w:space="0" w:color="000000"/>
              <w:right w:val="single" w:sz="8" w:space="0" w:color="000000"/>
            </w:tcBorders>
          </w:tcPr>
          <w:p w:rsidR="00B26BB1" w:rsidRPr="00AB371A" w:rsidRDefault="00B26BB1" w:rsidP="008C02E3">
            <w:pPr>
              <w:pStyle w:val="bodycopy"/>
              <w:spacing w:after="0" w:line="240" w:lineRule="auto"/>
              <w:ind w:left="86"/>
              <w:jc w:val="right"/>
              <w:rPr>
                <w:rFonts w:ascii="Arial" w:hAnsi="Arial" w:cs="Arial"/>
                <w:b/>
              </w:rPr>
            </w:pPr>
            <w:r w:rsidRPr="00AB371A">
              <w:rPr>
                <w:rFonts w:ascii="Arial" w:hAnsi="Arial" w:cs="Arial"/>
                <w:b/>
              </w:rPr>
              <w:t>50%</w:t>
            </w:r>
          </w:p>
        </w:tc>
        <w:tc>
          <w:tcPr>
            <w:tcW w:w="1559" w:type="dxa"/>
            <w:tcBorders>
              <w:top w:val="single" w:sz="8" w:space="0" w:color="000000"/>
              <w:left w:val="single" w:sz="8" w:space="0" w:color="000000"/>
              <w:bottom w:val="single" w:sz="8" w:space="0" w:color="000000"/>
              <w:right w:val="single" w:sz="8" w:space="0" w:color="000000"/>
            </w:tcBorders>
          </w:tcPr>
          <w:p w:rsidR="00B26BB1" w:rsidRPr="00AB371A" w:rsidRDefault="00F26B4C" w:rsidP="008C02E3">
            <w:pPr>
              <w:pStyle w:val="bodycopy"/>
              <w:spacing w:after="0" w:line="240" w:lineRule="auto"/>
              <w:ind w:left="86"/>
              <w:jc w:val="right"/>
              <w:rPr>
                <w:rFonts w:ascii="Arial" w:hAnsi="Arial" w:cs="Arial"/>
                <w:b/>
              </w:rPr>
            </w:pPr>
            <w:r>
              <w:rPr>
                <w:rFonts w:ascii="Arial" w:hAnsi="Arial" w:cs="Arial"/>
                <w:b/>
              </w:rPr>
              <w:t>30</w:t>
            </w:r>
            <w:r w:rsidR="00B26BB1" w:rsidRPr="00AB371A">
              <w:rPr>
                <w:rFonts w:ascii="Arial" w:hAnsi="Arial" w:cs="Arial"/>
                <w:b/>
              </w:rPr>
              <w:t>%</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B26BB1" w:rsidRPr="00AB371A" w:rsidRDefault="00B26BB1" w:rsidP="008C02E3">
            <w:pPr>
              <w:pStyle w:val="bodycopy"/>
              <w:spacing w:after="0" w:line="240" w:lineRule="auto"/>
              <w:jc w:val="right"/>
              <w:rPr>
                <w:rFonts w:ascii="Arial" w:hAnsi="Arial" w:cs="Arial"/>
                <w:b/>
              </w:rPr>
            </w:pPr>
            <w:r w:rsidRPr="00AB371A">
              <w:rPr>
                <w:rFonts w:ascii="Arial" w:hAnsi="Arial" w:cs="Arial"/>
                <w:b/>
              </w:rPr>
              <w:t>5%</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B26BB1" w:rsidRPr="00AB371A" w:rsidRDefault="00B26BB1" w:rsidP="008C02E3">
            <w:pPr>
              <w:pStyle w:val="bodycopy"/>
              <w:spacing w:after="0" w:line="240" w:lineRule="auto"/>
              <w:jc w:val="right"/>
              <w:rPr>
                <w:rFonts w:ascii="Arial" w:hAnsi="Arial" w:cs="Arial"/>
                <w:b/>
              </w:rPr>
            </w:pPr>
            <w:r w:rsidRPr="00AB371A">
              <w:rPr>
                <w:rFonts w:ascii="Arial" w:hAnsi="Arial" w:cs="Arial"/>
                <w:b/>
              </w:rPr>
              <w:t>8%</w:t>
            </w:r>
          </w:p>
        </w:tc>
        <w:tc>
          <w:tcPr>
            <w:tcW w:w="1559" w:type="dxa"/>
            <w:tcBorders>
              <w:top w:val="single" w:sz="8" w:space="0" w:color="000000"/>
              <w:left w:val="single" w:sz="8" w:space="0" w:color="000000"/>
              <w:bottom w:val="single" w:sz="8" w:space="0" w:color="000000"/>
              <w:right w:val="single" w:sz="8" w:space="0" w:color="000000"/>
            </w:tcBorders>
          </w:tcPr>
          <w:p w:rsidR="00B26BB1" w:rsidRPr="00AB371A" w:rsidRDefault="00B26BB1" w:rsidP="008C02E3">
            <w:pPr>
              <w:pStyle w:val="bodycopy"/>
              <w:spacing w:after="0" w:line="240" w:lineRule="auto"/>
              <w:ind w:left="57"/>
              <w:jc w:val="right"/>
              <w:rPr>
                <w:rFonts w:ascii="Arial" w:hAnsi="Arial" w:cs="Arial"/>
                <w:b/>
              </w:rPr>
            </w:pPr>
            <w:r w:rsidRPr="00AB371A">
              <w:rPr>
                <w:rFonts w:ascii="Arial" w:hAnsi="Arial" w:cs="Arial"/>
                <w:b/>
              </w:rPr>
              <w:t>6%</w:t>
            </w:r>
          </w:p>
        </w:tc>
      </w:tr>
    </w:tbl>
    <w:p w:rsidR="00B26BB1" w:rsidRPr="00BC03BE" w:rsidRDefault="00B26BB1" w:rsidP="00B26BB1">
      <w:pPr>
        <w:rPr>
          <w:sz w:val="16"/>
          <w:szCs w:val="16"/>
        </w:rPr>
      </w:pPr>
      <w:r>
        <w:rPr>
          <w:sz w:val="16"/>
          <w:szCs w:val="16"/>
        </w:rPr>
        <w:t>Source:  AAT case management system</w:t>
      </w:r>
    </w:p>
    <w:p w:rsidR="00B26BB1" w:rsidRDefault="00B26BB1" w:rsidP="00F26B4C">
      <w:pPr>
        <w:spacing w:before="240"/>
      </w:pPr>
      <w:r>
        <w:t xml:space="preserve">The majority of applicants in the veterans’ affairs and workers’ compensation jurisdictions are </w:t>
      </w:r>
      <w:r w:rsidR="008C02E3">
        <w:t xml:space="preserve">legally </w:t>
      </w:r>
      <w:r>
        <w:t xml:space="preserve">represented.  This reflects the fact that there is greater access to legal aid in relation to veterans’ affairs cases and costs awards can be made in workers’ compensation cases.  </w:t>
      </w:r>
    </w:p>
    <w:p w:rsidR="00B26BB1" w:rsidRDefault="00B26BB1" w:rsidP="00B26BB1">
      <w:r>
        <w:t xml:space="preserve">In the social security area, most applicants represent themselves.  </w:t>
      </w:r>
    </w:p>
    <w:p w:rsidR="00B26BB1" w:rsidRDefault="008C02E3" w:rsidP="00B26BB1">
      <w:r>
        <w:lastRenderedPageBreak/>
        <w:t>R</w:t>
      </w:r>
      <w:r w:rsidR="00B26BB1">
        <w:t>epresentation may be p</w:t>
      </w:r>
      <w:r w:rsidR="00A0205F">
        <w:t>rovided by a lawyer or by a non-legally qualified</w:t>
      </w:r>
      <w:r w:rsidR="00B26BB1">
        <w:t xml:space="preserve"> advocate.  Applicants may also be represented by a family member or friend.  </w:t>
      </w:r>
    </w:p>
    <w:p w:rsidR="00B26BB1" w:rsidRPr="000219FA" w:rsidRDefault="00B26BB1" w:rsidP="00B26BB1">
      <w:pPr>
        <w:rPr>
          <w:b/>
        </w:rPr>
      </w:pPr>
      <w:r>
        <w:t>The diversity in types of representation extends to decision-makers.  They may be represented by external lawyers, in-house lawyers, or in some cases, by specially trained non-legal staff.</w:t>
      </w:r>
    </w:p>
    <w:p w:rsidR="00B26BB1" w:rsidRPr="00B26BB1" w:rsidRDefault="00B26BB1" w:rsidP="00BF77D7">
      <w:pPr>
        <w:pStyle w:val="Heading2"/>
        <w:rPr>
          <w:rFonts w:hint="eastAsia"/>
          <w:i/>
        </w:rPr>
      </w:pPr>
      <w:r w:rsidRPr="00B26BB1">
        <w:t>3.</w:t>
      </w:r>
      <w:r w:rsidRPr="00B26BB1">
        <w:tab/>
        <w:t>The AAT review process</w:t>
      </w:r>
    </w:p>
    <w:p w:rsidR="00B26BB1" w:rsidRDefault="00B26BB1" w:rsidP="00B26BB1">
      <w:r>
        <w:t>T</w:t>
      </w:r>
      <w:r w:rsidRPr="008A0EE1">
        <w:t xml:space="preserve">he AAT’s </w:t>
      </w:r>
      <w:r>
        <w:t>review</w:t>
      </w:r>
      <w:r w:rsidRPr="008A0EE1">
        <w:t xml:space="preserve"> process is designed to assist </w:t>
      </w:r>
      <w:r>
        <w:t xml:space="preserve">the </w:t>
      </w:r>
      <w:r w:rsidRPr="008A0EE1">
        <w:t xml:space="preserve">parties </w:t>
      </w:r>
      <w:r>
        <w:t xml:space="preserve">try to </w:t>
      </w:r>
      <w:r w:rsidRPr="008A0EE1">
        <w:t xml:space="preserve">reach an agreed outcome, where possible, while ensuring that appropriate steps are taken to prepare for hearing those matters that do not settle. </w:t>
      </w:r>
      <w:r w:rsidRPr="003D4B34">
        <w:t>The AAT makes extensive use of alternative dispute resolution (ADR) to promote agreement.</w:t>
      </w:r>
      <w:r w:rsidRPr="008A0EE1">
        <w:t xml:space="preserve"> </w:t>
      </w:r>
    </w:p>
    <w:p w:rsidR="00B26BB1" w:rsidRPr="007A5F96" w:rsidRDefault="00B26BB1" w:rsidP="00B26BB1">
      <w:pPr>
        <w:rPr>
          <w:lang w:val="en-GB"/>
        </w:rPr>
      </w:pPr>
      <w:r>
        <w:rPr>
          <w:lang w:val="en-GB"/>
        </w:rPr>
        <w:t xml:space="preserve">Below is an overview of the way in which most applications are handled.  The flow chart </w:t>
      </w:r>
      <w:r w:rsidR="00A145E2">
        <w:rPr>
          <w:lang w:val="en-GB"/>
        </w:rPr>
        <w:t>in</w:t>
      </w:r>
      <w:r>
        <w:rPr>
          <w:lang w:val="en-GB"/>
        </w:rPr>
        <w:t xml:space="preserve"> </w:t>
      </w:r>
      <w:r w:rsidRPr="007A5F96">
        <w:rPr>
          <w:lang w:val="en-GB"/>
        </w:rPr>
        <w:t xml:space="preserve">Attachment A </w:t>
      </w:r>
      <w:r>
        <w:rPr>
          <w:lang w:val="en-GB"/>
        </w:rPr>
        <w:t>illustrates the progress of an application from lodgement to decision</w:t>
      </w:r>
      <w:r w:rsidRPr="007A5F96">
        <w:rPr>
          <w:lang w:val="en-GB"/>
        </w:rPr>
        <w:t xml:space="preserve">.    </w:t>
      </w:r>
    </w:p>
    <w:p w:rsidR="00B26BB1" w:rsidRDefault="00B26BB1" w:rsidP="00B26BB1">
      <w:pPr>
        <w:pStyle w:val="Heading3"/>
        <w:rPr>
          <w:lang w:eastAsia="en-AU"/>
        </w:rPr>
      </w:pPr>
      <w:r>
        <w:rPr>
          <w:lang w:eastAsia="en-AU"/>
        </w:rPr>
        <w:t>3.1</w:t>
      </w:r>
      <w:r>
        <w:rPr>
          <w:lang w:eastAsia="en-AU"/>
        </w:rPr>
        <w:tab/>
        <w:t>Making an application</w:t>
      </w:r>
    </w:p>
    <w:p w:rsidR="00B26BB1" w:rsidRDefault="00B26BB1" w:rsidP="00B26BB1">
      <w:pPr>
        <w:rPr>
          <w:lang w:eastAsia="en-AU"/>
        </w:rPr>
      </w:pPr>
      <w:r>
        <w:rPr>
          <w:lang w:eastAsia="en-AU"/>
        </w:rPr>
        <w:t>When a decision-maker makes a decision that the AAT can review, the decision-maker must advise the person of their right to seek review.</w:t>
      </w:r>
      <w:r>
        <w:rPr>
          <w:rStyle w:val="FootnoteReference"/>
          <w:lang w:eastAsia="en-AU"/>
        </w:rPr>
        <w:footnoteReference w:id="6"/>
      </w:r>
      <w:r>
        <w:rPr>
          <w:lang w:eastAsia="en-AU"/>
        </w:rPr>
        <w:t xml:space="preserve"> The notice of review rights must be given in accordance with the </w:t>
      </w:r>
      <w:hyperlink r:id="rId10" w:history="1">
        <w:r w:rsidRPr="00D25CF6">
          <w:rPr>
            <w:rStyle w:val="Hyperlink"/>
            <w:rFonts w:cs="Arial"/>
            <w:szCs w:val="22"/>
            <w:lang w:eastAsia="en-AU"/>
          </w:rPr>
          <w:t>Code of Practice for Notification of Reviewable Decisions and Rights of Review</w:t>
        </w:r>
      </w:hyperlink>
      <w:r w:rsidR="009030EE">
        <w:rPr>
          <w:lang w:eastAsia="en-AU"/>
        </w:rPr>
        <w:t>.</w:t>
      </w:r>
      <w:r>
        <w:rPr>
          <w:rStyle w:val="FootnoteReference"/>
          <w:lang w:eastAsia="en-AU"/>
        </w:rPr>
        <w:footnoteReference w:id="7"/>
      </w:r>
      <w:r>
        <w:rPr>
          <w:lang w:eastAsia="en-AU"/>
        </w:rPr>
        <w:t xml:space="preserve">  </w:t>
      </w:r>
    </w:p>
    <w:p w:rsidR="00B26BB1" w:rsidRDefault="00B26BB1" w:rsidP="00B26BB1">
      <w:pPr>
        <w:rPr>
          <w:lang w:eastAsia="en-AU"/>
        </w:rPr>
      </w:pPr>
      <w:r>
        <w:rPr>
          <w:lang w:eastAsia="en-AU"/>
        </w:rPr>
        <w:t xml:space="preserve">An application for review of a decision </w:t>
      </w:r>
      <w:r w:rsidRPr="0002655F">
        <w:rPr>
          <w:lang w:eastAsia="en-AU"/>
        </w:rPr>
        <w:t>must be in writing</w:t>
      </w:r>
      <w:r>
        <w:rPr>
          <w:lang w:eastAsia="en-AU"/>
        </w:rPr>
        <w:t xml:space="preserve"> and</w:t>
      </w:r>
      <w:r w:rsidRPr="0002655F">
        <w:rPr>
          <w:lang w:eastAsia="en-AU"/>
        </w:rPr>
        <w:t xml:space="preserve"> contain a brief statement of reasons for the application.</w:t>
      </w:r>
      <w:r>
        <w:rPr>
          <w:rStyle w:val="FootnoteReference"/>
          <w:lang w:eastAsia="en-AU"/>
        </w:rPr>
        <w:footnoteReference w:id="8"/>
      </w:r>
      <w:r w:rsidRPr="0002655F">
        <w:rPr>
          <w:lang w:eastAsia="en-AU"/>
        </w:rPr>
        <w:t xml:space="preserve">  </w:t>
      </w:r>
      <w:r>
        <w:rPr>
          <w:lang w:eastAsia="en-AU"/>
        </w:rPr>
        <w:t>A</w:t>
      </w:r>
      <w:r w:rsidRPr="0002655F">
        <w:rPr>
          <w:lang w:eastAsia="en-AU"/>
        </w:rPr>
        <w:t>pplicants can use</w:t>
      </w:r>
      <w:r>
        <w:rPr>
          <w:lang w:eastAsia="en-AU"/>
        </w:rPr>
        <w:t xml:space="preserve"> the AAT’s application form but it is not mandatory</w:t>
      </w:r>
      <w:r w:rsidRPr="0002655F">
        <w:rPr>
          <w:lang w:eastAsia="en-AU"/>
        </w:rPr>
        <w:t>.</w:t>
      </w:r>
      <w:r>
        <w:rPr>
          <w:lang w:eastAsia="en-AU"/>
        </w:rPr>
        <w:t xml:space="preserve">  </w:t>
      </w:r>
      <w:r w:rsidRPr="000E6C1B">
        <w:rPr>
          <w:lang w:eastAsia="en-AU"/>
        </w:rPr>
        <w:t xml:space="preserve">Applications are commonly </w:t>
      </w:r>
      <w:r>
        <w:rPr>
          <w:lang w:eastAsia="en-AU"/>
        </w:rPr>
        <w:t xml:space="preserve">made by way </w:t>
      </w:r>
      <w:r w:rsidRPr="000E6C1B">
        <w:rPr>
          <w:lang w:eastAsia="en-AU"/>
        </w:rPr>
        <w:t xml:space="preserve">of a </w:t>
      </w:r>
      <w:r>
        <w:rPr>
          <w:lang w:eastAsia="en-AU"/>
        </w:rPr>
        <w:t xml:space="preserve">simple </w:t>
      </w:r>
      <w:r w:rsidRPr="000E6C1B">
        <w:rPr>
          <w:lang w:eastAsia="en-AU"/>
        </w:rPr>
        <w:t>letter</w:t>
      </w:r>
      <w:r>
        <w:rPr>
          <w:lang w:eastAsia="en-AU"/>
        </w:rPr>
        <w:t xml:space="preserve"> or email</w:t>
      </w:r>
      <w:r w:rsidRPr="000E6C1B">
        <w:rPr>
          <w:lang w:eastAsia="en-AU"/>
        </w:rPr>
        <w:t xml:space="preserve">. </w:t>
      </w:r>
    </w:p>
    <w:p w:rsidR="00B26BB1" w:rsidRDefault="00B26BB1" w:rsidP="00B26BB1">
      <w:r>
        <w:t>An application must be lodged within the prescribed time limit.  In most cases, the AAT can extend the time for lodging an application if it considers it is reasonable to do so.</w:t>
      </w:r>
      <w:r w:rsidR="00BA6F27">
        <w:rPr>
          <w:rStyle w:val="FootnoteReference"/>
        </w:rPr>
        <w:footnoteReference w:id="9"/>
      </w:r>
      <w:r w:rsidRPr="007F78B3">
        <w:t xml:space="preserve"> </w:t>
      </w:r>
    </w:p>
    <w:p w:rsidR="00B26BB1" w:rsidRDefault="00B26BB1" w:rsidP="00B26BB1">
      <w:r w:rsidRPr="000E6C1B">
        <w:t>A</w:t>
      </w:r>
      <w:r>
        <w:t>n application</w:t>
      </w:r>
      <w:r w:rsidRPr="000E6C1B">
        <w:t xml:space="preserve"> fee </w:t>
      </w:r>
      <w:r>
        <w:t xml:space="preserve">is required only in relation to some </w:t>
      </w:r>
      <w:r w:rsidRPr="000E6C1B">
        <w:t xml:space="preserve">applications  Whether a fee is payable depends on the type of decision to be reviewed and the circumstances of the applicant. </w:t>
      </w:r>
      <w:r w:rsidRPr="007F78B3">
        <w:t xml:space="preserve"> </w:t>
      </w:r>
      <w:r>
        <w:t xml:space="preserve">More information about fees is set out in Section </w:t>
      </w:r>
      <w:r w:rsidR="00416100">
        <w:t>6.3</w:t>
      </w:r>
      <w:r>
        <w:t xml:space="preserve"> below.</w:t>
      </w:r>
    </w:p>
    <w:p w:rsidR="00B26BB1" w:rsidRPr="00D22ED9" w:rsidRDefault="00B26BB1" w:rsidP="00B26BB1">
      <w:pPr>
        <w:pStyle w:val="Heading3"/>
        <w:rPr>
          <w:lang w:eastAsia="en-AU"/>
        </w:rPr>
      </w:pPr>
      <w:r>
        <w:rPr>
          <w:lang w:eastAsia="en-AU"/>
        </w:rPr>
        <w:t>3</w:t>
      </w:r>
      <w:r w:rsidRPr="00D22ED9">
        <w:rPr>
          <w:lang w:eastAsia="en-AU"/>
        </w:rPr>
        <w:t>.2</w:t>
      </w:r>
      <w:r w:rsidRPr="00D22ED9">
        <w:rPr>
          <w:lang w:eastAsia="en-AU"/>
        </w:rPr>
        <w:tab/>
        <w:t>Provision of d</w:t>
      </w:r>
      <w:r w:rsidR="00E30381">
        <w:rPr>
          <w:lang w:eastAsia="en-AU"/>
        </w:rPr>
        <w:t>ocuments relevant to the review</w:t>
      </w:r>
    </w:p>
    <w:p w:rsidR="00B26BB1" w:rsidRPr="007F78B3" w:rsidRDefault="00B26BB1" w:rsidP="00B26BB1">
      <w:pPr>
        <w:rPr>
          <w:lang w:eastAsia="en-AU"/>
        </w:rPr>
      </w:pPr>
      <w:r w:rsidRPr="00C66BC2">
        <w:rPr>
          <w:lang w:eastAsia="en-AU"/>
        </w:rPr>
        <w:t>On</w:t>
      </w:r>
      <w:r>
        <w:rPr>
          <w:lang w:eastAsia="en-AU"/>
        </w:rPr>
        <w:t xml:space="preserve">ce the AAT is satisfied it has </w:t>
      </w:r>
      <w:r w:rsidRPr="00C66BC2">
        <w:rPr>
          <w:lang w:eastAsia="en-AU"/>
        </w:rPr>
        <w:t>a valid application</w:t>
      </w:r>
      <w:r w:rsidRPr="007F78B3">
        <w:rPr>
          <w:lang w:eastAsia="en-AU"/>
        </w:rPr>
        <w:t xml:space="preserve">, </w:t>
      </w:r>
      <w:r>
        <w:rPr>
          <w:lang w:eastAsia="en-AU"/>
        </w:rPr>
        <w:t>t</w:t>
      </w:r>
      <w:r w:rsidRPr="007F78B3">
        <w:rPr>
          <w:lang w:eastAsia="en-AU"/>
        </w:rPr>
        <w:t xml:space="preserve">he AAT notifies the decision-maker </w:t>
      </w:r>
      <w:r>
        <w:rPr>
          <w:lang w:eastAsia="en-AU"/>
        </w:rPr>
        <w:t>that</w:t>
      </w:r>
      <w:r w:rsidRPr="007F78B3">
        <w:rPr>
          <w:lang w:eastAsia="en-AU"/>
        </w:rPr>
        <w:t xml:space="preserve"> </w:t>
      </w:r>
      <w:r>
        <w:rPr>
          <w:lang w:eastAsia="en-AU"/>
        </w:rPr>
        <w:t>the</w:t>
      </w:r>
      <w:r w:rsidRPr="007F78B3">
        <w:rPr>
          <w:lang w:eastAsia="en-AU"/>
        </w:rPr>
        <w:t xml:space="preserve"> application</w:t>
      </w:r>
      <w:r>
        <w:rPr>
          <w:lang w:eastAsia="en-AU"/>
        </w:rPr>
        <w:t xml:space="preserve"> has been received</w:t>
      </w:r>
      <w:r w:rsidRPr="007F78B3">
        <w:rPr>
          <w:lang w:eastAsia="en-AU"/>
        </w:rPr>
        <w:t xml:space="preserve">.  This triggers the requirement for the decision-maker to send to the AAT and the applicant within 28 days the following documents </w:t>
      </w:r>
      <w:r w:rsidR="005E126B">
        <w:rPr>
          <w:lang w:eastAsia="en-AU"/>
        </w:rPr>
        <w:t xml:space="preserve">which are </w:t>
      </w:r>
      <w:r w:rsidRPr="007F78B3">
        <w:rPr>
          <w:lang w:eastAsia="en-AU"/>
        </w:rPr>
        <w:t xml:space="preserve">referred to as the </w:t>
      </w:r>
      <w:r>
        <w:rPr>
          <w:lang w:eastAsia="en-AU"/>
        </w:rPr>
        <w:t>S</w:t>
      </w:r>
      <w:r w:rsidRPr="007F78B3">
        <w:rPr>
          <w:lang w:eastAsia="en-AU"/>
        </w:rPr>
        <w:t>ection 37 documents:</w:t>
      </w:r>
    </w:p>
    <w:p w:rsidR="00B26BB1" w:rsidRPr="000F6CC7" w:rsidRDefault="00B26BB1" w:rsidP="00BF77D7">
      <w:pPr>
        <w:pStyle w:val="ListBullet"/>
      </w:pPr>
      <w:r w:rsidRPr="00BF77D7">
        <w:t>a statement of reason</w:t>
      </w:r>
      <w:r w:rsidR="000F6CC7" w:rsidRPr="00BF77D7">
        <w:t>s for the decision under review</w:t>
      </w:r>
      <w:r w:rsidR="000F6CC7" w:rsidRPr="000F6CC7">
        <w:t>;</w:t>
      </w:r>
      <w:r w:rsidRPr="000F6CC7">
        <w:t xml:space="preserve"> and </w:t>
      </w:r>
    </w:p>
    <w:p w:rsidR="00B26BB1" w:rsidRPr="007F78B3" w:rsidRDefault="00B26BB1" w:rsidP="00BF77D7">
      <w:pPr>
        <w:pStyle w:val="ListBullet"/>
      </w:pPr>
      <w:r w:rsidRPr="000F6CC7">
        <w:lastRenderedPageBreak/>
        <w:t>every document in the decision-maker’s possession or control that is relevant to the review</w:t>
      </w:r>
      <w:r w:rsidRPr="007F78B3">
        <w:t xml:space="preserve">. </w:t>
      </w:r>
    </w:p>
    <w:p w:rsidR="00B26BB1" w:rsidRDefault="00B26BB1" w:rsidP="00B26BB1">
      <w:pPr>
        <w:pStyle w:val="Heading3"/>
        <w:rPr>
          <w:lang w:eastAsia="en-AU"/>
        </w:rPr>
      </w:pPr>
      <w:r>
        <w:rPr>
          <w:lang w:eastAsia="en-AU"/>
        </w:rPr>
        <w:t>3.3</w:t>
      </w:r>
      <w:r>
        <w:rPr>
          <w:lang w:eastAsia="en-AU"/>
        </w:rPr>
        <w:tab/>
        <w:t>Pre-hearing process</w:t>
      </w:r>
    </w:p>
    <w:p w:rsidR="00B26BB1" w:rsidRDefault="00B26BB1" w:rsidP="00B26BB1">
      <w:pPr>
        <w:rPr>
          <w:lang w:eastAsia="en-AU"/>
        </w:rPr>
      </w:pPr>
      <w:r>
        <w:t xml:space="preserve">Following receipt of the Section 37 documents, most applications are referred to a conference.  </w:t>
      </w:r>
      <w:r w:rsidRPr="00A1329B">
        <w:t>Conferences are the central component of the AAT's pre-hearing process and the type of ADR process used most commonly</w:t>
      </w:r>
      <w:r>
        <w:t xml:space="preserve"> at the AAT</w:t>
      </w:r>
      <w:r w:rsidRPr="00A1329B">
        <w:t>.</w:t>
      </w:r>
      <w:r w:rsidRPr="00A1329B">
        <w:rPr>
          <w:rFonts w:cs="Arial"/>
          <w:szCs w:val="22"/>
          <w:lang w:eastAsia="en-AU"/>
        </w:rPr>
        <w:t xml:space="preserve">  </w:t>
      </w:r>
      <w:r>
        <w:rPr>
          <w:lang w:eastAsia="en-AU"/>
        </w:rPr>
        <w:t xml:space="preserve">They are usually conducted by Conference Registrars, legally-qualified ADR specialists, but may also be conducted by a Tribunal member.  </w:t>
      </w:r>
    </w:p>
    <w:p w:rsidR="00B26BB1" w:rsidRPr="00A1329B" w:rsidRDefault="00B26BB1" w:rsidP="00B26BB1">
      <w:pPr>
        <w:rPr>
          <w:rFonts w:cs="Arial"/>
          <w:szCs w:val="22"/>
          <w:lang w:eastAsia="en-AU"/>
        </w:rPr>
      </w:pPr>
      <w:r w:rsidRPr="00A1329B">
        <w:rPr>
          <w:rFonts w:cs="Arial"/>
          <w:szCs w:val="22"/>
          <w:lang w:eastAsia="en-AU"/>
        </w:rPr>
        <w:t>The first conference provides an opportunity for the AAT and the parties to:</w:t>
      </w:r>
    </w:p>
    <w:p w:rsidR="00B26BB1" w:rsidRPr="000F6CC7" w:rsidRDefault="00B26BB1" w:rsidP="00BF77D7">
      <w:pPr>
        <w:pStyle w:val="ListBullet"/>
      </w:pPr>
      <w:r w:rsidRPr="000F6CC7">
        <w:t>discuss the decision that has been made and define the issues in dispute</w:t>
      </w:r>
      <w:r w:rsidR="000F6CC7" w:rsidRPr="000F6CC7">
        <w:t>;</w:t>
      </w:r>
      <w:r w:rsidRPr="000F6CC7">
        <w:t xml:space="preserve"> </w:t>
      </w:r>
    </w:p>
    <w:p w:rsidR="00B26BB1" w:rsidRPr="000F6CC7" w:rsidRDefault="00B26BB1" w:rsidP="00BF77D7">
      <w:pPr>
        <w:pStyle w:val="ListBullet"/>
      </w:pPr>
      <w:r w:rsidRPr="000F6CC7">
        <w:t xml:space="preserve">identify any further material that will be obtained – </w:t>
      </w:r>
      <w:proofErr w:type="spellStart"/>
      <w:r w:rsidRPr="000F6CC7">
        <w:t>eg</w:t>
      </w:r>
      <w:proofErr w:type="spellEnd"/>
      <w:r w:rsidRPr="000F6CC7">
        <w:t xml:space="preserve"> witness statements, expert reports – and set a timetable for lodging further material</w:t>
      </w:r>
      <w:r w:rsidR="000F6CC7" w:rsidRPr="000F6CC7">
        <w:t>;</w:t>
      </w:r>
    </w:p>
    <w:p w:rsidR="00B26BB1" w:rsidRPr="000F6CC7" w:rsidRDefault="00B26BB1" w:rsidP="00BF77D7">
      <w:pPr>
        <w:pStyle w:val="ListBullet"/>
      </w:pPr>
      <w:r w:rsidRPr="000F6CC7">
        <w:t>explore the pr</w:t>
      </w:r>
      <w:r w:rsidR="000F6CC7" w:rsidRPr="000F6CC7">
        <w:t>ospects for settling the matter;</w:t>
      </w:r>
      <w:r w:rsidRPr="000F6CC7">
        <w:t xml:space="preserve"> and</w:t>
      </w:r>
    </w:p>
    <w:p w:rsidR="00B26BB1" w:rsidRDefault="00B26BB1" w:rsidP="00BF77D7">
      <w:pPr>
        <w:pStyle w:val="ListBullet"/>
      </w:pPr>
      <w:r w:rsidRPr="000F6CC7">
        <w:t>discuss</w:t>
      </w:r>
      <w:r w:rsidRPr="00A1329B">
        <w:t xml:space="preserve"> the future conduct of the matter</w:t>
      </w:r>
      <w:r>
        <w:t>.</w:t>
      </w:r>
    </w:p>
    <w:p w:rsidR="00B26BB1" w:rsidRPr="00596202" w:rsidRDefault="00B26BB1" w:rsidP="00B26BB1">
      <w:r w:rsidRPr="0053421F">
        <w:t>One or more further conferences will be held as necessary to review progress, discuss additional material that has been obtained</w:t>
      </w:r>
      <w:r>
        <w:t>,</w:t>
      </w:r>
      <w:r w:rsidRPr="0053421F">
        <w:t xml:space="preserve"> and seek to resolve the matter.</w:t>
      </w:r>
    </w:p>
    <w:p w:rsidR="00B26BB1" w:rsidRDefault="00B26BB1" w:rsidP="00B26BB1">
      <w:pPr>
        <w:rPr>
          <w:rFonts w:cs="Arial"/>
          <w:szCs w:val="22"/>
          <w:lang w:eastAsia="en-AU"/>
        </w:rPr>
      </w:pPr>
      <w:r w:rsidRPr="0053421F">
        <w:t xml:space="preserve">If an agreed outcome is not reached during the conference process, the AAT may refer the application to </w:t>
      </w:r>
      <w:r w:rsidRPr="004B67BB">
        <w:rPr>
          <w:lang w:eastAsia="en-AU"/>
        </w:rPr>
        <w:t xml:space="preserve">one of the other ADR processes used by the </w:t>
      </w:r>
      <w:r>
        <w:rPr>
          <w:lang w:eastAsia="en-AU"/>
        </w:rPr>
        <w:t>AAT</w:t>
      </w:r>
      <w:r w:rsidRPr="004B67BB">
        <w:rPr>
          <w:lang w:eastAsia="en-AU"/>
        </w:rPr>
        <w:t>.</w:t>
      </w:r>
      <w:r w:rsidRPr="00596202">
        <w:rPr>
          <w:lang w:eastAsia="en-AU"/>
        </w:rPr>
        <w:t xml:space="preserve"> </w:t>
      </w:r>
      <w:r w:rsidRPr="00C3405F">
        <w:rPr>
          <w:rFonts w:cs="Arial"/>
          <w:szCs w:val="22"/>
          <w:lang w:eastAsia="en-AU"/>
        </w:rPr>
        <w:t xml:space="preserve">In addition to conferencing, the </w:t>
      </w:r>
      <w:r>
        <w:rPr>
          <w:rFonts w:cs="Arial"/>
          <w:szCs w:val="22"/>
          <w:lang w:eastAsia="en-AU"/>
        </w:rPr>
        <w:t>AAT</w:t>
      </w:r>
      <w:r w:rsidRPr="00C3405F">
        <w:rPr>
          <w:rFonts w:cs="Arial"/>
          <w:szCs w:val="22"/>
          <w:lang w:eastAsia="en-AU"/>
        </w:rPr>
        <w:t xml:space="preserve"> Act provides for</w:t>
      </w:r>
      <w:r>
        <w:rPr>
          <w:rFonts w:cs="Arial"/>
          <w:szCs w:val="22"/>
          <w:lang w:eastAsia="en-AU"/>
        </w:rPr>
        <w:t>:</w:t>
      </w:r>
      <w:r w:rsidRPr="00C3405F">
        <w:rPr>
          <w:rFonts w:cs="Arial"/>
          <w:szCs w:val="22"/>
          <w:lang w:eastAsia="en-AU"/>
        </w:rPr>
        <w:t xml:space="preserve"> </w:t>
      </w:r>
    </w:p>
    <w:p w:rsidR="00B26BB1" w:rsidRPr="000F6CC7" w:rsidRDefault="00B26BB1" w:rsidP="00BF77D7">
      <w:pPr>
        <w:pStyle w:val="ListBullet"/>
      </w:pPr>
      <w:r w:rsidRPr="000F6CC7">
        <w:t>conciliation;</w:t>
      </w:r>
    </w:p>
    <w:p w:rsidR="00B26BB1" w:rsidRPr="000F6CC7" w:rsidRDefault="00B26BB1" w:rsidP="00BF77D7">
      <w:pPr>
        <w:pStyle w:val="ListBullet"/>
      </w:pPr>
      <w:r w:rsidRPr="000F6CC7">
        <w:t>mediation;</w:t>
      </w:r>
    </w:p>
    <w:p w:rsidR="00B26BB1" w:rsidRPr="000F6CC7" w:rsidRDefault="00B26BB1" w:rsidP="00BF77D7">
      <w:pPr>
        <w:pStyle w:val="ListBullet"/>
      </w:pPr>
      <w:r w:rsidRPr="000F6CC7">
        <w:t xml:space="preserve">case appraisal; and </w:t>
      </w:r>
    </w:p>
    <w:p w:rsidR="00B26BB1" w:rsidRPr="006D52C6" w:rsidRDefault="00B26BB1" w:rsidP="00BF77D7">
      <w:pPr>
        <w:pStyle w:val="ListBullet"/>
      </w:pPr>
      <w:r w:rsidRPr="000F6CC7">
        <w:t>neutral</w:t>
      </w:r>
      <w:r w:rsidRPr="006D52C6">
        <w:t xml:space="preserve"> evaluation.</w:t>
      </w:r>
      <w:r>
        <w:rPr>
          <w:rStyle w:val="FootnoteReference"/>
          <w:rFonts w:cs="Arial"/>
          <w:szCs w:val="22"/>
        </w:rPr>
        <w:footnoteReference w:id="10"/>
      </w:r>
      <w:r w:rsidRPr="006D52C6">
        <w:t xml:space="preserve">  </w:t>
      </w:r>
    </w:p>
    <w:p w:rsidR="00B26BB1" w:rsidRDefault="003722E7" w:rsidP="00B26BB1">
      <w:r>
        <w:rPr>
          <w:rFonts w:cs="Arial"/>
          <w:szCs w:val="22"/>
          <w:lang w:eastAsia="en-AU"/>
        </w:rPr>
        <w:t>These processes</w:t>
      </w:r>
      <w:r w:rsidR="00B26BB1">
        <w:rPr>
          <w:rFonts w:cs="Arial"/>
          <w:szCs w:val="22"/>
          <w:lang w:eastAsia="en-AU"/>
        </w:rPr>
        <w:t xml:space="preserve"> may </w:t>
      </w:r>
      <w:r w:rsidR="00B26BB1" w:rsidRPr="0053421F">
        <w:t xml:space="preserve">be conducted by a Tribunal member or Conference Registrar. </w:t>
      </w:r>
    </w:p>
    <w:p w:rsidR="00B26BB1" w:rsidRDefault="00B26BB1" w:rsidP="00B26BB1">
      <w:pPr>
        <w:pStyle w:val="Heading3"/>
        <w:rPr>
          <w:lang w:eastAsia="en-AU"/>
        </w:rPr>
      </w:pPr>
      <w:r>
        <w:rPr>
          <w:lang w:eastAsia="en-AU"/>
        </w:rPr>
        <w:t>3.4</w:t>
      </w:r>
      <w:r>
        <w:rPr>
          <w:lang w:eastAsia="en-AU"/>
        </w:rPr>
        <w:tab/>
        <w:t>Hearings</w:t>
      </w:r>
    </w:p>
    <w:p w:rsidR="00B26BB1" w:rsidRDefault="00B26BB1" w:rsidP="00B26BB1">
      <w:pPr>
        <w:rPr>
          <w:lang w:eastAsia="en-AU"/>
        </w:rPr>
      </w:pPr>
      <w:r w:rsidRPr="006B6F7F">
        <w:rPr>
          <w:lang w:eastAsia="en-AU"/>
        </w:rPr>
        <w:t>If agreement is not reached during the pre-</w:t>
      </w:r>
      <w:r>
        <w:rPr>
          <w:lang w:eastAsia="en-AU"/>
        </w:rPr>
        <w:t xml:space="preserve">hearing process, the Tribunal – </w:t>
      </w:r>
      <w:r w:rsidRPr="006B6F7F">
        <w:rPr>
          <w:lang w:eastAsia="en-AU"/>
        </w:rPr>
        <w:t xml:space="preserve">constituted by one, two or three members </w:t>
      </w:r>
      <w:r>
        <w:rPr>
          <w:lang w:eastAsia="en-AU"/>
        </w:rPr>
        <w:t>–</w:t>
      </w:r>
      <w:r w:rsidRPr="006B6F7F">
        <w:rPr>
          <w:lang w:eastAsia="en-AU"/>
        </w:rPr>
        <w:t xml:space="preserve"> conducts a hearing and makes a decision.</w:t>
      </w:r>
      <w:r>
        <w:rPr>
          <w:lang w:eastAsia="en-AU"/>
        </w:rPr>
        <w:t xml:space="preserve">  </w:t>
      </w:r>
    </w:p>
    <w:p w:rsidR="00B26BB1" w:rsidRDefault="00B26BB1" w:rsidP="00B26BB1">
      <w:r>
        <w:rPr>
          <w:lang w:eastAsia="en-AU"/>
        </w:rPr>
        <w:t>M</w:t>
      </w:r>
      <w:r w:rsidRPr="00986A46">
        <w:rPr>
          <w:lang w:eastAsia="en-AU"/>
        </w:rPr>
        <w:t>ost hearings are conducted by single-member tribunals.</w:t>
      </w:r>
      <w:r>
        <w:rPr>
          <w:lang w:eastAsia="en-AU"/>
        </w:rPr>
        <w:t xml:space="preserve">  However, multi-member panels are constituted where including a member w</w:t>
      </w:r>
      <w:r w:rsidRPr="00986A46">
        <w:rPr>
          <w:lang w:eastAsia="en-AU"/>
        </w:rPr>
        <w:t xml:space="preserve">ith </w:t>
      </w:r>
      <w:r>
        <w:rPr>
          <w:lang w:eastAsia="en-AU"/>
        </w:rPr>
        <w:t xml:space="preserve">specialist </w:t>
      </w:r>
      <w:r w:rsidRPr="00986A46">
        <w:rPr>
          <w:lang w:eastAsia="en-AU"/>
        </w:rPr>
        <w:t xml:space="preserve">knowledge, expertise or experience </w:t>
      </w:r>
      <w:r>
        <w:rPr>
          <w:lang w:eastAsia="en-AU"/>
        </w:rPr>
        <w:t xml:space="preserve">would be beneficial.  The AAT’s </w:t>
      </w:r>
      <w:r w:rsidRPr="00986A46">
        <w:rPr>
          <w:lang w:eastAsia="en-AU"/>
        </w:rPr>
        <w:t>membership includes persons with expertise in a wide range of areas</w:t>
      </w:r>
      <w:r>
        <w:rPr>
          <w:lang w:eastAsia="en-AU"/>
        </w:rPr>
        <w:t>, including</w:t>
      </w:r>
      <w:r w:rsidRPr="00986A46">
        <w:rPr>
          <w:lang w:eastAsia="en-AU"/>
        </w:rPr>
        <w:t xml:space="preserve"> aviation, engineering, environmental science, medicine, pharmacology, military affairs and public administration</w:t>
      </w:r>
      <w:r>
        <w:rPr>
          <w:lang w:eastAsia="en-AU"/>
        </w:rPr>
        <w:t>.</w:t>
      </w:r>
    </w:p>
    <w:p w:rsidR="00B26BB1" w:rsidRDefault="00B26BB1" w:rsidP="00B26BB1">
      <w:pPr>
        <w:rPr>
          <w:lang w:val="en-GB" w:eastAsia="en-AU"/>
        </w:rPr>
      </w:pPr>
      <w:r>
        <w:rPr>
          <w:lang w:val="en-GB" w:eastAsia="en-AU"/>
        </w:rPr>
        <w:t>T</w:t>
      </w:r>
      <w:r w:rsidRPr="00A16F5E">
        <w:rPr>
          <w:lang w:val="en-GB" w:eastAsia="en-AU"/>
        </w:rPr>
        <w:t xml:space="preserve">he </w:t>
      </w:r>
      <w:r w:rsidRPr="00A16F5E">
        <w:rPr>
          <w:lang w:eastAsia="en-AU"/>
        </w:rPr>
        <w:t>AAT is not bound by the rules of evidence and may inform itself on any matter as it thinks appropriate, subject to the requirements of procedural fairness.</w:t>
      </w:r>
      <w:r w:rsidRPr="00A16F5E">
        <w:rPr>
          <w:vertAlign w:val="superscript"/>
          <w:lang w:eastAsia="en-AU"/>
        </w:rPr>
        <w:footnoteReference w:id="11"/>
      </w:r>
      <w:r w:rsidRPr="00A16F5E">
        <w:rPr>
          <w:lang w:eastAsia="en-AU"/>
        </w:rPr>
        <w:t xml:space="preserve">  </w:t>
      </w:r>
      <w:r w:rsidRPr="00D80415">
        <w:rPr>
          <w:lang w:val="en-GB" w:eastAsia="en-AU"/>
        </w:rPr>
        <w:t xml:space="preserve">Material relevant to the matters to be determined will generally be admitted during the course of </w:t>
      </w:r>
      <w:r>
        <w:rPr>
          <w:lang w:val="en-GB" w:eastAsia="en-AU"/>
        </w:rPr>
        <w:lastRenderedPageBreak/>
        <w:t>a</w:t>
      </w:r>
      <w:r w:rsidRPr="00D80415">
        <w:rPr>
          <w:lang w:val="en-GB" w:eastAsia="en-AU"/>
        </w:rPr>
        <w:t xml:space="preserve"> hearing avoiding the need for technical arguments on </w:t>
      </w:r>
      <w:r>
        <w:rPr>
          <w:lang w:val="en-GB" w:eastAsia="en-AU"/>
        </w:rPr>
        <w:t>admissibility</w:t>
      </w:r>
      <w:r w:rsidRPr="00D80415">
        <w:rPr>
          <w:lang w:val="en-GB" w:eastAsia="en-AU"/>
        </w:rPr>
        <w:t xml:space="preserve">.  The issue then becomes </w:t>
      </w:r>
      <w:r>
        <w:rPr>
          <w:lang w:val="en-GB" w:eastAsia="en-AU"/>
        </w:rPr>
        <w:t>the</w:t>
      </w:r>
      <w:r w:rsidRPr="00D80415">
        <w:rPr>
          <w:lang w:val="en-GB" w:eastAsia="en-AU"/>
        </w:rPr>
        <w:t xml:space="preserve"> weight </w:t>
      </w:r>
      <w:r>
        <w:rPr>
          <w:lang w:val="en-GB" w:eastAsia="en-AU"/>
        </w:rPr>
        <w:t xml:space="preserve">to </w:t>
      </w:r>
      <w:r w:rsidRPr="00D80415">
        <w:rPr>
          <w:lang w:val="en-GB" w:eastAsia="en-AU"/>
        </w:rPr>
        <w:t>be attached to the material.  In this regard, the principles underlying the rules of evidence may well be of assistance in considering this issue</w:t>
      </w:r>
      <w:r>
        <w:rPr>
          <w:lang w:val="en-GB" w:eastAsia="en-AU"/>
        </w:rPr>
        <w:t>.</w:t>
      </w:r>
    </w:p>
    <w:p w:rsidR="00B26BB1" w:rsidRPr="00B26BB1" w:rsidRDefault="00B26BB1" w:rsidP="00BF77D7">
      <w:pPr>
        <w:pStyle w:val="Heading2"/>
        <w:rPr>
          <w:rFonts w:hint="eastAsia"/>
          <w:i/>
        </w:rPr>
      </w:pPr>
      <w:r w:rsidRPr="00B26BB1">
        <w:t>4.</w:t>
      </w:r>
      <w:r w:rsidRPr="00B26BB1">
        <w:tab/>
        <w:t>Use of alternative dispute resolution</w:t>
      </w:r>
    </w:p>
    <w:p w:rsidR="00B26BB1" w:rsidRDefault="00B26BB1" w:rsidP="00B26BB1">
      <w:pPr>
        <w:rPr>
          <w:lang w:eastAsia="en-AU"/>
        </w:rPr>
      </w:pPr>
      <w:r>
        <w:rPr>
          <w:lang w:eastAsia="en-AU"/>
        </w:rPr>
        <w:t>The use of ADR is an integral part of the AAT’s case management approach.  Table A.2 in Attachment A sets out the number of ADR processes conducted by the AAT in 2012–13 and in the two preceding financial years.</w:t>
      </w:r>
    </w:p>
    <w:p w:rsidR="00B26BB1" w:rsidRDefault="00B26BB1" w:rsidP="00B26BB1">
      <w:pPr>
        <w:rPr>
          <w:lang w:eastAsia="en-AU"/>
        </w:rPr>
      </w:pPr>
      <w:r>
        <w:rPr>
          <w:lang w:eastAsia="en-AU"/>
        </w:rPr>
        <w:t xml:space="preserve">ADR contributes to the AAT’s high rate of success in resolving applications without proceeding to a formal hearing.  </w:t>
      </w:r>
      <w:r w:rsidRPr="007F3952">
        <w:rPr>
          <w:lang w:eastAsia="en-AU"/>
        </w:rPr>
        <w:t>In 2012–13, 79 per cent of applications were finalised without a decision on the merits following a hearing</w:t>
      </w:r>
      <w:r>
        <w:rPr>
          <w:lang w:eastAsia="en-AU"/>
        </w:rPr>
        <w:t>.  Table A.3 in Attachment A sets out the percentage of applications finalised without a hearing in the AAT’s major jurisdiction</w:t>
      </w:r>
      <w:r w:rsidR="00E30381">
        <w:rPr>
          <w:lang w:eastAsia="en-AU"/>
        </w:rPr>
        <w:t>s</w:t>
      </w:r>
      <w:r>
        <w:rPr>
          <w:lang w:eastAsia="en-AU"/>
        </w:rPr>
        <w:t xml:space="preserve"> over the last three years. </w:t>
      </w:r>
    </w:p>
    <w:p w:rsidR="00B26BB1" w:rsidRDefault="00B26BB1" w:rsidP="00B26BB1">
      <w:pPr>
        <w:rPr>
          <w:lang w:eastAsia="en-AU"/>
        </w:rPr>
      </w:pPr>
      <w:r w:rsidRPr="00986A46">
        <w:rPr>
          <w:lang w:eastAsia="en-AU"/>
        </w:rPr>
        <w:t xml:space="preserve">The AAT's use of ADR is a key way in which it seeks to make the review process economical, informal </w:t>
      </w:r>
      <w:r>
        <w:rPr>
          <w:lang w:eastAsia="en-AU"/>
        </w:rPr>
        <w:t xml:space="preserve">and </w:t>
      </w:r>
      <w:r w:rsidRPr="00986A46">
        <w:rPr>
          <w:lang w:eastAsia="en-AU"/>
        </w:rPr>
        <w:t>quick.</w:t>
      </w:r>
      <w:r>
        <w:rPr>
          <w:lang w:eastAsia="en-AU"/>
        </w:rPr>
        <w:t xml:space="preserve"> </w:t>
      </w:r>
      <w:r w:rsidRPr="00986A46">
        <w:rPr>
          <w:lang w:eastAsia="en-AU"/>
        </w:rPr>
        <w:t xml:space="preserve"> ADR processes lead to applications being finalised earlier than would otherwise have been the case and are a means of reaching an outcome that parties will prefer. </w:t>
      </w:r>
      <w:r>
        <w:rPr>
          <w:lang w:eastAsia="en-AU"/>
        </w:rPr>
        <w:t xml:space="preserve"> T</w:t>
      </w:r>
      <w:r w:rsidRPr="00986A46">
        <w:rPr>
          <w:lang w:eastAsia="en-AU"/>
        </w:rPr>
        <w:t xml:space="preserve">hey </w:t>
      </w:r>
      <w:r>
        <w:rPr>
          <w:lang w:eastAsia="en-AU"/>
        </w:rPr>
        <w:t xml:space="preserve">also </w:t>
      </w:r>
      <w:r w:rsidRPr="00986A46">
        <w:rPr>
          <w:lang w:eastAsia="en-AU"/>
        </w:rPr>
        <w:t>provide a</w:t>
      </w:r>
      <w:r>
        <w:rPr>
          <w:lang w:eastAsia="en-AU"/>
        </w:rPr>
        <w:t xml:space="preserve">n opportunity for </w:t>
      </w:r>
      <w:r w:rsidRPr="00986A46">
        <w:rPr>
          <w:lang w:eastAsia="en-AU"/>
        </w:rPr>
        <w:t xml:space="preserve">the issues </w:t>
      </w:r>
      <w:r>
        <w:rPr>
          <w:lang w:eastAsia="en-AU"/>
        </w:rPr>
        <w:t>to</w:t>
      </w:r>
      <w:r w:rsidRPr="00986A46">
        <w:rPr>
          <w:lang w:eastAsia="en-AU"/>
        </w:rPr>
        <w:t xml:space="preserve"> be explored and discussed in detail </w:t>
      </w:r>
      <w:r>
        <w:rPr>
          <w:lang w:eastAsia="en-AU"/>
        </w:rPr>
        <w:t xml:space="preserve">in a forum </w:t>
      </w:r>
      <w:r w:rsidRPr="00986A46">
        <w:rPr>
          <w:lang w:eastAsia="en-AU"/>
        </w:rPr>
        <w:t>that is less daunting for many parties than a formal hearing.</w:t>
      </w:r>
      <w:r w:rsidRPr="009F0351">
        <w:rPr>
          <w:lang w:eastAsia="en-AU"/>
        </w:rPr>
        <w:t xml:space="preserve"> </w:t>
      </w:r>
    </w:p>
    <w:p w:rsidR="00B26BB1" w:rsidRDefault="00B26BB1" w:rsidP="00B26BB1">
      <w:pPr>
        <w:rPr>
          <w:lang w:eastAsia="en-AU"/>
        </w:rPr>
      </w:pPr>
      <w:r w:rsidRPr="00986A46">
        <w:rPr>
          <w:lang w:eastAsia="en-AU"/>
        </w:rPr>
        <w:t xml:space="preserve">While the primary goal may be to attempt to reach an agreed outcome, ADR can also help to clarify and narrow the issues in dispute between the parties. The use of ADR can </w:t>
      </w:r>
      <w:r>
        <w:rPr>
          <w:lang w:eastAsia="en-AU"/>
        </w:rPr>
        <w:t xml:space="preserve">thereby </w:t>
      </w:r>
      <w:r w:rsidRPr="00986A46">
        <w:rPr>
          <w:lang w:eastAsia="en-AU"/>
        </w:rPr>
        <w:t xml:space="preserve">reduce the costs incurred by the parties and the </w:t>
      </w:r>
      <w:r>
        <w:rPr>
          <w:lang w:eastAsia="en-AU"/>
        </w:rPr>
        <w:t>AAT</w:t>
      </w:r>
      <w:r w:rsidRPr="00986A46">
        <w:rPr>
          <w:lang w:eastAsia="en-AU"/>
        </w:rPr>
        <w:t xml:space="preserve"> by reducing the length of a hearing or avoiding the need for a hearing altogether.</w:t>
      </w:r>
    </w:p>
    <w:p w:rsidR="00B26BB1" w:rsidRDefault="00B26BB1" w:rsidP="00B26BB1">
      <w:pPr>
        <w:rPr>
          <w:lang w:eastAsia="en-AU"/>
        </w:rPr>
      </w:pPr>
      <w:r>
        <w:rPr>
          <w:lang w:eastAsia="en-AU"/>
        </w:rPr>
        <w:t xml:space="preserve">The integration of ADR as part of the broader process for the independent review of government decisions also has distinct advantages.  In most cases, applicants will have been dealing with a decision-maker through primary decision-making and internal review processes.  The involvement of an independent ADR practitioner who is a member or officer of the AAT can help to address issues relating to actual and perceived imbalance of power between citizens and government.  It also creates efficiencies by enabling an assessment to be made of the likelihood of an agreed resolution and, where this cannot be achieved, allowing a case to proceed more quickly to hearing and determination.      </w:t>
      </w:r>
    </w:p>
    <w:p w:rsidR="00B26BB1" w:rsidRDefault="00B26BB1" w:rsidP="00B26BB1">
      <w:pPr>
        <w:rPr>
          <w:lang w:eastAsia="en-AU"/>
        </w:rPr>
      </w:pPr>
      <w:r w:rsidRPr="00986A46">
        <w:rPr>
          <w:lang w:eastAsia="en-AU"/>
        </w:rPr>
        <w:t xml:space="preserve">The AAT has </w:t>
      </w:r>
      <w:r>
        <w:rPr>
          <w:lang w:eastAsia="en-AU"/>
        </w:rPr>
        <w:t>taken a number of steps to provide clarity in relation to the ADR processes it offers and to ensure the quality of its processes.</w:t>
      </w:r>
    </w:p>
    <w:p w:rsidR="00B26BB1" w:rsidRPr="00986A46" w:rsidRDefault="00B26BB1" w:rsidP="00B26BB1">
      <w:pPr>
        <w:rPr>
          <w:lang w:eastAsia="en-AU"/>
        </w:rPr>
      </w:pPr>
      <w:r>
        <w:rPr>
          <w:lang w:eastAsia="en-AU"/>
        </w:rPr>
        <w:t xml:space="preserve">The AAT has </w:t>
      </w:r>
      <w:r w:rsidRPr="00986A46">
        <w:rPr>
          <w:lang w:eastAsia="en-AU"/>
        </w:rPr>
        <w:t xml:space="preserve">developed </w:t>
      </w:r>
      <w:hyperlink r:id="rId11" w:history="1">
        <w:r w:rsidRPr="00E83162">
          <w:rPr>
            <w:rStyle w:val="Hyperlink"/>
            <w:lang w:eastAsia="en-AU"/>
          </w:rPr>
          <w:t>process models</w:t>
        </w:r>
      </w:hyperlink>
      <w:r w:rsidRPr="00986A46">
        <w:rPr>
          <w:lang w:eastAsia="en-AU"/>
        </w:rPr>
        <w:t xml:space="preserve"> for each form of ADR</w:t>
      </w:r>
      <w:r>
        <w:rPr>
          <w:lang w:eastAsia="en-AU"/>
        </w:rPr>
        <w:t xml:space="preserve"> that is used</w:t>
      </w:r>
      <w:r w:rsidRPr="00986A46">
        <w:rPr>
          <w:lang w:eastAsia="en-AU"/>
        </w:rPr>
        <w:t>. Each process model sets out a definition of the process and then provides a range of information relating to the conduct of the process including:</w:t>
      </w:r>
    </w:p>
    <w:p w:rsidR="00B26BB1" w:rsidRPr="000F6CC7" w:rsidRDefault="00B26BB1" w:rsidP="00BF77D7">
      <w:pPr>
        <w:pStyle w:val="ListBullet"/>
      </w:pPr>
      <w:r w:rsidRPr="000F6CC7">
        <w:t>the stage of the proceeding at which the process is likely to be undertaken;</w:t>
      </w:r>
    </w:p>
    <w:p w:rsidR="00B26BB1" w:rsidRPr="000F6CC7" w:rsidRDefault="00B26BB1" w:rsidP="00BF77D7">
      <w:pPr>
        <w:pStyle w:val="ListBullet"/>
      </w:pPr>
      <w:r w:rsidRPr="000F6CC7">
        <w:t>a description of the way in which the process will proceed;</w:t>
      </w:r>
    </w:p>
    <w:p w:rsidR="00B26BB1" w:rsidRPr="000F6CC7" w:rsidRDefault="00B26BB1" w:rsidP="002D1B52">
      <w:pPr>
        <w:pStyle w:val="ListBullet"/>
        <w:keepNext/>
        <w:ind w:left="850"/>
      </w:pPr>
      <w:r w:rsidRPr="000F6CC7">
        <w:lastRenderedPageBreak/>
        <w:t>the role of the person conducting the process as well as the role of the parties and their representatives; and</w:t>
      </w:r>
    </w:p>
    <w:p w:rsidR="00B26BB1" w:rsidRPr="00986A46" w:rsidRDefault="00B26BB1" w:rsidP="00BF77D7">
      <w:pPr>
        <w:pStyle w:val="ListBullet"/>
      </w:pPr>
      <w:r w:rsidRPr="000F6CC7">
        <w:t>what is likely</w:t>
      </w:r>
      <w:r w:rsidRPr="00986A46">
        <w:t xml:space="preserve"> to occur at the conclusion of the process.</w:t>
      </w:r>
    </w:p>
    <w:p w:rsidR="00B26BB1" w:rsidRPr="00986A46" w:rsidRDefault="00B26BB1" w:rsidP="00B26BB1">
      <w:pPr>
        <w:rPr>
          <w:lang w:eastAsia="en-AU"/>
        </w:rPr>
      </w:pPr>
      <w:r w:rsidRPr="00986A46">
        <w:rPr>
          <w:lang w:eastAsia="en-AU"/>
        </w:rPr>
        <w:t xml:space="preserve">The AAT has also developed a </w:t>
      </w:r>
      <w:hyperlink r:id="rId12" w:history="1">
        <w:r w:rsidRPr="004D3F22">
          <w:rPr>
            <w:rStyle w:val="Hyperlink"/>
            <w:lang w:eastAsia="en-AU"/>
          </w:rPr>
          <w:t>set of guidelines</w:t>
        </w:r>
      </w:hyperlink>
      <w:r w:rsidRPr="00986A46">
        <w:rPr>
          <w:lang w:eastAsia="en-AU"/>
        </w:rPr>
        <w:t xml:space="preserve"> designed to assist Conference Registrars and </w:t>
      </w:r>
      <w:r w:rsidR="004D3F22">
        <w:rPr>
          <w:lang w:eastAsia="en-AU"/>
        </w:rPr>
        <w:t>Tribunal</w:t>
      </w:r>
      <w:r w:rsidRPr="00986A46">
        <w:rPr>
          <w:lang w:eastAsia="en-AU"/>
        </w:rPr>
        <w:t xml:space="preserve"> members determine when it may be appropriate to refer an application to a particular type of ADR process. The guidelines set out a range of considerations to be taken into account, including such things as:</w:t>
      </w:r>
    </w:p>
    <w:p w:rsidR="00B26BB1" w:rsidRPr="00986A46" w:rsidRDefault="00B26BB1" w:rsidP="00BF77D7">
      <w:pPr>
        <w:pStyle w:val="ListBullet"/>
      </w:pPr>
      <w:r w:rsidRPr="00986A46">
        <w:t>the capacity of the parties to participate and their attitudes;</w:t>
      </w:r>
    </w:p>
    <w:p w:rsidR="00B26BB1" w:rsidRPr="00986A46" w:rsidRDefault="00B26BB1" w:rsidP="00BF77D7">
      <w:pPr>
        <w:pStyle w:val="ListBullet"/>
      </w:pPr>
      <w:r w:rsidRPr="00986A46">
        <w:t>the nature of the issues in dispute;</w:t>
      </w:r>
    </w:p>
    <w:p w:rsidR="00B26BB1" w:rsidRPr="00986A46" w:rsidRDefault="00B26BB1" w:rsidP="00BF77D7">
      <w:pPr>
        <w:pStyle w:val="ListBullet"/>
      </w:pPr>
      <w:r w:rsidRPr="00986A46">
        <w:t>the likelihood of reaching agreement or reducing the issues in dispute; and</w:t>
      </w:r>
    </w:p>
    <w:p w:rsidR="00B26BB1" w:rsidRPr="00986A46" w:rsidRDefault="00B26BB1" w:rsidP="00BF77D7">
      <w:pPr>
        <w:pStyle w:val="ListBullet"/>
      </w:pPr>
      <w:r w:rsidRPr="00986A46">
        <w:t>the cost to the parties.</w:t>
      </w:r>
    </w:p>
    <w:p w:rsidR="00B26BB1" w:rsidRPr="00986A46" w:rsidRDefault="00B26BB1" w:rsidP="00B26BB1">
      <w:pPr>
        <w:rPr>
          <w:lang w:eastAsia="en-AU"/>
        </w:rPr>
      </w:pPr>
      <w:r w:rsidRPr="00986A46">
        <w:rPr>
          <w:lang w:eastAsia="en-AU"/>
        </w:rPr>
        <w:t>The guidelines identify factors that may make a particular form of ADR suitable for use. For example, mediation may be suitable where flexible options need to be explored or there will be an ongoing relationship between the parties.</w:t>
      </w:r>
    </w:p>
    <w:p w:rsidR="00B26BB1" w:rsidRDefault="00B26BB1" w:rsidP="00B26BB1">
      <w:r>
        <w:rPr>
          <w:lang w:eastAsia="en-AU"/>
        </w:rPr>
        <w:t xml:space="preserve">The AAT is a Recognised Mediator Accreditation Body.  All of the AAT’s Conference Registrars and several members are accredited as mediators under the National Mediator Accreditation Standards.  This supports the </w:t>
      </w:r>
      <w:r w:rsidR="000F6CC7">
        <w:rPr>
          <w:lang w:eastAsia="en-AU"/>
        </w:rPr>
        <w:t>AAT</w:t>
      </w:r>
      <w:r>
        <w:rPr>
          <w:lang w:eastAsia="en-AU"/>
        </w:rPr>
        <w:t xml:space="preserve">’s policy that mediations will be conducted only by accredited mediators.  Conferences and conciliations are also ordinarily conducted by accredited mediators.  Maintaining accreditation is a key measure to ensure quality and consistency in ADR practice within the AAT.  </w:t>
      </w:r>
    </w:p>
    <w:p w:rsidR="00B26BB1" w:rsidRPr="00B26BB1" w:rsidRDefault="00B26BB1" w:rsidP="00BF77D7">
      <w:pPr>
        <w:pStyle w:val="Heading2"/>
        <w:rPr>
          <w:rFonts w:hint="eastAsia"/>
          <w:i/>
        </w:rPr>
      </w:pPr>
      <w:r w:rsidRPr="00B26BB1">
        <w:t>5.</w:t>
      </w:r>
      <w:r w:rsidRPr="00B26BB1">
        <w:tab/>
        <w:t>Assisting self-represented parties</w:t>
      </w:r>
    </w:p>
    <w:p w:rsidR="00B26BB1" w:rsidRDefault="00B26BB1" w:rsidP="00B26BB1">
      <w:pPr>
        <w:rPr>
          <w:lang w:eastAsia="en-AU"/>
        </w:rPr>
      </w:pPr>
      <w:r>
        <w:t>Parties are assisted in the review process by advice and/or representation provided by competent legal service providers or other non-legal</w:t>
      </w:r>
      <w:r w:rsidR="005E126B">
        <w:t>ly qualified</w:t>
      </w:r>
      <w:r>
        <w:t xml:space="preserve"> advocates.  However, a significant proportion of applicants at the AAT do represent themselves and the AAT has designed its processes to assist self-represented parties access the AAT and participate in the review process.  The assistance provided relates not only to matters of procedure but also to the substantive issues in the case. </w:t>
      </w:r>
    </w:p>
    <w:p w:rsidR="00B26BB1" w:rsidRPr="00826D01" w:rsidRDefault="00B26BB1" w:rsidP="00B26BB1">
      <w:pPr>
        <w:rPr>
          <w:lang w:eastAsia="en-AU"/>
        </w:rPr>
      </w:pPr>
      <w:r w:rsidRPr="00826D01">
        <w:rPr>
          <w:lang w:eastAsia="en-AU"/>
        </w:rPr>
        <w:t xml:space="preserve">The </w:t>
      </w:r>
      <w:r>
        <w:rPr>
          <w:lang w:eastAsia="en-AU"/>
        </w:rPr>
        <w:t xml:space="preserve">AAT </w:t>
      </w:r>
      <w:r w:rsidRPr="00826D01">
        <w:rPr>
          <w:lang w:eastAsia="en-AU"/>
        </w:rPr>
        <w:t xml:space="preserve">Act was drafted to </w:t>
      </w:r>
      <w:r>
        <w:rPr>
          <w:lang w:eastAsia="en-AU"/>
        </w:rPr>
        <w:t xml:space="preserve">ensure there are very few formal requirements for a person wanting to make an application to the AAT.  While the application must be in writing, no particular form is required.  </w:t>
      </w:r>
      <w:r w:rsidRPr="00826D01">
        <w:rPr>
          <w:lang w:eastAsia="en-AU"/>
        </w:rPr>
        <w:t xml:space="preserve">In relation to the </w:t>
      </w:r>
      <w:r>
        <w:rPr>
          <w:lang w:eastAsia="en-AU"/>
        </w:rPr>
        <w:t xml:space="preserve">requirement for a </w:t>
      </w:r>
      <w:r w:rsidRPr="00826D01">
        <w:rPr>
          <w:lang w:eastAsia="en-AU"/>
        </w:rPr>
        <w:t xml:space="preserve">statement of reasons, </w:t>
      </w:r>
      <w:r>
        <w:rPr>
          <w:lang w:eastAsia="en-AU"/>
        </w:rPr>
        <w:t xml:space="preserve">no </w:t>
      </w:r>
      <w:r w:rsidRPr="00826D01">
        <w:rPr>
          <w:lang w:eastAsia="en-AU"/>
        </w:rPr>
        <w:t xml:space="preserve">detailed outline of the grounds for making the application </w:t>
      </w:r>
      <w:r>
        <w:rPr>
          <w:lang w:eastAsia="en-AU"/>
        </w:rPr>
        <w:t xml:space="preserve">must be provided. It is sufficient for an applicant to say they think the decision is wrong.  </w:t>
      </w:r>
    </w:p>
    <w:p w:rsidR="00B26BB1" w:rsidRPr="00C3405F" w:rsidRDefault="00B26BB1" w:rsidP="00B26BB1">
      <w:pPr>
        <w:rPr>
          <w:lang w:eastAsia="en-AU"/>
        </w:rPr>
      </w:pPr>
      <w:r>
        <w:rPr>
          <w:lang w:eastAsia="en-AU"/>
        </w:rPr>
        <w:t>The AAT has developed a series of plain English brochures which explain how to apply for review and provide information about each of the key stages of the review process.  These brochures have been translated into a range of community languages and are also available in large print.</w:t>
      </w:r>
    </w:p>
    <w:p w:rsidR="00B26BB1" w:rsidRPr="00C3405F" w:rsidRDefault="00B26BB1" w:rsidP="00B26BB1">
      <w:pPr>
        <w:rPr>
          <w:lang w:eastAsia="en-AU"/>
        </w:rPr>
      </w:pPr>
      <w:r w:rsidRPr="00C3405F">
        <w:rPr>
          <w:lang w:eastAsia="en-AU"/>
        </w:rPr>
        <w:t xml:space="preserve">The letter </w:t>
      </w:r>
      <w:r w:rsidR="005E126B">
        <w:rPr>
          <w:lang w:eastAsia="en-AU"/>
        </w:rPr>
        <w:t xml:space="preserve">the AAT </w:t>
      </w:r>
      <w:r>
        <w:rPr>
          <w:lang w:eastAsia="en-AU"/>
        </w:rPr>
        <w:t>sen</w:t>
      </w:r>
      <w:r w:rsidR="005E126B">
        <w:rPr>
          <w:lang w:eastAsia="en-AU"/>
        </w:rPr>
        <w:t>ds</w:t>
      </w:r>
      <w:r>
        <w:rPr>
          <w:lang w:eastAsia="en-AU"/>
        </w:rPr>
        <w:t xml:space="preserve"> </w:t>
      </w:r>
      <w:r w:rsidRPr="00C3405F">
        <w:rPr>
          <w:lang w:eastAsia="en-AU"/>
        </w:rPr>
        <w:t xml:space="preserve">to an applicant acknowledging receipt of an application sets out basic information in relation to what will happen next in the review.  Within the next few weeks, an AAT </w:t>
      </w:r>
      <w:r>
        <w:rPr>
          <w:lang w:eastAsia="en-AU"/>
        </w:rPr>
        <w:t>staff member</w:t>
      </w:r>
      <w:r w:rsidRPr="00C3405F">
        <w:rPr>
          <w:lang w:eastAsia="en-AU"/>
        </w:rPr>
        <w:t xml:space="preserve"> contacts a self-represented party</w:t>
      </w:r>
      <w:r>
        <w:rPr>
          <w:lang w:eastAsia="en-AU"/>
        </w:rPr>
        <w:t xml:space="preserve">, usually be </w:t>
      </w:r>
      <w:r>
        <w:rPr>
          <w:lang w:eastAsia="en-AU"/>
        </w:rPr>
        <w:lastRenderedPageBreak/>
        <w:t>telephone,</w:t>
      </w:r>
      <w:r w:rsidRPr="00C3405F">
        <w:rPr>
          <w:lang w:eastAsia="en-AU"/>
        </w:rPr>
        <w:t xml:space="preserve"> to </w:t>
      </w:r>
      <w:r>
        <w:rPr>
          <w:lang w:eastAsia="en-AU"/>
        </w:rPr>
        <w:t>talk</w:t>
      </w:r>
      <w:r w:rsidRPr="00C3405F">
        <w:rPr>
          <w:lang w:eastAsia="en-AU"/>
        </w:rPr>
        <w:t xml:space="preserve"> about the AAT and its processes</w:t>
      </w:r>
      <w:r>
        <w:rPr>
          <w:lang w:eastAsia="en-AU"/>
        </w:rPr>
        <w:t xml:space="preserve"> and to answer any questions the applicant may have.  This is </w:t>
      </w:r>
      <w:r w:rsidRPr="00C3405F">
        <w:rPr>
          <w:lang w:eastAsia="en-AU"/>
        </w:rPr>
        <w:t xml:space="preserve">known as Outreach.  </w:t>
      </w:r>
    </w:p>
    <w:p w:rsidR="00B26BB1" w:rsidRDefault="00B26BB1" w:rsidP="00B26BB1">
      <w:pPr>
        <w:rPr>
          <w:lang w:eastAsia="en-AU"/>
        </w:rPr>
      </w:pPr>
      <w:r>
        <w:rPr>
          <w:lang w:eastAsia="en-AU"/>
        </w:rPr>
        <w:t xml:space="preserve">Outreach provides an opportunity for the </w:t>
      </w:r>
      <w:r w:rsidRPr="00C3405F">
        <w:rPr>
          <w:lang w:eastAsia="en-AU"/>
        </w:rPr>
        <w:t>officer</w:t>
      </w:r>
      <w:r>
        <w:rPr>
          <w:lang w:eastAsia="en-AU"/>
        </w:rPr>
        <w:t xml:space="preserve"> to:</w:t>
      </w:r>
      <w:r w:rsidRPr="00C3405F">
        <w:rPr>
          <w:lang w:eastAsia="en-AU"/>
        </w:rPr>
        <w:t xml:space="preserve"> </w:t>
      </w:r>
    </w:p>
    <w:p w:rsidR="00B26BB1" w:rsidRDefault="00B26BB1" w:rsidP="00BF77D7">
      <w:pPr>
        <w:pStyle w:val="ListBullet"/>
      </w:pPr>
      <w:r w:rsidRPr="00C3405F">
        <w:t xml:space="preserve">explain what the </w:t>
      </w:r>
      <w:r>
        <w:t>Section</w:t>
      </w:r>
      <w:r w:rsidRPr="00C3405F">
        <w:t xml:space="preserve"> 37 documents are, what will happen next and </w:t>
      </w:r>
      <w:r>
        <w:t xml:space="preserve">any </w:t>
      </w:r>
      <w:r w:rsidRPr="00C3405F">
        <w:t xml:space="preserve">other </w:t>
      </w:r>
      <w:r>
        <w:t xml:space="preserve">relevant </w:t>
      </w:r>
      <w:r w:rsidRPr="00C3405F">
        <w:t>procedural matters</w:t>
      </w:r>
      <w:r w:rsidR="000F6CC7">
        <w:t>;</w:t>
      </w:r>
    </w:p>
    <w:p w:rsidR="00B26BB1" w:rsidRDefault="00B26BB1" w:rsidP="00BF77D7">
      <w:pPr>
        <w:pStyle w:val="ListBullet"/>
      </w:pPr>
      <w:r w:rsidRPr="00C3405F">
        <w:t>identify whether the person may need the assistance of an interpreter or has any particular needs because of a disability</w:t>
      </w:r>
      <w:r w:rsidR="000F6CC7">
        <w:t>; and</w:t>
      </w:r>
    </w:p>
    <w:p w:rsidR="00B26BB1" w:rsidRPr="00C3405F" w:rsidRDefault="00B26BB1" w:rsidP="00BF77D7">
      <w:pPr>
        <w:pStyle w:val="ListBullet"/>
      </w:pPr>
      <w:r>
        <w:t xml:space="preserve">refer the </w:t>
      </w:r>
      <w:r w:rsidRPr="00C3405F">
        <w:t>person to organisations that may be able to</w:t>
      </w:r>
      <w:r>
        <w:t xml:space="preserve"> provide</w:t>
      </w:r>
      <w:r w:rsidRPr="00C3405F">
        <w:t xml:space="preserve"> </w:t>
      </w:r>
      <w:r>
        <w:t xml:space="preserve">advice or </w:t>
      </w:r>
      <w:r w:rsidRPr="00C3405F">
        <w:t>assist</w:t>
      </w:r>
      <w:r>
        <w:t>ance in relation to the review</w:t>
      </w:r>
      <w:r w:rsidRPr="00C3405F">
        <w:t>.</w:t>
      </w:r>
    </w:p>
    <w:p w:rsidR="00B26BB1" w:rsidRDefault="00B26BB1" w:rsidP="00B26BB1">
      <w:pPr>
        <w:rPr>
          <w:lang w:eastAsia="en-AU"/>
        </w:rPr>
      </w:pPr>
      <w:r w:rsidRPr="00C3405F">
        <w:rPr>
          <w:lang w:eastAsia="en-AU"/>
        </w:rPr>
        <w:t xml:space="preserve">The </w:t>
      </w:r>
      <w:r>
        <w:rPr>
          <w:lang w:eastAsia="en-AU"/>
        </w:rPr>
        <w:t>AAT</w:t>
      </w:r>
      <w:r w:rsidRPr="00C3405F">
        <w:rPr>
          <w:lang w:eastAsia="en-AU"/>
        </w:rPr>
        <w:t xml:space="preserve"> has established legal advice schemes with the cooperation of legal aid bodies in most registries.  A legal aid solicitor generally attends the </w:t>
      </w:r>
      <w:r>
        <w:rPr>
          <w:lang w:eastAsia="en-AU"/>
        </w:rPr>
        <w:t>AAT</w:t>
      </w:r>
      <w:r w:rsidRPr="00C3405F">
        <w:rPr>
          <w:lang w:eastAsia="en-AU"/>
        </w:rPr>
        <w:t xml:space="preserve"> once each week or each fortnight.  The </w:t>
      </w:r>
      <w:r>
        <w:rPr>
          <w:lang w:eastAsia="en-AU"/>
        </w:rPr>
        <w:t>AAT</w:t>
      </w:r>
      <w:r w:rsidRPr="00C3405F">
        <w:rPr>
          <w:lang w:eastAsia="en-AU"/>
        </w:rPr>
        <w:t xml:space="preserve"> invites self-represented parties to make an appointment to see a solicitor who can provide advice and minor assistance, mostly in social security cases and occasionally in other types of cases.  Further assistance, such as representation, may be provided if a person makes a successful application for legal aid.  The </w:t>
      </w:r>
      <w:r>
        <w:rPr>
          <w:lang w:eastAsia="en-AU"/>
        </w:rPr>
        <w:t>AAT</w:t>
      </w:r>
      <w:r w:rsidRPr="00C3405F">
        <w:rPr>
          <w:lang w:eastAsia="en-AU"/>
        </w:rPr>
        <w:t xml:space="preserve"> may also refer self-represented parties to community legal centres and other legal service providers that may be able to provide advice or representation.</w:t>
      </w:r>
    </w:p>
    <w:p w:rsidR="00B26BB1" w:rsidRDefault="00B26BB1" w:rsidP="00B26BB1">
      <w:r>
        <w:t>Conferences provide a flexible and</w:t>
      </w:r>
      <w:r w:rsidRPr="00254036">
        <w:t xml:space="preserve"> informal</w:t>
      </w:r>
      <w:r>
        <w:t xml:space="preserve"> forum to assist self-represented parties in relation to the review.  In addition to explaining the process, Conference Registrars discuss the substantive issues in the case.  They will seek to ensure the applicant understands why the decision was made and the legal framework within which it was made.  They can identify the kind of evidence the applicant needs to support his or her case and discuss how that material could be gathered. This may include requesting the decision-maker to obtain further evidence. In some cases, the AAT may itself issue a summons for the production of relevant documents. </w:t>
      </w:r>
    </w:p>
    <w:p w:rsidR="00B26BB1" w:rsidRPr="00EA2ACC" w:rsidRDefault="00B26BB1" w:rsidP="00B26BB1">
      <w:pPr>
        <w:rPr>
          <w:lang w:eastAsia="en-AU"/>
        </w:rPr>
      </w:pPr>
      <w:r>
        <w:rPr>
          <w:lang w:val="en-GB" w:eastAsia="en-AU"/>
        </w:rPr>
        <w:t xml:space="preserve">If an application proceeds to hearing, an AAT staff member contacts a self-represented party in advance to remind them about the hearing and answer any questions the person may have.  </w:t>
      </w:r>
      <w:r w:rsidRPr="00EA2ACC">
        <w:rPr>
          <w:lang w:eastAsia="en-AU"/>
        </w:rPr>
        <w:t xml:space="preserve">On the day of the hearing, </w:t>
      </w:r>
      <w:r>
        <w:rPr>
          <w:lang w:eastAsia="en-AU"/>
        </w:rPr>
        <w:t xml:space="preserve">a staff member </w:t>
      </w:r>
      <w:r w:rsidRPr="00EA2ACC">
        <w:rPr>
          <w:lang w:eastAsia="en-AU"/>
        </w:rPr>
        <w:t xml:space="preserve">will familiarise the person with the hearing room and </w:t>
      </w:r>
      <w:r>
        <w:rPr>
          <w:lang w:eastAsia="en-AU"/>
        </w:rPr>
        <w:t>what will occur</w:t>
      </w:r>
      <w:r w:rsidRPr="00EA2ACC">
        <w:rPr>
          <w:lang w:eastAsia="en-AU"/>
        </w:rPr>
        <w:t>.</w:t>
      </w:r>
    </w:p>
    <w:p w:rsidR="00B26BB1" w:rsidRDefault="00B26BB1" w:rsidP="00B26BB1">
      <w:pPr>
        <w:rPr>
          <w:lang w:val="en-GB" w:eastAsia="en-AU"/>
        </w:rPr>
      </w:pPr>
      <w:r w:rsidRPr="00A16F5E">
        <w:rPr>
          <w:lang w:val="en-GB" w:eastAsia="en-AU"/>
        </w:rPr>
        <w:t>Hearings involving self-represented parties are generally conducted in a smaller, more informal hearing room.  The presiding member will usually modify the hearing procedure in various ways to assist the person to present their case.  He or she will explain at the outset what will happen at the hearing and either outline the nature of the case and the issues to be decided or ask the decision-maker’s representative to do so.  The order in which evidence is given and submissions are made may also be changed.</w:t>
      </w:r>
      <w:r>
        <w:rPr>
          <w:lang w:val="en-GB" w:eastAsia="en-AU"/>
        </w:rPr>
        <w:t xml:space="preserve"> </w:t>
      </w:r>
    </w:p>
    <w:p w:rsidR="00B26BB1" w:rsidRDefault="00B26BB1" w:rsidP="00B26BB1">
      <w:pPr>
        <w:rPr>
          <w:lang w:val="en-GB" w:eastAsia="en-AU"/>
        </w:rPr>
      </w:pPr>
      <w:r w:rsidRPr="00A16F5E">
        <w:rPr>
          <w:lang w:val="en-GB" w:eastAsia="en-AU"/>
        </w:rPr>
        <w:t>The presiding member will</w:t>
      </w:r>
      <w:r>
        <w:rPr>
          <w:lang w:val="en-GB" w:eastAsia="en-AU"/>
        </w:rPr>
        <w:t xml:space="preserve"> often</w:t>
      </w:r>
      <w:r w:rsidRPr="00A16F5E">
        <w:rPr>
          <w:lang w:val="en-GB" w:eastAsia="en-AU"/>
        </w:rPr>
        <w:t xml:space="preserve"> take responsibility for asking questions of the applicant and any witnesses</w:t>
      </w:r>
      <w:r>
        <w:rPr>
          <w:lang w:val="en-GB" w:eastAsia="en-AU"/>
        </w:rPr>
        <w:t xml:space="preserve"> in order to extract relevant material</w:t>
      </w:r>
      <w:r w:rsidRPr="00A16F5E">
        <w:rPr>
          <w:lang w:val="en-GB" w:eastAsia="en-AU"/>
        </w:rPr>
        <w:t xml:space="preserve">.  </w:t>
      </w:r>
      <w:r>
        <w:rPr>
          <w:lang w:val="en-GB" w:eastAsia="en-AU"/>
        </w:rPr>
        <w:t>T</w:t>
      </w:r>
      <w:r w:rsidRPr="0069324E">
        <w:rPr>
          <w:lang w:val="en-GB" w:eastAsia="en-AU"/>
        </w:rPr>
        <w:t xml:space="preserve">he presiding member </w:t>
      </w:r>
      <w:r>
        <w:rPr>
          <w:lang w:val="en-GB" w:eastAsia="en-AU"/>
        </w:rPr>
        <w:t xml:space="preserve">may also identify that particular further </w:t>
      </w:r>
      <w:r w:rsidRPr="0069324E">
        <w:rPr>
          <w:lang w:val="en-GB" w:eastAsia="en-AU"/>
        </w:rPr>
        <w:t xml:space="preserve">evidence </w:t>
      </w:r>
      <w:r>
        <w:rPr>
          <w:lang w:val="en-GB" w:eastAsia="en-AU"/>
        </w:rPr>
        <w:t xml:space="preserve">is required </w:t>
      </w:r>
      <w:r w:rsidRPr="0069324E">
        <w:rPr>
          <w:lang w:val="en-GB" w:eastAsia="en-AU"/>
        </w:rPr>
        <w:t>and m</w:t>
      </w:r>
      <w:r>
        <w:rPr>
          <w:lang w:val="en-GB" w:eastAsia="en-AU"/>
        </w:rPr>
        <w:t>ay</w:t>
      </w:r>
      <w:r w:rsidRPr="0069324E">
        <w:rPr>
          <w:lang w:val="en-GB" w:eastAsia="en-AU"/>
        </w:rPr>
        <w:t xml:space="preserve"> adjourn proceedings so that this evidence can be obtained.</w:t>
      </w:r>
    </w:p>
    <w:p w:rsidR="00B26BB1" w:rsidRDefault="00B26BB1" w:rsidP="00B26BB1">
      <w:r>
        <w:lastRenderedPageBreak/>
        <w:t xml:space="preserve">The procedural assistance provided by the AAT ensures self-represented </w:t>
      </w:r>
      <w:r w:rsidRPr="005E6A9F">
        <w:t xml:space="preserve">parties have all the information and </w:t>
      </w:r>
      <w:r>
        <w:t>help</w:t>
      </w:r>
      <w:r w:rsidRPr="005E6A9F">
        <w:t xml:space="preserve"> to enable them to participate as fully as possible in the process</w:t>
      </w:r>
      <w:r>
        <w:t>.  The AAT’s approach in relation to the substantive issues is consistent with the AAT's role as an administrative decision-maker that must make the correct or preferable decision on review.  The AAT will seek to ensure that, as far as possible, relevant material is available to consider.  Providing self-represented applicants with assistance that helps them to understand and present their best case contributes to the fairness and justice of the review process.</w:t>
      </w:r>
      <w:r>
        <w:rPr>
          <w:lang w:val="en-GB" w:eastAsia="en-AU"/>
        </w:rPr>
        <w:t xml:space="preserve"> </w:t>
      </w:r>
    </w:p>
    <w:p w:rsidR="00B26BB1" w:rsidRPr="00B26BB1" w:rsidRDefault="00B26BB1" w:rsidP="00BF77D7">
      <w:pPr>
        <w:pStyle w:val="Heading2"/>
        <w:rPr>
          <w:rFonts w:hint="eastAsia"/>
          <w:i/>
        </w:rPr>
      </w:pPr>
      <w:r w:rsidRPr="00B26BB1">
        <w:t>6.</w:t>
      </w:r>
      <w:r w:rsidRPr="00B26BB1">
        <w:tab/>
        <w:t>Timeliness of the AAT’s review process</w:t>
      </w:r>
    </w:p>
    <w:p w:rsidR="00B26BB1" w:rsidRDefault="00B26BB1" w:rsidP="00B26BB1">
      <w:r w:rsidRPr="00A13BCA">
        <w:t xml:space="preserve">The </w:t>
      </w:r>
      <w:r>
        <w:t>AAT</w:t>
      </w:r>
      <w:r w:rsidRPr="00A13BCA">
        <w:t xml:space="preserve"> aims to finalise applications within 12 months of lodgement and has set specific targets for each of the major jurisdictions. </w:t>
      </w:r>
      <w:r>
        <w:t xml:space="preserve"> </w:t>
      </w:r>
      <w:r w:rsidRPr="00A13BCA">
        <w:t>In relation to the Small Taxation Claims Tribunal</w:t>
      </w:r>
      <w:r>
        <w:t xml:space="preserve"> (STCT)</w:t>
      </w:r>
      <w:r w:rsidRPr="00A13BCA">
        <w:t xml:space="preserve">, the </w:t>
      </w:r>
      <w:r>
        <w:t>AAT’</w:t>
      </w:r>
      <w:r w:rsidRPr="00A13BCA">
        <w:t>s goal is to finalise applications within 12 weeks of lodgement.</w:t>
      </w:r>
      <w:r>
        <w:rPr>
          <w:rStyle w:val="FootnoteReference"/>
          <w:rFonts w:cs="Arial"/>
          <w:szCs w:val="22"/>
          <w:lang w:eastAsia="en-AU"/>
        </w:rPr>
        <w:footnoteReference w:id="12"/>
      </w:r>
      <w:r w:rsidRPr="00A13BCA">
        <w:t xml:space="preserve"> </w:t>
      </w:r>
    </w:p>
    <w:p w:rsidR="00B26BB1" w:rsidRDefault="00B26BB1" w:rsidP="00B26BB1">
      <w:r w:rsidRPr="00A13BCA">
        <w:t xml:space="preserve">The </w:t>
      </w:r>
      <w:r>
        <w:t>AAT's performance in relation to timeliness in 2012–</w:t>
      </w:r>
      <w:r w:rsidRPr="00A13BCA">
        <w:t xml:space="preserve">13 and the two previous reporting years is </w:t>
      </w:r>
      <w:r>
        <w:t xml:space="preserve">set out </w:t>
      </w:r>
      <w:r w:rsidRPr="00A13BCA">
        <w:t>in</w:t>
      </w:r>
      <w:r>
        <w:t xml:space="preserve"> the table below.</w:t>
      </w:r>
      <w:r>
        <w:rPr>
          <w:rStyle w:val="FootnoteReference"/>
        </w:rPr>
        <w:footnoteReference w:id="13"/>
      </w:r>
    </w:p>
    <w:p w:rsidR="00B26BB1" w:rsidRPr="00AB371A" w:rsidRDefault="00B26BB1" w:rsidP="00D54688">
      <w:pPr>
        <w:spacing w:before="240"/>
        <w:ind w:left="720"/>
        <w:rPr>
          <w:b/>
          <w:sz w:val="20"/>
        </w:rPr>
      </w:pPr>
      <w:r w:rsidRPr="00AB371A">
        <w:rPr>
          <w:sz w:val="20"/>
        </w:rPr>
        <w:t xml:space="preserve"> </w:t>
      </w:r>
      <w:r w:rsidRPr="00AB371A">
        <w:rPr>
          <w:b/>
          <w:sz w:val="20"/>
        </w:rPr>
        <w:t>Percentage of applications finalised within time standards</w:t>
      </w:r>
    </w:p>
    <w:tbl>
      <w:tblPr>
        <w:tblW w:w="0" w:type="auto"/>
        <w:jc w:val="center"/>
        <w:tblInd w:w="80" w:type="dxa"/>
        <w:tblLayout w:type="fixed"/>
        <w:tblCellMar>
          <w:left w:w="0" w:type="dxa"/>
          <w:right w:w="0" w:type="dxa"/>
        </w:tblCellMar>
        <w:tblLook w:val="0000" w:firstRow="0" w:lastRow="0" w:firstColumn="0" w:lastColumn="0" w:noHBand="0" w:noVBand="0"/>
      </w:tblPr>
      <w:tblGrid>
        <w:gridCol w:w="2977"/>
        <w:gridCol w:w="1183"/>
        <w:gridCol w:w="1183"/>
        <w:gridCol w:w="1183"/>
        <w:gridCol w:w="1184"/>
      </w:tblGrid>
      <w:tr w:rsidR="00B26BB1" w:rsidRPr="00723FDB" w:rsidTr="008C02E3">
        <w:trPr>
          <w:trHeight w:val="60"/>
          <w:tblHeader/>
          <w:jc w:val="center"/>
        </w:trPr>
        <w:tc>
          <w:tcPr>
            <w:tcW w:w="2977"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80" w:type="dxa"/>
              <w:left w:w="80" w:type="dxa"/>
              <w:bottom w:w="80" w:type="dxa"/>
              <w:right w:w="80" w:type="dxa"/>
            </w:tcMar>
            <w:vAlign w:val="center"/>
          </w:tcPr>
          <w:p w:rsidR="00B26BB1" w:rsidRPr="00AB371A" w:rsidRDefault="00B26BB1" w:rsidP="008C02E3">
            <w:pPr>
              <w:pStyle w:val="TableHeader"/>
              <w:spacing w:after="0"/>
              <w:rPr>
                <w:rFonts w:ascii="Arial" w:hAnsi="Arial" w:cs="Arial"/>
              </w:rPr>
            </w:pPr>
            <w:r w:rsidRPr="00827A49">
              <w:rPr>
                <w:rFonts w:ascii="Arial" w:hAnsi="Arial" w:cs="Arial"/>
              </w:rPr>
              <w:t>Jurisdiction</w:t>
            </w:r>
          </w:p>
        </w:tc>
        <w:tc>
          <w:tcPr>
            <w:tcW w:w="1183"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80" w:type="dxa"/>
              <w:left w:w="80" w:type="dxa"/>
              <w:bottom w:w="80" w:type="dxa"/>
              <w:right w:w="80" w:type="dxa"/>
            </w:tcMar>
            <w:vAlign w:val="center"/>
          </w:tcPr>
          <w:p w:rsidR="00B26BB1" w:rsidRPr="00AB371A" w:rsidRDefault="00B26BB1" w:rsidP="008C02E3">
            <w:pPr>
              <w:pStyle w:val="TableHeader"/>
              <w:spacing w:after="0"/>
              <w:jc w:val="center"/>
              <w:rPr>
                <w:rFonts w:ascii="Arial" w:hAnsi="Arial" w:cs="Arial"/>
              </w:rPr>
            </w:pPr>
            <w:r w:rsidRPr="00AB371A">
              <w:rPr>
                <w:rFonts w:ascii="Arial" w:hAnsi="Arial" w:cs="Arial"/>
              </w:rPr>
              <w:t>Target</w:t>
            </w:r>
          </w:p>
        </w:tc>
        <w:tc>
          <w:tcPr>
            <w:tcW w:w="1183"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80" w:type="dxa"/>
              <w:left w:w="80" w:type="dxa"/>
              <w:bottom w:w="80" w:type="dxa"/>
              <w:right w:w="80" w:type="dxa"/>
            </w:tcMar>
            <w:vAlign w:val="center"/>
          </w:tcPr>
          <w:p w:rsidR="00B26BB1" w:rsidRPr="00AB371A" w:rsidRDefault="00B26BB1" w:rsidP="008C02E3">
            <w:pPr>
              <w:pStyle w:val="TableHeader"/>
              <w:spacing w:after="0"/>
              <w:jc w:val="center"/>
              <w:rPr>
                <w:rFonts w:ascii="Arial" w:hAnsi="Arial" w:cs="Arial"/>
              </w:rPr>
            </w:pPr>
            <w:r w:rsidRPr="00AB371A">
              <w:rPr>
                <w:rFonts w:ascii="Arial" w:hAnsi="Arial" w:cs="Arial"/>
              </w:rPr>
              <w:t>2010–11</w:t>
            </w:r>
          </w:p>
        </w:tc>
        <w:tc>
          <w:tcPr>
            <w:tcW w:w="1183"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80" w:type="dxa"/>
              <w:left w:w="80" w:type="dxa"/>
              <w:bottom w:w="80" w:type="dxa"/>
              <w:right w:w="80" w:type="dxa"/>
            </w:tcMar>
            <w:vAlign w:val="center"/>
          </w:tcPr>
          <w:p w:rsidR="00B26BB1" w:rsidRPr="00AB371A" w:rsidRDefault="00B26BB1" w:rsidP="008C02E3">
            <w:pPr>
              <w:pStyle w:val="TableHeader"/>
              <w:spacing w:after="0"/>
              <w:jc w:val="center"/>
              <w:rPr>
                <w:rFonts w:ascii="Arial" w:hAnsi="Arial" w:cs="Arial"/>
              </w:rPr>
            </w:pPr>
            <w:r w:rsidRPr="00AB371A">
              <w:rPr>
                <w:rFonts w:ascii="Arial" w:hAnsi="Arial" w:cs="Arial"/>
              </w:rPr>
              <w:t>2011–12</w:t>
            </w:r>
          </w:p>
        </w:tc>
        <w:tc>
          <w:tcPr>
            <w:tcW w:w="1184"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80" w:type="dxa"/>
              <w:left w:w="80" w:type="dxa"/>
              <w:bottom w:w="80" w:type="dxa"/>
              <w:right w:w="80" w:type="dxa"/>
            </w:tcMar>
            <w:vAlign w:val="center"/>
          </w:tcPr>
          <w:p w:rsidR="00B26BB1" w:rsidRPr="00AB371A" w:rsidRDefault="00B26BB1" w:rsidP="008C02E3">
            <w:pPr>
              <w:pStyle w:val="TableHeader"/>
              <w:spacing w:after="0"/>
              <w:jc w:val="center"/>
              <w:rPr>
                <w:rFonts w:ascii="Arial" w:hAnsi="Arial" w:cs="Arial"/>
              </w:rPr>
            </w:pPr>
            <w:r w:rsidRPr="00AB371A">
              <w:rPr>
                <w:rFonts w:ascii="Arial" w:hAnsi="Arial" w:cs="Arial"/>
              </w:rPr>
              <w:t>2012–13</w:t>
            </w:r>
          </w:p>
        </w:tc>
      </w:tr>
      <w:tr w:rsidR="00B26BB1" w:rsidRPr="00723FDB" w:rsidTr="008C02E3">
        <w:trPr>
          <w:trHeight w:val="60"/>
          <w:tblHeader/>
          <w:jc w:val="center"/>
        </w:trPr>
        <w:tc>
          <w:tcPr>
            <w:tcW w:w="2977"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80" w:type="dxa"/>
              <w:left w:w="80" w:type="dxa"/>
              <w:bottom w:w="80" w:type="dxa"/>
              <w:right w:w="80" w:type="dxa"/>
            </w:tcMar>
            <w:vAlign w:val="center"/>
          </w:tcPr>
          <w:p w:rsidR="00B26BB1" w:rsidRPr="00AB371A" w:rsidRDefault="00B26BB1" w:rsidP="008C02E3">
            <w:pPr>
              <w:pStyle w:val="TableHeader"/>
              <w:spacing w:after="0"/>
              <w:rPr>
                <w:rFonts w:ascii="Arial" w:hAnsi="Arial" w:cs="Arial"/>
              </w:rPr>
            </w:pPr>
          </w:p>
        </w:tc>
        <w:tc>
          <w:tcPr>
            <w:tcW w:w="1183"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80" w:type="dxa"/>
              <w:left w:w="80" w:type="dxa"/>
              <w:bottom w:w="80" w:type="dxa"/>
              <w:right w:w="80" w:type="dxa"/>
            </w:tcMar>
            <w:vAlign w:val="center"/>
          </w:tcPr>
          <w:p w:rsidR="00B26BB1" w:rsidRPr="00AB371A" w:rsidRDefault="00B26BB1" w:rsidP="008C02E3">
            <w:pPr>
              <w:pStyle w:val="TableHeader"/>
              <w:spacing w:after="0"/>
              <w:jc w:val="right"/>
              <w:rPr>
                <w:rFonts w:ascii="Arial" w:hAnsi="Arial" w:cs="Arial"/>
              </w:rPr>
            </w:pPr>
            <w:r w:rsidRPr="00AB371A">
              <w:rPr>
                <w:rFonts w:ascii="Arial" w:hAnsi="Arial" w:cs="Arial"/>
              </w:rPr>
              <w:t>%</w:t>
            </w:r>
          </w:p>
        </w:tc>
        <w:tc>
          <w:tcPr>
            <w:tcW w:w="1183"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80" w:type="dxa"/>
              <w:left w:w="80" w:type="dxa"/>
              <w:bottom w:w="80" w:type="dxa"/>
              <w:right w:w="80" w:type="dxa"/>
            </w:tcMar>
            <w:vAlign w:val="center"/>
          </w:tcPr>
          <w:p w:rsidR="00B26BB1" w:rsidRPr="00AB371A" w:rsidRDefault="00B26BB1" w:rsidP="008C02E3">
            <w:pPr>
              <w:pStyle w:val="TableHeader"/>
              <w:spacing w:after="0"/>
              <w:jc w:val="right"/>
              <w:rPr>
                <w:rFonts w:ascii="Arial" w:hAnsi="Arial" w:cs="Arial"/>
              </w:rPr>
            </w:pPr>
            <w:r w:rsidRPr="00AB371A">
              <w:rPr>
                <w:rFonts w:ascii="Arial" w:hAnsi="Arial" w:cs="Arial"/>
              </w:rPr>
              <w:t>%</w:t>
            </w:r>
          </w:p>
        </w:tc>
        <w:tc>
          <w:tcPr>
            <w:tcW w:w="1183"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80" w:type="dxa"/>
              <w:left w:w="80" w:type="dxa"/>
              <w:bottom w:w="80" w:type="dxa"/>
              <w:right w:w="80" w:type="dxa"/>
            </w:tcMar>
            <w:vAlign w:val="center"/>
          </w:tcPr>
          <w:p w:rsidR="00B26BB1" w:rsidRPr="00AB371A" w:rsidRDefault="00B26BB1" w:rsidP="008C02E3">
            <w:pPr>
              <w:pStyle w:val="TableHeader"/>
              <w:spacing w:after="0"/>
              <w:jc w:val="right"/>
              <w:rPr>
                <w:rFonts w:ascii="Arial" w:hAnsi="Arial" w:cs="Arial"/>
              </w:rPr>
            </w:pPr>
            <w:r w:rsidRPr="00AB371A">
              <w:rPr>
                <w:rFonts w:ascii="Arial" w:hAnsi="Arial" w:cs="Arial"/>
              </w:rPr>
              <w:t>%</w:t>
            </w:r>
          </w:p>
        </w:tc>
        <w:tc>
          <w:tcPr>
            <w:tcW w:w="1184"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80" w:type="dxa"/>
              <w:left w:w="80" w:type="dxa"/>
              <w:bottom w:w="80" w:type="dxa"/>
              <w:right w:w="80" w:type="dxa"/>
            </w:tcMar>
            <w:vAlign w:val="center"/>
          </w:tcPr>
          <w:p w:rsidR="00B26BB1" w:rsidRPr="00AB371A" w:rsidRDefault="00B26BB1" w:rsidP="008C02E3">
            <w:pPr>
              <w:pStyle w:val="TableHeader"/>
              <w:spacing w:after="0"/>
              <w:jc w:val="right"/>
              <w:rPr>
                <w:rFonts w:ascii="Arial" w:hAnsi="Arial" w:cs="Arial"/>
              </w:rPr>
            </w:pPr>
            <w:r w:rsidRPr="00AB371A">
              <w:rPr>
                <w:rFonts w:ascii="Arial" w:hAnsi="Arial" w:cs="Arial"/>
              </w:rPr>
              <w:t>%</w:t>
            </w:r>
          </w:p>
        </w:tc>
      </w:tr>
      <w:tr w:rsidR="00B26BB1" w:rsidRPr="00723FDB" w:rsidTr="008C02E3">
        <w:trPr>
          <w:jc w:val="center"/>
        </w:trPr>
        <w:tc>
          <w:tcPr>
            <w:tcW w:w="297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B26BB1" w:rsidRPr="00AB371A" w:rsidRDefault="00B26BB1" w:rsidP="008C02E3">
            <w:pPr>
              <w:pStyle w:val="bodycopy"/>
              <w:spacing w:after="0" w:line="240" w:lineRule="auto"/>
              <w:rPr>
                <w:rFonts w:ascii="Arial" w:hAnsi="Arial" w:cs="Arial"/>
              </w:rPr>
            </w:pPr>
            <w:r w:rsidRPr="00AB371A">
              <w:rPr>
                <w:rFonts w:ascii="Arial" w:hAnsi="Arial" w:cs="Arial"/>
              </w:rPr>
              <w:t>Social security</w:t>
            </w:r>
          </w:p>
        </w:tc>
        <w:tc>
          <w:tcPr>
            <w:tcW w:w="118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B26BB1" w:rsidRPr="00AB371A" w:rsidRDefault="00B26BB1" w:rsidP="008C02E3">
            <w:pPr>
              <w:pStyle w:val="bodycopy"/>
              <w:spacing w:after="0" w:line="240" w:lineRule="auto"/>
              <w:jc w:val="right"/>
              <w:rPr>
                <w:rFonts w:ascii="Arial" w:hAnsi="Arial" w:cs="Arial"/>
              </w:rPr>
            </w:pPr>
            <w:r w:rsidRPr="00AB371A">
              <w:rPr>
                <w:rFonts w:ascii="Arial" w:hAnsi="Arial" w:cs="Arial"/>
              </w:rPr>
              <w:t>90</w:t>
            </w:r>
          </w:p>
        </w:tc>
        <w:tc>
          <w:tcPr>
            <w:tcW w:w="118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B26BB1" w:rsidRPr="00AB371A" w:rsidRDefault="00B26BB1" w:rsidP="008C02E3">
            <w:pPr>
              <w:pStyle w:val="bodycopy"/>
              <w:spacing w:after="0" w:line="240" w:lineRule="auto"/>
              <w:jc w:val="right"/>
              <w:rPr>
                <w:rFonts w:ascii="Arial" w:hAnsi="Arial" w:cs="Arial"/>
              </w:rPr>
            </w:pPr>
            <w:r w:rsidRPr="00AB371A">
              <w:rPr>
                <w:rFonts w:ascii="Arial" w:hAnsi="Arial" w:cs="Arial"/>
              </w:rPr>
              <w:t>91</w:t>
            </w:r>
          </w:p>
        </w:tc>
        <w:tc>
          <w:tcPr>
            <w:tcW w:w="118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B26BB1" w:rsidRPr="00AB371A" w:rsidRDefault="00B26BB1" w:rsidP="008C02E3">
            <w:pPr>
              <w:pStyle w:val="bodycopy"/>
              <w:spacing w:after="0" w:line="240" w:lineRule="auto"/>
              <w:jc w:val="right"/>
              <w:rPr>
                <w:rFonts w:ascii="Arial" w:hAnsi="Arial" w:cs="Arial"/>
              </w:rPr>
            </w:pPr>
            <w:r w:rsidRPr="00AB371A">
              <w:rPr>
                <w:rFonts w:ascii="Arial" w:hAnsi="Arial" w:cs="Arial"/>
              </w:rPr>
              <w:t>93</w:t>
            </w:r>
          </w:p>
        </w:tc>
        <w:tc>
          <w:tcPr>
            <w:tcW w:w="11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B26BB1" w:rsidRPr="00AB371A" w:rsidRDefault="00B26BB1" w:rsidP="008C02E3">
            <w:pPr>
              <w:pStyle w:val="bodycopy"/>
              <w:spacing w:after="0" w:line="240" w:lineRule="auto"/>
              <w:jc w:val="right"/>
              <w:rPr>
                <w:rFonts w:ascii="Arial" w:hAnsi="Arial" w:cs="Arial"/>
              </w:rPr>
            </w:pPr>
            <w:r w:rsidRPr="00AB371A">
              <w:rPr>
                <w:rFonts w:ascii="Arial" w:hAnsi="Arial" w:cs="Arial"/>
              </w:rPr>
              <w:t>93</w:t>
            </w:r>
          </w:p>
        </w:tc>
      </w:tr>
      <w:tr w:rsidR="00B26BB1" w:rsidRPr="00723FDB" w:rsidTr="008C02E3">
        <w:trPr>
          <w:jc w:val="center"/>
        </w:trPr>
        <w:tc>
          <w:tcPr>
            <w:tcW w:w="297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B26BB1" w:rsidRPr="00AB371A" w:rsidRDefault="00B26BB1" w:rsidP="008C02E3">
            <w:pPr>
              <w:pStyle w:val="bodycopy"/>
              <w:spacing w:after="0" w:line="240" w:lineRule="auto"/>
              <w:rPr>
                <w:rFonts w:ascii="Arial" w:hAnsi="Arial" w:cs="Arial"/>
              </w:rPr>
            </w:pPr>
            <w:r w:rsidRPr="00AB371A">
              <w:rPr>
                <w:rFonts w:ascii="Arial" w:hAnsi="Arial" w:cs="Arial"/>
              </w:rPr>
              <w:t>Veterans’ affairs</w:t>
            </w:r>
          </w:p>
        </w:tc>
        <w:tc>
          <w:tcPr>
            <w:tcW w:w="118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B26BB1" w:rsidRPr="00AB371A" w:rsidRDefault="00B26BB1" w:rsidP="008C02E3">
            <w:pPr>
              <w:pStyle w:val="bodycopy"/>
              <w:spacing w:after="0" w:line="240" w:lineRule="auto"/>
              <w:jc w:val="right"/>
              <w:rPr>
                <w:rFonts w:ascii="Arial" w:hAnsi="Arial" w:cs="Arial"/>
              </w:rPr>
            </w:pPr>
            <w:r w:rsidRPr="00AB371A">
              <w:rPr>
                <w:rFonts w:ascii="Arial" w:hAnsi="Arial" w:cs="Arial"/>
              </w:rPr>
              <w:t>80</w:t>
            </w:r>
          </w:p>
        </w:tc>
        <w:tc>
          <w:tcPr>
            <w:tcW w:w="118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B26BB1" w:rsidRPr="00AB371A" w:rsidRDefault="00B26BB1" w:rsidP="008C02E3">
            <w:pPr>
              <w:pStyle w:val="bodycopy"/>
              <w:spacing w:after="0" w:line="240" w:lineRule="auto"/>
              <w:jc w:val="right"/>
              <w:rPr>
                <w:rFonts w:ascii="Arial" w:hAnsi="Arial" w:cs="Arial"/>
              </w:rPr>
            </w:pPr>
            <w:r w:rsidRPr="00AB371A">
              <w:rPr>
                <w:rFonts w:ascii="Arial" w:hAnsi="Arial" w:cs="Arial"/>
              </w:rPr>
              <w:t>66</w:t>
            </w:r>
          </w:p>
        </w:tc>
        <w:tc>
          <w:tcPr>
            <w:tcW w:w="118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B26BB1" w:rsidRPr="00AB371A" w:rsidRDefault="00B26BB1" w:rsidP="008C02E3">
            <w:pPr>
              <w:pStyle w:val="bodycopy"/>
              <w:spacing w:after="0" w:line="240" w:lineRule="auto"/>
              <w:jc w:val="right"/>
              <w:rPr>
                <w:rFonts w:ascii="Arial" w:hAnsi="Arial" w:cs="Arial"/>
              </w:rPr>
            </w:pPr>
            <w:r w:rsidRPr="00AB371A">
              <w:rPr>
                <w:rFonts w:ascii="Arial" w:hAnsi="Arial" w:cs="Arial"/>
              </w:rPr>
              <w:t>66</w:t>
            </w:r>
          </w:p>
        </w:tc>
        <w:tc>
          <w:tcPr>
            <w:tcW w:w="11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B26BB1" w:rsidRPr="00AB371A" w:rsidRDefault="00B26BB1" w:rsidP="008C02E3">
            <w:pPr>
              <w:pStyle w:val="bodycopy"/>
              <w:spacing w:after="0" w:line="240" w:lineRule="auto"/>
              <w:jc w:val="right"/>
              <w:rPr>
                <w:rFonts w:ascii="Arial" w:hAnsi="Arial" w:cs="Arial"/>
              </w:rPr>
            </w:pPr>
            <w:r w:rsidRPr="00AB371A">
              <w:rPr>
                <w:rFonts w:ascii="Arial" w:hAnsi="Arial" w:cs="Arial"/>
              </w:rPr>
              <w:t>70</w:t>
            </w:r>
          </w:p>
        </w:tc>
      </w:tr>
      <w:tr w:rsidR="00B26BB1" w:rsidRPr="00723FDB" w:rsidTr="008C02E3">
        <w:trPr>
          <w:jc w:val="center"/>
        </w:trPr>
        <w:tc>
          <w:tcPr>
            <w:tcW w:w="297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B26BB1" w:rsidRPr="00AB371A" w:rsidRDefault="00B26BB1" w:rsidP="008C02E3">
            <w:pPr>
              <w:pStyle w:val="bodycopy"/>
              <w:spacing w:after="0" w:line="240" w:lineRule="auto"/>
              <w:rPr>
                <w:rFonts w:ascii="Arial" w:hAnsi="Arial" w:cs="Arial"/>
              </w:rPr>
            </w:pPr>
            <w:r w:rsidRPr="00AB371A">
              <w:rPr>
                <w:rFonts w:ascii="Arial" w:hAnsi="Arial" w:cs="Arial"/>
              </w:rPr>
              <w:t>Workers’ compensation</w:t>
            </w:r>
          </w:p>
        </w:tc>
        <w:tc>
          <w:tcPr>
            <w:tcW w:w="118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B26BB1" w:rsidRPr="00AB371A" w:rsidRDefault="00B26BB1" w:rsidP="008C02E3">
            <w:pPr>
              <w:pStyle w:val="bodycopy"/>
              <w:spacing w:after="0" w:line="240" w:lineRule="auto"/>
              <w:jc w:val="right"/>
              <w:rPr>
                <w:rFonts w:ascii="Arial" w:hAnsi="Arial" w:cs="Arial"/>
              </w:rPr>
            </w:pPr>
            <w:r w:rsidRPr="00AB371A">
              <w:rPr>
                <w:rFonts w:ascii="Arial" w:hAnsi="Arial" w:cs="Arial"/>
              </w:rPr>
              <w:t>75</w:t>
            </w:r>
          </w:p>
        </w:tc>
        <w:tc>
          <w:tcPr>
            <w:tcW w:w="118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B26BB1" w:rsidRPr="00AB371A" w:rsidRDefault="00B26BB1" w:rsidP="008C02E3">
            <w:pPr>
              <w:pStyle w:val="bodycopy"/>
              <w:spacing w:after="0" w:line="240" w:lineRule="auto"/>
              <w:jc w:val="right"/>
              <w:rPr>
                <w:rFonts w:ascii="Arial" w:hAnsi="Arial" w:cs="Arial"/>
              </w:rPr>
            </w:pPr>
            <w:r w:rsidRPr="00AB371A">
              <w:rPr>
                <w:rFonts w:ascii="Arial" w:hAnsi="Arial" w:cs="Arial"/>
              </w:rPr>
              <w:t>68</w:t>
            </w:r>
          </w:p>
        </w:tc>
        <w:tc>
          <w:tcPr>
            <w:tcW w:w="118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B26BB1" w:rsidRPr="00AB371A" w:rsidRDefault="00B26BB1" w:rsidP="008C02E3">
            <w:pPr>
              <w:pStyle w:val="bodycopy"/>
              <w:spacing w:after="0" w:line="240" w:lineRule="auto"/>
              <w:jc w:val="right"/>
              <w:rPr>
                <w:rFonts w:ascii="Arial" w:hAnsi="Arial" w:cs="Arial"/>
              </w:rPr>
            </w:pPr>
            <w:r w:rsidRPr="00AB371A">
              <w:rPr>
                <w:rFonts w:ascii="Arial" w:hAnsi="Arial" w:cs="Arial"/>
              </w:rPr>
              <w:t>70</w:t>
            </w:r>
          </w:p>
        </w:tc>
        <w:tc>
          <w:tcPr>
            <w:tcW w:w="11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B26BB1" w:rsidRPr="00AB371A" w:rsidRDefault="00B26BB1" w:rsidP="008C02E3">
            <w:pPr>
              <w:pStyle w:val="bodycopy"/>
              <w:spacing w:after="0" w:line="240" w:lineRule="auto"/>
              <w:jc w:val="right"/>
              <w:rPr>
                <w:rFonts w:ascii="Arial" w:hAnsi="Arial" w:cs="Arial"/>
              </w:rPr>
            </w:pPr>
            <w:r w:rsidRPr="00AB371A">
              <w:rPr>
                <w:rFonts w:ascii="Arial" w:hAnsi="Arial" w:cs="Arial"/>
              </w:rPr>
              <w:t>68</w:t>
            </w:r>
          </w:p>
        </w:tc>
      </w:tr>
      <w:tr w:rsidR="00B26BB1" w:rsidRPr="00723FDB" w:rsidTr="008C02E3">
        <w:trPr>
          <w:jc w:val="center"/>
        </w:trPr>
        <w:tc>
          <w:tcPr>
            <w:tcW w:w="297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B26BB1" w:rsidRPr="00AB371A" w:rsidRDefault="00B26BB1" w:rsidP="008C02E3">
            <w:pPr>
              <w:pStyle w:val="bodycopy"/>
              <w:spacing w:after="0" w:line="240" w:lineRule="auto"/>
              <w:rPr>
                <w:rFonts w:ascii="Arial" w:hAnsi="Arial" w:cs="Arial"/>
              </w:rPr>
            </w:pPr>
            <w:r>
              <w:rPr>
                <w:rFonts w:ascii="Arial" w:hAnsi="Arial" w:cs="Arial"/>
              </w:rPr>
              <w:t>Taxation</w:t>
            </w:r>
          </w:p>
        </w:tc>
        <w:tc>
          <w:tcPr>
            <w:tcW w:w="118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B26BB1" w:rsidRPr="00AB371A" w:rsidRDefault="00B26BB1" w:rsidP="008C02E3">
            <w:pPr>
              <w:pStyle w:val="bodycopy"/>
              <w:spacing w:after="0" w:line="240" w:lineRule="auto"/>
              <w:jc w:val="right"/>
              <w:rPr>
                <w:rFonts w:ascii="Arial" w:hAnsi="Arial" w:cs="Arial"/>
              </w:rPr>
            </w:pPr>
          </w:p>
        </w:tc>
        <w:tc>
          <w:tcPr>
            <w:tcW w:w="118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B26BB1" w:rsidRPr="00AB371A" w:rsidRDefault="00B26BB1" w:rsidP="008C02E3">
            <w:pPr>
              <w:pStyle w:val="bodycopy"/>
              <w:spacing w:after="0" w:line="240" w:lineRule="auto"/>
              <w:jc w:val="right"/>
              <w:rPr>
                <w:rFonts w:ascii="Arial" w:hAnsi="Arial" w:cs="Arial"/>
              </w:rPr>
            </w:pPr>
          </w:p>
        </w:tc>
        <w:tc>
          <w:tcPr>
            <w:tcW w:w="118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B26BB1" w:rsidRPr="00AB371A" w:rsidRDefault="00B26BB1" w:rsidP="008C02E3">
            <w:pPr>
              <w:pStyle w:val="bodycopy"/>
              <w:spacing w:after="0" w:line="240" w:lineRule="auto"/>
              <w:jc w:val="right"/>
              <w:rPr>
                <w:rFonts w:ascii="Arial" w:hAnsi="Arial" w:cs="Arial"/>
              </w:rPr>
            </w:pPr>
          </w:p>
        </w:tc>
        <w:tc>
          <w:tcPr>
            <w:tcW w:w="11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B26BB1" w:rsidRPr="00AB371A" w:rsidRDefault="00B26BB1" w:rsidP="008C02E3">
            <w:pPr>
              <w:pStyle w:val="bodycopy"/>
              <w:spacing w:after="0" w:line="240" w:lineRule="auto"/>
              <w:jc w:val="right"/>
              <w:rPr>
                <w:rFonts w:ascii="Arial" w:hAnsi="Arial" w:cs="Arial"/>
              </w:rPr>
            </w:pPr>
          </w:p>
        </w:tc>
      </w:tr>
      <w:tr w:rsidR="00B26BB1" w:rsidRPr="00723FDB" w:rsidTr="008C02E3">
        <w:trPr>
          <w:jc w:val="center"/>
        </w:trPr>
        <w:tc>
          <w:tcPr>
            <w:tcW w:w="297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B26BB1" w:rsidRPr="00AB371A" w:rsidRDefault="00B26BB1" w:rsidP="008C02E3">
            <w:pPr>
              <w:pStyle w:val="bodycopy"/>
              <w:spacing w:after="0" w:line="240" w:lineRule="auto"/>
              <w:ind w:left="142"/>
              <w:rPr>
                <w:rFonts w:ascii="Arial" w:hAnsi="Arial" w:cs="Arial"/>
              </w:rPr>
            </w:pPr>
            <w:r w:rsidRPr="00AB371A">
              <w:rPr>
                <w:rFonts w:ascii="Arial" w:hAnsi="Arial" w:cs="Arial"/>
              </w:rPr>
              <w:t>Taxation Appeals Division</w:t>
            </w:r>
          </w:p>
        </w:tc>
        <w:tc>
          <w:tcPr>
            <w:tcW w:w="118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B26BB1" w:rsidRPr="00AB371A" w:rsidRDefault="00B26BB1" w:rsidP="008C02E3">
            <w:pPr>
              <w:pStyle w:val="bodycopy"/>
              <w:spacing w:after="0" w:line="240" w:lineRule="auto"/>
              <w:jc w:val="right"/>
              <w:rPr>
                <w:rFonts w:ascii="Arial" w:hAnsi="Arial" w:cs="Arial"/>
              </w:rPr>
            </w:pPr>
            <w:r w:rsidRPr="00AB371A">
              <w:rPr>
                <w:rFonts w:ascii="Arial" w:hAnsi="Arial" w:cs="Arial"/>
              </w:rPr>
              <w:t>75</w:t>
            </w:r>
          </w:p>
        </w:tc>
        <w:tc>
          <w:tcPr>
            <w:tcW w:w="118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B26BB1" w:rsidRPr="00AB371A" w:rsidRDefault="00B26BB1" w:rsidP="008C02E3">
            <w:pPr>
              <w:pStyle w:val="bodycopy"/>
              <w:spacing w:after="0" w:line="240" w:lineRule="auto"/>
              <w:jc w:val="right"/>
              <w:rPr>
                <w:rFonts w:ascii="Arial" w:hAnsi="Arial" w:cs="Arial"/>
              </w:rPr>
            </w:pPr>
            <w:r w:rsidRPr="00AB371A">
              <w:rPr>
                <w:rFonts w:ascii="Arial" w:hAnsi="Arial" w:cs="Arial"/>
              </w:rPr>
              <w:t>47</w:t>
            </w:r>
          </w:p>
        </w:tc>
        <w:tc>
          <w:tcPr>
            <w:tcW w:w="118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B26BB1" w:rsidRPr="00AB371A" w:rsidRDefault="00B26BB1" w:rsidP="008C02E3">
            <w:pPr>
              <w:pStyle w:val="bodycopy"/>
              <w:spacing w:after="0" w:line="240" w:lineRule="auto"/>
              <w:jc w:val="right"/>
              <w:rPr>
                <w:rFonts w:ascii="Arial" w:hAnsi="Arial" w:cs="Arial"/>
              </w:rPr>
            </w:pPr>
            <w:r w:rsidRPr="00AB371A">
              <w:rPr>
                <w:rFonts w:ascii="Arial" w:hAnsi="Arial" w:cs="Arial"/>
              </w:rPr>
              <w:t>65</w:t>
            </w:r>
          </w:p>
        </w:tc>
        <w:tc>
          <w:tcPr>
            <w:tcW w:w="11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B26BB1" w:rsidRPr="00AB371A" w:rsidRDefault="00B26BB1" w:rsidP="008C02E3">
            <w:pPr>
              <w:pStyle w:val="bodycopy"/>
              <w:spacing w:after="0" w:line="240" w:lineRule="auto"/>
              <w:jc w:val="right"/>
              <w:rPr>
                <w:rFonts w:ascii="Arial" w:hAnsi="Arial" w:cs="Arial"/>
              </w:rPr>
            </w:pPr>
            <w:r w:rsidRPr="00AB371A">
              <w:rPr>
                <w:rFonts w:ascii="Arial" w:hAnsi="Arial" w:cs="Arial"/>
              </w:rPr>
              <w:t>67</w:t>
            </w:r>
          </w:p>
        </w:tc>
      </w:tr>
      <w:tr w:rsidR="00B26BB1" w:rsidRPr="00723FDB" w:rsidTr="008C02E3">
        <w:trPr>
          <w:jc w:val="center"/>
        </w:trPr>
        <w:tc>
          <w:tcPr>
            <w:tcW w:w="297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B26BB1" w:rsidRPr="00AB371A" w:rsidRDefault="00B26BB1" w:rsidP="008C02E3">
            <w:pPr>
              <w:pStyle w:val="bodycopy"/>
              <w:spacing w:after="0" w:line="240" w:lineRule="auto"/>
              <w:ind w:left="142"/>
              <w:rPr>
                <w:rFonts w:ascii="Arial" w:hAnsi="Arial" w:cs="Arial"/>
              </w:rPr>
            </w:pPr>
            <w:r w:rsidRPr="00AB371A">
              <w:rPr>
                <w:rFonts w:ascii="Arial" w:hAnsi="Arial" w:cs="Arial"/>
              </w:rPr>
              <w:t>Small Taxation Claims Tribunal</w:t>
            </w:r>
          </w:p>
        </w:tc>
        <w:tc>
          <w:tcPr>
            <w:tcW w:w="118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B26BB1" w:rsidRPr="00AB371A" w:rsidRDefault="00B26BB1" w:rsidP="008C02E3">
            <w:pPr>
              <w:pStyle w:val="bodycopy"/>
              <w:spacing w:after="0" w:line="240" w:lineRule="auto"/>
              <w:jc w:val="right"/>
              <w:rPr>
                <w:rFonts w:ascii="Arial" w:hAnsi="Arial" w:cs="Arial"/>
              </w:rPr>
            </w:pPr>
            <w:r w:rsidRPr="00AB371A">
              <w:rPr>
                <w:rFonts w:ascii="Arial" w:hAnsi="Arial" w:cs="Arial"/>
              </w:rPr>
              <w:t>–</w:t>
            </w:r>
          </w:p>
        </w:tc>
        <w:tc>
          <w:tcPr>
            <w:tcW w:w="118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B26BB1" w:rsidRPr="00AB371A" w:rsidRDefault="00B26BB1" w:rsidP="008C02E3">
            <w:pPr>
              <w:pStyle w:val="bodycopy"/>
              <w:spacing w:after="0" w:line="240" w:lineRule="auto"/>
              <w:jc w:val="right"/>
              <w:rPr>
                <w:rFonts w:ascii="Arial" w:hAnsi="Arial" w:cs="Arial"/>
              </w:rPr>
            </w:pPr>
            <w:r w:rsidRPr="00AB371A">
              <w:rPr>
                <w:rFonts w:ascii="Arial" w:hAnsi="Arial" w:cs="Arial"/>
              </w:rPr>
              <w:t>40</w:t>
            </w:r>
          </w:p>
        </w:tc>
        <w:tc>
          <w:tcPr>
            <w:tcW w:w="118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B26BB1" w:rsidRPr="00AB371A" w:rsidRDefault="00B26BB1" w:rsidP="008C02E3">
            <w:pPr>
              <w:pStyle w:val="bodycopy"/>
              <w:spacing w:after="0" w:line="240" w:lineRule="auto"/>
              <w:jc w:val="right"/>
              <w:rPr>
                <w:rFonts w:ascii="Arial" w:hAnsi="Arial" w:cs="Arial"/>
              </w:rPr>
            </w:pPr>
            <w:r w:rsidRPr="00AB371A">
              <w:rPr>
                <w:rFonts w:ascii="Arial" w:hAnsi="Arial" w:cs="Arial"/>
              </w:rPr>
              <w:t>41</w:t>
            </w:r>
          </w:p>
        </w:tc>
        <w:tc>
          <w:tcPr>
            <w:tcW w:w="11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B26BB1" w:rsidRPr="00AB371A" w:rsidRDefault="00B26BB1" w:rsidP="008C02E3">
            <w:pPr>
              <w:pStyle w:val="bodycopy"/>
              <w:spacing w:after="0" w:line="240" w:lineRule="auto"/>
              <w:jc w:val="right"/>
              <w:rPr>
                <w:rFonts w:ascii="Arial" w:hAnsi="Arial" w:cs="Arial"/>
              </w:rPr>
            </w:pPr>
            <w:r w:rsidRPr="00AB371A">
              <w:rPr>
                <w:rFonts w:ascii="Arial" w:hAnsi="Arial" w:cs="Arial"/>
              </w:rPr>
              <w:t>27</w:t>
            </w:r>
          </w:p>
        </w:tc>
      </w:tr>
      <w:tr w:rsidR="00B26BB1" w:rsidRPr="00723FDB" w:rsidTr="008C02E3">
        <w:trPr>
          <w:jc w:val="center"/>
        </w:trPr>
        <w:tc>
          <w:tcPr>
            <w:tcW w:w="297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B26BB1" w:rsidRPr="00AB371A" w:rsidRDefault="00B26BB1" w:rsidP="00F2435F">
            <w:pPr>
              <w:pStyle w:val="bodycopy"/>
              <w:spacing w:after="0" w:line="240" w:lineRule="auto"/>
              <w:rPr>
                <w:rFonts w:ascii="Arial" w:hAnsi="Arial" w:cs="Arial"/>
              </w:rPr>
            </w:pPr>
            <w:r w:rsidRPr="00AB371A">
              <w:rPr>
                <w:rFonts w:ascii="Arial" w:hAnsi="Arial" w:cs="Arial"/>
              </w:rPr>
              <w:t>All</w:t>
            </w:r>
          </w:p>
        </w:tc>
        <w:tc>
          <w:tcPr>
            <w:tcW w:w="118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B26BB1" w:rsidRPr="00AB371A" w:rsidRDefault="00B26BB1" w:rsidP="008C02E3">
            <w:pPr>
              <w:pStyle w:val="bodycopy"/>
              <w:spacing w:after="0" w:line="240" w:lineRule="auto"/>
              <w:jc w:val="right"/>
              <w:rPr>
                <w:rFonts w:ascii="Arial" w:hAnsi="Arial" w:cs="Arial"/>
              </w:rPr>
            </w:pPr>
            <w:r w:rsidRPr="00AB371A">
              <w:rPr>
                <w:rFonts w:ascii="Arial" w:hAnsi="Arial" w:cs="Arial"/>
              </w:rPr>
              <w:t>–</w:t>
            </w:r>
          </w:p>
        </w:tc>
        <w:tc>
          <w:tcPr>
            <w:tcW w:w="118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B26BB1" w:rsidRPr="00AB371A" w:rsidRDefault="00B26BB1" w:rsidP="008C02E3">
            <w:pPr>
              <w:pStyle w:val="bodycopy"/>
              <w:spacing w:after="0" w:line="240" w:lineRule="auto"/>
              <w:jc w:val="right"/>
              <w:rPr>
                <w:rFonts w:ascii="Arial" w:hAnsi="Arial" w:cs="Arial"/>
              </w:rPr>
            </w:pPr>
            <w:r w:rsidRPr="00AB371A">
              <w:rPr>
                <w:rFonts w:ascii="Arial" w:hAnsi="Arial" w:cs="Arial"/>
              </w:rPr>
              <w:t>72</w:t>
            </w:r>
          </w:p>
        </w:tc>
        <w:tc>
          <w:tcPr>
            <w:tcW w:w="118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B26BB1" w:rsidRPr="00AB371A" w:rsidRDefault="00B26BB1" w:rsidP="008C02E3">
            <w:pPr>
              <w:pStyle w:val="bodycopy"/>
              <w:spacing w:after="0" w:line="240" w:lineRule="auto"/>
              <w:jc w:val="right"/>
              <w:rPr>
                <w:rFonts w:ascii="Arial" w:hAnsi="Arial" w:cs="Arial"/>
              </w:rPr>
            </w:pPr>
            <w:r w:rsidRPr="00AB371A">
              <w:rPr>
                <w:rFonts w:ascii="Arial" w:hAnsi="Arial" w:cs="Arial"/>
              </w:rPr>
              <w:t>78</w:t>
            </w:r>
          </w:p>
        </w:tc>
        <w:tc>
          <w:tcPr>
            <w:tcW w:w="11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B26BB1" w:rsidRPr="00AB371A" w:rsidRDefault="00B26BB1" w:rsidP="008C02E3">
            <w:pPr>
              <w:pStyle w:val="bodycopy"/>
              <w:spacing w:after="0" w:line="240" w:lineRule="auto"/>
              <w:jc w:val="right"/>
              <w:rPr>
                <w:rFonts w:ascii="Arial" w:hAnsi="Arial" w:cs="Arial"/>
              </w:rPr>
            </w:pPr>
            <w:r w:rsidRPr="00AB371A">
              <w:rPr>
                <w:rFonts w:ascii="Arial" w:hAnsi="Arial" w:cs="Arial"/>
              </w:rPr>
              <w:t>76</w:t>
            </w:r>
          </w:p>
        </w:tc>
      </w:tr>
    </w:tbl>
    <w:p w:rsidR="00B26BB1" w:rsidRDefault="00B26BB1" w:rsidP="00B26BB1"/>
    <w:p w:rsidR="00B26BB1" w:rsidRDefault="00B26BB1" w:rsidP="00B26BB1">
      <w:r>
        <w:t xml:space="preserve">Timeliness varies across jurisdictions and relates closely to the nature and complexity of the issues in dispute.  </w:t>
      </w:r>
    </w:p>
    <w:p w:rsidR="00B26BB1" w:rsidRDefault="00B26BB1" w:rsidP="00B26BB1">
      <w:r>
        <w:t xml:space="preserve">One of the key features of the </w:t>
      </w:r>
      <w:r>
        <w:rPr>
          <w:i/>
        </w:rPr>
        <w:t xml:space="preserve">de novo </w:t>
      </w:r>
      <w:r>
        <w:t xml:space="preserve">merits review process is the opportunity given to the parties to provide </w:t>
      </w:r>
      <w:r w:rsidRPr="00352708">
        <w:t xml:space="preserve">new evidence that is relevant to the decision to be reviewed. </w:t>
      </w:r>
      <w:r>
        <w:t xml:space="preserve"> The </w:t>
      </w:r>
      <w:r>
        <w:lastRenderedPageBreak/>
        <w:t>additional material helps the parties to reach an agreed outcome and assists the AAT to make the</w:t>
      </w:r>
      <w:r w:rsidR="000F6453">
        <w:t xml:space="preserve"> correct or preferable decision</w:t>
      </w:r>
      <w:r>
        <w:t xml:space="preserve"> in relation to applications when they proceed to hearing.  </w:t>
      </w:r>
    </w:p>
    <w:p w:rsidR="00B26BB1" w:rsidRDefault="00B26BB1" w:rsidP="00B26BB1">
      <w:r w:rsidRPr="002E6DEA">
        <w:t xml:space="preserve">The pace that applications progress through the pre-hearing stage is heavily influenced by the time the parties need to obtain expert evidence, undertake other investigations and gather relevant material. </w:t>
      </w:r>
      <w:r>
        <w:t xml:space="preserve"> Jurisdictions in which significant additional evidentiary material is routinely provided are more likely to take longer to finalise.  For example, the procurement of expert medical reports in workers</w:t>
      </w:r>
      <w:r w:rsidR="009767CC">
        <w:t>’</w:t>
      </w:r>
      <w:r>
        <w:t xml:space="preserve"> compensation and veterans’ affairs cases adds considerable time to the review process.</w:t>
      </w:r>
      <w:r w:rsidRPr="002E6DEA">
        <w:t xml:space="preserve"> </w:t>
      </w:r>
    </w:p>
    <w:p w:rsidR="00B26BB1" w:rsidRDefault="00B26BB1" w:rsidP="00B26BB1">
      <w:r>
        <w:t xml:space="preserve">There are a range of other reasons why an application may not be finalised within the </w:t>
      </w:r>
      <w:r w:rsidR="000F6CC7">
        <w:t>AAT</w:t>
      </w:r>
      <w:r>
        <w:t xml:space="preserve">’s time standards.  </w:t>
      </w:r>
      <w:r w:rsidRPr="002E6DEA">
        <w:t xml:space="preserve">Some applications are delayed pending a decision by a </w:t>
      </w:r>
      <w:r>
        <w:t>decision-maker</w:t>
      </w:r>
      <w:r w:rsidRPr="002E6DEA">
        <w:t xml:space="preserve"> on a related matter or the decision of a court in a test case, or by criminal proceedings. There are matters where additional time is required to allow the parties further opportunities to resolve the dispute without a hearing. </w:t>
      </w:r>
    </w:p>
    <w:p w:rsidR="00B26BB1" w:rsidRDefault="00B26BB1" w:rsidP="00B26BB1">
      <w:r w:rsidRPr="002E6DEA">
        <w:t xml:space="preserve">Delays also occur when parties cannot proceed because of illness or other adverse circumstances. The </w:t>
      </w:r>
      <w:r w:rsidR="000F6CC7">
        <w:t>AAT</w:t>
      </w:r>
      <w:r w:rsidRPr="002E6DEA">
        <w:t>’s ability to list hearings in a timely manner is affected generally by the availability of parties, representatives and witnesses for the hearing. Delays in the delivery of decisions following a hearing can also contribute to delays in finalising applications.</w:t>
      </w:r>
    </w:p>
    <w:p w:rsidR="00B26BB1" w:rsidRDefault="00B26BB1" w:rsidP="00B26BB1">
      <w:r>
        <w:t xml:space="preserve">The STCT was established with a view to providing </w:t>
      </w:r>
      <w:r w:rsidRPr="00477C4F">
        <w:t xml:space="preserve">quick and inexpensive review of </w:t>
      </w:r>
      <w:r>
        <w:t>certain tax</w:t>
      </w:r>
      <w:r w:rsidRPr="00477C4F">
        <w:t xml:space="preserve"> decisions</w:t>
      </w:r>
      <w:r>
        <w:t>, particularly where the amount of tax in dispute is low.  The AAT’s experience over time is that the 12-week time standard for finalising cases can be difficult to achieve.  While the amount of tax in dispute in the case may not be large, the issues in dispute can be complex and additional time is required to gather relevant material and resolve the dispute.</w:t>
      </w:r>
    </w:p>
    <w:p w:rsidR="00B26BB1" w:rsidRDefault="00B26BB1" w:rsidP="00B26BB1">
      <w:r w:rsidRPr="009B63B9">
        <w:t xml:space="preserve">The </w:t>
      </w:r>
      <w:r w:rsidR="000F6CC7">
        <w:t>AAT</w:t>
      </w:r>
      <w:r w:rsidRPr="009B63B9">
        <w:t xml:space="preserve"> monitor</w:t>
      </w:r>
      <w:r>
        <w:t>s closely</w:t>
      </w:r>
      <w:r w:rsidRPr="009B63B9">
        <w:t xml:space="preserve"> the time</w:t>
      </w:r>
      <w:r>
        <w:t>liness of the review process and works with stakeholders on identifying strategies for minimising avoidable delays.</w:t>
      </w:r>
    </w:p>
    <w:p w:rsidR="00B26BB1" w:rsidRDefault="00B26BB1" w:rsidP="00B26BB1">
      <w:r>
        <w:t>The AAT seeks feedback from parties and representatives about the timeliness of the review process in user satisfaction studies.  The most recent survey was undertaken with individuals and representatives who were involved in applications for review finalised in 2011.</w:t>
      </w:r>
      <w:r>
        <w:rPr>
          <w:rStyle w:val="FootnoteReference"/>
        </w:rPr>
        <w:footnoteReference w:id="14"/>
      </w:r>
      <w:r>
        <w:t xml:space="preserve">  Among individuals, 56 per cent considered the review took about the right time or less time than expected.  While 44 per cent expressed the view that the review took too long, this can be seen in the context that more than half thought the review would take less than three months and, overall, 80 per cent of applicants thought the review would take less than six months.  Among representatives, 89 per cent considered that reviews take about the right or less time than expected.</w:t>
      </w:r>
      <w:r w:rsidR="00AD69AD">
        <w:t xml:space="preserve"> The AAT’s </w:t>
      </w:r>
      <w:r w:rsidR="002007AE">
        <w:t>P</w:t>
      </w:r>
      <w:r w:rsidR="00AD69AD">
        <w:t xml:space="preserve">ractice and </w:t>
      </w:r>
      <w:r w:rsidR="002007AE">
        <w:t>P</w:t>
      </w:r>
      <w:r w:rsidR="00AD69AD">
        <w:t xml:space="preserve">rocedure </w:t>
      </w:r>
      <w:r w:rsidR="002007AE">
        <w:t>C</w:t>
      </w:r>
      <w:r w:rsidR="00AD69AD">
        <w:t xml:space="preserve">ommittee is currently drafting a </w:t>
      </w:r>
      <w:r w:rsidR="009767CC">
        <w:t>p</w:t>
      </w:r>
      <w:r w:rsidR="00AD69AD">
        <w:t xml:space="preserve">ractice </w:t>
      </w:r>
      <w:r w:rsidR="009767CC">
        <w:t>d</w:t>
      </w:r>
      <w:r w:rsidR="00AD69AD">
        <w:t>irection to formalise the entitlement of a party to seek an expedited hearing.</w:t>
      </w:r>
    </w:p>
    <w:p w:rsidR="00B26BB1" w:rsidRPr="00B26BB1" w:rsidRDefault="00B26BB1" w:rsidP="00BF77D7">
      <w:pPr>
        <w:pStyle w:val="Heading2"/>
        <w:rPr>
          <w:rFonts w:hint="eastAsia"/>
          <w:i/>
        </w:rPr>
      </w:pPr>
      <w:r w:rsidRPr="00B26BB1">
        <w:lastRenderedPageBreak/>
        <w:t>6.</w:t>
      </w:r>
      <w:r w:rsidRPr="00B26BB1">
        <w:tab/>
        <w:t>Other aspects of practice and procedure in the AAT</w:t>
      </w:r>
    </w:p>
    <w:p w:rsidR="00B26BB1" w:rsidRDefault="00B26BB1" w:rsidP="00B26BB1">
      <w:r>
        <w:t xml:space="preserve">The </w:t>
      </w:r>
      <w:r w:rsidR="009767CC">
        <w:t xml:space="preserve">Commission’s </w:t>
      </w:r>
      <w:r>
        <w:t>Issues Paper notes a number of factors that affect the accessibility of courts.  This section of the submission provides information on some of those factors in the AAT context.</w:t>
      </w:r>
    </w:p>
    <w:p w:rsidR="00B26BB1" w:rsidRDefault="00B26BB1" w:rsidP="00B26BB1">
      <w:pPr>
        <w:pStyle w:val="Heading3"/>
      </w:pPr>
      <w:r>
        <w:t>6.1</w:t>
      </w:r>
      <w:r>
        <w:tab/>
        <w:t xml:space="preserve">Case management </w:t>
      </w:r>
    </w:p>
    <w:p w:rsidR="00B26BB1" w:rsidRDefault="00B26BB1" w:rsidP="00B26BB1">
      <w:pPr>
        <w:rPr>
          <w:lang w:eastAsia="en-AU"/>
        </w:rPr>
      </w:pPr>
      <w:r>
        <w:rPr>
          <w:lang w:eastAsia="en-AU"/>
        </w:rPr>
        <w:t xml:space="preserve">Given the diversity in the types of decisions the AAT reviews, </w:t>
      </w:r>
      <w:r w:rsidRPr="00D466C7">
        <w:rPr>
          <w:lang w:eastAsia="en-AU"/>
        </w:rPr>
        <w:t>the different types of people involved in applications for review</w:t>
      </w:r>
      <w:r>
        <w:rPr>
          <w:lang w:eastAsia="en-AU"/>
        </w:rPr>
        <w:t xml:space="preserve"> and variations in the level of complexity of the factual and legal issues that may be in dispute</w:t>
      </w:r>
      <w:r w:rsidRPr="00D466C7">
        <w:rPr>
          <w:lang w:eastAsia="en-AU"/>
        </w:rPr>
        <w:t>, fl</w:t>
      </w:r>
      <w:r w:rsidR="002C25E5">
        <w:rPr>
          <w:lang w:eastAsia="en-AU"/>
        </w:rPr>
        <w:t>exibility is the key to the AAT’</w:t>
      </w:r>
      <w:r w:rsidRPr="00D466C7">
        <w:rPr>
          <w:lang w:eastAsia="en-AU"/>
        </w:rPr>
        <w:t xml:space="preserve">s approach to </w:t>
      </w:r>
      <w:r>
        <w:rPr>
          <w:lang w:eastAsia="en-AU"/>
        </w:rPr>
        <w:t>case management</w:t>
      </w:r>
      <w:r w:rsidRPr="00D466C7">
        <w:rPr>
          <w:lang w:eastAsia="en-AU"/>
        </w:rPr>
        <w:t xml:space="preserve">. The AAT must have flexible processes that </w:t>
      </w:r>
      <w:r>
        <w:rPr>
          <w:lang w:eastAsia="en-AU"/>
        </w:rPr>
        <w:t>ensure</w:t>
      </w:r>
      <w:r w:rsidRPr="00D466C7">
        <w:rPr>
          <w:lang w:eastAsia="en-AU"/>
        </w:rPr>
        <w:t xml:space="preserve"> each application </w:t>
      </w:r>
      <w:r>
        <w:rPr>
          <w:lang w:eastAsia="en-AU"/>
        </w:rPr>
        <w:t xml:space="preserve">is </w:t>
      </w:r>
      <w:r w:rsidRPr="00D466C7">
        <w:rPr>
          <w:lang w:eastAsia="en-AU"/>
        </w:rPr>
        <w:t>dealt with in the most appropriate manner.</w:t>
      </w:r>
      <w:r>
        <w:rPr>
          <w:lang w:eastAsia="en-AU"/>
        </w:rPr>
        <w:t xml:space="preserve">  </w:t>
      </w:r>
    </w:p>
    <w:p w:rsidR="00B26BB1" w:rsidRPr="00C3405F" w:rsidRDefault="00B26BB1" w:rsidP="00B26BB1">
      <w:pPr>
        <w:rPr>
          <w:lang w:eastAsia="en-AU"/>
        </w:rPr>
      </w:pPr>
      <w:r w:rsidRPr="00C3405F">
        <w:rPr>
          <w:lang w:eastAsia="en-AU"/>
        </w:rPr>
        <w:t xml:space="preserve">The </w:t>
      </w:r>
      <w:r>
        <w:rPr>
          <w:lang w:eastAsia="en-AU"/>
        </w:rPr>
        <w:t>AAT’s case management</w:t>
      </w:r>
      <w:r w:rsidRPr="00C3405F">
        <w:rPr>
          <w:lang w:eastAsia="en-AU"/>
        </w:rPr>
        <w:t xml:space="preserve"> process works well because of its flexibility.  It is a process that applies </w:t>
      </w:r>
      <w:r>
        <w:rPr>
          <w:lang w:eastAsia="en-AU"/>
        </w:rPr>
        <w:t>regardless of</w:t>
      </w:r>
      <w:r w:rsidRPr="00C3405F">
        <w:rPr>
          <w:lang w:eastAsia="en-AU"/>
        </w:rPr>
        <w:t xml:space="preserve"> the complexity of the issues raised by the decision under review and whether or not the parties are represented.  </w:t>
      </w:r>
      <w:r>
        <w:rPr>
          <w:lang w:eastAsia="en-AU"/>
        </w:rPr>
        <w:t xml:space="preserve">It ensures there is a </w:t>
      </w:r>
      <w:r w:rsidRPr="00C3405F">
        <w:rPr>
          <w:lang w:eastAsia="en-AU"/>
        </w:rPr>
        <w:t xml:space="preserve">focus on what is at issue and </w:t>
      </w:r>
      <w:r>
        <w:rPr>
          <w:lang w:eastAsia="en-AU"/>
        </w:rPr>
        <w:t xml:space="preserve">can be tailored </w:t>
      </w:r>
      <w:r w:rsidRPr="00C3405F">
        <w:rPr>
          <w:lang w:eastAsia="en-AU"/>
        </w:rPr>
        <w:t xml:space="preserve">to </w:t>
      </w:r>
      <w:r>
        <w:rPr>
          <w:lang w:eastAsia="en-AU"/>
        </w:rPr>
        <w:t>ensure the most</w:t>
      </w:r>
      <w:r w:rsidRPr="00C3405F">
        <w:rPr>
          <w:lang w:eastAsia="en-AU"/>
        </w:rPr>
        <w:t xml:space="preserve"> effective and efficient manner</w:t>
      </w:r>
      <w:r>
        <w:rPr>
          <w:lang w:eastAsia="en-AU"/>
        </w:rPr>
        <w:t xml:space="preserve"> for resolving the application is pursued</w:t>
      </w:r>
      <w:r w:rsidRPr="00C3405F">
        <w:rPr>
          <w:lang w:eastAsia="en-AU"/>
        </w:rPr>
        <w:t>.</w:t>
      </w:r>
    </w:p>
    <w:p w:rsidR="00B26BB1" w:rsidRDefault="00B26BB1" w:rsidP="00B26BB1">
      <w:r>
        <w:t>The AAT seeks to ensure that each review proceeds to finalisation in a way that is fair and just but also makes the most efficient use of the resources</w:t>
      </w:r>
      <w:r w:rsidRPr="009F1120">
        <w:t xml:space="preserve"> </w:t>
      </w:r>
      <w:r>
        <w:t>and time of the parties and the AAT. This is consistent with the AAT’s overarching statutory objective.  The AAT has a wide discretion to determine its procedure and the power to direct parties as to how a review will proceed.</w:t>
      </w:r>
      <w:r>
        <w:rPr>
          <w:rStyle w:val="FootnoteReference"/>
        </w:rPr>
        <w:footnoteReference w:id="15"/>
      </w:r>
    </w:p>
    <w:p w:rsidR="00B26BB1" w:rsidRDefault="00B26BB1" w:rsidP="00B26BB1">
      <w:r>
        <w:t xml:space="preserve">The AAT’s view is that there </w:t>
      </w:r>
      <w:r w:rsidR="009767CC">
        <w:t xml:space="preserve">would be </w:t>
      </w:r>
      <w:r>
        <w:t xml:space="preserve">value in making explicit in its governing legislation not only the responsibilities of the AAT but also the responsibilities of parties and their representatives to help facilitate a review process that is fair, just, economical, informal and quick.  There </w:t>
      </w:r>
      <w:r w:rsidR="009767CC">
        <w:t xml:space="preserve">would be </w:t>
      </w:r>
      <w:r>
        <w:t>benefit in referring explicitly to the types of</w:t>
      </w:r>
      <w:r w:rsidRPr="00354731">
        <w:t xml:space="preserve"> </w:t>
      </w:r>
      <w:r>
        <w:t>directions that may be made and other powers that may be exercised to support this approach.</w:t>
      </w:r>
    </w:p>
    <w:p w:rsidR="00B26BB1" w:rsidRDefault="00B26BB1" w:rsidP="00B26BB1">
      <w:r>
        <w:t xml:space="preserve">Provisions of the kind set out in Part VB of the </w:t>
      </w:r>
      <w:r w:rsidRPr="003D3A16">
        <w:rPr>
          <w:i/>
        </w:rPr>
        <w:t>Federal Court of Australia Act 1976</w:t>
      </w:r>
      <w:r>
        <w:t xml:space="preserve"> provide a model that could be adapted for the AAT.</w:t>
      </w:r>
      <w:r w:rsidR="002C25E5">
        <w:rPr>
          <w:rStyle w:val="FootnoteReference"/>
        </w:rPr>
        <w:footnoteReference w:id="16"/>
      </w:r>
      <w:r>
        <w:t xml:space="preserve">  </w:t>
      </w:r>
      <w:r w:rsidR="00CC0102">
        <w:t>They include</w:t>
      </w:r>
      <w:r w:rsidRPr="00A54B4D">
        <w:t xml:space="preserve"> </w:t>
      </w:r>
      <w:r w:rsidR="00CC0102">
        <w:t xml:space="preserve">a statement of </w:t>
      </w:r>
      <w:r w:rsidRPr="00A54B4D">
        <w:t xml:space="preserve">the overarching purpose of the civil practice and procedure provisions </w:t>
      </w:r>
      <w:r w:rsidR="00CC0102">
        <w:t>with the identification of some</w:t>
      </w:r>
      <w:r>
        <w:t xml:space="preserve"> specific objectives that fall within the scope of this purpose.  </w:t>
      </w:r>
      <w:r w:rsidR="00CC0102">
        <w:t>T</w:t>
      </w:r>
      <w:r w:rsidRPr="00A15519">
        <w:t xml:space="preserve">he parties and their lawyers </w:t>
      </w:r>
      <w:r w:rsidR="00CC0102">
        <w:t xml:space="preserve">are required to </w:t>
      </w:r>
      <w:r w:rsidRPr="00A15519">
        <w:t>conduct the proceeding in a way that is consistent with the overarching purpose</w:t>
      </w:r>
      <w:r>
        <w:t xml:space="preserve">.  </w:t>
      </w:r>
      <w:r w:rsidR="00CC0102">
        <w:t>T</w:t>
      </w:r>
      <w:r>
        <w:t>he kinds of directions that may be made and options for dealing with a failure to comply</w:t>
      </w:r>
      <w:r w:rsidR="00CC0102">
        <w:t xml:space="preserve"> are set out</w:t>
      </w:r>
      <w:r>
        <w:t>.</w:t>
      </w:r>
    </w:p>
    <w:p w:rsidR="00B26BB1" w:rsidRDefault="00B26BB1" w:rsidP="00B26BB1">
      <w:r>
        <w:t xml:space="preserve">The AAT Act currently specifies that decision-makers must </w:t>
      </w:r>
      <w:r w:rsidRPr="00182EB0">
        <w:t xml:space="preserve">use their best endeavours to assist the </w:t>
      </w:r>
      <w:r>
        <w:t>AAT</w:t>
      </w:r>
      <w:r w:rsidRPr="00182EB0">
        <w:t xml:space="preserve"> to make its decision in relation to the proceeding before it</w:t>
      </w:r>
      <w:r>
        <w:t>.</w:t>
      </w:r>
      <w:r>
        <w:rPr>
          <w:rStyle w:val="FootnoteReference"/>
        </w:rPr>
        <w:footnoteReference w:id="17"/>
      </w:r>
      <w:r>
        <w:t xml:space="preserve">  This is an important and valuable requirement that reflects the particular role of a decision-maker in administrative review proceedings.  It is supported by the Australian Government’s </w:t>
      </w:r>
      <w:r>
        <w:lastRenderedPageBreak/>
        <w:t>Model Litigant Obligations which also include a specific reference to it.</w:t>
      </w:r>
      <w:r>
        <w:rPr>
          <w:rStyle w:val="FootnoteReference"/>
        </w:rPr>
        <w:footnoteReference w:id="18"/>
      </w:r>
      <w:r>
        <w:t xml:space="preserve">  The introduction of a broader set of provisions which addresses the responsibilities of all parties to a review would supplement this existing obligation and clarify the role and powers of the AAT to pursue its statutory objective.</w:t>
      </w:r>
    </w:p>
    <w:p w:rsidR="00B26BB1" w:rsidRDefault="00B26BB1" w:rsidP="00B26BB1">
      <w:pPr>
        <w:pStyle w:val="Heading3"/>
      </w:pPr>
      <w:r>
        <w:t>6.2</w:t>
      </w:r>
      <w:r>
        <w:tab/>
        <w:t>Expert evidence</w:t>
      </w:r>
    </w:p>
    <w:p w:rsidR="00B26BB1" w:rsidRDefault="00B26BB1" w:rsidP="00B26BB1">
      <w:pPr>
        <w:rPr>
          <w:lang w:val="en-GB"/>
        </w:rPr>
      </w:pPr>
      <w:r w:rsidRPr="000F11B3">
        <w:rPr>
          <w:lang w:val="en-GB"/>
        </w:rPr>
        <w:t xml:space="preserve">A broad range of expert evidence can be relevant to applications in the AAT.  By far the most common form is expert medical evidence which is relied on principally in veterans’ entitlements cases, workers’ compensation applications and certain types of social security matters.  </w:t>
      </w:r>
    </w:p>
    <w:p w:rsidR="00B26BB1" w:rsidRPr="000F11B3" w:rsidRDefault="00B26BB1" w:rsidP="00B26BB1">
      <w:pPr>
        <w:rPr>
          <w:lang w:val="en-GB"/>
        </w:rPr>
      </w:pPr>
      <w:r>
        <w:rPr>
          <w:lang w:val="en-GB"/>
        </w:rPr>
        <w:t>T</w:t>
      </w:r>
      <w:r w:rsidRPr="000F11B3">
        <w:rPr>
          <w:lang w:val="en-GB"/>
        </w:rPr>
        <w:t>he AAT explore</w:t>
      </w:r>
      <w:r>
        <w:rPr>
          <w:lang w:val="en-GB"/>
        </w:rPr>
        <w:t>s</w:t>
      </w:r>
      <w:r w:rsidRPr="000F11B3">
        <w:rPr>
          <w:lang w:val="en-GB"/>
        </w:rPr>
        <w:t xml:space="preserve"> with the parties </w:t>
      </w:r>
      <w:r>
        <w:rPr>
          <w:lang w:val="en-GB"/>
        </w:rPr>
        <w:t xml:space="preserve">what expert evidence will be obtained in the context of the particular issues in dispute in a case and will discuss </w:t>
      </w:r>
      <w:r w:rsidRPr="000F11B3">
        <w:rPr>
          <w:lang w:val="en-GB"/>
        </w:rPr>
        <w:t xml:space="preserve">whether a joint report </w:t>
      </w:r>
      <w:r>
        <w:rPr>
          <w:lang w:val="en-GB"/>
        </w:rPr>
        <w:t>may</w:t>
      </w:r>
      <w:r w:rsidRPr="000F11B3">
        <w:rPr>
          <w:lang w:val="en-GB"/>
        </w:rPr>
        <w:t xml:space="preserve"> be suitable</w:t>
      </w:r>
      <w:r>
        <w:rPr>
          <w:lang w:val="en-GB"/>
        </w:rPr>
        <w:t>.  T</w:t>
      </w:r>
      <w:r w:rsidRPr="000F11B3">
        <w:rPr>
          <w:lang w:val="en-GB"/>
        </w:rPr>
        <w:t>he norm</w:t>
      </w:r>
      <w:r>
        <w:rPr>
          <w:lang w:val="en-GB"/>
        </w:rPr>
        <w:t>, however,</w:t>
      </w:r>
      <w:r w:rsidRPr="000F11B3">
        <w:rPr>
          <w:lang w:val="en-GB"/>
        </w:rPr>
        <w:t xml:space="preserve"> is for parties to seek their own expert report if they consider this necessary.  </w:t>
      </w:r>
      <w:r>
        <w:rPr>
          <w:lang w:val="en-GB"/>
        </w:rPr>
        <w:t xml:space="preserve">Given the cost and time involved in obtaining expert evidence, the AAT believes there would be value in considering the powers that should be available to regulate the expert evidence to be lodged in a case.  </w:t>
      </w:r>
    </w:p>
    <w:p w:rsidR="00B26BB1" w:rsidRPr="000F11B3" w:rsidRDefault="00B26BB1" w:rsidP="00B26BB1">
      <w:pPr>
        <w:rPr>
          <w:lang w:val="en-GB"/>
        </w:rPr>
      </w:pPr>
      <w:r>
        <w:rPr>
          <w:lang w:val="en-GB"/>
        </w:rPr>
        <w:t xml:space="preserve">In relation to </w:t>
      </w:r>
      <w:r w:rsidR="002C25E5">
        <w:rPr>
          <w:lang w:val="en-GB"/>
        </w:rPr>
        <w:t xml:space="preserve">the </w:t>
      </w:r>
      <w:r>
        <w:rPr>
          <w:lang w:val="en-GB"/>
        </w:rPr>
        <w:t>way in which expert evidence is given at hearing, t</w:t>
      </w:r>
      <w:r w:rsidRPr="000F11B3">
        <w:rPr>
          <w:lang w:val="en-GB"/>
        </w:rPr>
        <w:t xml:space="preserve">he AAT has used </w:t>
      </w:r>
      <w:r>
        <w:rPr>
          <w:lang w:val="en-GB"/>
        </w:rPr>
        <w:t>the concurrent evidence procedure</w:t>
      </w:r>
      <w:r w:rsidRPr="000F11B3">
        <w:rPr>
          <w:lang w:val="en-GB"/>
        </w:rPr>
        <w:t xml:space="preserve"> over many years</w:t>
      </w:r>
      <w:r>
        <w:rPr>
          <w:lang w:val="en-GB"/>
        </w:rPr>
        <w:t xml:space="preserve">.  Having two or more experts give their evidence at the same time </w:t>
      </w:r>
      <w:r w:rsidRPr="000F11B3">
        <w:rPr>
          <w:lang w:val="en-GB"/>
        </w:rPr>
        <w:t xml:space="preserve">allows areas of agreement and disagreement and the reasons for any disagreement to be identified clearly.  </w:t>
      </w:r>
      <w:r>
        <w:rPr>
          <w:lang w:val="en-GB"/>
        </w:rPr>
        <w:t xml:space="preserve">In a </w:t>
      </w:r>
      <w:hyperlink r:id="rId13" w:history="1">
        <w:r w:rsidRPr="002C25E5">
          <w:rPr>
            <w:rStyle w:val="Hyperlink"/>
            <w:lang w:val="en-GB"/>
          </w:rPr>
          <w:t>study</w:t>
        </w:r>
      </w:hyperlink>
      <w:r w:rsidRPr="002C25E5">
        <w:rPr>
          <w:lang w:val="en-GB"/>
        </w:rPr>
        <w:t xml:space="preserve"> </w:t>
      </w:r>
      <w:r>
        <w:rPr>
          <w:lang w:val="en-GB"/>
        </w:rPr>
        <w:t xml:space="preserve">into the use of the procedure conducted by the AAT in 2005, </w:t>
      </w:r>
      <w:r w:rsidRPr="000F11B3">
        <w:rPr>
          <w:lang w:val="en-GB"/>
        </w:rPr>
        <w:t xml:space="preserve">members reported that </w:t>
      </w:r>
      <w:r>
        <w:rPr>
          <w:lang w:val="en-GB"/>
        </w:rPr>
        <w:t>the use of</w:t>
      </w:r>
      <w:r w:rsidRPr="00147E07">
        <w:rPr>
          <w:lang w:val="en-GB"/>
        </w:rPr>
        <w:t xml:space="preserve"> </w:t>
      </w:r>
      <w:r>
        <w:rPr>
          <w:lang w:val="en-GB"/>
        </w:rPr>
        <w:t xml:space="preserve">the </w:t>
      </w:r>
      <w:r w:rsidRPr="00147E07">
        <w:rPr>
          <w:lang w:val="en-GB"/>
        </w:rPr>
        <w:t>concurrent evidence procedure</w:t>
      </w:r>
      <w:r>
        <w:rPr>
          <w:lang w:val="en-GB"/>
        </w:rPr>
        <w:t xml:space="preserve"> improved </w:t>
      </w:r>
      <w:r w:rsidRPr="000F11B3">
        <w:rPr>
          <w:lang w:val="en-GB"/>
        </w:rPr>
        <w:t xml:space="preserve">the quality and objectivity of evidence and that </w:t>
      </w:r>
      <w:r>
        <w:rPr>
          <w:lang w:val="en-GB"/>
        </w:rPr>
        <w:t xml:space="preserve">as a result </w:t>
      </w:r>
      <w:r w:rsidRPr="000F11B3">
        <w:rPr>
          <w:lang w:val="en-GB"/>
        </w:rPr>
        <w:t>the decision-making process</w:t>
      </w:r>
      <w:r>
        <w:rPr>
          <w:lang w:val="en-GB"/>
        </w:rPr>
        <w:t xml:space="preserve"> ha</w:t>
      </w:r>
      <w:r w:rsidR="009767CC">
        <w:rPr>
          <w:lang w:val="en-GB"/>
        </w:rPr>
        <w:t>d</w:t>
      </w:r>
      <w:r>
        <w:rPr>
          <w:lang w:val="en-GB"/>
        </w:rPr>
        <w:t xml:space="preserve"> been enhanced</w:t>
      </w:r>
      <w:r w:rsidRPr="000F11B3">
        <w:rPr>
          <w:lang w:val="en-GB"/>
        </w:rPr>
        <w:t>.</w:t>
      </w:r>
      <w:r>
        <w:rPr>
          <w:lang w:val="en-GB"/>
        </w:rPr>
        <w:t xml:space="preserve">  </w:t>
      </w:r>
      <w:r w:rsidRPr="000F11B3">
        <w:rPr>
          <w:lang w:val="en-GB"/>
        </w:rPr>
        <w:t xml:space="preserve">In relation to the impact of the procedure on the length and cost of hearings, the </w:t>
      </w:r>
      <w:r>
        <w:rPr>
          <w:lang w:val="en-GB"/>
        </w:rPr>
        <w:t>AAT</w:t>
      </w:r>
      <w:r w:rsidRPr="000F11B3">
        <w:rPr>
          <w:lang w:val="en-GB"/>
        </w:rPr>
        <w:t>’s experience is that the concurrent evidence procedure can save significant amounts of hearing time</w:t>
      </w:r>
      <w:r>
        <w:rPr>
          <w:lang w:val="en-GB"/>
        </w:rPr>
        <w:t xml:space="preserve">, particularly </w:t>
      </w:r>
      <w:r w:rsidRPr="000F11B3">
        <w:rPr>
          <w:lang w:val="en-GB"/>
        </w:rPr>
        <w:t xml:space="preserve">in cases where the parties seek to call a large number of expert witnesses to give evidence.  </w:t>
      </w:r>
    </w:p>
    <w:p w:rsidR="00B26BB1" w:rsidRDefault="00B26BB1" w:rsidP="00B26BB1">
      <w:pPr>
        <w:rPr>
          <w:lang w:val="en-GB"/>
        </w:rPr>
      </w:pPr>
      <w:r>
        <w:rPr>
          <w:lang w:val="en-GB"/>
        </w:rPr>
        <w:t xml:space="preserve">In 2011, the AAT issued two sets of guidelines to articulate the expectations of the AAT in relation to </w:t>
      </w:r>
      <w:hyperlink r:id="rId14" w:history="1">
        <w:r w:rsidRPr="00CE5317">
          <w:rPr>
            <w:rStyle w:val="Hyperlink"/>
            <w:lang w:val="en-GB"/>
          </w:rPr>
          <w:t>expert evidence</w:t>
        </w:r>
      </w:hyperlink>
      <w:r>
        <w:rPr>
          <w:lang w:val="en-GB"/>
        </w:rPr>
        <w:t xml:space="preserve"> and </w:t>
      </w:r>
      <w:hyperlink r:id="rId15" w:history="1">
        <w:r w:rsidRPr="00CE5317">
          <w:rPr>
            <w:rStyle w:val="Hyperlink"/>
            <w:lang w:val="en-GB"/>
          </w:rPr>
          <w:t>concurrent evidence</w:t>
        </w:r>
      </w:hyperlink>
      <w:r>
        <w:rPr>
          <w:lang w:val="en-GB"/>
        </w:rPr>
        <w:t>, which are available on the AAT website.</w:t>
      </w:r>
    </w:p>
    <w:p w:rsidR="00B26BB1" w:rsidRDefault="00B26BB1" w:rsidP="00B26BB1">
      <w:pPr>
        <w:pStyle w:val="Heading3"/>
      </w:pPr>
      <w:r>
        <w:t>6.3</w:t>
      </w:r>
      <w:r>
        <w:tab/>
        <w:t>Fees and costs</w:t>
      </w:r>
    </w:p>
    <w:p w:rsidR="00B26BB1" w:rsidRDefault="00B26BB1" w:rsidP="00B26BB1">
      <w:pPr>
        <w:rPr>
          <w:lang w:eastAsia="en-AU"/>
        </w:rPr>
      </w:pPr>
      <w:r>
        <w:rPr>
          <w:lang w:eastAsia="en-AU"/>
        </w:rPr>
        <w:t>A</w:t>
      </w:r>
      <w:r w:rsidRPr="007F78B3">
        <w:rPr>
          <w:lang w:eastAsia="en-AU"/>
        </w:rPr>
        <w:t xml:space="preserve">n application fee is payable </w:t>
      </w:r>
      <w:r>
        <w:rPr>
          <w:lang w:eastAsia="en-AU"/>
        </w:rPr>
        <w:t xml:space="preserve">at the AAT only </w:t>
      </w:r>
      <w:r w:rsidRPr="007F78B3">
        <w:rPr>
          <w:lang w:eastAsia="en-AU"/>
        </w:rPr>
        <w:t>for certain types of applications.</w:t>
      </w:r>
      <w:r>
        <w:rPr>
          <w:lang w:eastAsia="en-AU"/>
        </w:rPr>
        <w:t xml:space="preserve">  Where it is payable, t</w:t>
      </w:r>
      <w:r w:rsidRPr="00312EAD">
        <w:rPr>
          <w:lang w:eastAsia="en-AU"/>
        </w:rPr>
        <w:t>he standard application fee is $816</w:t>
      </w:r>
      <w:r>
        <w:rPr>
          <w:lang w:eastAsia="en-AU"/>
        </w:rPr>
        <w:t xml:space="preserve">. The </w:t>
      </w:r>
      <w:r w:rsidRPr="00312EAD">
        <w:rPr>
          <w:lang w:eastAsia="en-AU"/>
        </w:rPr>
        <w:t xml:space="preserve">application fee </w:t>
      </w:r>
      <w:r>
        <w:rPr>
          <w:lang w:eastAsia="en-AU"/>
        </w:rPr>
        <w:t>for</w:t>
      </w:r>
      <w:r w:rsidRPr="00312EAD">
        <w:rPr>
          <w:lang w:eastAsia="en-AU"/>
        </w:rPr>
        <w:t xml:space="preserve"> the </w:t>
      </w:r>
      <w:r>
        <w:t>STCT</w:t>
      </w:r>
      <w:r w:rsidRPr="00312EAD">
        <w:rPr>
          <w:lang w:eastAsia="en-AU"/>
        </w:rPr>
        <w:t xml:space="preserve"> is $81. </w:t>
      </w:r>
      <w:r>
        <w:rPr>
          <w:lang w:eastAsia="en-AU"/>
        </w:rPr>
        <w:t xml:space="preserve"> As set out in the AAT Regulations, these two fees are revised every two years to take into account changes in the Consumer Price Index.</w:t>
      </w:r>
      <w:r>
        <w:rPr>
          <w:rStyle w:val="FootnoteReference"/>
          <w:lang w:eastAsia="en-AU"/>
        </w:rPr>
        <w:footnoteReference w:id="19"/>
      </w:r>
      <w:r>
        <w:rPr>
          <w:lang w:eastAsia="en-AU"/>
        </w:rPr>
        <w:t xml:space="preserve">  The next fee increase will take place on 1 July 2014.</w:t>
      </w:r>
    </w:p>
    <w:p w:rsidR="00B26BB1" w:rsidRDefault="00B26BB1" w:rsidP="00B26BB1">
      <w:pPr>
        <w:rPr>
          <w:lang w:eastAsia="en-AU"/>
        </w:rPr>
      </w:pPr>
      <w:r>
        <w:rPr>
          <w:lang w:eastAsia="en-AU"/>
        </w:rPr>
        <w:t xml:space="preserve">Many applicants are exempt from paying a fee or are </w:t>
      </w:r>
      <w:r w:rsidRPr="00EE6934">
        <w:rPr>
          <w:lang w:eastAsia="en-AU"/>
        </w:rPr>
        <w:t>eligible to pay a reduced fee</w:t>
      </w:r>
      <w:r>
        <w:rPr>
          <w:lang w:eastAsia="en-AU"/>
        </w:rPr>
        <w:t xml:space="preserve">.  For example, applications in the social security, veterans’ entitlements and workers’ </w:t>
      </w:r>
      <w:r>
        <w:rPr>
          <w:lang w:eastAsia="en-AU"/>
        </w:rPr>
        <w:lastRenderedPageBreak/>
        <w:t>compensation jurisdiction</w:t>
      </w:r>
      <w:r w:rsidR="002C25E5">
        <w:rPr>
          <w:lang w:eastAsia="en-AU"/>
        </w:rPr>
        <w:t>s</w:t>
      </w:r>
      <w:r>
        <w:rPr>
          <w:lang w:eastAsia="en-AU"/>
        </w:rPr>
        <w:t xml:space="preserve"> are fee exempt.</w:t>
      </w:r>
      <w:r>
        <w:rPr>
          <w:rStyle w:val="FootnoteReference"/>
          <w:lang w:eastAsia="en-AU"/>
        </w:rPr>
        <w:footnoteReference w:id="20"/>
      </w:r>
      <w:r>
        <w:rPr>
          <w:lang w:eastAsia="en-AU"/>
        </w:rPr>
        <w:t xml:space="preserve">  The standard application fee</w:t>
      </w:r>
      <w:r w:rsidRPr="001110FA">
        <w:rPr>
          <w:lang w:eastAsia="en-AU"/>
        </w:rPr>
        <w:t xml:space="preserve"> can be reduced to $100</w:t>
      </w:r>
      <w:r>
        <w:rPr>
          <w:lang w:eastAsia="en-AU"/>
        </w:rPr>
        <w:t xml:space="preserve"> if: </w:t>
      </w:r>
    </w:p>
    <w:p w:rsidR="00B26BB1" w:rsidRDefault="00B26BB1" w:rsidP="00BF77D7">
      <w:pPr>
        <w:pStyle w:val="ListBullet"/>
      </w:pPr>
      <w:r w:rsidRPr="000F6CC7">
        <w:t>the applicant has been granted legal aid, holds a health care card or other card that certifies entitlement to Commonwealth health concessions, is in prison or otherwise lawfully detained, is under 18 years of age or is receiving youth allowance</w:t>
      </w:r>
      <w:r>
        <w:t xml:space="preserve">, </w:t>
      </w:r>
      <w:proofErr w:type="spellStart"/>
      <w:r>
        <w:t>Austudy</w:t>
      </w:r>
      <w:proofErr w:type="spellEnd"/>
      <w:r>
        <w:t xml:space="preserve"> payment or </w:t>
      </w:r>
      <w:proofErr w:type="spellStart"/>
      <w:r>
        <w:t>ABSTUDY</w:t>
      </w:r>
      <w:proofErr w:type="spellEnd"/>
      <w:r>
        <w:t xml:space="preserve"> benefits; or</w:t>
      </w:r>
    </w:p>
    <w:p w:rsidR="00B26BB1" w:rsidRDefault="00B26BB1" w:rsidP="00BF77D7">
      <w:pPr>
        <w:pStyle w:val="ListBullet"/>
      </w:pPr>
      <w:r>
        <w:t xml:space="preserve">the AAT is satisfied that </w:t>
      </w:r>
      <w:r w:rsidRPr="001110FA">
        <w:t xml:space="preserve">paying the full fee would cause </w:t>
      </w:r>
      <w:r>
        <w:t xml:space="preserve">the applicant </w:t>
      </w:r>
      <w:r w:rsidRPr="001110FA">
        <w:t>financial hardship</w:t>
      </w:r>
      <w:r>
        <w:t>.</w:t>
      </w:r>
      <w:r>
        <w:rPr>
          <w:rStyle w:val="FootnoteReference"/>
        </w:rPr>
        <w:footnoteReference w:id="21"/>
      </w:r>
    </w:p>
    <w:p w:rsidR="00B26BB1" w:rsidRDefault="00B26BB1" w:rsidP="00B26BB1">
      <w:pPr>
        <w:rPr>
          <w:lang w:eastAsia="en-AU"/>
        </w:rPr>
      </w:pPr>
      <w:r>
        <w:rPr>
          <w:lang w:eastAsia="en-AU"/>
        </w:rPr>
        <w:t xml:space="preserve">Where an application fee is payable, the application cannot proceed until the fee is paid.  The AAT may dismiss an application if the application </w:t>
      </w:r>
      <w:r w:rsidR="009767CC">
        <w:rPr>
          <w:lang w:eastAsia="en-AU"/>
        </w:rPr>
        <w:t xml:space="preserve">fee </w:t>
      </w:r>
      <w:r>
        <w:rPr>
          <w:lang w:eastAsia="en-AU"/>
        </w:rPr>
        <w:t>is not paid within six weeks of lodging an application.</w:t>
      </w:r>
      <w:r>
        <w:rPr>
          <w:rStyle w:val="FootnoteReference"/>
          <w:lang w:eastAsia="en-AU"/>
        </w:rPr>
        <w:footnoteReference w:id="22"/>
      </w:r>
      <w:r>
        <w:rPr>
          <w:lang w:eastAsia="en-AU"/>
        </w:rPr>
        <w:t xml:space="preserve"> </w:t>
      </w:r>
    </w:p>
    <w:p w:rsidR="00B26BB1" w:rsidRDefault="00B26BB1" w:rsidP="00B26BB1">
      <w:pPr>
        <w:rPr>
          <w:lang w:eastAsia="en-AU"/>
        </w:rPr>
      </w:pPr>
      <w:r>
        <w:rPr>
          <w:lang w:eastAsia="en-AU"/>
        </w:rPr>
        <w:t xml:space="preserve">At the conclusion of an application, if </w:t>
      </w:r>
      <w:r w:rsidRPr="0064581B">
        <w:rPr>
          <w:lang w:eastAsia="en-AU"/>
        </w:rPr>
        <w:t xml:space="preserve">the </w:t>
      </w:r>
      <w:r>
        <w:rPr>
          <w:lang w:eastAsia="en-AU"/>
        </w:rPr>
        <w:t>AAT</w:t>
      </w:r>
      <w:r w:rsidRPr="0064581B">
        <w:rPr>
          <w:lang w:eastAsia="en-AU"/>
        </w:rPr>
        <w:t xml:space="preserve"> certifies that the proceedings terminated</w:t>
      </w:r>
      <w:r>
        <w:rPr>
          <w:lang w:eastAsia="en-AU"/>
        </w:rPr>
        <w:t xml:space="preserve"> </w:t>
      </w:r>
      <w:r w:rsidRPr="0064581B">
        <w:rPr>
          <w:lang w:eastAsia="en-AU"/>
        </w:rPr>
        <w:t xml:space="preserve">in a manner favourable to </w:t>
      </w:r>
      <w:r>
        <w:rPr>
          <w:lang w:eastAsia="en-AU"/>
        </w:rPr>
        <w:t xml:space="preserve">an </w:t>
      </w:r>
      <w:r w:rsidRPr="0064581B">
        <w:rPr>
          <w:lang w:eastAsia="en-AU"/>
        </w:rPr>
        <w:t>applicant</w:t>
      </w:r>
      <w:r>
        <w:rPr>
          <w:lang w:eastAsia="en-AU"/>
        </w:rPr>
        <w:t xml:space="preserve"> who paid a standard application fee,</w:t>
      </w:r>
      <w:r w:rsidRPr="0064581B">
        <w:rPr>
          <w:lang w:eastAsia="en-AU"/>
        </w:rPr>
        <w:t xml:space="preserve"> </w:t>
      </w:r>
      <w:r>
        <w:rPr>
          <w:lang w:eastAsia="en-AU"/>
        </w:rPr>
        <w:t>the person is entitled to a partial refund (</w:t>
      </w:r>
      <w:proofErr w:type="spellStart"/>
      <w:r>
        <w:rPr>
          <w:lang w:eastAsia="en-AU"/>
        </w:rPr>
        <w:t>ie</w:t>
      </w:r>
      <w:proofErr w:type="spellEnd"/>
      <w:r>
        <w:rPr>
          <w:lang w:eastAsia="en-AU"/>
        </w:rPr>
        <w:t xml:space="preserve"> the standard application fee less $100)</w:t>
      </w:r>
      <w:r w:rsidRPr="0064581B">
        <w:rPr>
          <w:lang w:eastAsia="en-AU"/>
        </w:rPr>
        <w:t>.</w:t>
      </w:r>
      <w:r>
        <w:rPr>
          <w:rStyle w:val="FootnoteReference"/>
          <w:lang w:eastAsia="en-AU"/>
        </w:rPr>
        <w:footnoteReference w:id="23"/>
      </w:r>
      <w:r w:rsidRPr="0064581B">
        <w:rPr>
          <w:lang w:eastAsia="en-AU"/>
        </w:rPr>
        <w:t xml:space="preserve"> </w:t>
      </w:r>
      <w:r>
        <w:rPr>
          <w:lang w:eastAsia="en-AU"/>
        </w:rPr>
        <w:t xml:space="preserve"> </w:t>
      </w:r>
    </w:p>
    <w:p w:rsidR="00AF06BF" w:rsidRDefault="00AF06BF" w:rsidP="00B26BB1">
      <w:pPr>
        <w:rPr>
          <w:lang w:eastAsia="en-AU"/>
        </w:rPr>
      </w:pPr>
      <w:r>
        <w:rPr>
          <w:lang w:eastAsia="en-AU"/>
        </w:rPr>
        <w:t xml:space="preserve">Information about the amount of fees collected is in the AAT’s </w:t>
      </w:r>
      <w:r w:rsidR="00831F95" w:rsidRPr="00831F95">
        <w:rPr>
          <w:rStyle w:val="Emphasis"/>
        </w:rPr>
        <w:t>A</w:t>
      </w:r>
      <w:r w:rsidRPr="00831F95">
        <w:rPr>
          <w:rStyle w:val="Emphasis"/>
        </w:rPr>
        <w:t xml:space="preserve">nnual </w:t>
      </w:r>
      <w:r w:rsidR="00831F95" w:rsidRPr="00831F95">
        <w:rPr>
          <w:rStyle w:val="Emphasis"/>
        </w:rPr>
        <w:t>R</w:t>
      </w:r>
      <w:r w:rsidRPr="00831F95">
        <w:rPr>
          <w:rStyle w:val="Emphasis"/>
        </w:rPr>
        <w:t>eport</w:t>
      </w:r>
      <w:r w:rsidR="00831F95" w:rsidRPr="00831F95">
        <w:rPr>
          <w:rStyle w:val="Emphasis"/>
        </w:rPr>
        <w:t xml:space="preserve"> 2012–13</w:t>
      </w:r>
      <w:r>
        <w:rPr>
          <w:lang w:eastAsia="en-AU"/>
        </w:rPr>
        <w:t>.</w:t>
      </w:r>
      <w:r w:rsidR="00A5348F">
        <w:rPr>
          <w:rStyle w:val="FootnoteReference"/>
          <w:lang w:eastAsia="en-AU"/>
        </w:rPr>
        <w:footnoteReference w:id="24"/>
      </w:r>
      <w:r w:rsidRPr="00AF06BF">
        <w:rPr>
          <w:lang w:eastAsia="en-AU"/>
        </w:rPr>
        <w:t xml:space="preserve"> </w:t>
      </w:r>
      <w:r>
        <w:rPr>
          <w:lang w:eastAsia="en-AU"/>
        </w:rPr>
        <w:t>The fees collected by the AAT are paid into consolidated revenue.</w:t>
      </w:r>
    </w:p>
    <w:p w:rsidR="00B26BB1" w:rsidRPr="004125E7" w:rsidRDefault="00B26BB1" w:rsidP="00B26BB1">
      <w:r>
        <w:t>In relation to costs, the AAT does not have a general power to award costs and the usual position is that parties must bear their own costs.  There are limited exceptions to this general rule</w:t>
      </w:r>
      <w:r w:rsidR="00271DA7">
        <w:t xml:space="preserve">.  </w:t>
      </w:r>
      <w:r w:rsidR="0002372E">
        <w:t xml:space="preserve">The decision-maker will usually be required to pay the costs incurred by an applicant who is successful </w:t>
      </w:r>
      <w:r w:rsidR="00271DA7">
        <w:t>when seeking review of decisions under the following Acts:</w:t>
      </w:r>
    </w:p>
    <w:p w:rsidR="0002372E" w:rsidRDefault="0002372E" w:rsidP="00BF77D7">
      <w:pPr>
        <w:pStyle w:val="ListBullet"/>
      </w:pPr>
      <w:r>
        <w:t xml:space="preserve">the </w:t>
      </w:r>
      <w:r w:rsidRPr="008935F8">
        <w:rPr>
          <w:rStyle w:val="Emphasis"/>
        </w:rPr>
        <w:t>Australian Security Intelligence Organisation Act 1979</w:t>
      </w:r>
      <w:r>
        <w:t>;</w:t>
      </w:r>
      <w:r w:rsidRPr="0002372E">
        <w:rPr>
          <w:rStyle w:val="FootnoteReference"/>
        </w:rPr>
        <w:footnoteReference w:id="25"/>
      </w:r>
    </w:p>
    <w:p w:rsidR="0002372E" w:rsidRDefault="0002372E" w:rsidP="00BF77D7">
      <w:pPr>
        <w:pStyle w:val="ListBullet"/>
      </w:pPr>
      <w:r>
        <w:t xml:space="preserve">the </w:t>
      </w:r>
      <w:r w:rsidRPr="00831F95">
        <w:rPr>
          <w:i/>
        </w:rPr>
        <w:t>Military Rehabilitation and Compensation Act 2004</w:t>
      </w:r>
      <w:r>
        <w:t xml:space="preserve"> where the AAT is reviewing a reconsideration decision made by the Military Rehabilitation and Compensation Commission; and</w:t>
      </w:r>
    </w:p>
    <w:p w:rsidR="00271DA7" w:rsidRDefault="0002372E" w:rsidP="00BF77D7">
      <w:pPr>
        <w:pStyle w:val="ListBullet"/>
      </w:pPr>
      <w:r>
        <w:t xml:space="preserve">the </w:t>
      </w:r>
      <w:r w:rsidR="00271DA7" w:rsidRPr="008935F8">
        <w:rPr>
          <w:rStyle w:val="Emphasis"/>
        </w:rPr>
        <w:t>Safety, Rehabilitation and Compensation Act 1988</w:t>
      </w:r>
      <w:r w:rsidR="00271DA7">
        <w:t xml:space="preserve"> and the </w:t>
      </w:r>
      <w:r w:rsidR="00271DA7" w:rsidRPr="00831F95">
        <w:rPr>
          <w:rStyle w:val="Emphasis"/>
        </w:rPr>
        <w:t>Seafarers Rehabili</w:t>
      </w:r>
      <w:r w:rsidRPr="00831F95">
        <w:rPr>
          <w:rStyle w:val="Emphasis"/>
        </w:rPr>
        <w:t>tation and Compensation Act</w:t>
      </w:r>
      <w:r>
        <w:t xml:space="preserve"> </w:t>
      </w:r>
      <w:r w:rsidRPr="008935F8">
        <w:rPr>
          <w:rStyle w:val="Emphasis"/>
        </w:rPr>
        <w:t>1992</w:t>
      </w:r>
      <w:r>
        <w:t>.</w:t>
      </w:r>
    </w:p>
    <w:p w:rsidR="0002372E" w:rsidRDefault="0002372E" w:rsidP="0002372E">
      <w:r>
        <w:t>Unless the order states otherwise, the costs are assessed on a party/party basis and may include witness expenses at the prescribed rate, all reasonable and proper disbursements and 75 per cent of all professional costs, including co</w:t>
      </w:r>
      <w:r w:rsidR="008935F8">
        <w:t>unsel’</w:t>
      </w:r>
      <w:r>
        <w:t>s fees, which would be allowable under the Federal Court scale.</w:t>
      </w:r>
    </w:p>
    <w:p w:rsidR="00876825" w:rsidRDefault="00876825" w:rsidP="0002372E">
      <w:r>
        <w:lastRenderedPageBreak/>
        <w:t xml:space="preserve">The </w:t>
      </w:r>
      <w:r w:rsidR="000F6CC7">
        <w:t>AAT</w:t>
      </w:r>
      <w:r>
        <w:t xml:space="preserve"> has a more limited</w:t>
      </w:r>
      <w:r w:rsidRPr="00EF2317">
        <w:t xml:space="preserve"> power under the </w:t>
      </w:r>
      <w:r w:rsidRPr="00876825">
        <w:rPr>
          <w:i/>
        </w:rPr>
        <w:t>Freedom of Information Act 1982</w:t>
      </w:r>
      <w:r w:rsidRPr="00EF2317">
        <w:t xml:space="preserve"> and the </w:t>
      </w:r>
      <w:r w:rsidRPr="00876825">
        <w:rPr>
          <w:i/>
        </w:rPr>
        <w:t>Lands Acquisition Act 1989</w:t>
      </w:r>
      <w:r w:rsidRPr="00EF2317">
        <w:t xml:space="preserve"> to recommend in certain circumstances that costs be paid by the Commonwealth.</w:t>
      </w:r>
    </w:p>
    <w:p w:rsidR="00AF06BF" w:rsidRDefault="00AF06BF" w:rsidP="0002372E">
      <w:r>
        <w:t>The AAT does not keep a record of the amount of costs a respondent may pay – in most cases this amount is determined between the parties with no involvement of the AAT.</w:t>
      </w:r>
    </w:p>
    <w:p w:rsidR="0002372E" w:rsidRDefault="0002372E" w:rsidP="0002372E">
      <w:r>
        <w:t xml:space="preserve">The absence of a power to award costs in most cases means that </w:t>
      </w:r>
      <w:r w:rsidR="00876825">
        <w:t>the AAT cannot generally use costs as a mechanism for regulating party behaviour.</w:t>
      </w:r>
      <w:r w:rsidR="00876825">
        <w:rPr>
          <w:rStyle w:val="FootnoteReference"/>
        </w:rPr>
        <w:footnoteReference w:id="26"/>
      </w:r>
      <w:r>
        <w:t xml:space="preserve"> </w:t>
      </w:r>
    </w:p>
    <w:p w:rsidR="00B26BB1" w:rsidRPr="00B26BB1" w:rsidRDefault="00B26BB1" w:rsidP="00BF77D7">
      <w:pPr>
        <w:pStyle w:val="Heading2"/>
        <w:rPr>
          <w:rFonts w:hint="eastAsia"/>
          <w:i/>
        </w:rPr>
      </w:pPr>
      <w:r w:rsidRPr="00B26BB1">
        <w:t>7.</w:t>
      </w:r>
      <w:r w:rsidRPr="00B26BB1">
        <w:tab/>
        <w:t>Use of technology</w:t>
      </w:r>
    </w:p>
    <w:p w:rsidR="00000DEF" w:rsidRDefault="006D671A" w:rsidP="00B26BB1">
      <w:pPr>
        <w:rPr>
          <w:lang w:eastAsia="en-AU"/>
        </w:rPr>
      </w:pPr>
      <w:r>
        <w:rPr>
          <w:lang w:eastAsia="en-AU"/>
        </w:rPr>
        <w:t xml:space="preserve">Technology </w:t>
      </w:r>
      <w:r w:rsidR="00422402">
        <w:rPr>
          <w:lang w:eastAsia="en-AU"/>
        </w:rPr>
        <w:t>offers a range of opportunities for the AAT in relation to the delivery of its services.</w:t>
      </w:r>
    </w:p>
    <w:p w:rsidR="00422402" w:rsidRPr="00422402" w:rsidRDefault="00422402" w:rsidP="00422402">
      <w:pPr>
        <w:pStyle w:val="Heading3"/>
      </w:pPr>
      <w:r w:rsidRPr="00422402">
        <w:t>7.1</w:t>
      </w:r>
      <w:r w:rsidRPr="00422402">
        <w:tab/>
        <w:t>Modes for conducting case events</w:t>
      </w:r>
    </w:p>
    <w:p w:rsidR="00424C75" w:rsidRDefault="00422402" w:rsidP="00E5622F">
      <w:r>
        <w:t xml:space="preserve">The AAT </w:t>
      </w:r>
      <w:r w:rsidR="00424C75">
        <w:t>Act provides specifically that the AAT may allow a person to participate in a directions hearing or hearing by telephone</w:t>
      </w:r>
      <w:r w:rsidR="00CD26BB">
        <w:t xml:space="preserve"> or any other means of communication</w:t>
      </w:r>
      <w:r w:rsidR="00424C75">
        <w:t>.</w:t>
      </w:r>
      <w:r w:rsidR="00424C75" w:rsidRPr="00D80415">
        <w:rPr>
          <w:vertAlign w:val="superscript"/>
          <w:lang w:val="en-GB" w:eastAsia="en-AU"/>
        </w:rPr>
        <w:footnoteReference w:id="27"/>
      </w:r>
      <w:r w:rsidR="00424C75">
        <w:t xml:space="preserve">  The AAT </w:t>
      </w:r>
      <w:r>
        <w:t xml:space="preserve">makes extensive use of </w:t>
      </w:r>
      <w:r w:rsidR="00E5622F">
        <w:t xml:space="preserve">the </w:t>
      </w:r>
      <w:r>
        <w:t xml:space="preserve">telephone to conduct </w:t>
      </w:r>
      <w:r w:rsidR="00E5622F">
        <w:t>case events</w:t>
      </w:r>
      <w:r w:rsidR="00512463">
        <w:t>, including for parties and representatives who live outside the capital cities</w:t>
      </w:r>
      <w:r w:rsidR="00E5622F">
        <w:t xml:space="preserve">.  </w:t>
      </w:r>
    </w:p>
    <w:p w:rsidR="00424C75" w:rsidRDefault="00424C75" w:rsidP="00E5622F">
      <w:pPr>
        <w:rPr>
          <w:lang w:eastAsia="en-AU"/>
        </w:rPr>
      </w:pPr>
      <w:r>
        <w:t>C</w:t>
      </w:r>
      <w:r w:rsidRPr="00C3405F">
        <w:rPr>
          <w:lang w:eastAsia="en-AU"/>
        </w:rPr>
        <w:t xml:space="preserve">onferences are generally held by telephone </w:t>
      </w:r>
      <w:r>
        <w:rPr>
          <w:lang w:eastAsia="en-AU"/>
        </w:rPr>
        <w:t>w</w:t>
      </w:r>
      <w:r w:rsidR="00B26BB1" w:rsidRPr="00C3405F">
        <w:rPr>
          <w:lang w:eastAsia="en-AU"/>
        </w:rPr>
        <w:t xml:space="preserve">here both parties are </w:t>
      </w:r>
      <w:r>
        <w:rPr>
          <w:lang w:eastAsia="en-AU"/>
        </w:rPr>
        <w:t>represented and directions hearings are also often held by telephone.  This leads to time and cost savings for the parties.</w:t>
      </w:r>
    </w:p>
    <w:p w:rsidR="00B26BB1" w:rsidRPr="00C3405F" w:rsidRDefault="00B26BB1" w:rsidP="00E5622F">
      <w:pPr>
        <w:rPr>
          <w:lang w:eastAsia="en-AU"/>
        </w:rPr>
      </w:pPr>
      <w:r w:rsidRPr="00C3405F">
        <w:rPr>
          <w:lang w:eastAsia="en-AU"/>
        </w:rPr>
        <w:t xml:space="preserve">If an applicant is not legally represented, </w:t>
      </w:r>
      <w:r w:rsidR="00424C75">
        <w:rPr>
          <w:lang w:eastAsia="en-AU"/>
        </w:rPr>
        <w:t xml:space="preserve">the AAT prefers to hold the </w:t>
      </w:r>
      <w:r w:rsidRPr="00C3405F">
        <w:rPr>
          <w:lang w:eastAsia="en-AU"/>
        </w:rPr>
        <w:t>conference in person</w:t>
      </w:r>
      <w:r w:rsidR="00424C75">
        <w:rPr>
          <w:lang w:eastAsia="en-AU"/>
        </w:rPr>
        <w:t>.  However, where attendance</w:t>
      </w:r>
      <w:r w:rsidRPr="00C3405F">
        <w:rPr>
          <w:lang w:eastAsia="en-AU"/>
        </w:rPr>
        <w:t xml:space="preserve"> at the AAT’s premises would not be convenient for geographic or other reasons</w:t>
      </w:r>
      <w:r w:rsidR="00424C75">
        <w:rPr>
          <w:lang w:eastAsia="en-AU"/>
        </w:rPr>
        <w:t>, conferences are undertaken successfully by telephone</w:t>
      </w:r>
      <w:r w:rsidRPr="00C3405F">
        <w:rPr>
          <w:lang w:eastAsia="en-AU"/>
        </w:rPr>
        <w:t>.</w:t>
      </w:r>
      <w:r w:rsidR="00424C75">
        <w:rPr>
          <w:lang w:eastAsia="en-AU"/>
        </w:rPr>
        <w:t xml:space="preserve">  This also applies to other forms of ADR.</w:t>
      </w:r>
    </w:p>
    <w:p w:rsidR="00B26BB1" w:rsidRDefault="00424C75" w:rsidP="00B26BB1">
      <w:pPr>
        <w:rPr>
          <w:lang w:eastAsia="en-AU"/>
        </w:rPr>
      </w:pPr>
      <w:r>
        <w:rPr>
          <w:lang w:val="en-GB" w:eastAsia="en-AU"/>
        </w:rPr>
        <w:t>Hearings are generally c</w:t>
      </w:r>
      <w:r w:rsidR="00B26BB1" w:rsidRPr="00D80415">
        <w:rPr>
          <w:lang w:val="en-GB" w:eastAsia="en-AU"/>
        </w:rPr>
        <w:t>onducted in person</w:t>
      </w:r>
      <w:r>
        <w:rPr>
          <w:lang w:val="en-GB" w:eastAsia="en-AU"/>
        </w:rPr>
        <w:t xml:space="preserve"> but a proportion of hearings are held by telephone.  </w:t>
      </w:r>
      <w:r w:rsidR="00B26BB1" w:rsidRPr="00D80415">
        <w:rPr>
          <w:lang w:val="en-GB" w:eastAsia="en-AU"/>
        </w:rPr>
        <w:t xml:space="preserve">Taking evidence </w:t>
      </w:r>
      <w:r>
        <w:rPr>
          <w:lang w:val="en-GB" w:eastAsia="en-AU"/>
        </w:rPr>
        <w:t xml:space="preserve">from witnesses </w:t>
      </w:r>
      <w:r w:rsidR="00B26BB1" w:rsidRPr="00D80415">
        <w:rPr>
          <w:lang w:val="en-GB" w:eastAsia="en-AU"/>
        </w:rPr>
        <w:t>by telephone occurs quite frequently in the AAT.  In some registries, this has become the usual way in which experts give evidence.</w:t>
      </w:r>
      <w:r w:rsidR="00B26BB1" w:rsidRPr="00C3405F">
        <w:rPr>
          <w:lang w:eastAsia="en-AU"/>
        </w:rPr>
        <w:t xml:space="preserve"> </w:t>
      </w:r>
      <w:r>
        <w:rPr>
          <w:lang w:eastAsia="en-AU"/>
        </w:rPr>
        <w:t xml:space="preserve"> Evidence is occasionally taken by video link.</w:t>
      </w:r>
    </w:p>
    <w:p w:rsidR="00E5622F" w:rsidRDefault="00512463" w:rsidP="00E5622F">
      <w:r>
        <w:t xml:space="preserve">The AAT </w:t>
      </w:r>
      <w:r w:rsidR="00E5622F">
        <w:t>is currently investigating the use of web-based videoconferencing</w:t>
      </w:r>
      <w:r>
        <w:t xml:space="preserve"> which will provide an enhanced level of service for its users</w:t>
      </w:r>
      <w:r w:rsidR="00E5622F">
        <w:t>.</w:t>
      </w:r>
    </w:p>
    <w:p w:rsidR="00FB4B98" w:rsidRDefault="00FB4B98" w:rsidP="00FB4B98">
      <w:pPr>
        <w:pStyle w:val="Heading3"/>
      </w:pPr>
      <w:r>
        <w:t>7.2</w:t>
      </w:r>
      <w:r>
        <w:tab/>
        <w:t>Electronic service options</w:t>
      </w:r>
    </w:p>
    <w:p w:rsidR="00B26BB1" w:rsidRDefault="00B26BB1" w:rsidP="00B26BB1">
      <w:r>
        <w:t xml:space="preserve">The AAT is committed to providing accessible and effective services to parties and the public, which includes developing online service options. </w:t>
      </w:r>
      <w:r w:rsidR="00FB4B98">
        <w:t xml:space="preserve"> </w:t>
      </w:r>
      <w:r>
        <w:t xml:space="preserve">In 2012–13, the AAT resolved to manage as a program the implementation of a suite of integrated systems to deliver </w:t>
      </w:r>
      <w:r>
        <w:lastRenderedPageBreak/>
        <w:t xml:space="preserve">online services and manage information electronically. </w:t>
      </w:r>
      <w:r w:rsidR="00FB4B98">
        <w:t xml:space="preserve"> </w:t>
      </w:r>
      <w:r>
        <w:t>The program encompasses a range of projects, some already underway and others to be undertaken over coming years. They include the development of AAT Online, the AAT's platform for a suite of services that will enable more efficient information exchange and delivery.</w:t>
      </w:r>
    </w:p>
    <w:p w:rsidR="00B26BB1" w:rsidRDefault="00B26BB1" w:rsidP="00B26BB1">
      <w:r>
        <w:t xml:space="preserve">The first AAT Online service, </w:t>
      </w:r>
      <w:hyperlink r:id="rId16" w:history="1">
        <w:r w:rsidRPr="00552483">
          <w:rPr>
            <w:rStyle w:val="Hyperlink"/>
          </w:rPr>
          <w:t>eCase Search</w:t>
        </w:r>
      </w:hyperlink>
      <w:r>
        <w:t xml:space="preserve">, was launched by the AAT in March 2013. Accessible 24 hours a day, eCase Search allows parties, their representatives and the public to search for, and access, select information about most AAT applications lodged from 18 March 2013. </w:t>
      </w:r>
      <w:r w:rsidR="00FB4B98">
        <w:t xml:space="preserve"> </w:t>
      </w:r>
      <w:r>
        <w:t>Parties and representatives can check the date and time of the next listing in their case or whether another party has lodged a particular document without needing to contact a registry.</w:t>
      </w:r>
    </w:p>
    <w:p w:rsidR="00B26BB1" w:rsidRDefault="00B26BB1" w:rsidP="00B26BB1">
      <w:r>
        <w:t xml:space="preserve">The AAT </w:t>
      </w:r>
      <w:r w:rsidR="0072029E">
        <w:t xml:space="preserve">will </w:t>
      </w:r>
      <w:r>
        <w:t xml:space="preserve">work towards </w:t>
      </w:r>
      <w:r w:rsidR="00FB4B98">
        <w:t>the</w:t>
      </w:r>
      <w:r>
        <w:t xml:space="preserve"> develop</w:t>
      </w:r>
      <w:r w:rsidR="00FB4B98">
        <w:t>ment of</w:t>
      </w:r>
      <w:r>
        <w:t xml:space="preserve"> </w:t>
      </w:r>
      <w:r w:rsidR="0072029E">
        <w:t xml:space="preserve">a range of </w:t>
      </w:r>
      <w:r w:rsidR="00FB4B98">
        <w:t xml:space="preserve">other online service options </w:t>
      </w:r>
      <w:r w:rsidR="0072029E">
        <w:t>over time</w:t>
      </w:r>
      <w:r w:rsidR="00FB4B98">
        <w:t xml:space="preserve">, including </w:t>
      </w:r>
      <w:r>
        <w:t>online application forms</w:t>
      </w:r>
      <w:r w:rsidR="00FB4B98">
        <w:t>, electronic lodgement and exchange of documents</w:t>
      </w:r>
      <w:r w:rsidR="008935F8">
        <w:t>,</w:t>
      </w:r>
      <w:r w:rsidR="00FB4B98">
        <w:t xml:space="preserve"> and enhanced online access to documents and other information relating to a case</w:t>
      </w:r>
      <w:r>
        <w:t>.</w:t>
      </w:r>
      <w:r w:rsidR="0072029E">
        <w:t xml:space="preserve">  This will enhance the efficiency of the review process and provide parties and representatives with a range of options for eng</w:t>
      </w:r>
      <w:r w:rsidR="008E3A25">
        <w:t>aging with the AAT and each other.</w:t>
      </w:r>
    </w:p>
    <w:p w:rsidR="00B26BB1" w:rsidRPr="00B26BB1" w:rsidRDefault="00B26BB1" w:rsidP="00BF77D7">
      <w:pPr>
        <w:pStyle w:val="Heading2"/>
        <w:rPr>
          <w:rFonts w:hint="eastAsia"/>
          <w:i/>
        </w:rPr>
      </w:pPr>
      <w:r>
        <w:t>8</w:t>
      </w:r>
      <w:r w:rsidRPr="00B26BB1">
        <w:t xml:space="preserve">. </w:t>
      </w:r>
      <w:r w:rsidRPr="00B26BB1">
        <w:tab/>
        <w:t>Conclusion</w:t>
      </w:r>
    </w:p>
    <w:p w:rsidR="002E2F29" w:rsidRDefault="00B26BB1" w:rsidP="00422402">
      <w:pPr>
        <w:rPr>
          <w:lang w:val="en-GB"/>
        </w:rPr>
      </w:pPr>
      <w:r w:rsidRPr="00A16F5E">
        <w:rPr>
          <w:lang w:val="en-GB"/>
        </w:rPr>
        <w:t>The AAT has developed a set of practices and procedures designed to deliver fair and just review of a broad range of administrative decisions in a flexible and appropriate way for the diverse members of the Australian community</w:t>
      </w:r>
      <w:r w:rsidR="00422402">
        <w:rPr>
          <w:lang w:val="en-GB"/>
        </w:rPr>
        <w:t>, including those who do not have representation</w:t>
      </w:r>
      <w:r w:rsidRPr="00A16F5E">
        <w:rPr>
          <w:lang w:val="en-GB"/>
        </w:rPr>
        <w:t xml:space="preserve">.  The AAT’s extensive use of ADR and the fact that the majority of cases do not proceed to a formal hearing </w:t>
      </w:r>
      <w:r w:rsidR="00422402">
        <w:rPr>
          <w:lang w:val="en-GB"/>
        </w:rPr>
        <w:t xml:space="preserve">also </w:t>
      </w:r>
      <w:r w:rsidRPr="00A16F5E">
        <w:rPr>
          <w:lang w:val="en-GB"/>
        </w:rPr>
        <w:t xml:space="preserve">reflect a commitment to providing a process that is economical, informal and quick, while continuing to be fair and just.  Hearings, when they occur, are conducted in a setting which is as informal as possible and focussed on ensuring the </w:t>
      </w:r>
      <w:r w:rsidR="000F6CC7">
        <w:rPr>
          <w:lang w:val="en-GB"/>
        </w:rPr>
        <w:t>AAT</w:t>
      </w:r>
      <w:r w:rsidRPr="00A16F5E">
        <w:rPr>
          <w:lang w:val="en-GB"/>
        </w:rPr>
        <w:t xml:space="preserve"> has a sound basis on which to make the correct or preferable decision.</w:t>
      </w:r>
    </w:p>
    <w:p w:rsidR="00B26BB1" w:rsidRDefault="00B26BB1" w:rsidP="00B26BB1">
      <w:pPr>
        <w:rPr>
          <w:sz w:val="16"/>
          <w:szCs w:val="16"/>
        </w:rPr>
        <w:sectPr w:rsidR="00B26BB1" w:rsidSect="00F67E86">
          <w:headerReference w:type="default" r:id="rId17"/>
          <w:footerReference w:type="default" r:id="rId18"/>
          <w:headerReference w:type="first" r:id="rId19"/>
          <w:footerReference w:type="first" r:id="rId20"/>
          <w:pgSz w:w="11906" w:h="16838" w:code="9"/>
          <w:pgMar w:top="2381" w:right="1134" w:bottom="1134" w:left="2155" w:header="567" w:footer="680" w:gutter="0"/>
          <w:pgNumType w:start="1"/>
          <w:cols w:space="708"/>
          <w:titlePg/>
          <w:docGrid w:linePitch="360"/>
        </w:sectPr>
      </w:pPr>
    </w:p>
    <w:p w:rsidR="00B26BB1" w:rsidRPr="00F43AE9" w:rsidRDefault="00B26BB1" w:rsidP="00B26BB1">
      <w:pPr>
        <w:pStyle w:val="Heading3"/>
        <w:rPr>
          <w:sz w:val="20"/>
          <w:lang w:val="en-GB"/>
        </w:rPr>
      </w:pPr>
      <w:r w:rsidRPr="00F43AE9">
        <w:rPr>
          <w:sz w:val="20"/>
          <w:lang w:val="en-GB"/>
        </w:rPr>
        <w:lastRenderedPageBreak/>
        <w:t xml:space="preserve">Chart A.1 </w:t>
      </w:r>
      <w:r w:rsidRPr="00F43AE9">
        <w:rPr>
          <w:sz w:val="20"/>
          <w:lang w:val="en-GB"/>
        </w:rPr>
        <w:tab/>
        <w:t xml:space="preserve">Flow chart </w:t>
      </w:r>
      <w:r w:rsidRPr="00F43AE9">
        <w:rPr>
          <w:sz w:val="20"/>
        </w:rPr>
        <w:t>of the steps in the AAT review process</w:t>
      </w:r>
    </w:p>
    <w:p w:rsidR="00B26BB1" w:rsidRDefault="00B26BB1" w:rsidP="00B26BB1">
      <w:r>
        <w:rPr>
          <w:noProof/>
          <w:lang w:eastAsia="en-AU"/>
        </w:rPr>
        <w:drawing>
          <wp:inline distT="0" distB="0" distL="0" distR="0" wp14:anchorId="23758201" wp14:editId="6E09169C">
            <wp:extent cx="5471795" cy="3850900"/>
            <wp:effectExtent l="0" t="0" r="0" b="0"/>
            <wp:docPr id="1" name="Picture 1" descr="Flow chart view of the steps in an application - select a st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w chart view of the steps in an application - select a ste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71795" cy="3850900"/>
                    </a:xfrm>
                    <a:prstGeom prst="rect">
                      <a:avLst/>
                    </a:prstGeom>
                    <a:noFill/>
                    <a:ln>
                      <a:noFill/>
                    </a:ln>
                  </pic:spPr>
                </pic:pic>
              </a:graphicData>
            </a:graphic>
          </wp:inline>
        </w:drawing>
      </w:r>
    </w:p>
    <w:p w:rsidR="00B26BB1" w:rsidRDefault="00B26BB1" w:rsidP="00B26BB1">
      <w:pPr>
        <w:rPr>
          <w:b/>
          <w:sz w:val="20"/>
        </w:rPr>
      </w:pPr>
    </w:p>
    <w:p w:rsidR="00B26BB1" w:rsidRPr="003428C5" w:rsidRDefault="00B26BB1" w:rsidP="00B26BB1">
      <w:pPr>
        <w:rPr>
          <w:b/>
          <w:sz w:val="20"/>
          <w:lang w:val="en-GB"/>
        </w:rPr>
      </w:pPr>
      <w:r w:rsidRPr="003428C5">
        <w:rPr>
          <w:b/>
          <w:bCs/>
          <w:sz w:val="20"/>
          <w:lang w:val="en-GB"/>
        </w:rPr>
        <w:t>Table A4.</w:t>
      </w:r>
      <w:r>
        <w:rPr>
          <w:b/>
          <w:bCs/>
          <w:sz w:val="20"/>
          <w:lang w:val="en-GB"/>
        </w:rPr>
        <w:t>2</w:t>
      </w:r>
      <w:r w:rsidRPr="003428C5">
        <w:rPr>
          <w:b/>
          <w:sz w:val="20"/>
          <w:lang w:val="en-GB"/>
        </w:rPr>
        <w:tab/>
        <w:t xml:space="preserve">Alternative dispute resolution processes conducted by the </w:t>
      </w:r>
      <w:r>
        <w:rPr>
          <w:b/>
          <w:sz w:val="20"/>
          <w:lang w:val="en-GB"/>
        </w:rPr>
        <w:t>AAT</w:t>
      </w:r>
    </w:p>
    <w:tbl>
      <w:tblPr>
        <w:tblW w:w="0" w:type="auto"/>
        <w:tblInd w:w="80" w:type="dxa"/>
        <w:tblLayout w:type="fixed"/>
        <w:tblCellMar>
          <w:left w:w="0" w:type="dxa"/>
          <w:right w:w="0" w:type="dxa"/>
        </w:tblCellMar>
        <w:tblLook w:val="0000" w:firstRow="0" w:lastRow="0" w:firstColumn="0" w:lastColumn="0" w:noHBand="0" w:noVBand="0"/>
      </w:tblPr>
      <w:tblGrid>
        <w:gridCol w:w="2103"/>
        <w:gridCol w:w="1869"/>
        <w:gridCol w:w="1869"/>
        <w:gridCol w:w="1869"/>
      </w:tblGrid>
      <w:tr w:rsidR="00B26BB1" w:rsidRPr="00B26BB1" w:rsidTr="00B26BB1">
        <w:trPr>
          <w:trHeight w:val="60"/>
          <w:tblHeader/>
        </w:trPr>
        <w:tc>
          <w:tcPr>
            <w:tcW w:w="2103" w:type="dxa"/>
            <w:tcBorders>
              <w:top w:val="single" w:sz="8" w:space="0" w:color="000000"/>
              <w:left w:val="single" w:sz="8" w:space="0" w:color="000000"/>
              <w:bottom w:val="single" w:sz="8" w:space="0" w:color="000000"/>
              <w:right w:val="single" w:sz="8" w:space="0" w:color="000000"/>
            </w:tcBorders>
            <w:shd w:val="solid" w:color="8DB3E2" w:themeColor="text2" w:themeTint="66" w:fill="auto"/>
            <w:tcMar>
              <w:top w:w="80" w:type="dxa"/>
              <w:left w:w="80" w:type="dxa"/>
              <w:bottom w:w="80" w:type="dxa"/>
              <w:right w:w="80" w:type="dxa"/>
            </w:tcMar>
          </w:tcPr>
          <w:p w:rsidR="00B26BB1" w:rsidRPr="00B26BB1" w:rsidRDefault="00B26BB1" w:rsidP="00B26BB1">
            <w:pPr>
              <w:pStyle w:val="TableHeader"/>
              <w:keepNext/>
              <w:spacing w:after="0" w:line="240" w:lineRule="auto"/>
              <w:rPr>
                <w:rFonts w:ascii="Arial" w:hAnsi="Arial" w:cs="Arial"/>
              </w:rPr>
            </w:pPr>
            <w:r w:rsidRPr="00B26BB1">
              <w:rPr>
                <w:rFonts w:ascii="Arial" w:hAnsi="Arial" w:cs="Arial"/>
              </w:rPr>
              <w:t>Event type</w:t>
            </w:r>
          </w:p>
        </w:tc>
        <w:tc>
          <w:tcPr>
            <w:tcW w:w="1869" w:type="dxa"/>
            <w:tcBorders>
              <w:top w:val="single" w:sz="8" w:space="0" w:color="000000"/>
              <w:left w:val="single" w:sz="8" w:space="0" w:color="000000"/>
              <w:bottom w:val="single" w:sz="8" w:space="0" w:color="000000"/>
              <w:right w:val="single" w:sz="8" w:space="0" w:color="000000"/>
            </w:tcBorders>
            <w:shd w:val="solid" w:color="8DB3E2" w:themeColor="text2" w:themeTint="66" w:fill="auto"/>
            <w:tcMar>
              <w:top w:w="80" w:type="dxa"/>
              <w:left w:w="80" w:type="dxa"/>
              <w:bottom w:w="80" w:type="dxa"/>
              <w:right w:w="80" w:type="dxa"/>
            </w:tcMar>
          </w:tcPr>
          <w:p w:rsidR="00B26BB1" w:rsidRPr="00B26BB1" w:rsidRDefault="00B26BB1" w:rsidP="00B26BB1">
            <w:pPr>
              <w:pStyle w:val="TableHeader"/>
              <w:keepNext/>
              <w:spacing w:after="0" w:line="240" w:lineRule="auto"/>
              <w:jc w:val="center"/>
              <w:rPr>
                <w:rFonts w:ascii="Arial" w:hAnsi="Arial" w:cs="Arial"/>
              </w:rPr>
            </w:pPr>
            <w:r w:rsidRPr="00B26BB1">
              <w:rPr>
                <w:rFonts w:ascii="Arial" w:hAnsi="Arial" w:cs="Arial"/>
              </w:rPr>
              <w:t>2010–11</w:t>
            </w:r>
          </w:p>
        </w:tc>
        <w:tc>
          <w:tcPr>
            <w:tcW w:w="1869" w:type="dxa"/>
            <w:tcBorders>
              <w:top w:val="single" w:sz="8" w:space="0" w:color="000000"/>
              <w:left w:val="single" w:sz="8" w:space="0" w:color="000000"/>
              <w:bottom w:val="single" w:sz="8" w:space="0" w:color="000000"/>
              <w:right w:val="single" w:sz="8" w:space="0" w:color="000000"/>
            </w:tcBorders>
            <w:shd w:val="solid" w:color="8DB3E2" w:themeColor="text2" w:themeTint="66" w:fill="auto"/>
            <w:tcMar>
              <w:top w:w="80" w:type="dxa"/>
              <w:left w:w="80" w:type="dxa"/>
              <w:bottom w:w="80" w:type="dxa"/>
              <w:right w:w="80" w:type="dxa"/>
            </w:tcMar>
          </w:tcPr>
          <w:p w:rsidR="00B26BB1" w:rsidRPr="00B26BB1" w:rsidRDefault="00B26BB1" w:rsidP="00B26BB1">
            <w:pPr>
              <w:pStyle w:val="TableHeader"/>
              <w:keepNext/>
              <w:spacing w:after="0" w:line="240" w:lineRule="auto"/>
              <w:jc w:val="center"/>
              <w:rPr>
                <w:rFonts w:ascii="Arial" w:hAnsi="Arial" w:cs="Arial"/>
              </w:rPr>
            </w:pPr>
            <w:r w:rsidRPr="00B26BB1">
              <w:rPr>
                <w:rFonts w:ascii="Arial" w:hAnsi="Arial" w:cs="Arial"/>
              </w:rPr>
              <w:t>2011–12</w:t>
            </w:r>
          </w:p>
        </w:tc>
        <w:tc>
          <w:tcPr>
            <w:tcW w:w="1869" w:type="dxa"/>
            <w:tcBorders>
              <w:top w:val="single" w:sz="8" w:space="0" w:color="000000"/>
              <w:left w:val="single" w:sz="8" w:space="0" w:color="000000"/>
              <w:bottom w:val="single" w:sz="8" w:space="0" w:color="000000"/>
              <w:right w:val="single" w:sz="8" w:space="0" w:color="000000"/>
            </w:tcBorders>
            <w:shd w:val="solid" w:color="8DB3E2" w:themeColor="text2" w:themeTint="66" w:fill="auto"/>
            <w:tcMar>
              <w:top w:w="80" w:type="dxa"/>
              <w:left w:w="80" w:type="dxa"/>
              <w:bottom w:w="80" w:type="dxa"/>
              <w:right w:w="80" w:type="dxa"/>
            </w:tcMar>
          </w:tcPr>
          <w:p w:rsidR="00B26BB1" w:rsidRPr="00B26BB1" w:rsidRDefault="00B26BB1" w:rsidP="00B26BB1">
            <w:pPr>
              <w:pStyle w:val="TableHeader"/>
              <w:keepNext/>
              <w:spacing w:after="0" w:line="240" w:lineRule="auto"/>
              <w:jc w:val="center"/>
              <w:rPr>
                <w:rFonts w:ascii="Arial" w:hAnsi="Arial" w:cs="Arial"/>
              </w:rPr>
            </w:pPr>
            <w:r w:rsidRPr="00B26BB1">
              <w:rPr>
                <w:rFonts w:ascii="Arial" w:hAnsi="Arial" w:cs="Arial"/>
              </w:rPr>
              <w:t>2012–13</w:t>
            </w:r>
          </w:p>
        </w:tc>
      </w:tr>
      <w:tr w:rsidR="00B26BB1" w:rsidRPr="003428C5" w:rsidTr="008C02E3">
        <w:trPr>
          <w:trHeight w:val="60"/>
        </w:trPr>
        <w:tc>
          <w:tcPr>
            <w:tcW w:w="2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B26BB1" w:rsidRPr="003428C5" w:rsidRDefault="00B26BB1" w:rsidP="008C02E3">
            <w:pPr>
              <w:spacing w:after="0"/>
              <w:rPr>
                <w:sz w:val="18"/>
                <w:szCs w:val="18"/>
                <w:lang w:val="en-GB"/>
              </w:rPr>
            </w:pPr>
            <w:r w:rsidRPr="003428C5">
              <w:rPr>
                <w:sz w:val="18"/>
                <w:szCs w:val="18"/>
                <w:lang w:val="en-GB"/>
              </w:rPr>
              <w:t>Conferences</w:t>
            </w:r>
          </w:p>
        </w:tc>
        <w:tc>
          <w:tcPr>
            <w:tcW w:w="18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B26BB1" w:rsidRPr="003428C5" w:rsidRDefault="00B26BB1" w:rsidP="008C02E3">
            <w:pPr>
              <w:spacing w:after="0"/>
              <w:jc w:val="right"/>
              <w:rPr>
                <w:sz w:val="18"/>
                <w:szCs w:val="18"/>
                <w:lang w:val="en-GB"/>
              </w:rPr>
            </w:pPr>
            <w:r w:rsidRPr="003428C5">
              <w:rPr>
                <w:sz w:val="18"/>
                <w:szCs w:val="18"/>
                <w:lang w:val="en-GB"/>
              </w:rPr>
              <w:t>6,897</w:t>
            </w:r>
          </w:p>
        </w:tc>
        <w:tc>
          <w:tcPr>
            <w:tcW w:w="18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B26BB1" w:rsidRPr="003428C5" w:rsidRDefault="00B26BB1" w:rsidP="008C02E3">
            <w:pPr>
              <w:spacing w:after="0"/>
              <w:jc w:val="right"/>
              <w:rPr>
                <w:sz w:val="18"/>
                <w:szCs w:val="18"/>
                <w:lang w:val="en-GB"/>
              </w:rPr>
            </w:pPr>
            <w:r w:rsidRPr="003428C5">
              <w:rPr>
                <w:sz w:val="18"/>
                <w:szCs w:val="18"/>
                <w:lang w:val="en-GB"/>
              </w:rPr>
              <w:t>6,761</w:t>
            </w:r>
          </w:p>
        </w:tc>
        <w:tc>
          <w:tcPr>
            <w:tcW w:w="18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B26BB1" w:rsidRPr="003428C5" w:rsidRDefault="00B26BB1" w:rsidP="008C02E3">
            <w:pPr>
              <w:spacing w:after="0"/>
              <w:jc w:val="right"/>
              <w:rPr>
                <w:sz w:val="18"/>
                <w:szCs w:val="18"/>
                <w:lang w:val="en-GB"/>
              </w:rPr>
            </w:pPr>
            <w:r w:rsidRPr="003428C5">
              <w:rPr>
                <w:sz w:val="18"/>
                <w:szCs w:val="18"/>
                <w:lang w:val="en-GB"/>
              </w:rPr>
              <w:t>7,606</w:t>
            </w:r>
          </w:p>
        </w:tc>
      </w:tr>
      <w:tr w:rsidR="00B26BB1" w:rsidRPr="003428C5" w:rsidTr="008C02E3">
        <w:trPr>
          <w:trHeight w:val="60"/>
        </w:trPr>
        <w:tc>
          <w:tcPr>
            <w:tcW w:w="2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B26BB1" w:rsidRPr="003428C5" w:rsidRDefault="00B26BB1" w:rsidP="008C02E3">
            <w:pPr>
              <w:spacing w:after="0"/>
              <w:rPr>
                <w:sz w:val="18"/>
                <w:szCs w:val="18"/>
                <w:lang w:val="en-GB"/>
              </w:rPr>
            </w:pPr>
            <w:r w:rsidRPr="003428C5">
              <w:rPr>
                <w:sz w:val="18"/>
                <w:szCs w:val="18"/>
                <w:lang w:val="en-GB"/>
              </w:rPr>
              <w:t>Case appraisals</w:t>
            </w:r>
          </w:p>
        </w:tc>
        <w:tc>
          <w:tcPr>
            <w:tcW w:w="18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B26BB1" w:rsidRPr="003428C5" w:rsidRDefault="00B26BB1" w:rsidP="008C02E3">
            <w:pPr>
              <w:spacing w:after="0"/>
              <w:jc w:val="right"/>
              <w:rPr>
                <w:sz w:val="18"/>
                <w:szCs w:val="18"/>
                <w:lang w:val="en-GB"/>
              </w:rPr>
            </w:pPr>
            <w:r w:rsidRPr="003428C5">
              <w:rPr>
                <w:sz w:val="18"/>
                <w:szCs w:val="18"/>
                <w:lang w:val="en-GB"/>
              </w:rPr>
              <w:t>4</w:t>
            </w:r>
          </w:p>
        </w:tc>
        <w:tc>
          <w:tcPr>
            <w:tcW w:w="18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B26BB1" w:rsidRPr="003428C5" w:rsidRDefault="00B26BB1" w:rsidP="008C02E3">
            <w:pPr>
              <w:spacing w:after="0"/>
              <w:jc w:val="right"/>
              <w:rPr>
                <w:sz w:val="18"/>
                <w:szCs w:val="18"/>
                <w:lang w:val="en-GB"/>
              </w:rPr>
            </w:pPr>
            <w:r w:rsidRPr="003428C5">
              <w:rPr>
                <w:sz w:val="18"/>
                <w:szCs w:val="18"/>
                <w:lang w:val="en-GB"/>
              </w:rPr>
              <w:t>4</w:t>
            </w:r>
          </w:p>
        </w:tc>
        <w:tc>
          <w:tcPr>
            <w:tcW w:w="18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B26BB1" w:rsidRPr="003428C5" w:rsidRDefault="00B26BB1" w:rsidP="008C02E3">
            <w:pPr>
              <w:spacing w:after="0"/>
              <w:jc w:val="right"/>
              <w:rPr>
                <w:sz w:val="18"/>
                <w:szCs w:val="18"/>
                <w:lang w:val="en-GB"/>
              </w:rPr>
            </w:pPr>
            <w:r w:rsidRPr="003428C5">
              <w:rPr>
                <w:sz w:val="18"/>
                <w:szCs w:val="18"/>
                <w:lang w:val="en-GB"/>
              </w:rPr>
              <w:t>3</w:t>
            </w:r>
          </w:p>
        </w:tc>
      </w:tr>
      <w:tr w:rsidR="00B26BB1" w:rsidRPr="003428C5" w:rsidTr="008C02E3">
        <w:trPr>
          <w:trHeight w:val="60"/>
        </w:trPr>
        <w:tc>
          <w:tcPr>
            <w:tcW w:w="2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B26BB1" w:rsidRPr="003428C5" w:rsidRDefault="00B26BB1" w:rsidP="008C02E3">
            <w:pPr>
              <w:spacing w:after="0"/>
              <w:rPr>
                <w:sz w:val="18"/>
                <w:szCs w:val="18"/>
                <w:lang w:val="en-GB"/>
              </w:rPr>
            </w:pPr>
            <w:r w:rsidRPr="003428C5">
              <w:rPr>
                <w:sz w:val="18"/>
                <w:szCs w:val="18"/>
                <w:lang w:val="en-GB"/>
              </w:rPr>
              <w:t>Conciliations</w:t>
            </w:r>
          </w:p>
        </w:tc>
        <w:tc>
          <w:tcPr>
            <w:tcW w:w="18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B26BB1" w:rsidRPr="003428C5" w:rsidRDefault="00B26BB1" w:rsidP="008C02E3">
            <w:pPr>
              <w:spacing w:after="0"/>
              <w:jc w:val="right"/>
              <w:rPr>
                <w:sz w:val="18"/>
                <w:szCs w:val="18"/>
                <w:lang w:val="en-GB"/>
              </w:rPr>
            </w:pPr>
            <w:r w:rsidRPr="003428C5">
              <w:rPr>
                <w:sz w:val="18"/>
                <w:szCs w:val="18"/>
                <w:lang w:val="en-GB"/>
              </w:rPr>
              <w:t>527</w:t>
            </w:r>
          </w:p>
        </w:tc>
        <w:tc>
          <w:tcPr>
            <w:tcW w:w="18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B26BB1" w:rsidRPr="003428C5" w:rsidRDefault="00B26BB1" w:rsidP="008C02E3">
            <w:pPr>
              <w:spacing w:after="0"/>
              <w:jc w:val="right"/>
              <w:rPr>
                <w:sz w:val="18"/>
                <w:szCs w:val="18"/>
                <w:lang w:val="en-GB"/>
              </w:rPr>
            </w:pPr>
            <w:r w:rsidRPr="003428C5">
              <w:rPr>
                <w:sz w:val="18"/>
                <w:szCs w:val="18"/>
                <w:lang w:val="en-GB"/>
              </w:rPr>
              <w:t>469</w:t>
            </w:r>
          </w:p>
        </w:tc>
        <w:tc>
          <w:tcPr>
            <w:tcW w:w="18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B26BB1" w:rsidRPr="003428C5" w:rsidRDefault="00B26BB1" w:rsidP="008C02E3">
            <w:pPr>
              <w:spacing w:after="0"/>
              <w:jc w:val="right"/>
              <w:rPr>
                <w:sz w:val="18"/>
                <w:szCs w:val="18"/>
                <w:lang w:val="en-GB"/>
              </w:rPr>
            </w:pPr>
            <w:r w:rsidRPr="003428C5">
              <w:rPr>
                <w:sz w:val="18"/>
                <w:szCs w:val="18"/>
                <w:lang w:val="en-GB"/>
              </w:rPr>
              <w:t>485</w:t>
            </w:r>
          </w:p>
        </w:tc>
      </w:tr>
      <w:tr w:rsidR="00B26BB1" w:rsidRPr="003428C5" w:rsidTr="008C02E3">
        <w:trPr>
          <w:trHeight w:val="60"/>
        </w:trPr>
        <w:tc>
          <w:tcPr>
            <w:tcW w:w="2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B26BB1" w:rsidRPr="003428C5" w:rsidRDefault="00B26BB1" w:rsidP="008C02E3">
            <w:pPr>
              <w:spacing w:after="0"/>
              <w:rPr>
                <w:sz w:val="18"/>
                <w:szCs w:val="18"/>
                <w:lang w:val="en-GB"/>
              </w:rPr>
            </w:pPr>
            <w:r w:rsidRPr="003428C5">
              <w:rPr>
                <w:sz w:val="18"/>
                <w:szCs w:val="18"/>
                <w:lang w:val="en-GB"/>
              </w:rPr>
              <w:t>Mediations</w:t>
            </w:r>
          </w:p>
        </w:tc>
        <w:tc>
          <w:tcPr>
            <w:tcW w:w="18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B26BB1" w:rsidRPr="003428C5" w:rsidRDefault="00B26BB1" w:rsidP="008C02E3">
            <w:pPr>
              <w:spacing w:after="0"/>
              <w:jc w:val="right"/>
              <w:rPr>
                <w:sz w:val="18"/>
                <w:szCs w:val="18"/>
                <w:lang w:val="en-GB"/>
              </w:rPr>
            </w:pPr>
            <w:r w:rsidRPr="003428C5">
              <w:rPr>
                <w:sz w:val="18"/>
                <w:szCs w:val="18"/>
                <w:lang w:val="en-GB"/>
              </w:rPr>
              <w:t>38</w:t>
            </w:r>
          </w:p>
        </w:tc>
        <w:tc>
          <w:tcPr>
            <w:tcW w:w="18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B26BB1" w:rsidRPr="003428C5" w:rsidRDefault="00B26BB1" w:rsidP="008C02E3">
            <w:pPr>
              <w:spacing w:after="0"/>
              <w:jc w:val="right"/>
              <w:rPr>
                <w:sz w:val="18"/>
                <w:szCs w:val="18"/>
                <w:lang w:val="en-GB"/>
              </w:rPr>
            </w:pPr>
            <w:r w:rsidRPr="003428C5">
              <w:rPr>
                <w:sz w:val="18"/>
                <w:szCs w:val="18"/>
                <w:lang w:val="en-GB"/>
              </w:rPr>
              <w:t>49</w:t>
            </w:r>
          </w:p>
        </w:tc>
        <w:tc>
          <w:tcPr>
            <w:tcW w:w="18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B26BB1" w:rsidRPr="003428C5" w:rsidRDefault="00B26BB1" w:rsidP="008C02E3">
            <w:pPr>
              <w:spacing w:after="0"/>
              <w:jc w:val="right"/>
              <w:rPr>
                <w:sz w:val="18"/>
                <w:szCs w:val="18"/>
                <w:lang w:val="en-GB"/>
              </w:rPr>
            </w:pPr>
            <w:r w:rsidRPr="003428C5">
              <w:rPr>
                <w:sz w:val="18"/>
                <w:szCs w:val="18"/>
                <w:lang w:val="en-GB"/>
              </w:rPr>
              <w:t>42</w:t>
            </w:r>
          </w:p>
        </w:tc>
      </w:tr>
      <w:tr w:rsidR="00B26BB1" w:rsidRPr="003428C5" w:rsidTr="008C02E3">
        <w:trPr>
          <w:trHeight w:val="60"/>
        </w:trPr>
        <w:tc>
          <w:tcPr>
            <w:tcW w:w="2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B26BB1" w:rsidRPr="003428C5" w:rsidRDefault="00B26BB1" w:rsidP="008C02E3">
            <w:pPr>
              <w:spacing w:after="0"/>
              <w:rPr>
                <w:sz w:val="18"/>
                <w:szCs w:val="18"/>
                <w:lang w:val="en-GB"/>
              </w:rPr>
            </w:pPr>
            <w:r w:rsidRPr="003428C5">
              <w:rPr>
                <w:sz w:val="18"/>
                <w:szCs w:val="18"/>
                <w:lang w:val="en-GB"/>
              </w:rPr>
              <w:t>Neutral evaluations</w:t>
            </w:r>
          </w:p>
        </w:tc>
        <w:tc>
          <w:tcPr>
            <w:tcW w:w="18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B26BB1" w:rsidRPr="003428C5" w:rsidRDefault="00B26BB1" w:rsidP="008C02E3">
            <w:pPr>
              <w:spacing w:after="0"/>
              <w:jc w:val="right"/>
              <w:rPr>
                <w:sz w:val="18"/>
                <w:szCs w:val="18"/>
                <w:lang w:val="en-GB"/>
              </w:rPr>
            </w:pPr>
            <w:r w:rsidRPr="003428C5">
              <w:rPr>
                <w:sz w:val="18"/>
                <w:szCs w:val="18"/>
                <w:lang w:val="en-GB"/>
              </w:rPr>
              <w:t>57</w:t>
            </w:r>
          </w:p>
        </w:tc>
        <w:tc>
          <w:tcPr>
            <w:tcW w:w="18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B26BB1" w:rsidRPr="003428C5" w:rsidRDefault="00B26BB1" w:rsidP="008C02E3">
            <w:pPr>
              <w:spacing w:after="0"/>
              <w:jc w:val="right"/>
              <w:rPr>
                <w:sz w:val="18"/>
                <w:szCs w:val="18"/>
                <w:lang w:val="en-GB"/>
              </w:rPr>
            </w:pPr>
            <w:r w:rsidRPr="003428C5">
              <w:rPr>
                <w:sz w:val="18"/>
                <w:szCs w:val="18"/>
                <w:lang w:val="en-GB"/>
              </w:rPr>
              <w:t>39</w:t>
            </w:r>
          </w:p>
        </w:tc>
        <w:tc>
          <w:tcPr>
            <w:tcW w:w="18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B26BB1" w:rsidRPr="003428C5" w:rsidRDefault="00B26BB1" w:rsidP="008C02E3">
            <w:pPr>
              <w:spacing w:after="0"/>
              <w:jc w:val="right"/>
              <w:rPr>
                <w:sz w:val="18"/>
                <w:szCs w:val="18"/>
                <w:lang w:val="en-GB"/>
              </w:rPr>
            </w:pPr>
            <w:r w:rsidRPr="003428C5">
              <w:rPr>
                <w:sz w:val="18"/>
                <w:szCs w:val="18"/>
                <w:lang w:val="en-GB"/>
              </w:rPr>
              <w:t>32</w:t>
            </w:r>
          </w:p>
        </w:tc>
      </w:tr>
    </w:tbl>
    <w:p w:rsidR="00B26BB1" w:rsidRDefault="00B26BB1" w:rsidP="00B26BB1">
      <w:pPr>
        <w:rPr>
          <w:b/>
          <w:sz w:val="20"/>
        </w:rPr>
      </w:pPr>
    </w:p>
    <w:p w:rsidR="00B26BB1" w:rsidRPr="00AB3D6B" w:rsidRDefault="00B26BB1" w:rsidP="00B26BB1">
      <w:pPr>
        <w:keepNext/>
        <w:rPr>
          <w:rFonts w:cs="Arial"/>
          <w:szCs w:val="22"/>
          <w:lang w:eastAsia="en-AU"/>
        </w:rPr>
      </w:pPr>
      <w:r w:rsidRPr="00827A49">
        <w:rPr>
          <w:b/>
          <w:sz w:val="20"/>
        </w:rPr>
        <w:lastRenderedPageBreak/>
        <w:t>Table A.</w:t>
      </w:r>
      <w:r>
        <w:rPr>
          <w:b/>
          <w:sz w:val="20"/>
        </w:rPr>
        <w:t>3</w:t>
      </w:r>
      <w:r w:rsidRPr="00827A49">
        <w:rPr>
          <w:b/>
          <w:sz w:val="20"/>
        </w:rPr>
        <w:tab/>
        <w:t>Percentage of applications finalised without a hearing</w:t>
      </w:r>
      <w:r w:rsidRPr="003578D2">
        <w:rPr>
          <w:rStyle w:val="FootnoteReference"/>
        </w:rPr>
        <w:footnoteReference w:id="28"/>
      </w:r>
    </w:p>
    <w:tbl>
      <w:tblPr>
        <w:tblW w:w="0" w:type="auto"/>
        <w:tblInd w:w="80" w:type="dxa"/>
        <w:tblLayout w:type="fixed"/>
        <w:tblCellMar>
          <w:left w:w="0" w:type="dxa"/>
          <w:right w:w="0" w:type="dxa"/>
        </w:tblCellMar>
        <w:tblLook w:val="0000" w:firstRow="0" w:lastRow="0" w:firstColumn="0" w:lastColumn="0" w:noHBand="0" w:noVBand="0"/>
      </w:tblPr>
      <w:tblGrid>
        <w:gridCol w:w="3261"/>
        <w:gridCol w:w="1483"/>
        <w:gridCol w:w="1483"/>
        <w:gridCol w:w="1483"/>
      </w:tblGrid>
      <w:tr w:rsidR="00B26BB1" w:rsidRPr="00827A49" w:rsidTr="008C02E3">
        <w:trPr>
          <w:trHeight w:val="60"/>
          <w:tblHeader/>
        </w:trPr>
        <w:tc>
          <w:tcPr>
            <w:tcW w:w="3261"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80" w:type="dxa"/>
              <w:left w:w="80" w:type="dxa"/>
              <w:bottom w:w="80" w:type="dxa"/>
              <w:right w:w="80" w:type="dxa"/>
            </w:tcMar>
          </w:tcPr>
          <w:p w:rsidR="00B26BB1" w:rsidRPr="00827A49" w:rsidRDefault="00B26BB1" w:rsidP="008C02E3">
            <w:pPr>
              <w:pStyle w:val="TableHeader"/>
              <w:keepNext/>
              <w:spacing w:after="0" w:line="240" w:lineRule="auto"/>
              <w:rPr>
                <w:rFonts w:ascii="Arial" w:hAnsi="Arial" w:cs="Arial"/>
              </w:rPr>
            </w:pPr>
            <w:r w:rsidRPr="00827A49">
              <w:rPr>
                <w:rFonts w:ascii="Arial" w:hAnsi="Arial" w:cs="Arial"/>
              </w:rPr>
              <w:t>Jurisdiction</w:t>
            </w:r>
          </w:p>
        </w:tc>
        <w:tc>
          <w:tcPr>
            <w:tcW w:w="1483"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80" w:type="dxa"/>
              <w:left w:w="80" w:type="dxa"/>
              <w:bottom w:w="80" w:type="dxa"/>
              <w:right w:w="80" w:type="dxa"/>
            </w:tcMar>
          </w:tcPr>
          <w:p w:rsidR="00B26BB1" w:rsidRPr="00827A49" w:rsidRDefault="00B26BB1" w:rsidP="008C02E3">
            <w:pPr>
              <w:pStyle w:val="TableHeader"/>
              <w:keepNext/>
              <w:spacing w:after="0" w:line="240" w:lineRule="auto"/>
              <w:jc w:val="center"/>
              <w:rPr>
                <w:rFonts w:ascii="Arial" w:hAnsi="Arial" w:cs="Arial"/>
              </w:rPr>
            </w:pPr>
            <w:r w:rsidRPr="00827A49">
              <w:rPr>
                <w:rFonts w:ascii="Arial" w:hAnsi="Arial" w:cs="Arial"/>
              </w:rPr>
              <w:t>2010–11</w:t>
            </w:r>
          </w:p>
        </w:tc>
        <w:tc>
          <w:tcPr>
            <w:tcW w:w="1483"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80" w:type="dxa"/>
              <w:left w:w="80" w:type="dxa"/>
              <w:bottom w:w="80" w:type="dxa"/>
              <w:right w:w="80" w:type="dxa"/>
            </w:tcMar>
          </w:tcPr>
          <w:p w:rsidR="00B26BB1" w:rsidRPr="00827A49" w:rsidRDefault="00B26BB1" w:rsidP="008C02E3">
            <w:pPr>
              <w:pStyle w:val="TableHeader"/>
              <w:keepNext/>
              <w:spacing w:after="0" w:line="240" w:lineRule="auto"/>
              <w:jc w:val="center"/>
              <w:rPr>
                <w:rFonts w:ascii="Arial" w:hAnsi="Arial" w:cs="Arial"/>
              </w:rPr>
            </w:pPr>
            <w:r w:rsidRPr="00827A49">
              <w:rPr>
                <w:rFonts w:ascii="Arial" w:hAnsi="Arial" w:cs="Arial"/>
              </w:rPr>
              <w:t>2011–12</w:t>
            </w:r>
          </w:p>
        </w:tc>
        <w:tc>
          <w:tcPr>
            <w:tcW w:w="1483"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80" w:type="dxa"/>
              <w:left w:w="80" w:type="dxa"/>
              <w:bottom w:w="80" w:type="dxa"/>
              <w:right w:w="80" w:type="dxa"/>
            </w:tcMar>
          </w:tcPr>
          <w:p w:rsidR="00B26BB1" w:rsidRPr="00827A49" w:rsidRDefault="00B26BB1" w:rsidP="008C02E3">
            <w:pPr>
              <w:pStyle w:val="TableHeader"/>
              <w:keepNext/>
              <w:spacing w:after="0" w:line="240" w:lineRule="auto"/>
              <w:jc w:val="center"/>
              <w:rPr>
                <w:rFonts w:ascii="Arial" w:hAnsi="Arial" w:cs="Arial"/>
              </w:rPr>
            </w:pPr>
            <w:r w:rsidRPr="00827A49">
              <w:rPr>
                <w:rFonts w:ascii="Arial" w:hAnsi="Arial" w:cs="Arial"/>
              </w:rPr>
              <w:t>2012–13</w:t>
            </w:r>
          </w:p>
        </w:tc>
      </w:tr>
      <w:tr w:rsidR="00B26BB1" w:rsidRPr="00827A49" w:rsidTr="008C02E3">
        <w:trPr>
          <w:trHeight w:val="60"/>
          <w:tblHeader/>
        </w:trPr>
        <w:tc>
          <w:tcPr>
            <w:tcW w:w="3261"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80" w:type="dxa"/>
              <w:left w:w="80" w:type="dxa"/>
              <w:bottom w:w="80" w:type="dxa"/>
              <w:right w:w="80" w:type="dxa"/>
            </w:tcMar>
          </w:tcPr>
          <w:p w:rsidR="00B26BB1" w:rsidRPr="00827A49" w:rsidRDefault="00B26BB1" w:rsidP="008C02E3">
            <w:pPr>
              <w:pStyle w:val="TableHeader"/>
              <w:spacing w:after="0" w:line="240" w:lineRule="auto"/>
              <w:rPr>
                <w:rFonts w:ascii="Arial" w:hAnsi="Arial" w:cs="Arial"/>
              </w:rPr>
            </w:pPr>
          </w:p>
        </w:tc>
        <w:tc>
          <w:tcPr>
            <w:tcW w:w="1483"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80" w:type="dxa"/>
              <w:left w:w="80" w:type="dxa"/>
              <w:bottom w:w="80" w:type="dxa"/>
              <w:right w:w="80" w:type="dxa"/>
            </w:tcMar>
          </w:tcPr>
          <w:p w:rsidR="00B26BB1" w:rsidRPr="00827A49" w:rsidRDefault="00B26BB1" w:rsidP="008C02E3">
            <w:pPr>
              <w:pStyle w:val="TableHeader"/>
              <w:spacing w:after="0" w:line="240" w:lineRule="auto"/>
              <w:jc w:val="right"/>
              <w:rPr>
                <w:rFonts w:ascii="Arial" w:hAnsi="Arial" w:cs="Arial"/>
              </w:rPr>
            </w:pPr>
            <w:r w:rsidRPr="00827A49">
              <w:rPr>
                <w:rFonts w:ascii="Arial" w:hAnsi="Arial" w:cs="Arial"/>
              </w:rPr>
              <w:t>%</w:t>
            </w:r>
          </w:p>
        </w:tc>
        <w:tc>
          <w:tcPr>
            <w:tcW w:w="1483"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80" w:type="dxa"/>
              <w:left w:w="80" w:type="dxa"/>
              <w:bottom w:w="80" w:type="dxa"/>
              <w:right w:w="80" w:type="dxa"/>
            </w:tcMar>
          </w:tcPr>
          <w:p w:rsidR="00B26BB1" w:rsidRPr="00827A49" w:rsidRDefault="00B26BB1" w:rsidP="008C02E3">
            <w:pPr>
              <w:pStyle w:val="TableHeader"/>
              <w:spacing w:after="0" w:line="240" w:lineRule="auto"/>
              <w:jc w:val="right"/>
              <w:rPr>
                <w:rFonts w:ascii="Arial" w:hAnsi="Arial" w:cs="Arial"/>
              </w:rPr>
            </w:pPr>
            <w:r w:rsidRPr="00827A49">
              <w:rPr>
                <w:rFonts w:ascii="Arial" w:hAnsi="Arial" w:cs="Arial"/>
              </w:rPr>
              <w:t>%</w:t>
            </w:r>
          </w:p>
        </w:tc>
        <w:tc>
          <w:tcPr>
            <w:tcW w:w="1483"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80" w:type="dxa"/>
              <w:left w:w="80" w:type="dxa"/>
              <w:bottom w:w="80" w:type="dxa"/>
              <w:right w:w="80" w:type="dxa"/>
            </w:tcMar>
          </w:tcPr>
          <w:p w:rsidR="00B26BB1" w:rsidRPr="00827A49" w:rsidRDefault="00B26BB1" w:rsidP="008C02E3">
            <w:pPr>
              <w:pStyle w:val="TableHeader"/>
              <w:spacing w:after="0" w:line="240" w:lineRule="auto"/>
              <w:jc w:val="right"/>
              <w:rPr>
                <w:rFonts w:ascii="Arial" w:hAnsi="Arial" w:cs="Arial"/>
              </w:rPr>
            </w:pPr>
            <w:r w:rsidRPr="00827A49">
              <w:rPr>
                <w:rFonts w:ascii="Arial" w:hAnsi="Arial" w:cs="Arial"/>
              </w:rPr>
              <w:t>%</w:t>
            </w:r>
          </w:p>
        </w:tc>
      </w:tr>
      <w:tr w:rsidR="00B26BB1" w:rsidRPr="00827A49" w:rsidTr="008C02E3">
        <w:trPr>
          <w:trHeight w:val="60"/>
        </w:trPr>
        <w:tc>
          <w:tcPr>
            <w:tcW w:w="32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B26BB1" w:rsidRPr="00827A49" w:rsidRDefault="00B26BB1" w:rsidP="008C02E3">
            <w:pPr>
              <w:pStyle w:val="bodycopy"/>
              <w:spacing w:after="0" w:line="240" w:lineRule="auto"/>
              <w:rPr>
                <w:rFonts w:ascii="Arial" w:hAnsi="Arial" w:cs="Arial"/>
              </w:rPr>
            </w:pPr>
            <w:r w:rsidRPr="00827A49">
              <w:rPr>
                <w:rFonts w:ascii="Arial" w:hAnsi="Arial" w:cs="Arial"/>
              </w:rPr>
              <w:t>All</w:t>
            </w:r>
          </w:p>
        </w:tc>
        <w:tc>
          <w:tcPr>
            <w:tcW w:w="148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B26BB1" w:rsidRPr="00827A49" w:rsidRDefault="00B26BB1" w:rsidP="008C02E3">
            <w:pPr>
              <w:pStyle w:val="bodycopy"/>
              <w:spacing w:after="0" w:line="240" w:lineRule="auto"/>
              <w:jc w:val="right"/>
              <w:rPr>
                <w:rFonts w:ascii="Arial" w:hAnsi="Arial" w:cs="Arial"/>
              </w:rPr>
            </w:pPr>
            <w:r w:rsidRPr="00827A49">
              <w:rPr>
                <w:rFonts w:ascii="Arial" w:hAnsi="Arial" w:cs="Arial"/>
              </w:rPr>
              <w:t>79</w:t>
            </w:r>
          </w:p>
        </w:tc>
        <w:tc>
          <w:tcPr>
            <w:tcW w:w="148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B26BB1" w:rsidRPr="00827A49" w:rsidRDefault="00B26BB1" w:rsidP="008C02E3">
            <w:pPr>
              <w:pStyle w:val="bodycopy"/>
              <w:spacing w:after="0" w:line="240" w:lineRule="auto"/>
              <w:jc w:val="right"/>
              <w:rPr>
                <w:rFonts w:ascii="Arial" w:hAnsi="Arial" w:cs="Arial"/>
              </w:rPr>
            </w:pPr>
            <w:r w:rsidRPr="00827A49">
              <w:rPr>
                <w:rFonts w:ascii="Arial" w:hAnsi="Arial" w:cs="Arial"/>
              </w:rPr>
              <w:t>79</w:t>
            </w:r>
          </w:p>
        </w:tc>
        <w:tc>
          <w:tcPr>
            <w:tcW w:w="148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B26BB1" w:rsidRPr="00827A49" w:rsidRDefault="00B26BB1" w:rsidP="008C02E3">
            <w:pPr>
              <w:pStyle w:val="bodycopy"/>
              <w:spacing w:after="0" w:line="240" w:lineRule="auto"/>
              <w:jc w:val="right"/>
              <w:rPr>
                <w:rFonts w:ascii="Arial" w:hAnsi="Arial" w:cs="Arial"/>
              </w:rPr>
            </w:pPr>
            <w:r w:rsidRPr="00827A49">
              <w:rPr>
                <w:rFonts w:ascii="Arial" w:hAnsi="Arial" w:cs="Arial"/>
              </w:rPr>
              <w:t>79</w:t>
            </w:r>
          </w:p>
        </w:tc>
      </w:tr>
      <w:tr w:rsidR="00B26BB1" w:rsidRPr="00827A49" w:rsidTr="008C02E3">
        <w:trPr>
          <w:trHeight w:val="60"/>
        </w:trPr>
        <w:tc>
          <w:tcPr>
            <w:tcW w:w="32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B26BB1" w:rsidRPr="00827A49" w:rsidRDefault="00B26BB1" w:rsidP="008C02E3">
            <w:pPr>
              <w:pStyle w:val="bodycopy"/>
              <w:spacing w:after="0" w:line="240" w:lineRule="auto"/>
              <w:rPr>
                <w:rFonts w:ascii="Arial" w:hAnsi="Arial" w:cs="Arial"/>
              </w:rPr>
            </w:pPr>
            <w:r w:rsidRPr="00827A49">
              <w:rPr>
                <w:rFonts w:ascii="Arial" w:hAnsi="Arial" w:cs="Arial"/>
              </w:rPr>
              <w:t>Social security</w:t>
            </w:r>
          </w:p>
        </w:tc>
        <w:tc>
          <w:tcPr>
            <w:tcW w:w="148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B26BB1" w:rsidRPr="00827A49" w:rsidRDefault="00B26BB1" w:rsidP="008C02E3">
            <w:pPr>
              <w:pStyle w:val="bodycopy"/>
              <w:spacing w:after="0" w:line="240" w:lineRule="auto"/>
              <w:jc w:val="right"/>
              <w:rPr>
                <w:rFonts w:ascii="Arial" w:hAnsi="Arial" w:cs="Arial"/>
              </w:rPr>
            </w:pPr>
            <w:r w:rsidRPr="00827A49">
              <w:rPr>
                <w:rFonts w:ascii="Arial" w:hAnsi="Arial" w:cs="Arial"/>
              </w:rPr>
              <w:t>76</w:t>
            </w:r>
          </w:p>
        </w:tc>
        <w:tc>
          <w:tcPr>
            <w:tcW w:w="148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B26BB1" w:rsidRPr="00827A49" w:rsidRDefault="00B26BB1" w:rsidP="008C02E3">
            <w:pPr>
              <w:pStyle w:val="bodycopy"/>
              <w:spacing w:after="0" w:line="240" w:lineRule="auto"/>
              <w:jc w:val="right"/>
              <w:rPr>
                <w:rFonts w:ascii="Arial" w:hAnsi="Arial" w:cs="Arial"/>
              </w:rPr>
            </w:pPr>
            <w:r w:rsidRPr="00827A49">
              <w:rPr>
                <w:rFonts w:ascii="Arial" w:hAnsi="Arial" w:cs="Arial"/>
              </w:rPr>
              <w:t>77</w:t>
            </w:r>
          </w:p>
        </w:tc>
        <w:tc>
          <w:tcPr>
            <w:tcW w:w="148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B26BB1" w:rsidRPr="00827A49" w:rsidRDefault="00B26BB1" w:rsidP="008C02E3">
            <w:pPr>
              <w:pStyle w:val="bodycopy"/>
              <w:spacing w:after="0" w:line="240" w:lineRule="auto"/>
              <w:jc w:val="right"/>
              <w:rPr>
                <w:rFonts w:ascii="Arial" w:hAnsi="Arial" w:cs="Arial"/>
              </w:rPr>
            </w:pPr>
            <w:r w:rsidRPr="00827A49">
              <w:rPr>
                <w:rFonts w:ascii="Arial" w:hAnsi="Arial" w:cs="Arial"/>
              </w:rPr>
              <w:t>76</w:t>
            </w:r>
          </w:p>
        </w:tc>
      </w:tr>
      <w:tr w:rsidR="00B26BB1" w:rsidRPr="00827A49" w:rsidTr="008C02E3">
        <w:trPr>
          <w:trHeight w:val="60"/>
        </w:trPr>
        <w:tc>
          <w:tcPr>
            <w:tcW w:w="32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B26BB1" w:rsidRPr="00827A49" w:rsidRDefault="00B26BB1" w:rsidP="008C02E3">
            <w:pPr>
              <w:pStyle w:val="bodycopy"/>
              <w:spacing w:after="0" w:line="240" w:lineRule="auto"/>
              <w:rPr>
                <w:rFonts w:ascii="Arial" w:hAnsi="Arial" w:cs="Arial"/>
              </w:rPr>
            </w:pPr>
            <w:r w:rsidRPr="00827A49">
              <w:rPr>
                <w:rFonts w:ascii="Arial" w:hAnsi="Arial" w:cs="Arial"/>
              </w:rPr>
              <w:t>Veterans’ affairs</w:t>
            </w:r>
          </w:p>
        </w:tc>
        <w:tc>
          <w:tcPr>
            <w:tcW w:w="148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B26BB1" w:rsidRPr="00827A49" w:rsidRDefault="00B26BB1" w:rsidP="008C02E3">
            <w:pPr>
              <w:pStyle w:val="bodycopy"/>
              <w:spacing w:after="0" w:line="240" w:lineRule="auto"/>
              <w:jc w:val="right"/>
              <w:rPr>
                <w:rFonts w:ascii="Arial" w:hAnsi="Arial" w:cs="Arial"/>
              </w:rPr>
            </w:pPr>
            <w:r w:rsidRPr="00827A49">
              <w:rPr>
                <w:rFonts w:ascii="Arial" w:hAnsi="Arial" w:cs="Arial"/>
              </w:rPr>
              <w:t>73</w:t>
            </w:r>
          </w:p>
        </w:tc>
        <w:tc>
          <w:tcPr>
            <w:tcW w:w="148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B26BB1" w:rsidRPr="00827A49" w:rsidRDefault="00B26BB1" w:rsidP="008C02E3">
            <w:pPr>
              <w:pStyle w:val="bodycopy"/>
              <w:spacing w:after="0" w:line="240" w:lineRule="auto"/>
              <w:jc w:val="right"/>
              <w:rPr>
                <w:rFonts w:ascii="Arial" w:hAnsi="Arial" w:cs="Arial"/>
              </w:rPr>
            </w:pPr>
            <w:r w:rsidRPr="00827A49">
              <w:rPr>
                <w:rFonts w:ascii="Arial" w:hAnsi="Arial" w:cs="Arial"/>
              </w:rPr>
              <w:t>73</w:t>
            </w:r>
          </w:p>
        </w:tc>
        <w:tc>
          <w:tcPr>
            <w:tcW w:w="148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B26BB1" w:rsidRPr="00827A49" w:rsidRDefault="00B26BB1" w:rsidP="008C02E3">
            <w:pPr>
              <w:pStyle w:val="bodycopy"/>
              <w:spacing w:after="0" w:line="240" w:lineRule="auto"/>
              <w:jc w:val="right"/>
              <w:rPr>
                <w:rFonts w:ascii="Arial" w:hAnsi="Arial" w:cs="Arial"/>
              </w:rPr>
            </w:pPr>
            <w:r w:rsidRPr="00827A49">
              <w:rPr>
                <w:rFonts w:ascii="Arial" w:hAnsi="Arial" w:cs="Arial"/>
              </w:rPr>
              <w:t>71</w:t>
            </w:r>
          </w:p>
        </w:tc>
      </w:tr>
      <w:tr w:rsidR="00B26BB1" w:rsidRPr="00827A49" w:rsidTr="008C02E3">
        <w:trPr>
          <w:trHeight w:val="60"/>
        </w:trPr>
        <w:tc>
          <w:tcPr>
            <w:tcW w:w="32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B26BB1" w:rsidRPr="00827A49" w:rsidRDefault="00B26BB1" w:rsidP="008C02E3">
            <w:pPr>
              <w:pStyle w:val="bodycopy"/>
              <w:spacing w:after="0" w:line="240" w:lineRule="auto"/>
              <w:rPr>
                <w:rFonts w:ascii="Arial" w:hAnsi="Arial" w:cs="Arial"/>
              </w:rPr>
            </w:pPr>
            <w:r w:rsidRPr="00827A49">
              <w:rPr>
                <w:rFonts w:ascii="Arial" w:hAnsi="Arial" w:cs="Arial"/>
              </w:rPr>
              <w:t xml:space="preserve">Workers’ compensation </w:t>
            </w:r>
          </w:p>
        </w:tc>
        <w:tc>
          <w:tcPr>
            <w:tcW w:w="148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B26BB1" w:rsidRPr="00827A49" w:rsidRDefault="00B26BB1" w:rsidP="008C02E3">
            <w:pPr>
              <w:pStyle w:val="bodycopy"/>
              <w:spacing w:after="0" w:line="240" w:lineRule="auto"/>
              <w:jc w:val="right"/>
              <w:rPr>
                <w:rFonts w:ascii="Arial" w:hAnsi="Arial" w:cs="Arial"/>
              </w:rPr>
            </w:pPr>
            <w:r w:rsidRPr="00827A49">
              <w:rPr>
                <w:rFonts w:ascii="Arial" w:hAnsi="Arial" w:cs="Arial"/>
              </w:rPr>
              <w:t>87</w:t>
            </w:r>
          </w:p>
        </w:tc>
        <w:tc>
          <w:tcPr>
            <w:tcW w:w="148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B26BB1" w:rsidRPr="00827A49" w:rsidRDefault="00B26BB1" w:rsidP="008C02E3">
            <w:pPr>
              <w:pStyle w:val="bodycopy"/>
              <w:spacing w:after="0" w:line="240" w:lineRule="auto"/>
              <w:jc w:val="right"/>
              <w:rPr>
                <w:rFonts w:ascii="Arial" w:hAnsi="Arial" w:cs="Arial"/>
              </w:rPr>
            </w:pPr>
            <w:r w:rsidRPr="00827A49">
              <w:rPr>
                <w:rFonts w:ascii="Arial" w:hAnsi="Arial" w:cs="Arial"/>
              </w:rPr>
              <w:t>87</w:t>
            </w:r>
          </w:p>
        </w:tc>
        <w:tc>
          <w:tcPr>
            <w:tcW w:w="148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B26BB1" w:rsidRPr="00827A49" w:rsidRDefault="00B26BB1" w:rsidP="008C02E3">
            <w:pPr>
              <w:pStyle w:val="bodycopy"/>
              <w:spacing w:after="0" w:line="240" w:lineRule="auto"/>
              <w:jc w:val="right"/>
              <w:rPr>
                <w:rFonts w:ascii="Arial" w:hAnsi="Arial" w:cs="Arial"/>
              </w:rPr>
            </w:pPr>
            <w:r w:rsidRPr="00827A49">
              <w:rPr>
                <w:rFonts w:ascii="Arial" w:hAnsi="Arial" w:cs="Arial"/>
              </w:rPr>
              <w:t>87</w:t>
            </w:r>
          </w:p>
        </w:tc>
      </w:tr>
      <w:tr w:rsidR="00B26BB1" w:rsidRPr="00827A49" w:rsidTr="008C02E3">
        <w:trPr>
          <w:trHeight w:val="60"/>
        </w:trPr>
        <w:tc>
          <w:tcPr>
            <w:tcW w:w="7710" w:type="dxa"/>
            <w:gridSpan w:val="4"/>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B26BB1" w:rsidRPr="00827A49" w:rsidRDefault="00B26BB1" w:rsidP="008C02E3">
            <w:pPr>
              <w:pStyle w:val="NoParagraphStyle"/>
              <w:spacing w:line="240" w:lineRule="auto"/>
              <w:textAlignment w:val="auto"/>
              <w:rPr>
                <w:rFonts w:ascii="Arial" w:hAnsi="Arial" w:cs="Arial"/>
                <w:color w:val="auto"/>
                <w:sz w:val="18"/>
                <w:szCs w:val="18"/>
                <w:lang w:val="en-US"/>
              </w:rPr>
            </w:pPr>
            <w:r w:rsidRPr="00827A49">
              <w:rPr>
                <w:rFonts w:ascii="Arial" w:hAnsi="Arial" w:cs="Arial"/>
                <w:sz w:val="18"/>
                <w:szCs w:val="18"/>
              </w:rPr>
              <w:t xml:space="preserve">Taxation </w:t>
            </w:r>
          </w:p>
        </w:tc>
      </w:tr>
      <w:tr w:rsidR="00B26BB1" w:rsidRPr="00827A49" w:rsidTr="008C02E3">
        <w:trPr>
          <w:trHeight w:val="60"/>
        </w:trPr>
        <w:tc>
          <w:tcPr>
            <w:tcW w:w="3261" w:type="dxa"/>
            <w:tcBorders>
              <w:top w:val="single" w:sz="8" w:space="0" w:color="000000"/>
              <w:left w:val="single" w:sz="8" w:space="0" w:color="000000"/>
              <w:bottom w:val="single" w:sz="8" w:space="0" w:color="000000"/>
              <w:right w:val="single" w:sz="8" w:space="0" w:color="000000"/>
            </w:tcBorders>
            <w:tcMar>
              <w:top w:w="80" w:type="dxa"/>
              <w:left w:w="397" w:type="dxa"/>
              <w:bottom w:w="80" w:type="dxa"/>
              <w:right w:w="80" w:type="dxa"/>
            </w:tcMar>
          </w:tcPr>
          <w:p w:rsidR="00B26BB1" w:rsidRPr="00827A49" w:rsidRDefault="00B26BB1" w:rsidP="008C02E3">
            <w:pPr>
              <w:pStyle w:val="bodycopy"/>
              <w:spacing w:after="0" w:line="240" w:lineRule="auto"/>
              <w:rPr>
                <w:rFonts w:ascii="Arial" w:hAnsi="Arial" w:cs="Arial"/>
              </w:rPr>
            </w:pPr>
            <w:r w:rsidRPr="00827A49">
              <w:rPr>
                <w:rFonts w:ascii="Arial" w:hAnsi="Arial" w:cs="Arial"/>
              </w:rPr>
              <w:t>Taxation Appeals Division</w:t>
            </w:r>
          </w:p>
        </w:tc>
        <w:tc>
          <w:tcPr>
            <w:tcW w:w="148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B26BB1" w:rsidRPr="00827A49" w:rsidRDefault="00B26BB1" w:rsidP="008C02E3">
            <w:pPr>
              <w:pStyle w:val="bodycopy"/>
              <w:spacing w:after="0" w:line="240" w:lineRule="auto"/>
              <w:jc w:val="right"/>
              <w:rPr>
                <w:rFonts w:ascii="Arial" w:hAnsi="Arial" w:cs="Arial"/>
              </w:rPr>
            </w:pPr>
            <w:r w:rsidRPr="00827A49">
              <w:rPr>
                <w:rFonts w:ascii="Arial" w:hAnsi="Arial" w:cs="Arial"/>
              </w:rPr>
              <w:t>85</w:t>
            </w:r>
          </w:p>
        </w:tc>
        <w:tc>
          <w:tcPr>
            <w:tcW w:w="148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B26BB1" w:rsidRPr="00827A49" w:rsidRDefault="00B26BB1" w:rsidP="008C02E3">
            <w:pPr>
              <w:pStyle w:val="bodycopy"/>
              <w:spacing w:after="0" w:line="240" w:lineRule="auto"/>
              <w:jc w:val="right"/>
              <w:rPr>
                <w:rFonts w:ascii="Arial" w:hAnsi="Arial" w:cs="Arial"/>
              </w:rPr>
            </w:pPr>
            <w:r w:rsidRPr="00827A49">
              <w:rPr>
                <w:rFonts w:ascii="Arial" w:hAnsi="Arial" w:cs="Arial"/>
              </w:rPr>
              <w:t>79</w:t>
            </w:r>
          </w:p>
        </w:tc>
        <w:tc>
          <w:tcPr>
            <w:tcW w:w="148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B26BB1" w:rsidRPr="00827A49" w:rsidRDefault="00B26BB1" w:rsidP="008C02E3">
            <w:pPr>
              <w:pStyle w:val="bodycopy"/>
              <w:spacing w:after="0" w:line="240" w:lineRule="auto"/>
              <w:jc w:val="right"/>
              <w:rPr>
                <w:rFonts w:ascii="Arial" w:hAnsi="Arial" w:cs="Arial"/>
              </w:rPr>
            </w:pPr>
            <w:r w:rsidRPr="00827A49">
              <w:rPr>
                <w:rFonts w:ascii="Arial" w:hAnsi="Arial" w:cs="Arial"/>
              </w:rPr>
              <w:t>85</w:t>
            </w:r>
          </w:p>
        </w:tc>
      </w:tr>
      <w:tr w:rsidR="00B26BB1" w:rsidRPr="00827A49" w:rsidTr="008C02E3">
        <w:trPr>
          <w:trHeight w:val="60"/>
        </w:trPr>
        <w:tc>
          <w:tcPr>
            <w:tcW w:w="3261" w:type="dxa"/>
            <w:tcBorders>
              <w:top w:val="single" w:sz="8" w:space="0" w:color="000000"/>
              <w:left w:val="single" w:sz="8" w:space="0" w:color="000000"/>
              <w:bottom w:val="single" w:sz="8" w:space="0" w:color="000000"/>
              <w:right w:val="single" w:sz="8" w:space="0" w:color="000000"/>
            </w:tcBorders>
            <w:tcMar>
              <w:top w:w="80" w:type="dxa"/>
              <w:left w:w="397" w:type="dxa"/>
              <w:bottom w:w="80" w:type="dxa"/>
              <w:right w:w="80" w:type="dxa"/>
            </w:tcMar>
          </w:tcPr>
          <w:p w:rsidR="00B26BB1" w:rsidRPr="00827A49" w:rsidRDefault="00B26BB1" w:rsidP="008C02E3">
            <w:pPr>
              <w:pStyle w:val="bodycopy"/>
              <w:spacing w:after="0" w:line="240" w:lineRule="auto"/>
              <w:rPr>
                <w:rFonts w:ascii="Arial" w:hAnsi="Arial" w:cs="Arial"/>
              </w:rPr>
            </w:pPr>
            <w:r w:rsidRPr="00827A49">
              <w:rPr>
                <w:rFonts w:ascii="Arial" w:hAnsi="Arial" w:cs="Arial"/>
              </w:rPr>
              <w:t>Small Taxation Claims Tribunal</w:t>
            </w:r>
          </w:p>
        </w:tc>
        <w:tc>
          <w:tcPr>
            <w:tcW w:w="148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B26BB1" w:rsidRPr="00827A49" w:rsidRDefault="00B26BB1" w:rsidP="008C02E3">
            <w:pPr>
              <w:pStyle w:val="bodycopy"/>
              <w:spacing w:after="0" w:line="240" w:lineRule="auto"/>
              <w:jc w:val="right"/>
              <w:rPr>
                <w:rFonts w:ascii="Arial" w:hAnsi="Arial" w:cs="Arial"/>
              </w:rPr>
            </w:pPr>
            <w:r w:rsidRPr="00827A49">
              <w:rPr>
                <w:rFonts w:ascii="Arial" w:hAnsi="Arial" w:cs="Arial"/>
              </w:rPr>
              <w:t>82</w:t>
            </w:r>
          </w:p>
        </w:tc>
        <w:tc>
          <w:tcPr>
            <w:tcW w:w="148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B26BB1" w:rsidRPr="00827A49" w:rsidRDefault="00B26BB1" w:rsidP="008C02E3">
            <w:pPr>
              <w:pStyle w:val="bodycopy"/>
              <w:spacing w:after="0" w:line="240" w:lineRule="auto"/>
              <w:jc w:val="right"/>
              <w:rPr>
                <w:rFonts w:ascii="Arial" w:hAnsi="Arial" w:cs="Arial"/>
              </w:rPr>
            </w:pPr>
            <w:r w:rsidRPr="00827A49">
              <w:rPr>
                <w:rFonts w:ascii="Arial" w:hAnsi="Arial" w:cs="Arial"/>
              </w:rPr>
              <w:t>90</w:t>
            </w:r>
          </w:p>
        </w:tc>
        <w:tc>
          <w:tcPr>
            <w:tcW w:w="148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B26BB1" w:rsidRPr="00827A49" w:rsidRDefault="00B26BB1" w:rsidP="008C02E3">
            <w:pPr>
              <w:pStyle w:val="bodycopy"/>
              <w:spacing w:after="0" w:line="240" w:lineRule="auto"/>
              <w:jc w:val="right"/>
              <w:rPr>
                <w:rFonts w:ascii="Arial" w:hAnsi="Arial" w:cs="Arial"/>
              </w:rPr>
            </w:pPr>
            <w:r w:rsidRPr="00827A49">
              <w:rPr>
                <w:rFonts w:ascii="Arial" w:hAnsi="Arial" w:cs="Arial"/>
              </w:rPr>
              <w:t>73</w:t>
            </w:r>
          </w:p>
        </w:tc>
      </w:tr>
    </w:tbl>
    <w:p w:rsidR="00B26BB1" w:rsidRPr="002E2F29" w:rsidRDefault="00B26BB1" w:rsidP="00B26BB1">
      <w:pPr>
        <w:rPr>
          <w:sz w:val="16"/>
          <w:szCs w:val="16"/>
        </w:rPr>
      </w:pPr>
    </w:p>
    <w:sectPr w:rsidR="00B26BB1" w:rsidRPr="002E2F29" w:rsidSect="00635C00">
      <w:headerReference w:type="default" r:id="rId22"/>
      <w:headerReference w:type="first" r:id="rId23"/>
      <w:pgSz w:w="11906" w:h="16838" w:code="9"/>
      <w:pgMar w:top="2381" w:right="1134" w:bottom="1134" w:left="2155" w:header="567"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9D3" w:rsidRDefault="00CF69D3" w:rsidP="00142194">
      <w:pPr>
        <w:pStyle w:val="Detail"/>
      </w:pPr>
      <w:r>
        <w:separator/>
      </w:r>
    </w:p>
  </w:endnote>
  <w:endnote w:type="continuationSeparator" w:id="0">
    <w:p w:rsidR="00CF69D3" w:rsidRDefault="00CF69D3" w:rsidP="00142194">
      <w:pPr>
        <w:pStyle w:val="Detai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Bold">
    <w:panose1 w:val="020B07040202020202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Bold">
    <w:altName w:val="Arial"/>
    <w:panose1 w:val="00000000000000000000"/>
    <w:charset w:val="4D"/>
    <w:family w:val="auto"/>
    <w:notTrueType/>
    <w:pitch w:val="default"/>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547" w:type="dxa"/>
      <w:tblInd w:w="2" w:type="dxa"/>
      <w:tblBorders>
        <w:top w:val="none" w:sz="0" w:space="0" w:color="auto"/>
        <w:left w:val="single" w:sz="2"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tblGrid>
    <w:tr w:rsidR="008C02E3" w:rsidTr="00E65437">
      <w:trPr>
        <w:trHeight w:hRule="exact" w:val="680"/>
      </w:trPr>
      <w:tc>
        <w:tcPr>
          <w:tcW w:w="8547" w:type="dxa"/>
          <w:tcMar>
            <w:left w:w="198" w:type="dxa"/>
          </w:tcMar>
          <w:vAlign w:val="center"/>
        </w:tcPr>
        <w:p w:rsidR="008C02E3" w:rsidRPr="00E65437" w:rsidRDefault="008C02E3" w:rsidP="00741F0D">
          <w:pPr>
            <w:pStyle w:val="Footer"/>
            <w:rPr>
              <w:rFonts w:hint="eastAsia"/>
            </w:rPr>
          </w:pPr>
          <w:r w:rsidRPr="00E65437">
            <w:t xml:space="preserve">PAGE </w:t>
          </w:r>
          <w:r w:rsidRPr="00E65437">
            <w:fldChar w:fldCharType="begin"/>
          </w:r>
          <w:r w:rsidRPr="00E65437">
            <w:instrText xml:space="preserve"> PAGE   \* MERGEFORMAT </w:instrText>
          </w:r>
          <w:r w:rsidRPr="00E65437">
            <w:fldChar w:fldCharType="separate"/>
          </w:r>
          <w:r w:rsidR="00D863BB">
            <w:rPr>
              <w:rFonts w:hint="eastAsia"/>
              <w:noProof/>
            </w:rPr>
            <w:t>18</w:t>
          </w:r>
          <w:r w:rsidRPr="00E65437">
            <w:fldChar w:fldCharType="end"/>
          </w:r>
        </w:p>
      </w:tc>
    </w:tr>
  </w:tbl>
  <w:p w:rsidR="008C02E3" w:rsidRDefault="008C02E3">
    <w:pPr>
      <w:pStyle w:val="Footer"/>
      <w:rPr>
        <w:rFonts w:hint="eastAsia"/>
      </w:rPr>
    </w:pPr>
  </w:p>
  <w:p w:rsidR="008C02E3" w:rsidRDefault="008C02E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547" w:type="dxa"/>
      <w:tblInd w:w="28" w:type="dxa"/>
      <w:tblBorders>
        <w:top w:val="none" w:sz="0" w:space="0" w:color="auto"/>
        <w:left w:val="single" w:sz="2"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47"/>
    </w:tblGrid>
    <w:tr w:rsidR="008C02E3" w:rsidTr="007B7D1A">
      <w:trPr>
        <w:trHeight w:hRule="exact" w:val="680"/>
      </w:trPr>
      <w:tc>
        <w:tcPr>
          <w:tcW w:w="8547" w:type="dxa"/>
          <w:tcMar>
            <w:left w:w="198" w:type="dxa"/>
          </w:tcMar>
          <w:vAlign w:val="center"/>
        </w:tcPr>
        <w:p w:rsidR="008C02E3" w:rsidRPr="00E65437" w:rsidRDefault="008C02E3" w:rsidP="00741F0D">
          <w:pPr>
            <w:pStyle w:val="Footer"/>
            <w:rPr>
              <w:rFonts w:hint="eastAsia"/>
            </w:rPr>
          </w:pPr>
          <w:r w:rsidRPr="00E65437">
            <w:t xml:space="preserve">PAGE </w:t>
          </w:r>
          <w:r w:rsidRPr="00E65437">
            <w:fldChar w:fldCharType="begin"/>
          </w:r>
          <w:r w:rsidRPr="00E65437">
            <w:instrText xml:space="preserve"> PAGE   \* MERGEFORMAT </w:instrText>
          </w:r>
          <w:r w:rsidRPr="00E65437">
            <w:fldChar w:fldCharType="separate"/>
          </w:r>
          <w:r w:rsidR="00D863BB">
            <w:rPr>
              <w:rFonts w:hint="eastAsia"/>
              <w:noProof/>
            </w:rPr>
            <w:t>1</w:t>
          </w:r>
          <w:r w:rsidRPr="00E65437">
            <w:fldChar w:fldCharType="end"/>
          </w:r>
        </w:p>
      </w:tc>
    </w:tr>
  </w:tbl>
  <w:p w:rsidR="008C02E3" w:rsidRDefault="008C02E3">
    <w:pPr>
      <w:pStyle w:val="Footer"/>
      <w:rPr>
        <w:rFonts w:hint="eastAsia"/>
      </w:rPr>
    </w:pPr>
  </w:p>
  <w:p w:rsidR="008C02E3" w:rsidRDefault="008C02E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9D3" w:rsidRDefault="00CF69D3" w:rsidP="00142194">
      <w:pPr>
        <w:pStyle w:val="Detail"/>
      </w:pPr>
      <w:r>
        <w:separator/>
      </w:r>
    </w:p>
  </w:footnote>
  <w:footnote w:type="continuationSeparator" w:id="0">
    <w:p w:rsidR="00CF69D3" w:rsidRDefault="00CF69D3" w:rsidP="00142194">
      <w:pPr>
        <w:pStyle w:val="Detail"/>
      </w:pPr>
      <w:r>
        <w:continuationSeparator/>
      </w:r>
    </w:p>
  </w:footnote>
  <w:footnote w:id="1">
    <w:p w:rsidR="008C02E3" w:rsidRDefault="008C02E3" w:rsidP="00B26BB1">
      <w:pPr>
        <w:pStyle w:val="FootnoteText"/>
        <w:spacing w:after="0"/>
      </w:pPr>
      <w:r>
        <w:rPr>
          <w:rStyle w:val="FootnoteReference"/>
        </w:rPr>
        <w:footnoteRef/>
      </w:r>
      <w:r>
        <w:t xml:space="preserve"> Section 2A of the AAT Act.</w:t>
      </w:r>
    </w:p>
  </w:footnote>
  <w:footnote w:id="2">
    <w:p w:rsidR="008C02E3" w:rsidRDefault="008C02E3" w:rsidP="00B26BB1">
      <w:pPr>
        <w:pStyle w:val="FootnoteText"/>
        <w:spacing w:after="0"/>
      </w:pPr>
      <w:r>
        <w:rPr>
          <w:rStyle w:val="FootnoteReference"/>
        </w:rPr>
        <w:footnoteRef/>
      </w:r>
      <w:r>
        <w:t xml:space="preserve"> S</w:t>
      </w:r>
      <w:r w:rsidRPr="00CE3EE1">
        <w:t>ection 33(1)(b)</w:t>
      </w:r>
      <w:r>
        <w:t xml:space="preserve"> of the AAT Act.</w:t>
      </w:r>
    </w:p>
  </w:footnote>
  <w:footnote w:id="3">
    <w:p w:rsidR="008C02E3" w:rsidRDefault="008C02E3" w:rsidP="00B26BB1">
      <w:pPr>
        <w:pStyle w:val="FootnoteText"/>
        <w:spacing w:after="0"/>
      </w:pPr>
      <w:r>
        <w:rPr>
          <w:rStyle w:val="FootnoteReference"/>
        </w:rPr>
        <w:footnoteRef/>
      </w:r>
      <w:r>
        <w:t xml:space="preserve"> </w:t>
      </w:r>
      <w:r w:rsidRPr="002A5CBF">
        <w:t xml:space="preserve">Further information about the AAT’s workload is contained in </w:t>
      </w:r>
      <w:hyperlink r:id="rId1" w:history="1">
        <w:r w:rsidRPr="002A5CBF">
          <w:rPr>
            <w:rStyle w:val="Hyperlink"/>
            <w:rFonts w:eastAsia="MS Mincho"/>
          </w:rPr>
          <w:t>Chapter 3</w:t>
        </w:r>
      </w:hyperlink>
      <w:r w:rsidRPr="002A5CBF">
        <w:t xml:space="preserve"> and </w:t>
      </w:r>
      <w:hyperlink r:id="rId2" w:history="1">
        <w:r w:rsidRPr="002A5CBF">
          <w:rPr>
            <w:rStyle w:val="Hyperlink"/>
            <w:rFonts w:eastAsia="MS Mincho"/>
          </w:rPr>
          <w:t>Appendix 4</w:t>
        </w:r>
      </w:hyperlink>
      <w:r>
        <w:t xml:space="preserve"> of the AAT’s </w:t>
      </w:r>
      <w:r w:rsidRPr="00162206">
        <w:rPr>
          <w:i/>
        </w:rPr>
        <w:t>Annual Report 2012-13</w:t>
      </w:r>
      <w:r>
        <w:t xml:space="preserve">. </w:t>
      </w:r>
    </w:p>
  </w:footnote>
  <w:footnote w:id="4">
    <w:p w:rsidR="008C02E3" w:rsidRDefault="008C02E3" w:rsidP="00B26BB1">
      <w:pPr>
        <w:pStyle w:val="FootnoteText"/>
        <w:spacing w:after="0"/>
      </w:pPr>
      <w:r>
        <w:rPr>
          <w:rStyle w:val="FootnoteReference"/>
        </w:rPr>
        <w:footnoteRef/>
      </w:r>
      <w:r>
        <w:t xml:space="preserve"> Section 32 of the AAT Act.</w:t>
      </w:r>
    </w:p>
  </w:footnote>
  <w:footnote w:id="5">
    <w:p w:rsidR="008C02E3" w:rsidRDefault="008C02E3" w:rsidP="00532CB7">
      <w:pPr>
        <w:pStyle w:val="FootnoteText"/>
        <w:spacing w:after="0"/>
        <w:jc w:val="both"/>
      </w:pPr>
      <w:r>
        <w:rPr>
          <w:rStyle w:val="FootnoteReference"/>
        </w:rPr>
        <w:footnoteRef/>
      </w:r>
      <w:r>
        <w:t xml:space="preserve"> The data reflects representation status when the application was finalised.  It </w:t>
      </w:r>
      <w:r w:rsidRPr="004D3AFE">
        <w:t>does not include information about the representation of par</w:t>
      </w:r>
      <w:r>
        <w:t>ties who were not</w:t>
      </w:r>
      <w:r w:rsidRPr="004D3AFE">
        <w:t xml:space="preserve"> individual</w:t>
      </w:r>
      <w:r>
        <w:t>s</w:t>
      </w:r>
      <w:r w:rsidRPr="004D3AFE">
        <w:t xml:space="preserve"> (</w:t>
      </w:r>
      <w:proofErr w:type="spellStart"/>
      <w:r w:rsidRPr="004D3AFE">
        <w:t>ie</w:t>
      </w:r>
      <w:proofErr w:type="spellEnd"/>
      <w:r w:rsidRPr="004D3AFE">
        <w:t xml:space="preserve"> companies</w:t>
      </w:r>
      <w:r>
        <w:t>, associations or</w:t>
      </w:r>
      <w:r w:rsidRPr="004D3AFE">
        <w:t xml:space="preserve"> other organisations).</w:t>
      </w:r>
    </w:p>
  </w:footnote>
  <w:footnote w:id="6">
    <w:p w:rsidR="008C02E3" w:rsidRDefault="008C02E3" w:rsidP="00B26BB1">
      <w:pPr>
        <w:pStyle w:val="FootnoteText"/>
        <w:spacing w:after="0"/>
      </w:pPr>
      <w:r>
        <w:rPr>
          <w:rStyle w:val="FootnoteReference"/>
        </w:rPr>
        <w:footnoteRef/>
      </w:r>
      <w:r>
        <w:t xml:space="preserve"> Section 27A of the AAT Act.</w:t>
      </w:r>
    </w:p>
  </w:footnote>
  <w:footnote w:id="7">
    <w:p w:rsidR="008C02E3" w:rsidRDefault="008C02E3" w:rsidP="00B26BB1">
      <w:pPr>
        <w:pStyle w:val="FootnoteText"/>
        <w:spacing w:after="0"/>
      </w:pPr>
      <w:r>
        <w:rPr>
          <w:rStyle w:val="FootnoteReference"/>
        </w:rPr>
        <w:footnoteRef/>
      </w:r>
      <w:r>
        <w:t xml:space="preserve"> Section 27B of the AAT Act.</w:t>
      </w:r>
    </w:p>
  </w:footnote>
  <w:footnote w:id="8">
    <w:p w:rsidR="008C02E3" w:rsidRDefault="008C02E3" w:rsidP="00B26BB1">
      <w:pPr>
        <w:pStyle w:val="FootnoteText"/>
        <w:spacing w:after="0"/>
      </w:pPr>
      <w:r>
        <w:rPr>
          <w:rStyle w:val="FootnoteReference"/>
        </w:rPr>
        <w:footnoteRef/>
      </w:r>
      <w:r>
        <w:t xml:space="preserve"> Section 29(1) of the AAT Act.</w:t>
      </w:r>
    </w:p>
  </w:footnote>
  <w:footnote w:id="9">
    <w:p w:rsidR="00BA6F27" w:rsidRDefault="00BA6F27">
      <w:pPr>
        <w:pStyle w:val="FootnoteText"/>
      </w:pPr>
      <w:r>
        <w:rPr>
          <w:rStyle w:val="FootnoteReference"/>
        </w:rPr>
        <w:footnoteRef/>
      </w:r>
      <w:r>
        <w:t xml:space="preserve"> </w:t>
      </w:r>
      <w:r w:rsidRPr="00BA6F27">
        <w:t>Section 29(7) of the AAT Act.</w:t>
      </w:r>
    </w:p>
  </w:footnote>
  <w:footnote w:id="10">
    <w:p w:rsidR="008C02E3" w:rsidRDefault="008C02E3" w:rsidP="00B26BB1">
      <w:pPr>
        <w:pStyle w:val="FootnoteText"/>
        <w:spacing w:after="0"/>
      </w:pPr>
      <w:r>
        <w:rPr>
          <w:rStyle w:val="FootnoteReference"/>
        </w:rPr>
        <w:footnoteRef/>
      </w:r>
      <w:r>
        <w:t xml:space="preserve"> </w:t>
      </w:r>
      <w:r w:rsidRPr="007A2C19">
        <w:t>Section 3(1) of the</w:t>
      </w:r>
      <w:r>
        <w:t xml:space="preserve"> AAT Act (definition of “</w:t>
      </w:r>
      <w:r w:rsidRPr="007A2C19">
        <w:t>alternative dispute resolution processes</w:t>
      </w:r>
      <w:r>
        <w:t>”).</w:t>
      </w:r>
    </w:p>
  </w:footnote>
  <w:footnote w:id="11">
    <w:p w:rsidR="008C02E3" w:rsidRPr="00D70408" w:rsidRDefault="008C02E3" w:rsidP="00B26BB1">
      <w:pPr>
        <w:pStyle w:val="FootnoteText"/>
        <w:spacing w:after="0"/>
      </w:pPr>
      <w:r w:rsidRPr="00D70408">
        <w:rPr>
          <w:rStyle w:val="FootnoteReference"/>
          <w:rFonts w:eastAsia="MS Mincho" w:cs="Arial"/>
        </w:rPr>
        <w:footnoteRef/>
      </w:r>
      <w:r w:rsidRPr="00D70408">
        <w:t xml:space="preserve"> </w:t>
      </w:r>
      <w:r>
        <w:t xml:space="preserve"> Section 33(1)(c) of the AAT Act.</w:t>
      </w:r>
    </w:p>
  </w:footnote>
  <w:footnote w:id="12">
    <w:p w:rsidR="008C02E3" w:rsidRPr="00F26702" w:rsidRDefault="008C02E3" w:rsidP="00F417E8">
      <w:pPr>
        <w:pStyle w:val="FootnoteText"/>
        <w:spacing w:after="0"/>
        <w:jc w:val="both"/>
      </w:pPr>
      <w:r>
        <w:rPr>
          <w:rStyle w:val="FootnoteReference"/>
        </w:rPr>
        <w:footnoteRef/>
      </w:r>
      <w:r>
        <w:t xml:space="preserve"> See Part IIIAA of the AAT Act. The </w:t>
      </w:r>
      <w:r w:rsidRPr="00083222">
        <w:t>AAT's Taxation Appeals Division</w:t>
      </w:r>
      <w:r>
        <w:t xml:space="preserve"> is known as the Small Taxation Claims Tribunal when reviewing certain tax decisions, including where the amount of tax in dispute is less than $5,000 and decisions about tax debt release (irrespective of the amount).</w:t>
      </w:r>
    </w:p>
  </w:footnote>
  <w:footnote w:id="13">
    <w:p w:rsidR="008C02E3" w:rsidRDefault="008C02E3" w:rsidP="00B26BB1">
      <w:pPr>
        <w:pStyle w:val="FootnoteText"/>
        <w:spacing w:after="0"/>
        <w:jc w:val="both"/>
      </w:pPr>
      <w:r>
        <w:rPr>
          <w:rStyle w:val="FootnoteReference"/>
        </w:rPr>
        <w:footnoteRef/>
      </w:r>
      <w:r>
        <w:t xml:space="preserve"> Further information about the AAT’s performance in 2012–</w:t>
      </w:r>
      <w:r w:rsidRPr="00A13BCA">
        <w:t>13</w:t>
      </w:r>
      <w:r>
        <w:t xml:space="preserve"> is contained in </w:t>
      </w:r>
      <w:hyperlink r:id="rId3" w:history="1">
        <w:r w:rsidRPr="002A5CBF">
          <w:rPr>
            <w:rStyle w:val="Hyperlink"/>
            <w:rFonts w:eastAsia="MS Mincho"/>
          </w:rPr>
          <w:t>Chapter 3</w:t>
        </w:r>
      </w:hyperlink>
      <w:r w:rsidRPr="002A5CBF">
        <w:t xml:space="preserve"> </w:t>
      </w:r>
      <w:r>
        <w:t xml:space="preserve">of the AAT’s </w:t>
      </w:r>
      <w:r w:rsidRPr="00162206">
        <w:rPr>
          <w:i/>
        </w:rPr>
        <w:t>Annual Report 2012-13</w:t>
      </w:r>
      <w:r>
        <w:t>.</w:t>
      </w:r>
    </w:p>
  </w:footnote>
  <w:footnote w:id="14">
    <w:p w:rsidR="008C02E3" w:rsidRPr="00E0144C" w:rsidRDefault="008C02E3" w:rsidP="00B26BB1">
      <w:pPr>
        <w:pStyle w:val="FootnoteText"/>
        <w:spacing w:after="0"/>
        <w:rPr>
          <w:i/>
        </w:rPr>
      </w:pPr>
      <w:r>
        <w:rPr>
          <w:rStyle w:val="FootnoteReference"/>
        </w:rPr>
        <w:footnoteRef/>
      </w:r>
      <w:r>
        <w:t xml:space="preserve"> </w:t>
      </w:r>
      <w:r w:rsidRPr="00E0144C">
        <w:t>Administrative Appeals Tribunal User Satisfaction Study Final Report</w:t>
      </w:r>
      <w:r>
        <w:t xml:space="preserve"> – June 2012.</w:t>
      </w:r>
    </w:p>
  </w:footnote>
  <w:footnote w:id="15">
    <w:p w:rsidR="008C02E3" w:rsidRDefault="008C02E3" w:rsidP="00B26BB1">
      <w:pPr>
        <w:pStyle w:val="FootnoteText"/>
        <w:spacing w:after="0"/>
      </w:pPr>
      <w:r>
        <w:rPr>
          <w:rStyle w:val="FootnoteReference"/>
        </w:rPr>
        <w:footnoteRef/>
      </w:r>
      <w:r>
        <w:t xml:space="preserve"> Sections 33(1)(a), (2) and (2A) of the AAT Act.</w:t>
      </w:r>
    </w:p>
  </w:footnote>
  <w:footnote w:id="16">
    <w:p w:rsidR="002C25E5" w:rsidRPr="00CC0102" w:rsidRDefault="002C25E5" w:rsidP="002C25E5">
      <w:pPr>
        <w:pStyle w:val="FootnoteText"/>
        <w:spacing w:after="0"/>
      </w:pPr>
      <w:r>
        <w:rPr>
          <w:rStyle w:val="FootnoteReference"/>
        </w:rPr>
        <w:footnoteRef/>
      </w:r>
      <w:r>
        <w:t xml:space="preserve"> See sections 37M, 37N and 37P of the </w:t>
      </w:r>
      <w:r>
        <w:rPr>
          <w:i/>
        </w:rPr>
        <w:t>Federal Court of Australia Act 1976</w:t>
      </w:r>
      <w:r>
        <w:t>.</w:t>
      </w:r>
    </w:p>
  </w:footnote>
  <w:footnote w:id="17">
    <w:p w:rsidR="008C02E3" w:rsidRDefault="008C02E3" w:rsidP="00B26BB1">
      <w:pPr>
        <w:pStyle w:val="FootnoteText"/>
        <w:spacing w:after="0"/>
      </w:pPr>
      <w:r>
        <w:rPr>
          <w:rStyle w:val="FootnoteReference"/>
        </w:rPr>
        <w:footnoteRef/>
      </w:r>
      <w:r>
        <w:t xml:space="preserve"> Section 33(1AA) of the AAT Act.</w:t>
      </w:r>
    </w:p>
  </w:footnote>
  <w:footnote w:id="18">
    <w:p w:rsidR="008C02E3" w:rsidRPr="00ED4BB6" w:rsidRDefault="008C02E3" w:rsidP="00B26BB1">
      <w:pPr>
        <w:pStyle w:val="FootnoteText"/>
        <w:spacing w:after="0"/>
      </w:pPr>
      <w:r>
        <w:rPr>
          <w:rStyle w:val="FootnoteReference"/>
        </w:rPr>
        <w:footnoteRef/>
      </w:r>
      <w:r>
        <w:t xml:space="preserve"> Sections 3 and 4 of </w:t>
      </w:r>
      <w:r w:rsidRPr="00ED4BB6">
        <w:t>Appendix B</w:t>
      </w:r>
      <w:r>
        <w:t xml:space="preserve"> to the </w:t>
      </w:r>
      <w:hyperlink r:id="rId4" w:history="1">
        <w:r w:rsidRPr="00422402">
          <w:rPr>
            <w:rStyle w:val="Hyperlink"/>
            <w:rFonts w:eastAsia="MS Mincho"/>
            <w:i/>
            <w:color w:val="auto"/>
            <w:u w:val="none"/>
          </w:rPr>
          <w:t>Legal Services Directions 2005</w:t>
        </w:r>
      </w:hyperlink>
      <w:r w:rsidRPr="00422402">
        <w:t>.</w:t>
      </w:r>
    </w:p>
  </w:footnote>
  <w:footnote w:id="19">
    <w:p w:rsidR="008C02E3" w:rsidRDefault="008C02E3" w:rsidP="00B26BB1">
      <w:pPr>
        <w:pStyle w:val="FootnoteText"/>
        <w:spacing w:after="0"/>
      </w:pPr>
      <w:r>
        <w:rPr>
          <w:rStyle w:val="FootnoteReference"/>
        </w:rPr>
        <w:footnoteRef/>
      </w:r>
      <w:r>
        <w:t xml:space="preserve"> Regulations 19A and 19B of the AAT Regulations.</w:t>
      </w:r>
    </w:p>
  </w:footnote>
  <w:footnote w:id="20">
    <w:p w:rsidR="008C02E3" w:rsidRDefault="008C02E3" w:rsidP="008935F8">
      <w:pPr>
        <w:pStyle w:val="FootnoteText"/>
        <w:spacing w:after="0"/>
        <w:jc w:val="both"/>
      </w:pPr>
      <w:r>
        <w:rPr>
          <w:rStyle w:val="FootnoteReference"/>
        </w:rPr>
        <w:footnoteRef/>
      </w:r>
      <w:r>
        <w:t xml:space="preserve"> The decisions in relation to which no fee is payable are set out in regulation 19(2) and Schedule 3 to the AAT Regulations.</w:t>
      </w:r>
    </w:p>
  </w:footnote>
  <w:footnote w:id="21">
    <w:p w:rsidR="008C02E3" w:rsidRDefault="008C02E3" w:rsidP="00B26BB1">
      <w:pPr>
        <w:pStyle w:val="FootnoteText"/>
        <w:spacing w:after="0"/>
      </w:pPr>
      <w:r>
        <w:rPr>
          <w:rStyle w:val="FootnoteReference"/>
        </w:rPr>
        <w:footnoteRef/>
      </w:r>
      <w:r>
        <w:t xml:space="preserve"> Regulations 19(6) and (6A) and 19AA(6) and (6B) of the AAT Regulations, </w:t>
      </w:r>
    </w:p>
  </w:footnote>
  <w:footnote w:id="22">
    <w:p w:rsidR="008C02E3" w:rsidRDefault="008C02E3" w:rsidP="008935F8">
      <w:pPr>
        <w:pStyle w:val="FootnoteText"/>
        <w:spacing w:after="0"/>
        <w:jc w:val="both"/>
      </w:pPr>
      <w:r>
        <w:rPr>
          <w:rStyle w:val="FootnoteReference"/>
        </w:rPr>
        <w:footnoteRef/>
      </w:r>
      <w:r w:rsidR="008935F8">
        <w:t xml:space="preserve"> Section 69C of the</w:t>
      </w:r>
      <w:r>
        <w:t xml:space="preserve"> AAT Act and regulations 19(6D) </w:t>
      </w:r>
      <w:r w:rsidR="00CD26BB">
        <w:t xml:space="preserve">and 19AA(6E) </w:t>
      </w:r>
      <w:r>
        <w:t xml:space="preserve">of the AAT Regulations. </w:t>
      </w:r>
    </w:p>
  </w:footnote>
  <w:footnote w:id="23">
    <w:p w:rsidR="008C02E3" w:rsidRDefault="008C02E3" w:rsidP="008935F8">
      <w:pPr>
        <w:pStyle w:val="FootnoteText"/>
        <w:spacing w:after="0"/>
        <w:jc w:val="both"/>
      </w:pPr>
      <w:r>
        <w:rPr>
          <w:rStyle w:val="FootnoteReference"/>
        </w:rPr>
        <w:footnoteRef/>
      </w:r>
      <w:r>
        <w:t xml:space="preserve"> Regulations 19(8) and (9) and 19AA(8) and (9).  </w:t>
      </w:r>
      <w:r>
        <w:rPr>
          <w:lang w:eastAsia="en-AU"/>
        </w:rPr>
        <w:t xml:space="preserve">For more information about the AAT’s application fees and refunds, see the </w:t>
      </w:r>
      <w:hyperlink r:id="rId5" w:history="1">
        <w:r w:rsidRPr="0064581B">
          <w:rPr>
            <w:rStyle w:val="Hyperlink"/>
            <w:rFonts w:eastAsia="MS Mincho" w:cs="Arial"/>
            <w:szCs w:val="22"/>
            <w:lang w:eastAsia="en-AU"/>
          </w:rPr>
          <w:t>AAT website</w:t>
        </w:r>
      </w:hyperlink>
      <w:r>
        <w:rPr>
          <w:lang w:eastAsia="en-AU"/>
        </w:rPr>
        <w:t>.</w:t>
      </w:r>
    </w:p>
  </w:footnote>
  <w:footnote w:id="24">
    <w:p w:rsidR="008C02E3" w:rsidRDefault="008C02E3" w:rsidP="00A5348F">
      <w:pPr>
        <w:pStyle w:val="FootnoteText"/>
        <w:spacing w:after="0"/>
      </w:pPr>
      <w:r>
        <w:rPr>
          <w:rStyle w:val="FootnoteReference"/>
        </w:rPr>
        <w:footnoteRef/>
      </w:r>
      <w:r>
        <w:t xml:space="preserve"> </w:t>
      </w:r>
      <w:hyperlink r:id="rId6" w:history="1">
        <w:r w:rsidRPr="00532CB7">
          <w:rPr>
            <w:rStyle w:val="Hyperlink"/>
          </w:rPr>
          <w:t>Appendix 6</w:t>
        </w:r>
      </w:hyperlink>
      <w:r>
        <w:t>.</w:t>
      </w:r>
    </w:p>
  </w:footnote>
  <w:footnote w:id="25">
    <w:p w:rsidR="008C02E3" w:rsidRDefault="008C02E3" w:rsidP="00876825">
      <w:pPr>
        <w:pStyle w:val="FootnoteText"/>
        <w:spacing w:after="0"/>
      </w:pPr>
      <w:r>
        <w:rPr>
          <w:rStyle w:val="FootnoteReference"/>
        </w:rPr>
        <w:footnoteRef/>
      </w:r>
      <w:r>
        <w:t xml:space="preserve"> See section 69B of the AAT Act.</w:t>
      </w:r>
    </w:p>
  </w:footnote>
  <w:footnote w:id="26">
    <w:p w:rsidR="008C02E3" w:rsidRDefault="008C02E3" w:rsidP="008935F8">
      <w:pPr>
        <w:pStyle w:val="FootnoteText"/>
        <w:spacing w:after="0"/>
        <w:jc w:val="both"/>
      </w:pPr>
      <w:r>
        <w:rPr>
          <w:rStyle w:val="FootnoteReference"/>
        </w:rPr>
        <w:footnoteRef/>
      </w:r>
      <w:r>
        <w:t xml:space="preserve"> It is noted that the AAT has the power to order a party to pay costs if it has acted unreasonably </w:t>
      </w:r>
      <w:r w:rsidR="00CD26BB">
        <w:t xml:space="preserve">only </w:t>
      </w:r>
      <w:r>
        <w:t>in relation to applications for review of decisions u</w:t>
      </w:r>
      <w:r w:rsidRPr="00876825">
        <w:t xml:space="preserve">nder the </w:t>
      </w:r>
      <w:r w:rsidRPr="00876825">
        <w:rPr>
          <w:i/>
        </w:rPr>
        <w:t>Mutual Recognition Act 1992</w:t>
      </w:r>
      <w:r w:rsidRPr="00876825">
        <w:t xml:space="preserve"> and the </w:t>
      </w:r>
      <w:r w:rsidRPr="00876825">
        <w:rPr>
          <w:i/>
        </w:rPr>
        <w:t>Trans-Tasman Mutual Recognition Act 1997</w:t>
      </w:r>
      <w:r w:rsidRPr="00876825">
        <w:t>.</w:t>
      </w:r>
    </w:p>
  </w:footnote>
  <w:footnote w:id="27">
    <w:p w:rsidR="008C02E3" w:rsidRPr="00E2172B" w:rsidRDefault="008C02E3" w:rsidP="00424C75">
      <w:pPr>
        <w:pStyle w:val="FootnoteText"/>
        <w:spacing w:after="0"/>
      </w:pPr>
      <w:r w:rsidRPr="00E2172B">
        <w:rPr>
          <w:rStyle w:val="FootnoteReference"/>
          <w:rFonts w:eastAsia="MS Mincho" w:cs="Arial"/>
        </w:rPr>
        <w:footnoteRef/>
      </w:r>
      <w:r w:rsidRPr="00E2172B">
        <w:t xml:space="preserve"> </w:t>
      </w:r>
      <w:r>
        <w:t xml:space="preserve"> Section 35A of the AAT Act.</w:t>
      </w:r>
    </w:p>
  </w:footnote>
  <w:footnote w:id="28">
    <w:p w:rsidR="008C02E3" w:rsidRDefault="008C02E3" w:rsidP="00B26BB1">
      <w:pPr>
        <w:pStyle w:val="FootnoteText"/>
        <w:jc w:val="both"/>
      </w:pPr>
      <w:r>
        <w:rPr>
          <w:rStyle w:val="FootnoteReference"/>
        </w:rPr>
        <w:footnoteRef/>
      </w:r>
      <w:r>
        <w:t xml:space="preserve"> </w:t>
      </w:r>
      <w:r w:rsidRPr="00AB3D6B">
        <w:t xml:space="preserve">Applications finalised by the </w:t>
      </w:r>
      <w:r>
        <w:t>AAT</w:t>
      </w:r>
      <w:r w:rsidRPr="00AB3D6B">
        <w:t xml:space="preserve"> without it completing the review and giving a decision on the merits under section 43 of the </w:t>
      </w:r>
      <w:r>
        <w:t>AAT Act</w:t>
      </w:r>
      <w:r w:rsidRPr="00AB3D6B">
        <w:t>. Includes applications finalised in accordance with terms of agreemen</w:t>
      </w:r>
      <w:r>
        <w:t>t lodged by the parties (section</w:t>
      </w:r>
      <w:r w:rsidRPr="00AB3D6B">
        <w:t>s 34D and 42C), applications wit</w:t>
      </w:r>
      <w:r>
        <w:t>hdrawn by the applicant (section</w:t>
      </w:r>
      <w:r w:rsidRPr="00AB3D6B">
        <w:t xml:space="preserve"> 42A(1A)) and applications di</w:t>
      </w:r>
      <w:r>
        <w:t>smissed by the AAT (section</w:t>
      </w:r>
      <w:r w:rsidRPr="00AB3D6B">
        <w:t>s 42A and 42B).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2E3" w:rsidRDefault="008C02E3" w:rsidP="00635C00">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597" w:type="dxa"/>
      <w:tblInd w:w="-1531" w:type="dxa"/>
      <w:tblLayout w:type="fixed"/>
      <w:tblCellMar>
        <w:left w:w="0" w:type="dxa"/>
        <w:right w:w="0" w:type="dxa"/>
      </w:tblCellMar>
      <w:tblLook w:val="00A0" w:firstRow="1" w:lastRow="0" w:firstColumn="1" w:lastColumn="0" w:noHBand="0" w:noVBand="0"/>
    </w:tblPr>
    <w:tblGrid>
      <w:gridCol w:w="7446"/>
      <w:gridCol w:w="3151"/>
    </w:tblGrid>
    <w:tr w:rsidR="008C02E3" w:rsidTr="007B7D1A">
      <w:trPr>
        <w:trHeight w:hRule="exact" w:val="743"/>
      </w:trPr>
      <w:tc>
        <w:tcPr>
          <w:tcW w:w="7446" w:type="dxa"/>
          <w:vMerge w:val="restart"/>
          <w:vAlign w:val="bottom"/>
        </w:tcPr>
        <w:p w:rsidR="008C02E3" w:rsidRDefault="008C02E3" w:rsidP="00296263">
          <w:pPr>
            <w:pStyle w:val="Header"/>
          </w:pPr>
          <w:r w:rsidRPr="00296263">
            <w:rPr>
              <w:noProof/>
              <w:lang w:eastAsia="en-AU"/>
            </w:rPr>
            <w:drawing>
              <wp:inline distT="0" distB="0" distL="0" distR="0" wp14:anchorId="71242A37" wp14:editId="13746D01">
                <wp:extent cx="2471576" cy="61200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rotWithShape="1">
                        <a:blip r:embed="rId1" cstate="print">
                          <a:extLst>
                            <a:ext uri="{28A0092B-C50C-407E-A947-70E740481C1C}">
                              <a14:useLocalDpi xmlns:a14="http://schemas.microsoft.com/office/drawing/2010/main" val="0"/>
                            </a:ext>
                          </a:extLst>
                        </a:blip>
                        <a:srcRect b="-4576"/>
                        <a:stretch/>
                      </pic:blipFill>
                      <pic:spPr bwMode="auto">
                        <a:xfrm>
                          <a:off x="0" y="0"/>
                          <a:ext cx="2485644" cy="615483"/>
                        </a:xfrm>
                        <a:prstGeom prst="rect">
                          <a:avLst/>
                        </a:prstGeom>
                        <a:ln>
                          <a:noFill/>
                        </a:ln>
                        <a:extLst>
                          <a:ext uri="{53640926-AAD7-44D8-BBD7-CCE9431645EC}">
                            <a14:shadowObscured xmlns:a14="http://schemas.microsoft.com/office/drawing/2010/main"/>
                          </a:ext>
                        </a:extLst>
                      </pic:spPr>
                    </pic:pic>
                  </a:graphicData>
                </a:graphic>
              </wp:inline>
            </w:drawing>
          </w:r>
        </w:p>
      </w:tc>
      <w:tc>
        <w:tcPr>
          <w:tcW w:w="3151" w:type="dxa"/>
          <w:tcMar>
            <w:left w:w="28" w:type="dxa"/>
          </w:tcMar>
          <w:vAlign w:val="center"/>
        </w:tcPr>
        <w:p w:rsidR="008C02E3" w:rsidRPr="009526B8" w:rsidRDefault="008C02E3" w:rsidP="00276C6F">
          <w:pPr>
            <w:pStyle w:val="Header"/>
            <w:spacing w:before="200"/>
          </w:pPr>
          <w:bookmarkStart w:id="1" w:name="HeaderRegistry"/>
          <w:bookmarkEnd w:id="1"/>
        </w:p>
      </w:tc>
    </w:tr>
    <w:tr w:rsidR="008C02E3" w:rsidTr="007B7D1A">
      <w:trPr>
        <w:trHeight w:val="478"/>
      </w:trPr>
      <w:tc>
        <w:tcPr>
          <w:tcW w:w="7446" w:type="dxa"/>
          <w:vMerge/>
        </w:tcPr>
        <w:p w:rsidR="008C02E3" w:rsidRDefault="008C02E3" w:rsidP="00B74F59">
          <w:pPr>
            <w:pStyle w:val="Header"/>
            <w:rPr>
              <w:noProof/>
              <w:lang w:eastAsia="en-AU"/>
            </w:rPr>
          </w:pPr>
        </w:p>
      </w:tc>
      <w:tc>
        <w:tcPr>
          <w:tcW w:w="3151" w:type="dxa"/>
          <w:tcMar>
            <w:top w:w="28" w:type="dxa"/>
            <w:left w:w="28" w:type="dxa"/>
          </w:tcMar>
        </w:tcPr>
        <w:p w:rsidR="008C02E3" w:rsidRDefault="008C02E3" w:rsidP="006A14D6">
          <w:pPr>
            <w:pStyle w:val="DocType"/>
            <w:rPr>
              <w:noProof/>
            </w:rPr>
          </w:pPr>
        </w:p>
      </w:tc>
    </w:tr>
  </w:tbl>
  <w:p w:rsidR="008C02E3" w:rsidRDefault="008C02E3" w:rsidP="00F717EA">
    <w:pPr>
      <w:pStyle w:val="Header"/>
    </w:pPr>
  </w:p>
  <w:p w:rsidR="008C02E3" w:rsidRDefault="008C02E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C00" w:rsidRPr="00635C00" w:rsidRDefault="00635C00" w:rsidP="00635C00">
    <w:pPr>
      <w:pStyle w:val="Header"/>
      <w:jc w:val="right"/>
      <w:rPr>
        <w:szCs w:val="18"/>
      </w:rPr>
    </w:pPr>
  </w:p>
  <w:p w:rsidR="00635C00" w:rsidRPr="00635C00" w:rsidRDefault="00635C00" w:rsidP="00635C00">
    <w:pPr>
      <w:pStyle w:val="Header"/>
      <w:jc w:val="right"/>
      <w:rPr>
        <w:szCs w:val="18"/>
      </w:rPr>
    </w:pPr>
  </w:p>
  <w:p w:rsidR="00635C00" w:rsidRPr="00635C00" w:rsidRDefault="00635C00" w:rsidP="00635C00">
    <w:pPr>
      <w:pStyle w:val="Header"/>
      <w:jc w:val="right"/>
      <w:rPr>
        <w:sz w:val="22"/>
        <w:szCs w:val="22"/>
      </w:rPr>
    </w:pPr>
    <w:r w:rsidRPr="00B26BB1">
      <w:rPr>
        <w:sz w:val="24"/>
        <w:szCs w:val="24"/>
      </w:rPr>
      <w:t>ATTACHMENT a</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2E3" w:rsidRDefault="008C02E3" w:rsidP="00B26BB1">
    <w:pPr>
      <w:jc w:val="right"/>
    </w:pPr>
  </w:p>
  <w:p w:rsidR="008C02E3" w:rsidRDefault="00635C00" w:rsidP="00635C00">
    <w:pPr>
      <w:pStyle w:val="Header"/>
      <w:jc w:val="right"/>
    </w:pPr>
    <w:r w:rsidRPr="00B26BB1">
      <w:rPr>
        <w:sz w:val="24"/>
        <w:szCs w:val="24"/>
      </w:rPr>
      <w:t>ATTACHMENT a</w:t>
    </w:r>
  </w:p>
  <w:p w:rsidR="008C02E3" w:rsidRDefault="008C02E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31050"/>
    <w:multiLevelType w:val="hybridMultilevel"/>
    <w:tmpl w:val="11DEC31E"/>
    <w:lvl w:ilvl="0" w:tplc="5D7CFA58">
      <w:start w:val="1"/>
      <w:numFmt w:val="bullet"/>
      <w:lvlText w:val=""/>
      <w:lvlJc w:val="left"/>
      <w:pPr>
        <w:ind w:left="720" w:hanging="360"/>
      </w:pPr>
      <w:rPr>
        <w:rFonts w:ascii="Symbol" w:hAnsi="Symbol" w:hint="default"/>
      </w:rPr>
    </w:lvl>
    <w:lvl w:ilvl="1" w:tplc="7152D83E">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2377D5B"/>
    <w:multiLevelType w:val="hybridMultilevel"/>
    <w:tmpl w:val="9E2EC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3DB32D1"/>
    <w:multiLevelType w:val="hybridMultilevel"/>
    <w:tmpl w:val="92123A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7CD0FDE"/>
    <w:multiLevelType w:val="multilevel"/>
    <w:tmpl w:val="FB1CF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EB2D22"/>
    <w:multiLevelType w:val="multilevel"/>
    <w:tmpl w:val="27CC09C0"/>
    <w:numStyleLink w:val="Bullets"/>
  </w:abstractNum>
  <w:abstractNum w:abstractNumId="5">
    <w:nsid w:val="42173B16"/>
    <w:multiLevelType w:val="multilevel"/>
    <w:tmpl w:val="18D28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F8699A"/>
    <w:multiLevelType w:val="hybridMultilevel"/>
    <w:tmpl w:val="229031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2391659"/>
    <w:multiLevelType w:val="hybridMultilevel"/>
    <w:tmpl w:val="2B34B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3970FCF"/>
    <w:multiLevelType w:val="multilevel"/>
    <w:tmpl w:val="7020D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313560"/>
    <w:multiLevelType w:val="hybridMultilevel"/>
    <w:tmpl w:val="C8F4EE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nsid w:val="78163382"/>
    <w:multiLevelType w:val="hybridMultilevel"/>
    <w:tmpl w:val="9970D7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A3B0914"/>
    <w:multiLevelType w:val="multilevel"/>
    <w:tmpl w:val="27CC09C0"/>
    <w:styleLink w:val="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3"/>
  </w:num>
  <w:num w:numId="4">
    <w:abstractNumId w:val="0"/>
  </w:num>
  <w:num w:numId="5">
    <w:abstractNumId w:val="10"/>
  </w:num>
  <w:num w:numId="6">
    <w:abstractNumId w:val="8"/>
  </w:num>
  <w:num w:numId="7">
    <w:abstractNumId w:val="5"/>
  </w:num>
  <w:num w:numId="8">
    <w:abstractNumId w:val="7"/>
  </w:num>
  <w:num w:numId="9">
    <w:abstractNumId w:val="2"/>
  </w:num>
  <w:num w:numId="10">
    <w:abstractNumId w:val="6"/>
  </w:num>
  <w:num w:numId="11">
    <w:abstractNumId w:val="9"/>
  </w:num>
  <w:num w:numId="1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4D6"/>
    <w:rsid w:val="00000DEF"/>
    <w:rsid w:val="00007036"/>
    <w:rsid w:val="00014067"/>
    <w:rsid w:val="00015AC1"/>
    <w:rsid w:val="00017AC9"/>
    <w:rsid w:val="00021246"/>
    <w:rsid w:val="0002372E"/>
    <w:rsid w:val="00031A93"/>
    <w:rsid w:val="0003589C"/>
    <w:rsid w:val="00041EA8"/>
    <w:rsid w:val="00056EC9"/>
    <w:rsid w:val="00063051"/>
    <w:rsid w:val="000646B6"/>
    <w:rsid w:val="000654A6"/>
    <w:rsid w:val="00080418"/>
    <w:rsid w:val="000820F1"/>
    <w:rsid w:val="0008256D"/>
    <w:rsid w:val="0008267A"/>
    <w:rsid w:val="000835F1"/>
    <w:rsid w:val="0008673E"/>
    <w:rsid w:val="0008727F"/>
    <w:rsid w:val="000953BC"/>
    <w:rsid w:val="000A0F13"/>
    <w:rsid w:val="000A33DF"/>
    <w:rsid w:val="000A3A76"/>
    <w:rsid w:val="000A3E90"/>
    <w:rsid w:val="000A4724"/>
    <w:rsid w:val="000B0218"/>
    <w:rsid w:val="000B12F0"/>
    <w:rsid w:val="000B6D30"/>
    <w:rsid w:val="000B715E"/>
    <w:rsid w:val="000C272C"/>
    <w:rsid w:val="000C2A18"/>
    <w:rsid w:val="000C4165"/>
    <w:rsid w:val="000C60F9"/>
    <w:rsid w:val="000D3C4A"/>
    <w:rsid w:val="000E25B1"/>
    <w:rsid w:val="000E2620"/>
    <w:rsid w:val="000F4334"/>
    <w:rsid w:val="000F6453"/>
    <w:rsid w:val="000F6CC7"/>
    <w:rsid w:val="00100DE1"/>
    <w:rsid w:val="00107E7A"/>
    <w:rsid w:val="00110A08"/>
    <w:rsid w:val="00112ADE"/>
    <w:rsid w:val="001130FF"/>
    <w:rsid w:val="001159D4"/>
    <w:rsid w:val="001167D6"/>
    <w:rsid w:val="00116E13"/>
    <w:rsid w:val="00122256"/>
    <w:rsid w:val="00133457"/>
    <w:rsid w:val="00137501"/>
    <w:rsid w:val="00140B05"/>
    <w:rsid w:val="00142194"/>
    <w:rsid w:val="00144449"/>
    <w:rsid w:val="00146444"/>
    <w:rsid w:val="00146EF3"/>
    <w:rsid w:val="001530D4"/>
    <w:rsid w:val="00161F8B"/>
    <w:rsid w:val="00167691"/>
    <w:rsid w:val="00173C59"/>
    <w:rsid w:val="0017759C"/>
    <w:rsid w:val="0018362C"/>
    <w:rsid w:val="00186AAA"/>
    <w:rsid w:val="00196378"/>
    <w:rsid w:val="001A1CB9"/>
    <w:rsid w:val="001A2D18"/>
    <w:rsid w:val="001A4647"/>
    <w:rsid w:val="001A48D5"/>
    <w:rsid w:val="001A79E3"/>
    <w:rsid w:val="001B0899"/>
    <w:rsid w:val="001B1790"/>
    <w:rsid w:val="001B2F6B"/>
    <w:rsid w:val="001B2F7C"/>
    <w:rsid w:val="001B75AB"/>
    <w:rsid w:val="001C14B5"/>
    <w:rsid w:val="001C3947"/>
    <w:rsid w:val="001C5AA0"/>
    <w:rsid w:val="001C6282"/>
    <w:rsid w:val="001D1255"/>
    <w:rsid w:val="001D245E"/>
    <w:rsid w:val="001D2C99"/>
    <w:rsid w:val="001E3AF6"/>
    <w:rsid w:val="001E75DE"/>
    <w:rsid w:val="001E7F84"/>
    <w:rsid w:val="002007AE"/>
    <w:rsid w:val="002032BC"/>
    <w:rsid w:val="00203B76"/>
    <w:rsid w:val="00204DB2"/>
    <w:rsid w:val="00206BD8"/>
    <w:rsid w:val="00210AB5"/>
    <w:rsid w:val="00216044"/>
    <w:rsid w:val="00216721"/>
    <w:rsid w:val="002212F4"/>
    <w:rsid w:val="00222686"/>
    <w:rsid w:val="002246E3"/>
    <w:rsid w:val="00224D83"/>
    <w:rsid w:val="002264D1"/>
    <w:rsid w:val="00227011"/>
    <w:rsid w:val="00240E71"/>
    <w:rsid w:val="00241CBA"/>
    <w:rsid w:val="00244694"/>
    <w:rsid w:val="00255374"/>
    <w:rsid w:val="00255643"/>
    <w:rsid w:val="00256E0E"/>
    <w:rsid w:val="002605C1"/>
    <w:rsid w:val="00271DA7"/>
    <w:rsid w:val="00272F8A"/>
    <w:rsid w:val="00276C6F"/>
    <w:rsid w:val="00281739"/>
    <w:rsid w:val="00287E27"/>
    <w:rsid w:val="00290F76"/>
    <w:rsid w:val="00296263"/>
    <w:rsid w:val="002962C2"/>
    <w:rsid w:val="002A0D3E"/>
    <w:rsid w:val="002A21BA"/>
    <w:rsid w:val="002A31FC"/>
    <w:rsid w:val="002A3359"/>
    <w:rsid w:val="002A42AE"/>
    <w:rsid w:val="002A670D"/>
    <w:rsid w:val="002B413A"/>
    <w:rsid w:val="002C25E5"/>
    <w:rsid w:val="002C557A"/>
    <w:rsid w:val="002D1B52"/>
    <w:rsid w:val="002D4B49"/>
    <w:rsid w:val="002E2354"/>
    <w:rsid w:val="002E2F29"/>
    <w:rsid w:val="002F552F"/>
    <w:rsid w:val="0030622C"/>
    <w:rsid w:val="00313F63"/>
    <w:rsid w:val="003302EE"/>
    <w:rsid w:val="00332094"/>
    <w:rsid w:val="00340C72"/>
    <w:rsid w:val="00341752"/>
    <w:rsid w:val="003567CA"/>
    <w:rsid w:val="00356C7E"/>
    <w:rsid w:val="00357636"/>
    <w:rsid w:val="00371225"/>
    <w:rsid w:val="003722E7"/>
    <w:rsid w:val="00374290"/>
    <w:rsid w:val="003756F8"/>
    <w:rsid w:val="00377876"/>
    <w:rsid w:val="00382C50"/>
    <w:rsid w:val="00394DE4"/>
    <w:rsid w:val="003A7505"/>
    <w:rsid w:val="003B2945"/>
    <w:rsid w:val="003B5B80"/>
    <w:rsid w:val="003C04EB"/>
    <w:rsid w:val="003C465F"/>
    <w:rsid w:val="003C6195"/>
    <w:rsid w:val="003D15D3"/>
    <w:rsid w:val="003E4AB2"/>
    <w:rsid w:val="003E63CE"/>
    <w:rsid w:val="003F6EDF"/>
    <w:rsid w:val="004029C8"/>
    <w:rsid w:val="00406694"/>
    <w:rsid w:val="00411F2A"/>
    <w:rsid w:val="00415207"/>
    <w:rsid w:val="00416100"/>
    <w:rsid w:val="00422402"/>
    <w:rsid w:val="0042252A"/>
    <w:rsid w:val="00423E7D"/>
    <w:rsid w:val="00424C75"/>
    <w:rsid w:val="00430878"/>
    <w:rsid w:val="00432601"/>
    <w:rsid w:val="0043775F"/>
    <w:rsid w:val="00437A46"/>
    <w:rsid w:val="00440590"/>
    <w:rsid w:val="004426EC"/>
    <w:rsid w:val="004430FC"/>
    <w:rsid w:val="00445F7E"/>
    <w:rsid w:val="00452251"/>
    <w:rsid w:val="0047663A"/>
    <w:rsid w:val="00481BCD"/>
    <w:rsid w:val="00491408"/>
    <w:rsid w:val="004A02F7"/>
    <w:rsid w:val="004A45ED"/>
    <w:rsid w:val="004B55CB"/>
    <w:rsid w:val="004B6578"/>
    <w:rsid w:val="004C627C"/>
    <w:rsid w:val="004C67CA"/>
    <w:rsid w:val="004C695D"/>
    <w:rsid w:val="004D131F"/>
    <w:rsid w:val="004D1519"/>
    <w:rsid w:val="004D3F22"/>
    <w:rsid w:val="004D6B73"/>
    <w:rsid w:val="004E2075"/>
    <w:rsid w:val="004F399E"/>
    <w:rsid w:val="004F4ED9"/>
    <w:rsid w:val="00511881"/>
    <w:rsid w:val="00512463"/>
    <w:rsid w:val="00512679"/>
    <w:rsid w:val="00516006"/>
    <w:rsid w:val="00523BDD"/>
    <w:rsid w:val="0052531B"/>
    <w:rsid w:val="005253A4"/>
    <w:rsid w:val="00532CB7"/>
    <w:rsid w:val="00535F79"/>
    <w:rsid w:val="005406D2"/>
    <w:rsid w:val="005423C9"/>
    <w:rsid w:val="00544BFD"/>
    <w:rsid w:val="00545113"/>
    <w:rsid w:val="00545CFD"/>
    <w:rsid w:val="005465C4"/>
    <w:rsid w:val="00547D00"/>
    <w:rsid w:val="00551B4F"/>
    <w:rsid w:val="00560A87"/>
    <w:rsid w:val="005673F3"/>
    <w:rsid w:val="00577244"/>
    <w:rsid w:val="00582306"/>
    <w:rsid w:val="00587672"/>
    <w:rsid w:val="00587F42"/>
    <w:rsid w:val="00591C71"/>
    <w:rsid w:val="00595032"/>
    <w:rsid w:val="005A2F06"/>
    <w:rsid w:val="005A36AD"/>
    <w:rsid w:val="005A5F4A"/>
    <w:rsid w:val="005B0E6C"/>
    <w:rsid w:val="005B2C45"/>
    <w:rsid w:val="005B3FFB"/>
    <w:rsid w:val="005B4AA5"/>
    <w:rsid w:val="005B62FD"/>
    <w:rsid w:val="005C0F20"/>
    <w:rsid w:val="005D1B72"/>
    <w:rsid w:val="005D57AE"/>
    <w:rsid w:val="005D7704"/>
    <w:rsid w:val="005E126B"/>
    <w:rsid w:val="005F1C1B"/>
    <w:rsid w:val="005F3B96"/>
    <w:rsid w:val="005F5CC4"/>
    <w:rsid w:val="005F6429"/>
    <w:rsid w:val="005F6666"/>
    <w:rsid w:val="005F7DB4"/>
    <w:rsid w:val="00601C70"/>
    <w:rsid w:val="0060391E"/>
    <w:rsid w:val="006053AD"/>
    <w:rsid w:val="00607848"/>
    <w:rsid w:val="00615758"/>
    <w:rsid w:val="00624058"/>
    <w:rsid w:val="0062506D"/>
    <w:rsid w:val="00626A56"/>
    <w:rsid w:val="00626DBC"/>
    <w:rsid w:val="006308CA"/>
    <w:rsid w:val="00633E6D"/>
    <w:rsid w:val="006356B8"/>
    <w:rsid w:val="00635C00"/>
    <w:rsid w:val="006367C2"/>
    <w:rsid w:val="006414B2"/>
    <w:rsid w:val="00644614"/>
    <w:rsid w:val="00655F24"/>
    <w:rsid w:val="006622BC"/>
    <w:rsid w:val="0067426B"/>
    <w:rsid w:val="006757A9"/>
    <w:rsid w:val="00677016"/>
    <w:rsid w:val="00680AAF"/>
    <w:rsid w:val="0068261F"/>
    <w:rsid w:val="0068414D"/>
    <w:rsid w:val="00686D29"/>
    <w:rsid w:val="006908EE"/>
    <w:rsid w:val="006919B2"/>
    <w:rsid w:val="00692219"/>
    <w:rsid w:val="00694DCD"/>
    <w:rsid w:val="00695F0E"/>
    <w:rsid w:val="006974BD"/>
    <w:rsid w:val="006A14D6"/>
    <w:rsid w:val="006B3E0C"/>
    <w:rsid w:val="006B4E6A"/>
    <w:rsid w:val="006B7893"/>
    <w:rsid w:val="006B7EBF"/>
    <w:rsid w:val="006C05F2"/>
    <w:rsid w:val="006C0D90"/>
    <w:rsid w:val="006C2469"/>
    <w:rsid w:val="006C7707"/>
    <w:rsid w:val="006D003E"/>
    <w:rsid w:val="006D0EDA"/>
    <w:rsid w:val="006D199B"/>
    <w:rsid w:val="006D671A"/>
    <w:rsid w:val="006E461D"/>
    <w:rsid w:val="006E6927"/>
    <w:rsid w:val="006F2DBA"/>
    <w:rsid w:val="006F31D4"/>
    <w:rsid w:val="00713152"/>
    <w:rsid w:val="007132AE"/>
    <w:rsid w:val="00715515"/>
    <w:rsid w:val="0072029E"/>
    <w:rsid w:val="00733A28"/>
    <w:rsid w:val="00741E99"/>
    <w:rsid w:val="00741F0D"/>
    <w:rsid w:val="00744182"/>
    <w:rsid w:val="00760D65"/>
    <w:rsid w:val="0076638C"/>
    <w:rsid w:val="0077152D"/>
    <w:rsid w:val="00773D27"/>
    <w:rsid w:val="007743C3"/>
    <w:rsid w:val="00791331"/>
    <w:rsid w:val="007977D0"/>
    <w:rsid w:val="007A1EC0"/>
    <w:rsid w:val="007B3874"/>
    <w:rsid w:val="007B7D1A"/>
    <w:rsid w:val="007C1EDF"/>
    <w:rsid w:val="007C2CED"/>
    <w:rsid w:val="007C77C2"/>
    <w:rsid w:val="007D0F8E"/>
    <w:rsid w:val="007E494E"/>
    <w:rsid w:val="007E4A1D"/>
    <w:rsid w:val="007E7E7F"/>
    <w:rsid w:val="007F7A28"/>
    <w:rsid w:val="007F7B3A"/>
    <w:rsid w:val="008031BA"/>
    <w:rsid w:val="00813588"/>
    <w:rsid w:val="008216A7"/>
    <w:rsid w:val="00826A1F"/>
    <w:rsid w:val="00827F14"/>
    <w:rsid w:val="00830ED6"/>
    <w:rsid w:val="0083134F"/>
    <w:rsid w:val="00831F95"/>
    <w:rsid w:val="00834685"/>
    <w:rsid w:val="008362FC"/>
    <w:rsid w:val="0083681D"/>
    <w:rsid w:val="00840F53"/>
    <w:rsid w:val="008438B6"/>
    <w:rsid w:val="0084583A"/>
    <w:rsid w:val="008469E8"/>
    <w:rsid w:val="00853A9B"/>
    <w:rsid w:val="008558BA"/>
    <w:rsid w:val="00856404"/>
    <w:rsid w:val="00860198"/>
    <w:rsid w:val="0086143C"/>
    <w:rsid w:val="00865B8B"/>
    <w:rsid w:val="00872AD4"/>
    <w:rsid w:val="00876825"/>
    <w:rsid w:val="0088384E"/>
    <w:rsid w:val="00885412"/>
    <w:rsid w:val="0089243E"/>
    <w:rsid w:val="008935F8"/>
    <w:rsid w:val="00894456"/>
    <w:rsid w:val="00894C3D"/>
    <w:rsid w:val="00895787"/>
    <w:rsid w:val="008A3C1F"/>
    <w:rsid w:val="008A50F3"/>
    <w:rsid w:val="008B49BB"/>
    <w:rsid w:val="008B68AA"/>
    <w:rsid w:val="008C02E3"/>
    <w:rsid w:val="008C1D42"/>
    <w:rsid w:val="008C4302"/>
    <w:rsid w:val="008E3A25"/>
    <w:rsid w:val="008E6517"/>
    <w:rsid w:val="008E6B1D"/>
    <w:rsid w:val="008F0040"/>
    <w:rsid w:val="008F16AC"/>
    <w:rsid w:val="008F51E5"/>
    <w:rsid w:val="008F6F1C"/>
    <w:rsid w:val="008F7370"/>
    <w:rsid w:val="009030EE"/>
    <w:rsid w:val="00903428"/>
    <w:rsid w:val="00911757"/>
    <w:rsid w:val="00916284"/>
    <w:rsid w:val="00922E59"/>
    <w:rsid w:val="00932CA4"/>
    <w:rsid w:val="009338FC"/>
    <w:rsid w:val="0093540F"/>
    <w:rsid w:val="0093593A"/>
    <w:rsid w:val="00940287"/>
    <w:rsid w:val="009461F5"/>
    <w:rsid w:val="009526B8"/>
    <w:rsid w:val="0095285D"/>
    <w:rsid w:val="00953550"/>
    <w:rsid w:val="00956E84"/>
    <w:rsid w:val="00972A20"/>
    <w:rsid w:val="00973049"/>
    <w:rsid w:val="00973B52"/>
    <w:rsid w:val="009767CC"/>
    <w:rsid w:val="00981444"/>
    <w:rsid w:val="009825C3"/>
    <w:rsid w:val="00985B25"/>
    <w:rsid w:val="00985C1B"/>
    <w:rsid w:val="0099203B"/>
    <w:rsid w:val="00995E69"/>
    <w:rsid w:val="00996AF4"/>
    <w:rsid w:val="009A169E"/>
    <w:rsid w:val="009C6300"/>
    <w:rsid w:val="009D07A0"/>
    <w:rsid w:val="009D2933"/>
    <w:rsid w:val="009F0413"/>
    <w:rsid w:val="009F486E"/>
    <w:rsid w:val="009F7159"/>
    <w:rsid w:val="009F78FC"/>
    <w:rsid w:val="00A011DC"/>
    <w:rsid w:val="00A0205F"/>
    <w:rsid w:val="00A02BAB"/>
    <w:rsid w:val="00A03CF2"/>
    <w:rsid w:val="00A10B61"/>
    <w:rsid w:val="00A145E2"/>
    <w:rsid w:val="00A244E9"/>
    <w:rsid w:val="00A2571D"/>
    <w:rsid w:val="00A25769"/>
    <w:rsid w:val="00A354E6"/>
    <w:rsid w:val="00A40FB1"/>
    <w:rsid w:val="00A44FB9"/>
    <w:rsid w:val="00A5348F"/>
    <w:rsid w:val="00A57DE0"/>
    <w:rsid w:val="00A67160"/>
    <w:rsid w:val="00A81501"/>
    <w:rsid w:val="00A858C4"/>
    <w:rsid w:val="00A85F1C"/>
    <w:rsid w:val="00A876A1"/>
    <w:rsid w:val="00A915AF"/>
    <w:rsid w:val="00AA2159"/>
    <w:rsid w:val="00AA30A5"/>
    <w:rsid w:val="00AA384A"/>
    <w:rsid w:val="00AA76B4"/>
    <w:rsid w:val="00AB57C0"/>
    <w:rsid w:val="00AC0A96"/>
    <w:rsid w:val="00AC7F86"/>
    <w:rsid w:val="00AD16D9"/>
    <w:rsid w:val="00AD41A2"/>
    <w:rsid w:val="00AD69AD"/>
    <w:rsid w:val="00AD6B65"/>
    <w:rsid w:val="00AE4F70"/>
    <w:rsid w:val="00AE72EC"/>
    <w:rsid w:val="00AF06BF"/>
    <w:rsid w:val="00B005AD"/>
    <w:rsid w:val="00B06484"/>
    <w:rsid w:val="00B12043"/>
    <w:rsid w:val="00B172E2"/>
    <w:rsid w:val="00B232DF"/>
    <w:rsid w:val="00B23628"/>
    <w:rsid w:val="00B25D50"/>
    <w:rsid w:val="00B26BB1"/>
    <w:rsid w:val="00B3530B"/>
    <w:rsid w:val="00B4272D"/>
    <w:rsid w:val="00B45E54"/>
    <w:rsid w:val="00B62A13"/>
    <w:rsid w:val="00B649AE"/>
    <w:rsid w:val="00B71B34"/>
    <w:rsid w:val="00B71DB4"/>
    <w:rsid w:val="00B737DD"/>
    <w:rsid w:val="00B74F59"/>
    <w:rsid w:val="00B82451"/>
    <w:rsid w:val="00B83073"/>
    <w:rsid w:val="00B93C66"/>
    <w:rsid w:val="00B95B93"/>
    <w:rsid w:val="00BA47CA"/>
    <w:rsid w:val="00BA6F27"/>
    <w:rsid w:val="00BA72C6"/>
    <w:rsid w:val="00BB4C8B"/>
    <w:rsid w:val="00BD002B"/>
    <w:rsid w:val="00BD6715"/>
    <w:rsid w:val="00BD7C26"/>
    <w:rsid w:val="00BE0119"/>
    <w:rsid w:val="00BE37D2"/>
    <w:rsid w:val="00BE57C2"/>
    <w:rsid w:val="00BE6E49"/>
    <w:rsid w:val="00BF0749"/>
    <w:rsid w:val="00BF5629"/>
    <w:rsid w:val="00BF77D7"/>
    <w:rsid w:val="00C04849"/>
    <w:rsid w:val="00C1398D"/>
    <w:rsid w:val="00C2145A"/>
    <w:rsid w:val="00C3021D"/>
    <w:rsid w:val="00C339FA"/>
    <w:rsid w:val="00C34599"/>
    <w:rsid w:val="00C352FD"/>
    <w:rsid w:val="00C42754"/>
    <w:rsid w:val="00C42C02"/>
    <w:rsid w:val="00C43B2E"/>
    <w:rsid w:val="00C44905"/>
    <w:rsid w:val="00C4520F"/>
    <w:rsid w:val="00C5149F"/>
    <w:rsid w:val="00C56343"/>
    <w:rsid w:val="00C578F0"/>
    <w:rsid w:val="00C57AFC"/>
    <w:rsid w:val="00C62FBC"/>
    <w:rsid w:val="00C811D5"/>
    <w:rsid w:val="00C81616"/>
    <w:rsid w:val="00C844D8"/>
    <w:rsid w:val="00C9554D"/>
    <w:rsid w:val="00C95680"/>
    <w:rsid w:val="00CA5366"/>
    <w:rsid w:val="00CA60B9"/>
    <w:rsid w:val="00CA68D3"/>
    <w:rsid w:val="00CB45BF"/>
    <w:rsid w:val="00CC0102"/>
    <w:rsid w:val="00CC3CDA"/>
    <w:rsid w:val="00CC710A"/>
    <w:rsid w:val="00CD0B87"/>
    <w:rsid w:val="00CD16D5"/>
    <w:rsid w:val="00CD26BB"/>
    <w:rsid w:val="00CD65A3"/>
    <w:rsid w:val="00CD6E6C"/>
    <w:rsid w:val="00CD764E"/>
    <w:rsid w:val="00CE5ADC"/>
    <w:rsid w:val="00CF69D3"/>
    <w:rsid w:val="00CF717B"/>
    <w:rsid w:val="00D005F6"/>
    <w:rsid w:val="00D0744D"/>
    <w:rsid w:val="00D12645"/>
    <w:rsid w:val="00D146E7"/>
    <w:rsid w:val="00D1616A"/>
    <w:rsid w:val="00D16C02"/>
    <w:rsid w:val="00D24B91"/>
    <w:rsid w:val="00D34384"/>
    <w:rsid w:val="00D40CA9"/>
    <w:rsid w:val="00D415DE"/>
    <w:rsid w:val="00D47B22"/>
    <w:rsid w:val="00D54688"/>
    <w:rsid w:val="00D5797A"/>
    <w:rsid w:val="00D57B1D"/>
    <w:rsid w:val="00D57E0B"/>
    <w:rsid w:val="00D644BE"/>
    <w:rsid w:val="00D64AAD"/>
    <w:rsid w:val="00D64BEA"/>
    <w:rsid w:val="00D713E9"/>
    <w:rsid w:val="00D80ADE"/>
    <w:rsid w:val="00D863BB"/>
    <w:rsid w:val="00D87308"/>
    <w:rsid w:val="00D87746"/>
    <w:rsid w:val="00D87813"/>
    <w:rsid w:val="00D9349A"/>
    <w:rsid w:val="00DA4E6F"/>
    <w:rsid w:val="00DB3A38"/>
    <w:rsid w:val="00DB50B1"/>
    <w:rsid w:val="00DB7CA3"/>
    <w:rsid w:val="00DC33A6"/>
    <w:rsid w:val="00DC3B45"/>
    <w:rsid w:val="00DC54E2"/>
    <w:rsid w:val="00DD0F73"/>
    <w:rsid w:val="00DD1E21"/>
    <w:rsid w:val="00DD2266"/>
    <w:rsid w:val="00DF1A2E"/>
    <w:rsid w:val="00DF5CD3"/>
    <w:rsid w:val="00E010C8"/>
    <w:rsid w:val="00E06C39"/>
    <w:rsid w:val="00E14034"/>
    <w:rsid w:val="00E24B48"/>
    <w:rsid w:val="00E2633F"/>
    <w:rsid w:val="00E27A80"/>
    <w:rsid w:val="00E30381"/>
    <w:rsid w:val="00E43D1D"/>
    <w:rsid w:val="00E459FD"/>
    <w:rsid w:val="00E46925"/>
    <w:rsid w:val="00E46DCF"/>
    <w:rsid w:val="00E5622F"/>
    <w:rsid w:val="00E57FBA"/>
    <w:rsid w:val="00E600EE"/>
    <w:rsid w:val="00E60663"/>
    <w:rsid w:val="00E62164"/>
    <w:rsid w:val="00E65437"/>
    <w:rsid w:val="00E7224F"/>
    <w:rsid w:val="00E82F27"/>
    <w:rsid w:val="00E93EC7"/>
    <w:rsid w:val="00E94854"/>
    <w:rsid w:val="00EA5FEC"/>
    <w:rsid w:val="00EB1D91"/>
    <w:rsid w:val="00EB2B8F"/>
    <w:rsid w:val="00EB35ED"/>
    <w:rsid w:val="00EC4F89"/>
    <w:rsid w:val="00EC6829"/>
    <w:rsid w:val="00ED31D6"/>
    <w:rsid w:val="00ED47EB"/>
    <w:rsid w:val="00ED4BB6"/>
    <w:rsid w:val="00ED6ED2"/>
    <w:rsid w:val="00EE47C0"/>
    <w:rsid w:val="00EE4FBC"/>
    <w:rsid w:val="00EF04AE"/>
    <w:rsid w:val="00EF5CAA"/>
    <w:rsid w:val="00EF5DAF"/>
    <w:rsid w:val="00F01C1B"/>
    <w:rsid w:val="00F0441F"/>
    <w:rsid w:val="00F05988"/>
    <w:rsid w:val="00F0739F"/>
    <w:rsid w:val="00F109BD"/>
    <w:rsid w:val="00F11A39"/>
    <w:rsid w:val="00F14F5D"/>
    <w:rsid w:val="00F20615"/>
    <w:rsid w:val="00F2302F"/>
    <w:rsid w:val="00F2435F"/>
    <w:rsid w:val="00F26B4C"/>
    <w:rsid w:val="00F417E8"/>
    <w:rsid w:val="00F455E3"/>
    <w:rsid w:val="00F46A99"/>
    <w:rsid w:val="00F50AC2"/>
    <w:rsid w:val="00F56506"/>
    <w:rsid w:val="00F57526"/>
    <w:rsid w:val="00F605AA"/>
    <w:rsid w:val="00F61883"/>
    <w:rsid w:val="00F6274F"/>
    <w:rsid w:val="00F654C3"/>
    <w:rsid w:val="00F67138"/>
    <w:rsid w:val="00F67D74"/>
    <w:rsid w:val="00F67E86"/>
    <w:rsid w:val="00F70D8A"/>
    <w:rsid w:val="00F717EA"/>
    <w:rsid w:val="00F72B5E"/>
    <w:rsid w:val="00F85C78"/>
    <w:rsid w:val="00F96F23"/>
    <w:rsid w:val="00FA574A"/>
    <w:rsid w:val="00FB3AB1"/>
    <w:rsid w:val="00FB4B98"/>
    <w:rsid w:val="00FB7F63"/>
    <w:rsid w:val="00FC7D23"/>
    <w:rsid w:val="00FD2D8A"/>
    <w:rsid w:val="00FE1AE4"/>
    <w:rsid w:val="00FE7F99"/>
    <w:rsid w:val="00FF29DF"/>
    <w:rsid w:val="00FF3F3B"/>
    <w:rsid w:val="00FF5B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uiPriority="1" w:qFormat="1"/>
    <w:lsdException w:name="heading 1" w:qFormat="1"/>
    <w:lsdException w:name="heading 2" w:qFormat="1"/>
    <w:lsdException w:name="heading 5" w:qFormat="1"/>
    <w:lsdException w:name="heading 6" w:qFormat="1"/>
    <w:lsdException w:name="heading 7" w:qFormat="1"/>
    <w:lsdException w:name="heading 8" w:qFormat="1"/>
    <w:lsdException w:name="heading 9" w:semiHidden="1" w:unhideWhenUsed="1" w:qFormat="1"/>
    <w:lsdException w:name="header" w:uiPriority="9"/>
    <w:lsdException w:name="footer" w:uiPriority="99"/>
    <w:lsdException w:name="caption" w:semiHidden="1" w:unhideWhenUsed="1" w:qFormat="1"/>
    <w:lsdException w:name="page number" w:uiPriority="9"/>
    <w:lsdException w:name="List Bullet" w:uiPriority="2" w:qFormat="1"/>
    <w:lsdException w:name="List Bullet 2" w:uiPriority="2" w:qFormat="1"/>
    <w:lsdException w:name="Default Paragraph Font" w:uiPriority="1"/>
    <w:lsdException w:name="Emphasis" w:uiPriority="20"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3"/>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uiPriority w:val="1"/>
    <w:qFormat/>
    <w:rsid w:val="00B26BB1"/>
    <w:pPr>
      <w:adjustRightInd w:val="0"/>
      <w:snapToGrid w:val="0"/>
      <w:spacing w:after="120" w:line="280" w:lineRule="atLeast"/>
      <w:jc w:val="both"/>
    </w:pPr>
    <w:rPr>
      <w:rFonts w:ascii="Arial" w:eastAsia="MS Mincho" w:hAnsi="Arial"/>
      <w:sz w:val="22"/>
      <w:lang w:eastAsia="ja-JP"/>
    </w:rPr>
  </w:style>
  <w:style w:type="paragraph" w:styleId="Heading1">
    <w:name w:val="heading 1"/>
    <w:basedOn w:val="Normal"/>
    <w:next w:val="Normal"/>
    <w:qFormat/>
    <w:rsid w:val="00017AC9"/>
    <w:pPr>
      <w:keepNext/>
      <w:spacing w:before="240" w:after="60" w:line="400" w:lineRule="atLeast"/>
      <w:jc w:val="left"/>
      <w:outlineLvl w:val="0"/>
    </w:pPr>
    <w:rPr>
      <w:rFonts w:ascii="Arial Bold" w:hAnsi="Arial Bold" w:cs="Arial"/>
      <w:b/>
      <w:bCs/>
      <w:kern w:val="32"/>
      <w:sz w:val="32"/>
    </w:rPr>
  </w:style>
  <w:style w:type="paragraph" w:styleId="Heading2">
    <w:name w:val="heading 2"/>
    <w:basedOn w:val="Normal"/>
    <w:next w:val="Normal"/>
    <w:qFormat/>
    <w:rsid w:val="00BF77D7"/>
    <w:pPr>
      <w:keepNext/>
      <w:spacing w:before="360" w:after="60" w:line="320" w:lineRule="atLeast"/>
      <w:jc w:val="left"/>
      <w:outlineLvl w:val="1"/>
    </w:pPr>
    <w:rPr>
      <w:rFonts w:ascii="Arial Bold" w:hAnsi="Arial Bold" w:cs="Arial"/>
      <w:b/>
      <w:bCs/>
      <w:iCs/>
      <w:sz w:val="28"/>
    </w:rPr>
  </w:style>
  <w:style w:type="paragraph" w:styleId="Heading3">
    <w:name w:val="heading 3"/>
    <w:basedOn w:val="Normal"/>
    <w:next w:val="Normal"/>
    <w:unhideWhenUsed/>
    <w:rsid w:val="00017AC9"/>
    <w:pPr>
      <w:keepNext/>
      <w:spacing w:before="240"/>
      <w:jc w:val="left"/>
      <w:outlineLvl w:val="2"/>
    </w:pPr>
    <w:rPr>
      <w:rFonts w:cs="Arial"/>
      <w:b/>
      <w:bCs/>
      <w:sz w:val="24"/>
    </w:rPr>
  </w:style>
  <w:style w:type="paragraph" w:styleId="Heading4">
    <w:name w:val="heading 4"/>
    <w:basedOn w:val="Normal"/>
    <w:next w:val="Normal"/>
    <w:link w:val="Heading4Char"/>
    <w:unhideWhenUsed/>
    <w:rsid w:val="00017AC9"/>
    <w:pPr>
      <w:keepNext/>
      <w:spacing w:before="120"/>
      <w:jc w:val="left"/>
      <w:outlineLvl w:val="3"/>
    </w:pPr>
    <w:rPr>
      <w:rFonts w:eastAsiaTheme="majorEastAsia" w:cstheme="majorBidi"/>
      <w:bCs/>
      <w:iCs/>
      <w:caps/>
      <w:sz w:val="20"/>
    </w:rPr>
  </w:style>
  <w:style w:type="paragraph" w:styleId="Heading5">
    <w:name w:val="heading 5"/>
    <w:basedOn w:val="Normal"/>
    <w:next w:val="Normal"/>
    <w:link w:val="Heading5Char"/>
    <w:semiHidden/>
    <w:unhideWhenUsed/>
    <w:qFormat/>
    <w:rsid w:val="00017AC9"/>
    <w:pPr>
      <w:spacing w:before="240" w:after="60"/>
      <w:outlineLvl w:val="4"/>
    </w:pPr>
    <w:rPr>
      <w:b/>
      <w:bCs/>
      <w:i/>
      <w:iCs/>
      <w:szCs w:val="26"/>
    </w:rPr>
  </w:style>
  <w:style w:type="paragraph" w:styleId="Heading6">
    <w:name w:val="heading 6"/>
    <w:basedOn w:val="Normal"/>
    <w:next w:val="Normal"/>
    <w:link w:val="Heading6Char"/>
    <w:semiHidden/>
    <w:unhideWhenUsed/>
    <w:qFormat/>
    <w:rsid w:val="00017AC9"/>
    <w:pPr>
      <w:spacing w:before="240" w:after="60"/>
      <w:outlineLvl w:val="5"/>
    </w:pPr>
    <w:rPr>
      <w:b/>
      <w:bCs/>
      <w:sz w:val="16"/>
      <w:szCs w:val="22"/>
    </w:rPr>
  </w:style>
  <w:style w:type="paragraph" w:styleId="Heading7">
    <w:name w:val="heading 7"/>
    <w:basedOn w:val="Normal"/>
    <w:next w:val="Normal"/>
    <w:link w:val="Heading7Char"/>
    <w:semiHidden/>
    <w:unhideWhenUsed/>
    <w:qFormat/>
    <w:rsid w:val="00017AC9"/>
    <w:pPr>
      <w:spacing w:before="240" w:after="60"/>
      <w:outlineLvl w:val="6"/>
    </w:pPr>
    <w:rPr>
      <w:sz w:val="24"/>
    </w:rPr>
  </w:style>
  <w:style w:type="paragraph" w:styleId="Heading8">
    <w:name w:val="heading 8"/>
    <w:basedOn w:val="Normal"/>
    <w:next w:val="Normal"/>
    <w:link w:val="Heading8Char"/>
    <w:semiHidden/>
    <w:unhideWhenUsed/>
    <w:qFormat/>
    <w:rsid w:val="00017AC9"/>
    <w:pPr>
      <w:spacing w:before="240" w:after="60"/>
      <w:outlineLvl w:val="7"/>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AC9"/>
    <w:pPr>
      <w:adjustRightInd w:val="0"/>
      <w:snapToGrid w:val="0"/>
      <w:spacing w:line="240" w:lineRule="atLeast"/>
    </w:pPr>
    <w:rPr>
      <w:rFonts w:ascii="Arial" w:eastAsia="MS Mincho"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uiPriority w:val="2"/>
    <w:qFormat/>
    <w:rsid w:val="00BF77D7"/>
    <w:pPr>
      <w:numPr>
        <w:numId w:val="2"/>
      </w:numPr>
      <w:tabs>
        <w:tab w:val="clear" w:pos="567"/>
        <w:tab w:val="num" w:pos="851"/>
      </w:tabs>
      <w:ind w:left="851" w:hanging="425"/>
      <w:contextualSpacing/>
      <w:jc w:val="left"/>
    </w:pPr>
    <w:rPr>
      <w:lang w:eastAsia="en-AU"/>
    </w:rPr>
  </w:style>
  <w:style w:type="paragraph" w:customStyle="1" w:styleId="Label">
    <w:name w:val="Label"/>
    <w:basedOn w:val="Normal"/>
    <w:uiPriority w:val="5"/>
    <w:qFormat/>
    <w:rsid w:val="00872AD4"/>
    <w:pPr>
      <w:spacing w:line="200" w:lineRule="atLeast"/>
      <w:jc w:val="left"/>
    </w:pPr>
    <w:rPr>
      <w:sz w:val="16"/>
    </w:rPr>
  </w:style>
  <w:style w:type="paragraph" w:customStyle="1" w:styleId="Detail">
    <w:name w:val="Detail"/>
    <w:basedOn w:val="Normal"/>
    <w:uiPriority w:val="6"/>
    <w:qFormat/>
    <w:rsid w:val="000A0F13"/>
    <w:pPr>
      <w:spacing w:line="240" w:lineRule="auto"/>
    </w:pPr>
    <w:rPr>
      <w:b/>
      <w:sz w:val="20"/>
    </w:rPr>
  </w:style>
  <w:style w:type="paragraph" w:styleId="Footer">
    <w:name w:val="footer"/>
    <w:basedOn w:val="Normal"/>
    <w:link w:val="FooterChar"/>
    <w:uiPriority w:val="99"/>
    <w:rsid w:val="00E65437"/>
    <w:pPr>
      <w:spacing w:line="160" w:lineRule="atLeast"/>
      <w:jc w:val="left"/>
    </w:pPr>
    <w:rPr>
      <w:rFonts w:ascii="Arial Bold" w:hAnsi="Arial Bold"/>
      <w:b/>
      <w:caps/>
      <w:sz w:val="16"/>
      <w:szCs w:val="14"/>
    </w:rPr>
  </w:style>
  <w:style w:type="paragraph" w:styleId="Header">
    <w:name w:val="header"/>
    <w:basedOn w:val="Normal"/>
    <w:uiPriority w:val="9"/>
    <w:semiHidden/>
    <w:rsid w:val="00017AC9"/>
    <w:pPr>
      <w:spacing w:line="240" w:lineRule="auto"/>
    </w:pPr>
    <w:rPr>
      <w:b/>
      <w:caps/>
      <w:sz w:val="18"/>
    </w:rPr>
  </w:style>
  <w:style w:type="character" w:styleId="PageNumber">
    <w:name w:val="page number"/>
    <w:basedOn w:val="DefaultParagraphFont"/>
    <w:uiPriority w:val="9"/>
    <w:semiHidden/>
    <w:rsid w:val="00017AC9"/>
    <w:rPr>
      <w:rFonts w:ascii="Arial" w:hAnsi="Arial"/>
      <w:b/>
      <w:caps/>
      <w:smallCaps w:val="0"/>
      <w:sz w:val="16"/>
    </w:rPr>
  </w:style>
  <w:style w:type="paragraph" w:customStyle="1" w:styleId="DocType">
    <w:name w:val="DocType"/>
    <w:basedOn w:val="Normal"/>
    <w:uiPriority w:val="1"/>
    <w:semiHidden/>
    <w:qFormat/>
    <w:rsid w:val="00017AC9"/>
    <w:pPr>
      <w:spacing w:line="300" w:lineRule="atLeast"/>
      <w:jc w:val="left"/>
    </w:pPr>
    <w:rPr>
      <w:b/>
      <w:caps/>
      <w:sz w:val="30"/>
    </w:rPr>
  </w:style>
  <w:style w:type="paragraph" w:styleId="BalloonText">
    <w:name w:val="Balloon Text"/>
    <w:basedOn w:val="Normal"/>
    <w:link w:val="BalloonTextChar"/>
    <w:rsid w:val="00017AC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017AC9"/>
    <w:rPr>
      <w:rFonts w:ascii="Tahoma" w:eastAsia="MS Mincho" w:hAnsi="Tahoma" w:cs="Tahoma"/>
      <w:sz w:val="16"/>
      <w:szCs w:val="16"/>
      <w:lang w:eastAsia="ja-JP"/>
    </w:rPr>
  </w:style>
  <w:style w:type="character" w:customStyle="1" w:styleId="FooterChar">
    <w:name w:val="Footer Char"/>
    <w:basedOn w:val="DefaultParagraphFont"/>
    <w:link w:val="Footer"/>
    <w:uiPriority w:val="99"/>
    <w:rsid w:val="00E65437"/>
    <w:rPr>
      <w:rFonts w:ascii="Arial Bold" w:eastAsia="MS Mincho" w:hAnsi="Arial Bold"/>
      <w:b/>
      <w:caps/>
      <w:sz w:val="16"/>
      <w:szCs w:val="14"/>
      <w:lang w:eastAsia="ja-JP"/>
    </w:rPr>
  </w:style>
  <w:style w:type="character" w:customStyle="1" w:styleId="Heading4Char">
    <w:name w:val="Heading 4 Char"/>
    <w:basedOn w:val="DefaultParagraphFont"/>
    <w:link w:val="Heading4"/>
    <w:rsid w:val="008F7370"/>
    <w:rPr>
      <w:rFonts w:ascii="Arial" w:eastAsiaTheme="majorEastAsia" w:hAnsi="Arial" w:cstheme="majorBidi"/>
      <w:bCs/>
      <w:iCs/>
      <w:caps/>
      <w:lang w:eastAsia="ja-JP"/>
    </w:rPr>
  </w:style>
  <w:style w:type="paragraph" w:styleId="ListBullet2">
    <w:name w:val="List Bullet 2"/>
    <w:basedOn w:val="Normal"/>
    <w:uiPriority w:val="2"/>
    <w:qFormat/>
    <w:rsid w:val="00017AC9"/>
    <w:pPr>
      <w:numPr>
        <w:ilvl w:val="1"/>
        <w:numId w:val="2"/>
      </w:numPr>
      <w:contextualSpacing/>
      <w:jc w:val="left"/>
    </w:pPr>
  </w:style>
  <w:style w:type="numbering" w:customStyle="1" w:styleId="Bullets">
    <w:name w:val="Bullets"/>
    <w:uiPriority w:val="99"/>
    <w:rsid w:val="00017AC9"/>
    <w:pPr>
      <w:numPr>
        <w:numId w:val="1"/>
      </w:numPr>
    </w:pPr>
  </w:style>
  <w:style w:type="paragraph" w:customStyle="1" w:styleId="Disclaimer">
    <w:name w:val="Disclaimer"/>
    <w:basedOn w:val="Normal"/>
    <w:uiPriority w:val="9"/>
    <w:semiHidden/>
    <w:qFormat/>
    <w:rsid w:val="00017AC9"/>
    <w:pPr>
      <w:spacing w:line="170" w:lineRule="atLeast"/>
    </w:pPr>
    <w:rPr>
      <w:sz w:val="13"/>
    </w:rPr>
  </w:style>
  <w:style w:type="character" w:customStyle="1" w:styleId="FooterSmall">
    <w:name w:val="FooterSmall"/>
    <w:basedOn w:val="DefaultParagraphFont"/>
    <w:uiPriority w:val="8"/>
    <w:semiHidden/>
    <w:qFormat/>
    <w:rsid w:val="00017AC9"/>
    <w:rPr>
      <w:sz w:val="12"/>
    </w:rPr>
  </w:style>
  <w:style w:type="character" w:customStyle="1" w:styleId="Heading5Char">
    <w:name w:val="Heading 5 Char"/>
    <w:basedOn w:val="DefaultParagraphFont"/>
    <w:link w:val="Heading5"/>
    <w:semiHidden/>
    <w:rsid w:val="00017AC9"/>
    <w:rPr>
      <w:rFonts w:ascii="Arial" w:eastAsia="MS Mincho" w:hAnsi="Arial"/>
      <w:b/>
      <w:bCs/>
      <w:i/>
      <w:iCs/>
      <w:sz w:val="22"/>
      <w:szCs w:val="26"/>
      <w:lang w:eastAsia="ja-JP"/>
    </w:rPr>
  </w:style>
  <w:style w:type="character" w:customStyle="1" w:styleId="Heading6Char">
    <w:name w:val="Heading 6 Char"/>
    <w:basedOn w:val="DefaultParagraphFont"/>
    <w:link w:val="Heading6"/>
    <w:semiHidden/>
    <w:rsid w:val="00017AC9"/>
    <w:rPr>
      <w:rFonts w:ascii="Arial" w:eastAsia="MS Mincho" w:hAnsi="Arial"/>
      <w:b/>
      <w:bCs/>
      <w:sz w:val="16"/>
      <w:szCs w:val="22"/>
      <w:lang w:eastAsia="ja-JP"/>
    </w:rPr>
  </w:style>
  <w:style w:type="character" w:customStyle="1" w:styleId="Heading7Char">
    <w:name w:val="Heading 7 Char"/>
    <w:basedOn w:val="DefaultParagraphFont"/>
    <w:link w:val="Heading7"/>
    <w:semiHidden/>
    <w:rsid w:val="00017AC9"/>
    <w:rPr>
      <w:rFonts w:ascii="Arial" w:eastAsia="MS Mincho" w:hAnsi="Arial"/>
      <w:sz w:val="24"/>
      <w:lang w:eastAsia="ja-JP"/>
    </w:rPr>
  </w:style>
  <w:style w:type="character" w:customStyle="1" w:styleId="Heading8Char">
    <w:name w:val="Heading 8 Char"/>
    <w:basedOn w:val="DefaultParagraphFont"/>
    <w:link w:val="Heading8"/>
    <w:semiHidden/>
    <w:rsid w:val="00017AC9"/>
    <w:rPr>
      <w:rFonts w:ascii="Arial" w:eastAsia="MS Mincho" w:hAnsi="Arial"/>
      <w:i/>
      <w:iCs/>
      <w:sz w:val="24"/>
      <w:lang w:eastAsia="ja-JP"/>
    </w:rPr>
  </w:style>
  <w:style w:type="paragraph" w:styleId="ListBullet3">
    <w:name w:val="List Bullet 3"/>
    <w:basedOn w:val="Normal"/>
    <w:semiHidden/>
    <w:rsid w:val="00017AC9"/>
    <w:pPr>
      <w:contextualSpacing/>
    </w:pPr>
  </w:style>
  <w:style w:type="paragraph" w:customStyle="1" w:styleId="Message">
    <w:name w:val="Message"/>
    <w:basedOn w:val="Normal"/>
    <w:uiPriority w:val="4"/>
    <w:semiHidden/>
    <w:qFormat/>
    <w:rsid w:val="00017AC9"/>
    <w:rPr>
      <w:b/>
      <w:caps/>
    </w:rPr>
  </w:style>
  <w:style w:type="character" w:styleId="Emphasis">
    <w:name w:val="Emphasis"/>
    <w:basedOn w:val="DefaultParagraphFont"/>
    <w:uiPriority w:val="20"/>
    <w:qFormat/>
    <w:rsid w:val="006A14D6"/>
    <w:rPr>
      <w:i/>
      <w:iCs/>
    </w:rPr>
  </w:style>
  <w:style w:type="paragraph" w:styleId="FootnoteText">
    <w:name w:val="footnote text"/>
    <w:basedOn w:val="Normal"/>
    <w:link w:val="FootnoteTextChar"/>
    <w:rsid w:val="006A14D6"/>
    <w:pPr>
      <w:adjustRightInd/>
      <w:snapToGrid/>
      <w:spacing w:line="240" w:lineRule="auto"/>
      <w:jc w:val="left"/>
    </w:pPr>
    <w:rPr>
      <w:rFonts w:eastAsia="Times New Roman"/>
      <w:sz w:val="20"/>
      <w:lang w:eastAsia="en-US"/>
    </w:rPr>
  </w:style>
  <w:style w:type="character" w:customStyle="1" w:styleId="FootnoteTextChar">
    <w:name w:val="Footnote Text Char"/>
    <w:basedOn w:val="DefaultParagraphFont"/>
    <w:link w:val="FootnoteText"/>
    <w:rsid w:val="006A14D6"/>
    <w:rPr>
      <w:rFonts w:ascii="Arial" w:hAnsi="Arial"/>
      <w:lang w:eastAsia="en-US"/>
    </w:rPr>
  </w:style>
  <w:style w:type="character" w:styleId="FootnoteReference">
    <w:name w:val="footnote reference"/>
    <w:basedOn w:val="DefaultParagraphFont"/>
    <w:rsid w:val="006A14D6"/>
    <w:rPr>
      <w:vertAlign w:val="superscript"/>
    </w:rPr>
  </w:style>
  <w:style w:type="paragraph" w:styleId="ListParagraph">
    <w:name w:val="List Paragraph"/>
    <w:basedOn w:val="Normal"/>
    <w:uiPriority w:val="34"/>
    <w:rsid w:val="00080418"/>
    <w:pPr>
      <w:ind w:left="720"/>
      <w:contextualSpacing/>
    </w:pPr>
  </w:style>
  <w:style w:type="table" w:customStyle="1" w:styleId="TableGrid1">
    <w:name w:val="Table Grid1"/>
    <w:basedOn w:val="TableNormal"/>
    <w:next w:val="TableGrid"/>
    <w:rsid w:val="002E2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624058"/>
    <w:rPr>
      <w:sz w:val="16"/>
      <w:szCs w:val="16"/>
    </w:rPr>
  </w:style>
  <w:style w:type="paragraph" w:styleId="CommentText">
    <w:name w:val="annotation text"/>
    <w:basedOn w:val="Normal"/>
    <w:link w:val="CommentTextChar"/>
    <w:rsid w:val="00624058"/>
    <w:pPr>
      <w:spacing w:line="240" w:lineRule="auto"/>
    </w:pPr>
    <w:rPr>
      <w:sz w:val="20"/>
    </w:rPr>
  </w:style>
  <w:style w:type="character" w:customStyle="1" w:styleId="CommentTextChar">
    <w:name w:val="Comment Text Char"/>
    <w:basedOn w:val="DefaultParagraphFont"/>
    <w:link w:val="CommentText"/>
    <w:rsid w:val="00624058"/>
    <w:rPr>
      <w:rFonts w:ascii="Arial" w:eastAsia="MS Mincho" w:hAnsi="Arial"/>
      <w:lang w:eastAsia="ja-JP"/>
    </w:rPr>
  </w:style>
  <w:style w:type="paragraph" w:styleId="CommentSubject">
    <w:name w:val="annotation subject"/>
    <w:basedOn w:val="CommentText"/>
    <w:next w:val="CommentText"/>
    <w:link w:val="CommentSubjectChar"/>
    <w:rsid w:val="00624058"/>
    <w:rPr>
      <w:b/>
      <w:bCs/>
    </w:rPr>
  </w:style>
  <w:style w:type="character" w:customStyle="1" w:styleId="CommentSubjectChar">
    <w:name w:val="Comment Subject Char"/>
    <w:basedOn w:val="CommentTextChar"/>
    <w:link w:val="CommentSubject"/>
    <w:rsid w:val="00624058"/>
    <w:rPr>
      <w:rFonts w:ascii="Arial" w:eastAsia="MS Mincho" w:hAnsi="Arial"/>
      <w:b/>
      <w:bCs/>
      <w:lang w:eastAsia="ja-JP"/>
    </w:rPr>
  </w:style>
  <w:style w:type="paragraph" w:styleId="Revision">
    <w:name w:val="Revision"/>
    <w:hidden/>
    <w:uiPriority w:val="99"/>
    <w:semiHidden/>
    <w:rsid w:val="00146EF3"/>
    <w:rPr>
      <w:rFonts w:ascii="Arial" w:eastAsia="MS Mincho" w:hAnsi="Arial"/>
      <w:sz w:val="22"/>
      <w:lang w:eastAsia="ja-JP"/>
    </w:rPr>
  </w:style>
  <w:style w:type="character" w:styleId="Hyperlink">
    <w:name w:val="Hyperlink"/>
    <w:basedOn w:val="DefaultParagraphFont"/>
    <w:rsid w:val="00B26BB1"/>
    <w:rPr>
      <w:color w:val="0000FF" w:themeColor="hyperlink"/>
      <w:u w:val="single"/>
    </w:rPr>
  </w:style>
  <w:style w:type="character" w:styleId="FollowedHyperlink">
    <w:name w:val="FollowedHyperlink"/>
    <w:basedOn w:val="DefaultParagraphFont"/>
    <w:rsid w:val="00B26BB1"/>
    <w:rPr>
      <w:color w:val="800080" w:themeColor="followedHyperlink"/>
      <w:u w:val="single"/>
    </w:rPr>
  </w:style>
  <w:style w:type="paragraph" w:customStyle="1" w:styleId="bodycopy">
    <w:name w:val="body copy"/>
    <w:basedOn w:val="Normal"/>
    <w:uiPriority w:val="99"/>
    <w:rsid w:val="00B26BB1"/>
    <w:pPr>
      <w:widowControl w:val="0"/>
      <w:suppressAutoHyphens/>
      <w:autoSpaceDE w:val="0"/>
      <w:autoSpaceDN w:val="0"/>
      <w:snapToGrid/>
      <w:spacing w:after="85" w:line="360" w:lineRule="auto"/>
      <w:jc w:val="left"/>
      <w:textAlignment w:val="center"/>
    </w:pPr>
    <w:rPr>
      <w:rFonts w:ascii="Helvetica" w:eastAsiaTheme="minorEastAsia" w:hAnsi="Helvetica" w:cs="Helvetica"/>
      <w:color w:val="000000"/>
      <w:sz w:val="18"/>
      <w:szCs w:val="18"/>
      <w:lang w:val="en-GB"/>
    </w:rPr>
  </w:style>
  <w:style w:type="paragraph" w:customStyle="1" w:styleId="TableHeader">
    <w:name w:val="Table Header"/>
    <w:basedOn w:val="bodycopy"/>
    <w:uiPriority w:val="99"/>
    <w:rsid w:val="00B26BB1"/>
    <w:pPr>
      <w:spacing w:line="240" w:lineRule="atLeast"/>
    </w:pPr>
    <w:rPr>
      <w:rFonts w:ascii="Helvetica-Bold" w:hAnsi="Helvetica-Bold" w:cs="Helvetica-Bold"/>
      <w:b/>
      <w:bCs/>
      <w:color w:val="FFFFFF"/>
    </w:rPr>
  </w:style>
  <w:style w:type="paragraph" w:customStyle="1" w:styleId="NoParagraphStyle">
    <w:name w:val="[No Paragraph Style]"/>
    <w:rsid w:val="00B26BB1"/>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szCs w:val="24"/>
      <w:lang w:val="en-GB" w:eastAsia="ja-JP"/>
    </w:rPr>
  </w:style>
  <w:style w:type="paragraph" w:customStyle="1" w:styleId="DHead">
    <w:name w:val="D Head"/>
    <w:basedOn w:val="bodycopy"/>
    <w:uiPriority w:val="99"/>
    <w:rsid w:val="00B26BB1"/>
    <w:pPr>
      <w:spacing w:before="170" w:after="113"/>
    </w:pPr>
    <w:rPr>
      <w:rFonts w:ascii="Helvetica-Bold" w:hAnsi="Helvetica-Bold" w:cs="Helvetica-Bold"/>
      <w:b/>
      <w:bCs/>
    </w:rPr>
  </w:style>
  <w:style w:type="paragraph" w:styleId="NormalWeb">
    <w:name w:val="Normal (Web)"/>
    <w:basedOn w:val="Normal"/>
    <w:rsid w:val="00B26BB1"/>
    <w:rPr>
      <w:rFonts w:ascii="Times New Roman" w:hAnsi="Times New Roman"/>
      <w:sz w:val="24"/>
      <w:szCs w:val="24"/>
    </w:rPr>
  </w:style>
  <w:style w:type="paragraph" w:styleId="EndnoteText">
    <w:name w:val="endnote text"/>
    <w:basedOn w:val="Normal"/>
    <w:link w:val="EndnoteTextChar"/>
    <w:rsid w:val="00AF06BF"/>
    <w:pPr>
      <w:spacing w:after="0" w:line="240" w:lineRule="auto"/>
    </w:pPr>
    <w:rPr>
      <w:sz w:val="20"/>
    </w:rPr>
  </w:style>
  <w:style w:type="character" w:customStyle="1" w:styleId="EndnoteTextChar">
    <w:name w:val="Endnote Text Char"/>
    <w:basedOn w:val="DefaultParagraphFont"/>
    <w:link w:val="EndnoteText"/>
    <w:rsid w:val="00AF06BF"/>
    <w:rPr>
      <w:rFonts w:ascii="Arial" w:eastAsia="MS Mincho" w:hAnsi="Arial"/>
      <w:lang w:eastAsia="ja-JP"/>
    </w:rPr>
  </w:style>
  <w:style w:type="character" w:styleId="EndnoteReference">
    <w:name w:val="endnote reference"/>
    <w:basedOn w:val="DefaultParagraphFont"/>
    <w:rsid w:val="00AF06B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uiPriority="1" w:qFormat="1"/>
    <w:lsdException w:name="heading 1" w:qFormat="1"/>
    <w:lsdException w:name="heading 2" w:qFormat="1"/>
    <w:lsdException w:name="heading 5" w:qFormat="1"/>
    <w:lsdException w:name="heading 6" w:qFormat="1"/>
    <w:lsdException w:name="heading 7" w:qFormat="1"/>
    <w:lsdException w:name="heading 8" w:qFormat="1"/>
    <w:lsdException w:name="heading 9" w:semiHidden="1" w:unhideWhenUsed="1" w:qFormat="1"/>
    <w:lsdException w:name="header" w:uiPriority="9"/>
    <w:lsdException w:name="footer" w:uiPriority="99"/>
    <w:lsdException w:name="caption" w:semiHidden="1" w:unhideWhenUsed="1" w:qFormat="1"/>
    <w:lsdException w:name="page number" w:uiPriority="9"/>
    <w:lsdException w:name="List Bullet" w:uiPriority="2" w:qFormat="1"/>
    <w:lsdException w:name="List Bullet 2" w:uiPriority="2" w:qFormat="1"/>
    <w:lsdException w:name="Default Paragraph Font" w:uiPriority="1"/>
    <w:lsdException w:name="Emphasis" w:uiPriority="20"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3"/>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uiPriority w:val="1"/>
    <w:qFormat/>
    <w:rsid w:val="00B26BB1"/>
    <w:pPr>
      <w:adjustRightInd w:val="0"/>
      <w:snapToGrid w:val="0"/>
      <w:spacing w:after="120" w:line="280" w:lineRule="atLeast"/>
      <w:jc w:val="both"/>
    </w:pPr>
    <w:rPr>
      <w:rFonts w:ascii="Arial" w:eastAsia="MS Mincho" w:hAnsi="Arial"/>
      <w:sz w:val="22"/>
      <w:lang w:eastAsia="ja-JP"/>
    </w:rPr>
  </w:style>
  <w:style w:type="paragraph" w:styleId="Heading1">
    <w:name w:val="heading 1"/>
    <w:basedOn w:val="Normal"/>
    <w:next w:val="Normal"/>
    <w:qFormat/>
    <w:rsid w:val="00017AC9"/>
    <w:pPr>
      <w:keepNext/>
      <w:spacing w:before="240" w:after="60" w:line="400" w:lineRule="atLeast"/>
      <w:jc w:val="left"/>
      <w:outlineLvl w:val="0"/>
    </w:pPr>
    <w:rPr>
      <w:rFonts w:ascii="Arial Bold" w:hAnsi="Arial Bold" w:cs="Arial"/>
      <w:b/>
      <w:bCs/>
      <w:kern w:val="32"/>
      <w:sz w:val="32"/>
    </w:rPr>
  </w:style>
  <w:style w:type="paragraph" w:styleId="Heading2">
    <w:name w:val="heading 2"/>
    <w:basedOn w:val="Normal"/>
    <w:next w:val="Normal"/>
    <w:qFormat/>
    <w:rsid w:val="00BF77D7"/>
    <w:pPr>
      <w:keepNext/>
      <w:spacing w:before="360" w:after="60" w:line="320" w:lineRule="atLeast"/>
      <w:jc w:val="left"/>
      <w:outlineLvl w:val="1"/>
    </w:pPr>
    <w:rPr>
      <w:rFonts w:ascii="Arial Bold" w:hAnsi="Arial Bold" w:cs="Arial"/>
      <w:b/>
      <w:bCs/>
      <w:iCs/>
      <w:sz w:val="28"/>
    </w:rPr>
  </w:style>
  <w:style w:type="paragraph" w:styleId="Heading3">
    <w:name w:val="heading 3"/>
    <w:basedOn w:val="Normal"/>
    <w:next w:val="Normal"/>
    <w:unhideWhenUsed/>
    <w:rsid w:val="00017AC9"/>
    <w:pPr>
      <w:keepNext/>
      <w:spacing w:before="240"/>
      <w:jc w:val="left"/>
      <w:outlineLvl w:val="2"/>
    </w:pPr>
    <w:rPr>
      <w:rFonts w:cs="Arial"/>
      <w:b/>
      <w:bCs/>
      <w:sz w:val="24"/>
    </w:rPr>
  </w:style>
  <w:style w:type="paragraph" w:styleId="Heading4">
    <w:name w:val="heading 4"/>
    <w:basedOn w:val="Normal"/>
    <w:next w:val="Normal"/>
    <w:link w:val="Heading4Char"/>
    <w:unhideWhenUsed/>
    <w:rsid w:val="00017AC9"/>
    <w:pPr>
      <w:keepNext/>
      <w:spacing w:before="120"/>
      <w:jc w:val="left"/>
      <w:outlineLvl w:val="3"/>
    </w:pPr>
    <w:rPr>
      <w:rFonts w:eastAsiaTheme="majorEastAsia" w:cstheme="majorBidi"/>
      <w:bCs/>
      <w:iCs/>
      <w:caps/>
      <w:sz w:val="20"/>
    </w:rPr>
  </w:style>
  <w:style w:type="paragraph" w:styleId="Heading5">
    <w:name w:val="heading 5"/>
    <w:basedOn w:val="Normal"/>
    <w:next w:val="Normal"/>
    <w:link w:val="Heading5Char"/>
    <w:semiHidden/>
    <w:unhideWhenUsed/>
    <w:qFormat/>
    <w:rsid w:val="00017AC9"/>
    <w:pPr>
      <w:spacing w:before="240" w:after="60"/>
      <w:outlineLvl w:val="4"/>
    </w:pPr>
    <w:rPr>
      <w:b/>
      <w:bCs/>
      <w:i/>
      <w:iCs/>
      <w:szCs w:val="26"/>
    </w:rPr>
  </w:style>
  <w:style w:type="paragraph" w:styleId="Heading6">
    <w:name w:val="heading 6"/>
    <w:basedOn w:val="Normal"/>
    <w:next w:val="Normal"/>
    <w:link w:val="Heading6Char"/>
    <w:semiHidden/>
    <w:unhideWhenUsed/>
    <w:qFormat/>
    <w:rsid w:val="00017AC9"/>
    <w:pPr>
      <w:spacing w:before="240" w:after="60"/>
      <w:outlineLvl w:val="5"/>
    </w:pPr>
    <w:rPr>
      <w:b/>
      <w:bCs/>
      <w:sz w:val="16"/>
      <w:szCs w:val="22"/>
    </w:rPr>
  </w:style>
  <w:style w:type="paragraph" w:styleId="Heading7">
    <w:name w:val="heading 7"/>
    <w:basedOn w:val="Normal"/>
    <w:next w:val="Normal"/>
    <w:link w:val="Heading7Char"/>
    <w:semiHidden/>
    <w:unhideWhenUsed/>
    <w:qFormat/>
    <w:rsid w:val="00017AC9"/>
    <w:pPr>
      <w:spacing w:before="240" w:after="60"/>
      <w:outlineLvl w:val="6"/>
    </w:pPr>
    <w:rPr>
      <w:sz w:val="24"/>
    </w:rPr>
  </w:style>
  <w:style w:type="paragraph" w:styleId="Heading8">
    <w:name w:val="heading 8"/>
    <w:basedOn w:val="Normal"/>
    <w:next w:val="Normal"/>
    <w:link w:val="Heading8Char"/>
    <w:semiHidden/>
    <w:unhideWhenUsed/>
    <w:qFormat/>
    <w:rsid w:val="00017AC9"/>
    <w:pPr>
      <w:spacing w:before="240" w:after="60"/>
      <w:outlineLvl w:val="7"/>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AC9"/>
    <w:pPr>
      <w:adjustRightInd w:val="0"/>
      <w:snapToGrid w:val="0"/>
      <w:spacing w:line="240" w:lineRule="atLeast"/>
    </w:pPr>
    <w:rPr>
      <w:rFonts w:ascii="Arial" w:eastAsia="MS Mincho"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uiPriority w:val="2"/>
    <w:qFormat/>
    <w:rsid w:val="00BF77D7"/>
    <w:pPr>
      <w:numPr>
        <w:numId w:val="2"/>
      </w:numPr>
      <w:tabs>
        <w:tab w:val="clear" w:pos="567"/>
        <w:tab w:val="num" w:pos="851"/>
      </w:tabs>
      <w:ind w:left="851" w:hanging="425"/>
      <w:contextualSpacing/>
      <w:jc w:val="left"/>
    </w:pPr>
    <w:rPr>
      <w:lang w:eastAsia="en-AU"/>
    </w:rPr>
  </w:style>
  <w:style w:type="paragraph" w:customStyle="1" w:styleId="Label">
    <w:name w:val="Label"/>
    <w:basedOn w:val="Normal"/>
    <w:uiPriority w:val="5"/>
    <w:qFormat/>
    <w:rsid w:val="00872AD4"/>
    <w:pPr>
      <w:spacing w:line="200" w:lineRule="atLeast"/>
      <w:jc w:val="left"/>
    </w:pPr>
    <w:rPr>
      <w:sz w:val="16"/>
    </w:rPr>
  </w:style>
  <w:style w:type="paragraph" w:customStyle="1" w:styleId="Detail">
    <w:name w:val="Detail"/>
    <w:basedOn w:val="Normal"/>
    <w:uiPriority w:val="6"/>
    <w:qFormat/>
    <w:rsid w:val="000A0F13"/>
    <w:pPr>
      <w:spacing w:line="240" w:lineRule="auto"/>
    </w:pPr>
    <w:rPr>
      <w:b/>
      <w:sz w:val="20"/>
    </w:rPr>
  </w:style>
  <w:style w:type="paragraph" w:styleId="Footer">
    <w:name w:val="footer"/>
    <w:basedOn w:val="Normal"/>
    <w:link w:val="FooterChar"/>
    <w:uiPriority w:val="99"/>
    <w:rsid w:val="00E65437"/>
    <w:pPr>
      <w:spacing w:line="160" w:lineRule="atLeast"/>
      <w:jc w:val="left"/>
    </w:pPr>
    <w:rPr>
      <w:rFonts w:ascii="Arial Bold" w:hAnsi="Arial Bold"/>
      <w:b/>
      <w:caps/>
      <w:sz w:val="16"/>
      <w:szCs w:val="14"/>
    </w:rPr>
  </w:style>
  <w:style w:type="paragraph" w:styleId="Header">
    <w:name w:val="header"/>
    <w:basedOn w:val="Normal"/>
    <w:uiPriority w:val="9"/>
    <w:semiHidden/>
    <w:rsid w:val="00017AC9"/>
    <w:pPr>
      <w:spacing w:line="240" w:lineRule="auto"/>
    </w:pPr>
    <w:rPr>
      <w:b/>
      <w:caps/>
      <w:sz w:val="18"/>
    </w:rPr>
  </w:style>
  <w:style w:type="character" w:styleId="PageNumber">
    <w:name w:val="page number"/>
    <w:basedOn w:val="DefaultParagraphFont"/>
    <w:uiPriority w:val="9"/>
    <w:semiHidden/>
    <w:rsid w:val="00017AC9"/>
    <w:rPr>
      <w:rFonts w:ascii="Arial" w:hAnsi="Arial"/>
      <w:b/>
      <w:caps/>
      <w:smallCaps w:val="0"/>
      <w:sz w:val="16"/>
    </w:rPr>
  </w:style>
  <w:style w:type="paragraph" w:customStyle="1" w:styleId="DocType">
    <w:name w:val="DocType"/>
    <w:basedOn w:val="Normal"/>
    <w:uiPriority w:val="1"/>
    <w:semiHidden/>
    <w:qFormat/>
    <w:rsid w:val="00017AC9"/>
    <w:pPr>
      <w:spacing w:line="300" w:lineRule="atLeast"/>
      <w:jc w:val="left"/>
    </w:pPr>
    <w:rPr>
      <w:b/>
      <w:caps/>
      <w:sz w:val="30"/>
    </w:rPr>
  </w:style>
  <w:style w:type="paragraph" w:styleId="BalloonText">
    <w:name w:val="Balloon Text"/>
    <w:basedOn w:val="Normal"/>
    <w:link w:val="BalloonTextChar"/>
    <w:rsid w:val="00017AC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017AC9"/>
    <w:rPr>
      <w:rFonts w:ascii="Tahoma" w:eastAsia="MS Mincho" w:hAnsi="Tahoma" w:cs="Tahoma"/>
      <w:sz w:val="16"/>
      <w:szCs w:val="16"/>
      <w:lang w:eastAsia="ja-JP"/>
    </w:rPr>
  </w:style>
  <w:style w:type="character" w:customStyle="1" w:styleId="FooterChar">
    <w:name w:val="Footer Char"/>
    <w:basedOn w:val="DefaultParagraphFont"/>
    <w:link w:val="Footer"/>
    <w:uiPriority w:val="99"/>
    <w:rsid w:val="00E65437"/>
    <w:rPr>
      <w:rFonts w:ascii="Arial Bold" w:eastAsia="MS Mincho" w:hAnsi="Arial Bold"/>
      <w:b/>
      <w:caps/>
      <w:sz w:val="16"/>
      <w:szCs w:val="14"/>
      <w:lang w:eastAsia="ja-JP"/>
    </w:rPr>
  </w:style>
  <w:style w:type="character" w:customStyle="1" w:styleId="Heading4Char">
    <w:name w:val="Heading 4 Char"/>
    <w:basedOn w:val="DefaultParagraphFont"/>
    <w:link w:val="Heading4"/>
    <w:rsid w:val="008F7370"/>
    <w:rPr>
      <w:rFonts w:ascii="Arial" w:eastAsiaTheme="majorEastAsia" w:hAnsi="Arial" w:cstheme="majorBidi"/>
      <w:bCs/>
      <w:iCs/>
      <w:caps/>
      <w:lang w:eastAsia="ja-JP"/>
    </w:rPr>
  </w:style>
  <w:style w:type="paragraph" w:styleId="ListBullet2">
    <w:name w:val="List Bullet 2"/>
    <w:basedOn w:val="Normal"/>
    <w:uiPriority w:val="2"/>
    <w:qFormat/>
    <w:rsid w:val="00017AC9"/>
    <w:pPr>
      <w:numPr>
        <w:ilvl w:val="1"/>
        <w:numId w:val="2"/>
      </w:numPr>
      <w:contextualSpacing/>
      <w:jc w:val="left"/>
    </w:pPr>
  </w:style>
  <w:style w:type="numbering" w:customStyle="1" w:styleId="Bullets">
    <w:name w:val="Bullets"/>
    <w:uiPriority w:val="99"/>
    <w:rsid w:val="00017AC9"/>
    <w:pPr>
      <w:numPr>
        <w:numId w:val="1"/>
      </w:numPr>
    </w:pPr>
  </w:style>
  <w:style w:type="paragraph" w:customStyle="1" w:styleId="Disclaimer">
    <w:name w:val="Disclaimer"/>
    <w:basedOn w:val="Normal"/>
    <w:uiPriority w:val="9"/>
    <w:semiHidden/>
    <w:qFormat/>
    <w:rsid w:val="00017AC9"/>
    <w:pPr>
      <w:spacing w:line="170" w:lineRule="atLeast"/>
    </w:pPr>
    <w:rPr>
      <w:sz w:val="13"/>
    </w:rPr>
  </w:style>
  <w:style w:type="character" w:customStyle="1" w:styleId="FooterSmall">
    <w:name w:val="FooterSmall"/>
    <w:basedOn w:val="DefaultParagraphFont"/>
    <w:uiPriority w:val="8"/>
    <w:semiHidden/>
    <w:qFormat/>
    <w:rsid w:val="00017AC9"/>
    <w:rPr>
      <w:sz w:val="12"/>
    </w:rPr>
  </w:style>
  <w:style w:type="character" w:customStyle="1" w:styleId="Heading5Char">
    <w:name w:val="Heading 5 Char"/>
    <w:basedOn w:val="DefaultParagraphFont"/>
    <w:link w:val="Heading5"/>
    <w:semiHidden/>
    <w:rsid w:val="00017AC9"/>
    <w:rPr>
      <w:rFonts w:ascii="Arial" w:eastAsia="MS Mincho" w:hAnsi="Arial"/>
      <w:b/>
      <w:bCs/>
      <w:i/>
      <w:iCs/>
      <w:sz w:val="22"/>
      <w:szCs w:val="26"/>
      <w:lang w:eastAsia="ja-JP"/>
    </w:rPr>
  </w:style>
  <w:style w:type="character" w:customStyle="1" w:styleId="Heading6Char">
    <w:name w:val="Heading 6 Char"/>
    <w:basedOn w:val="DefaultParagraphFont"/>
    <w:link w:val="Heading6"/>
    <w:semiHidden/>
    <w:rsid w:val="00017AC9"/>
    <w:rPr>
      <w:rFonts w:ascii="Arial" w:eastAsia="MS Mincho" w:hAnsi="Arial"/>
      <w:b/>
      <w:bCs/>
      <w:sz w:val="16"/>
      <w:szCs w:val="22"/>
      <w:lang w:eastAsia="ja-JP"/>
    </w:rPr>
  </w:style>
  <w:style w:type="character" w:customStyle="1" w:styleId="Heading7Char">
    <w:name w:val="Heading 7 Char"/>
    <w:basedOn w:val="DefaultParagraphFont"/>
    <w:link w:val="Heading7"/>
    <w:semiHidden/>
    <w:rsid w:val="00017AC9"/>
    <w:rPr>
      <w:rFonts w:ascii="Arial" w:eastAsia="MS Mincho" w:hAnsi="Arial"/>
      <w:sz w:val="24"/>
      <w:lang w:eastAsia="ja-JP"/>
    </w:rPr>
  </w:style>
  <w:style w:type="character" w:customStyle="1" w:styleId="Heading8Char">
    <w:name w:val="Heading 8 Char"/>
    <w:basedOn w:val="DefaultParagraphFont"/>
    <w:link w:val="Heading8"/>
    <w:semiHidden/>
    <w:rsid w:val="00017AC9"/>
    <w:rPr>
      <w:rFonts w:ascii="Arial" w:eastAsia="MS Mincho" w:hAnsi="Arial"/>
      <w:i/>
      <w:iCs/>
      <w:sz w:val="24"/>
      <w:lang w:eastAsia="ja-JP"/>
    </w:rPr>
  </w:style>
  <w:style w:type="paragraph" w:styleId="ListBullet3">
    <w:name w:val="List Bullet 3"/>
    <w:basedOn w:val="Normal"/>
    <w:semiHidden/>
    <w:rsid w:val="00017AC9"/>
    <w:pPr>
      <w:contextualSpacing/>
    </w:pPr>
  </w:style>
  <w:style w:type="paragraph" w:customStyle="1" w:styleId="Message">
    <w:name w:val="Message"/>
    <w:basedOn w:val="Normal"/>
    <w:uiPriority w:val="4"/>
    <w:semiHidden/>
    <w:qFormat/>
    <w:rsid w:val="00017AC9"/>
    <w:rPr>
      <w:b/>
      <w:caps/>
    </w:rPr>
  </w:style>
  <w:style w:type="character" w:styleId="Emphasis">
    <w:name w:val="Emphasis"/>
    <w:basedOn w:val="DefaultParagraphFont"/>
    <w:uiPriority w:val="20"/>
    <w:qFormat/>
    <w:rsid w:val="006A14D6"/>
    <w:rPr>
      <w:i/>
      <w:iCs/>
    </w:rPr>
  </w:style>
  <w:style w:type="paragraph" w:styleId="FootnoteText">
    <w:name w:val="footnote text"/>
    <w:basedOn w:val="Normal"/>
    <w:link w:val="FootnoteTextChar"/>
    <w:rsid w:val="006A14D6"/>
    <w:pPr>
      <w:adjustRightInd/>
      <w:snapToGrid/>
      <w:spacing w:line="240" w:lineRule="auto"/>
      <w:jc w:val="left"/>
    </w:pPr>
    <w:rPr>
      <w:rFonts w:eastAsia="Times New Roman"/>
      <w:sz w:val="20"/>
      <w:lang w:eastAsia="en-US"/>
    </w:rPr>
  </w:style>
  <w:style w:type="character" w:customStyle="1" w:styleId="FootnoteTextChar">
    <w:name w:val="Footnote Text Char"/>
    <w:basedOn w:val="DefaultParagraphFont"/>
    <w:link w:val="FootnoteText"/>
    <w:rsid w:val="006A14D6"/>
    <w:rPr>
      <w:rFonts w:ascii="Arial" w:hAnsi="Arial"/>
      <w:lang w:eastAsia="en-US"/>
    </w:rPr>
  </w:style>
  <w:style w:type="character" w:styleId="FootnoteReference">
    <w:name w:val="footnote reference"/>
    <w:basedOn w:val="DefaultParagraphFont"/>
    <w:rsid w:val="006A14D6"/>
    <w:rPr>
      <w:vertAlign w:val="superscript"/>
    </w:rPr>
  </w:style>
  <w:style w:type="paragraph" w:styleId="ListParagraph">
    <w:name w:val="List Paragraph"/>
    <w:basedOn w:val="Normal"/>
    <w:uiPriority w:val="34"/>
    <w:rsid w:val="00080418"/>
    <w:pPr>
      <w:ind w:left="720"/>
      <w:contextualSpacing/>
    </w:pPr>
  </w:style>
  <w:style w:type="table" w:customStyle="1" w:styleId="TableGrid1">
    <w:name w:val="Table Grid1"/>
    <w:basedOn w:val="TableNormal"/>
    <w:next w:val="TableGrid"/>
    <w:rsid w:val="002E2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624058"/>
    <w:rPr>
      <w:sz w:val="16"/>
      <w:szCs w:val="16"/>
    </w:rPr>
  </w:style>
  <w:style w:type="paragraph" w:styleId="CommentText">
    <w:name w:val="annotation text"/>
    <w:basedOn w:val="Normal"/>
    <w:link w:val="CommentTextChar"/>
    <w:rsid w:val="00624058"/>
    <w:pPr>
      <w:spacing w:line="240" w:lineRule="auto"/>
    </w:pPr>
    <w:rPr>
      <w:sz w:val="20"/>
    </w:rPr>
  </w:style>
  <w:style w:type="character" w:customStyle="1" w:styleId="CommentTextChar">
    <w:name w:val="Comment Text Char"/>
    <w:basedOn w:val="DefaultParagraphFont"/>
    <w:link w:val="CommentText"/>
    <w:rsid w:val="00624058"/>
    <w:rPr>
      <w:rFonts w:ascii="Arial" w:eastAsia="MS Mincho" w:hAnsi="Arial"/>
      <w:lang w:eastAsia="ja-JP"/>
    </w:rPr>
  </w:style>
  <w:style w:type="paragraph" w:styleId="CommentSubject">
    <w:name w:val="annotation subject"/>
    <w:basedOn w:val="CommentText"/>
    <w:next w:val="CommentText"/>
    <w:link w:val="CommentSubjectChar"/>
    <w:rsid w:val="00624058"/>
    <w:rPr>
      <w:b/>
      <w:bCs/>
    </w:rPr>
  </w:style>
  <w:style w:type="character" w:customStyle="1" w:styleId="CommentSubjectChar">
    <w:name w:val="Comment Subject Char"/>
    <w:basedOn w:val="CommentTextChar"/>
    <w:link w:val="CommentSubject"/>
    <w:rsid w:val="00624058"/>
    <w:rPr>
      <w:rFonts w:ascii="Arial" w:eastAsia="MS Mincho" w:hAnsi="Arial"/>
      <w:b/>
      <w:bCs/>
      <w:lang w:eastAsia="ja-JP"/>
    </w:rPr>
  </w:style>
  <w:style w:type="paragraph" w:styleId="Revision">
    <w:name w:val="Revision"/>
    <w:hidden/>
    <w:uiPriority w:val="99"/>
    <w:semiHidden/>
    <w:rsid w:val="00146EF3"/>
    <w:rPr>
      <w:rFonts w:ascii="Arial" w:eastAsia="MS Mincho" w:hAnsi="Arial"/>
      <w:sz w:val="22"/>
      <w:lang w:eastAsia="ja-JP"/>
    </w:rPr>
  </w:style>
  <w:style w:type="character" w:styleId="Hyperlink">
    <w:name w:val="Hyperlink"/>
    <w:basedOn w:val="DefaultParagraphFont"/>
    <w:rsid w:val="00B26BB1"/>
    <w:rPr>
      <w:color w:val="0000FF" w:themeColor="hyperlink"/>
      <w:u w:val="single"/>
    </w:rPr>
  </w:style>
  <w:style w:type="character" w:styleId="FollowedHyperlink">
    <w:name w:val="FollowedHyperlink"/>
    <w:basedOn w:val="DefaultParagraphFont"/>
    <w:rsid w:val="00B26BB1"/>
    <w:rPr>
      <w:color w:val="800080" w:themeColor="followedHyperlink"/>
      <w:u w:val="single"/>
    </w:rPr>
  </w:style>
  <w:style w:type="paragraph" w:customStyle="1" w:styleId="bodycopy">
    <w:name w:val="body copy"/>
    <w:basedOn w:val="Normal"/>
    <w:uiPriority w:val="99"/>
    <w:rsid w:val="00B26BB1"/>
    <w:pPr>
      <w:widowControl w:val="0"/>
      <w:suppressAutoHyphens/>
      <w:autoSpaceDE w:val="0"/>
      <w:autoSpaceDN w:val="0"/>
      <w:snapToGrid/>
      <w:spacing w:after="85" w:line="360" w:lineRule="auto"/>
      <w:jc w:val="left"/>
      <w:textAlignment w:val="center"/>
    </w:pPr>
    <w:rPr>
      <w:rFonts w:ascii="Helvetica" w:eastAsiaTheme="minorEastAsia" w:hAnsi="Helvetica" w:cs="Helvetica"/>
      <w:color w:val="000000"/>
      <w:sz w:val="18"/>
      <w:szCs w:val="18"/>
      <w:lang w:val="en-GB"/>
    </w:rPr>
  </w:style>
  <w:style w:type="paragraph" w:customStyle="1" w:styleId="TableHeader">
    <w:name w:val="Table Header"/>
    <w:basedOn w:val="bodycopy"/>
    <w:uiPriority w:val="99"/>
    <w:rsid w:val="00B26BB1"/>
    <w:pPr>
      <w:spacing w:line="240" w:lineRule="atLeast"/>
    </w:pPr>
    <w:rPr>
      <w:rFonts w:ascii="Helvetica-Bold" w:hAnsi="Helvetica-Bold" w:cs="Helvetica-Bold"/>
      <w:b/>
      <w:bCs/>
      <w:color w:val="FFFFFF"/>
    </w:rPr>
  </w:style>
  <w:style w:type="paragraph" w:customStyle="1" w:styleId="NoParagraphStyle">
    <w:name w:val="[No Paragraph Style]"/>
    <w:rsid w:val="00B26BB1"/>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szCs w:val="24"/>
      <w:lang w:val="en-GB" w:eastAsia="ja-JP"/>
    </w:rPr>
  </w:style>
  <w:style w:type="paragraph" w:customStyle="1" w:styleId="DHead">
    <w:name w:val="D Head"/>
    <w:basedOn w:val="bodycopy"/>
    <w:uiPriority w:val="99"/>
    <w:rsid w:val="00B26BB1"/>
    <w:pPr>
      <w:spacing w:before="170" w:after="113"/>
    </w:pPr>
    <w:rPr>
      <w:rFonts w:ascii="Helvetica-Bold" w:hAnsi="Helvetica-Bold" w:cs="Helvetica-Bold"/>
      <w:b/>
      <w:bCs/>
    </w:rPr>
  </w:style>
  <w:style w:type="paragraph" w:styleId="NormalWeb">
    <w:name w:val="Normal (Web)"/>
    <w:basedOn w:val="Normal"/>
    <w:rsid w:val="00B26BB1"/>
    <w:rPr>
      <w:rFonts w:ascii="Times New Roman" w:hAnsi="Times New Roman"/>
      <w:sz w:val="24"/>
      <w:szCs w:val="24"/>
    </w:rPr>
  </w:style>
  <w:style w:type="paragraph" w:styleId="EndnoteText">
    <w:name w:val="endnote text"/>
    <w:basedOn w:val="Normal"/>
    <w:link w:val="EndnoteTextChar"/>
    <w:rsid w:val="00AF06BF"/>
    <w:pPr>
      <w:spacing w:after="0" w:line="240" w:lineRule="auto"/>
    </w:pPr>
    <w:rPr>
      <w:sz w:val="20"/>
    </w:rPr>
  </w:style>
  <w:style w:type="character" w:customStyle="1" w:styleId="EndnoteTextChar">
    <w:name w:val="Endnote Text Char"/>
    <w:basedOn w:val="DefaultParagraphFont"/>
    <w:link w:val="EndnoteText"/>
    <w:rsid w:val="00AF06BF"/>
    <w:rPr>
      <w:rFonts w:ascii="Arial" w:eastAsia="MS Mincho" w:hAnsi="Arial"/>
      <w:lang w:eastAsia="ja-JP"/>
    </w:rPr>
  </w:style>
  <w:style w:type="character" w:styleId="EndnoteReference">
    <w:name w:val="endnote reference"/>
    <w:basedOn w:val="DefaultParagraphFont"/>
    <w:rsid w:val="00AF06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871908">
      <w:bodyDiv w:val="1"/>
      <w:marLeft w:val="0"/>
      <w:marRight w:val="0"/>
      <w:marTop w:val="0"/>
      <w:marBottom w:val="0"/>
      <w:divBdr>
        <w:top w:val="none" w:sz="0" w:space="0" w:color="auto"/>
        <w:left w:val="none" w:sz="0" w:space="0" w:color="auto"/>
        <w:bottom w:val="none" w:sz="0" w:space="0" w:color="auto"/>
        <w:right w:val="none" w:sz="0" w:space="0" w:color="auto"/>
      </w:divBdr>
      <w:divsChild>
        <w:div w:id="749933283">
          <w:marLeft w:val="0"/>
          <w:marRight w:val="0"/>
          <w:marTop w:val="0"/>
          <w:marBottom w:val="0"/>
          <w:divBdr>
            <w:top w:val="none" w:sz="0" w:space="0" w:color="auto"/>
            <w:left w:val="none" w:sz="0" w:space="0" w:color="auto"/>
            <w:bottom w:val="none" w:sz="0" w:space="0" w:color="auto"/>
            <w:right w:val="none" w:sz="0" w:space="0" w:color="auto"/>
          </w:divBdr>
          <w:divsChild>
            <w:div w:id="739596349">
              <w:marLeft w:val="0"/>
              <w:marRight w:val="0"/>
              <w:marTop w:val="0"/>
              <w:marBottom w:val="0"/>
              <w:divBdr>
                <w:top w:val="none" w:sz="0" w:space="0" w:color="auto"/>
                <w:left w:val="none" w:sz="0" w:space="0" w:color="auto"/>
                <w:bottom w:val="none" w:sz="0" w:space="0" w:color="auto"/>
                <w:right w:val="none" w:sz="0" w:space="0" w:color="auto"/>
              </w:divBdr>
              <w:divsChild>
                <w:div w:id="4914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170698">
      <w:bodyDiv w:val="1"/>
      <w:marLeft w:val="0"/>
      <w:marRight w:val="0"/>
      <w:marTop w:val="0"/>
      <w:marBottom w:val="0"/>
      <w:divBdr>
        <w:top w:val="none" w:sz="0" w:space="0" w:color="auto"/>
        <w:left w:val="none" w:sz="0" w:space="0" w:color="auto"/>
        <w:bottom w:val="none" w:sz="0" w:space="0" w:color="auto"/>
        <w:right w:val="none" w:sz="0" w:space="0" w:color="auto"/>
      </w:divBdr>
      <w:divsChild>
        <w:div w:id="877471313">
          <w:marLeft w:val="0"/>
          <w:marRight w:val="0"/>
          <w:marTop w:val="0"/>
          <w:marBottom w:val="0"/>
          <w:divBdr>
            <w:top w:val="none" w:sz="0" w:space="0" w:color="auto"/>
            <w:left w:val="none" w:sz="0" w:space="0" w:color="auto"/>
            <w:bottom w:val="none" w:sz="0" w:space="0" w:color="auto"/>
            <w:right w:val="none" w:sz="0" w:space="0" w:color="auto"/>
          </w:divBdr>
          <w:divsChild>
            <w:div w:id="1399523413">
              <w:marLeft w:val="0"/>
              <w:marRight w:val="0"/>
              <w:marTop w:val="0"/>
              <w:marBottom w:val="0"/>
              <w:divBdr>
                <w:top w:val="none" w:sz="0" w:space="0" w:color="auto"/>
                <w:left w:val="none" w:sz="0" w:space="0" w:color="auto"/>
                <w:bottom w:val="none" w:sz="0" w:space="0" w:color="auto"/>
                <w:right w:val="none" w:sz="0" w:space="0" w:color="auto"/>
              </w:divBdr>
              <w:divsChild>
                <w:div w:id="96431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724180">
      <w:bodyDiv w:val="1"/>
      <w:marLeft w:val="0"/>
      <w:marRight w:val="0"/>
      <w:marTop w:val="0"/>
      <w:marBottom w:val="0"/>
      <w:divBdr>
        <w:top w:val="none" w:sz="0" w:space="0" w:color="auto"/>
        <w:left w:val="none" w:sz="0" w:space="0" w:color="auto"/>
        <w:bottom w:val="none" w:sz="0" w:space="0" w:color="auto"/>
        <w:right w:val="none" w:sz="0" w:space="0" w:color="auto"/>
      </w:divBdr>
      <w:divsChild>
        <w:div w:id="523980904">
          <w:marLeft w:val="0"/>
          <w:marRight w:val="0"/>
          <w:marTop w:val="0"/>
          <w:marBottom w:val="0"/>
          <w:divBdr>
            <w:top w:val="none" w:sz="0" w:space="0" w:color="auto"/>
            <w:left w:val="none" w:sz="0" w:space="0" w:color="auto"/>
            <w:bottom w:val="none" w:sz="0" w:space="0" w:color="auto"/>
            <w:right w:val="none" w:sz="0" w:space="0" w:color="auto"/>
          </w:divBdr>
          <w:divsChild>
            <w:div w:id="2001498701">
              <w:marLeft w:val="0"/>
              <w:marRight w:val="0"/>
              <w:marTop w:val="0"/>
              <w:marBottom w:val="0"/>
              <w:divBdr>
                <w:top w:val="none" w:sz="0" w:space="0" w:color="auto"/>
                <w:left w:val="none" w:sz="0" w:space="0" w:color="auto"/>
                <w:bottom w:val="none" w:sz="0" w:space="0" w:color="auto"/>
                <w:right w:val="none" w:sz="0" w:space="0" w:color="auto"/>
              </w:divBdr>
              <w:divsChild>
                <w:div w:id="140143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951053">
      <w:bodyDiv w:val="1"/>
      <w:marLeft w:val="0"/>
      <w:marRight w:val="0"/>
      <w:marTop w:val="0"/>
      <w:marBottom w:val="0"/>
      <w:divBdr>
        <w:top w:val="none" w:sz="0" w:space="0" w:color="auto"/>
        <w:left w:val="none" w:sz="0" w:space="0" w:color="auto"/>
        <w:bottom w:val="none" w:sz="0" w:space="0" w:color="auto"/>
        <w:right w:val="none" w:sz="0" w:space="0" w:color="auto"/>
      </w:divBdr>
      <w:divsChild>
        <w:div w:id="1010378520">
          <w:marLeft w:val="0"/>
          <w:marRight w:val="0"/>
          <w:marTop w:val="0"/>
          <w:marBottom w:val="0"/>
          <w:divBdr>
            <w:top w:val="none" w:sz="0" w:space="0" w:color="auto"/>
            <w:left w:val="none" w:sz="0" w:space="0" w:color="auto"/>
            <w:bottom w:val="none" w:sz="0" w:space="0" w:color="auto"/>
            <w:right w:val="none" w:sz="0" w:space="0" w:color="auto"/>
          </w:divBdr>
          <w:divsChild>
            <w:div w:id="875970409">
              <w:marLeft w:val="0"/>
              <w:marRight w:val="0"/>
              <w:marTop w:val="0"/>
              <w:marBottom w:val="0"/>
              <w:divBdr>
                <w:top w:val="none" w:sz="0" w:space="0" w:color="auto"/>
                <w:left w:val="none" w:sz="0" w:space="0" w:color="auto"/>
                <w:bottom w:val="none" w:sz="0" w:space="0" w:color="auto"/>
                <w:right w:val="none" w:sz="0" w:space="0" w:color="auto"/>
              </w:divBdr>
              <w:divsChild>
                <w:div w:id="89543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838917">
      <w:bodyDiv w:val="1"/>
      <w:marLeft w:val="0"/>
      <w:marRight w:val="0"/>
      <w:marTop w:val="0"/>
      <w:marBottom w:val="0"/>
      <w:divBdr>
        <w:top w:val="none" w:sz="0" w:space="0" w:color="auto"/>
        <w:left w:val="none" w:sz="0" w:space="0" w:color="auto"/>
        <w:bottom w:val="none" w:sz="0" w:space="0" w:color="auto"/>
        <w:right w:val="none" w:sz="0" w:space="0" w:color="auto"/>
      </w:divBdr>
      <w:divsChild>
        <w:div w:id="829833837">
          <w:marLeft w:val="0"/>
          <w:marRight w:val="0"/>
          <w:marTop w:val="0"/>
          <w:marBottom w:val="0"/>
          <w:divBdr>
            <w:top w:val="none" w:sz="0" w:space="0" w:color="auto"/>
            <w:left w:val="none" w:sz="0" w:space="0" w:color="auto"/>
            <w:bottom w:val="none" w:sz="0" w:space="0" w:color="auto"/>
            <w:right w:val="none" w:sz="0" w:space="0" w:color="auto"/>
          </w:divBdr>
          <w:divsChild>
            <w:div w:id="840000223">
              <w:marLeft w:val="0"/>
              <w:marRight w:val="0"/>
              <w:marTop w:val="0"/>
              <w:marBottom w:val="0"/>
              <w:divBdr>
                <w:top w:val="none" w:sz="0" w:space="0" w:color="auto"/>
                <w:left w:val="none" w:sz="0" w:space="0" w:color="auto"/>
                <w:bottom w:val="none" w:sz="0" w:space="0" w:color="auto"/>
                <w:right w:val="none" w:sz="0" w:space="0" w:color="auto"/>
              </w:divBdr>
              <w:divsChild>
                <w:div w:id="6869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408011">
      <w:bodyDiv w:val="1"/>
      <w:marLeft w:val="0"/>
      <w:marRight w:val="0"/>
      <w:marTop w:val="0"/>
      <w:marBottom w:val="0"/>
      <w:divBdr>
        <w:top w:val="none" w:sz="0" w:space="0" w:color="auto"/>
        <w:left w:val="none" w:sz="0" w:space="0" w:color="auto"/>
        <w:bottom w:val="none" w:sz="0" w:space="0" w:color="auto"/>
        <w:right w:val="none" w:sz="0" w:space="0" w:color="auto"/>
      </w:divBdr>
      <w:divsChild>
        <w:div w:id="1855073633">
          <w:marLeft w:val="0"/>
          <w:marRight w:val="0"/>
          <w:marTop w:val="0"/>
          <w:marBottom w:val="0"/>
          <w:divBdr>
            <w:top w:val="none" w:sz="0" w:space="0" w:color="auto"/>
            <w:left w:val="none" w:sz="0" w:space="0" w:color="auto"/>
            <w:bottom w:val="none" w:sz="0" w:space="0" w:color="auto"/>
            <w:right w:val="none" w:sz="0" w:space="0" w:color="auto"/>
          </w:divBdr>
          <w:divsChild>
            <w:div w:id="1557475738">
              <w:marLeft w:val="0"/>
              <w:marRight w:val="0"/>
              <w:marTop w:val="0"/>
              <w:marBottom w:val="0"/>
              <w:divBdr>
                <w:top w:val="none" w:sz="0" w:space="0" w:color="auto"/>
                <w:left w:val="none" w:sz="0" w:space="0" w:color="auto"/>
                <w:bottom w:val="none" w:sz="0" w:space="0" w:color="auto"/>
                <w:right w:val="none" w:sz="0" w:space="0" w:color="auto"/>
              </w:divBdr>
              <w:divsChild>
                <w:div w:id="211917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082086">
      <w:bodyDiv w:val="1"/>
      <w:marLeft w:val="0"/>
      <w:marRight w:val="0"/>
      <w:marTop w:val="0"/>
      <w:marBottom w:val="0"/>
      <w:divBdr>
        <w:top w:val="none" w:sz="0" w:space="0" w:color="auto"/>
        <w:left w:val="none" w:sz="0" w:space="0" w:color="auto"/>
        <w:bottom w:val="none" w:sz="0" w:space="0" w:color="auto"/>
        <w:right w:val="none" w:sz="0" w:space="0" w:color="auto"/>
      </w:divBdr>
      <w:divsChild>
        <w:div w:id="917443895">
          <w:marLeft w:val="0"/>
          <w:marRight w:val="0"/>
          <w:marTop w:val="0"/>
          <w:marBottom w:val="0"/>
          <w:divBdr>
            <w:top w:val="none" w:sz="0" w:space="0" w:color="auto"/>
            <w:left w:val="none" w:sz="0" w:space="0" w:color="auto"/>
            <w:bottom w:val="none" w:sz="0" w:space="0" w:color="auto"/>
            <w:right w:val="none" w:sz="0" w:space="0" w:color="auto"/>
          </w:divBdr>
          <w:divsChild>
            <w:div w:id="1131821819">
              <w:marLeft w:val="0"/>
              <w:marRight w:val="0"/>
              <w:marTop w:val="0"/>
              <w:marBottom w:val="0"/>
              <w:divBdr>
                <w:top w:val="none" w:sz="0" w:space="0" w:color="auto"/>
                <w:left w:val="none" w:sz="0" w:space="0" w:color="auto"/>
                <w:bottom w:val="none" w:sz="0" w:space="0" w:color="auto"/>
                <w:right w:val="none" w:sz="0" w:space="0" w:color="auto"/>
              </w:divBdr>
              <w:divsChild>
                <w:div w:id="135241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at.gov.au/Publications/Research/AATConcurrentEvidenceReportNovember2005.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footnotes" Target="footnotes.xml"/><Relationship Id="rId12" Type="http://schemas.openxmlformats.org/officeDocument/2006/relationships/hyperlink" Target="http://www.aat.gov.au/LawAndPractice/AlternativeDisputeResolution/ADRGuidelines.htm"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at.gov.au/AATOnline/eCaseSearch/Info/About.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at.gov.au/LawAndPractice/AlternativeDisputeResolution.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aat.gov.au/LawAndPractice/PracticeDirectionsAndGuides/Guidelines/ConcurrentEvidence.htm" TargetMode="External"/><Relationship Id="rId23" Type="http://schemas.openxmlformats.org/officeDocument/2006/relationships/header" Target="header4.xml"/><Relationship Id="rId10" Type="http://schemas.openxmlformats.org/officeDocument/2006/relationships/hyperlink" Target="http://www.comlaw.gov.au/Details/F2006B11660"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arc.ag.gov.au/Documents/ARC+REPORT+39.pdf" TargetMode="External"/><Relationship Id="rId14" Type="http://schemas.openxmlformats.org/officeDocument/2006/relationships/hyperlink" Target="http://www.aat.gov.au/LawAndPractice/PracticeDirectionsAndGuides/Guidelines/ExpertAndOpinionEvidence.htm"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www.aat.gov.au/docs/Reports/2013/AR2013-Chapter3.pdf" TargetMode="External"/><Relationship Id="rId2" Type="http://schemas.openxmlformats.org/officeDocument/2006/relationships/hyperlink" Target="http://www.aat.gov.au/docs/Reports/2013/AR2013-Appendix4.pdf" TargetMode="External"/><Relationship Id="rId1" Type="http://schemas.openxmlformats.org/officeDocument/2006/relationships/hyperlink" Target="http://www.aat.gov.au/docs/Reports/2013/AR2013-Chapter3.pdf" TargetMode="External"/><Relationship Id="rId6" Type="http://schemas.openxmlformats.org/officeDocument/2006/relationships/hyperlink" Target="http://www.aat.gov.au/docs/Reports/2013/AR2013-Appendix6.pdf" TargetMode="External"/><Relationship Id="rId5" Type="http://schemas.openxmlformats.org/officeDocument/2006/relationships/hyperlink" Target="http://www.aat.gov.au/FormsAndFees/Fees.htm" TargetMode="External"/><Relationship Id="rId4" Type="http://schemas.openxmlformats.org/officeDocument/2006/relationships/hyperlink" Target="http://www.comlaw.gov.au/Details/F2012C0069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T:\template\General\File%20Note_AA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1E429-1707-4669-9960-45D58AFCD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File Note_AAT.dotm</Template>
  <TotalTime>1</TotalTime>
  <Pages>18</Pages>
  <Words>6307</Words>
  <Characters>34048</Characters>
  <Application>Microsoft Office Word</Application>
  <DocSecurity>4</DocSecurity>
  <Lines>283</Lines>
  <Paragraphs>80</Paragraphs>
  <ScaleCrop>false</ScaleCrop>
  <HeadingPairs>
    <vt:vector size="2" baseType="variant">
      <vt:variant>
        <vt:lpstr>Title</vt:lpstr>
      </vt:variant>
      <vt:variant>
        <vt:i4>1</vt:i4>
      </vt:variant>
    </vt:vector>
  </HeadingPairs>
  <TitlesOfParts>
    <vt:vector size="1" baseType="lpstr">
      <vt:lpstr/>
    </vt:vector>
  </TitlesOfParts>
  <Company>AAT</Company>
  <LinksUpToDate>false</LinksUpToDate>
  <CharactersWithSpaces>40275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65 - Administrative Appeals Tribunal - Access to Justice Arrangements - Public inquiry</dc:title>
  <dc:creator>Administrative Appeals Tribunal</dc:creator>
  <cp:lastModifiedBy>Productivity Commission</cp:lastModifiedBy>
  <cp:revision>2</cp:revision>
  <cp:lastPrinted>2012-10-26T01:03:00Z</cp:lastPrinted>
  <dcterms:created xsi:type="dcterms:W3CDTF">2013-11-19T05:06:00Z</dcterms:created>
  <dcterms:modified xsi:type="dcterms:W3CDTF">2013-11-19T05:06:00Z</dcterms:modified>
  <cp:category>File Note</cp:category>
</cp:coreProperties>
</file>