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D9F" w:rsidRPr="00A0116A" w:rsidRDefault="008D1FFA" w:rsidP="002D390D">
      <w:pPr>
        <w:tabs>
          <w:tab w:val="right" w:pos="8640"/>
        </w:tabs>
        <w:spacing w:after="240"/>
        <w:jc w:val="center"/>
        <w:rPr>
          <w:rStyle w:val="Heading1Char"/>
          <w:b w:val="0"/>
          <w:bCs w:val="0"/>
          <w:kern w:val="0"/>
        </w:rPr>
      </w:pPr>
      <w:bookmarkStart w:id="0" w:name="_GoBack"/>
      <w:bookmarkEnd w:id="0"/>
      <w:r w:rsidRPr="00A0116A">
        <w:rPr>
          <w:rStyle w:val="Heading1Char"/>
        </w:rPr>
        <w:t xml:space="preserve">Submission to the Productivity Commission </w:t>
      </w:r>
      <w:r w:rsidR="00444A1B">
        <w:rPr>
          <w:rStyle w:val="Heading1Char"/>
        </w:rPr>
        <w:t>on</w:t>
      </w:r>
      <w:r w:rsidR="00444A1B" w:rsidRPr="00A0116A">
        <w:rPr>
          <w:rStyle w:val="Heading1Char"/>
        </w:rPr>
        <w:t xml:space="preserve"> </w:t>
      </w:r>
      <w:r w:rsidRPr="00A0116A">
        <w:rPr>
          <w:rStyle w:val="Heading1Char"/>
        </w:rPr>
        <w:t>Access</w:t>
      </w:r>
      <w:r w:rsidR="00444A1B">
        <w:rPr>
          <w:rStyle w:val="Heading1Char"/>
        </w:rPr>
        <w:t> </w:t>
      </w:r>
      <w:r w:rsidRPr="00A0116A">
        <w:rPr>
          <w:rStyle w:val="Heading1Char"/>
        </w:rPr>
        <w:t>to Justice Arrangements</w:t>
      </w:r>
    </w:p>
    <w:p w:rsidR="00C511E3" w:rsidRPr="00A9458F" w:rsidRDefault="008D1FFA" w:rsidP="002D390D">
      <w:pPr>
        <w:tabs>
          <w:tab w:val="right" w:pos="8640"/>
        </w:tabs>
        <w:spacing w:after="240"/>
        <w:jc w:val="center"/>
        <w:rPr>
          <w:rFonts w:ascii="Arial" w:hAnsi="Arial" w:cs="Arial"/>
          <w:iCs/>
          <w:sz w:val="22"/>
          <w:szCs w:val="22"/>
        </w:rPr>
      </w:pPr>
      <w:r w:rsidRPr="00A9458F">
        <w:rPr>
          <w:rStyle w:val="Heading1Char"/>
          <w:sz w:val="22"/>
          <w:szCs w:val="22"/>
        </w:rPr>
        <w:t>November 2013</w:t>
      </w:r>
    </w:p>
    <w:tbl>
      <w:tblPr>
        <w:tblW w:w="4922" w:type="pct"/>
        <w:tblLook w:val="0000" w:firstRow="0" w:lastRow="0" w:firstColumn="0" w:lastColumn="0" w:noHBand="0" w:noVBand="0"/>
      </w:tblPr>
      <w:tblGrid>
        <w:gridCol w:w="5148"/>
        <w:gridCol w:w="359"/>
        <w:gridCol w:w="3240"/>
      </w:tblGrid>
      <w:tr w:rsidR="00E20A47" w:rsidRPr="00A9458F" w:rsidTr="009A4D3E">
        <w:trPr>
          <w:trHeight w:val="80"/>
        </w:trPr>
        <w:tc>
          <w:tcPr>
            <w:tcW w:w="2943" w:type="pct"/>
            <w:shd w:val="clear" w:color="auto" w:fill="auto"/>
          </w:tcPr>
          <w:p w:rsidR="00C511E3" w:rsidRPr="00A9458F" w:rsidRDefault="00C511E3" w:rsidP="00E20A47">
            <w:pPr>
              <w:spacing w:line="360" w:lineRule="auto"/>
              <w:jc w:val="both"/>
              <w:rPr>
                <w:rFonts w:ascii="Arial" w:hAnsi="Arial" w:cs="Arial"/>
                <w:sz w:val="22"/>
                <w:szCs w:val="22"/>
              </w:rPr>
            </w:pPr>
            <w:r w:rsidRPr="00A9458F">
              <w:rPr>
                <w:rFonts w:ascii="Arial" w:hAnsi="Arial" w:cs="Arial"/>
                <w:sz w:val="22"/>
                <w:szCs w:val="22"/>
              </w:rPr>
              <w:t xml:space="preserve">The Australian Network of Environmental Defender’s Offices (ANEDO) consists of nine independently constituted and managed community environmental law centres located in each State and Territory of Australia. </w:t>
            </w:r>
          </w:p>
          <w:p w:rsidR="00C511E3" w:rsidRPr="00A9458F" w:rsidRDefault="00C511E3" w:rsidP="00E2289C">
            <w:pPr>
              <w:spacing w:line="360" w:lineRule="auto"/>
              <w:jc w:val="both"/>
              <w:rPr>
                <w:rFonts w:ascii="Arial" w:hAnsi="Arial" w:cs="Arial"/>
                <w:sz w:val="22"/>
                <w:szCs w:val="22"/>
              </w:rPr>
            </w:pPr>
            <w:r w:rsidRPr="00A9458F">
              <w:rPr>
                <w:rFonts w:ascii="Arial" w:hAnsi="Arial" w:cs="Arial"/>
                <w:sz w:val="22"/>
                <w:szCs w:val="22"/>
              </w:rPr>
              <w:t xml:space="preserve">Each EDO is dedicated to protecting the environment in the public interest. EDOs provide legal representation and advice, take an active role in environmental law reform and policy formulation, and offer a significant education program designed to facilitate public participation in environmental decision making. </w:t>
            </w:r>
          </w:p>
        </w:tc>
        <w:tc>
          <w:tcPr>
            <w:tcW w:w="205" w:type="pct"/>
            <w:shd w:val="clear" w:color="auto" w:fill="auto"/>
          </w:tcPr>
          <w:p w:rsidR="00C511E3" w:rsidRPr="00A9458F" w:rsidRDefault="00C511E3" w:rsidP="00E32660">
            <w:pPr>
              <w:spacing w:line="360" w:lineRule="auto"/>
              <w:rPr>
                <w:rFonts w:ascii="Arial" w:hAnsi="Arial" w:cs="Arial"/>
                <w:sz w:val="22"/>
                <w:szCs w:val="22"/>
              </w:rPr>
            </w:pPr>
          </w:p>
        </w:tc>
        <w:tc>
          <w:tcPr>
            <w:tcW w:w="1852" w:type="pct"/>
            <w:shd w:val="clear" w:color="auto" w:fill="E6E6E6"/>
          </w:tcPr>
          <w:p w:rsidR="00C511E3" w:rsidRPr="00A9458F" w:rsidRDefault="00C511E3" w:rsidP="00E20A47">
            <w:pPr>
              <w:rPr>
                <w:rFonts w:ascii="Arial" w:hAnsi="Arial" w:cs="Arial"/>
                <w:sz w:val="22"/>
                <w:szCs w:val="22"/>
              </w:rPr>
            </w:pPr>
            <w:r w:rsidRPr="00A9458F">
              <w:rPr>
                <w:rFonts w:ascii="Arial" w:hAnsi="Arial" w:cs="Arial"/>
                <w:sz w:val="22"/>
                <w:szCs w:val="22"/>
              </w:rPr>
              <w:t>EDO ACT (tel. 02 6247 9420)</w:t>
            </w:r>
            <w:r w:rsidR="00E32660" w:rsidRPr="00A9458F">
              <w:rPr>
                <w:rFonts w:ascii="Arial" w:hAnsi="Arial" w:cs="Arial"/>
                <w:sz w:val="22"/>
                <w:szCs w:val="22"/>
              </w:rPr>
              <w:br/>
            </w:r>
            <w:hyperlink r:id="rId9" w:history="1">
              <w:r w:rsidRPr="00A9458F">
                <w:rPr>
                  <w:rStyle w:val="Hyperlink"/>
                  <w:rFonts w:ascii="Arial" w:hAnsi="Arial" w:cs="Arial"/>
                  <w:sz w:val="22"/>
                  <w:szCs w:val="22"/>
                </w:rPr>
                <w:t>edoact@edo.org.au</w:t>
              </w:r>
            </w:hyperlink>
          </w:p>
          <w:p w:rsidR="00E20A47" w:rsidRPr="00A9458F" w:rsidRDefault="00E20A47" w:rsidP="00E20A47">
            <w:pPr>
              <w:rPr>
                <w:rFonts w:ascii="Arial" w:hAnsi="Arial" w:cs="Arial"/>
                <w:sz w:val="22"/>
                <w:szCs w:val="22"/>
              </w:rPr>
            </w:pPr>
          </w:p>
          <w:p w:rsidR="00C511E3" w:rsidRPr="00A9458F" w:rsidRDefault="00C511E3" w:rsidP="00E20A47">
            <w:pPr>
              <w:rPr>
                <w:rFonts w:ascii="Arial" w:hAnsi="Arial" w:cs="Arial"/>
                <w:sz w:val="22"/>
                <w:szCs w:val="22"/>
              </w:rPr>
            </w:pPr>
            <w:r w:rsidRPr="00A9458F">
              <w:rPr>
                <w:rFonts w:ascii="Arial" w:hAnsi="Arial" w:cs="Arial"/>
                <w:sz w:val="22"/>
                <w:szCs w:val="22"/>
              </w:rPr>
              <w:t>EDO NSW (tel. 02 9262</w:t>
            </w:r>
            <w:r w:rsidR="00E32660" w:rsidRPr="00A9458F">
              <w:rPr>
                <w:rFonts w:ascii="Arial" w:hAnsi="Arial" w:cs="Arial"/>
                <w:sz w:val="22"/>
                <w:szCs w:val="22"/>
              </w:rPr>
              <w:t xml:space="preserve"> </w:t>
            </w:r>
            <w:r w:rsidRPr="00A9458F">
              <w:rPr>
                <w:rFonts w:ascii="Arial" w:hAnsi="Arial" w:cs="Arial"/>
                <w:sz w:val="22"/>
                <w:szCs w:val="22"/>
              </w:rPr>
              <w:t xml:space="preserve">6989) </w:t>
            </w:r>
            <w:hyperlink r:id="rId10" w:history="1">
              <w:r w:rsidR="001837DC" w:rsidRPr="00A9458F">
                <w:rPr>
                  <w:rStyle w:val="Hyperlink"/>
                  <w:rFonts w:ascii="Arial" w:hAnsi="Arial" w:cs="Arial"/>
                  <w:sz w:val="22"/>
                  <w:szCs w:val="22"/>
                </w:rPr>
                <w:t>edonsw@edonsw.org.au</w:t>
              </w:r>
            </w:hyperlink>
          </w:p>
          <w:p w:rsidR="00E20A47" w:rsidRPr="00A9458F" w:rsidRDefault="00E20A47" w:rsidP="00E20A47">
            <w:pPr>
              <w:rPr>
                <w:rFonts w:ascii="Arial" w:hAnsi="Arial" w:cs="Arial"/>
                <w:sz w:val="22"/>
                <w:szCs w:val="22"/>
              </w:rPr>
            </w:pPr>
          </w:p>
          <w:p w:rsidR="00C511E3" w:rsidRPr="00A9458F" w:rsidRDefault="00C511E3" w:rsidP="009A4D3E">
            <w:pPr>
              <w:rPr>
                <w:rFonts w:ascii="Arial" w:hAnsi="Arial" w:cs="Arial"/>
                <w:sz w:val="22"/>
                <w:szCs w:val="22"/>
              </w:rPr>
            </w:pPr>
            <w:r w:rsidRPr="00A9458F">
              <w:rPr>
                <w:rFonts w:ascii="Arial" w:hAnsi="Arial" w:cs="Arial"/>
                <w:sz w:val="22"/>
                <w:szCs w:val="22"/>
              </w:rPr>
              <w:t>EDO NQ (tel. 07 4031 4766)</w:t>
            </w:r>
            <w:r w:rsidR="009A4D3E" w:rsidRPr="00A9458F">
              <w:rPr>
                <w:rFonts w:ascii="Arial" w:hAnsi="Arial" w:cs="Arial"/>
                <w:sz w:val="22"/>
                <w:szCs w:val="22"/>
              </w:rPr>
              <w:br/>
            </w:r>
            <w:hyperlink r:id="rId11" w:history="1">
              <w:r w:rsidRPr="00A9458F">
                <w:rPr>
                  <w:rStyle w:val="Hyperlink"/>
                  <w:rFonts w:ascii="Arial" w:hAnsi="Arial" w:cs="Arial"/>
                  <w:sz w:val="22"/>
                  <w:szCs w:val="22"/>
                </w:rPr>
                <w:t>edonq@edo.org.au</w:t>
              </w:r>
            </w:hyperlink>
          </w:p>
          <w:p w:rsidR="00E20A47" w:rsidRPr="00A9458F" w:rsidRDefault="00E20A47" w:rsidP="00E20A47">
            <w:pPr>
              <w:rPr>
                <w:rFonts w:ascii="Arial" w:hAnsi="Arial" w:cs="Arial"/>
                <w:sz w:val="22"/>
                <w:szCs w:val="22"/>
              </w:rPr>
            </w:pPr>
          </w:p>
          <w:p w:rsidR="00C511E3" w:rsidRPr="00A9458F" w:rsidRDefault="00C511E3" w:rsidP="009A4D3E">
            <w:pPr>
              <w:rPr>
                <w:rFonts w:ascii="Arial" w:hAnsi="Arial" w:cs="Arial"/>
                <w:sz w:val="22"/>
                <w:szCs w:val="22"/>
              </w:rPr>
            </w:pPr>
            <w:r w:rsidRPr="00A9458F">
              <w:rPr>
                <w:rFonts w:ascii="Arial" w:hAnsi="Arial" w:cs="Arial"/>
                <w:sz w:val="22"/>
                <w:szCs w:val="22"/>
              </w:rPr>
              <w:t>EDO NT (tel. 08 898</w:t>
            </w:r>
            <w:r w:rsidR="00C3337B">
              <w:rPr>
                <w:rFonts w:ascii="Arial" w:hAnsi="Arial" w:cs="Arial"/>
                <w:sz w:val="22"/>
                <w:szCs w:val="22"/>
              </w:rPr>
              <w:t>1 5883</w:t>
            </w:r>
            <w:r w:rsidRPr="00A9458F">
              <w:rPr>
                <w:rFonts w:ascii="Arial" w:hAnsi="Arial" w:cs="Arial"/>
                <w:sz w:val="22"/>
                <w:szCs w:val="22"/>
              </w:rPr>
              <w:t>)</w:t>
            </w:r>
            <w:r w:rsidR="009A4D3E" w:rsidRPr="00A9458F">
              <w:rPr>
                <w:rFonts w:ascii="Arial" w:hAnsi="Arial" w:cs="Arial"/>
                <w:sz w:val="22"/>
                <w:szCs w:val="22"/>
              </w:rPr>
              <w:br/>
            </w:r>
            <w:hyperlink r:id="rId12" w:history="1">
              <w:r w:rsidRPr="00A9458F">
                <w:rPr>
                  <w:rStyle w:val="Hyperlink"/>
                  <w:rFonts w:ascii="Arial" w:hAnsi="Arial" w:cs="Arial"/>
                  <w:sz w:val="22"/>
                  <w:szCs w:val="22"/>
                </w:rPr>
                <w:t>edont@edo.org.au</w:t>
              </w:r>
            </w:hyperlink>
          </w:p>
          <w:p w:rsidR="00E20A47" w:rsidRPr="00A9458F" w:rsidRDefault="00E20A47" w:rsidP="00E20A47">
            <w:pPr>
              <w:rPr>
                <w:rFonts w:ascii="Arial" w:hAnsi="Arial" w:cs="Arial"/>
                <w:sz w:val="22"/>
                <w:szCs w:val="22"/>
              </w:rPr>
            </w:pPr>
          </w:p>
          <w:p w:rsidR="00C511E3" w:rsidRPr="00A9458F" w:rsidRDefault="00C511E3" w:rsidP="009A4D3E">
            <w:pPr>
              <w:rPr>
                <w:rFonts w:ascii="Arial" w:hAnsi="Arial" w:cs="Arial"/>
                <w:sz w:val="22"/>
                <w:szCs w:val="22"/>
              </w:rPr>
            </w:pPr>
            <w:r w:rsidRPr="00A9458F">
              <w:rPr>
                <w:rFonts w:ascii="Arial" w:hAnsi="Arial" w:cs="Arial"/>
                <w:sz w:val="22"/>
                <w:szCs w:val="22"/>
              </w:rPr>
              <w:t>EDO QLD (tel. 07 3211 4466)</w:t>
            </w:r>
            <w:r w:rsidR="009A4D3E" w:rsidRPr="00A9458F">
              <w:rPr>
                <w:rFonts w:ascii="Arial" w:hAnsi="Arial" w:cs="Arial"/>
                <w:sz w:val="22"/>
                <w:szCs w:val="22"/>
              </w:rPr>
              <w:br/>
            </w:r>
            <w:hyperlink r:id="rId13" w:history="1">
              <w:r w:rsidRPr="00A9458F">
                <w:rPr>
                  <w:rStyle w:val="Hyperlink"/>
                  <w:rFonts w:ascii="Arial" w:hAnsi="Arial" w:cs="Arial"/>
                  <w:sz w:val="22"/>
                  <w:szCs w:val="22"/>
                </w:rPr>
                <w:t>edoqld@edo.org.au</w:t>
              </w:r>
            </w:hyperlink>
          </w:p>
          <w:p w:rsidR="00E20A47" w:rsidRPr="00A9458F" w:rsidRDefault="00E20A47" w:rsidP="00E20A47">
            <w:pPr>
              <w:rPr>
                <w:rFonts w:ascii="Arial" w:hAnsi="Arial" w:cs="Arial"/>
                <w:sz w:val="22"/>
                <w:szCs w:val="22"/>
              </w:rPr>
            </w:pPr>
          </w:p>
          <w:p w:rsidR="00C511E3" w:rsidRPr="00A9458F" w:rsidRDefault="00C511E3" w:rsidP="009A4D3E">
            <w:pPr>
              <w:rPr>
                <w:rFonts w:ascii="Arial" w:hAnsi="Arial" w:cs="Arial"/>
                <w:sz w:val="22"/>
                <w:szCs w:val="22"/>
                <w:lang w:val="fr-FR"/>
              </w:rPr>
            </w:pPr>
            <w:r w:rsidRPr="00A9458F">
              <w:rPr>
                <w:rFonts w:ascii="Arial" w:hAnsi="Arial" w:cs="Arial"/>
                <w:sz w:val="22"/>
                <w:szCs w:val="22"/>
                <w:lang w:val="fr-FR"/>
              </w:rPr>
              <w:t>EDO SA (tel. 08 8410 3833)</w:t>
            </w:r>
            <w:r w:rsidR="009A4D3E" w:rsidRPr="00A9458F">
              <w:rPr>
                <w:rFonts w:ascii="Arial" w:hAnsi="Arial" w:cs="Arial"/>
                <w:sz w:val="22"/>
                <w:szCs w:val="22"/>
                <w:lang w:val="fr-FR"/>
              </w:rPr>
              <w:br/>
            </w:r>
            <w:hyperlink r:id="rId14" w:history="1">
              <w:r w:rsidRPr="00A9458F">
                <w:rPr>
                  <w:rStyle w:val="Hyperlink"/>
                  <w:rFonts w:ascii="Arial" w:hAnsi="Arial" w:cs="Arial"/>
                  <w:sz w:val="22"/>
                  <w:szCs w:val="22"/>
                  <w:lang w:val="fr-FR"/>
                </w:rPr>
                <w:t>edosa@edo.org.au</w:t>
              </w:r>
            </w:hyperlink>
          </w:p>
          <w:p w:rsidR="00E20A47" w:rsidRPr="00A9458F" w:rsidRDefault="00E20A47" w:rsidP="00E20A47">
            <w:pPr>
              <w:rPr>
                <w:rFonts w:ascii="Arial" w:hAnsi="Arial" w:cs="Arial"/>
                <w:sz w:val="22"/>
                <w:szCs w:val="22"/>
                <w:lang w:val="fr-FR"/>
              </w:rPr>
            </w:pPr>
          </w:p>
          <w:p w:rsidR="00C511E3" w:rsidRPr="00A9458F" w:rsidRDefault="00C511E3" w:rsidP="009A4D3E">
            <w:pPr>
              <w:rPr>
                <w:rFonts w:ascii="Arial" w:hAnsi="Arial" w:cs="Arial"/>
                <w:sz w:val="22"/>
                <w:szCs w:val="22"/>
              </w:rPr>
            </w:pPr>
            <w:r w:rsidRPr="00A9458F">
              <w:rPr>
                <w:rFonts w:ascii="Arial" w:hAnsi="Arial" w:cs="Arial"/>
                <w:sz w:val="22"/>
                <w:szCs w:val="22"/>
              </w:rPr>
              <w:t>EDO TAS (tel. 03 6223 2770)</w:t>
            </w:r>
            <w:r w:rsidR="009A4D3E" w:rsidRPr="00A9458F">
              <w:rPr>
                <w:rFonts w:ascii="Arial" w:hAnsi="Arial" w:cs="Arial"/>
                <w:sz w:val="22"/>
                <w:szCs w:val="22"/>
              </w:rPr>
              <w:br/>
            </w:r>
            <w:hyperlink r:id="rId15" w:history="1">
              <w:r w:rsidR="00E20A47" w:rsidRPr="00A9458F">
                <w:rPr>
                  <w:rStyle w:val="Hyperlink"/>
                  <w:rFonts w:ascii="Arial" w:hAnsi="Arial" w:cs="Arial"/>
                  <w:sz w:val="22"/>
                  <w:szCs w:val="22"/>
                </w:rPr>
                <w:t>edotas@edo.org.au</w:t>
              </w:r>
            </w:hyperlink>
            <w:r w:rsidR="00E20A47" w:rsidRPr="00A9458F">
              <w:rPr>
                <w:rFonts w:ascii="Arial" w:hAnsi="Arial" w:cs="Arial"/>
                <w:sz w:val="22"/>
                <w:szCs w:val="22"/>
              </w:rPr>
              <w:t xml:space="preserve"> </w:t>
            </w:r>
          </w:p>
          <w:p w:rsidR="00E20A47" w:rsidRPr="00A9458F" w:rsidRDefault="00E20A47" w:rsidP="00E20A47">
            <w:pPr>
              <w:rPr>
                <w:rFonts w:ascii="Arial" w:hAnsi="Arial" w:cs="Arial"/>
                <w:sz w:val="22"/>
                <w:szCs w:val="22"/>
              </w:rPr>
            </w:pPr>
          </w:p>
          <w:p w:rsidR="00C511E3" w:rsidRPr="00A9458F" w:rsidRDefault="00C511E3" w:rsidP="009A4D3E">
            <w:pPr>
              <w:rPr>
                <w:rFonts w:ascii="Arial" w:hAnsi="Arial" w:cs="Arial"/>
                <w:sz w:val="22"/>
                <w:szCs w:val="22"/>
              </w:rPr>
            </w:pPr>
            <w:r w:rsidRPr="00A9458F">
              <w:rPr>
                <w:rFonts w:ascii="Arial" w:hAnsi="Arial" w:cs="Arial"/>
                <w:sz w:val="22"/>
                <w:szCs w:val="22"/>
              </w:rPr>
              <w:t>EDOVIC (tel. 03 9328 4811)</w:t>
            </w:r>
            <w:r w:rsidR="009A4D3E" w:rsidRPr="00A9458F">
              <w:rPr>
                <w:rFonts w:ascii="Arial" w:hAnsi="Arial" w:cs="Arial"/>
                <w:sz w:val="22"/>
                <w:szCs w:val="22"/>
              </w:rPr>
              <w:br/>
            </w:r>
            <w:hyperlink r:id="rId16" w:history="1">
              <w:r w:rsidR="001837DC" w:rsidRPr="00A9458F">
                <w:rPr>
                  <w:rStyle w:val="Hyperlink"/>
                  <w:rFonts w:ascii="Arial" w:hAnsi="Arial" w:cs="Arial"/>
                  <w:sz w:val="22"/>
                  <w:szCs w:val="22"/>
                </w:rPr>
                <w:t>edovic@edo.org.au</w:t>
              </w:r>
            </w:hyperlink>
          </w:p>
          <w:p w:rsidR="00E20A47" w:rsidRPr="00A9458F" w:rsidRDefault="00E20A47" w:rsidP="00E20A47">
            <w:pPr>
              <w:rPr>
                <w:rFonts w:ascii="Arial" w:hAnsi="Arial" w:cs="Arial"/>
                <w:sz w:val="22"/>
                <w:szCs w:val="22"/>
              </w:rPr>
            </w:pPr>
          </w:p>
          <w:p w:rsidR="00E20A47" w:rsidRPr="00A9458F" w:rsidRDefault="00C511E3" w:rsidP="009A4D3E">
            <w:pPr>
              <w:rPr>
                <w:rFonts w:ascii="Arial" w:hAnsi="Arial" w:cs="Arial"/>
                <w:sz w:val="22"/>
                <w:szCs w:val="22"/>
              </w:rPr>
            </w:pPr>
            <w:r w:rsidRPr="00A9458F">
              <w:rPr>
                <w:rFonts w:ascii="Arial" w:hAnsi="Arial" w:cs="Arial"/>
                <w:sz w:val="22"/>
                <w:szCs w:val="22"/>
              </w:rPr>
              <w:t>EDO WA (tel. 08 9221 3030)</w:t>
            </w:r>
            <w:r w:rsidR="009A4D3E" w:rsidRPr="00A9458F">
              <w:rPr>
                <w:rFonts w:ascii="Arial" w:hAnsi="Arial" w:cs="Arial"/>
                <w:sz w:val="22"/>
                <w:szCs w:val="22"/>
              </w:rPr>
              <w:br/>
            </w:r>
            <w:hyperlink r:id="rId17" w:history="1">
              <w:r w:rsidR="00E32660" w:rsidRPr="00A9458F">
                <w:rPr>
                  <w:rStyle w:val="Hyperlink"/>
                  <w:rFonts w:ascii="Arial" w:hAnsi="Arial" w:cs="Arial"/>
                  <w:sz w:val="22"/>
                  <w:szCs w:val="22"/>
                </w:rPr>
                <w:t>edowa@edowa.org.au</w:t>
              </w:r>
            </w:hyperlink>
          </w:p>
        </w:tc>
      </w:tr>
    </w:tbl>
    <w:p w:rsidR="00C511E3" w:rsidRPr="00A9458F" w:rsidRDefault="00C511E3" w:rsidP="00C511E3">
      <w:pPr>
        <w:jc w:val="both"/>
        <w:rPr>
          <w:rFonts w:ascii="Arial" w:hAnsi="Arial" w:cs="Arial"/>
          <w:sz w:val="22"/>
          <w:szCs w:val="22"/>
          <w:u w:val="single"/>
        </w:rPr>
      </w:pPr>
    </w:p>
    <w:p w:rsidR="00C511E3" w:rsidRPr="00A9458F" w:rsidRDefault="00C511E3" w:rsidP="00861A68">
      <w:pPr>
        <w:jc w:val="center"/>
        <w:rPr>
          <w:rFonts w:ascii="Arial" w:hAnsi="Arial" w:cs="Arial"/>
          <w:sz w:val="22"/>
          <w:szCs w:val="22"/>
        </w:rPr>
      </w:pPr>
      <w:r w:rsidRPr="00A9458F">
        <w:rPr>
          <w:rFonts w:ascii="Arial" w:hAnsi="Arial" w:cs="Arial"/>
          <w:sz w:val="22"/>
          <w:szCs w:val="22"/>
        </w:rPr>
        <w:t xml:space="preserve">Submitted to: </w:t>
      </w:r>
      <w:r w:rsidR="00444A1B" w:rsidRPr="00444A1B">
        <w:rPr>
          <w:rStyle w:val="Heading1Char"/>
          <w:sz w:val="22"/>
          <w:szCs w:val="22"/>
        </w:rPr>
        <w:t>access.justice@pc.gov.au</w:t>
      </w:r>
    </w:p>
    <w:p w:rsidR="00C511E3" w:rsidRPr="00A9458F" w:rsidRDefault="00E32660" w:rsidP="00861A68">
      <w:pPr>
        <w:jc w:val="center"/>
        <w:rPr>
          <w:rFonts w:ascii="Arial" w:hAnsi="Arial" w:cs="Arial"/>
          <w:bCs/>
          <w:iCs/>
          <w:sz w:val="22"/>
          <w:szCs w:val="22"/>
        </w:rPr>
      </w:pPr>
      <w:r w:rsidRPr="00A9458F">
        <w:rPr>
          <w:rFonts w:ascii="Arial" w:hAnsi="Arial" w:cs="Arial"/>
          <w:sz w:val="22"/>
          <w:szCs w:val="22"/>
        </w:rPr>
        <w:br w:type="page"/>
      </w:r>
    </w:p>
    <w:p w:rsidR="00FF47B6" w:rsidRPr="00A9458F" w:rsidRDefault="00CD3706" w:rsidP="00A9458F">
      <w:pPr>
        <w:pStyle w:val="PolicyHeading1"/>
        <w:spacing w:after="0"/>
        <w:rPr>
          <w:sz w:val="22"/>
          <w:szCs w:val="22"/>
        </w:rPr>
      </w:pPr>
      <w:r>
        <w:rPr>
          <w:sz w:val="22"/>
          <w:szCs w:val="22"/>
        </w:rPr>
        <w:lastRenderedPageBreak/>
        <w:t xml:space="preserve">Executive Summary </w:t>
      </w:r>
      <w:r w:rsidR="00FF47B6" w:rsidRPr="00A9458F">
        <w:rPr>
          <w:sz w:val="22"/>
          <w:szCs w:val="22"/>
        </w:rPr>
        <w:tab/>
      </w:r>
    </w:p>
    <w:p w:rsidR="00C511E3" w:rsidRPr="00A9458F" w:rsidRDefault="00C511E3" w:rsidP="00A9458F">
      <w:pPr>
        <w:spacing w:after="0"/>
        <w:jc w:val="both"/>
        <w:rPr>
          <w:rFonts w:ascii="Arial" w:hAnsi="Arial" w:cs="Arial"/>
          <w:sz w:val="22"/>
          <w:szCs w:val="22"/>
          <w:u w:val="single"/>
        </w:rPr>
      </w:pPr>
    </w:p>
    <w:p w:rsidR="00E7020A" w:rsidRDefault="008D1FFA" w:rsidP="00A9458F">
      <w:pPr>
        <w:spacing w:after="0"/>
        <w:jc w:val="both"/>
        <w:rPr>
          <w:rFonts w:ascii="Arial" w:hAnsi="Arial" w:cs="Arial"/>
          <w:sz w:val="22"/>
          <w:szCs w:val="22"/>
        </w:rPr>
      </w:pPr>
      <w:r w:rsidRPr="00A9458F">
        <w:rPr>
          <w:rFonts w:ascii="Arial" w:hAnsi="Arial" w:cs="Arial"/>
          <w:sz w:val="22"/>
          <w:szCs w:val="22"/>
        </w:rPr>
        <w:t xml:space="preserve">ANEDO </w:t>
      </w:r>
      <w:r w:rsidR="0096048F">
        <w:rPr>
          <w:rFonts w:ascii="Arial" w:hAnsi="Arial" w:cs="Arial"/>
          <w:sz w:val="22"/>
          <w:szCs w:val="22"/>
        </w:rPr>
        <w:t>welcomes the opportunity</w:t>
      </w:r>
      <w:r w:rsidRPr="00A9458F">
        <w:rPr>
          <w:rFonts w:ascii="Arial" w:hAnsi="Arial" w:cs="Arial"/>
          <w:sz w:val="22"/>
          <w:szCs w:val="22"/>
        </w:rPr>
        <w:t xml:space="preserve"> to </w:t>
      </w:r>
      <w:r w:rsidR="0039219F" w:rsidRPr="00A9458F">
        <w:rPr>
          <w:rFonts w:ascii="Arial" w:hAnsi="Arial" w:cs="Arial"/>
          <w:sz w:val="22"/>
          <w:szCs w:val="22"/>
        </w:rPr>
        <w:t>assist the Productivity Commission in its</w:t>
      </w:r>
      <w:r w:rsidRPr="00A9458F">
        <w:rPr>
          <w:rFonts w:ascii="Arial" w:hAnsi="Arial" w:cs="Arial"/>
          <w:sz w:val="22"/>
          <w:szCs w:val="22"/>
        </w:rPr>
        <w:t xml:space="preserve"> inquiry into access to justice in Australia</w:t>
      </w:r>
      <w:r w:rsidR="007566DE" w:rsidRPr="00A9458F">
        <w:rPr>
          <w:rFonts w:ascii="Arial" w:hAnsi="Arial" w:cs="Arial"/>
          <w:sz w:val="22"/>
          <w:szCs w:val="22"/>
        </w:rPr>
        <w:t>.</w:t>
      </w:r>
      <w:r w:rsidRPr="00A9458F">
        <w:rPr>
          <w:rFonts w:ascii="Arial" w:hAnsi="Arial" w:cs="Arial"/>
          <w:sz w:val="22"/>
          <w:szCs w:val="22"/>
        </w:rPr>
        <w:t xml:space="preserve"> </w:t>
      </w:r>
      <w:r w:rsidR="007566DE" w:rsidRPr="00A9458F">
        <w:rPr>
          <w:rFonts w:ascii="Arial" w:hAnsi="Arial" w:cs="Arial"/>
          <w:sz w:val="22"/>
          <w:szCs w:val="22"/>
        </w:rPr>
        <w:t>In light of our mandate</w:t>
      </w:r>
      <w:r w:rsidR="0039219F" w:rsidRPr="00A9458F">
        <w:rPr>
          <w:rFonts w:ascii="Arial" w:hAnsi="Arial" w:cs="Arial"/>
          <w:sz w:val="22"/>
          <w:szCs w:val="22"/>
        </w:rPr>
        <w:t xml:space="preserve"> and experience</w:t>
      </w:r>
      <w:r w:rsidR="007566DE" w:rsidRPr="00A9458F">
        <w:rPr>
          <w:rFonts w:ascii="Arial" w:hAnsi="Arial" w:cs="Arial"/>
          <w:sz w:val="22"/>
          <w:szCs w:val="22"/>
        </w:rPr>
        <w:t>,</w:t>
      </w:r>
      <w:r w:rsidRPr="00A9458F">
        <w:rPr>
          <w:rFonts w:ascii="Arial" w:hAnsi="Arial" w:cs="Arial"/>
          <w:sz w:val="22"/>
          <w:szCs w:val="22"/>
        </w:rPr>
        <w:t xml:space="preserve"> we are well placed to </w:t>
      </w:r>
      <w:r w:rsidR="00E7020A" w:rsidRPr="00A9458F">
        <w:rPr>
          <w:rFonts w:ascii="Arial" w:hAnsi="Arial" w:cs="Arial"/>
          <w:sz w:val="22"/>
          <w:szCs w:val="22"/>
        </w:rPr>
        <w:t>comment on barriers to justice</w:t>
      </w:r>
      <w:r w:rsidR="007566DE" w:rsidRPr="00A9458F">
        <w:rPr>
          <w:rFonts w:ascii="Arial" w:hAnsi="Arial" w:cs="Arial"/>
          <w:sz w:val="22"/>
          <w:szCs w:val="22"/>
        </w:rPr>
        <w:t xml:space="preserve"> in relation to </w:t>
      </w:r>
      <w:r w:rsidR="00617C51" w:rsidRPr="00A9458F">
        <w:rPr>
          <w:rFonts w:ascii="Arial" w:hAnsi="Arial" w:cs="Arial"/>
          <w:sz w:val="22"/>
          <w:szCs w:val="22"/>
        </w:rPr>
        <w:t xml:space="preserve">public interest </w:t>
      </w:r>
      <w:r w:rsidR="007566DE" w:rsidRPr="00A9458F">
        <w:rPr>
          <w:rFonts w:ascii="Arial" w:hAnsi="Arial" w:cs="Arial"/>
          <w:sz w:val="22"/>
          <w:szCs w:val="22"/>
        </w:rPr>
        <w:t xml:space="preserve">environmental </w:t>
      </w:r>
      <w:r w:rsidR="0096048F">
        <w:rPr>
          <w:rFonts w:ascii="Arial" w:hAnsi="Arial" w:cs="Arial"/>
          <w:sz w:val="22"/>
          <w:szCs w:val="22"/>
        </w:rPr>
        <w:t>law</w:t>
      </w:r>
      <w:r w:rsidR="00E7020A" w:rsidRPr="00A9458F">
        <w:rPr>
          <w:rFonts w:ascii="Arial" w:hAnsi="Arial" w:cs="Arial"/>
          <w:sz w:val="22"/>
          <w:szCs w:val="22"/>
        </w:rPr>
        <w:t xml:space="preserve">. </w:t>
      </w:r>
      <w:r w:rsidR="0026666D" w:rsidRPr="00A9458F">
        <w:rPr>
          <w:rFonts w:ascii="Arial" w:hAnsi="Arial" w:cs="Arial"/>
          <w:sz w:val="22"/>
          <w:szCs w:val="22"/>
        </w:rPr>
        <w:t>Drawing on this</w:t>
      </w:r>
      <w:r w:rsidR="007566DE" w:rsidRPr="00A9458F">
        <w:rPr>
          <w:rFonts w:ascii="Arial" w:hAnsi="Arial" w:cs="Arial"/>
          <w:sz w:val="22"/>
          <w:szCs w:val="22"/>
        </w:rPr>
        <w:t xml:space="preserve"> experience, our submission will focus on </w:t>
      </w:r>
      <w:r w:rsidR="00617C51" w:rsidRPr="00A9458F">
        <w:rPr>
          <w:rFonts w:ascii="Arial" w:hAnsi="Arial" w:cs="Arial"/>
          <w:sz w:val="22"/>
          <w:szCs w:val="22"/>
        </w:rPr>
        <w:t>seven core</w:t>
      </w:r>
      <w:r w:rsidR="007566DE" w:rsidRPr="00A9458F">
        <w:rPr>
          <w:rFonts w:ascii="Arial" w:hAnsi="Arial" w:cs="Arial"/>
          <w:sz w:val="22"/>
          <w:szCs w:val="22"/>
        </w:rPr>
        <w:t xml:space="preserve"> </w:t>
      </w:r>
      <w:r w:rsidR="00617C51" w:rsidRPr="00A9458F">
        <w:rPr>
          <w:rFonts w:ascii="Arial" w:hAnsi="Arial" w:cs="Arial"/>
          <w:sz w:val="22"/>
          <w:szCs w:val="22"/>
        </w:rPr>
        <w:t>areas, with examples drawn from the Federal jurisdiction, New South Wales (</w:t>
      </w:r>
      <w:r w:rsidR="00617C51" w:rsidRPr="00A9458F">
        <w:rPr>
          <w:rFonts w:ascii="Arial" w:hAnsi="Arial" w:cs="Arial"/>
          <w:b/>
          <w:sz w:val="22"/>
          <w:szCs w:val="22"/>
        </w:rPr>
        <w:t>NSW</w:t>
      </w:r>
      <w:r w:rsidR="00617C51" w:rsidRPr="00A9458F">
        <w:rPr>
          <w:rFonts w:ascii="Arial" w:hAnsi="Arial" w:cs="Arial"/>
          <w:sz w:val="22"/>
          <w:szCs w:val="22"/>
        </w:rPr>
        <w:t>), Victoria, Tasmania</w:t>
      </w:r>
      <w:r w:rsidR="00AA710E">
        <w:rPr>
          <w:rFonts w:ascii="Arial" w:hAnsi="Arial" w:cs="Arial"/>
          <w:sz w:val="22"/>
          <w:szCs w:val="22"/>
        </w:rPr>
        <w:t>, the Northern Territory (</w:t>
      </w:r>
      <w:r w:rsidR="00AA710E" w:rsidRPr="00AA710E">
        <w:rPr>
          <w:rFonts w:ascii="Arial" w:hAnsi="Arial" w:cs="Arial"/>
          <w:b/>
          <w:sz w:val="22"/>
          <w:szCs w:val="22"/>
        </w:rPr>
        <w:t>NT)</w:t>
      </w:r>
      <w:r w:rsidR="00AA710E">
        <w:rPr>
          <w:rFonts w:ascii="Arial" w:hAnsi="Arial" w:cs="Arial"/>
          <w:sz w:val="22"/>
          <w:szCs w:val="22"/>
        </w:rPr>
        <w:t>, Western Australia (</w:t>
      </w:r>
      <w:r w:rsidR="00AA710E" w:rsidRPr="00AA710E">
        <w:rPr>
          <w:rFonts w:ascii="Arial" w:hAnsi="Arial" w:cs="Arial"/>
          <w:b/>
          <w:sz w:val="22"/>
          <w:szCs w:val="22"/>
        </w:rPr>
        <w:t>WA</w:t>
      </w:r>
      <w:r w:rsidR="00AA710E">
        <w:rPr>
          <w:rFonts w:ascii="Arial" w:hAnsi="Arial" w:cs="Arial"/>
          <w:sz w:val="22"/>
          <w:szCs w:val="22"/>
        </w:rPr>
        <w:t>)</w:t>
      </w:r>
      <w:r w:rsidR="00617C51" w:rsidRPr="00A9458F">
        <w:rPr>
          <w:rFonts w:ascii="Arial" w:hAnsi="Arial" w:cs="Arial"/>
          <w:sz w:val="22"/>
          <w:szCs w:val="22"/>
        </w:rPr>
        <w:t xml:space="preserve"> and the Australian Capital Territory (</w:t>
      </w:r>
      <w:r w:rsidR="00617C51" w:rsidRPr="00A9458F">
        <w:rPr>
          <w:rFonts w:ascii="Arial" w:hAnsi="Arial" w:cs="Arial"/>
          <w:b/>
          <w:sz w:val="22"/>
          <w:szCs w:val="22"/>
        </w:rPr>
        <w:t>ACT</w:t>
      </w:r>
      <w:r w:rsidR="00617C51" w:rsidRPr="00A9458F">
        <w:rPr>
          <w:rFonts w:ascii="Arial" w:hAnsi="Arial" w:cs="Arial"/>
          <w:sz w:val="22"/>
          <w:szCs w:val="22"/>
        </w:rPr>
        <w:t xml:space="preserve">). </w:t>
      </w:r>
      <w:r w:rsidR="007566DE" w:rsidRPr="00A9458F">
        <w:rPr>
          <w:rFonts w:ascii="Arial" w:hAnsi="Arial" w:cs="Arial"/>
          <w:sz w:val="22"/>
          <w:szCs w:val="22"/>
        </w:rPr>
        <w:t xml:space="preserve"> </w:t>
      </w:r>
      <w:r w:rsidR="0026666D" w:rsidRPr="00A9458F">
        <w:rPr>
          <w:rFonts w:ascii="Arial" w:hAnsi="Arial" w:cs="Arial"/>
          <w:sz w:val="22"/>
          <w:szCs w:val="22"/>
        </w:rPr>
        <w:t xml:space="preserve">These seven areas are: </w:t>
      </w:r>
    </w:p>
    <w:p w:rsidR="00A9458F" w:rsidRPr="00A9458F" w:rsidRDefault="00A9458F" w:rsidP="00A9458F">
      <w:pPr>
        <w:spacing w:after="0"/>
        <w:jc w:val="both"/>
        <w:rPr>
          <w:rFonts w:ascii="Arial" w:hAnsi="Arial" w:cs="Arial"/>
          <w:sz w:val="22"/>
          <w:szCs w:val="22"/>
        </w:rPr>
      </w:pPr>
    </w:p>
    <w:p w:rsidR="007566DE" w:rsidRPr="0096048F" w:rsidRDefault="00C515EE" w:rsidP="00536191">
      <w:pPr>
        <w:numPr>
          <w:ilvl w:val="0"/>
          <w:numId w:val="1"/>
        </w:numPr>
        <w:spacing w:after="0"/>
        <w:jc w:val="both"/>
        <w:rPr>
          <w:rFonts w:ascii="Arial" w:hAnsi="Arial" w:cs="Arial"/>
          <w:b/>
          <w:sz w:val="22"/>
          <w:szCs w:val="22"/>
        </w:rPr>
      </w:pPr>
      <w:r w:rsidRPr="0096048F">
        <w:rPr>
          <w:rFonts w:ascii="Arial" w:hAnsi="Arial" w:cs="Arial"/>
          <w:b/>
          <w:sz w:val="22"/>
          <w:szCs w:val="22"/>
        </w:rPr>
        <w:t xml:space="preserve">Role of </w:t>
      </w:r>
      <w:r w:rsidR="00614CED">
        <w:rPr>
          <w:rFonts w:ascii="Arial" w:hAnsi="Arial" w:cs="Arial"/>
          <w:b/>
          <w:sz w:val="22"/>
          <w:szCs w:val="22"/>
        </w:rPr>
        <w:t xml:space="preserve">environmental laws and </w:t>
      </w:r>
      <w:r w:rsidRPr="0096048F">
        <w:rPr>
          <w:rFonts w:ascii="Arial" w:hAnsi="Arial" w:cs="Arial"/>
          <w:b/>
          <w:sz w:val="22"/>
          <w:szCs w:val="22"/>
        </w:rPr>
        <w:t>ANEDO in ensuring access to justice</w:t>
      </w:r>
    </w:p>
    <w:p w:rsidR="007566DE" w:rsidRPr="0096048F" w:rsidRDefault="00C515EE" w:rsidP="00536191">
      <w:pPr>
        <w:numPr>
          <w:ilvl w:val="0"/>
          <w:numId w:val="1"/>
        </w:numPr>
        <w:spacing w:after="0"/>
        <w:jc w:val="both"/>
        <w:rPr>
          <w:rFonts w:ascii="Arial" w:hAnsi="Arial" w:cs="Arial"/>
          <w:b/>
          <w:sz w:val="22"/>
          <w:szCs w:val="22"/>
        </w:rPr>
      </w:pPr>
      <w:r w:rsidRPr="0096048F">
        <w:rPr>
          <w:rFonts w:ascii="Arial" w:hAnsi="Arial" w:cs="Arial"/>
          <w:b/>
          <w:sz w:val="22"/>
          <w:szCs w:val="22"/>
        </w:rPr>
        <w:t>Standing – judicial review</w:t>
      </w:r>
    </w:p>
    <w:p w:rsidR="00C515EE" w:rsidRPr="0096048F" w:rsidRDefault="00C515EE" w:rsidP="00536191">
      <w:pPr>
        <w:numPr>
          <w:ilvl w:val="0"/>
          <w:numId w:val="1"/>
        </w:numPr>
        <w:spacing w:after="0"/>
        <w:jc w:val="both"/>
        <w:rPr>
          <w:rFonts w:ascii="Arial" w:hAnsi="Arial" w:cs="Arial"/>
          <w:b/>
          <w:sz w:val="22"/>
          <w:szCs w:val="22"/>
        </w:rPr>
      </w:pPr>
      <w:r w:rsidRPr="0096048F">
        <w:rPr>
          <w:rFonts w:ascii="Arial" w:hAnsi="Arial" w:cs="Arial"/>
          <w:b/>
          <w:sz w:val="22"/>
          <w:szCs w:val="22"/>
        </w:rPr>
        <w:t>Standing – merits review</w:t>
      </w:r>
    </w:p>
    <w:p w:rsidR="007566DE" w:rsidRPr="0096048F" w:rsidRDefault="007566DE" w:rsidP="00536191">
      <w:pPr>
        <w:numPr>
          <w:ilvl w:val="0"/>
          <w:numId w:val="1"/>
        </w:numPr>
        <w:spacing w:after="0"/>
        <w:jc w:val="both"/>
        <w:rPr>
          <w:rFonts w:ascii="Arial" w:hAnsi="Arial" w:cs="Arial"/>
          <w:b/>
          <w:sz w:val="22"/>
          <w:szCs w:val="22"/>
        </w:rPr>
      </w:pPr>
      <w:r w:rsidRPr="0096048F">
        <w:rPr>
          <w:rFonts w:ascii="Arial" w:hAnsi="Arial" w:cs="Arial"/>
          <w:b/>
          <w:sz w:val="22"/>
          <w:szCs w:val="22"/>
        </w:rPr>
        <w:t>Specialist courts</w:t>
      </w:r>
    </w:p>
    <w:p w:rsidR="007566DE" w:rsidRPr="0096048F" w:rsidRDefault="007566DE" w:rsidP="00536191">
      <w:pPr>
        <w:numPr>
          <w:ilvl w:val="0"/>
          <w:numId w:val="1"/>
        </w:numPr>
        <w:spacing w:after="0"/>
        <w:jc w:val="both"/>
        <w:rPr>
          <w:rFonts w:ascii="Arial" w:hAnsi="Arial" w:cs="Arial"/>
          <w:b/>
          <w:sz w:val="22"/>
          <w:szCs w:val="22"/>
        </w:rPr>
      </w:pPr>
      <w:r w:rsidRPr="0096048F">
        <w:rPr>
          <w:rFonts w:ascii="Arial" w:hAnsi="Arial" w:cs="Arial"/>
          <w:b/>
          <w:sz w:val="22"/>
          <w:szCs w:val="22"/>
        </w:rPr>
        <w:t>Costs</w:t>
      </w:r>
    </w:p>
    <w:p w:rsidR="007566DE" w:rsidRPr="0096048F" w:rsidRDefault="007F6644" w:rsidP="00536191">
      <w:pPr>
        <w:numPr>
          <w:ilvl w:val="0"/>
          <w:numId w:val="1"/>
        </w:numPr>
        <w:spacing w:after="0"/>
        <w:jc w:val="both"/>
        <w:rPr>
          <w:rFonts w:ascii="Arial" w:hAnsi="Arial" w:cs="Arial"/>
          <w:b/>
          <w:sz w:val="22"/>
          <w:szCs w:val="22"/>
        </w:rPr>
      </w:pPr>
      <w:r w:rsidRPr="0096048F">
        <w:rPr>
          <w:rFonts w:ascii="Arial" w:hAnsi="Arial" w:cs="Arial"/>
          <w:b/>
          <w:sz w:val="22"/>
          <w:szCs w:val="22"/>
        </w:rPr>
        <w:t>Photocopying costs – d</w:t>
      </w:r>
      <w:r w:rsidR="00BC5022" w:rsidRPr="0096048F">
        <w:rPr>
          <w:rFonts w:ascii="Arial" w:hAnsi="Arial" w:cs="Arial"/>
          <w:b/>
          <w:sz w:val="22"/>
          <w:szCs w:val="22"/>
        </w:rPr>
        <w:t>iscovery</w:t>
      </w:r>
      <w:r w:rsidRPr="0096048F">
        <w:rPr>
          <w:rFonts w:ascii="Arial" w:hAnsi="Arial" w:cs="Arial"/>
          <w:b/>
          <w:sz w:val="22"/>
          <w:szCs w:val="22"/>
        </w:rPr>
        <w:t xml:space="preserve"> and subpoenas</w:t>
      </w:r>
    </w:p>
    <w:p w:rsidR="007566DE" w:rsidRPr="0096048F" w:rsidRDefault="007566DE" w:rsidP="00536191">
      <w:pPr>
        <w:numPr>
          <w:ilvl w:val="0"/>
          <w:numId w:val="1"/>
        </w:numPr>
        <w:spacing w:after="0"/>
        <w:jc w:val="both"/>
        <w:rPr>
          <w:rFonts w:ascii="Arial" w:hAnsi="Arial" w:cs="Arial"/>
          <w:b/>
          <w:sz w:val="22"/>
          <w:szCs w:val="22"/>
        </w:rPr>
      </w:pPr>
      <w:r w:rsidRPr="0096048F">
        <w:rPr>
          <w:rFonts w:ascii="Arial" w:hAnsi="Arial" w:cs="Arial"/>
          <w:b/>
          <w:sz w:val="22"/>
          <w:szCs w:val="22"/>
        </w:rPr>
        <w:t xml:space="preserve">Freedom of information legislation. </w:t>
      </w:r>
    </w:p>
    <w:p w:rsidR="00FF47B6" w:rsidRPr="00A9458F" w:rsidRDefault="00FF47B6" w:rsidP="00A9458F">
      <w:pPr>
        <w:spacing w:after="0"/>
        <w:jc w:val="both"/>
        <w:rPr>
          <w:rFonts w:ascii="Arial" w:hAnsi="Arial" w:cs="Arial"/>
          <w:sz w:val="22"/>
          <w:szCs w:val="22"/>
        </w:rPr>
      </w:pPr>
    </w:p>
    <w:p w:rsidR="00A95676" w:rsidRDefault="00CD3706" w:rsidP="00A9458F">
      <w:pPr>
        <w:spacing w:after="0"/>
        <w:jc w:val="both"/>
        <w:rPr>
          <w:rFonts w:ascii="Arial" w:hAnsi="Arial" w:cs="Arial"/>
          <w:sz w:val="22"/>
          <w:szCs w:val="22"/>
        </w:rPr>
      </w:pPr>
      <w:r>
        <w:rPr>
          <w:rFonts w:ascii="Arial" w:hAnsi="Arial" w:cs="Arial"/>
          <w:sz w:val="22"/>
          <w:szCs w:val="22"/>
        </w:rPr>
        <w:t xml:space="preserve">Our recommendations in relation to these seven areas are as follows: </w:t>
      </w:r>
    </w:p>
    <w:p w:rsidR="00A95676" w:rsidRDefault="00A95676" w:rsidP="00A9458F">
      <w:pPr>
        <w:spacing w:after="0"/>
        <w:jc w:val="both"/>
        <w:rPr>
          <w:rFonts w:ascii="Arial" w:hAnsi="Arial" w:cs="Arial"/>
          <w:sz w:val="22"/>
          <w:szCs w:val="22"/>
        </w:rPr>
      </w:pPr>
    </w:p>
    <w:p w:rsidR="00A81B7D" w:rsidRPr="00A81B7D" w:rsidRDefault="00A81B7D" w:rsidP="00A81B7D">
      <w:pPr>
        <w:spacing w:after="0"/>
        <w:jc w:val="both"/>
        <w:rPr>
          <w:rFonts w:ascii="Arial" w:hAnsi="Arial" w:cs="Arial"/>
          <w:i/>
          <w:sz w:val="22"/>
          <w:szCs w:val="22"/>
        </w:rPr>
      </w:pPr>
      <w:r w:rsidRPr="00A81B7D">
        <w:rPr>
          <w:rFonts w:ascii="Arial" w:hAnsi="Arial" w:cs="Arial"/>
          <w:b/>
          <w:i/>
          <w:sz w:val="22"/>
          <w:szCs w:val="22"/>
        </w:rPr>
        <w:t>Standing – judicial review</w:t>
      </w:r>
    </w:p>
    <w:p w:rsidR="00A81B7D" w:rsidRPr="00A81B7D" w:rsidRDefault="00A81B7D" w:rsidP="00A81B7D">
      <w:pPr>
        <w:spacing w:after="0"/>
        <w:jc w:val="both"/>
        <w:rPr>
          <w:rFonts w:ascii="Arial" w:hAnsi="Arial" w:cs="Arial"/>
          <w:i/>
          <w:sz w:val="22"/>
          <w:szCs w:val="22"/>
        </w:rPr>
      </w:pPr>
    </w:p>
    <w:p w:rsidR="00D671B0" w:rsidRPr="00D671B0" w:rsidRDefault="00D671B0" w:rsidP="00A81B7D">
      <w:pPr>
        <w:pStyle w:val="ListParagraph"/>
        <w:numPr>
          <w:ilvl w:val="0"/>
          <w:numId w:val="26"/>
        </w:numPr>
        <w:spacing w:after="0"/>
        <w:jc w:val="both"/>
        <w:rPr>
          <w:rFonts w:ascii="Arial" w:hAnsi="Arial" w:cs="Arial"/>
          <w:i/>
          <w:sz w:val="22"/>
          <w:szCs w:val="22"/>
        </w:rPr>
      </w:pPr>
      <w:r w:rsidRPr="00733776">
        <w:rPr>
          <w:rFonts w:ascii="Arial" w:hAnsi="Arial" w:cs="Arial"/>
          <w:i/>
          <w:sz w:val="22"/>
          <w:szCs w:val="22"/>
        </w:rPr>
        <w:t>Environmental and planning legislation in all Australian jurisdictions should provide for open standing for enforcement</w:t>
      </w:r>
      <w:r>
        <w:rPr>
          <w:rFonts w:ascii="Arial" w:hAnsi="Arial" w:cs="Arial"/>
          <w:i/>
          <w:sz w:val="22"/>
          <w:szCs w:val="22"/>
        </w:rPr>
        <w:t xml:space="preserve"> and judicial review proceedings</w:t>
      </w:r>
      <w:r w:rsidR="00253F9C">
        <w:rPr>
          <w:rFonts w:ascii="Arial" w:hAnsi="Arial" w:cs="Arial"/>
          <w:i/>
          <w:sz w:val="22"/>
          <w:szCs w:val="22"/>
        </w:rPr>
        <w:t xml:space="preserve"> where not already permitted</w:t>
      </w:r>
      <w:r>
        <w:rPr>
          <w:rFonts w:ascii="Arial" w:hAnsi="Arial" w:cs="Arial"/>
          <w:i/>
          <w:sz w:val="22"/>
          <w:szCs w:val="22"/>
        </w:rPr>
        <w:t>.</w:t>
      </w:r>
    </w:p>
    <w:p w:rsidR="00D671B0" w:rsidRDefault="00D671B0" w:rsidP="00733776">
      <w:pPr>
        <w:pStyle w:val="ListParagraph"/>
        <w:spacing w:after="0"/>
        <w:ind w:left="360"/>
        <w:jc w:val="both"/>
        <w:rPr>
          <w:rFonts w:ascii="Arial" w:hAnsi="Arial" w:cs="Arial"/>
          <w:i/>
          <w:sz w:val="22"/>
          <w:szCs w:val="22"/>
        </w:rPr>
      </w:pPr>
    </w:p>
    <w:p w:rsidR="00A81B7D" w:rsidRPr="00A81B7D" w:rsidRDefault="00A81B7D" w:rsidP="00A81B7D">
      <w:pPr>
        <w:pStyle w:val="ListParagraph"/>
        <w:numPr>
          <w:ilvl w:val="0"/>
          <w:numId w:val="26"/>
        </w:numPr>
        <w:spacing w:after="0"/>
        <w:jc w:val="both"/>
        <w:rPr>
          <w:rFonts w:ascii="Arial" w:hAnsi="Arial" w:cs="Arial"/>
          <w:i/>
          <w:sz w:val="22"/>
          <w:szCs w:val="22"/>
        </w:rPr>
      </w:pPr>
      <w:r w:rsidRPr="00A81B7D">
        <w:rPr>
          <w:rFonts w:ascii="Arial" w:hAnsi="Arial" w:cs="Arial"/>
          <w:i/>
          <w:sz w:val="22"/>
          <w:szCs w:val="22"/>
        </w:rPr>
        <w:t xml:space="preserve">All Federal environmental legislation should provide for third party enforcement. Enforcement provisions should be modelled on a slightly broadened version of s. 487 of the EPBC Act so that applicants need only demonstrate an ongoing interest in the issue at hand. </w:t>
      </w:r>
    </w:p>
    <w:p w:rsidR="00A81B7D" w:rsidRPr="00A81B7D" w:rsidRDefault="00A81B7D" w:rsidP="00A81B7D">
      <w:pPr>
        <w:pStyle w:val="ListParagraph"/>
        <w:spacing w:after="0"/>
        <w:jc w:val="both"/>
        <w:rPr>
          <w:rFonts w:ascii="Arial" w:hAnsi="Arial" w:cs="Arial"/>
          <w:i/>
          <w:sz w:val="22"/>
          <w:szCs w:val="22"/>
        </w:rPr>
      </w:pPr>
    </w:p>
    <w:p w:rsidR="00A81B7D" w:rsidRPr="00A81B7D" w:rsidRDefault="00A81B7D" w:rsidP="00A81B7D">
      <w:pPr>
        <w:pStyle w:val="ListParagraph"/>
        <w:numPr>
          <w:ilvl w:val="0"/>
          <w:numId w:val="26"/>
        </w:numPr>
        <w:spacing w:after="0"/>
        <w:jc w:val="both"/>
        <w:rPr>
          <w:rFonts w:ascii="Arial" w:hAnsi="Arial" w:cs="Arial"/>
          <w:i/>
          <w:sz w:val="22"/>
          <w:szCs w:val="22"/>
        </w:rPr>
      </w:pPr>
      <w:r w:rsidRPr="00A81B7D">
        <w:rPr>
          <w:rFonts w:ascii="Arial" w:hAnsi="Arial" w:cs="Arial"/>
          <w:i/>
          <w:sz w:val="22"/>
          <w:szCs w:val="22"/>
        </w:rPr>
        <w:t>All Federal environmental legislation should provide for third party appeal rights with respect to environmental decision-making involving: development or activities capable of having a not insignificant impact on communities or the environment; management or zoning plans which will determine permissible activities within a given area; and environment plans for high impact activities such as offshore petroleum exploration and production.</w:t>
      </w:r>
    </w:p>
    <w:p w:rsidR="00A81B7D" w:rsidRPr="00A81B7D" w:rsidRDefault="00A81B7D" w:rsidP="00A81B7D">
      <w:pPr>
        <w:pStyle w:val="ListParagraph"/>
        <w:rPr>
          <w:rFonts w:ascii="Arial" w:hAnsi="Arial" w:cs="Arial"/>
          <w:i/>
          <w:sz w:val="22"/>
          <w:szCs w:val="22"/>
        </w:rPr>
      </w:pPr>
    </w:p>
    <w:p w:rsidR="00A81B7D" w:rsidRPr="00A81B7D" w:rsidRDefault="00A81B7D" w:rsidP="00A81B7D">
      <w:pPr>
        <w:pStyle w:val="ListParagraph"/>
        <w:numPr>
          <w:ilvl w:val="0"/>
          <w:numId w:val="26"/>
        </w:numPr>
        <w:spacing w:after="0"/>
        <w:jc w:val="both"/>
        <w:rPr>
          <w:rFonts w:ascii="Arial" w:hAnsi="Arial" w:cs="Arial"/>
          <w:i/>
          <w:sz w:val="22"/>
          <w:szCs w:val="22"/>
        </w:rPr>
      </w:pPr>
      <w:r w:rsidRPr="00A81B7D">
        <w:rPr>
          <w:rFonts w:ascii="Arial" w:hAnsi="Arial" w:cs="Arial"/>
          <w:i/>
          <w:sz w:val="22"/>
          <w:szCs w:val="22"/>
        </w:rPr>
        <w:t xml:space="preserve">Where necessary, amend Federal environmental legislation to include specific criteria which the relevant decision maker must ‘act consistently with’. </w:t>
      </w:r>
    </w:p>
    <w:p w:rsidR="00A81B7D" w:rsidRPr="00A81B7D" w:rsidRDefault="00A81B7D" w:rsidP="00A81B7D">
      <w:pPr>
        <w:pStyle w:val="ListParagraph"/>
        <w:rPr>
          <w:rFonts w:ascii="Arial" w:hAnsi="Arial" w:cs="Arial"/>
          <w:i/>
          <w:sz w:val="22"/>
          <w:szCs w:val="22"/>
        </w:rPr>
      </w:pPr>
    </w:p>
    <w:p w:rsidR="00A81B7D" w:rsidRPr="00A81B7D" w:rsidRDefault="00A81B7D" w:rsidP="00A81B7D">
      <w:pPr>
        <w:pStyle w:val="ListParagraph"/>
        <w:numPr>
          <w:ilvl w:val="0"/>
          <w:numId w:val="26"/>
        </w:numPr>
        <w:spacing w:after="0"/>
        <w:jc w:val="both"/>
        <w:rPr>
          <w:rFonts w:ascii="Arial" w:hAnsi="Arial" w:cs="Arial"/>
          <w:i/>
          <w:sz w:val="22"/>
          <w:szCs w:val="22"/>
        </w:rPr>
      </w:pPr>
      <w:r w:rsidRPr="00A81B7D">
        <w:rPr>
          <w:rFonts w:ascii="Arial" w:hAnsi="Arial" w:cs="Arial"/>
          <w:i/>
          <w:sz w:val="22"/>
          <w:szCs w:val="22"/>
        </w:rPr>
        <w:t xml:space="preserve">Amend the </w:t>
      </w:r>
      <w:r w:rsidR="003C2254">
        <w:rPr>
          <w:rFonts w:ascii="Arial" w:hAnsi="Arial" w:cs="Arial"/>
          <w:i/>
          <w:sz w:val="22"/>
          <w:szCs w:val="22"/>
        </w:rPr>
        <w:t xml:space="preserve">NSW </w:t>
      </w:r>
      <w:r w:rsidRPr="00A81B7D">
        <w:rPr>
          <w:rFonts w:ascii="Arial" w:hAnsi="Arial" w:cs="Arial"/>
          <w:i/>
          <w:sz w:val="22"/>
          <w:szCs w:val="22"/>
        </w:rPr>
        <w:t xml:space="preserve">Water Management Act to provide for a Register of Approvals which provides users with a range of search options, including an option to search for all approvals issued in a particular valley between dates specified by the user.  </w:t>
      </w:r>
    </w:p>
    <w:p w:rsidR="00A81B7D" w:rsidRPr="00A81B7D" w:rsidRDefault="00A81B7D" w:rsidP="00A81B7D">
      <w:pPr>
        <w:pStyle w:val="ListParagraph"/>
        <w:rPr>
          <w:rFonts w:ascii="Arial" w:hAnsi="Arial" w:cs="Arial"/>
          <w:i/>
          <w:sz w:val="22"/>
          <w:szCs w:val="22"/>
        </w:rPr>
      </w:pPr>
    </w:p>
    <w:p w:rsidR="00A81B7D" w:rsidRPr="00A81B7D" w:rsidRDefault="00A81B7D" w:rsidP="00A81B7D">
      <w:pPr>
        <w:pStyle w:val="ListParagraph"/>
        <w:numPr>
          <w:ilvl w:val="0"/>
          <w:numId w:val="26"/>
        </w:numPr>
        <w:spacing w:after="0"/>
        <w:jc w:val="both"/>
        <w:rPr>
          <w:rFonts w:ascii="Arial" w:hAnsi="Arial" w:cs="Arial"/>
          <w:i/>
          <w:sz w:val="22"/>
          <w:szCs w:val="22"/>
        </w:rPr>
      </w:pPr>
      <w:r w:rsidRPr="00A81B7D">
        <w:rPr>
          <w:rFonts w:ascii="Arial" w:hAnsi="Arial" w:cs="Arial"/>
          <w:i/>
          <w:sz w:val="22"/>
          <w:szCs w:val="22"/>
        </w:rPr>
        <w:t xml:space="preserve">Amend the </w:t>
      </w:r>
      <w:r w:rsidR="003C2254">
        <w:rPr>
          <w:rFonts w:ascii="Arial" w:hAnsi="Arial" w:cs="Arial"/>
          <w:i/>
          <w:sz w:val="22"/>
          <w:szCs w:val="22"/>
        </w:rPr>
        <w:t xml:space="preserve">NSW </w:t>
      </w:r>
      <w:r w:rsidRPr="00A81B7D">
        <w:rPr>
          <w:rFonts w:ascii="Arial" w:hAnsi="Arial" w:cs="Arial"/>
          <w:i/>
          <w:sz w:val="22"/>
          <w:szCs w:val="22"/>
        </w:rPr>
        <w:t>Water Management Act to provide for the creation of a central register of decisions to grant new licences and to approve licence transfers.  The central register must provide users with a range of search options, including an option to search for all licences issued or transferred in a particular valley between dates specified by the user.</w:t>
      </w:r>
    </w:p>
    <w:p w:rsidR="00A95676" w:rsidRPr="00A81B7D" w:rsidRDefault="00A95676" w:rsidP="00A9458F">
      <w:pPr>
        <w:spacing w:after="0"/>
        <w:jc w:val="both"/>
        <w:rPr>
          <w:rFonts w:ascii="Arial" w:hAnsi="Arial" w:cs="Arial"/>
          <w:i/>
          <w:sz w:val="22"/>
          <w:szCs w:val="22"/>
        </w:rPr>
      </w:pPr>
    </w:p>
    <w:p w:rsidR="00A81B7D" w:rsidRPr="00733776" w:rsidRDefault="00A81B7D" w:rsidP="00253F9C">
      <w:pPr>
        <w:keepNext/>
        <w:spacing w:after="0"/>
        <w:jc w:val="both"/>
        <w:rPr>
          <w:rStyle w:val="Heading1Char"/>
          <w:i/>
          <w:sz w:val="22"/>
          <w:szCs w:val="22"/>
        </w:rPr>
      </w:pPr>
      <w:r w:rsidRPr="00733776">
        <w:rPr>
          <w:rStyle w:val="Heading1Char"/>
          <w:i/>
          <w:sz w:val="22"/>
          <w:szCs w:val="22"/>
        </w:rPr>
        <w:lastRenderedPageBreak/>
        <w:t>Standing – merits</w:t>
      </w:r>
    </w:p>
    <w:p w:rsidR="00A81B7D" w:rsidRPr="00A81B7D" w:rsidRDefault="00A81B7D" w:rsidP="00253F9C">
      <w:pPr>
        <w:keepNext/>
        <w:spacing w:after="0"/>
        <w:jc w:val="both"/>
        <w:rPr>
          <w:rStyle w:val="Heading1Char"/>
          <w:b w:val="0"/>
          <w:i/>
          <w:sz w:val="22"/>
          <w:szCs w:val="22"/>
        </w:rPr>
      </w:pPr>
    </w:p>
    <w:p w:rsidR="00A81B7D" w:rsidRPr="00733776" w:rsidRDefault="00A81B7D" w:rsidP="00A81B7D">
      <w:pPr>
        <w:pStyle w:val="ListParagraph"/>
        <w:numPr>
          <w:ilvl w:val="0"/>
          <w:numId w:val="27"/>
        </w:numPr>
        <w:autoSpaceDE w:val="0"/>
        <w:autoSpaceDN w:val="0"/>
        <w:adjustRightInd w:val="0"/>
        <w:spacing w:after="0"/>
        <w:jc w:val="both"/>
        <w:rPr>
          <w:rFonts w:ascii="Arial" w:hAnsi="Arial" w:cs="Arial"/>
          <w:i/>
          <w:color w:val="000000"/>
          <w:sz w:val="22"/>
          <w:szCs w:val="22"/>
        </w:rPr>
      </w:pPr>
      <w:r w:rsidRPr="00A81B7D">
        <w:rPr>
          <w:rFonts w:ascii="Arial" w:hAnsi="Arial" w:cs="Arial"/>
          <w:i/>
          <w:sz w:val="22"/>
          <w:szCs w:val="22"/>
        </w:rPr>
        <w:t>ANEDO supports the inclusion of merits appeal rights in environmental legislation, particularly in respect of development likely to have a significant impact on the community and environment.</w:t>
      </w:r>
    </w:p>
    <w:p w:rsidR="00A81B7D" w:rsidRPr="00733776" w:rsidRDefault="00A81B7D" w:rsidP="00733776">
      <w:pPr>
        <w:autoSpaceDE w:val="0"/>
        <w:autoSpaceDN w:val="0"/>
        <w:adjustRightInd w:val="0"/>
        <w:spacing w:after="0"/>
        <w:jc w:val="both"/>
        <w:rPr>
          <w:rFonts w:ascii="Arial" w:hAnsi="Arial" w:cs="Arial"/>
          <w:i/>
          <w:color w:val="000000"/>
          <w:sz w:val="22"/>
          <w:szCs w:val="22"/>
        </w:rPr>
      </w:pPr>
    </w:p>
    <w:p w:rsidR="00A81B7D" w:rsidRPr="00A81B7D" w:rsidRDefault="00A81B7D" w:rsidP="00A81B7D">
      <w:pPr>
        <w:pStyle w:val="ListParagraph"/>
        <w:numPr>
          <w:ilvl w:val="0"/>
          <w:numId w:val="27"/>
        </w:numPr>
        <w:autoSpaceDE w:val="0"/>
        <w:autoSpaceDN w:val="0"/>
        <w:adjustRightInd w:val="0"/>
        <w:spacing w:after="0"/>
        <w:jc w:val="both"/>
        <w:rPr>
          <w:rFonts w:ascii="Arial" w:hAnsi="Arial" w:cs="Arial"/>
          <w:i/>
          <w:color w:val="000000"/>
          <w:sz w:val="22"/>
          <w:szCs w:val="22"/>
        </w:rPr>
      </w:pPr>
      <w:r w:rsidRPr="00A81B7D">
        <w:rPr>
          <w:rFonts w:ascii="Arial" w:hAnsi="Arial" w:cs="Arial"/>
          <w:i/>
          <w:color w:val="000000"/>
          <w:sz w:val="22"/>
          <w:szCs w:val="22"/>
        </w:rPr>
        <w:t xml:space="preserve">The EPBC Act should be amended to provide for third party merits review rights in respect of decisions to approve controlled actions. </w:t>
      </w:r>
    </w:p>
    <w:p w:rsidR="00A81B7D" w:rsidRPr="00A81B7D" w:rsidRDefault="00A81B7D" w:rsidP="00A9458F">
      <w:pPr>
        <w:spacing w:after="0"/>
        <w:jc w:val="both"/>
        <w:rPr>
          <w:rFonts w:ascii="Arial" w:hAnsi="Arial" w:cs="Arial"/>
          <w:i/>
          <w:sz w:val="22"/>
          <w:szCs w:val="22"/>
        </w:rPr>
      </w:pPr>
    </w:p>
    <w:p w:rsidR="00C46568" w:rsidRPr="00733776" w:rsidRDefault="00A81B7D" w:rsidP="00A9458F">
      <w:pPr>
        <w:spacing w:after="0"/>
        <w:jc w:val="both"/>
        <w:rPr>
          <w:rStyle w:val="Heading1Char"/>
          <w:i/>
          <w:sz w:val="22"/>
          <w:szCs w:val="22"/>
        </w:rPr>
      </w:pPr>
      <w:r w:rsidRPr="00733776">
        <w:rPr>
          <w:rStyle w:val="Heading1Char"/>
          <w:i/>
          <w:sz w:val="22"/>
          <w:szCs w:val="22"/>
        </w:rPr>
        <w:t>Costs</w:t>
      </w:r>
    </w:p>
    <w:p w:rsidR="00A81B7D" w:rsidRPr="00A81B7D" w:rsidRDefault="00A81B7D" w:rsidP="00A9458F">
      <w:pPr>
        <w:spacing w:after="0"/>
        <w:jc w:val="both"/>
        <w:rPr>
          <w:rStyle w:val="Heading1Char"/>
          <w:b w:val="0"/>
          <w:i/>
          <w:sz w:val="22"/>
          <w:szCs w:val="22"/>
        </w:rPr>
      </w:pPr>
    </w:p>
    <w:p w:rsidR="003971FB" w:rsidRDefault="003971FB" w:rsidP="003971FB">
      <w:pPr>
        <w:pStyle w:val="ListParagraph"/>
        <w:numPr>
          <w:ilvl w:val="0"/>
          <w:numId w:val="28"/>
        </w:numPr>
        <w:autoSpaceDE w:val="0"/>
        <w:autoSpaceDN w:val="0"/>
        <w:adjustRightInd w:val="0"/>
        <w:spacing w:after="0"/>
        <w:jc w:val="both"/>
        <w:rPr>
          <w:rFonts w:ascii="Arial" w:hAnsi="Arial" w:cs="Arial"/>
          <w:i/>
          <w:color w:val="000000"/>
          <w:sz w:val="22"/>
          <w:szCs w:val="22"/>
        </w:rPr>
      </w:pPr>
      <w:r>
        <w:rPr>
          <w:rFonts w:ascii="Arial" w:hAnsi="Arial" w:cs="Arial"/>
          <w:i/>
          <w:color w:val="000000"/>
          <w:sz w:val="22"/>
          <w:szCs w:val="22"/>
        </w:rPr>
        <w:t xml:space="preserve">To reduce costs barriers to access to justice, the preferred position would be </w:t>
      </w:r>
      <w:r w:rsidR="00474C85">
        <w:rPr>
          <w:rFonts w:ascii="Arial" w:hAnsi="Arial" w:cs="Arial"/>
          <w:i/>
          <w:color w:val="000000"/>
          <w:sz w:val="22"/>
          <w:szCs w:val="22"/>
        </w:rPr>
        <w:t>that parties generally pay their ‘own costs’ in</w:t>
      </w:r>
      <w:r>
        <w:rPr>
          <w:rFonts w:ascii="Arial" w:hAnsi="Arial" w:cs="Arial"/>
          <w:i/>
          <w:color w:val="000000"/>
          <w:sz w:val="22"/>
          <w:szCs w:val="22"/>
        </w:rPr>
        <w:t xml:space="preserve"> m</w:t>
      </w:r>
      <w:r w:rsidRPr="003971FB">
        <w:rPr>
          <w:rFonts w:ascii="Arial" w:hAnsi="Arial" w:cs="Arial"/>
          <w:i/>
          <w:color w:val="000000"/>
          <w:sz w:val="22"/>
          <w:szCs w:val="22"/>
        </w:rPr>
        <w:t xml:space="preserve">erits review, judicial review and third party enforcement </w:t>
      </w:r>
      <w:r w:rsidR="00474C85">
        <w:rPr>
          <w:rFonts w:ascii="Arial" w:hAnsi="Arial" w:cs="Arial"/>
          <w:i/>
          <w:color w:val="000000"/>
          <w:sz w:val="22"/>
          <w:szCs w:val="22"/>
        </w:rPr>
        <w:t>proceedings</w:t>
      </w:r>
      <w:r>
        <w:rPr>
          <w:rFonts w:ascii="Arial" w:hAnsi="Arial" w:cs="Arial"/>
          <w:i/>
          <w:color w:val="000000"/>
          <w:sz w:val="22"/>
          <w:szCs w:val="22"/>
        </w:rPr>
        <w:t>. (Alternative options to promote access to justice follow.)</w:t>
      </w:r>
    </w:p>
    <w:p w:rsidR="00A81B7D" w:rsidRPr="00A81B7D" w:rsidRDefault="00A81B7D" w:rsidP="00A81B7D">
      <w:pPr>
        <w:pStyle w:val="ListParagraph"/>
        <w:autoSpaceDE w:val="0"/>
        <w:autoSpaceDN w:val="0"/>
        <w:adjustRightInd w:val="0"/>
        <w:spacing w:after="0"/>
        <w:ind w:left="360"/>
        <w:jc w:val="both"/>
        <w:rPr>
          <w:rFonts w:ascii="Arial" w:hAnsi="Arial" w:cs="Arial"/>
          <w:i/>
          <w:color w:val="000000"/>
          <w:sz w:val="22"/>
          <w:szCs w:val="22"/>
        </w:rPr>
      </w:pPr>
    </w:p>
    <w:p w:rsidR="00A81B7D" w:rsidRPr="00A81B7D" w:rsidRDefault="00A81B7D" w:rsidP="00733776">
      <w:pPr>
        <w:pStyle w:val="ListParagraph"/>
        <w:numPr>
          <w:ilvl w:val="0"/>
          <w:numId w:val="28"/>
        </w:numPr>
        <w:autoSpaceDE w:val="0"/>
        <w:autoSpaceDN w:val="0"/>
        <w:adjustRightInd w:val="0"/>
        <w:spacing w:after="0"/>
        <w:jc w:val="both"/>
        <w:rPr>
          <w:rFonts w:ascii="Arial" w:hAnsi="Arial" w:cs="Arial"/>
          <w:i/>
          <w:color w:val="000000"/>
          <w:sz w:val="22"/>
          <w:szCs w:val="22"/>
        </w:rPr>
      </w:pPr>
      <w:r w:rsidRPr="00A81B7D">
        <w:rPr>
          <w:rFonts w:ascii="Arial" w:hAnsi="Arial" w:cs="Arial"/>
          <w:i/>
          <w:color w:val="000000"/>
          <w:sz w:val="22"/>
          <w:szCs w:val="22"/>
        </w:rPr>
        <w:t xml:space="preserve">Relevant rules in each jurisdiction should be amended to provide for public interest litigants to be exempted from security for costs. </w:t>
      </w:r>
    </w:p>
    <w:p w:rsidR="00A81B7D" w:rsidRPr="00733776" w:rsidRDefault="00A81B7D" w:rsidP="00733776">
      <w:pPr>
        <w:pStyle w:val="ListParagraph"/>
        <w:rPr>
          <w:rFonts w:ascii="Arial" w:hAnsi="Arial" w:cs="Arial"/>
          <w:i/>
          <w:color w:val="000000"/>
          <w:sz w:val="22"/>
          <w:szCs w:val="22"/>
        </w:rPr>
      </w:pPr>
    </w:p>
    <w:p w:rsidR="00A81B7D" w:rsidRDefault="00A81B7D" w:rsidP="00733776">
      <w:pPr>
        <w:pStyle w:val="ListParagraph"/>
        <w:numPr>
          <w:ilvl w:val="0"/>
          <w:numId w:val="28"/>
        </w:numPr>
        <w:autoSpaceDE w:val="0"/>
        <w:autoSpaceDN w:val="0"/>
        <w:adjustRightInd w:val="0"/>
        <w:spacing w:after="0"/>
        <w:jc w:val="both"/>
        <w:rPr>
          <w:rFonts w:ascii="Arial" w:hAnsi="Arial" w:cs="Arial"/>
          <w:i/>
          <w:color w:val="000000"/>
          <w:sz w:val="22"/>
          <w:szCs w:val="22"/>
        </w:rPr>
      </w:pPr>
      <w:r w:rsidRPr="00733776">
        <w:rPr>
          <w:rFonts w:ascii="Arial" w:hAnsi="Arial" w:cs="Arial"/>
          <w:i/>
          <w:color w:val="000000"/>
          <w:sz w:val="22"/>
          <w:szCs w:val="22"/>
        </w:rPr>
        <w:t>Relevant rules in each jurisdiction should be amended to provide that unsuccessful public interest litigants be exempted from paying costs.</w:t>
      </w:r>
    </w:p>
    <w:p w:rsidR="003971FB" w:rsidRPr="00D92D16" w:rsidRDefault="003971FB" w:rsidP="00D92D16">
      <w:pPr>
        <w:pStyle w:val="ListParagraph"/>
        <w:rPr>
          <w:rFonts w:ascii="Arial" w:hAnsi="Arial" w:cs="Arial"/>
          <w:i/>
          <w:color w:val="000000"/>
          <w:sz w:val="22"/>
          <w:szCs w:val="22"/>
        </w:rPr>
      </w:pPr>
    </w:p>
    <w:p w:rsidR="003971FB" w:rsidRPr="00A81B7D" w:rsidRDefault="003971FB" w:rsidP="003971FB">
      <w:pPr>
        <w:pStyle w:val="ListParagraph"/>
        <w:numPr>
          <w:ilvl w:val="0"/>
          <w:numId w:val="28"/>
        </w:numPr>
        <w:autoSpaceDE w:val="0"/>
        <w:autoSpaceDN w:val="0"/>
        <w:adjustRightInd w:val="0"/>
        <w:spacing w:after="0"/>
        <w:jc w:val="both"/>
        <w:rPr>
          <w:rFonts w:ascii="Arial" w:hAnsi="Arial" w:cs="Arial"/>
          <w:i/>
          <w:color w:val="000000"/>
          <w:sz w:val="22"/>
          <w:szCs w:val="22"/>
        </w:rPr>
      </w:pPr>
      <w:r w:rsidRPr="00A81B7D">
        <w:rPr>
          <w:rFonts w:ascii="Arial" w:hAnsi="Arial" w:cs="Arial"/>
          <w:i/>
          <w:color w:val="000000"/>
          <w:sz w:val="22"/>
          <w:szCs w:val="22"/>
        </w:rPr>
        <w:t xml:space="preserve">Relevant rules in each jurisdiction should include criteria to determine whether a matter may be properly classified as one that is in the public interest. </w:t>
      </w:r>
    </w:p>
    <w:p w:rsidR="00C46568" w:rsidRPr="00A81B7D" w:rsidRDefault="00C46568" w:rsidP="00A9458F">
      <w:pPr>
        <w:spacing w:after="0"/>
        <w:jc w:val="both"/>
        <w:rPr>
          <w:rFonts w:ascii="Arial" w:hAnsi="Arial" w:cs="Arial"/>
          <w:i/>
          <w:sz w:val="22"/>
          <w:szCs w:val="22"/>
        </w:rPr>
      </w:pPr>
    </w:p>
    <w:p w:rsidR="00C46568" w:rsidRPr="00733776" w:rsidRDefault="00A81B7D" w:rsidP="00A9458F">
      <w:pPr>
        <w:spacing w:after="0"/>
        <w:jc w:val="both"/>
        <w:rPr>
          <w:rStyle w:val="Heading1Char"/>
          <w:i/>
          <w:sz w:val="22"/>
          <w:szCs w:val="22"/>
        </w:rPr>
      </w:pPr>
      <w:r w:rsidRPr="00733776">
        <w:rPr>
          <w:rStyle w:val="Heading1Char"/>
          <w:i/>
          <w:sz w:val="22"/>
          <w:szCs w:val="22"/>
        </w:rPr>
        <w:t>Specialist courts</w:t>
      </w:r>
    </w:p>
    <w:p w:rsidR="00A81B7D" w:rsidRPr="00A81B7D" w:rsidRDefault="00A81B7D" w:rsidP="00A9458F">
      <w:pPr>
        <w:spacing w:after="0"/>
        <w:jc w:val="both"/>
        <w:rPr>
          <w:rStyle w:val="Heading1Char"/>
          <w:b w:val="0"/>
          <w:i/>
          <w:sz w:val="22"/>
          <w:szCs w:val="22"/>
        </w:rPr>
      </w:pPr>
    </w:p>
    <w:p w:rsidR="00A81B7D" w:rsidRPr="00A81B7D" w:rsidRDefault="00A81B7D" w:rsidP="00733776">
      <w:pPr>
        <w:pStyle w:val="ListParagraph"/>
        <w:numPr>
          <w:ilvl w:val="0"/>
          <w:numId w:val="29"/>
        </w:numPr>
        <w:autoSpaceDE w:val="0"/>
        <w:autoSpaceDN w:val="0"/>
        <w:adjustRightInd w:val="0"/>
        <w:spacing w:after="0"/>
        <w:jc w:val="both"/>
        <w:rPr>
          <w:rFonts w:ascii="Arial" w:hAnsi="Arial" w:cs="Arial"/>
          <w:i/>
          <w:color w:val="000000"/>
          <w:sz w:val="22"/>
          <w:szCs w:val="22"/>
        </w:rPr>
      </w:pPr>
      <w:r w:rsidRPr="00A81B7D">
        <w:rPr>
          <w:rFonts w:ascii="Arial" w:hAnsi="Arial" w:cs="Arial"/>
          <w:i/>
          <w:color w:val="000000"/>
          <w:sz w:val="22"/>
          <w:szCs w:val="22"/>
        </w:rPr>
        <w:t>Specialist environmental courts should be constituted in those jurisdictions lacking such a court.</w:t>
      </w:r>
    </w:p>
    <w:p w:rsidR="00A81B7D" w:rsidRPr="00A81B7D" w:rsidRDefault="00A81B7D" w:rsidP="00733776">
      <w:pPr>
        <w:pStyle w:val="ListParagraph"/>
        <w:autoSpaceDE w:val="0"/>
        <w:autoSpaceDN w:val="0"/>
        <w:adjustRightInd w:val="0"/>
        <w:spacing w:after="0"/>
        <w:ind w:left="360"/>
        <w:jc w:val="both"/>
        <w:rPr>
          <w:rFonts w:ascii="Arial" w:hAnsi="Arial" w:cs="Arial"/>
          <w:i/>
          <w:color w:val="000000"/>
          <w:sz w:val="22"/>
          <w:szCs w:val="22"/>
        </w:rPr>
      </w:pPr>
    </w:p>
    <w:p w:rsidR="00A81B7D" w:rsidRPr="00A81B7D" w:rsidRDefault="00A81B7D" w:rsidP="00733776">
      <w:pPr>
        <w:pStyle w:val="ListParagraph"/>
        <w:numPr>
          <w:ilvl w:val="0"/>
          <w:numId w:val="29"/>
        </w:numPr>
        <w:autoSpaceDE w:val="0"/>
        <w:autoSpaceDN w:val="0"/>
        <w:adjustRightInd w:val="0"/>
        <w:spacing w:after="0"/>
        <w:jc w:val="both"/>
        <w:rPr>
          <w:rFonts w:ascii="Arial" w:hAnsi="Arial" w:cs="Arial"/>
          <w:i/>
          <w:color w:val="000000"/>
          <w:sz w:val="22"/>
          <w:szCs w:val="22"/>
        </w:rPr>
      </w:pPr>
      <w:r w:rsidRPr="00733776">
        <w:rPr>
          <w:rFonts w:ascii="Arial" w:hAnsi="Arial" w:cs="Arial"/>
          <w:i/>
          <w:color w:val="000000"/>
          <w:sz w:val="22"/>
          <w:szCs w:val="22"/>
        </w:rPr>
        <w:t xml:space="preserve">Existing and new specialist environmental courts should be modelled on the NSW </w:t>
      </w:r>
      <w:r w:rsidR="00A037A5">
        <w:rPr>
          <w:rFonts w:ascii="Arial" w:hAnsi="Arial" w:cs="Arial"/>
          <w:i/>
          <w:color w:val="000000"/>
          <w:sz w:val="22"/>
          <w:szCs w:val="22"/>
        </w:rPr>
        <w:t>Land and Environment Court (</w:t>
      </w:r>
      <w:r w:rsidRPr="00733776">
        <w:rPr>
          <w:rFonts w:ascii="Arial" w:hAnsi="Arial" w:cs="Arial"/>
          <w:i/>
          <w:color w:val="000000"/>
          <w:sz w:val="22"/>
          <w:szCs w:val="22"/>
        </w:rPr>
        <w:t>LEC</w:t>
      </w:r>
      <w:r w:rsidR="00A037A5">
        <w:rPr>
          <w:rFonts w:ascii="Arial" w:hAnsi="Arial" w:cs="Arial"/>
          <w:i/>
          <w:color w:val="000000"/>
          <w:sz w:val="22"/>
          <w:szCs w:val="22"/>
        </w:rPr>
        <w:t>)</w:t>
      </w:r>
      <w:r w:rsidRPr="00733776">
        <w:rPr>
          <w:rFonts w:ascii="Arial" w:hAnsi="Arial" w:cs="Arial"/>
          <w:i/>
          <w:color w:val="000000"/>
          <w:sz w:val="22"/>
          <w:szCs w:val="22"/>
        </w:rPr>
        <w:t>. That is, they should be constituted as superior courts of record. They should also provide for the appointment of both judges and commissioners with particular expertise in environment and planning matters.</w:t>
      </w:r>
    </w:p>
    <w:p w:rsidR="00A81B7D" w:rsidRPr="00733776" w:rsidRDefault="00A81B7D" w:rsidP="00733776">
      <w:pPr>
        <w:pStyle w:val="ListParagraph"/>
        <w:rPr>
          <w:rFonts w:ascii="Arial" w:hAnsi="Arial" w:cs="Arial"/>
          <w:i/>
          <w:color w:val="000000"/>
          <w:sz w:val="22"/>
          <w:szCs w:val="22"/>
        </w:rPr>
      </w:pPr>
    </w:p>
    <w:p w:rsidR="00A81B7D" w:rsidRPr="00733776" w:rsidRDefault="00A81B7D" w:rsidP="00733776">
      <w:pPr>
        <w:autoSpaceDE w:val="0"/>
        <w:autoSpaceDN w:val="0"/>
        <w:adjustRightInd w:val="0"/>
        <w:spacing w:after="0"/>
        <w:jc w:val="both"/>
        <w:rPr>
          <w:rStyle w:val="Heading1Char"/>
          <w:i/>
          <w:sz w:val="22"/>
          <w:szCs w:val="22"/>
        </w:rPr>
      </w:pPr>
      <w:r w:rsidRPr="00733776">
        <w:rPr>
          <w:rStyle w:val="Heading1Char"/>
          <w:i/>
          <w:sz w:val="22"/>
          <w:szCs w:val="22"/>
        </w:rPr>
        <w:t>Photocopying costs - discovery and subpoenas</w:t>
      </w:r>
    </w:p>
    <w:p w:rsidR="00A81B7D" w:rsidRPr="00A81B7D" w:rsidRDefault="00A81B7D" w:rsidP="00733776">
      <w:pPr>
        <w:autoSpaceDE w:val="0"/>
        <w:autoSpaceDN w:val="0"/>
        <w:adjustRightInd w:val="0"/>
        <w:spacing w:after="0"/>
        <w:jc w:val="both"/>
        <w:rPr>
          <w:rStyle w:val="Heading1Char"/>
          <w:b w:val="0"/>
          <w:i/>
          <w:sz w:val="22"/>
          <w:szCs w:val="22"/>
        </w:rPr>
      </w:pPr>
    </w:p>
    <w:p w:rsidR="00A81B7D" w:rsidRPr="00A81B7D" w:rsidRDefault="00A81B7D" w:rsidP="00733776">
      <w:pPr>
        <w:pStyle w:val="ListParagraph"/>
        <w:numPr>
          <w:ilvl w:val="0"/>
          <w:numId w:val="30"/>
        </w:numPr>
        <w:jc w:val="both"/>
        <w:rPr>
          <w:rStyle w:val="Heading1Char"/>
          <w:b w:val="0"/>
          <w:i/>
          <w:sz w:val="22"/>
          <w:szCs w:val="22"/>
        </w:rPr>
      </w:pPr>
      <w:r w:rsidRPr="00A81B7D">
        <w:rPr>
          <w:rStyle w:val="Heading1Char"/>
          <w:b w:val="0"/>
          <w:i/>
          <w:sz w:val="22"/>
          <w:szCs w:val="22"/>
        </w:rPr>
        <w:t>Rules in all jurisdictions should be amended to provide courts with discretion to either waive or cap photocopying fees for discovery and subpoenaed documents held by government departments where the applicant is a public interest litigant. Caps should be commensurate with the litigant’s means.</w:t>
      </w:r>
    </w:p>
    <w:p w:rsidR="00A81B7D" w:rsidRPr="00A81B7D" w:rsidRDefault="00A81B7D" w:rsidP="00733776">
      <w:pPr>
        <w:pStyle w:val="ListParagraph"/>
        <w:ind w:left="360"/>
        <w:jc w:val="both"/>
        <w:rPr>
          <w:rStyle w:val="Heading1Char"/>
          <w:b w:val="0"/>
          <w:i/>
          <w:sz w:val="22"/>
          <w:szCs w:val="22"/>
        </w:rPr>
      </w:pPr>
    </w:p>
    <w:p w:rsidR="00A81B7D" w:rsidRPr="00A81B7D" w:rsidRDefault="00A81B7D" w:rsidP="00733776">
      <w:pPr>
        <w:pStyle w:val="ListParagraph"/>
        <w:numPr>
          <w:ilvl w:val="0"/>
          <w:numId w:val="30"/>
        </w:numPr>
        <w:jc w:val="both"/>
        <w:rPr>
          <w:rStyle w:val="Heading1Char"/>
          <w:b w:val="0"/>
          <w:i/>
          <w:sz w:val="22"/>
          <w:szCs w:val="22"/>
        </w:rPr>
      </w:pPr>
      <w:r w:rsidRPr="00733776">
        <w:rPr>
          <w:rStyle w:val="Heading1Char"/>
          <w:b w:val="0"/>
          <w:i/>
          <w:sz w:val="22"/>
          <w:szCs w:val="22"/>
        </w:rPr>
        <w:t>Rules should be amended to provide for ‘e-discovery’, thereby significantly reducing the cost of discovery for all parties.</w:t>
      </w:r>
    </w:p>
    <w:p w:rsidR="00A81B7D" w:rsidRPr="00733776" w:rsidRDefault="00A81B7D" w:rsidP="00733776">
      <w:pPr>
        <w:pStyle w:val="ListParagraph"/>
        <w:rPr>
          <w:rFonts w:ascii="Arial" w:hAnsi="Arial" w:cs="Arial"/>
          <w:bCs/>
          <w:i/>
          <w:kern w:val="32"/>
          <w:sz w:val="22"/>
          <w:szCs w:val="22"/>
        </w:rPr>
      </w:pPr>
    </w:p>
    <w:p w:rsidR="00A81B7D" w:rsidRPr="00A81B7D" w:rsidRDefault="00A81B7D" w:rsidP="00A81B7D">
      <w:pPr>
        <w:spacing w:after="0"/>
        <w:jc w:val="both"/>
        <w:rPr>
          <w:rStyle w:val="Heading1Char"/>
          <w:i/>
          <w:sz w:val="22"/>
          <w:szCs w:val="22"/>
        </w:rPr>
      </w:pPr>
      <w:r w:rsidRPr="00A81B7D">
        <w:rPr>
          <w:rStyle w:val="Heading1Char"/>
          <w:i/>
          <w:sz w:val="22"/>
          <w:szCs w:val="22"/>
        </w:rPr>
        <w:t>Freedom of information legislation</w:t>
      </w:r>
    </w:p>
    <w:p w:rsidR="00A81B7D" w:rsidRPr="00A81B7D" w:rsidRDefault="00A81B7D" w:rsidP="00A81B7D">
      <w:pPr>
        <w:spacing w:after="0"/>
        <w:jc w:val="both"/>
        <w:rPr>
          <w:rStyle w:val="Heading1Char"/>
          <w:i/>
          <w:sz w:val="22"/>
          <w:szCs w:val="22"/>
        </w:rPr>
      </w:pPr>
    </w:p>
    <w:p w:rsidR="00A81B7D" w:rsidRPr="00A81B7D" w:rsidRDefault="00A81B7D" w:rsidP="00A81B7D">
      <w:pPr>
        <w:pStyle w:val="ListParagraph"/>
        <w:numPr>
          <w:ilvl w:val="0"/>
          <w:numId w:val="31"/>
        </w:numPr>
        <w:autoSpaceDE w:val="0"/>
        <w:autoSpaceDN w:val="0"/>
        <w:adjustRightInd w:val="0"/>
        <w:spacing w:after="0"/>
        <w:jc w:val="both"/>
        <w:rPr>
          <w:rFonts w:ascii="Arial" w:hAnsi="Arial" w:cs="Arial"/>
          <w:i/>
          <w:color w:val="000000"/>
          <w:sz w:val="22"/>
          <w:szCs w:val="22"/>
        </w:rPr>
      </w:pPr>
      <w:r w:rsidRPr="00A81B7D">
        <w:rPr>
          <w:rFonts w:ascii="Arial" w:hAnsi="Arial" w:cs="Arial"/>
          <w:i/>
          <w:color w:val="000000"/>
          <w:sz w:val="22"/>
          <w:szCs w:val="22"/>
        </w:rPr>
        <w:t xml:space="preserve">FOI legislation in every jurisdiction should be amended to require agencies to determine access applications in no more than 15 working days. </w:t>
      </w:r>
    </w:p>
    <w:p w:rsidR="00A81B7D" w:rsidRPr="00A81B7D" w:rsidRDefault="00A81B7D" w:rsidP="00A81B7D">
      <w:pPr>
        <w:pStyle w:val="ListParagraph"/>
        <w:autoSpaceDE w:val="0"/>
        <w:autoSpaceDN w:val="0"/>
        <w:adjustRightInd w:val="0"/>
        <w:spacing w:after="0"/>
        <w:ind w:left="360"/>
        <w:jc w:val="both"/>
        <w:rPr>
          <w:rFonts w:ascii="Arial" w:hAnsi="Arial" w:cs="Arial"/>
          <w:i/>
          <w:color w:val="000000"/>
          <w:sz w:val="22"/>
          <w:szCs w:val="22"/>
        </w:rPr>
      </w:pPr>
    </w:p>
    <w:p w:rsidR="00A81B7D" w:rsidRPr="00A81B7D" w:rsidRDefault="00A81B7D" w:rsidP="00A81B7D">
      <w:pPr>
        <w:pStyle w:val="ListParagraph"/>
        <w:numPr>
          <w:ilvl w:val="0"/>
          <w:numId w:val="31"/>
        </w:numPr>
        <w:autoSpaceDE w:val="0"/>
        <w:autoSpaceDN w:val="0"/>
        <w:adjustRightInd w:val="0"/>
        <w:spacing w:after="0"/>
        <w:jc w:val="both"/>
        <w:rPr>
          <w:rFonts w:ascii="Arial" w:hAnsi="Arial" w:cs="Arial"/>
          <w:i/>
          <w:color w:val="000000"/>
          <w:sz w:val="22"/>
          <w:szCs w:val="22"/>
        </w:rPr>
      </w:pPr>
      <w:r w:rsidRPr="00A81B7D">
        <w:rPr>
          <w:rFonts w:ascii="Arial" w:hAnsi="Arial" w:cs="Arial"/>
          <w:i/>
          <w:color w:val="000000"/>
          <w:sz w:val="22"/>
          <w:szCs w:val="22"/>
        </w:rPr>
        <w:t xml:space="preserve">FOI legislation in every jurisdiction should be amended to include specific timeframes within which reviews must be completed. A reasonable period would be 10 working days for internal review, and 28 working days for a review conducted by the Information Commissioner (or equivalent). </w:t>
      </w:r>
    </w:p>
    <w:p w:rsidR="00A81B7D" w:rsidRPr="00A81B7D" w:rsidRDefault="00A81B7D" w:rsidP="00A81B7D">
      <w:pPr>
        <w:pStyle w:val="ListParagraph"/>
        <w:rPr>
          <w:rFonts w:ascii="Arial" w:hAnsi="Arial" w:cs="Arial"/>
          <w:i/>
          <w:color w:val="000000"/>
          <w:sz w:val="22"/>
          <w:szCs w:val="22"/>
        </w:rPr>
      </w:pPr>
    </w:p>
    <w:p w:rsidR="00A81B7D" w:rsidRPr="00A81B7D" w:rsidRDefault="00A81B7D" w:rsidP="00733776">
      <w:pPr>
        <w:pStyle w:val="ListParagraph"/>
        <w:numPr>
          <w:ilvl w:val="0"/>
          <w:numId w:val="31"/>
        </w:numPr>
        <w:autoSpaceDE w:val="0"/>
        <w:autoSpaceDN w:val="0"/>
        <w:adjustRightInd w:val="0"/>
        <w:spacing w:after="0"/>
        <w:jc w:val="both"/>
        <w:rPr>
          <w:rFonts w:ascii="Arial" w:hAnsi="Arial" w:cs="Arial"/>
          <w:i/>
          <w:color w:val="000000"/>
          <w:sz w:val="22"/>
          <w:szCs w:val="22"/>
        </w:rPr>
      </w:pPr>
      <w:r w:rsidRPr="00A81B7D">
        <w:rPr>
          <w:rFonts w:ascii="Arial" w:hAnsi="Arial" w:cs="Arial"/>
          <w:i/>
          <w:color w:val="000000"/>
          <w:sz w:val="22"/>
          <w:szCs w:val="22"/>
        </w:rPr>
        <w:lastRenderedPageBreak/>
        <w:t xml:space="preserve">FOI legislation in every jurisdiction should be amended to require agencies to provide a minimum discount of 50% to applicants acting in the public interest, or in the alternative to waive fees where the applicant is acting in the public interest. </w:t>
      </w:r>
    </w:p>
    <w:p w:rsidR="00A81B7D" w:rsidRPr="00733776" w:rsidRDefault="00A81B7D" w:rsidP="00733776">
      <w:pPr>
        <w:pStyle w:val="ListParagraph"/>
        <w:rPr>
          <w:rFonts w:ascii="Arial" w:hAnsi="Arial" w:cs="Arial"/>
          <w:i/>
          <w:color w:val="000000"/>
          <w:sz w:val="22"/>
          <w:szCs w:val="22"/>
        </w:rPr>
      </w:pPr>
    </w:p>
    <w:p w:rsidR="00A81B7D" w:rsidRPr="00733776" w:rsidRDefault="00A81B7D" w:rsidP="00733776">
      <w:pPr>
        <w:pStyle w:val="ListParagraph"/>
        <w:numPr>
          <w:ilvl w:val="0"/>
          <w:numId w:val="31"/>
        </w:numPr>
        <w:autoSpaceDE w:val="0"/>
        <w:autoSpaceDN w:val="0"/>
        <w:adjustRightInd w:val="0"/>
        <w:spacing w:after="0"/>
        <w:jc w:val="both"/>
        <w:rPr>
          <w:rFonts w:ascii="Arial" w:hAnsi="Arial" w:cs="Arial"/>
          <w:i/>
          <w:color w:val="000000"/>
          <w:sz w:val="22"/>
          <w:szCs w:val="22"/>
        </w:rPr>
      </w:pPr>
      <w:r w:rsidRPr="00733776">
        <w:rPr>
          <w:rFonts w:ascii="Arial" w:hAnsi="Arial" w:cs="Arial"/>
          <w:i/>
          <w:color w:val="000000"/>
          <w:sz w:val="22"/>
          <w:szCs w:val="22"/>
        </w:rPr>
        <w:t>The Copyright Act should be amended to exclude all documents submitted by a proponent to a government agency for the purposes of determining a development application (including, but not limited to, environmental impact statements).</w:t>
      </w:r>
    </w:p>
    <w:p w:rsidR="008B79E6" w:rsidRPr="00A9458F" w:rsidRDefault="009364F1" w:rsidP="00536191">
      <w:pPr>
        <w:pStyle w:val="PolicyHeading2"/>
        <w:numPr>
          <w:ilvl w:val="0"/>
          <w:numId w:val="3"/>
        </w:numPr>
        <w:spacing w:afterAutospacing="0"/>
        <w:rPr>
          <w:rFonts w:ascii="Arial" w:hAnsi="Arial" w:cs="Arial"/>
          <w:b w:val="0"/>
          <w:sz w:val="22"/>
          <w:szCs w:val="22"/>
        </w:rPr>
      </w:pPr>
      <w:r>
        <w:rPr>
          <w:rStyle w:val="Heading1Char"/>
          <w:b/>
          <w:sz w:val="22"/>
          <w:szCs w:val="22"/>
        </w:rPr>
        <w:t xml:space="preserve">Role of </w:t>
      </w:r>
      <w:r w:rsidR="001B04B2">
        <w:rPr>
          <w:rStyle w:val="Heading1Char"/>
          <w:b/>
          <w:sz w:val="22"/>
          <w:szCs w:val="22"/>
        </w:rPr>
        <w:t xml:space="preserve">environmental laws and </w:t>
      </w:r>
      <w:r>
        <w:rPr>
          <w:rStyle w:val="Heading1Char"/>
          <w:b/>
          <w:sz w:val="22"/>
          <w:szCs w:val="22"/>
        </w:rPr>
        <w:t xml:space="preserve">ANEDO in ensuring access to justice </w:t>
      </w:r>
      <w:r w:rsidR="001E227A" w:rsidRPr="00A9458F">
        <w:rPr>
          <w:rStyle w:val="Heading1Char"/>
          <w:b/>
          <w:sz w:val="22"/>
          <w:szCs w:val="22"/>
        </w:rPr>
        <w:t xml:space="preserve"> </w:t>
      </w:r>
      <w:r w:rsidR="001E227A" w:rsidRPr="00A9458F">
        <w:rPr>
          <w:rStyle w:val="Heading1Char"/>
          <w:b/>
          <w:sz w:val="22"/>
          <w:szCs w:val="22"/>
        </w:rPr>
        <w:tab/>
      </w:r>
    </w:p>
    <w:p w:rsidR="00372C52" w:rsidRPr="00A9458F" w:rsidRDefault="00372C52" w:rsidP="00A9458F">
      <w:pPr>
        <w:spacing w:after="0"/>
        <w:jc w:val="both"/>
        <w:rPr>
          <w:rFonts w:ascii="Arial" w:hAnsi="Arial" w:cs="Arial"/>
          <w:b/>
          <w:i/>
          <w:sz w:val="22"/>
          <w:szCs w:val="22"/>
        </w:rPr>
      </w:pPr>
    </w:p>
    <w:p w:rsidR="008A585A" w:rsidRPr="008A585A" w:rsidRDefault="008C1B9E" w:rsidP="00A9458F">
      <w:pPr>
        <w:spacing w:after="0"/>
        <w:jc w:val="both"/>
        <w:rPr>
          <w:rFonts w:ascii="Arial" w:hAnsi="Arial" w:cs="Arial"/>
          <w:sz w:val="22"/>
          <w:szCs w:val="22"/>
        </w:rPr>
      </w:pPr>
      <w:r w:rsidRPr="008A585A">
        <w:rPr>
          <w:rFonts w:ascii="Arial" w:hAnsi="Arial" w:cs="Arial"/>
          <w:sz w:val="22"/>
          <w:szCs w:val="22"/>
        </w:rPr>
        <w:t>Environmental laws are important to access to justice</w:t>
      </w:r>
      <w:r w:rsidR="008A585A" w:rsidRPr="008A585A">
        <w:rPr>
          <w:rFonts w:ascii="Arial" w:hAnsi="Arial" w:cs="Arial"/>
          <w:sz w:val="22"/>
          <w:szCs w:val="22"/>
        </w:rPr>
        <w:t>, including</w:t>
      </w:r>
      <w:r w:rsidRPr="008A585A">
        <w:rPr>
          <w:rFonts w:ascii="Arial" w:hAnsi="Arial" w:cs="Arial"/>
          <w:sz w:val="22"/>
          <w:szCs w:val="22"/>
        </w:rPr>
        <w:t xml:space="preserve"> because they can help to address social disadvantage and fairness in our legal system.</w:t>
      </w:r>
      <w:r w:rsidRPr="008A585A">
        <w:rPr>
          <w:rStyle w:val="EndnoteReference"/>
          <w:rFonts w:ascii="Arial" w:hAnsi="Arial" w:cs="Arial"/>
          <w:sz w:val="22"/>
          <w:szCs w:val="22"/>
        </w:rPr>
        <w:endnoteReference w:id="1"/>
      </w:r>
      <w:r w:rsidRPr="008A585A">
        <w:rPr>
          <w:rFonts w:ascii="Arial" w:hAnsi="Arial" w:cs="Arial"/>
          <w:sz w:val="22"/>
          <w:szCs w:val="22"/>
        </w:rPr>
        <w:t xml:space="preserve"> </w:t>
      </w:r>
      <w:r w:rsidR="001B04B2" w:rsidRPr="008A585A">
        <w:rPr>
          <w:rFonts w:ascii="Arial" w:hAnsi="Arial" w:cs="Arial"/>
          <w:sz w:val="22"/>
          <w:szCs w:val="22"/>
        </w:rPr>
        <w:t>E</w:t>
      </w:r>
      <w:r w:rsidRPr="008A585A">
        <w:rPr>
          <w:rFonts w:ascii="Arial" w:hAnsi="Arial" w:cs="Arial"/>
          <w:sz w:val="22"/>
          <w:szCs w:val="22"/>
        </w:rPr>
        <w:t xml:space="preserve">nvironmental problems </w:t>
      </w:r>
      <w:r w:rsidR="001B04B2" w:rsidRPr="008A585A">
        <w:rPr>
          <w:rFonts w:ascii="Arial" w:hAnsi="Arial" w:cs="Arial"/>
          <w:sz w:val="22"/>
          <w:szCs w:val="22"/>
        </w:rPr>
        <w:t>can have a profound ef</w:t>
      </w:r>
      <w:r w:rsidRPr="008A585A">
        <w:rPr>
          <w:rFonts w:ascii="Arial" w:hAnsi="Arial" w:cs="Arial"/>
          <w:sz w:val="22"/>
          <w:szCs w:val="22"/>
        </w:rPr>
        <w:t>fect</w:t>
      </w:r>
      <w:r w:rsidR="001B04B2" w:rsidRPr="008A585A">
        <w:rPr>
          <w:rFonts w:ascii="Arial" w:hAnsi="Arial" w:cs="Arial"/>
          <w:sz w:val="22"/>
          <w:szCs w:val="22"/>
        </w:rPr>
        <w:t xml:space="preserve"> on</w:t>
      </w:r>
      <w:r w:rsidRPr="008A585A">
        <w:rPr>
          <w:rFonts w:ascii="Arial" w:hAnsi="Arial" w:cs="Arial"/>
          <w:sz w:val="22"/>
          <w:szCs w:val="22"/>
        </w:rPr>
        <w:t xml:space="preserve"> </w:t>
      </w:r>
      <w:r w:rsidR="001B04B2" w:rsidRPr="008A585A">
        <w:rPr>
          <w:rFonts w:ascii="Arial" w:hAnsi="Arial" w:cs="Arial"/>
          <w:sz w:val="22"/>
          <w:szCs w:val="22"/>
        </w:rPr>
        <w:t xml:space="preserve">a </w:t>
      </w:r>
      <w:r w:rsidRPr="008A585A">
        <w:rPr>
          <w:rFonts w:ascii="Arial" w:hAnsi="Arial" w:cs="Arial"/>
          <w:sz w:val="22"/>
          <w:szCs w:val="22"/>
        </w:rPr>
        <w:t>local communit</w:t>
      </w:r>
      <w:r w:rsidR="001B04B2" w:rsidRPr="008A585A">
        <w:rPr>
          <w:rFonts w:ascii="Arial" w:hAnsi="Arial" w:cs="Arial"/>
          <w:sz w:val="22"/>
          <w:szCs w:val="22"/>
        </w:rPr>
        <w:t>y</w:t>
      </w:r>
      <w:r w:rsidRPr="008A585A">
        <w:rPr>
          <w:rFonts w:ascii="Arial" w:hAnsi="Arial" w:cs="Arial"/>
          <w:sz w:val="22"/>
          <w:szCs w:val="22"/>
        </w:rPr>
        <w:t xml:space="preserve">, or the </w:t>
      </w:r>
      <w:r w:rsidR="001B04B2" w:rsidRPr="008A585A">
        <w:rPr>
          <w:rFonts w:ascii="Arial" w:hAnsi="Arial" w:cs="Arial"/>
          <w:sz w:val="22"/>
          <w:szCs w:val="22"/>
        </w:rPr>
        <w:t>wider</w:t>
      </w:r>
      <w:r w:rsidRPr="008A585A">
        <w:rPr>
          <w:rFonts w:ascii="Arial" w:hAnsi="Arial" w:cs="Arial"/>
          <w:sz w:val="22"/>
          <w:szCs w:val="22"/>
        </w:rPr>
        <w:t xml:space="preserve"> public, </w:t>
      </w:r>
      <w:r w:rsidR="001B04B2" w:rsidRPr="008A585A">
        <w:rPr>
          <w:rFonts w:ascii="Arial" w:hAnsi="Arial" w:cs="Arial"/>
          <w:sz w:val="22"/>
          <w:szCs w:val="22"/>
        </w:rPr>
        <w:t>as well as</w:t>
      </w:r>
      <w:r w:rsidRPr="008A585A">
        <w:rPr>
          <w:rFonts w:ascii="Arial" w:hAnsi="Arial" w:cs="Arial"/>
          <w:sz w:val="22"/>
          <w:szCs w:val="22"/>
        </w:rPr>
        <w:t xml:space="preserve"> individual</w:t>
      </w:r>
      <w:r w:rsidR="001B04B2" w:rsidRPr="008A585A">
        <w:rPr>
          <w:rFonts w:ascii="Arial" w:hAnsi="Arial" w:cs="Arial"/>
          <w:sz w:val="22"/>
          <w:szCs w:val="22"/>
        </w:rPr>
        <w:t>s</w:t>
      </w:r>
      <w:r w:rsidRPr="008A585A">
        <w:rPr>
          <w:rFonts w:ascii="Arial" w:hAnsi="Arial" w:cs="Arial"/>
          <w:sz w:val="22"/>
          <w:szCs w:val="22"/>
        </w:rPr>
        <w:t>. In</w:t>
      </w:r>
      <w:r w:rsidR="001B04B2" w:rsidRPr="008A585A">
        <w:rPr>
          <w:rFonts w:ascii="Arial" w:hAnsi="Arial" w:cs="Arial"/>
          <w:sz w:val="22"/>
          <w:szCs w:val="22"/>
        </w:rPr>
        <w:t> </w:t>
      </w:r>
      <w:r w:rsidRPr="008A585A">
        <w:rPr>
          <w:rFonts w:ascii="Arial" w:hAnsi="Arial" w:cs="Arial"/>
          <w:sz w:val="22"/>
          <w:szCs w:val="22"/>
        </w:rPr>
        <w:t xml:space="preserve">appropriate cases, EDOs may therefore represent </w:t>
      </w:r>
      <w:r w:rsidR="001B04B2" w:rsidRPr="008A585A">
        <w:rPr>
          <w:rFonts w:ascii="Arial" w:hAnsi="Arial" w:cs="Arial"/>
          <w:sz w:val="22"/>
          <w:szCs w:val="22"/>
        </w:rPr>
        <w:t xml:space="preserve">community groups or individuals </w:t>
      </w:r>
      <w:r w:rsidRPr="008A585A">
        <w:rPr>
          <w:rFonts w:ascii="Arial" w:hAnsi="Arial" w:cs="Arial"/>
          <w:sz w:val="22"/>
          <w:szCs w:val="22"/>
        </w:rPr>
        <w:t xml:space="preserve">seeking access to justice. </w:t>
      </w:r>
    </w:p>
    <w:p w:rsidR="008A585A" w:rsidRPr="008A585A" w:rsidRDefault="008A585A" w:rsidP="00A9458F">
      <w:pPr>
        <w:spacing w:after="0"/>
        <w:jc w:val="both"/>
        <w:rPr>
          <w:rFonts w:ascii="Arial" w:hAnsi="Arial" w:cs="Arial"/>
          <w:sz w:val="22"/>
          <w:szCs w:val="22"/>
        </w:rPr>
      </w:pPr>
    </w:p>
    <w:p w:rsidR="001B04B2" w:rsidRPr="008A585A" w:rsidRDefault="001B04B2" w:rsidP="00A9458F">
      <w:pPr>
        <w:spacing w:after="0"/>
        <w:jc w:val="both"/>
        <w:rPr>
          <w:rFonts w:ascii="Arial" w:hAnsi="Arial" w:cs="Arial"/>
          <w:sz w:val="22"/>
          <w:szCs w:val="22"/>
        </w:rPr>
      </w:pPr>
      <w:r w:rsidRPr="008A585A">
        <w:rPr>
          <w:rFonts w:ascii="Arial" w:hAnsi="Arial" w:cs="Arial"/>
          <w:sz w:val="22"/>
          <w:szCs w:val="22"/>
        </w:rPr>
        <w:t>Often, environmental issues</w:t>
      </w:r>
      <w:r w:rsidR="008C1B9E" w:rsidRPr="008A585A">
        <w:rPr>
          <w:rFonts w:ascii="Arial" w:hAnsi="Arial" w:cs="Arial"/>
          <w:sz w:val="22"/>
          <w:szCs w:val="22"/>
        </w:rPr>
        <w:t xml:space="preserve"> </w:t>
      </w:r>
      <w:r w:rsidRPr="008A585A">
        <w:rPr>
          <w:rFonts w:ascii="Arial" w:hAnsi="Arial" w:cs="Arial"/>
          <w:sz w:val="22"/>
          <w:szCs w:val="22"/>
        </w:rPr>
        <w:t xml:space="preserve">disproportionately affect </w:t>
      </w:r>
      <w:r w:rsidR="008C1B9E" w:rsidRPr="008A585A">
        <w:rPr>
          <w:rFonts w:ascii="Arial" w:hAnsi="Arial" w:cs="Arial"/>
          <w:sz w:val="22"/>
          <w:szCs w:val="22"/>
        </w:rPr>
        <w:t>members of marginalised or lower socio-economic groups who are exposed to inappropriate developments which lower air quality, water quality or the amenity of an area</w:t>
      </w:r>
      <w:r w:rsidRPr="008A585A">
        <w:rPr>
          <w:rFonts w:ascii="Arial" w:hAnsi="Arial" w:cs="Arial"/>
          <w:sz w:val="22"/>
          <w:szCs w:val="22"/>
        </w:rPr>
        <w:t xml:space="preserve">. This may have </w:t>
      </w:r>
      <w:r w:rsidR="008C1B9E" w:rsidRPr="008A585A">
        <w:rPr>
          <w:rFonts w:ascii="Arial" w:hAnsi="Arial" w:cs="Arial"/>
          <w:sz w:val="22"/>
          <w:szCs w:val="22"/>
        </w:rPr>
        <w:t>flow-on effects leading to ill-health, reduced land values, disadvantage and disempowerment. For example, environmental law</w:t>
      </w:r>
      <w:r w:rsidRPr="008A585A">
        <w:rPr>
          <w:rFonts w:ascii="Arial" w:hAnsi="Arial" w:cs="Arial"/>
          <w:sz w:val="22"/>
          <w:szCs w:val="22"/>
        </w:rPr>
        <w:t>s</w:t>
      </w:r>
      <w:r w:rsidR="008C1B9E" w:rsidRPr="008A585A">
        <w:rPr>
          <w:rFonts w:ascii="Arial" w:hAnsi="Arial" w:cs="Arial"/>
          <w:sz w:val="22"/>
          <w:szCs w:val="22"/>
        </w:rPr>
        <w:t xml:space="preserve"> can play a crucial role in assisting Aboriginal Australians to protect their cultural heritage. </w:t>
      </w:r>
    </w:p>
    <w:p w:rsidR="001B04B2" w:rsidRPr="008A585A" w:rsidRDefault="001B04B2" w:rsidP="00A9458F">
      <w:pPr>
        <w:spacing w:after="0"/>
        <w:jc w:val="both"/>
        <w:rPr>
          <w:rFonts w:ascii="Arial" w:hAnsi="Arial" w:cs="Arial"/>
          <w:sz w:val="22"/>
          <w:szCs w:val="22"/>
        </w:rPr>
      </w:pPr>
    </w:p>
    <w:p w:rsidR="008C1B9E" w:rsidRDefault="008C1B9E" w:rsidP="00A9458F">
      <w:pPr>
        <w:spacing w:after="0"/>
        <w:jc w:val="both"/>
        <w:rPr>
          <w:rFonts w:ascii="Arial" w:hAnsi="Arial" w:cs="Arial"/>
          <w:sz w:val="22"/>
          <w:szCs w:val="22"/>
        </w:rPr>
      </w:pPr>
      <w:r w:rsidRPr="008A585A">
        <w:rPr>
          <w:rFonts w:ascii="Arial" w:hAnsi="Arial" w:cs="Arial"/>
          <w:sz w:val="22"/>
          <w:szCs w:val="22"/>
        </w:rPr>
        <w:t>Overall, environmental laws can ensure that all Australians have equal rights to a healthy environment, liveable communities and protected heritage; and ensure that businesses and government agencies have a legal responsibility to protect our environment and conserve natural resources.</w:t>
      </w:r>
    </w:p>
    <w:p w:rsidR="008C1B9E" w:rsidRDefault="008C1B9E" w:rsidP="00A9458F">
      <w:pPr>
        <w:spacing w:after="0"/>
        <w:jc w:val="both"/>
        <w:rPr>
          <w:rFonts w:ascii="Arial" w:hAnsi="Arial" w:cs="Arial"/>
          <w:sz w:val="22"/>
          <w:szCs w:val="22"/>
        </w:rPr>
      </w:pPr>
    </w:p>
    <w:p w:rsidR="00BE0B2F" w:rsidRDefault="00BE0B2F" w:rsidP="00A9458F">
      <w:pPr>
        <w:spacing w:after="0"/>
        <w:jc w:val="both"/>
        <w:rPr>
          <w:rFonts w:ascii="Arial" w:hAnsi="Arial" w:cs="Arial"/>
          <w:sz w:val="22"/>
          <w:szCs w:val="22"/>
        </w:rPr>
      </w:pPr>
      <w:r w:rsidRPr="00A9458F">
        <w:rPr>
          <w:rFonts w:ascii="Arial" w:hAnsi="Arial" w:cs="Arial"/>
          <w:sz w:val="22"/>
          <w:szCs w:val="22"/>
        </w:rPr>
        <w:t>As the only public interest environmental lawyers in Australia, access to environmental justice ultimately depends upon our continued capacity to deliver a range of specialist legal services to the community.</w:t>
      </w:r>
      <w:r w:rsidR="00AE7CE6" w:rsidRPr="00A9458F">
        <w:rPr>
          <w:rFonts w:ascii="Arial" w:hAnsi="Arial" w:cs="Arial"/>
          <w:sz w:val="22"/>
          <w:szCs w:val="22"/>
        </w:rPr>
        <w:t xml:space="preserve"> </w:t>
      </w:r>
      <w:r w:rsidRPr="00A9458F">
        <w:rPr>
          <w:rFonts w:ascii="Arial" w:hAnsi="Arial" w:cs="Arial"/>
          <w:sz w:val="22"/>
          <w:szCs w:val="22"/>
        </w:rPr>
        <w:t xml:space="preserve">This in turn requires long-term, secure funding for each of our nine offices. </w:t>
      </w:r>
    </w:p>
    <w:p w:rsidR="00A9458F" w:rsidRPr="00A9458F" w:rsidRDefault="00A9458F" w:rsidP="00A9458F">
      <w:pPr>
        <w:spacing w:after="0"/>
        <w:jc w:val="both"/>
        <w:rPr>
          <w:rFonts w:ascii="Arial" w:hAnsi="Arial" w:cs="Arial"/>
          <w:sz w:val="22"/>
          <w:szCs w:val="22"/>
        </w:rPr>
      </w:pPr>
    </w:p>
    <w:p w:rsidR="00BE0B2F" w:rsidRPr="00A9458F" w:rsidRDefault="007150D0" w:rsidP="00A9458F">
      <w:pPr>
        <w:spacing w:after="0"/>
        <w:jc w:val="both"/>
        <w:rPr>
          <w:rFonts w:ascii="Arial" w:hAnsi="Arial" w:cs="Arial"/>
          <w:sz w:val="22"/>
          <w:szCs w:val="22"/>
        </w:rPr>
      </w:pPr>
      <w:r w:rsidRPr="00A9458F">
        <w:rPr>
          <w:rFonts w:ascii="Arial" w:hAnsi="Arial" w:cs="Arial"/>
          <w:sz w:val="22"/>
          <w:szCs w:val="22"/>
        </w:rPr>
        <w:t>Each EDO office</w:t>
      </w:r>
      <w:r w:rsidR="00BE0B2F" w:rsidRPr="00A9458F">
        <w:rPr>
          <w:rFonts w:ascii="Arial" w:hAnsi="Arial" w:cs="Arial"/>
          <w:sz w:val="22"/>
          <w:szCs w:val="22"/>
        </w:rPr>
        <w:t xml:space="preserve"> provide</w:t>
      </w:r>
      <w:r w:rsidRPr="00A9458F">
        <w:rPr>
          <w:rFonts w:ascii="Arial" w:hAnsi="Arial" w:cs="Arial"/>
          <w:sz w:val="22"/>
          <w:szCs w:val="22"/>
        </w:rPr>
        <w:t>s</w:t>
      </w:r>
      <w:r w:rsidR="00BE0B2F" w:rsidRPr="00A9458F">
        <w:rPr>
          <w:rFonts w:ascii="Arial" w:hAnsi="Arial" w:cs="Arial"/>
          <w:sz w:val="22"/>
          <w:szCs w:val="22"/>
        </w:rPr>
        <w:t xml:space="preserve"> the community with </w:t>
      </w:r>
      <w:r w:rsidR="00FB4B55" w:rsidRPr="00A9458F">
        <w:rPr>
          <w:rFonts w:ascii="Arial" w:hAnsi="Arial" w:cs="Arial"/>
          <w:sz w:val="22"/>
          <w:szCs w:val="22"/>
        </w:rPr>
        <w:t xml:space="preserve">free advice and </w:t>
      </w:r>
      <w:r w:rsidRPr="00A9458F">
        <w:rPr>
          <w:rFonts w:ascii="Arial" w:hAnsi="Arial" w:cs="Arial"/>
          <w:sz w:val="22"/>
          <w:szCs w:val="22"/>
        </w:rPr>
        <w:t xml:space="preserve">representation, educational materials and outreach services. Our offices are also </w:t>
      </w:r>
      <w:r w:rsidR="00FB4B55" w:rsidRPr="00A9458F">
        <w:rPr>
          <w:rFonts w:ascii="Arial" w:hAnsi="Arial" w:cs="Arial"/>
          <w:sz w:val="22"/>
          <w:szCs w:val="22"/>
        </w:rPr>
        <w:t>committed to working with governments to improve environmental laws</w:t>
      </w:r>
      <w:r w:rsidRPr="00A9458F">
        <w:rPr>
          <w:rFonts w:ascii="Arial" w:hAnsi="Arial" w:cs="Arial"/>
          <w:sz w:val="22"/>
          <w:szCs w:val="22"/>
        </w:rPr>
        <w:t xml:space="preserve">, writing submissions in response to public inquiries and </w:t>
      </w:r>
      <w:r w:rsidR="003C2254">
        <w:rPr>
          <w:rFonts w:ascii="Arial" w:hAnsi="Arial" w:cs="Arial"/>
          <w:sz w:val="22"/>
          <w:szCs w:val="22"/>
        </w:rPr>
        <w:t>providing advice</w:t>
      </w:r>
      <w:r w:rsidR="003C2254" w:rsidRPr="00A9458F">
        <w:rPr>
          <w:rFonts w:ascii="Arial" w:hAnsi="Arial" w:cs="Arial"/>
          <w:sz w:val="22"/>
          <w:szCs w:val="22"/>
        </w:rPr>
        <w:t xml:space="preserve"> </w:t>
      </w:r>
      <w:r w:rsidRPr="00A9458F">
        <w:rPr>
          <w:rFonts w:ascii="Arial" w:hAnsi="Arial" w:cs="Arial"/>
          <w:sz w:val="22"/>
          <w:szCs w:val="22"/>
        </w:rPr>
        <w:t xml:space="preserve">on expert panels and stakeholder reference groups. </w:t>
      </w:r>
    </w:p>
    <w:p w:rsidR="00F0062B" w:rsidRDefault="00F0062B" w:rsidP="00A9458F">
      <w:pPr>
        <w:spacing w:after="0"/>
        <w:jc w:val="both"/>
        <w:rPr>
          <w:rFonts w:ascii="Arial" w:hAnsi="Arial" w:cs="Arial"/>
          <w:sz w:val="22"/>
          <w:szCs w:val="22"/>
        </w:rPr>
      </w:pPr>
    </w:p>
    <w:p w:rsidR="008758D8" w:rsidRDefault="00FB4B55" w:rsidP="00A9458F">
      <w:pPr>
        <w:spacing w:after="0"/>
        <w:jc w:val="both"/>
        <w:rPr>
          <w:rFonts w:ascii="Arial" w:hAnsi="Arial" w:cs="Arial"/>
          <w:sz w:val="22"/>
          <w:szCs w:val="22"/>
        </w:rPr>
      </w:pPr>
      <w:r w:rsidRPr="00A9458F">
        <w:rPr>
          <w:rFonts w:ascii="Arial" w:hAnsi="Arial" w:cs="Arial"/>
          <w:sz w:val="22"/>
          <w:szCs w:val="22"/>
        </w:rPr>
        <w:t>Our client</w:t>
      </w:r>
      <w:r w:rsidR="007150D0" w:rsidRPr="00A9458F">
        <w:rPr>
          <w:rFonts w:ascii="Arial" w:hAnsi="Arial" w:cs="Arial"/>
          <w:sz w:val="22"/>
          <w:szCs w:val="22"/>
        </w:rPr>
        <w:t xml:space="preserve"> base is diverse and</w:t>
      </w:r>
      <w:r w:rsidRPr="00A9458F">
        <w:rPr>
          <w:rFonts w:ascii="Arial" w:hAnsi="Arial" w:cs="Arial"/>
          <w:sz w:val="22"/>
          <w:szCs w:val="22"/>
        </w:rPr>
        <w:t xml:space="preserve"> include</w:t>
      </w:r>
      <w:r w:rsidR="007150D0" w:rsidRPr="00A9458F">
        <w:rPr>
          <w:rFonts w:ascii="Arial" w:hAnsi="Arial" w:cs="Arial"/>
          <w:sz w:val="22"/>
          <w:szCs w:val="22"/>
        </w:rPr>
        <w:t>s</w:t>
      </w:r>
      <w:r w:rsidRPr="00A9458F">
        <w:rPr>
          <w:rFonts w:ascii="Arial" w:hAnsi="Arial" w:cs="Arial"/>
          <w:sz w:val="22"/>
          <w:szCs w:val="22"/>
        </w:rPr>
        <w:t xml:space="preserve"> residents’ groups, farmers, Aboriginal elders</w:t>
      </w:r>
      <w:r w:rsidR="008758D8" w:rsidRPr="00A9458F">
        <w:rPr>
          <w:rFonts w:ascii="Arial" w:hAnsi="Arial" w:cs="Arial"/>
          <w:sz w:val="22"/>
          <w:szCs w:val="22"/>
        </w:rPr>
        <w:t xml:space="preserve">, conservation groups and concerned individuals. </w:t>
      </w:r>
      <w:r w:rsidR="00AE7CE6" w:rsidRPr="00A9458F">
        <w:rPr>
          <w:rFonts w:ascii="Arial" w:hAnsi="Arial" w:cs="Arial"/>
          <w:sz w:val="22"/>
          <w:szCs w:val="22"/>
        </w:rPr>
        <w:t>Unlike proponent-developers (who are typically well resourced), m</w:t>
      </w:r>
      <w:r w:rsidR="008758D8" w:rsidRPr="00A9458F">
        <w:rPr>
          <w:rFonts w:ascii="Arial" w:hAnsi="Arial" w:cs="Arial"/>
          <w:sz w:val="22"/>
          <w:szCs w:val="22"/>
        </w:rPr>
        <w:t>any of our clients lack the means to</w:t>
      </w:r>
      <w:r w:rsidR="007150D0" w:rsidRPr="00A9458F">
        <w:rPr>
          <w:rFonts w:ascii="Arial" w:hAnsi="Arial" w:cs="Arial"/>
          <w:sz w:val="22"/>
          <w:szCs w:val="22"/>
        </w:rPr>
        <w:t xml:space="preserve"> hire a private solicitor,</w:t>
      </w:r>
      <w:r w:rsidR="003C2254">
        <w:rPr>
          <w:rFonts w:ascii="Arial" w:hAnsi="Arial" w:cs="Arial"/>
          <w:sz w:val="22"/>
          <w:szCs w:val="22"/>
        </w:rPr>
        <w:t xml:space="preserve"> and lack an understanding of or experience with the legal system;</w:t>
      </w:r>
      <w:r w:rsidR="008758D8" w:rsidRPr="00A9458F">
        <w:rPr>
          <w:rFonts w:ascii="Arial" w:hAnsi="Arial" w:cs="Arial"/>
          <w:sz w:val="22"/>
          <w:szCs w:val="22"/>
        </w:rPr>
        <w:t xml:space="preserve"> depending entirely on our services </w:t>
      </w:r>
      <w:r w:rsidR="000D7D34" w:rsidRPr="00A9458F">
        <w:rPr>
          <w:rFonts w:ascii="Arial" w:hAnsi="Arial" w:cs="Arial"/>
          <w:sz w:val="22"/>
          <w:szCs w:val="22"/>
        </w:rPr>
        <w:t xml:space="preserve">for advice and where necessary, access to courts and tribunals. </w:t>
      </w:r>
    </w:p>
    <w:p w:rsidR="00A9458F" w:rsidRPr="00A9458F" w:rsidRDefault="00A9458F" w:rsidP="00A9458F">
      <w:pPr>
        <w:spacing w:after="0"/>
        <w:jc w:val="both"/>
        <w:rPr>
          <w:rFonts w:ascii="Arial" w:hAnsi="Arial" w:cs="Arial"/>
          <w:sz w:val="22"/>
          <w:szCs w:val="22"/>
        </w:rPr>
      </w:pPr>
    </w:p>
    <w:p w:rsidR="002E5A16" w:rsidRDefault="000D7D34" w:rsidP="00A9458F">
      <w:pPr>
        <w:spacing w:after="0"/>
        <w:jc w:val="both"/>
        <w:rPr>
          <w:rFonts w:ascii="Arial" w:hAnsi="Arial" w:cs="Arial"/>
          <w:sz w:val="22"/>
          <w:szCs w:val="22"/>
        </w:rPr>
      </w:pPr>
      <w:r w:rsidRPr="00A9458F">
        <w:rPr>
          <w:rFonts w:ascii="Arial" w:hAnsi="Arial" w:cs="Arial"/>
          <w:sz w:val="22"/>
          <w:szCs w:val="22"/>
        </w:rPr>
        <w:t>Indeed, high</w:t>
      </w:r>
      <w:r w:rsidR="008758D8" w:rsidRPr="00A9458F">
        <w:rPr>
          <w:rFonts w:ascii="Arial" w:hAnsi="Arial" w:cs="Arial"/>
          <w:sz w:val="22"/>
          <w:szCs w:val="22"/>
        </w:rPr>
        <w:t xml:space="preserve"> </w:t>
      </w:r>
      <w:r w:rsidR="00FB4B55" w:rsidRPr="00A9458F">
        <w:rPr>
          <w:rFonts w:ascii="Arial" w:hAnsi="Arial" w:cs="Arial"/>
          <w:sz w:val="22"/>
          <w:szCs w:val="22"/>
        </w:rPr>
        <w:t xml:space="preserve">demand for our services </w:t>
      </w:r>
      <w:r w:rsidR="00B712EE" w:rsidRPr="00A9458F">
        <w:rPr>
          <w:rFonts w:ascii="Arial" w:hAnsi="Arial" w:cs="Arial"/>
          <w:sz w:val="22"/>
          <w:szCs w:val="22"/>
        </w:rPr>
        <w:t>across</w:t>
      </w:r>
      <w:r w:rsidR="00FD31B9" w:rsidRPr="00A9458F">
        <w:rPr>
          <w:rFonts w:ascii="Arial" w:hAnsi="Arial" w:cs="Arial"/>
          <w:sz w:val="22"/>
          <w:szCs w:val="22"/>
        </w:rPr>
        <w:t xml:space="preserve"> urban and regional Australia</w:t>
      </w:r>
      <w:r w:rsidR="00FB4B55" w:rsidRPr="00A9458F">
        <w:rPr>
          <w:rFonts w:ascii="Arial" w:hAnsi="Arial" w:cs="Arial"/>
          <w:sz w:val="22"/>
          <w:szCs w:val="22"/>
        </w:rPr>
        <w:t xml:space="preserve"> highlights </w:t>
      </w:r>
      <w:r w:rsidR="00890216" w:rsidRPr="00A9458F">
        <w:rPr>
          <w:rFonts w:ascii="Arial" w:hAnsi="Arial" w:cs="Arial"/>
          <w:sz w:val="22"/>
          <w:szCs w:val="22"/>
        </w:rPr>
        <w:t xml:space="preserve">the importance and relevance of our work. </w:t>
      </w:r>
      <w:r w:rsidR="007150D0" w:rsidRPr="00A9458F">
        <w:rPr>
          <w:rFonts w:ascii="Arial" w:hAnsi="Arial" w:cs="Arial"/>
          <w:sz w:val="22"/>
          <w:szCs w:val="22"/>
        </w:rPr>
        <w:t>For example,</w:t>
      </w:r>
      <w:r w:rsidR="00057785" w:rsidRPr="00A9458F">
        <w:rPr>
          <w:rFonts w:ascii="Arial" w:hAnsi="Arial" w:cs="Arial"/>
          <w:sz w:val="22"/>
          <w:szCs w:val="22"/>
        </w:rPr>
        <w:t xml:space="preserve"> in 2012-13, EDO NSW provided 1200 free initial telephone advices and over 190 detailed written advices about environment and planning law matters</w:t>
      </w:r>
      <w:r w:rsidR="002E5A16" w:rsidRPr="00A9458F">
        <w:rPr>
          <w:rFonts w:ascii="Arial" w:hAnsi="Arial" w:cs="Arial"/>
          <w:sz w:val="22"/>
          <w:szCs w:val="22"/>
        </w:rPr>
        <w:t xml:space="preserve">. </w:t>
      </w:r>
      <w:r w:rsidR="00FD31B9" w:rsidRPr="00A9458F">
        <w:rPr>
          <w:rFonts w:ascii="Arial" w:hAnsi="Arial" w:cs="Arial"/>
          <w:sz w:val="22"/>
          <w:szCs w:val="22"/>
        </w:rPr>
        <w:t>Simi</w:t>
      </w:r>
      <w:r w:rsidR="004F7B92">
        <w:rPr>
          <w:rFonts w:ascii="Arial" w:hAnsi="Arial" w:cs="Arial"/>
          <w:sz w:val="22"/>
          <w:szCs w:val="22"/>
        </w:rPr>
        <w:t>larly, EDO Victoria provided 249</w:t>
      </w:r>
      <w:r w:rsidR="00FD31B9" w:rsidRPr="00A9458F">
        <w:rPr>
          <w:rFonts w:ascii="Arial" w:hAnsi="Arial" w:cs="Arial"/>
          <w:sz w:val="22"/>
          <w:szCs w:val="22"/>
        </w:rPr>
        <w:t xml:space="preserve"> advices (telephone and written) over the same period. </w:t>
      </w:r>
    </w:p>
    <w:p w:rsidR="00A9458F" w:rsidRPr="00A9458F" w:rsidRDefault="00A9458F" w:rsidP="00A9458F">
      <w:pPr>
        <w:spacing w:after="0"/>
        <w:jc w:val="both"/>
        <w:rPr>
          <w:rFonts w:ascii="Arial" w:hAnsi="Arial" w:cs="Arial"/>
          <w:sz w:val="22"/>
          <w:szCs w:val="22"/>
        </w:rPr>
      </w:pPr>
    </w:p>
    <w:p w:rsidR="00890216" w:rsidRDefault="00431225" w:rsidP="00A9458F">
      <w:pPr>
        <w:spacing w:after="0"/>
        <w:jc w:val="both"/>
        <w:rPr>
          <w:rFonts w:ascii="Arial" w:hAnsi="Arial" w:cs="Arial"/>
          <w:sz w:val="22"/>
          <w:szCs w:val="22"/>
        </w:rPr>
      </w:pPr>
      <w:r w:rsidRPr="00A9458F">
        <w:rPr>
          <w:rFonts w:ascii="Arial" w:hAnsi="Arial" w:cs="Arial"/>
          <w:sz w:val="22"/>
          <w:szCs w:val="22"/>
        </w:rPr>
        <w:t xml:space="preserve">This demand is further reflected in our outreach work, with EDO offices delivering a significant number of </w:t>
      </w:r>
      <w:r w:rsidR="005B2B9E" w:rsidRPr="00A9458F">
        <w:rPr>
          <w:rFonts w:ascii="Arial" w:hAnsi="Arial" w:cs="Arial"/>
          <w:sz w:val="22"/>
          <w:szCs w:val="22"/>
        </w:rPr>
        <w:t>workshops and</w:t>
      </w:r>
      <w:r w:rsidR="00890216" w:rsidRPr="00A9458F">
        <w:rPr>
          <w:rFonts w:ascii="Arial" w:hAnsi="Arial" w:cs="Arial"/>
          <w:sz w:val="22"/>
          <w:szCs w:val="22"/>
        </w:rPr>
        <w:t xml:space="preserve"> seminars </w:t>
      </w:r>
      <w:r w:rsidR="00B712EE" w:rsidRPr="00A9458F">
        <w:rPr>
          <w:rFonts w:ascii="Arial" w:hAnsi="Arial" w:cs="Arial"/>
          <w:sz w:val="22"/>
          <w:szCs w:val="22"/>
        </w:rPr>
        <w:t>across</w:t>
      </w:r>
      <w:r w:rsidRPr="00A9458F">
        <w:rPr>
          <w:rFonts w:ascii="Arial" w:hAnsi="Arial" w:cs="Arial"/>
          <w:sz w:val="22"/>
          <w:szCs w:val="22"/>
        </w:rPr>
        <w:t xml:space="preserve"> Australia</w:t>
      </w:r>
      <w:r w:rsidR="00890216" w:rsidRPr="00A9458F">
        <w:rPr>
          <w:rFonts w:ascii="Arial" w:hAnsi="Arial" w:cs="Arial"/>
          <w:sz w:val="22"/>
          <w:szCs w:val="22"/>
        </w:rPr>
        <w:t xml:space="preserve"> about </w:t>
      </w:r>
      <w:r w:rsidR="007053C6" w:rsidRPr="00A9458F">
        <w:rPr>
          <w:rFonts w:ascii="Arial" w:hAnsi="Arial" w:cs="Arial"/>
          <w:sz w:val="22"/>
          <w:szCs w:val="22"/>
        </w:rPr>
        <w:t xml:space="preserve">specific </w:t>
      </w:r>
      <w:r w:rsidR="00890216" w:rsidRPr="00A9458F">
        <w:rPr>
          <w:rFonts w:ascii="Arial" w:hAnsi="Arial" w:cs="Arial"/>
          <w:sz w:val="22"/>
          <w:szCs w:val="22"/>
        </w:rPr>
        <w:t xml:space="preserve">areas of environmental </w:t>
      </w:r>
      <w:r w:rsidR="002E5A16" w:rsidRPr="00A9458F">
        <w:rPr>
          <w:rFonts w:ascii="Arial" w:hAnsi="Arial" w:cs="Arial"/>
          <w:sz w:val="22"/>
          <w:szCs w:val="22"/>
        </w:rPr>
        <w:t>law,</w:t>
      </w:r>
      <w:r w:rsidR="00890216" w:rsidRPr="00A9458F">
        <w:rPr>
          <w:rFonts w:ascii="Arial" w:hAnsi="Arial" w:cs="Arial"/>
          <w:sz w:val="22"/>
          <w:szCs w:val="22"/>
        </w:rPr>
        <w:t xml:space="preserve"> including native vegetation,</w:t>
      </w:r>
      <w:r w:rsidR="002E5A16" w:rsidRPr="00A9458F">
        <w:rPr>
          <w:rFonts w:ascii="Arial" w:hAnsi="Arial" w:cs="Arial"/>
          <w:sz w:val="22"/>
          <w:szCs w:val="22"/>
        </w:rPr>
        <w:t xml:space="preserve"> marine parks, contaminated land,</w:t>
      </w:r>
      <w:r w:rsidR="00890216" w:rsidRPr="00A9458F">
        <w:rPr>
          <w:rFonts w:ascii="Arial" w:hAnsi="Arial" w:cs="Arial"/>
          <w:sz w:val="22"/>
          <w:szCs w:val="22"/>
        </w:rPr>
        <w:t xml:space="preserve"> water management, planning law, mining, agricultural land</w:t>
      </w:r>
      <w:r w:rsidR="002E5A16" w:rsidRPr="00A9458F">
        <w:rPr>
          <w:rFonts w:ascii="Arial" w:hAnsi="Arial" w:cs="Arial"/>
          <w:sz w:val="22"/>
          <w:szCs w:val="22"/>
        </w:rPr>
        <w:t xml:space="preserve">, </w:t>
      </w:r>
      <w:r w:rsidR="00890216" w:rsidRPr="00A9458F">
        <w:rPr>
          <w:rFonts w:ascii="Arial" w:hAnsi="Arial" w:cs="Arial"/>
          <w:sz w:val="22"/>
          <w:szCs w:val="22"/>
        </w:rPr>
        <w:t>and Aboriginal cultural heritage.</w:t>
      </w:r>
      <w:r w:rsidRPr="00A9458F">
        <w:rPr>
          <w:rFonts w:ascii="Arial" w:hAnsi="Arial" w:cs="Arial"/>
          <w:sz w:val="22"/>
          <w:szCs w:val="22"/>
        </w:rPr>
        <w:t xml:space="preserve"> </w:t>
      </w:r>
    </w:p>
    <w:p w:rsidR="00A9458F" w:rsidRPr="00A9458F" w:rsidRDefault="00A9458F" w:rsidP="00A9458F">
      <w:pPr>
        <w:spacing w:after="0"/>
        <w:jc w:val="both"/>
        <w:rPr>
          <w:rFonts w:ascii="Arial" w:hAnsi="Arial" w:cs="Arial"/>
          <w:sz w:val="22"/>
          <w:szCs w:val="22"/>
        </w:rPr>
      </w:pPr>
    </w:p>
    <w:p w:rsidR="00D84361" w:rsidRDefault="00B0095D" w:rsidP="00D84361">
      <w:pPr>
        <w:spacing w:after="0"/>
        <w:jc w:val="both"/>
        <w:rPr>
          <w:rFonts w:ascii="Arial" w:hAnsi="Arial" w:cs="Arial"/>
          <w:sz w:val="22"/>
          <w:szCs w:val="22"/>
        </w:rPr>
      </w:pPr>
      <w:r w:rsidRPr="00A9458F">
        <w:rPr>
          <w:rFonts w:ascii="Arial" w:hAnsi="Arial" w:cs="Arial"/>
          <w:sz w:val="22"/>
          <w:szCs w:val="22"/>
        </w:rPr>
        <w:t>Our casework services</w:t>
      </w:r>
      <w:r w:rsidR="00431225" w:rsidRPr="00A9458F">
        <w:rPr>
          <w:rFonts w:ascii="Arial" w:hAnsi="Arial" w:cs="Arial"/>
          <w:sz w:val="22"/>
          <w:szCs w:val="22"/>
        </w:rPr>
        <w:t xml:space="preserve"> </w:t>
      </w:r>
      <w:r w:rsidR="00B712EE" w:rsidRPr="00A9458F">
        <w:rPr>
          <w:rFonts w:ascii="Arial" w:hAnsi="Arial" w:cs="Arial"/>
          <w:sz w:val="22"/>
          <w:szCs w:val="22"/>
        </w:rPr>
        <w:t>also</w:t>
      </w:r>
      <w:r w:rsidRPr="00A9458F">
        <w:rPr>
          <w:rFonts w:ascii="Arial" w:hAnsi="Arial" w:cs="Arial"/>
          <w:sz w:val="22"/>
          <w:szCs w:val="22"/>
        </w:rPr>
        <w:t xml:space="preserve"> provide the community with an opportunity to enforce the law and to protect areas of environmental</w:t>
      </w:r>
      <w:r w:rsidR="00612509" w:rsidRPr="00A9458F">
        <w:rPr>
          <w:rFonts w:ascii="Arial" w:hAnsi="Arial" w:cs="Arial"/>
          <w:sz w:val="22"/>
          <w:szCs w:val="22"/>
        </w:rPr>
        <w:t xml:space="preserve"> and agricultural</w:t>
      </w:r>
      <w:r w:rsidRPr="00A9458F">
        <w:rPr>
          <w:rFonts w:ascii="Arial" w:hAnsi="Arial" w:cs="Arial"/>
          <w:sz w:val="22"/>
          <w:szCs w:val="22"/>
        </w:rPr>
        <w:t xml:space="preserve"> significance. All of our cases are carefully chosen after seeking additional advice from counsel regarding prospects, and are recognised for their contribution to public interest environmental jurisprudence at a Federal, State and Territory level. </w:t>
      </w:r>
    </w:p>
    <w:p w:rsidR="00D84361" w:rsidRDefault="00D84361" w:rsidP="00D84361">
      <w:pPr>
        <w:spacing w:after="0"/>
        <w:jc w:val="both"/>
        <w:rPr>
          <w:rFonts w:ascii="Arial" w:hAnsi="Arial" w:cs="Arial"/>
          <w:sz w:val="22"/>
          <w:szCs w:val="22"/>
        </w:rPr>
      </w:pPr>
    </w:p>
    <w:p w:rsidR="006646F3" w:rsidRDefault="00F0062B" w:rsidP="00D84361">
      <w:pPr>
        <w:spacing w:after="0"/>
        <w:jc w:val="both"/>
        <w:rPr>
          <w:rFonts w:ascii="Arial" w:hAnsi="Arial" w:cs="Arial"/>
          <w:sz w:val="22"/>
          <w:szCs w:val="22"/>
        </w:rPr>
      </w:pPr>
      <w:r>
        <w:rPr>
          <w:rFonts w:ascii="Arial" w:hAnsi="Arial" w:cs="Arial"/>
          <w:sz w:val="22"/>
          <w:szCs w:val="22"/>
        </w:rPr>
        <w:t xml:space="preserve">By way of extension, it is </w:t>
      </w:r>
      <w:r w:rsidR="00D84361">
        <w:rPr>
          <w:rFonts w:ascii="Arial" w:hAnsi="Arial" w:cs="Arial"/>
          <w:sz w:val="22"/>
          <w:szCs w:val="22"/>
        </w:rPr>
        <w:t>widely recognised that EDO offices contribute to the overall efficiency of</w:t>
      </w:r>
      <w:r>
        <w:rPr>
          <w:rFonts w:ascii="Arial" w:hAnsi="Arial" w:cs="Arial"/>
          <w:sz w:val="22"/>
          <w:szCs w:val="22"/>
        </w:rPr>
        <w:t xml:space="preserve"> the court system</w:t>
      </w:r>
      <w:r w:rsidR="00D84361">
        <w:rPr>
          <w:rFonts w:ascii="Arial" w:hAnsi="Arial" w:cs="Arial"/>
          <w:sz w:val="22"/>
          <w:szCs w:val="22"/>
        </w:rPr>
        <w:t xml:space="preserve"> by </w:t>
      </w:r>
      <w:r>
        <w:rPr>
          <w:rFonts w:ascii="Arial" w:hAnsi="Arial" w:cs="Arial"/>
          <w:sz w:val="22"/>
          <w:szCs w:val="22"/>
        </w:rPr>
        <w:t>only litigating in exceptional circumstances, and by managing what are often complex matters in a highly professional manner. An   important part of this process is counselling the vast majority of our clients against litigatio</w:t>
      </w:r>
      <w:r w:rsidR="006646F3">
        <w:rPr>
          <w:rFonts w:ascii="Arial" w:hAnsi="Arial" w:cs="Arial"/>
          <w:sz w:val="22"/>
          <w:szCs w:val="22"/>
        </w:rPr>
        <w:t xml:space="preserve">n, thereby reducing court lists and the overall cost to the community of litigation.  </w:t>
      </w:r>
    </w:p>
    <w:p w:rsidR="006646F3" w:rsidRDefault="006646F3" w:rsidP="00D84361">
      <w:pPr>
        <w:spacing w:after="0"/>
        <w:jc w:val="both"/>
        <w:rPr>
          <w:rFonts w:ascii="Arial" w:hAnsi="Arial" w:cs="Arial"/>
          <w:sz w:val="22"/>
          <w:szCs w:val="22"/>
        </w:rPr>
      </w:pPr>
    </w:p>
    <w:p w:rsidR="003C0B84" w:rsidRDefault="006646F3" w:rsidP="00D84361">
      <w:pPr>
        <w:spacing w:after="0"/>
        <w:jc w:val="both"/>
        <w:rPr>
          <w:rFonts w:ascii="Arial" w:hAnsi="Arial" w:cs="Arial"/>
          <w:sz w:val="22"/>
          <w:szCs w:val="22"/>
        </w:rPr>
      </w:pPr>
      <w:r>
        <w:rPr>
          <w:rFonts w:ascii="Arial" w:hAnsi="Arial" w:cs="Arial"/>
          <w:sz w:val="22"/>
          <w:szCs w:val="22"/>
        </w:rPr>
        <w:t xml:space="preserve">In a 2010 paper entitled ‘Unrepresented Litigants in the Land and Environment Court of New </w:t>
      </w:r>
      <w:r w:rsidR="00B6796E">
        <w:rPr>
          <w:rFonts w:ascii="Arial" w:hAnsi="Arial" w:cs="Arial"/>
          <w:sz w:val="22"/>
          <w:szCs w:val="22"/>
        </w:rPr>
        <w:t>South Wales’,</w:t>
      </w:r>
      <w:r w:rsidR="003C0B84">
        <w:rPr>
          <w:rStyle w:val="EndnoteReference"/>
          <w:rFonts w:ascii="Arial" w:hAnsi="Arial" w:cs="Arial"/>
          <w:sz w:val="22"/>
          <w:szCs w:val="22"/>
        </w:rPr>
        <w:endnoteReference w:id="2"/>
      </w:r>
      <w:r w:rsidR="003C0B84">
        <w:rPr>
          <w:rFonts w:ascii="Arial" w:hAnsi="Arial" w:cs="Arial"/>
          <w:sz w:val="22"/>
          <w:szCs w:val="22"/>
        </w:rPr>
        <w:t xml:space="preserve"> Neil Williams SC reinforced this point, stating:    </w:t>
      </w:r>
    </w:p>
    <w:p w:rsidR="003C0B84" w:rsidRDefault="003C0B84" w:rsidP="00D84361">
      <w:pPr>
        <w:spacing w:after="0"/>
        <w:jc w:val="both"/>
        <w:rPr>
          <w:rFonts w:ascii="Arial" w:hAnsi="Arial" w:cs="Arial"/>
          <w:sz w:val="22"/>
          <w:szCs w:val="22"/>
        </w:rPr>
      </w:pPr>
    </w:p>
    <w:p w:rsidR="003C0B84" w:rsidRPr="00A81B7D" w:rsidRDefault="003C0B84" w:rsidP="006646F3">
      <w:pPr>
        <w:spacing w:after="0"/>
        <w:ind w:left="720"/>
        <w:jc w:val="both"/>
        <w:rPr>
          <w:rFonts w:ascii="Arial" w:hAnsi="Arial" w:cs="Arial"/>
          <w:i/>
          <w:sz w:val="20"/>
          <w:szCs w:val="20"/>
        </w:rPr>
      </w:pPr>
      <w:r w:rsidRPr="00A81B7D">
        <w:rPr>
          <w:rFonts w:ascii="Arial" w:hAnsi="Arial" w:cs="Arial"/>
          <w:i/>
          <w:sz w:val="20"/>
          <w:szCs w:val="20"/>
        </w:rPr>
        <w:t>I do not have the necessary information to undertake a costing, but on any view, if the New South Wales Government were to substantially increase the funding of the Environmental Defender’s Office, while at the same time sponsoring an amendment to s 63 of the [Land and Environment Court] Act to remove the agent’s right to appearance, compliance with environmental law would be improved (through identification of issues by practitioners with the necessary training and skills to pick a good point from a bad one), and the costs saving to the community would be enormous.</w:t>
      </w:r>
    </w:p>
    <w:p w:rsidR="003C0B84" w:rsidRPr="00A81B7D" w:rsidRDefault="003C0B84" w:rsidP="006646F3">
      <w:pPr>
        <w:spacing w:after="0"/>
        <w:ind w:left="720"/>
        <w:jc w:val="both"/>
        <w:rPr>
          <w:rFonts w:ascii="Arial" w:hAnsi="Arial" w:cs="Arial"/>
          <w:i/>
          <w:sz w:val="20"/>
          <w:szCs w:val="20"/>
        </w:rPr>
      </w:pPr>
    </w:p>
    <w:p w:rsidR="003C0B84" w:rsidRPr="00A81B7D" w:rsidRDefault="003C0B84" w:rsidP="006646F3">
      <w:pPr>
        <w:spacing w:after="0"/>
        <w:ind w:left="720"/>
        <w:jc w:val="both"/>
        <w:rPr>
          <w:rFonts w:ascii="Arial" w:hAnsi="Arial" w:cs="Arial"/>
          <w:i/>
          <w:sz w:val="20"/>
          <w:szCs w:val="20"/>
        </w:rPr>
      </w:pPr>
      <w:r w:rsidRPr="00A81B7D">
        <w:rPr>
          <w:rFonts w:ascii="Arial" w:hAnsi="Arial" w:cs="Arial"/>
          <w:i/>
          <w:sz w:val="20"/>
          <w:szCs w:val="20"/>
        </w:rPr>
        <w:t xml:space="preserve">No doubt some would characterise this as a lawyer’s grab for more work, but such a characterisation is misconceived. The capacity of an agent to appear presently generates a very substantial amount of work in terms of numbers of days in Court, and volume of (otherwise unnecessary) preparation undertaken to deal with unmeritorious points that a skilled practitioner simply would not run. The EDO, conversely, conducts very lean, time-efficient cases which it prepares on a shoestring. It is reasonably obvious which is more effective.    </w:t>
      </w:r>
    </w:p>
    <w:p w:rsidR="003C0B84" w:rsidRDefault="003C0B84" w:rsidP="00A9458F">
      <w:pPr>
        <w:spacing w:after="0"/>
        <w:jc w:val="both"/>
        <w:rPr>
          <w:rFonts w:ascii="Arial" w:hAnsi="Arial" w:cs="Arial"/>
          <w:sz w:val="22"/>
          <w:szCs w:val="22"/>
        </w:rPr>
      </w:pPr>
    </w:p>
    <w:p w:rsidR="003C0B84" w:rsidRDefault="003C0B84" w:rsidP="00A9458F">
      <w:pPr>
        <w:spacing w:after="0"/>
        <w:jc w:val="both"/>
        <w:rPr>
          <w:rFonts w:ascii="Arial" w:hAnsi="Arial" w:cs="Arial"/>
          <w:sz w:val="22"/>
          <w:szCs w:val="22"/>
        </w:rPr>
      </w:pPr>
      <w:r>
        <w:rPr>
          <w:rFonts w:ascii="Arial" w:hAnsi="Arial" w:cs="Arial"/>
          <w:sz w:val="22"/>
          <w:szCs w:val="22"/>
        </w:rPr>
        <w:t xml:space="preserve">The following cases provide some insight into the scope and nature of our casework, in particular the manner in which we assist members of the community to preserve their local environment. </w:t>
      </w:r>
    </w:p>
    <w:p w:rsidR="003C0B84" w:rsidRPr="00A9458F" w:rsidRDefault="003C0B84" w:rsidP="00A9458F">
      <w:pPr>
        <w:spacing w:after="0"/>
        <w:jc w:val="both"/>
        <w:rPr>
          <w:rFonts w:ascii="Arial" w:hAnsi="Arial" w:cs="Arial"/>
          <w:sz w:val="22"/>
          <w:szCs w:val="22"/>
        </w:rPr>
      </w:pPr>
    </w:p>
    <w:tbl>
      <w:tblPr>
        <w:tblStyle w:val="TableGrid"/>
        <w:tblW w:w="0" w:type="auto"/>
        <w:tblLook w:val="04A0" w:firstRow="1" w:lastRow="0" w:firstColumn="1" w:lastColumn="0" w:noHBand="0" w:noVBand="1"/>
      </w:tblPr>
      <w:tblGrid>
        <w:gridCol w:w="8886"/>
      </w:tblGrid>
      <w:tr w:rsidR="003C0B84" w:rsidRPr="00A9458F" w:rsidTr="005E05BD">
        <w:tc>
          <w:tcPr>
            <w:tcW w:w="8886" w:type="dxa"/>
          </w:tcPr>
          <w:p w:rsidR="003C0B84" w:rsidRPr="00A9458F" w:rsidRDefault="003C0B84" w:rsidP="00A9458F">
            <w:pPr>
              <w:spacing w:after="0"/>
              <w:jc w:val="both"/>
              <w:rPr>
                <w:rFonts w:ascii="Arial" w:hAnsi="Arial" w:cs="Arial"/>
                <w:sz w:val="22"/>
                <w:szCs w:val="22"/>
              </w:rPr>
            </w:pPr>
          </w:p>
          <w:p w:rsidR="003C0B84" w:rsidRDefault="00A81B7D" w:rsidP="00A9458F">
            <w:pPr>
              <w:spacing w:after="0"/>
              <w:jc w:val="both"/>
              <w:rPr>
                <w:rFonts w:ascii="Arial" w:hAnsi="Arial" w:cs="Arial"/>
                <w:b/>
                <w:sz w:val="22"/>
                <w:szCs w:val="22"/>
              </w:rPr>
            </w:pPr>
            <w:r>
              <w:rPr>
                <w:rFonts w:ascii="Arial" w:hAnsi="Arial" w:cs="Arial"/>
                <w:b/>
                <w:sz w:val="22"/>
                <w:szCs w:val="22"/>
              </w:rPr>
              <w:t xml:space="preserve">Case study: </w:t>
            </w:r>
            <w:r w:rsidR="003C0B84" w:rsidRPr="00A9458F">
              <w:rPr>
                <w:rFonts w:ascii="Arial" w:hAnsi="Arial" w:cs="Arial"/>
                <w:b/>
                <w:sz w:val="22"/>
                <w:szCs w:val="22"/>
              </w:rPr>
              <w:t>EDO Tasmania</w:t>
            </w:r>
            <w:r>
              <w:rPr>
                <w:rFonts w:ascii="Arial" w:hAnsi="Arial" w:cs="Arial"/>
                <w:b/>
                <w:sz w:val="22"/>
                <w:szCs w:val="22"/>
              </w:rPr>
              <w:t xml:space="preserve"> –</w:t>
            </w:r>
            <w:r w:rsidR="003C0B84" w:rsidRPr="00A9458F">
              <w:rPr>
                <w:rFonts w:ascii="Arial" w:hAnsi="Arial" w:cs="Arial"/>
                <w:b/>
                <w:sz w:val="22"/>
                <w:szCs w:val="22"/>
              </w:rPr>
              <w:t xml:space="preserve"> preventing loss of agricultural land</w:t>
            </w:r>
            <w:r w:rsidR="003C0B84" w:rsidRPr="00A9458F">
              <w:rPr>
                <w:rStyle w:val="EndnoteReference"/>
                <w:rFonts w:ascii="Arial" w:hAnsi="Arial" w:cs="Arial"/>
                <w:sz w:val="22"/>
                <w:szCs w:val="22"/>
              </w:rPr>
              <w:endnoteReference w:id="3"/>
            </w:r>
            <w:r w:rsidR="003C0B84" w:rsidRPr="00A9458F">
              <w:rPr>
                <w:rFonts w:ascii="Arial" w:hAnsi="Arial" w:cs="Arial"/>
                <w:b/>
                <w:sz w:val="22"/>
                <w:szCs w:val="22"/>
              </w:rPr>
              <w:t xml:space="preserve"> </w:t>
            </w:r>
          </w:p>
          <w:p w:rsidR="003C0B84" w:rsidRPr="00A9458F" w:rsidRDefault="003C0B84" w:rsidP="00A9458F">
            <w:pPr>
              <w:spacing w:after="0"/>
              <w:jc w:val="both"/>
              <w:rPr>
                <w:rFonts w:ascii="Arial" w:hAnsi="Arial" w:cs="Arial"/>
                <w:b/>
                <w:sz w:val="22"/>
                <w:szCs w:val="22"/>
              </w:rPr>
            </w:pPr>
          </w:p>
          <w:p w:rsidR="003C0B84" w:rsidRDefault="003C0B84" w:rsidP="00A9458F">
            <w:pPr>
              <w:spacing w:after="0"/>
              <w:jc w:val="both"/>
              <w:rPr>
                <w:rFonts w:ascii="Arial" w:hAnsi="Arial" w:cs="Arial"/>
                <w:sz w:val="22"/>
                <w:szCs w:val="22"/>
              </w:rPr>
            </w:pPr>
            <w:r w:rsidRPr="00A9458F">
              <w:rPr>
                <w:rFonts w:ascii="Arial" w:hAnsi="Arial" w:cs="Arial"/>
                <w:sz w:val="22"/>
                <w:szCs w:val="22"/>
              </w:rPr>
              <w:t xml:space="preserve">EDO Tasmania represented a local resident in rural northwest Tasmania who had objected to proposed amendments to the Devonport and Latrobe Planning Schemes to rezone approximately 134 hectares of agricultural land to create an industrial estate.  </w:t>
            </w:r>
          </w:p>
          <w:p w:rsidR="003C0B84" w:rsidRDefault="003C0B84" w:rsidP="00A9458F">
            <w:pPr>
              <w:spacing w:after="0"/>
              <w:jc w:val="both"/>
              <w:rPr>
                <w:rFonts w:ascii="Arial" w:hAnsi="Arial" w:cs="Arial"/>
                <w:sz w:val="22"/>
                <w:szCs w:val="22"/>
              </w:rPr>
            </w:pPr>
          </w:p>
          <w:p w:rsidR="003C0B84" w:rsidRDefault="003C0B84" w:rsidP="00A9458F">
            <w:pPr>
              <w:spacing w:after="0"/>
              <w:jc w:val="both"/>
              <w:rPr>
                <w:rFonts w:ascii="Arial" w:hAnsi="Arial" w:cs="Arial"/>
                <w:sz w:val="22"/>
                <w:szCs w:val="22"/>
              </w:rPr>
            </w:pPr>
            <w:r w:rsidRPr="00A9458F">
              <w:rPr>
                <w:rFonts w:ascii="Arial" w:hAnsi="Arial" w:cs="Arial"/>
                <w:sz w:val="22"/>
                <w:szCs w:val="22"/>
              </w:rPr>
              <w:t>The resident was concerned that allowing an industrial estate on low-lying land ignored the risks of rising sea levels, and would lead to an unacceptable loss of viable agricultural land in the area</w:t>
            </w:r>
            <w:r w:rsidR="00A81B7D">
              <w:rPr>
                <w:rFonts w:ascii="Arial" w:hAnsi="Arial" w:cs="Arial"/>
                <w:sz w:val="22"/>
                <w:szCs w:val="22"/>
              </w:rPr>
              <w:t>.</w:t>
            </w:r>
          </w:p>
          <w:p w:rsidR="003C0B84" w:rsidRPr="00A9458F" w:rsidRDefault="003C0B84" w:rsidP="00A9458F">
            <w:pPr>
              <w:spacing w:after="0"/>
              <w:jc w:val="both"/>
              <w:rPr>
                <w:rFonts w:ascii="Arial" w:hAnsi="Arial" w:cs="Arial"/>
                <w:b/>
                <w:sz w:val="22"/>
                <w:szCs w:val="22"/>
              </w:rPr>
            </w:pPr>
          </w:p>
          <w:p w:rsidR="003C0B84" w:rsidRDefault="003C0B84" w:rsidP="00A9458F">
            <w:pPr>
              <w:spacing w:after="0"/>
              <w:jc w:val="both"/>
              <w:rPr>
                <w:rFonts w:ascii="Arial" w:hAnsi="Arial" w:cs="Arial"/>
                <w:sz w:val="22"/>
                <w:szCs w:val="22"/>
              </w:rPr>
            </w:pPr>
            <w:r w:rsidRPr="00A9458F">
              <w:rPr>
                <w:rFonts w:ascii="Arial" w:hAnsi="Arial" w:cs="Arial"/>
                <w:sz w:val="22"/>
                <w:szCs w:val="22"/>
              </w:rPr>
              <w:t>Despite strong Council support for the proposal, the Tasmanian Planning Commission rejected the amendment on a range of planning grounds, including:</w:t>
            </w:r>
          </w:p>
          <w:p w:rsidR="003C0B84" w:rsidRPr="00A9458F" w:rsidRDefault="003C0B84" w:rsidP="00A9458F">
            <w:pPr>
              <w:spacing w:after="0"/>
              <w:jc w:val="both"/>
              <w:rPr>
                <w:rFonts w:ascii="Arial" w:hAnsi="Arial" w:cs="Arial"/>
                <w:b/>
                <w:sz w:val="22"/>
                <w:szCs w:val="22"/>
              </w:rPr>
            </w:pPr>
          </w:p>
          <w:p w:rsidR="003C0B84" w:rsidRPr="00A9458F" w:rsidRDefault="003C0B84" w:rsidP="00536191">
            <w:pPr>
              <w:numPr>
                <w:ilvl w:val="0"/>
                <w:numId w:val="2"/>
              </w:numPr>
              <w:spacing w:after="0"/>
              <w:jc w:val="both"/>
              <w:rPr>
                <w:rFonts w:ascii="Arial" w:hAnsi="Arial" w:cs="Arial"/>
                <w:b/>
                <w:sz w:val="22"/>
                <w:szCs w:val="22"/>
              </w:rPr>
            </w:pPr>
            <w:r w:rsidRPr="00A9458F">
              <w:rPr>
                <w:rFonts w:ascii="Arial" w:hAnsi="Arial" w:cs="Arial"/>
                <w:sz w:val="22"/>
                <w:szCs w:val="22"/>
              </w:rPr>
              <w:t>The amendment was inconsistent with the regional plan, which demonstrated there was already sufficient industrial land in the area to accommodate reasonably foreseeable demands.</w:t>
            </w:r>
          </w:p>
          <w:p w:rsidR="003C0B84" w:rsidRPr="00A9458F" w:rsidRDefault="003C0B84" w:rsidP="00536191">
            <w:pPr>
              <w:numPr>
                <w:ilvl w:val="0"/>
                <w:numId w:val="2"/>
              </w:numPr>
              <w:spacing w:after="0"/>
              <w:jc w:val="both"/>
              <w:rPr>
                <w:rFonts w:ascii="Arial" w:hAnsi="Arial" w:cs="Arial"/>
                <w:b/>
                <w:sz w:val="22"/>
                <w:szCs w:val="22"/>
              </w:rPr>
            </w:pPr>
            <w:r w:rsidRPr="00A9458F">
              <w:rPr>
                <w:rFonts w:ascii="Arial" w:hAnsi="Arial" w:cs="Arial"/>
                <w:sz w:val="22"/>
                <w:szCs w:val="22"/>
              </w:rPr>
              <w:t>The amendment failed to adequately address climate change hazards.</w:t>
            </w:r>
          </w:p>
          <w:p w:rsidR="003C0B84" w:rsidRPr="00614CED" w:rsidRDefault="003C0B84" w:rsidP="00D92D16">
            <w:pPr>
              <w:numPr>
                <w:ilvl w:val="0"/>
                <w:numId w:val="2"/>
              </w:numPr>
              <w:spacing w:after="0"/>
              <w:ind w:left="357" w:hanging="357"/>
              <w:jc w:val="both"/>
              <w:rPr>
                <w:rFonts w:ascii="Arial" w:hAnsi="Arial" w:cs="Arial"/>
                <w:b/>
                <w:sz w:val="22"/>
                <w:szCs w:val="22"/>
              </w:rPr>
            </w:pPr>
            <w:r w:rsidRPr="00A9458F">
              <w:rPr>
                <w:rFonts w:ascii="Arial" w:hAnsi="Arial" w:cs="Arial"/>
                <w:sz w:val="22"/>
                <w:szCs w:val="22"/>
              </w:rPr>
              <w:t xml:space="preserve">Converting irrigable land to a non-agricultural use was contrary to the objectives of the </w:t>
            </w:r>
            <w:r w:rsidRPr="00A9458F">
              <w:rPr>
                <w:rFonts w:ascii="Arial" w:hAnsi="Arial" w:cs="Arial"/>
                <w:i/>
                <w:sz w:val="22"/>
                <w:szCs w:val="22"/>
              </w:rPr>
              <w:t>Protection of Agricultural Land Policy 2009</w:t>
            </w:r>
            <w:r w:rsidRPr="00A9458F">
              <w:rPr>
                <w:rFonts w:ascii="Arial" w:hAnsi="Arial" w:cs="Arial"/>
                <w:sz w:val="22"/>
                <w:szCs w:val="22"/>
              </w:rPr>
              <w:t>.</w:t>
            </w:r>
          </w:p>
        </w:tc>
      </w:tr>
    </w:tbl>
    <w:p w:rsidR="003C0B84" w:rsidRPr="00A9458F" w:rsidRDefault="003C0B84" w:rsidP="00A9458F">
      <w:pPr>
        <w:spacing w:after="0"/>
        <w:jc w:val="both"/>
        <w:rPr>
          <w:rFonts w:ascii="Arial" w:hAnsi="Arial" w:cs="Arial"/>
          <w:b/>
          <w:sz w:val="22"/>
          <w:szCs w:val="22"/>
        </w:rPr>
      </w:pPr>
    </w:p>
    <w:p w:rsidR="003C0B84" w:rsidRPr="00A9458F" w:rsidRDefault="003C0B84" w:rsidP="00A9458F">
      <w:pPr>
        <w:spacing w:after="0"/>
        <w:jc w:val="both"/>
        <w:rPr>
          <w:rFonts w:ascii="Arial" w:hAnsi="Arial" w:cs="Arial"/>
          <w:b/>
          <w:sz w:val="22"/>
          <w:szCs w:val="22"/>
        </w:rPr>
      </w:pPr>
    </w:p>
    <w:tbl>
      <w:tblPr>
        <w:tblStyle w:val="TableGrid"/>
        <w:tblW w:w="0" w:type="auto"/>
        <w:tblLook w:val="04A0" w:firstRow="1" w:lastRow="0" w:firstColumn="1" w:lastColumn="0" w:noHBand="0" w:noVBand="1"/>
      </w:tblPr>
      <w:tblGrid>
        <w:gridCol w:w="8886"/>
      </w:tblGrid>
      <w:tr w:rsidR="003C0B84" w:rsidRPr="00A9458F" w:rsidTr="00C17E69">
        <w:tc>
          <w:tcPr>
            <w:tcW w:w="8886" w:type="dxa"/>
          </w:tcPr>
          <w:p w:rsidR="003C0B84" w:rsidRPr="00A9458F" w:rsidRDefault="003C0B84" w:rsidP="00A9458F">
            <w:pPr>
              <w:spacing w:after="0"/>
              <w:jc w:val="both"/>
              <w:rPr>
                <w:rFonts w:ascii="Arial" w:hAnsi="Arial" w:cs="Arial"/>
                <w:b/>
                <w:sz w:val="22"/>
                <w:szCs w:val="22"/>
              </w:rPr>
            </w:pPr>
          </w:p>
          <w:p w:rsidR="003C0B84" w:rsidRDefault="00A81B7D" w:rsidP="00A9458F">
            <w:pPr>
              <w:spacing w:after="0"/>
              <w:jc w:val="both"/>
              <w:rPr>
                <w:rFonts w:ascii="Arial" w:hAnsi="Arial" w:cs="Arial"/>
                <w:b/>
                <w:sz w:val="22"/>
                <w:szCs w:val="22"/>
              </w:rPr>
            </w:pPr>
            <w:r>
              <w:rPr>
                <w:rFonts w:ascii="Arial" w:hAnsi="Arial" w:cs="Arial"/>
                <w:b/>
                <w:sz w:val="22"/>
                <w:szCs w:val="22"/>
              </w:rPr>
              <w:t>Case study: EDO Victoria –</w:t>
            </w:r>
            <w:r w:rsidR="003C0B84" w:rsidRPr="00A9458F">
              <w:rPr>
                <w:rFonts w:ascii="Arial" w:hAnsi="Arial" w:cs="Arial"/>
                <w:b/>
                <w:sz w:val="22"/>
                <w:szCs w:val="22"/>
              </w:rPr>
              <w:t xml:space="preserve"> helping small rural communities protect their local environment</w:t>
            </w:r>
            <w:r w:rsidR="003C0B84" w:rsidRPr="00A9458F">
              <w:rPr>
                <w:rStyle w:val="EndnoteReference"/>
                <w:rFonts w:ascii="Arial" w:hAnsi="Arial" w:cs="Arial"/>
                <w:sz w:val="22"/>
                <w:szCs w:val="22"/>
              </w:rPr>
              <w:endnoteReference w:id="4"/>
            </w:r>
          </w:p>
          <w:p w:rsidR="003C0B84" w:rsidRPr="00A9458F" w:rsidRDefault="003C0B84" w:rsidP="00A9458F">
            <w:pPr>
              <w:spacing w:after="0"/>
              <w:jc w:val="both"/>
              <w:rPr>
                <w:rFonts w:ascii="Arial" w:hAnsi="Arial" w:cs="Arial"/>
                <w:b/>
                <w:sz w:val="22"/>
                <w:szCs w:val="22"/>
              </w:rPr>
            </w:pPr>
          </w:p>
          <w:p w:rsidR="003C0B84" w:rsidRDefault="003C0B84" w:rsidP="00A9458F">
            <w:pPr>
              <w:spacing w:after="0"/>
              <w:jc w:val="both"/>
              <w:rPr>
                <w:rFonts w:ascii="Arial" w:hAnsi="Arial" w:cs="Arial"/>
                <w:sz w:val="22"/>
                <w:szCs w:val="22"/>
              </w:rPr>
            </w:pPr>
            <w:r w:rsidRPr="00A9458F">
              <w:rPr>
                <w:rFonts w:ascii="Arial" w:hAnsi="Arial" w:cs="Arial"/>
                <w:sz w:val="22"/>
                <w:szCs w:val="22"/>
              </w:rPr>
              <w:t>In late 2010, the EDO represented western Victoria-based environment group Friends of the Surry Inc at a Tribunal hearing to oppose the granting of a works permit for a site in Narrawong.  The site was next to the estuary of the Surry River, on a flood plain, and also on a primary dune system.  Represented by the EDO and a barrister, Friends of the Surry Inc successfully argued that the Tribunal should not grant the permit.</w:t>
            </w:r>
          </w:p>
          <w:p w:rsidR="003C0B84" w:rsidRPr="00A9458F" w:rsidRDefault="003C0B84" w:rsidP="00A9458F">
            <w:pPr>
              <w:spacing w:after="0"/>
              <w:jc w:val="both"/>
              <w:rPr>
                <w:rFonts w:ascii="Arial" w:hAnsi="Arial" w:cs="Arial"/>
                <w:sz w:val="22"/>
                <w:szCs w:val="22"/>
              </w:rPr>
            </w:pPr>
          </w:p>
          <w:p w:rsidR="003C0B84" w:rsidRDefault="003C0B84" w:rsidP="00A9458F">
            <w:pPr>
              <w:spacing w:after="0"/>
              <w:jc w:val="both"/>
              <w:rPr>
                <w:rFonts w:ascii="Arial" w:hAnsi="Arial" w:cs="Arial"/>
                <w:sz w:val="22"/>
                <w:szCs w:val="22"/>
              </w:rPr>
            </w:pPr>
            <w:r w:rsidRPr="00A9458F">
              <w:rPr>
                <w:rFonts w:ascii="Arial" w:hAnsi="Arial" w:cs="Arial"/>
                <w:sz w:val="22"/>
                <w:szCs w:val="22"/>
              </w:rPr>
              <w:t>Later, in mid-2011, the EDO again represented Friends of the Surry at a hearing about the future planning controls for the site, which was held by an Advisory Committee specially appointed by the Minister for Planning.  The EDO, on behalf of the Friends of the Surry, argued that the planning controls for the site should protect its environmental features.  The Friends of the Surry also brought expert evidence to suggest that the site was of aboriginal cultural heritage significance.  </w:t>
            </w:r>
          </w:p>
          <w:p w:rsidR="003C0B84" w:rsidRDefault="003C0B84" w:rsidP="00A9458F">
            <w:pPr>
              <w:spacing w:after="0"/>
              <w:jc w:val="both"/>
              <w:rPr>
                <w:rFonts w:ascii="Arial" w:hAnsi="Arial" w:cs="Arial"/>
                <w:sz w:val="22"/>
                <w:szCs w:val="22"/>
              </w:rPr>
            </w:pPr>
          </w:p>
          <w:p w:rsidR="003C0B84" w:rsidRPr="00A9458F" w:rsidRDefault="003C0B84" w:rsidP="00A9458F">
            <w:pPr>
              <w:spacing w:after="0"/>
              <w:jc w:val="both"/>
              <w:rPr>
                <w:rFonts w:ascii="Arial" w:hAnsi="Arial" w:cs="Arial"/>
                <w:b/>
                <w:sz w:val="22"/>
                <w:szCs w:val="22"/>
              </w:rPr>
            </w:pPr>
            <w:r w:rsidRPr="00A9458F">
              <w:rPr>
                <w:rFonts w:ascii="Arial" w:hAnsi="Arial" w:cs="Arial"/>
                <w:sz w:val="22"/>
                <w:szCs w:val="22"/>
              </w:rPr>
              <w:t>The Advisory Committee ultimately agreed with the need to protect the environment at the site, and recommended that the site be rezoned so as to largely prevent future developments at the site.  The Minister for Planning then implemented the planning controls for the site recommended by the Committee.</w:t>
            </w:r>
          </w:p>
        </w:tc>
      </w:tr>
    </w:tbl>
    <w:p w:rsidR="003C0B84" w:rsidRDefault="003C0B84" w:rsidP="00A9458F">
      <w:pPr>
        <w:spacing w:after="0"/>
        <w:jc w:val="both"/>
        <w:rPr>
          <w:rFonts w:ascii="Arial" w:hAnsi="Arial" w:cs="Arial"/>
          <w:b/>
          <w:sz w:val="22"/>
          <w:szCs w:val="22"/>
        </w:rPr>
      </w:pPr>
    </w:p>
    <w:p w:rsidR="003C0B84" w:rsidRPr="00A9458F" w:rsidRDefault="003C0B84" w:rsidP="00536191">
      <w:pPr>
        <w:pStyle w:val="PolicyHeading2"/>
        <w:numPr>
          <w:ilvl w:val="0"/>
          <w:numId w:val="3"/>
        </w:numPr>
        <w:spacing w:afterAutospacing="0"/>
        <w:rPr>
          <w:rFonts w:ascii="Arial" w:hAnsi="Arial" w:cs="Arial"/>
          <w:b w:val="0"/>
          <w:sz w:val="22"/>
          <w:szCs w:val="22"/>
        </w:rPr>
      </w:pPr>
      <w:r w:rsidRPr="00A9458F">
        <w:rPr>
          <w:rStyle w:val="Heading1Char"/>
          <w:b/>
          <w:sz w:val="22"/>
          <w:szCs w:val="22"/>
        </w:rPr>
        <w:t xml:space="preserve">Standing </w:t>
      </w:r>
      <w:r>
        <w:rPr>
          <w:rStyle w:val="Heading1Char"/>
          <w:b/>
          <w:sz w:val="22"/>
          <w:szCs w:val="22"/>
        </w:rPr>
        <w:t xml:space="preserve">– </w:t>
      </w:r>
      <w:r w:rsidRPr="002D390D">
        <w:rPr>
          <w:rStyle w:val="Heading1Char"/>
          <w:b/>
          <w:sz w:val="22"/>
          <w:szCs w:val="22"/>
        </w:rPr>
        <w:t>judicial review</w:t>
      </w:r>
      <w:r>
        <w:rPr>
          <w:rStyle w:val="Heading1Char"/>
          <w:b/>
          <w:sz w:val="22"/>
          <w:szCs w:val="22"/>
        </w:rPr>
        <w:t xml:space="preserve"> </w:t>
      </w:r>
    </w:p>
    <w:p w:rsidR="003C0B84" w:rsidRDefault="003C0B84" w:rsidP="00A9458F">
      <w:pPr>
        <w:spacing w:after="0"/>
        <w:jc w:val="both"/>
        <w:rPr>
          <w:rFonts w:ascii="Arial" w:hAnsi="Arial" w:cs="Arial"/>
          <w:b/>
          <w:sz w:val="22"/>
          <w:szCs w:val="22"/>
          <w:u w:val="single"/>
          <w:lang w:val="en-US"/>
        </w:rPr>
      </w:pPr>
    </w:p>
    <w:p w:rsidR="003C0B84" w:rsidRPr="00C26D54" w:rsidRDefault="003C0B84" w:rsidP="00536191">
      <w:pPr>
        <w:pStyle w:val="ListParagraph"/>
        <w:numPr>
          <w:ilvl w:val="0"/>
          <w:numId w:val="9"/>
        </w:numPr>
        <w:spacing w:after="0"/>
        <w:jc w:val="both"/>
        <w:rPr>
          <w:rFonts w:ascii="Arial" w:hAnsi="Arial" w:cs="Arial"/>
          <w:b/>
          <w:i/>
          <w:sz w:val="22"/>
          <w:szCs w:val="22"/>
          <w:lang w:val="en-US"/>
        </w:rPr>
      </w:pPr>
      <w:r w:rsidRPr="00C26D54">
        <w:rPr>
          <w:rFonts w:ascii="Arial" w:hAnsi="Arial" w:cs="Arial"/>
          <w:b/>
          <w:i/>
          <w:sz w:val="22"/>
          <w:szCs w:val="22"/>
          <w:lang w:val="en-US"/>
        </w:rPr>
        <w:t>Background</w:t>
      </w:r>
    </w:p>
    <w:p w:rsidR="003C0B84" w:rsidRDefault="003C0B84" w:rsidP="00A9458F">
      <w:pPr>
        <w:spacing w:after="0"/>
        <w:jc w:val="both"/>
        <w:rPr>
          <w:rFonts w:ascii="Arial" w:hAnsi="Arial" w:cs="Arial"/>
          <w:sz w:val="22"/>
          <w:szCs w:val="22"/>
        </w:rPr>
      </w:pPr>
    </w:p>
    <w:p w:rsidR="003C0B84" w:rsidRDefault="003C0B84" w:rsidP="001E72AA">
      <w:pPr>
        <w:spacing w:after="0"/>
        <w:jc w:val="both"/>
        <w:rPr>
          <w:rFonts w:ascii="Arial" w:hAnsi="Arial" w:cs="Arial"/>
          <w:sz w:val="22"/>
          <w:szCs w:val="22"/>
        </w:rPr>
      </w:pPr>
      <w:r w:rsidRPr="00A9458F">
        <w:rPr>
          <w:rFonts w:ascii="Arial" w:hAnsi="Arial" w:cs="Arial"/>
          <w:sz w:val="22"/>
          <w:szCs w:val="22"/>
        </w:rPr>
        <w:t>AN</w:t>
      </w:r>
      <w:r w:rsidR="00A81B7D">
        <w:rPr>
          <w:rFonts w:ascii="Arial" w:hAnsi="Arial" w:cs="Arial"/>
          <w:sz w:val="22"/>
          <w:szCs w:val="22"/>
        </w:rPr>
        <w:t>E</w:t>
      </w:r>
      <w:r w:rsidRPr="00A9458F">
        <w:rPr>
          <w:rFonts w:ascii="Arial" w:hAnsi="Arial" w:cs="Arial"/>
          <w:sz w:val="22"/>
          <w:szCs w:val="22"/>
        </w:rPr>
        <w:t>DO submits that open standing provisions are a fundamental component of any equitable legal system.</w:t>
      </w:r>
      <w:r>
        <w:rPr>
          <w:rFonts w:ascii="Arial" w:hAnsi="Arial" w:cs="Arial"/>
          <w:sz w:val="22"/>
          <w:szCs w:val="22"/>
        </w:rPr>
        <w:t xml:space="preserve"> </w:t>
      </w:r>
      <w:r w:rsidRPr="00A9458F">
        <w:rPr>
          <w:rFonts w:ascii="Arial" w:hAnsi="Arial" w:cs="Arial"/>
          <w:sz w:val="22"/>
          <w:szCs w:val="22"/>
        </w:rPr>
        <w:t>This is particularly true in respect of</w:t>
      </w:r>
      <w:r>
        <w:rPr>
          <w:rFonts w:ascii="Arial" w:hAnsi="Arial" w:cs="Arial"/>
          <w:sz w:val="22"/>
          <w:szCs w:val="22"/>
        </w:rPr>
        <w:t xml:space="preserve"> environment and planning matters, which routinely include developments likely to have a significant impact on </w:t>
      </w:r>
      <w:r w:rsidR="00A81B7D">
        <w:rPr>
          <w:rFonts w:ascii="Arial" w:hAnsi="Arial" w:cs="Arial"/>
          <w:sz w:val="22"/>
          <w:szCs w:val="22"/>
        </w:rPr>
        <w:t xml:space="preserve">communities, </w:t>
      </w:r>
      <w:r>
        <w:rPr>
          <w:rFonts w:ascii="Arial" w:hAnsi="Arial" w:cs="Arial"/>
          <w:sz w:val="22"/>
          <w:szCs w:val="22"/>
        </w:rPr>
        <w:t>the environment</w:t>
      </w:r>
      <w:r w:rsidR="00A81B7D">
        <w:rPr>
          <w:rFonts w:ascii="Arial" w:hAnsi="Arial" w:cs="Arial"/>
          <w:sz w:val="22"/>
          <w:szCs w:val="22"/>
        </w:rPr>
        <w:t>, and shared natural resources such as water and</w:t>
      </w:r>
      <w:r>
        <w:rPr>
          <w:rFonts w:ascii="Arial" w:hAnsi="Arial" w:cs="Arial"/>
          <w:sz w:val="22"/>
          <w:szCs w:val="22"/>
        </w:rPr>
        <w:t xml:space="preserve"> agricultural land. Accordingly, the public has a strong interest in ensuring – where necessary – that decision-makers have adhered to the relevant statutory framework, and proponents have properly implemented the conditions attached to their development approval. Indeed, as the State may lack the necessary resources to ensure compliance, open standing provisions provide genuine public interest litigants with the opportunity to enforce environmental laws and conditions of consent on behalf of the community.  </w:t>
      </w:r>
    </w:p>
    <w:p w:rsidR="003C0B84" w:rsidRDefault="003C0B84" w:rsidP="001E72AA">
      <w:pPr>
        <w:spacing w:after="0"/>
        <w:jc w:val="both"/>
        <w:rPr>
          <w:rFonts w:ascii="Arial" w:hAnsi="Arial" w:cs="Arial"/>
          <w:sz w:val="22"/>
          <w:szCs w:val="22"/>
        </w:rPr>
      </w:pPr>
    </w:p>
    <w:p w:rsidR="003C0B84" w:rsidRDefault="00A81B7D" w:rsidP="001E72AA">
      <w:pPr>
        <w:spacing w:after="0"/>
        <w:jc w:val="both"/>
        <w:rPr>
          <w:rFonts w:ascii="Arial" w:hAnsi="Arial" w:cs="Arial"/>
          <w:sz w:val="22"/>
          <w:szCs w:val="22"/>
        </w:rPr>
      </w:pPr>
      <w:r>
        <w:rPr>
          <w:rFonts w:ascii="Arial" w:hAnsi="Arial" w:cs="Arial"/>
          <w:sz w:val="22"/>
          <w:szCs w:val="22"/>
        </w:rPr>
        <w:t>T</w:t>
      </w:r>
      <w:r w:rsidR="003C0B84">
        <w:rPr>
          <w:rFonts w:ascii="Arial" w:hAnsi="Arial" w:cs="Arial"/>
          <w:sz w:val="22"/>
          <w:szCs w:val="22"/>
        </w:rPr>
        <w:t xml:space="preserve">here is no evidence to suggest that open standing provisions result in a multitude of litigants inundating the courts with frivolous </w:t>
      </w:r>
      <w:r w:rsidR="00C533C0">
        <w:rPr>
          <w:rFonts w:ascii="Arial" w:hAnsi="Arial" w:cs="Arial"/>
          <w:sz w:val="22"/>
          <w:szCs w:val="22"/>
        </w:rPr>
        <w:t xml:space="preserve">or vexatious </w:t>
      </w:r>
      <w:r w:rsidR="003C0B84">
        <w:rPr>
          <w:rFonts w:ascii="Arial" w:hAnsi="Arial" w:cs="Arial"/>
          <w:sz w:val="22"/>
          <w:szCs w:val="22"/>
        </w:rPr>
        <w:t xml:space="preserve">appeals. Indeed, in the 20 years that open standing (judicial review) provisions have existed under s. 123 of the </w:t>
      </w:r>
      <w:r w:rsidR="003C0B84" w:rsidRPr="005424E2">
        <w:rPr>
          <w:rFonts w:ascii="Arial" w:hAnsi="Arial" w:cs="Arial"/>
          <w:i/>
          <w:sz w:val="22"/>
          <w:szCs w:val="22"/>
        </w:rPr>
        <w:t xml:space="preserve">Environmental Planning and Assessment Act 1979 </w:t>
      </w:r>
      <w:r w:rsidR="003C0B84">
        <w:rPr>
          <w:rFonts w:ascii="Arial" w:hAnsi="Arial" w:cs="Arial"/>
          <w:sz w:val="22"/>
          <w:szCs w:val="22"/>
        </w:rPr>
        <w:t>(NSW) (</w:t>
      </w:r>
      <w:r w:rsidR="003C0B84" w:rsidRPr="008D3D74">
        <w:rPr>
          <w:rFonts w:ascii="Arial" w:hAnsi="Arial" w:cs="Arial"/>
          <w:b/>
          <w:sz w:val="22"/>
          <w:szCs w:val="22"/>
        </w:rPr>
        <w:t>EPA Act</w:t>
      </w:r>
      <w:r w:rsidR="003C0B84">
        <w:rPr>
          <w:rFonts w:ascii="Arial" w:hAnsi="Arial" w:cs="Arial"/>
          <w:sz w:val="22"/>
          <w:szCs w:val="22"/>
        </w:rPr>
        <w:t>), the ‘floodgates’ have remained firmly closed. The former Chief Justice of the NSW Land and Environment Court (</w:t>
      </w:r>
      <w:r w:rsidR="003C0B84" w:rsidRPr="00A509C0">
        <w:rPr>
          <w:rFonts w:ascii="Arial" w:hAnsi="Arial" w:cs="Arial"/>
          <w:b/>
          <w:sz w:val="22"/>
          <w:szCs w:val="22"/>
        </w:rPr>
        <w:t>NSW LEC</w:t>
      </w:r>
      <w:r w:rsidR="003C0B84">
        <w:rPr>
          <w:rFonts w:ascii="Arial" w:hAnsi="Arial" w:cs="Arial"/>
          <w:sz w:val="22"/>
          <w:szCs w:val="22"/>
        </w:rPr>
        <w:t xml:space="preserve">), Justice Jerrold Cripps has noted that: </w:t>
      </w:r>
    </w:p>
    <w:p w:rsidR="003C0B84" w:rsidRDefault="003C0B84" w:rsidP="001E72AA">
      <w:pPr>
        <w:spacing w:after="0"/>
        <w:jc w:val="both"/>
        <w:rPr>
          <w:rFonts w:ascii="Arial" w:hAnsi="Arial" w:cs="Arial"/>
          <w:sz w:val="22"/>
          <w:szCs w:val="22"/>
        </w:rPr>
      </w:pPr>
    </w:p>
    <w:p w:rsidR="003C0B84" w:rsidRPr="00750B2D" w:rsidRDefault="003C0B84" w:rsidP="00750B2D">
      <w:pPr>
        <w:spacing w:after="0"/>
        <w:ind w:left="720"/>
        <w:jc w:val="both"/>
        <w:rPr>
          <w:rFonts w:ascii="Arial" w:hAnsi="Arial" w:cs="Arial"/>
          <w:i/>
          <w:sz w:val="22"/>
          <w:szCs w:val="22"/>
        </w:rPr>
      </w:pPr>
      <w:r w:rsidRPr="00750B2D">
        <w:rPr>
          <w:rFonts w:ascii="Arial" w:hAnsi="Arial" w:cs="Arial"/>
          <w:i/>
          <w:sz w:val="22"/>
          <w:szCs w:val="22"/>
        </w:rPr>
        <w:t>It was said that when the legislation was passed in 1980 that the presence of section 123 would lead to a rash of harassing and vexatious litigation. That has not happened and, with the greatest respect to people who think otherwise, I</w:t>
      </w:r>
      <w:r w:rsidR="00A0116A">
        <w:rPr>
          <w:rFonts w:ascii="Arial" w:hAnsi="Arial" w:cs="Arial"/>
          <w:i/>
          <w:sz w:val="22"/>
          <w:szCs w:val="22"/>
        </w:rPr>
        <w:t> </w:t>
      </w:r>
      <w:r w:rsidRPr="00750B2D">
        <w:rPr>
          <w:rFonts w:ascii="Arial" w:hAnsi="Arial" w:cs="Arial"/>
          <w:i/>
          <w:sz w:val="22"/>
          <w:szCs w:val="22"/>
        </w:rPr>
        <w:t>think that that argument has been wholly discredited.</w:t>
      </w:r>
      <w:r>
        <w:rPr>
          <w:rStyle w:val="EndnoteReference"/>
          <w:rFonts w:ascii="Arial" w:hAnsi="Arial" w:cs="Arial"/>
          <w:i/>
          <w:sz w:val="22"/>
          <w:szCs w:val="22"/>
        </w:rPr>
        <w:endnoteReference w:id="5"/>
      </w:r>
      <w:r w:rsidRPr="00750B2D">
        <w:rPr>
          <w:rFonts w:ascii="Arial" w:hAnsi="Arial" w:cs="Arial"/>
          <w:i/>
          <w:sz w:val="22"/>
          <w:szCs w:val="22"/>
        </w:rPr>
        <w:t xml:space="preserve">  </w:t>
      </w:r>
    </w:p>
    <w:p w:rsidR="003C0B84" w:rsidRDefault="003C0B84" w:rsidP="00A9458F">
      <w:pPr>
        <w:spacing w:after="0"/>
        <w:jc w:val="both"/>
        <w:rPr>
          <w:rFonts w:ascii="Arial" w:hAnsi="Arial" w:cs="Arial"/>
          <w:sz w:val="22"/>
          <w:szCs w:val="22"/>
        </w:rPr>
      </w:pPr>
    </w:p>
    <w:p w:rsidR="003C0B84" w:rsidRPr="003331AA" w:rsidRDefault="003C0B84" w:rsidP="003331AA">
      <w:pPr>
        <w:spacing w:after="0"/>
        <w:jc w:val="both"/>
        <w:rPr>
          <w:rFonts w:ascii="Arial" w:hAnsi="Arial" w:cs="Arial"/>
          <w:sz w:val="22"/>
          <w:szCs w:val="22"/>
        </w:rPr>
      </w:pPr>
      <w:r>
        <w:rPr>
          <w:rFonts w:ascii="Arial" w:hAnsi="Arial" w:cs="Arial"/>
          <w:sz w:val="22"/>
          <w:szCs w:val="22"/>
        </w:rPr>
        <w:lastRenderedPageBreak/>
        <w:t xml:space="preserve">Notwithstanding Justice Cripps’ observations, and the obvious benefits associated with open standing provisions, </w:t>
      </w:r>
      <w:r w:rsidRPr="003331AA">
        <w:rPr>
          <w:rFonts w:ascii="Arial" w:hAnsi="Arial" w:cs="Arial"/>
          <w:sz w:val="22"/>
          <w:szCs w:val="22"/>
        </w:rPr>
        <w:t>it has been noted that the current rules for standing in Australia have:</w:t>
      </w:r>
    </w:p>
    <w:p w:rsidR="003C0B84" w:rsidRPr="003331AA" w:rsidRDefault="003C0B84" w:rsidP="003331AA">
      <w:pPr>
        <w:spacing w:after="0"/>
        <w:jc w:val="both"/>
        <w:rPr>
          <w:rFonts w:ascii="Arial" w:hAnsi="Arial" w:cs="Arial"/>
          <w:sz w:val="22"/>
          <w:szCs w:val="22"/>
        </w:rPr>
      </w:pPr>
    </w:p>
    <w:p w:rsidR="003C0B84" w:rsidRPr="003331AA" w:rsidRDefault="003C0B84" w:rsidP="003331AA">
      <w:pPr>
        <w:spacing w:after="0"/>
        <w:ind w:left="720"/>
        <w:jc w:val="both"/>
        <w:rPr>
          <w:rFonts w:ascii="Arial" w:hAnsi="Arial" w:cs="Arial"/>
          <w:i/>
          <w:sz w:val="22"/>
          <w:szCs w:val="22"/>
        </w:rPr>
      </w:pPr>
      <w:r w:rsidRPr="003331AA">
        <w:rPr>
          <w:rFonts w:ascii="Arial" w:hAnsi="Arial" w:cs="Arial"/>
          <w:i/>
          <w:sz w:val="22"/>
          <w:szCs w:val="22"/>
        </w:rPr>
        <w:t>not developed a culture of public interest litigation. One reason for this is that the rules of standing in judicial review retain some restrictive elements that make it difficult for representative groups to challenge government decisions. The requirement that, to have standing, a complainant must be able to show a special interest or be aggrieved by a decision does not equate with even the strong views or commitments of a group.</w:t>
      </w:r>
      <w:r w:rsidRPr="003331AA">
        <w:rPr>
          <w:rFonts w:ascii="Arial" w:hAnsi="Arial" w:cs="Arial"/>
          <w:i/>
          <w:sz w:val="22"/>
          <w:szCs w:val="22"/>
          <w:vertAlign w:val="superscript"/>
        </w:rPr>
        <w:endnoteReference w:id="6"/>
      </w:r>
    </w:p>
    <w:p w:rsidR="003C0B84" w:rsidRPr="003331AA" w:rsidRDefault="003C0B84" w:rsidP="003331AA">
      <w:pPr>
        <w:spacing w:after="0"/>
        <w:jc w:val="both"/>
        <w:rPr>
          <w:rFonts w:ascii="Arial" w:hAnsi="Arial" w:cs="Arial"/>
          <w:sz w:val="22"/>
          <w:szCs w:val="22"/>
        </w:rPr>
      </w:pPr>
    </w:p>
    <w:p w:rsidR="003C0B84" w:rsidRDefault="003C0B84" w:rsidP="003331AA">
      <w:pPr>
        <w:spacing w:after="0"/>
        <w:jc w:val="both"/>
        <w:rPr>
          <w:rFonts w:ascii="Arial" w:hAnsi="Arial" w:cs="Arial"/>
          <w:sz w:val="22"/>
          <w:szCs w:val="22"/>
        </w:rPr>
      </w:pPr>
      <w:r>
        <w:rPr>
          <w:rFonts w:ascii="Arial" w:hAnsi="Arial" w:cs="Arial"/>
          <w:sz w:val="22"/>
          <w:szCs w:val="22"/>
        </w:rPr>
        <w:t>When analysing relevant</w:t>
      </w:r>
      <w:r w:rsidRPr="003331AA">
        <w:rPr>
          <w:rFonts w:ascii="Arial" w:hAnsi="Arial" w:cs="Arial"/>
          <w:sz w:val="22"/>
          <w:szCs w:val="22"/>
        </w:rPr>
        <w:t xml:space="preserve"> case law, it becomes apparent that such a test “has yielded uneven results in environmental cases – particularly for representative bodies that seek to challenge decision concerning their local areas.”</w:t>
      </w:r>
      <w:r w:rsidRPr="003331AA">
        <w:rPr>
          <w:rFonts w:ascii="Arial" w:hAnsi="Arial" w:cs="Arial"/>
          <w:sz w:val="22"/>
          <w:szCs w:val="22"/>
          <w:vertAlign w:val="superscript"/>
        </w:rPr>
        <w:endnoteReference w:id="7"/>
      </w:r>
      <w:r w:rsidRPr="003331AA">
        <w:rPr>
          <w:rFonts w:ascii="Arial" w:hAnsi="Arial" w:cs="Arial"/>
          <w:sz w:val="22"/>
          <w:szCs w:val="22"/>
        </w:rPr>
        <w:t xml:space="preserve"> One of the important cases that highlight the lack of opportunity for standing</w:t>
      </w:r>
      <w:r>
        <w:rPr>
          <w:rFonts w:ascii="Arial" w:hAnsi="Arial" w:cs="Arial"/>
          <w:sz w:val="22"/>
          <w:szCs w:val="22"/>
        </w:rPr>
        <w:t xml:space="preserve"> for public interest environmental litigants</w:t>
      </w:r>
      <w:r w:rsidRPr="003331AA">
        <w:rPr>
          <w:rFonts w:ascii="Arial" w:hAnsi="Arial" w:cs="Arial"/>
          <w:sz w:val="22"/>
          <w:szCs w:val="22"/>
        </w:rPr>
        <w:t xml:space="preserve"> is </w:t>
      </w:r>
      <w:r w:rsidRPr="003331AA">
        <w:rPr>
          <w:rFonts w:ascii="Arial" w:hAnsi="Arial" w:cs="Arial"/>
          <w:i/>
          <w:sz w:val="22"/>
          <w:szCs w:val="22"/>
        </w:rPr>
        <w:t>Australian Conservation Foundation Inc v Commonwealth</w:t>
      </w:r>
      <w:r>
        <w:rPr>
          <w:rFonts w:ascii="Arial" w:hAnsi="Arial" w:cs="Arial"/>
          <w:i/>
          <w:sz w:val="22"/>
          <w:szCs w:val="22"/>
        </w:rPr>
        <w:t xml:space="preserve"> </w:t>
      </w:r>
      <w:r>
        <w:rPr>
          <w:rFonts w:ascii="Arial" w:hAnsi="Arial" w:cs="Arial"/>
          <w:sz w:val="22"/>
          <w:szCs w:val="22"/>
        </w:rPr>
        <w:t>(1980).</w:t>
      </w:r>
      <w:r w:rsidRPr="003331AA">
        <w:rPr>
          <w:rFonts w:ascii="Arial" w:hAnsi="Arial" w:cs="Arial"/>
          <w:sz w:val="22"/>
          <w:szCs w:val="22"/>
          <w:vertAlign w:val="superscript"/>
        </w:rPr>
        <w:endnoteReference w:id="8"/>
      </w:r>
    </w:p>
    <w:p w:rsidR="003C0B84" w:rsidRDefault="003C0B84" w:rsidP="00A9458F">
      <w:pPr>
        <w:spacing w:after="0"/>
        <w:jc w:val="both"/>
        <w:rPr>
          <w:rFonts w:ascii="Arial" w:hAnsi="Arial" w:cs="Arial"/>
          <w:sz w:val="22"/>
          <w:szCs w:val="22"/>
        </w:rPr>
      </w:pPr>
    </w:p>
    <w:tbl>
      <w:tblPr>
        <w:tblStyle w:val="TableGrid"/>
        <w:tblW w:w="0" w:type="auto"/>
        <w:tblLook w:val="04A0" w:firstRow="1" w:lastRow="0" w:firstColumn="1" w:lastColumn="0" w:noHBand="0" w:noVBand="1"/>
      </w:tblPr>
      <w:tblGrid>
        <w:gridCol w:w="8886"/>
      </w:tblGrid>
      <w:tr w:rsidR="003C0B84" w:rsidTr="003331AA">
        <w:trPr>
          <w:trHeight w:val="58"/>
        </w:trPr>
        <w:tc>
          <w:tcPr>
            <w:tcW w:w="8886" w:type="dxa"/>
          </w:tcPr>
          <w:p w:rsidR="003C0B84" w:rsidRDefault="003C0B84" w:rsidP="00292F6E">
            <w:pPr>
              <w:keepNext/>
              <w:spacing w:after="0"/>
              <w:jc w:val="both"/>
              <w:rPr>
                <w:rFonts w:ascii="Arial" w:hAnsi="Arial" w:cs="Arial"/>
                <w:b/>
                <w:sz w:val="22"/>
                <w:szCs w:val="22"/>
              </w:rPr>
            </w:pPr>
            <w:r w:rsidRPr="003331AA">
              <w:rPr>
                <w:rFonts w:ascii="Arial" w:hAnsi="Arial" w:cs="Arial"/>
                <w:b/>
                <w:sz w:val="22"/>
                <w:szCs w:val="22"/>
              </w:rPr>
              <w:t>Case Study: Australian Conservation Foundation Inc v Commonwealth</w:t>
            </w:r>
          </w:p>
          <w:p w:rsidR="003C0B84" w:rsidRPr="003331AA" w:rsidRDefault="003C0B84" w:rsidP="003331AA">
            <w:pPr>
              <w:spacing w:after="0"/>
              <w:jc w:val="both"/>
              <w:rPr>
                <w:rFonts w:ascii="Arial" w:hAnsi="Arial" w:cs="Arial"/>
                <w:b/>
                <w:sz w:val="22"/>
                <w:szCs w:val="22"/>
              </w:rPr>
            </w:pPr>
          </w:p>
          <w:p w:rsidR="003C0B84" w:rsidRPr="003331AA" w:rsidRDefault="003C0B84" w:rsidP="003331AA">
            <w:pPr>
              <w:spacing w:after="0"/>
              <w:jc w:val="both"/>
              <w:rPr>
                <w:rFonts w:ascii="Arial" w:hAnsi="Arial" w:cs="Arial"/>
                <w:sz w:val="22"/>
                <w:szCs w:val="22"/>
              </w:rPr>
            </w:pPr>
            <w:r w:rsidRPr="003331AA">
              <w:rPr>
                <w:rFonts w:ascii="Arial" w:hAnsi="Arial" w:cs="Arial"/>
                <w:sz w:val="22"/>
                <w:szCs w:val="22"/>
              </w:rPr>
              <w:t>The Australian Conservation Foundation (ACF) undertook proceedings against the Commonwealth for declarations, injunctions and other orders to challenge the validity of decisions concerning a proposal by a company to establish and operate a resort and tourist area in central Queensland. ACF believed they had the right to take action due to their well-known role in the protection of the environment.</w:t>
            </w:r>
            <w:r w:rsidRPr="003331AA">
              <w:rPr>
                <w:rFonts w:ascii="Arial" w:hAnsi="Arial" w:cs="Arial"/>
                <w:sz w:val="22"/>
                <w:szCs w:val="22"/>
                <w:vertAlign w:val="superscript"/>
              </w:rPr>
              <w:endnoteReference w:id="9"/>
            </w:r>
          </w:p>
          <w:p w:rsidR="003C0B84" w:rsidRPr="003331AA" w:rsidRDefault="003C0B84" w:rsidP="003331AA">
            <w:pPr>
              <w:spacing w:after="0"/>
              <w:jc w:val="both"/>
              <w:rPr>
                <w:rFonts w:ascii="Arial" w:hAnsi="Arial" w:cs="Arial"/>
                <w:sz w:val="22"/>
                <w:szCs w:val="22"/>
              </w:rPr>
            </w:pPr>
          </w:p>
          <w:p w:rsidR="003C0B84" w:rsidRPr="003331AA" w:rsidRDefault="003C0B84" w:rsidP="003331AA">
            <w:pPr>
              <w:spacing w:after="0"/>
              <w:jc w:val="both"/>
              <w:rPr>
                <w:rFonts w:ascii="Arial" w:hAnsi="Arial" w:cs="Arial"/>
                <w:sz w:val="22"/>
                <w:szCs w:val="22"/>
              </w:rPr>
            </w:pPr>
            <w:r w:rsidRPr="003331AA">
              <w:rPr>
                <w:rFonts w:ascii="Arial" w:hAnsi="Arial" w:cs="Arial"/>
                <w:sz w:val="22"/>
                <w:szCs w:val="22"/>
              </w:rPr>
              <w:t>It was held that the ACF did not have standing and that the action should be dismissed. Gibbs CJ noted “a belief, however strongly felt, that the law generally or a particular law, should be observed, or that conduct of a particular kind should be prevented, does not suffice to give its possessor locus standi.”</w:t>
            </w:r>
            <w:r w:rsidRPr="003331AA">
              <w:rPr>
                <w:rFonts w:ascii="Arial" w:hAnsi="Arial" w:cs="Arial"/>
                <w:sz w:val="22"/>
                <w:szCs w:val="22"/>
                <w:vertAlign w:val="superscript"/>
              </w:rPr>
              <w:endnoteReference w:id="10"/>
            </w:r>
          </w:p>
          <w:p w:rsidR="003C0B84" w:rsidRPr="003331AA" w:rsidRDefault="003C0B84" w:rsidP="003331AA">
            <w:pPr>
              <w:spacing w:after="0"/>
              <w:jc w:val="both"/>
              <w:rPr>
                <w:rFonts w:ascii="Arial" w:hAnsi="Arial" w:cs="Arial"/>
                <w:sz w:val="22"/>
                <w:szCs w:val="22"/>
              </w:rPr>
            </w:pPr>
          </w:p>
          <w:p w:rsidR="003C0B84" w:rsidRDefault="003C0B84" w:rsidP="00A9458F">
            <w:pPr>
              <w:spacing w:after="0"/>
              <w:jc w:val="both"/>
              <w:rPr>
                <w:rFonts w:ascii="Arial" w:hAnsi="Arial" w:cs="Arial"/>
                <w:sz w:val="22"/>
                <w:szCs w:val="22"/>
              </w:rPr>
            </w:pPr>
            <w:r w:rsidRPr="003331AA">
              <w:rPr>
                <w:rFonts w:ascii="Arial" w:hAnsi="Arial" w:cs="Arial"/>
                <w:sz w:val="22"/>
                <w:szCs w:val="22"/>
              </w:rPr>
              <w:t>This case demonstrated the fact that “[</w:t>
            </w:r>
            <w:proofErr w:type="spellStart"/>
            <w:r w:rsidRPr="003331AA">
              <w:rPr>
                <w:rFonts w:ascii="Arial" w:hAnsi="Arial" w:cs="Arial"/>
                <w:sz w:val="22"/>
                <w:szCs w:val="22"/>
              </w:rPr>
              <w:t>i</w:t>
            </w:r>
            <w:proofErr w:type="spellEnd"/>
            <w:r w:rsidRPr="003331AA">
              <w:rPr>
                <w:rFonts w:ascii="Arial" w:hAnsi="Arial" w:cs="Arial"/>
                <w:sz w:val="22"/>
                <w:szCs w:val="22"/>
              </w:rPr>
              <w:t>]n cases which do not concern constitutional validity a person who has no special interest in the subject matter of an action over and above that enjoyed by the public generally, has no locus standi to sue for an injunction or declaration to prevent the violation of a public right or to enforce the performance of a public duty.”</w:t>
            </w:r>
            <w:r w:rsidRPr="003331AA">
              <w:rPr>
                <w:rFonts w:ascii="Arial" w:hAnsi="Arial" w:cs="Arial"/>
                <w:sz w:val="22"/>
                <w:szCs w:val="22"/>
                <w:vertAlign w:val="superscript"/>
              </w:rPr>
              <w:endnoteReference w:id="11"/>
            </w:r>
            <w:r w:rsidRPr="003331AA">
              <w:rPr>
                <w:rFonts w:ascii="Arial" w:hAnsi="Arial" w:cs="Arial"/>
                <w:sz w:val="22"/>
                <w:szCs w:val="22"/>
              </w:rPr>
              <w:t>This reflects a narrow interpretation of the ambit of parties able to bring an action for judicial review.</w:t>
            </w:r>
          </w:p>
        </w:tc>
      </w:tr>
    </w:tbl>
    <w:p w:rsidR="003C0B84" w:rsidRPr="003331AA" w:rsidRDefault="003C0B84" w:rsidP="003331AA">
      <w:pPr>
        <w:spacing w:after="0"/>
        <w:jc w:val="both"/>
        <w:rPr>
          <w:rFonts w:ascii="Arial" w:hAnsi="Arial" w:cs="Arial"/>
          <w:sz w:val="22"/>
          <w:szCs w:val="22"/>
        </w:rPr>
      </w:pPr>
    </w:p>
    <w:p w:rsidR="003C0B84" w:rsidRDefault="003C0B84" w:rsidP="00A9458F">
      <w:pPr>
        <w:spacing w:after="0"/>
        <w:jc w:val="both"/>
        <w:rPr>
          <w:rFonts w:ascii="Arial" w:hAnsi="Arial" w:cs="Arial"/>
          <w:sz w:val="22"/>
          <w:szCs w:val="22"/>
        </w:rPr>
      </w:pPr>
      <w:r>
        <w:rPr>
          <w:rFonts w:ascii="Arial" w:hAnsi="Arial" w:cs="Arial"/>
          <w:sz w:val="22"/>
          <w:szCs w:val="22"/>
        </w:rPr>
        <w:t>The ACF case highlight</w:t>
      </w:r>
      <w:r w:rsidR="002C0A07">
        <w:rPr>
          <w:rFonts w:ascii="Arial" w:hAnsi="Arial" w:cs="Arial"/>
          <w:sz w:val="22"/>
          <w:szCs w:val="22"/>
        </w:rPr>
        <w:t>s</w:t>
      </w:r>
      <w:r>
        <w:rPr>
          <w:rFonts w:ascii="Arial" w:hAnsi="Arial" w:cs="Arial"/>
          <w:sz w:val="22"/>
          <w:szCs w:val="22"/>
        </w:rPr>
        <w:t xml:space="preserve"> the need for open standing provisions to be enshrined in environmental and planning legislation in all Australian jurisdictions. Accordingly, the following section will examine standing provisions in relevant legislation across a number of States and Territories with a view to exposing barriers to environmental justice. </w:t>
      </w:r>
    </w:p>
    <w:p w:rsidR="003C0B84" w:rsidRDefault="003C0B84" w:rsidP="00A9458F">
      <w:pPr>
        <w:spacing w:after="0"/>
        <w:jc w:val="both"/>
        <w:rPr>
          <w:rFonts w:ascii="Arial" w:hAnsi="Arial" w:cs="Arial"/>
          <w:sz w:val="22"/>
          <w:szCs w:val="22"/>
        </w:rPr>
      </w:pPr>
    </w:p>
    <w:p w:rsidR="003C0B84" w:rsidRPr="00C26D54" w:rsidRDefault="003C0B84" w:rsidP="00536191">
      <w:pPr>
        <w:pStyle w:val="ListParagraph"/>
        <w:numPr>
          <w:ilvl w:val="0"/>
          <w:numId w:val="9"/>
        </w:numPr>
        <w:spacing w:after="0"/>
        <w:jc w:val="both"/>
        <w:rPr>
          <w:rFonts w:ascii="Arial" w:hAnsi="Arial" w:cs="Arial"/>
          <w:b/>
          <w:i/>
          <w:sz w:val="22"/>
          <w:szCs w:val="22"/>
        </w:rPr>
      </w:pPr>
      <w:r>
        <w:rPr>
          <w:rFonts w:ascii="Arial" w:hAnsi="Arial" w:cs="Arial"/>
          <w:b/>
          <w:i/>
          <w:sz w:val="22"/>
          <w:szCs w:val="22"/>
        </w:rPr>
        <w:t xml:space="preserve">States and Territories </w:t>
      </w:r>
    </w:p>
    <w:p w:rsidR="003C0B84" w:rsidRDefault="003C0B84" w:rsidP="00A9458F">
      <w:pPr>
        <w:spacing w:after="0"/>
        <w:jc w:val="both"/>
        <w:rPr>
          <w:rFonts w:ascii="Arial" w:hAnsi="Arial" w:cs="Arial"/>
          <w:sz w:val="22"/>
          <w:szCs w:val="22"/>
        </w:rPr>
      </w:pPr>
    </w:p>
    <w:p w:rsidR="003C0B84" w:rsidRDefault="003C0B84" w:rsidP="00A9458F">
      <w:pPr>
        <w:spacing w:after="0"/>
        <w:jc w:val="both"/>
        <w:rPr>
          <w:rFonts w:ascii="Arial" w:hAnsi="Arial" w:cs="Arial"/>
          <w:sz w:val="22"/>
          <w:szCs w:val="22"/>
        </w:rPr>
      </w:pPr>
      <w:r w:rsidRPr="00A9458F">
        <w:rPr>
          <w:rFonts w:ascii="Arial" w:hAnsi="Arial" w:cs="Arial"/>
          <w:sz w:val="22"/>
          <w:szCs w:val="22"/>
        </w:rPr>
        <w:t xml:space="preserve">Open standing provisions in environmental and planning legislation vary both within and between jurisdictions. </w:t>
      </w:r>
      <w:r>
        <w:rPr>
          <w:rFonts w:ascii="Arial" w:hAnsi="Arial" w:cs="Arial"/>
          <w:sz w:val="22"/>
          <w:szCs w:val="22"/>
        </w:rPr>
        <w:t xml:space="preserve">The following table summarises standing provisions across a range of environmental and planning statutes. The table is to be read in conjunction with subsequent comments regarding additional factors </w:t>
      </w:r>
      <w:r w:rsidR="003C2254">
        <w:rPr>
          <w:rFonts w:ascii="Arial" w:hAnsi="Arial" w:cs="Arial"/>
          <w:sz w:val="22"/>
          <w:szCs w:val="22"/>
        </w:rPr>
        <w:t xml:space="preserve">that may </w:t>
      </w:r>
      <w:r>
        <w:rPr>
          <w:rFonts w:ascii="Arial" w:hAnsi="Arial" w:cs="Arial"/>
          <w:sz w:val="22"/>
          <w:szCs w:val="22"/>
        </w:rPr>
        <w:t>undermin</w:t>
      </w:r>
      <w:r w:rsidR="003C2254">
        <w:rPr>
          <w:rFonts w:ascii="Arial" w:hAnsi="Arial" w:cs="Arial"/>
          <w:sz w:val="22"/>
          <w:szCs w:val="22"/>
        </w:rPr>
        <w:t>e</w:t>
      </w:r>
      <w:r>
        <w:rPr>
          <w:rFonts w:ascii="Arial" w:hAnsi="Arial" w:cs="Arial"/>
          <w:sz w:val="22"/>
          <w:szCs w:val="22"/>
        </w:rPr>
        <w:t xml:space="preserve"> standing provisions under the </w:t>
      </w:r>
      <w:r w:rsidRPr="005B5420">
        <w:rPr>
          <w:rFonts w:ascii="Arial" w:hAnsi="Arial" w:cs="Arial"/>
          <w:i/>
          <w:sz w:val="22"/>
          <w:szCs w:val="22"/>
        </w:rPr>
        <w:t>Water Management Act 2000</w:t>
      </w:r>
      <w:r>
        <w:rPr>
          <w:rFonts w:ascii="Arial" w:hAnsi="Arial" w:cs="Arial"/>
          <w:sz w:val="22"/>
          <w:szCs w:val="22"/>
        </w:rPr>
        <w:t xml:space="preserve"> (NSW) and </w:t>
      </w:r>
      <w:r w:rsidRPr="005B5420">
        <w:rPr>
          <w:rFonts w:ascii="Arial" w:hAnsi="Arial" w:cs="Arial"/>
          <w:i/>
          <w:sz w:val="22"/>
          <w:szCs w:val="22"/>
        </w:rPr>
        <w:t>Planning Bill 2013</w:t>
      </w:r>
      <w:r>
        <w:rPr>
          <w:rFonts w:ascii="Arial" w:hAnsi="Arial" w:cs="Arial"/>
          <w:sz w:val="22"/>
          <w:szCs w:val="22"/>
        </w:rPr>
        <w:t xml:space="preserve"> (NSW). Similarly, our comments regarding costs </w:t>
      </w:r>
      <w:r w:rsidR="00D92E63">
        <w:rPr>
          <w:rFonts w:ascii="Arial" w:hAnsi="Arial" w:cs="Arial"/>
          <w:sz w:val="22"/>
          <w:szCs w:val="22"/>
        </w:rPr>
        <w:t xml:space="preserve">(4. below) </w:t>
      </w:r>
      <w:r>
        <w:rPr>
          <w:rFonts w:ascii="Arial" w:hAnsi="Arial" w:cs="Arial"/>
          <w:sz w:val="22"/>
          <w:szCs w:val="22"/>
        </w:rPr>
        <w:t xml:space="preserve">are to be taken into account when considering the true accessibility of standing provisions. </w:t>
      </w:r>
    </w:p>
    <w:p w:rsidR="003C0B84" w:rsidRDefault="003C0B84" w:rsidP="00A9458F">
      <w:pPr>
        <w:spacing w:after="0"/>
        <w:jc w:val="both"/>
        <w:rPr>
          <w:rFonts w:ascii="Arial" w:hAnsi="Arial" w:cs="Arial"/>
          <w:sz w:val="22"/>
          <w:szCs w:val="22"/>
        </w:rPr>
      </w:pPr>
    </w:p>
    <w:p w:rsidR="003C0B84" w:rsidRPr="00B9247F" w:rsidRDefault="003C0B84" w:rsidP="00292F6E">
      <w:pPr>
        <w:keepNext/>
        <w:spacing w:after="0"/>
        <w:jc w:val="both"/>
        <w:rPr>
          <w:rFonts w:ascii="Arial" w:hAnsi="Arial" w:cs="Arial"/>
          <w:b/>
          <w:sz w:val="22"/>
          <w:szCs w:val="22"/>
        </w:rPr>
      </w:pPr>
      <w:r w:rsidRPr="00571837">
        <w:rPr>
          <w:rFonts w:ascii="Arial" w:hAnsi="Arial" w:cs="Arial"/>
          <w:b/>
          <w:sz w:val="22"/>
          <w:szCs w:val="22"/>
        </w:rPr>
        <w:lastRenderedPageBreak/>
        <w:t>Table 1: Third party enforcement and appeal rights (judicial review)</w:t>
      </w:r>
    </w:p>
    <w:p w:rsidR="00776DD8" w:rsidRDefault="00776DD8" w:rsidP="00292F6E">
      <w:pPr>
        <w:keepNext/>
        <w:spacing w:after="0"/>
        <w:jc w:val="both"/>
        <w:rPr>
          <w:rFonts w:ascii="Arial" w:hAnsi="Arial" w:cs="Arial"/>
          <w:sz w:val="22"/>
          <w:szCs w:val="22"/>
        </w:rPr>
      </w:pPr>
    </w:p>
    <w:tbl>
      <w:tblPr>
        <w:tblStyle w:val="TableGrid"/>
        <w:tblW w:w="9215" w:type="dxa"/>
        <w:tblInd w:w="-318" w:type="dxa"/>
        <w:tblLayout w:type="fixed"/>
        <w:tblLook w:val="04A0" w:firstRow="1" w:lastRow="0" w:firstColumn="1" w:lastColumn="0" w:noHBand="0" w:noVBand="1"/>
      </w:tblPr>
      <w:tblGrid>
        <w:gridCol w:w="1135"/>
        <w:gridCol w:w="2126"/>
        <w:gridCol w:w="2127"/>
        <w:gridCol w:w="2126"/>
        <w:gridCol w:w="1701"/>
      </w:tblGrid>
      <w:tr w:rsidR="00776DD8" w:rsidRPr="00054C6A" w:rsidTr="00DF35DF">
        <w:trPr>
          <w:tblHeader/>
        </w:trPr>
        <w:tc>
          <w:tcPr>
            <w:tcW w:w="1135" w:type="dxa"/>
          </w:tcPr>
          <w:p w:rsidR="00776DD8" w:rsidRPr="00054C6A" w:rsidRDefault="00776DD8" w:rsidP="00292F6E">
            <w:pPr>
              <w:keepNext/>
              <w:spacing w:after="0"/>
              <w:rPr>
                <w:rFonts w:ascii="Arial" w:hAnsi="Arial" w:cs="Arial"/>
                <w:sz w:val="20"/>
                <w:szCs w:val="20"/>
              </w:rPr>
            </w:pPr>
          </w:p>
        </w:tc>
        <w:tc>
          <w:tcPr>
            <w:tcW w:w="2126" w:type="dxa"/>
          </w:tcPr>
          <w:p w:rsidR="00776DD8" w:rsidRPr="00054C6A" w:rsidRDefault="00776DD8" w:rsidP="00292F6E">
            <w:pPr>
              <w:keepNext/>
              <w:spacing w:after="0"/>
              <w:rPr>
                <w:rFonts w:ascii="Arial" w:hAnsi="Arial" w:cs="Arial"/>
                <w:b/>
                <w:sz w:val="20"/>
                <w:szCs w:val="20"/>
              </w:rPr>
            </w:pPr>
            <w:r w:rsidRPr="00054C6A">
              <w:rPr>
                <w:rFonts w:ascii="Arial" w:hAnsi="Arial" w:cs="Arial"/>
                <w:b/>
                <w:sz w:val="20"/>
                <w:szCs w:val="20"/>
              </w:rPr>
              <w:t xml:space="preserve">Planning </w:t>
            </w:r>
          </w:p>
        </w:tc>
        <w:tc>
          <w:tcPr>
            <w:tcW w:w="2127" w:type="dxa"/>
          </w:tcPr>
          <w:p w:rsidR="00776DD8" w:rsidRPr="00054C6A" w:rsidRDefault="00776DD8" w:rsidP="00292F6E">
            <w:pPr>
              <w:keepNext/>
              <w:spacing w:after="0"/>
              <w:rPr>
                <w:rFonts w:ascii="Arial" w:hAnsi="Arial" w:cs="Arial"/>
                <w:b/>
                <w:sz w:val="20"/>
                <w:szCs w:val="20"/>
              </w:rPr>
            </w:pPr>
            <w:r w:rsidRPr="00054C6A">
              <w:rPr>
                <w:rFonts w:ascii="Arial" w:hAnsi="Arial" w:cs="Arial"/>
                <w:b/>
                <w:sz w:val="20"/>
                <w:szCs w:val="20"/>
              </w:rPr>
              <w:t>Water</w:t>
            </w:r>
          </w:p>
        </w:tc>
        <w:tc>
          <w:tcPr>
            <w:tcW w:w="2126" w:type="dxa"/>
          </w:tcPr>
          <w:p w:rsidR="00776DD8" w:rsidRPr="00054C6A" w:rsidRDefault="00776DD8" w:rsidP="00292F6E">
            <w:pPr>
              <w:keepNext/>
              <w:spacing w:after="0"/>
              <w:rPr>
                <w:rFonts w:ascii="Arial" w:hAnsi="Arial" w:cs="Arial"/>
                <w:sz w:val="20"/>
                <w:szCs w:val="20"/>
              </w:rPr>
            </w:pPr>
            <w:r w:rsidRPr="00054C6A">
              <w:rPr>
                <w:rFonts w:ascii="Arial" w:hAnsi="Arial" w:cs="Arial"/>
                <w:b/>
                <w:sz w:val="20"/>
                <w:szCs w:val="20"/>
              </w:rPr>
              <w:t xml:space="preserve">Forestry </w:t>
            </w:r>
          </w:p>
        </w:tc>
        <w:tc>
          <w:tcPr>
            <w:tcW w:w="1701" w:type="dxa"/>
          </w:tcPr>
          <w:p w:rsidR="00776DD8" w:rsidRPr="00054C6A" w:rsidRDefault="00776DD8" w:rsidP="00292F6E">
            <w:pPr>
              <w:keepNext/>
              <w:spacing w:after="0"/>
              <w:rPr>
                <w:rFonts w:ascii="Arial" w:hAnsi="Arial" w:cs="Arial"/>
                <w:b/>
                <w:sz w:val="20"/>
                <w:szCs w:val="20"/>
              </w:rPr>
            </w:pPr>
            <w:r w:rsidRPr="00054C6A">
              <w:rPr>
                <w:rFonts w:ascii="Arial" w:hAnsi="Arial" w:cs="Arial"/>
                <w:b/>
                <w:sz w:val="20"/>
                <w:szCs w:val="20"/>
              </w:rPr>
              <w:t>Mining</w:t>
            </w:r>
          </w:p>
        </w:tc>
      </w:tr>
      <w:tr w:rsidR="00776DD8" w:rsidRPr="00054C6A" w:rsidTr="0096048F">
        <w:trPr>
          <w:trHeight w:val="2134"/>
        </w:trPr>
        <w:tc>
          <w:tcPr>
            <w:tcW w:w="1135" w:type="dxa"/>
          </w:tcPr>
          <w:p w:rsidR="00776DD8" w:rsidRPr="00054C6A" w:rsidRDefault="00776DD8" w:rsidP="0096048F">
            <w:pPr>
              <w:spacing w:after="0"/>
              <w:rPr>
                <w:rFonts w:ascii="Arial" w:hAnsi="Arial" w:cs="Arial"/>
                <w:b/>
                <w:sz w:val="20"/>
                <w:szCs w:val="20"/>
              </w:rPr>
            </w:pPr>
            <w:r w:rsidRPr="00054C6A">
              <w:rPr>
                <w:rFonts w:ascii="Arial" w:hAnsi="Arial" w:cs="Arial"/>
                <w:b/>
                <w:sz w:val="20"/>
                <w:szCs w:val="20"/>
              </w:rPr>
              <w:t>NSW</w:t>
            </w:r>
          </w:p>
          <w:p w:rsidR="00776DD8" w:rsidRPr="00054C6A" w:rsidRDefault="00776DD8" w:rsidP="0096048F">
            <w:pPr>
              <w:spacing w:after="0"/>
              <w:rPr>
                <w:rFonts w:ascii="Arial" w:hAnsi="Arial" w:cs="Arial"/>
                <w:b/>
                <w:sz w:val="20"/>
                <w:szCs w:val="20"/>
              </w:rPr>
            </w:pPr>
            <w:r w:rsidRPr="00054C6A">
              <w:rPr>
                <w:rFonts w:ascii="Arial" w:hAnsi="Arial" w:cs="Arial"/>
                <w:b/>
                <w:sz w:val="20"/>
                <w:szCs w:val="20"/>
              </w:rPr>
              <w:t>(current)</w:t>
            </w:r>
          </w:p>
        </w:tc>
        <w:tc>
          <w:tcPr>
            <w:tcW w:w="2126" w:type="dxa"/>
          </w:tcPr>
          <w:p w:rsidR="00776DD8" w:rsidRPr="00054C6A" w:rsidRDefault="00776DD8" w:rsidP="00536191">
            <w:pPr>
              <w:pStyle w:val="ListParagraph"/>
              <w:numPr>
                <w:ilvl w:val="0"/>
                <w:numId w:val="4"/>
              </w:numPr>
              <w:spacing w:after="0"/>
              <w:rPr>
                <w:rFonts w:ascii="Arial" w:hAnsi="Arial" w:cs="Arial"/>
                <w:sz w:val="20"/>
                <w:szCs w:val="20"/>
              </w:rPr>
            </w:pPr>
            <w:r w:rsidRPr="00054C6A">
              <w:rPr>
                <w:rFonts w:ascii="Arial" w:hAnsi="Arial" w:cs="Arial"/>
                <w:sz w:val="20"/>
                <w:szCs w:val="20"/>
              </w:rPr>
              <w:t>Restraining or remedying breaches of the Act.</w:t>
            </w:r>
            <w:r w:rsidRPr="00054C6A">
              <w:rPr>
                <w:rStyle w:val="EndnoteReference"/>
                <w:rFonts w:ascii="Arial" w:hAnsi="Arial" w:cs="Arial"/>
                <w:sz w:val="20"/>
                <w:szCs w:val="20"/>
              </w:rPr>
              <w:endnoteReference w:id="12"/>
            </w:r>
            <w:r w:rsidRPr="00054C6A">
              <w:rPr>
                <w:rFonts w:ascii="Arial" w:hAnsi="Arial" w:cs="Arial"/>
                <w:sz w:val="20"/>
                <w:szCs w:val="20"/>
              </w:rPr>
              <w:t xml:space="preserve">  </w:t>
            </w:r>
            <w:r w:rsidRPr="00054C6A">
              <w:rPr>
                <w:b/>
                <w:color w:val="92D050"/>
                <w:sz w:val="20"/>
                <w:szCs w:val="20"/>
              </w:rPr>
              <w:sym w:font="Wingdings 2" w:char="F050"/>
            </w:r>
          </w:p>
          <w:p w:rsidR="00776DD8" w:rsidRPr="00051330" w:rsidRDefault="00776DD8" w:rsidP="00536191">
            <w:pPr>
              <w:pStyle w:val="ListParagraph"/>
              <w:numPr>
                <w:ilvl w:val="0"/>
                <w:numId w:val="4"/>
              </w:numPr>
              <w:spacing w:after="0"/>
              <w:rPr>
                <w:rFonts w:ascii="Arial" w:hAnsi="Arial" w:cs="Arial"/>
                <w:sz w:val="20"/>
                <w:szCs w:val="20"/>
              </w:rPr>
            </w:pPr>
            <w:r w:rsidRPr="00051330">
              <w:rPr>
                <w:rFonts w:ascii="Arial" w:hAnsi="Arial" w:cs="Arial"/>
                <w:b/>
                <w:sz w:val="20"/>
                <w:szCs w:val="20"/>
              </w:rPr>
              <w:t>See commen</w:t>
            </w:r>
            <w:r>
              <w:rPr>
                <w:rFonts w:ascii="Arial" w:hAnsi="Arial" w:cs="Arial"/>
                <w:b/>
                <w:sz w:val="20"/>
                <w:szCs w:val="20"/>
              </w:rPr>
              <w:t>ts below re. Planning Bill 2013.</w:t>
            </w:r>
          </w:p>
          <w:p w:rsidR="00776DD8" w:rsidRPr="00054C6A" w:rsidRDefault="00776DD8" w:rsidP="0096048F">
            <w:pPr>
              <w:spacing w:after="0"/>
              <w:rPr>
                <w:rFonts w:ascii="Arial" w:hAnsi="Arial" w:cs="Arial"/>
                <w:sz w:val="20"/>
                <w:szCs w:val="20"/>
              </w:rPr>
            </w:pPr>
          </w:p>
        </w:tc>
        <w:tc>
          <w:tcPr>
            <w:tcW w:w="2127" w:type="dxa"/>
          </w:tcPr>
          <w:p w:rsidR="00776DD8" w:rsidRPr="00054C6A" w:rsidRDefault="00776DD8" w:rsidP="00536191">
            <w:pPr>
              <w:pStyle w:val="ListParagraph"/>
              <w:numPr>
                <w:ilvl w:val="0"/>
                <w:numId w:val="4"/>
              </w:numPr>
              <w:spacing w:after="0"/>
              <w:rPr>
                <w:rFonts w:ascii="Arial" w:hAnsi="Arial" w:cs="Arial"/>
                <w:sz w:val="20"/>
                <w:szCs w:val="20"/>
              </w:rPr>
            </w:pPr>
            <w:r w:rsidRPr="00054C6A">
              <w:rPr>
                <w:rFonts w:ascii="Arial" w:hAnsi="Arial" w:cs="Arial"/>
                <w:sz w:val="20"/>
                <w:szCs w:val="20"/>
              </w:rPr>
              <w:t>Restraining or remedying breaches of the Act.</w:t>
            </w:r>
            <w:r w:rsidRPr="00054C6A">
              <w:rPr>
                <w:rStyle w:val="EndnoteReference"/>
                <w:rFonts w:ascii="Arial" w:hAnsi="Arial" w:cs="Arial"/>
                <w:sz w:val="20"/>
                <w:szCs w:val="20"/>
              </w:rPr>
              <w:endnoteReference w:id="13"/>
            </w:r>
            <w:r w:rsidRPr="00054C6A">
              <w:rPr>
                <w:rFonts w:ascii="Arial" w:hAnsi="Arial" w:cs="Arial"/>
                <w:sz w:val="20"/>
                <w:szCs w:val="20"/>
              </w:rPr>
              <w:t xml:space="preserve"> </w:t>
            </w:r>
            <w:r w:rsidRPr="00054C6A">
              <w:rPr>
                <w:b/>
                <w:color w:val="92D050"/>
                <w:sz w:val="20"/>
                <w:szCs w:val="20"/>
              </w:rPr>
              <w:sym w:font="Wingdings 2" w:char="F050"/>
            </w:r>
          </w:p>
          <w:p w:rsidR="00776DD8" w:rsidRDefault="00776DD8" w:rsidP="00536191">
            <w:pPr>
              <w:pStyle w:val="ListParagraph"/>
              <w:numPr>
                <w:ilvl w:val="0"/>
                <w:numId w:val="4"/>
              </w:numPr>
              <w:spacing w:after="0"/>
              <w:rPr>
                <w:rFonts w:ascii="Arial" w:hAnsi="Arial" w:cs="Arial"/>
                <w:sz w:val="20"/>
                <w:szCs w:val="20"/>
              </w:rPr>
            </w:pPr>
            <w:r>
              <w:rPr>
                <w:rFonts w:ascii="Arial" w:hAnsi="Arial" w:cs="Arial"/>
                <w:sz w:val="20"/>
                <w:szCs w:val="20"/>
              </w:rPr>
              <w:t xml:space="preserve">Appeal </w:t>
            </w:r>
            <w:r w:rsidRPr="00054C6A">
              <w:rPr>
                <w:rFonts w:ascii="Arial" w:hAnsi="Arial" w:cs="Arial"/>
                <w:sz w:val="20"/>
                <w:szCs w:val="20"/>
              </w:rPr>
              <w:t xml:space="preserve">approval of </w:t>
            </w:r>
            <w:r>
              <w:rPr>
                <w:rFonts w:ascii="Arial" w:hAnsi="Arial" w:cs="Arial"/>
                <w:sz w:val="20"/>
                <w:szCs w:val="20"/>
              </w:rPr>
              <w:t xml:space="preserve">allocation </w:t>
            </w:r>
            <w:r w:rsidRPr="00054C6A">
              <w:rPr>
                <w:rFonts w:ascii="Arial" w:hAnsi="Arial" w:cs="Arial"/>
                <w:sz w:val="20"/>
                <w:szCs w:val="20"/>
              </w:rPr>
              <w:t>licence (including transfer).</w:t>
            </w:r>
            <w:r w:rsidRPr="00CC707B">
              <w:rPr>
                <w:rFonts w:ascii="Arial" w:hAnsi="Arial" w:cs="Arial"/>
                <w:b/>
                <w:color w:val="F79646" w:themeColor="accent6"/>
                <w:sz w:val="20"/>
                <w:szCs w:val="20"/>
              </w:rPr>
              <w:t xml:space="preserve"> </w:t>
            </w:r>
            <w:r w:rsidR="003B6F69" w:rsidRPr="00CC707B">
              <w:rPr>
                <w:rFonts w:ascii="Arial" w:hAnsi="Arial" w:cs="Arial"/>
                <w:b/>
                <w:color w:val="F79646" w:themeColor="accent6"/>
                <w:sz w:val="20"/>
                <w:szCs w:val="20"/>
              </w:rPr>
              <w:t>X</w:t>
            </w:r>
            <w:r w:rsidRPr="00054C6A">
              <w:rPr>
                <w:rStyle w:val="EndnoteReference"/>
                <w:rFonts w:ascii="Arial" w:hAnsi="Arial" w:cs="Arial"/>
                <w:sz w:val="20"/>
                <w:szCs w:val="20"/>
              </w:rPr>
              <w:t xml:space="preserve"> </w:t>
            </w:r>
            <w:r w:rsidRPr="00054C6A">
              <w:rPr>
                <w:rStyle w:val="EndnoteReference"/>
                <w:rFonts w:ascii="Arial" w:hAnsi="Arial" w:cs="Arial"/>
                <w:sz w:val="20"/>
                <w:szCs w:val="20"/>
              </w:rPr>
              <w:endnoteReference w:id="14"/>
            </w:r>
          </w:p>
          <w:p w:rsidR="00776DD8" w:rsidRPr="00054C6A" w:rsidRDefault="00776DD8" w:rsidP="00536191">
            <w:pPr>
              <w:pStyle w:val="ListParagraph"/>
              <w:numPr>
                <w:ilvl w:val="0"/>
                <w:numId w:val="4"/>
              </w:numPr>
              <w:spacing w:after="0"/>
              <w:rPr>
                <w:rFonts w:ascii="Arial" w:hAnsi="Arial" w:cs="Arial"/>
                <w:sz w:val="20"/>
                <w:szCs w:val="20"/>
              </w:rPr>
            </w:pPr>
            <w:r>
              <w:rPr>
                <w:rFonts w:ascii="Arial" w:hAnsi="Arial" w:cs="Arial"/>
                <w:sz w:val="20"/>
                <w:szCs w:val="20"/>
              </w:rPr>
              <w:t>Water use or water works approval.</w:t>
            </w:r>
            <w:r>
              <w:rPr>
                <w:rStyle w:val="EndnoteReference"/>
                <w:rFonts w:ascii="Arial" w:hAnsi="Arial" w:cs="Arial"/>
                <w:sz w:val="20"/>
                <w:szCs w:val="20"/>
              </w:rPr>
              <w:endnoteReference w:id="15"/>
            </w:r>
            <w:r>
              <w:rPr>
                <w:rFonts w:ascii="Arial" w:hAnsi="Arial" w:cs="Arial"/>
                <w:sz w:val="20"/>
                <w:szCs w:val="20"/>
              </w:rPr>
              <w:t xml:space="preserve"> </w:t>
            </w:r>
            <w:r w:rsidRPr="00054C6A">
              <w:rPr>
                <w:b/>
                <w:color w:val="92D050"/>
                <w:sz w:val="20"/>
                <w:szCs w:val="20"/>
              </w:rPr>
              <w:sym w:font="Wingdings 2" w:char="F050"/>
            </w:r>
          </w:p>
          <w:p w:rsidR="00776DD8" w:rsidRPr="00051330" w:rsidRDefault="00776DD8" w:rsidP="00536191">
            <w:pPr>
              <w:pStyle w:val="ListParagraph"/>
              <w:numPr>
                <w:ilvl w:val="0"/>
                <w:numId w:val="4"/>
              </w:numPr>
              <w:spacing w:after="0"/>
              <w:rPr>
                <w:rFonts w:ascii="Arial" w:hAnsi="Arial" w:cs="Arial"/>
                <w:sz w:val="20"/>
                <w:szCs w:val="20"/>
              </w:rPr>
            </w:pPr>
            <w:r w:rsidRPr="00051330">
              <w:rPr>
                <w:rFonts w:ascii="Arial" w:hAnsi="Arial" w:cs="Arial"/>
                <w:b/>
                <w:sz w:val="20"/>
                <w:szCs w:val="20"/>
              </w:rPr>
              <w:t>See comments below</w:t>
            </w:r>
            <w:r>
              <w:rPr>
                <w:rFonts w:ascii="Arial" w:hAnsi="Arial" w:cs="Arial"/>
                <w:b/>
                <w:sz w:val="20"/>
                <w:szCs w:val="20"/>
              </w:rPr>
              <w:t xml:space="preserve"> re</w:t>
            </w:r>
            <w:r w:rsidR="00925EF7">
              <w:rPr>
                <w:rFonts w:ascii="Arial" w:hAnsi="Arial" w:cs="Arial"/>
                <w:b/>
                <w:sz w:val="20"/>
                <w:szCs w:val="20"/>
              </w:rPr>
              <w:t>.</w:t>
            </w:r>
            <w:r>
              <w:rPr>
                <w:rFonts w:ascii="Arial" w:hAnsi="Arial" w:cs="Arial"/>
                <w:b/>
                <w:sz w:val="20"/>
                <w:szCs w:val="20"/>
              </w:rPr>
              <w:t xml:space="preserve"> barriers to accessing appeal rights. </w:t>
            </w:r>
            <w:r w:rsidRPr="00051330">
              <w:rPr>
                <w:rFonts w:ascii="Arial" w:hAnsi="Arial" w:cs="Arial"/>
                <w:b/>
                <w:sz w:val="20"/>
                <w:szCs w:val="20"/>
              </w:rPr>
              <w:t xml:space="preserve"> </w:t>
            </w:r>
          </w:p>
          <w:p w:rsidR="00776DD8" w:rsidRPr="00054C6A" w:rsidRDefault="00776DD8" w:rsidP="0096048F">
            <w:pPr>
              <w:spacing w:after="0"/>
              <w:rPr>
                <w:rFonts w:ascii="Arial" w:hAnsi="Arial" w:cs="Arial"/>
                <w:sz w:val="20"/>
                <w:szCs w:val="20"/>
              </w:rPr>
            </w:pPr>
          </w:p>
        </w:tc>
        <w:tc>
          <w:tcPr>
            <w:tcW w:w="2126" w:type="dxa"/>
          </w:tcPr>
          <w:p w:rsidR="00776DD8" w:rsidRPr="00D20840" w:rsidRDefault="00776DD8" w:rsidP="00536191">
            <w:pPr>
              <w:pStyle w:val="ListParagraph"/>
              <w:numPr>
                <w:ilvl w:val="0"/>
                <w:numId w:val="4"/>
              </w:numPr>
              <w:spacing w:after="0"/>
              <w:rPr>
                <w:rFonts w:ascii="Arial" w:hAnsi="Arial" w:cs="Arial"/>
                <w:sz w:val="20"/>
                <w:szCs w:val="20"/>
              </w:rPr>
            </w:pPr>
            <w:r>
              <w:rPr>
                <w:rFonts w:ascii="Arial" w:hAnsi="Arial" w:cs="Arial"/>
                <w:sz w:val="20"/>
                <w:szCs w:val="20"/>
              </w:rPr>
              <w:t xml:space="preserve">Restraining or remedying a breach of an </w:t>
            </w:r>
            <w:r w:rsidRPr="00CC707B">
              <w:rPr>
                <w:rFonts w:ascii="Arial" w:hAnsi="Arial" w:cs="Arial"/>
                <w:sz w:val="20"/>
                <w:szCs w:val="20"/>
              </w:rPr>
              <w:t>integrated forestry operations approval.</w:t>
            </w:r>
            <w:r>
              <w:rPr>
                <w:rStyle w:val="EndnoteReference"/>
                <w:rFonts w:ascii="Arial" w:hAnsi="Arial" w:cs="Arial"/>
                <w:sz w:val="20"/>
                <w:szCs w:val="20"/>
              </w:rPr>
              <w:endnoteReference w:id="16"/>
            </w:r>
            <w:r w:rsidRPr="00CC707B">
              <w:rPr>
                <w:rFonts w:ascii="Arial" w:hAnsi="Arial" w:cs="Arial"/>
                <w:b/>
                <w:color w:val="F79646" w:themeColor="accent6"/>
                <w:sz w:val="20"/>
                <w:szCs w:val="20"/>
              </w:rPr>
              <w:t xml:space="preserve"> </w:t>
            </w:r>
            <w:r w:rsidR="003B6F69" w:rsidRPr="00CC707B">
              <w:rPr>
                <w:rFonts w:ascii="Arial" w:hAnsi="Arial" w:cs="Arial"/>
                <w:b/>
                <w:color w:val="F79646" w:themeColor="accent6"/>
                <w:sz w:val="20"/>
                <w:szCs w:val="20"/>
              </w:rPr>
              <w:t>X</w:t>
            </w:r>
          </w:p>
          <w:p w:rsidR="00776DD8" w:rsidRPr="00CC707B" w:rsidRDefault="00776DD8" w:rsidP="00536191">
            <w:pPr>
              <w:pStyle w:val="ListParagraph"/>
              <w:numPr>
                <w:ilvl w:val="0"/>
                <w:numId w:val="4"/>
              </w:numPr>
              <w:spacing w:after="0"/>
              <w:rPr>
                <w:rFonts w:ascii="Arial" w:hAnsi="Arial" w:cs="Arial"/>
                <w:sz w:val="20"/>
                <w:szCs w:val="20"/>
              </w:rPr>
            </w:pPr>
            <w:r>
              <w:rPr>
                <w:rFonts w:ascii="Arial" w:hAnsi="Arial" w:cs="Arial"/>
                <w:sz w:val="20"/>
                <w:szCs w:val="20"/>
              </w:rPr>
              <w:t xml:space="preserve">Appeal licences and approvals under relevant legislation. </w:t>
            </w:r>
            <w:r w:rsidR="003B6F69" w:rsidRPr="00CC707B">
              <w:rPr>
                <w:rFonts w:ascii="Arial" w:hAnsi="Arial" w:cs="Arial"/>
                <w:b/>
                <w:color w:val="F79646" w:themeColor="accent6"/>
                <w:sz w:val="20"/>
                <w:szCs w:val="20"/>
              </w:rPr>
              <w:t>X</w:t>
            </w:r>
          </w:p>
          <w:p w:rsidR="00776DD8" w:rsidRPr="00054C6A" w:rsidRDefault="00776DD8" w:rsidP="0096048F">
            <w:pPr>
              <w:pStyle w:val="ListParagraph"/>
              <w:spacing w:after="0"/>
              <w:ind w:left="360"/>
              <w:rPr>
                <w:b/>
                <w:color w:val="92D050"/>
                <w:sz w:val="20"/>
                <w:szCs w:val="20"/>
              </w:rPr>
            </w:pPr>
          </w:p>
          <w:p w:rsidR="00776DD8" w:rsidRPr="00054C6A" w:rsidRDefault="00776DD8" w:rsidP="0096048F">
            <w:pPr>
              <w:pStyle w:val="ListParagraph"/>
              <w:spacing w:after="0"/>
              <w:ind w:left="360"/>
              <w:rPr>
                <w:rFonts w:ascii="Arial" w:hAnsi="Arial" w:cs="Arial"/>
                <w:sz w:val="20"/>
                <w:szCs w:val="20"/>
              </w:rPr>
            </w:pPr>
          </w:p>
        </w:tc>
        <w:tc>
          <w:tcPr>
            <w:tcW w:w="1701" w:type="dxa"/>
          </w:tcPr>
          <w:p w:rsidR="00776DD8" w:rsidRPr="00404DB9" w:rsidRDefault="00776DD8" w:rsidP="00536191">
            <w:pPr>
              <w:pStyle w:val="ListParagraph"/>
              <w:numPr>
                <w:ilvl w:val="0"/>
                <w:numId w:val="4"/>
              </w:numPr>
              <w:spacing w:after="0"/>
              <w:rPr>
                <w:rFonts w:ascii="Arial" w:hAnsi="Arial" w:cs="Arial"/>
                <w:sz w:val="20"/>
                <w:szCs w:val="20"/>
              </w:rPr>
            </w:pPr>
            <w:r>
              <w:rPr>
                <w:rFonts w:ascii="Arial" w:hAnsi="Arial" w:cs="Arial"/>
                <w:sz w:val="20"/>
                <w:szCs w:val="20"/>
              </w:rPr>
              <w:t xml:space="preserve">Appeal exploration </w:t>
            </w:r>
            <w:r w:rsidRPr="00404DB9">
              <w:rPr>
                <w:rFonts w:ascii="Arial" w:hAnsi="Arial" w:cs="Arial"/>
                <w:sz w:val="20"/>
                <w:szCs w:val="20"/>
              </w:rPr>
              <w:t xml:space="preserve">licence. </w:t>
            </w:r>
            <w:r w:rsidR="0063638C" w:rsidRPr="00404DB9">
              <w:rPr>
                <w:rFonts w:ascii="Arial" w:hAnsi="Arial" w:cs="Arial"/>
                <w:b/>
                <w:color w:val="F79646" w:themeColor="accent6"/>
                <w:sz w:val="20"/>
                <w:szCs w:val="20"/>
              </w:rPr>
              <w:t>(x)</w:t>
            </w:r>
          </w:p>
          <w:p w:rsidR="00776DD8" w:rsidRPr="00404DB9" w:rsidRDefault="00776DD8" w:rsidP="00536191">
            <w:pPr>
              <w:pStyle w:val="ListParagraph"/>
              <w:numPr>
                <w:ilvl w:val="0"/>
                <w:numId w:val="4"/>
              </w:numPr>
              <w:spacing w:after="0"/>
              <w:rPr>
                <w:rFonts w:ascii="Arial" w:hAnsi="Arial" w:cs="Arial"/>
                <w:sz w:val="20"/>
                <w:szCs w:val="20"/>
              </w:rPr>
            </w:pPr>
            <w:r w:rsidRPr="00404DB9">
              <w:rPr>
                <w:rFonts w:ascii="Arial" w:hAnsi="Arial" w:cs="Arial"/>
                <w:sz w:val="20"/>
                <w:szCs w:val="20"/>
              </w:rPr>
              <w:t>Appeal production lease.</w:t>
            </w:r>
            <w:r w:rsidR="002D390D" w:rsidRPr="00404DB9">
              <w:rPr>
                <w:rStyle w:val="EndnoteReference"/>
                <w:rFonts w:ascii="Arial" w:hAnsi="Arial" w:cs="Arial"/>
                <w:sz w:val="20"/>
                <w:szCs w:val="20"/>
              </w:rPr>
              <w:endnoteReference w:id="17"/>
            </w:r>
            <w:r w:rsidRPr="00404DB9">
              <w:rPr>
                <w:rFonts w:ascii="Arial" w:hAnsi="Arial" w:cs="Arial"/>
                <w:sz w:val="20"/>
                <w:szCs w:val="20"/>
              </w:rPr>
              <w:t xml:space="preserve"> </w:t>
            </w:r>
            <w:r w:rsidR="0063638C" w:rsidRPr="00404DB9">
              <w:rPr>
                <w:rFonts w:ascii="Arial" w:hAnsi="Arial" w:cs="Arial"/>
                <w:b/>
                <w:color w:val="F79646" w:themeColor="accent6"/>
                <w:sz w:val="20"/>
                <w:szCs w:val="20"/>
              </w:rPr>
              <w:t>(x)</w:t>
            </w:r>
          </w:p>
          <w:p w:rsidR="00CA1A36" w:rsidRDefault="00CA1A36" w:rsidP="00CA1A36">
            <w:pPr>
              <w:pStyle w:val="ListParagraph"/>
              <w:spacing w:after="0"/>
              <w:ind w:left="360"/>
              <w:rPr>
                <w:rFonts w:ascii="Arial" w:hAnsi="Arial" w:cs="Arial"/>
                <w:b/>
                <w:color w:val="F79646" w:themeColor="accent6"/>
                <w:sz w:val="20"/>
                <w:szCs w:val="20"/>
              </w:rPr>
            </w:pPr>
          </w:p>
          <w:p w:rsidR="00CA1A36" w:rsidRPr="00CA1A36" w:rsidRDefault="00CA1A36" w:rsidP="00CA1A36">
            <w:pPr>
              <w:spacing w:after="0"/>
              <w:rPr>
                <w:rFonts w:ascii="Arial" w:hAnsi="Arial" w:cs="Arial"/>
                <w:b/>
                <w:sz w:val="20"/>
                <w:szCs w:val="20"/>
              </w:rPr>
            </w:pPr>
          </w:p>
        </w:tc>
      </w:tr>
      <w:tr w:rsidR="00776DD8" w:rsidRPr="00054C6A" w:rsidTr="0096048F">
        <w:trPr>
          <w:trHeight w:val="699"/>
        </w:trPr>
        <w:tc>
          <w:tcPr>
            <w:tcW w:w="1135" w:type="dxa"/>
          </w:tcPr>
          <w:p w:rsidR="00776DD8" w:rsidRPr="00054C6A" w:rsidRDefault="00776DD8" w:rsidP="0096048F">
            <w:pPr>
              <w:spacing w:after="0"/>
              <w:rPr>
                <w:rFonts w:ascii="Arial" w:hAnsi="Arial" w:cs="Arial"/>
                <w:b/>
                <w:sz w:val="20"/>
                <w:szCs w:val="20"/>
              </w:rPr>
            </w:pPr>
            <w:r w:rsidRPr="00054C6A">
              <w:rPr>
                <w:rFonts w:ascii="Arial" w:hAnsi="Arial" w:cs="Arial"/>
                <w:b/>
                <w:sz w:val="20"/>
                <w:szCs w:val="20"/>
              </w:rPr>
              <w:t>Vic</w:t>
            </w:r>
          </w:p>
        </w:tc>
        <w:tc>
          <w:tcPr>
            <w:tcW w:w="2126" w:type="dxa"/>
          </w:tcPr>
          <w:p w:rsidR="00776DD8" w:rsidRPr="00054C6A" w:rsidRDefault="00776DD8" w:rsidP="00536191">
            <w:pPr>
              <w:pStyle w:val="ListParagraph"/>
              <w:numPr>
                <w:ilvl w:val="0"/>
                <w:numId w:val="4"/>
              </w:numPr>
              <w:spacing w:after="0"/>
              <w:rPr>
                <w:rFonts w:ascii="Arial" w:hAnsi="Arial" w:cs="Arial"/>
                <w:sz w:val="20"/>
                <w:szCs w:val="20"/>
              </w:rPr>
            </w:pPr>
            <w:r w:rsidRPr="00054C6A">
              <w:rPr>
                <w:rFonts w:ascii="Arial" w:hAnsi="Arial" w:cs="Arial"/>
                <w:sz w:val="20"/>
                <w:szCs w:val="20"/>
              </w:rPr>
              <w:t>Restraining or remedying breaches of the Act.</w:t>
            </w:r>
            <w:r w:rsidRPr="00054C6A">
              <w:rPr>
                <w:rStyle w:val="EndnoteReference"/>
                <w:rFonts w:ascii="Arial" w:hAnsi="Arial" w:cs="Arial"/>
                <w:sz w:val="20"/>
                <w:szCs w:val="20"/>
              </w:rPr>
              <w:endnoteReference w:id="18"/>
            </w:r>
            <w:r w:rsidRPr="00054C6A">
              <w:rPr>
                <w:rFonts w:ascii="Arial" w:hAnsi="Arial" w:cs="Arial"/>
                <w:sz w:val="20"/>
                <w:szCs w:val="20"/>
              </w:rPr>
              <w:t xml:space="preserve"> </w:t>
            </w:r>
            <w:r w:rsidRPr="00054C6A">
              <w:rPr>
                <w:b/>
                <w:color w:val="92D050"/>
                <w:sz w:val="20"/>
                <w:szCs w:val="20"/>
              </w:rPr>
              <w:sym w:font="Wingdings 2" w:char="F050"/>
            </w:r>
            <w:r w:rsidRPr="00054C6A">
              <w:rPr>
                <w:b/>
                <w:color w:val="92D050"/>
                <w:sz w:val="20"/>
                <w:szCs w:val="20"/>
              </w:rPr>
              <w:t xml:space="preserve"> </w:t>
            </w:r>
          </w:p>
          <w:p w:rsidR="00776DD8" w:rsidRPr="00054C6A" w:rsidRDefault="00776DD8" w:rsidP="00536191">
            <w:pPr>
              <w:pStyle w:val="ListParagraph"/>
              <w:numPr>
                <w:ilvl w:val="0"/>
                <w:numId w:val="4"/>
              </w:numPr>
              <w:spacing w:after="0"/>
              <w:rPr>
                <w:rFonts w:ascii="Arial" w:hAnsi="Arial" w:cs="Arial"/>
                <w:sz w:val="20"/>
                <w:szCs w:val="20"/>
              </w:rPr>
            </w:pPr>
            <w:r>
              <w:rPr>
                <w:rFonts w:ascii="Arial" w:hAnsi="Arial" w:cs="Arial"/>
                <w:sz w:val="20"/>
                <w:szCs w:val="20"/>
              </w:rPr>
              <w:t>A</w:t>
            </w:r>
            <w:r w:rsidRPr="00054C6A">
              <w:rPr>
                <w:rFonts w:ascii="Arial" w:hAnsi="Arial" w:cs="Arial"/>
                <w:sz w:val="20"/>
                <w:szCs w:val="20"/>
              </w:rPr>
              <w:t>ppeal rights in respect of major projects.</w:t>
            </w:r>
            <w:r>
              <w:rPr>
                <w:rFonts w:ascii="Arial" w:hAnsi="Arial" w:cs="Arial"/>
                <w:sz w:val="20"/>
                <w:szCs w:val="20"/>
              </w:rPr>
              <w:t xml:space="preserve"> </w:t>
            </w:r>
          </w:p>
          <w:p w:rsidR="00776DD8" w:rsidRPr="00054C6A" w:rsidRDefault="00776DD8" w:rsidP="00536191">
            <w:pPr>
              <w:pStyle w:val="ListParagraph"/>
              <w:numPr>
                <w:ilvl w:val="0"/>
                <w:numId w:val="4"/>
              </w:numPr>
              <w:spacing w:after="0"/>
              <w:rPr>
                <w:rFonts w:ascii="Arial" w:hAnsi="Arial" w:cs="Arial"/>
                <w:sz w:val="20"/>
                <w:szCs w:val="20"/>
              </w:rPr>
            </w:pPr>
            <w:r>
              <w:rPr>
                <w:rFonts w:ascii="Arial" w:hAnsi="Arial" w:cs="Arial"/>
                <w:sz w:val="20"/>
                <w:szCs w:val="20"/>
              </w:rPr>
              <w:t>A</w:t>
            </w:r>
            <w:r w:rsidRPr="00054C6A">
              <w:rPr>
                <w:rFonts w:ascii="Arial" w:hAnsi="Arial" w:cs="Arial"/>
                <w:sz w:val="20"/>
                <w:szCs w:val="20"/>
              </w:rPr>
              <w:t>ppeal rights in respect of other projects.</w:t>
            </w:r>
            <w:r>
              <w:rPr>
                <w:rFonts w:ascii="Arial" w:hAnsi="Arial" w:cs="Arial"/>
                <w:sz w:val="20"/>
                <w:szCs w:val="20"/>
              </w:rPr>
              <w:t xml:space="preserve"> </w:t>
            </w:r>
            <w:r>
              <w:rPr>
                <w:rStyle w:val="EndnoteReference"/>
                <w:rFonts w:ascii="Arial" w:hAnsi="Arial" w:cs="Arial"/>
                <w:sz w:val="20"/>
                <w:szCs w:val="20"/>
              </w:rPr>
              <w:endnoteReference w:id="19"/>
            </w:r>
            <w:r w:rsidRPr="00054C6A">
              <w:rPr>
                <w:rFonts w:ascii="Arial" w:hAnsi="Arial" w:cs="Arial"/>
                <w:sz w:val="20"/>
                <w:szCs w:val="20"/>
              </w:rPr>
              <w:t xml:space="preserve"> </w:t>
            </w:r>
            <w:r w:rsidRPr="00054C6A">
              <w:rPr>
                <w:b/>
                <w:color w:val="92D050"/>
                <w:sz w:val="20"/>
                <w:szCs w:val="20"/>
              </w:rPr>
              <w:sym w:font="Wingdings 2" w:char="F050"/>
            </w:r>
          </w:p>
          <w:p w:rsidR="00776DD8" w:rsidRPr="00054C6A" w:rsidRDefault="00776DD8" w:rsidP="0096048F">
            <w:pPr>
              <w:spacing w:after="0"/>
              <w:rPr>
                <w:rFonts w:ascii="Arial" w:hAnsi="Arial" w:cs="Arial"/>
                <w:sz w:val="20"/>
                <w:szCs w:val="20"/>
              </w:rPr>
            </w:pPr>
          </w:p>
        </w:tc>
        <w:tc>
          <w:tcPr>
            <w:tcW w:w="2127" w:type="dxa"/>
          </w:tcPr>
          <w:p w:rsidR="00776DD8" w:rsidRPr="00054C6A" w:rsidRDefault="00776DD8" w:rsidP="00536191">
            <w:pPr>
              <w:pStyle w:val="ListParagraph"/>
              <w:numPr>
                <w:ilvl w:val="0"/>
                <w:numId w:val="4"/>
              </w:numPr>
              <w:spacing w:after="0"/>
              <w:rPr>
                <w:rFonts w:ascii="Arial" w:hAnsi="Arial" w:cs="Arial"/>
                <w:sz w:val="20"/>
                <w:szCs w:val="20"/>
              </w:rPr>
            </w:pPr>
            <w:r w:rsidRPr="00054C6A">
              <w:rPr>
                <w:rFonts w:ascii="Arial" w:hAnsi="Arial" w:cs="Arial"/>
                <w:sz w:val="20"/>
                <w:szCs w:val="20"/>
              </w:rPr>
              <w:t>Restraining or remedying breaches of the Act.</w:t>
            </w:r>
            <w:r>
              <w:rPr>
                <w:rFonts w:ascii="Arial" w:hAnsi="Arial" w:cs="Arial"/>
                <w:sz w:val="20"/>
                <w:szCs w:val="20"/>
              </w:rPr>
              <w:t xml:space="preserve"> </w:t>
            </w:r>
            <w:r w:rsidR="003B6F69" w:rsidRPr="00CC707B">
              <w:rPr>
                <w:rFonts w:ascii="Arial" w:hAnsi="Arial" w:cs="Arial"/>
                <w:b/>
                <w:color w:val="F79646" w:themeColor="accent6"/>
                <w:sz w:val="20"/>
                <w:szCs w:val="20"/>
              </w:rPr>
              <w:t>X</w:t>
            </w:r>
          </w:p>
          <w:p w:rsidR="00776DD8" w:rsidRPr="00054C6A" w:rsidRDefault="00776DD8" w:rsidP="00536191">
            <w:pPr>
              <w:pStyle w:val="ListParagraph"/>
              <w:numPr>
                <w:ilvl w:val="0"/>
                <w:numId w:val="4"/>
              </w:numPr>
              <w:spacing w:after="0"/>
              <w:rPr>
                <w:rFonts w:ascii="Arial" w:hAnsi="Arial" w:cs="Arial"/>
                <w:sz w:val="20"/>
                <w:szCs w:val="20"/>
              </w:rPr>
            </w:pPr>
            <w:r>
              <w:rPr>
                <w:rFonts w:ascii="Arial" w:hAnsi="Arial" w:cs="Arial"/>
                <w:sz w:val="20"/>
                <w:szCs w:val="20"/>
              </w:rPr>
              <w:t>Appeal</w:t>
            </w:r>
            <w:r w:rsidRPr="00054C6A">
              <w:rPr>
                <w:rFonts w:ascii="Arial" w:hAnsi="Arial" w:cs="Arial"/>
                <w:sz w:val="20"/>
                <w:szCs w:val="20"/>
              </w:rPr>
              <w:t xml:space="preserve"> approval of </w:t>
            </w:r>
            <w:r>
              <w:rPr>
                <w:rFonts w:ascii="Arial" w:hAnsi="Arial" w:cs="Arial"/>
                <w:sz w:val="20"/>
                <w:szCs w:val="20"/>
              </w:rPr>
              <w:t xml:space="preserve">allocation </w:t>
            </w:r>
            <w:r w:rsidRPr="00054C6A">
              <w:rPr>
                <w:rFonts w:ascii="Arial" w:hAnsi="Arial" w:cs="Arial"/>
                <w:sz w:val="20"/>
                <w:szCs w:val="20"/>
              </w:rPr>
              <w:t>licence (including transfer).</w:t>
            </w:r>
            <w:r>
              <w:rPr>
                <w:rFonts w:ascii="Arial" w:hAnsi="Arial" w:cs="Arial"/>
                <w:sz w:val="20"/>
                <w:szCs w:val="20"/>
              </w:rPr>
              <w:t xml:space="preserve"> </w:t>
            </w:r>
            <w:r>
              <w:rPr>
                <w:rStyle w:val="EndnoteReference"/>
                <w:rFonts w:ascii="Arial" w:hAnsi="Arial" w:cs="Arial"/>
                <w:sz w:val="20"/>
                <w:szCs w:val="20"/>
              </w:rPr>
              <w:endnoteReference w:id="20"/>
            </w:r>
            <w:r w:rsidRPr="00054C6A">
              <w:rPr>
                <w:b/>
                <w:color w:val="92D050"/>
                <w:sz w:val="20"/>
                <w:szCs w:val="20"/>
              </w:rPr>
              <w:t xml:space="preserve"> </w:t>
            </w:r>
            <w:r w:rsidR="003B6F69" w:rsidRPr="003B6F69">
              <w:rPr>
                <w:rFonts w:ascii="Arial" w:hAnsi="Arial" w:cs="Arial"/>
                <w:b/>
                <w:color w:val="F79646" w:themeColor="accent6"/>
                <w:sz w:val="20"/>
                <w:szCs w:val="20"/>
              </w:rPr>
              <w:t>X</w:t>
            </w:r>
            <w:r>
              <w:rPr>
                <w:rFonts w:ascii="Arial" w:hAnsi="Arial" w:cs="Arial"/>
                <w:b/>
                <w:color w:val="F79646" w:themeColor="accent6"/>
                <w:sz w:val="20"/>
                <w:szCs w:val="20"/>
              </w:rPr>
              <w:t xml:space="preserve"> </w:t>
            </w:r>
          </w:p>
        </w:tc>
        <w:tc>
          <w:tcPr>
            <w:tcW w:w="2126" w:type="dxa"/>
          </w:tcPr>
          <w:p w:rsidR="00776DD8" w:rsidRDefault="00776DD8" w:rsidP="00536191">
            <w:pPr>
              <w:pStyle w:val="ListParagraph"/>
              <w:numPr>
                <w:ilvl w:val="0"/>
                <w:numId w:val="4"/>
              </w:numPr>
              <w:spacing w:after="0"/>
              <w:rPr>
                <w:rFonts w:ascii="Arial" w:hAnsi="Arial" w:cs="Arial"/>
                <w:sz w:val="20"/>
                <w:szCs w:val="20"/>
              </w:rPr>
            </w:pPr>
            <w:r w:rsidRPr="00F255F2">
              <w:rPr>
                <w:rFonts w:ascii="Arial" w:hAnsi="Arial" w:cs="Arial"/>
                <w:sz w:val="20"/>
                <w:szCs w:val="20"/>
              </w:rPr>
              <w:t>Restraining or remedying breaches of relevant legislation</w:t>
            </w:r>
            <w:r>
              <w:rPr>
                <w:rFonts w:ascii="Arial" w:hAnsi="Arial" w:cs="Arial"/>
                <w:sz w:val="20"/>
                <w:szCs w:val="20"/>
              </w:rPr>
              <w:t xml:space="preserve">. </w:t>
            </w:r>
            <w:r w:rsidR="003B6F69" w:rsidRPr="00CC707B">
              <w:rPr>
                <w:rFonts w:ascii="Arial" w:hAnsi="Arial" w:cs="Arial"/>
                <w:b/>
                <w:color w:val="F79646" w:themeColor="accent6"/>
                <w:sz w:val="20"/>
                <w:szCs w:val="20"/>
              </w:rPr>
              <w:t>X</w:t>
            </w:r>
          </w:p>
          <w:p w:rsidR="00776DD8" w:rsidRPr="00CC707B" w:rsidRDefault="00776DD8" w:rsidP="00536191">
            <w:pPr>
              <w:pStyle w:val="ListParagraph"/>
              <w:numPr>
                <w:ilvl w:val="0"/>
                <w:numId w:val="4"/>
              </w:numPr>
              <w:spacing w:after="0"/>
              <w:rPr>
                <w:rFonts w:ascii="Arial" w:hAnsi="Arial" w:cs="Arial"/>
                <w:sz w:val="20"/>
                <w:szCs w:val="20"/>
              </w:rPr>
            </w:pPr>
            <w:r>
              <w:rPr>
                <w:rFonts w:ascii="Arial" w:hAnsi="Arial" w:cs="Arial"/>
                <w:sz w:val="20"/>
                <w:szCs w:val="20"/>
              </w:rPr>
              <w:t xml:space="preserve">Appeal licences and approvals under relevant legislation. </w:t>
            </w:r>
            <w:r w:rsidR="003B6F69" w:rsidRPr="00CC707B">
              <w:rPr>
                <w:rFonts w:ascii="Arial" w:hAnsi="Arial" w:cs="Arial"/>
                <w:b/>
                <w:color w:val="F79646" w:themeColor="accent6"/>
                <w:sz w:val="20"/>
                <w:szCs w:val="20"/>
              </w:rPr>
              <w:t>X</w:t>
            </w:r>
          </w:p>
          <w:p w:rsidR="00776DD8" w:rsidRPr="00F255F2" w:rsidRDefault="00776DD8" w:rsidP="0096048F">
            <w:pPr>
              <w:pStyle w:val="ListParagraph"/>
              <w:spacing w:after="0"/>
              <w:ind w:left="360"/>
              <w:rPr>
                <w:rFonts w:ascii="Arial" w:hAnsi="Arial" w:cs="Arial"/>
                <w:sz w:val="20"/>
                <w:szCs w:val="20"/>
              </w:rPr>
            </w:pPr>
          </w:p>
          <w:p w:rsidR="00776DD8" w:rsidRDefault="00776DD8" w:rsidP="0096048F">
            <w:pPr>
              <w:spacing w:after="0"/>
              <w:jc w:val="both"/>
              <w:rPr>
                <w:rFonts w:ascii="Arial" w:hAnsi="Arial" w:cs="Arial"/>
                <w:sz w:val="20"/>
                <w:szCs w:val="20"/>
              </w:rPr>
            </w:pPr>
          </w:p>
          <w:p w:rsidR="00776DD8" w:rsidRPr="00054C6A" w:rsidRDefault="00776DD8" w:rsidP="0096048F">
            <w:pPr>
              <w:spacing w:after="0"/>
              <w:jc w:val="both"/>
              <w:rPr>
                <w:rFonts w:ascii="Arial" w:hAnsi="Arial" w:cs="Arial"/>
                <w:sz w:val="20"/>
                <w:szCs w:val="20"/>
              </w:rPr>
            </w:pPr>
          </w:p>
        </w:tc>
        <w:tc>
          <w:tcPr>
            <w:tcW w:w="1701" w:type="dxa"/>
          </w:tcPr>
          <w:p w:rsidR="00776DD8" w:rsidRPr="00F255F2" w:rsidRDefault="00776DD8" w:rsidP="00536191">
            <w:pPr>
              <w:pStyle w:val="ListParagraph"/>
              <w:numPr>
                <w:ilvl w:val="0"/>
                <w:numId w:val="4"/>
              </w:numPr>
              <w:spacing w:after="0"/>
              <w:rPr>
                <w:rFonts w:ascii="Arial" w:hAnsi="Arial" w:cs="Arial"/>
                <w:sz w:val="20"/>
                <w:szCs w:val="20"/>
              </w:rPr>
            </w:pPr>
            <w:r>
              <w:rPr>
                <w:rFonts w:ascii="Arial" w:hAnsi="Arial" w:cs="Arial"/>
                <w:sz w:val="20"/>
                <w:szCs w:val="20"/>
              </w:rPr>
              <w:t xml:space="preserve">Appeal exploration licence. </w:t>
            </w:r>
            <w:r w:rsidR="003B6F69" w:rsidRPr="00F255F2">
              <w:rPr>
                <w:rFonts w:ascii="Arial" w:hAnsi="Arial" w:cs="Arial"/>
                <w:b/>
                <w:color w:val="F79646" w:themeColor="accent6"/>
                <w:sz w:val="20"/>
                <w:szCs w:val="20"/>
              </w:rPr>
              <w:t>X</w:t>
            </w:r>
          </w:p>
          <w:p w:rsidR="00776DD8" w:rsidRPr="00F255F2" w:rsidRDefault="00776DD8" w:rsidP="00536191">
            <w:pPr>
              <w:pStyle w:val="ListParagraph"/>
              <w:numPr>
                <w:ilvl w:val="0"/>
                <w:numId w:val="4"/>
              </w:numPr>
              <w:spacing w:after="0"/>
              <w:rPr>
                <w:rFonts w:ascii="Arial" w:hAnsi="Arial" w:cs="Arial"/>
                <w:sz w:val="20"/>
                <w:szCs w:val="20"/>
              </w:rPr>
            </w:pPr>
            <w:r w:rsidRPr="00F255F2">
              <w:rPr>
                <w:rFonts w:ascii="Arial" w:hAnsi="Arial" w:cs="Arial"/>
                <w:sz w:val="20"/>
                <w:szCs w:val="20"/>
              </w:rPr>
              <w:t xml:space="preserve">Appeal production lease. </w:t>
            </w:r>
            <w:r w:rsidR="003B6F69" w:rsidRPr="00F255F2">
              <w:rPr>
                <w:rFonts w:ascii="Arial" w:hAnsi="Arial" w:cs="Arial"/>
                <w:b/>
                <w:color w:val="F79646" w:themeColor="accent6"/>
                <w:sz w:val="20"/>
                <w:szCs w:val="20"/>
              </w:rPr>
              <w:t>X</w:t>
            </w:r>
          </w:p>
        </w:tc>
      </w:tr>
      <w:tr w:rsidR="00776DD8" w:rsidRPr="00054C6A" w:rsidTr="0096048F">
        <w:trPr>
          <w:trHeight w:val="2818"/>
        </w:trPr>
        <w:tc>
          <w:tcPr>
            <w:tcW w:w="1135" w:type="dxa"/>
          </w:tcPr>
          <w:p w:rsidR="00776DD8" w:rsidRPr="00054C6A" w:rsidRDefault="00776DD8" w:rsidP="0096048F">
            <w:pPr>
              <w:spacing w:after="0"/>
              <w:rPr>
                <w:rFonts w:ascii="Arial" w:hAnsi="Arial" w:cs="Arial"/>
                <w:b/>
                <w:sz w:val="20"/>
                <w:szCs w:val="20"/>
              </w:rPr>
            </w:pPr>
            <w:r w:rsidRPr="00054C6A">
              <w:rPr>
                <w:rFonts w:ascii="Arial" w:hAnsi="Arial" w:cs="Arial"/>
                <w:b/>
                <w:sz w:val="20"/>
                <w:szCs w:val="20"/>
              </w:rPr>
              <w:t>Tas</w:t>
            </w:r>
          </w:p>
        </w:tc>
        <w:tc>
          <w:tcPr>
            <w:tcW w:w="2126" w:type="dxa"/>
          </w:tcPr>
          <w:p w:rsidR="00776DD8" w:rsidRDefault="00776DD8" w:rsidP="00BE719F">
            <w:pPr>
              <w:pStyle w:val="ListParagraph"/>
              <w:numPr>
                <w:ilvl w:val="0"/>
                <w:numId w:val="4"/>
              </w:numPr>
              <w:spacing w:after="0"/>
              <w:rPr>
                <w:rFonts w:ascii="Arial" w:hAnsi="Arial" w:cs="Arial"/>
                <w:sz w:val="20"/>
                <w:szCs w:val="20"/>
              </w:rPr>
            </w:pPr>
            <w:r w:rsidRPr="00BE719F">
              <w:rPr>
                <w:rFonts w:ascii="Arial" w:hAnsi="Arial" w:cs="Arial"/>
                <w:sz w:val="20"/>
                <w:szCs w:val="20"/>
              </w:rPr>
              <w:t>Restraining or remedying breaches of the Act.</w:t>
            </w:r>
            <w:r>
              <w:rPr>
                <w:rStyle w:val="EndnoteReference"/>
                <w:rFonts w:ascii="Arial" w:hAnsi="Arial" w:cs="Arial"/>
                <w:sz w:val="20"/>
                <w:szCs w:val="20"/>
              </w:rPr>
              <w:endnoteReference w:id="21"/>
            </w:r>
            <w:r w:rsidRPr="00BE719F">
              <w:rPr>
                <w:rFonts w:ascii="Arial" w:hAnsi="Arial" w:cs="Arial"/>
                <w:sz w:val="20"/>
                <w:szCs w:val="20"/>
              </w:rPr>
              <w:t xml:space="preserve"> </w:t>
            </w:r>
            <w:r>
              <w:rPr>
                <w:b/>
                <w:color w:val="92D050"/>
                <w:sz w:val="20"/>
                <w:szCs w:val="20"/>
              </w:rPr>
              <w:sym w:font="Wingdings 2" w:char="F050"/>
            </w:r>
          </w:p>
        </w:tc>
        <w:tc>
          <w:tcPr>
            <w:tcW w:w="2127" w:type="dxa"/>
          </w:tcPr>
          <w:p w:rsidR="00776DD8" w:rsidRDefault="00776DD8" w:rsidP="00536191">
            <w:pPr>
              <w:pStyle w:val="ListParagraph"/>
              <w:numPr>
                <w:ilvl w:val="0"/>
                <w:numId w:val="4"/>
              </w:numPr>
              <w:spacing w:after="0"/>
              <w:rPr>
                <w:rFonts w:ascii="Arial" w:hAnsi="Arial" w:cs="Arial"/>
                <w:sz w:val="20"/>
                <w:szCs w:val="20"/>
              </w:rPr>
            </w:pPr>
            <w:r>
              <w:rPr>
                <w:rFonts w:ascii="Arial" w:hAnsi="Arial" w:cs="Arial"/>
                <w:sz w:val="20"/>
                <w:szCs w:val="20"/>
              </w:rPr>
              <w:t>Restraining or remedying breaches of the Act.</w:t>
            </w:r>
            <w:r>
              <w:rPr>
                <w:rStyle w:val="EndnoteReference"/>
                <w:rFonts w:ascii="Arial" w:hAnsi="Arial" w:cs="Arial"/>
                <w:sz w:val="20"/>
                <w:szCs w:val="20"/>
              </w:rPr>
              <w:endnoteReference w:id="22"/>
            </w:r>
            <w:r>
              <w:rPr>
                <w:b/>
                <w:color w:val="92D050"/>
                <w:sz w:val="20"/>
                <w:szCs w:val="20"/>
              </w:rPr>
              <w:t xml:space="preserve"> </w:t>
            </w:r>
            <w:r>
              <w:rPr>
                <w:b/>
                <w:color w:val="92D050"/>
                <w:sz w:val="20"/>
                <w:szCs w:val="20"/>
              </w:rPr>
              <w:sym w:font="Wingdings 2" w:char="F050"/>
            </w:r>
          </w:p>
          <w:p w:rsidR="00776DD8" w:rsidRDefault="00776DD8" w:rsidP="00536191">
            <w:pPr>
              <w:pStyle w:val="ListParagraph"/>
              <w:numPr>
                <w:ilvl w:val="0"/>
                <w:numId w:val="4"/>
              </w:numPr>
              <w:spacing w:after="0"/>
              <w:rPr>
                <w:rFonts w:ascii="Arial" w:hAnsi="Arial" w:cs="Arial"/>
                <w:sz w:val="20"/>
                <w:szCs w:val="20"/>
              </w:rPr>
            </w:pPr>
            <w:r>
              <w:rPr>
                <w:rFonts w:ascii="Arial" w:hAnsi="Arial" w:cs="Arial"/>
                <w:sz w:val="20"/>
                <w:szCs w:val="20"/>
              </w:rPr>
              <w:t>Appeal rights in respect of approval of licence (including transfer).</w:t>
            </w:r>
            <w:r>
              <w:rPr>
                <w:rStyle w:val="EndnoteReference"/>
                <w:rFonts w:ascii="Arial" w:hAnsi="Arial" w:cs="Arial"/>
                <w:sz w:val="20"/>
                <w:szCs w:val="20"/>
              </w:rPr>
              <w:endnoteReference w:id="23"/>
            </w:r>
            <w:r>
              <w:rPr>
                <w:b/>
                <w:color w:val="92D050"/>
                <w:sz w:val="20"/>
                <w:szCs w:val="20"/>
              </w:rPr>
              <w:t xml:space="preserve"> </w:t>
            </w:r>
            <w:r>
              <w:rPr>
                <w:b/>
                <w:color w:val="92D050"/>
                <w:sz w:val="20"/>
                <w:szCs w:val="20"/>
              </w:rPr>
              <w:sym w:font="Wingdings 2" w:char="F050"/>
            </w:r>
          </w:p>
        </w:tc>
        <w:tc>
          <w:tcPr>
            <w:tcW w:w="2126" w:type="dxa"/>
          </w:tcPr>
          <w:p w:rsidR="00776DD8" w:rsidRDefault="00776DD8" w:rsidP="00536191">
            <w:pPr>
              <w:pStyle w:val="ListParagraph"/>
              <w:numPr>
                <w:ilvl w:val="0"/>
                <w:numId w:val="4"/>
              </w:numPr>
              <w:spacing w:after="0"/>
              <w:rPr>
                <w:rFonts w:ascii="Arial" w:hAnsi="Arial" w:cs="Arial"/>
                <w:sz w:val="20"/>
                <w:szCs w:val="20"/>
              </w:rPr>
            </w:pPr>
            <w:r>
              <w:rPr>
                <w:rFonts w:ascii="Arial" w:hAnsi="Arial" w:cs="Arial"/>
                <w:sz w:val="20"/>
                <w:szCs w:val="20"/>
              </w:rPr>
              <w:t>Appeal decision to certify a forest practices plan.</w:t>
            </w:r>
            <w:r>
              <w:rPr>
                <w:rStyle w:val="EndnoteReference"/>
                <w:rFonts w:ascii="Arial" w:hAnsi="Arial" w:cs="Arial"/>
                <w:sz w:val="20"/>
                <w:szCs w:val="20"/>
              </w:rPr>
              <w:endnoteReference w:id="24"/>
            </w:r>
            <w:r>
              <w:rPr>
                <w:rFonts w:ascii="Arial" w:hAnsi="Arial" w:cs="Arial"/>
                <w:sz w:val="20"/>
                <w:szCs w:val="20"/>
              </w:rPr>
              <w:t xml:space="preserve"> </w:t>
            </w:r>
            <w:r w:rsidR="003B6F69">
              <w:rPr>
                <w:rFonts w:ascii="Arial" w:hAnsi="Arial" w:cs="Arial"/>
                <w:b/>
                <w:color w:val="F79646" w:themeColor="accent6"/>
                <w:sz w:val="20"/>
                <w:szCs w:val="20"/>
              </w:rPr>
              <w:t>X</w:t>
            </w:r>
          </w:p>
          <w:p w:rsidR="00776DD8" w:rsidRDefault="00776DD8" w:rsidP="00536191">
            <w:pPr>
              <w:pStyle w:val="ListParagraph"/>
              <w:numPr>
                <w:ilvl w:val="0"/>
                <w:numId w:val="4"/>
              </w:numPr>
              <w:spacing w:after="0"/>
              <w:rPr>
                <w:rFonts w:ascii="Arial" w:hAnsi="Arial" w:cs="Arial"/>
                <w:sz w:val="20"/>
                <w:szCs w:val="20"/>
              </w:rPr>
            </w:pPr>
            <w:r>
              <w:rPr>
                <w:rFonts w:ascii="Arial" w:hAnsi="Arial" w:cs="Arial"/>
                <w:sz w:val="20"/>
                <w:szCs w:val="20"/>
              </w:rPr>
              <w:t>General right to object to a private timber reserve.</w:t>
            </w:r>
            <w:r>
              <w:rPr>
                <w:rStyle w:val="EndnoteReference"/>
                <w:rFonts w:ascii="Arial" w:hAnsi="Arial" w:cs="Arial"/>
                <w:sz w:val="20"/>
                <w:szCs w:val="20"/>
              </w:rPr>
              <w:endnoteReference w:id="25"/>
            </w:r>
            <w:r>
              <w:rPr>
                <w:rFonts w:ascii="Arial" w:hAnsi="Arial" w:cs="Arial"/>
                <w:b/>
                <w:color w:val="F79646" w:themeColor="accent6"/>
                <w:sz w:val="20"/>
                <w:szCs w:val="20"/>
              </w:rPr>
              <w:t xml:space="preserve"> </w:t>
            </w:r>
            <w:r w:rsidR="003B6F69">
              <w:rPr>
                <w:rFonts w:ascii="Arial" w:hAnsi="Arial" w:cs="Arial"/>
                <w:b/>
                <w:color w:val="F79646" w:themeColor="accent6"/>
                <w:sz w:val="20"/>
                <w:szCs w:val="20"/>
              </w:rPr>
              <w:t>X</w:t>
            </w:r>
            <w:r>
              <w:rPr>
                <w:rFonts w:ascii="Arial" w:hAnsi="Arial" w:cs="Arial"/>
                <w:b/>
                <w:color w:val="F79646" w:themeColor="accent6"/>
                <w:sz w:val="20"/>
                <w:szCs w:val="20"/>
              </w:rPr>
              <w:t xml:space="preserve"> </w:t>
            </w:r>
          </w:p>
        </w:tc>
        <w:tc>
          <w:tcPr>
            <w:tcW w:w="1701" w:type="dxa"/>
          </w:tcPr>
          <w:p w:rsidR="00776DD8" w:rsidRDefault="00776DD8" w:rsidP="00536191">
            <w:pPr>
              <w:pStyle w:val="ListParagraph"/>
              <w:numPr>
                <w:ilvl w:val="0"/>
                <w:numId w:val="4"/>
              </w:numPr>
              <w:spacing w:after="0"/>
              <w:rPr>
                <w:rFonts w:ascii="Arial" w:hAnsi="Arial" w:cs="Arial"/>
                <w:sz w:val="20"/>
                <w:szCs w:val="20"/>
              </w:rPr>
            </w:pPr>
            <w:r>
              <w:rPr>
                <w:rFonts w:ascii="Arial" w:hAnsi="Arial" w:cs="Arial"/>
                <w:sz w:val="20"/>
                <w:szCs w:val="20"/>
              </w:rPr>
              <w:t xml:space="preserve">Appeal exploration licence. </w:t>
            </w:r>
            <w:r w:rsidR="003B6F69">
              <w:rPr>
                <w:rFonts w:ascii="Arial" w:hAnsi="Arial" w:cs="Arial"/>
                <w:b/>
                <w:color w:val="F79646" w:themeColor="accent6"/>
                <w:sz w:val="20"/>
                <w:szCs w:val="20"/>
              </w:rPr>
              <w:t>X</w:t>
            </w:r>
          </w:p>
          <w:p w:rsidR="00776DD8" w:rsidRDefault="00776DD8" w:rsidP="00536191">
            <w:pPr>
              <w:pStyle w:val="ListParagraph"/>
              <w:numPr>
                <w:ilvl w:val="0"/>
                <w:numId w:val="4"/>
              </w:numPr>
              <w:spacing w:after="0"/>
              <w:rPr>
                <w:rFonts w:ascii="Arial" w:hAnsi="Arial" w:cs="Arial"/>
                <w:sz w:val="20"/>
                <w:szCs w:val="20"/>
              </w:rPr>
            </w:pPr>
            <w:r>
              <w:rPr>
                <w:rFonts w:ascii="Arial" w:hAnsi="Arial" w:cs="Arial"/>
                <w:sz w:val="20"/>
                <w:szCs w:val="20"/>
              </w:rPr>
              <w:t>Appeal production lease.</w:t>
            </w:r>
            <w:r>
              <w:rPr>
                <w:rStyle w:val="EndnoteReference"/>
                <w:rFonts w:ascii="Arial" w:hAnsi="Arial" w:cs="Arial"/>
                <w:sz w:val="20"/>
                <w:szCs w:val="20"/>
              </w:rPr>
              <w:endnoteReference w:id="26"/>
            </w:r>
            <w:r>
              <w:rPr>
                <w:rFonts w:ascii="Arial" w:hAnsi="Arial" w:cs="Arial"/>
                <w:sz w:val="20"/>
                <w:szCs w:val="20"/>
              </w:rPr>
              <w:t xml:space="preserve"> </w:t>
            </w:r>
            <w:r w:rsidR="003B6F69">
              <w:rPr>
                <w:rFonts w:ascii="Arial" w:hAnsi="Arial" w:cs="Arial"/>
                <w:b/>
                <w:color w:val="F79646" w:themeColor="accent6"/>
                <w:sz w:val="20"/>
                <w:szCs w:val="20"/>
              </w:rPr>
              <w:t>X</w:t>
            </w:r>
          </w:p>
        </w:tc>
      </w:tr>
      <w:tr w:rsidR="00776DD8" w:rsidRPr="00054C6A" w:rsidTr="0096048F">
        <w:tc>
          <w:tcPr>
            <w:tcW w:w="1135" w:type="dxa"/>
          </w:tcPr>
          <w:p w:rsidR="00776DD8" w:rsidRPr="00054C6A" w:rsidRDefault="00776DD8" w:rsidP="0096048F">
            <w:pPr>
              <w:spacing w:after="0"/>
              <w:rPr>
                <w:rFonts w:ascii="Arial" w:hAnsi="Arial" w:cs="Arial"/>
                <w:b/>
                <w:sz w:val="20"/>
                <w:szCs w:val="20"/>
              </w:rPr>
            </w:pPr>
            <w:r w:rsidRPr="00054C6A">
              <w:rPr>
                <w:rFonts w:ascii="Arial" w:hAnsi="Arial" w:cs="Arial"/>
                <w:b/>
                <w:sz w:val="20"/>
                <w:szCs w:val="20"/>
              </w:rPr>
              <w:t>SA</w:t>
            </w:r>
          </w:p>
        </w:tc>
        <w:tc>
          <w:tcPr>
            <w:tcW w:w="2126" w:type="dxa"/>
          </w:tcPr>
          <w:p w:rsidR="00776DD8" w:rsidRPr="00B92430" w:rsidRDefault="00776DD8" w:rsidP="00536191">
            <w:pPr>
              <w:pStyle w:val="ListParagraph"/>
              <w:numPr>
                <w:ilvl w:val="0"/>
                <w:numId w:val="4"/>
              </w:numPr>
              <w:spacing w:after="0"/>
              <w:rPr>
                <w:rFonts w:ascii="Arial" w:hAnsi="Arial" w:cs="Arial"/>
                <w:sz w:val="20"/>
                <w:szCs w:val="20"/>
              </w:rPr>
            </w:pPr>
            <w:r w:rsidRPr="00B92430">
              <w:rPr>
                <w:rFonts w:ascii="Arial" w:hAnsi="Arial" w:cs="Arial"/>
                <w:sz w:val="20"/>
                <w:szCs w:val="20"/>
              </w:rPr>
              <w:t>Restraining or remedying breaches of the Act.</w:t>
            </w:r>
            <w:r w:rsidRPr="00B92430">
              <w:rPr>
                <w:rFonts w:ascii="Arial" w:hAnsi="Arial" w:cs="Arial"/>
                <w:sz w:val="20"/>
                <w:szCs w:val="20"/>
                <w:vertAlign w:val="superscript"/>
              </w:rPr>
              <w:t xml:space="preserve"> </w:t>
            </w:r>
            <w:r w:rsidRPr="00B92430">
              <w:rPr>
                <w:rFonts w:ascii="Arial" w:hAnsi="Arial" w:cs="Arial"/>
                <w:sz w:val="20"/>
                <w:szCs w:val="20"/>
                <w:vertAlign w:val="superscript"/>
              </w:rPr>
              <w:endnoteReference w:id="27"/>
            </w:r>
            <w:r w:rsidRPr="00B92430">
              <w:rPr>
                <w:rFonts w:ascii="Arial" w:hAnsi="Arial" w:cs="Arial"/>
                <w:sz w:val="20"/>
                <w:szCs w:val="20"/>
              </w:rPr>
              <w:t xml:space="preserve"> </w:t>
            </w:r>
            <w:r w:rsidRPr="00B92430">
              <w:rPr>
                <w:b/>
                <w:color w:val="92D050"/>
                <w:sz w:val="20"/>
                <w:szCs w:val="20"/>
              </w:rPr>
              <w:sym w:font="Wingdings 2" w:char="F050"/>
            </w:r>
          </w:p>
          <w:p w:rsidR="00776DD8" w:rsidRPr="00B92430" w:rsidRDefault="00776DD8" w:rsidP="00536191">
            <w:pPr>
              <w:pStyle w:val="ListParagraph"/>
              <w:numPr>
                <w:ilvl w:val="0"/>
                <w:numId w:val="4"/>
              </w:numPr>
              <w:rPr>
                <w:rFonts w:ascii="Arial" w:hAnsi="Arial" w:cs="Arial"/>
                <w:sz w:val="20"/>
                <w:szCs w:val="20"/>
              </w:rPr>
            </w:pPr>
            <w:r w:rsidRPr="00B92430">
              <w:rPr>
                <w:rFonts w:ascii="Arial" w:hAnsi="Arial" w:cs="Arial"/>
                <w:sz w:val="20"/>
                <w:szCs w:val="20"/>
              </w:rPr>
              <w:t>Appeal rights in respect of major projects.</w:t>
            </w:r>
            <w:r w:rsidRPr="00B92430">
              <w:rPr>
                <w:rFonts w:ascii="Arial" w:hAnsi="Arial" w:cs="Arial"/>
                <w:sz w:val="20"/>
                <w:szCs w:val="20"/>
                <w:vertAlign w:val="superscript"/>
              </w:rPr>
              <w:t xml:space="preserve"> </w:t>
            </w:r>
            <w:r w:rsidRPr="00B92430">
              <w:rPr>
                <w:rFonts w:ascii="Arial" w:hAnsi="Arial" w:cs="Arial"/>
                <w:sz w:val="20"/>
                <w:szCs w:val="20"/>
                <w:vertAlign w:val="superscript"/>
              </w:rPr>
              <w:endnoteReference w:id="28"/>
            </w:r>
            <w:r w:rsidRPr="00B92430">
              <w:rPr>
                <w:rFonts w:ascii="Arial" w:hAnsi="Arial" w:cs="Arial"/>
                <w:sz w:val="20"/>
                <w:szCs w:val="20"/>
              </w:rPr>
              <w:t xml:space="preserve"> </w:t>
            </w:r>
            <w:r w:rsidR="00925EF7" w:rsidRPr="00B92430">
              <w:rPr>
                <w:rFonts w:ascii="Arial" w:hAnsi="Arial" w:cs="Arial"/>
                <w:b/>
                <w:color w:val="F79646" w:themeColor="accent6"/>
                <w:sz w:val="20"/>
                <w:szCs w:val="20"/>
              </w:rPr>
              <w:t>X</w:t>
            </w:r>
          </w:p>
          <w:p w:rsidR="00776DD8" w:rsidRPr="00B92430" w:rsidRDefault="00776DD8" w:rsidP="0096048F">
            <w:pPr>
              <w:pStyle w:val="ListParagraph"/>
              <w:spacing w:after="0"/>
              <w:ind w:left="360"/>
              <w:rPr>
                <w:rFonts w:ascii="Arial" w:hAnsi="Arial" w:cs="Arial"/>
                <w:sz w:val="20"/>
                <w:szCs w:val="20"/>
              </w:rPr>
            </w:pPr>
            <w:r w:rsidRPr="00B92430">
              <w:rPr>
                <w:rFonts w:ascii="Arial" w:hAnsi="Arial" w:cs="Arial"/>
                <w:sz w:val="20"/>
                <w:szCs w:val="20"/>
              </w:rPr>
              <w:t>Appeal rights in respect of other projects.</w:t>
            </w:r>
            <w:r w:rsidRPr="00B92430">
              <w:rPr>
                <w:rFonts w:ascii="Arial" w:hAnsi="Arial" w:cs="Arial"/>
                <w:sz w:val="20"/>
                <w:szCs w:val="20"/>
                <w:vertAlign w:val="superscript"/>
              </w:rPr>
              <w:t xml:space="preserve"> </w:t>
            </w:r>
            <w:r w:rsidRPr="00B92430">
              <w:rPr>
                <w:rFonts w:ascii="Arial" w:hAnsi="Arial" w:cs="Arial"/>
                <w:sz w:val="20"/>
                <w:szCs w:val="20"/>
                <w:vertAlign w:val="superscript"/>
              </w:rPr>
              <w:endnoteReference w:id="29"/>
            </w:r>
            <w:r w:rsidRPr="00B92430">
              <w:rPr>
                <w:b/>
                <w:color w:val="92D050"/>
                <w:sz w:val="20"/>
                <w:szCs w:val="20"/>
              </w:rPr>
              <w:t xml:space="preserve"> </w:t>
            </w:r>
            <w:r w:rsidRPr="00B92430">
              <w:rPr>
                <w:rFonts w:ascii="Arial" w:hAnsi="Arial" w:cs="Arial"/>
                <w:sz w:val="20"/>
                <w:szCs w:val="20"/>
              </w:rPr>
              <w:t xml:space="preserve"> </w:t>
            </w:r>
            <w:r w:rsidRPr="00B92430">
              <w:rPr>
                <w:b/>
                <w:color w:val="92D050"/>
                <w:sz w:val="20"/>
                <w:szCs w:val="20"/>
              </w:rPr>
              <w:sym w:font="Wingdings 2" w:char="F050"/>
            </w:r>
            <w:r w:rsidRPr="00B92430">
              <w:rPr>
                <w:b/>
                <w:color w:val="92D050"/>
                <w:sz w:val="20"/>
                <w:szCs w:val="20"/>
              </w:rPr>
              <w:t xml:space="preserve"> </w:t>
            </w:r>
          </w:p>
          <w:p w:rsidR="00776DD8" w:rsidRPr="00B92430" w:rsidRDefault="00776DD8" w:rsidP="0096048F">
            <w:pPr>
              <w:spacing w:after="0"/>
              <w:rPr>
                <w:rFonts w:ascii="Arial" w:hAnsi="Arial" w:cs="Arial"/>
                <w:sz w:val="20"/>
                <w:szCs w:val="20"/>
              </w:rPr>
            </w:pPr>
          </w:p>
        </w:tc>
        <w:tc>
          <w:tcPr>
            <w:tcW w:w="2127" w:type="dxa"/>
          </w:tcPr>
          <w:p w:rsidR="00776DD8" w:rsidRPr="00B92430" w:rsidRDefault="00776DD8" w:rsidP="00536191">
            <w:pPr>
              <w:pStyle w:val="ListParagraph"/>
              <w:numPr>
                <w:ilvl w:val="0"/>
                <w:numId w:val="4"/>
              </w:numPr>
              <w:rPr>
                <w:rFonts w:ascii="Arial" w:hAnsi="Arial" w:cs="Arial"/>
                <w:sz w:val="20"/>
                <w:szCs w:val="20"/>
              </w:rPr>
            </w:pPr>
            <w:r w:rsidRPr="00B92430">
              <w:rPr>
                <w:rFonts w:ascii="Arial" w:hAnsi="Arial" w:cs="Arial"/>
                <w:sz w:val="20"/>
                <w:szCs w:val="20"/>
              </w:rPr>
              <w:t>Restraining or remedying breaches of the Act.</w:t>
            </w:r>
            <w:r w:rsidRPr="00B92430">
              <w:rPr>
                <w:rFonts w:ascii="Arial" w:hAnsi="Arial" w:cs="Arial"/>
                <w:sz w:val="20"/>
                <w:szCs w:val="20"/>
                <w:vertAlign w:val="superscript"/>
              </w:rPr>
              <w:t xml:space="preserve"> </w:t>
            </w:r>
            <w:r w:rsidRPr="00B92430">
              <w:rPr>
                <w:rFonts w:ascii="Arial" w:hAnsi="Arial" w:cs="Arial"/>
                <w:sz w:val="20"/>
                <w:szCs w:val="20"/>
                <w:vertAlign w:val="superscript"/>
              </w:rPr>
              <w:endnoteReference w:id="30"/>
            </w:r>
            <w:r w:rsidRPr="00B92430">
              <w:rPr>
                <w:rFonts w:ascii="Arial" w:hAnsi="Arial" w:cs="Arial"/>
                <w:sz w:val="20"/>
                <w:szCs w:val="20"/>
              </w:rPr>
              <w:t xml:space="preserve"> </w:t>
            </w:r>
            <w:r w:rsidRPr="00B92430">
              <w:rPr>
                <w:b/>
                <w:color w:val="92D050"/>
                <w:sz w:val="20"/>
                <w:szCs w:val="20"/>
              </w:rPr>
              <w:sym w:font="Wingdings 2" w:char="F050"/>
            </w:r>
            <w:r w:rsidRPr="00B92430">
              <w:rPr>
                <w:b/>
                <w:color w:val="92D050"/>
                <w:sz w:val="20"/>
                <w:szCs w:val="20"/>
              </w:rPr>
              <w:t xml:space="preserve"> </w:t>
            </w:r>
          </w:p>
          <w:p w:rsidR="00776DD8" w:rsidRPr="00B92430" w:rsidRDefault="00776DD8" w:rsidP="00536191">
            <w:pPr>
              <w:pStyle w:val="ListParagraph"/>
              <w:numPr>
                <w:ilvl w:val="0"/>
                <w:numId w:val="4"/>
              </w:numPr>
              <w:spacing w:after="0"/>
              <w:rPr>
                <w:rFonts w:ascii="Arial" w:hAnsi="Arial" w:cs="Arial"/>
                <w:sz w:val="20"/>
                <w:szCs w:val="20"/>
              </w:rPr>
            </w:pPr>
            <w:r w:rsidRPr="00B92430">
              <w:rPr>
                <w:rFonts w:ascii="Arial" w:hAnsi="Arial" w:cs="Arial"/>
                <w:sz w:val="20"/>
                <w:szCs w:val="20"/>
              </w:rPr>
              <w:t>Appeal approval of</w:t>
            </w:r>
            <w:r>
              <w:rPr>
                <w:rFonts w:ascii="Arial" w:hAnsi="Arial" w:cs="Arial"/>
                <w:sz w:val="20"/>
                <w:szCs w:val="20"/>
              </w:rPr>
              <w:t xml:space="preserve"> allocation</w:t>
            </w:r>
            <w:r w:rsidRPr="00B92430">
              <w:rPr>
                <w:rFonts w:ascii="Arial" w:hAnsi="Arial" w:cs="Arial"/>
                <w:sz w:val="20"/>
                <w:szCs w:val="20"/>
              </w:rPr>
              <w:t xml:space="preserve"> licence (including transfer).</w:t>
            </w:r>
            <w:r>
              <w:rPr>
                <w:rStyle w:val="EndnoteReference"/>
                <w:rFonts w:ascii="Arial" w:hAnsi="Arial" w:cs="Arial"/>
                <w:sz w:val="20"/>
                <w:szCs w:val="20"/>
              </w:rPr>
              <w:endnoteReference w:id="31"/>
            </w:r>
            <w:r w:rsidRPr="00B92430">
              <w:rPr>
                <w:rFonts w:ascii="Arial" w:hAnsi="Arial" w:cs="Arial"/>
                <w:b/>
                <w:color w:val="F79646" w:themeColor="accent6"/>
                <w:sz w:val="20"/>
                <w:szCs w:val="20"/>
              </w:rPr>
              <w:t xml:space="preserve"> </w:t>
            </w:r>
            <w:r w:rsidR="003B6F69" w:rsidRPr="00B92430">
              <w:rPr>
                <w:rFonts w:ascii="Arial" w:hAnsi="Arial" w:cs="Arial"/>
                <w:b/>
                <w:color w:val="F79646" w:themeColor="accent6"/>
                <w:sz w:val="20"/>
                <w:szCs w:val="20"/>
              </w:rPr>
              <w:t>X</w:t>
            </w:r>
          </w:p>
        </w:tc>
        <w:tc>
          <w:tcPr>
            <w:tcW w:w="2126" w:type="dxa"/>
          </w:tcPr>
          <w:p w:rsidR="00776DD8" w:rsidRPr="000E1AD8" w:rsidRDefault="00776DD8" w:rsidP="00536191">
            <w:pPr>
              <w:pStyle w:val="ListParagraph"/>
              <w:numPr>
                <w:ilvl w:val="0"/>
                <w:numId w:val="4"/>
              </w:numPr>
              <w:spacing w:after="0"/>
              <w:jc w:val="both"/>
              <w:rPr>
                <w:rFonts w:ascii="Arial" w:hAnsi="Arial" w:cs="Arial"/>
                <w:sz w:val="20"/>
                <w:szCs w:val="20"/>
              </w:rPr>
            </w:pPr>
            <w:r>
              <w:rPr>
                <w:rFonts w:ascii="Arial" w:hAnsi="Arial" w:cs="Arial"/>
                <w:sz w:val="20"/>
                <w:szCs w:val="20"/>
              </w:rPr>
              <w:t>Appeal rights in respect of any decision made under the Act.</w:t>
            </w:r>
            <w:r>
              <w:rPr>
                <w:rStyle w:val="EndnoteReference"/>
                <w:rFonts w:ascii="Arial" w:hAnsi="Arial" w:cs="Arial"/>
                <w:sz w:val="20"/>
                <w:szCs w:val="20"/>
              </w:rPr>
              <w:endnoteReference w:id="32"/>
            </w:r>
            <w:r>
              <w:rPr>
                <w:rFonts w:ascii="Arial" w:hAnsi="Arial" w:cs="Arial"/>
                <w:sz w:val="20"/>
                <w:szCs w:val="20"/>
              </w:rPr>
              <w:t xml:space="preserve"> </w:t>
            </w:r>
            <w:r w:rsidR="003B6F69" w:rsidRPr="00B92430">
              <w:rPr>
                <w:rFonts w:ascii="Arial" w:hAnsi="Arial" w:cs="Arial"/>
                <w:b/>
                <w:color w:val="F79646" w:themeColor="accent6"/>
                <w:sz w:val="20"/>
                <w:szCs w:val="20"/>
              </w:rPr>
              <w:t>X</w:t>
            </w:r>
          </w:p>
        </w:tc>
        <w:tc>
          <w:tcPr>
            <w:tcW w:w="1701" w:type="dxa"/>
          </w:tcPr>
          <w:p w:rsidR="00D32EFB" w:rsidRPr="00D32EFB" w:rsidRDefault="00210A0A" w:rsidP="00D32EFB">
            <w:pPr>
              <w:spacing w:after="0"/>
              <w:jc w:val="both"/>
              <w:rPr>
                <w:rFonts w:ascii="Arial" w:hAnsi="Arial" w:cs="Arial"/>
                <w:b/>
                <w:sz w:val="20"/>
                <w:szCs w:val="20"/>
              </w:rPr>
            </w:pPr>
            <w:r w:rsidRPr="00210A0A">
              <w:rPr>
                <w:rFonts w:ascii="Arial" w:hAnsi="Arial" w:cs="Arial"/>
                <w:sz w:val="20"/>
                <w:szCs w:val="20"/>
              </w:rPr>
              <w:t>Information unavailable</w:t>
            </w:r>
            <w:r>
              <w:rPr>
                <w:rFonts w:ascii="Arial" w:hAnsi="Arial" w:cs="Arial"/>
                <w:sz w:val="20"/>
                <w:szCs w:val="20"/>
              </w:rPr>
              <w:t>.</w:t>
            </w:r>
          </w:p>
        </w:tc>
      </w:tr>
      <w:tr w:rsidR="00733776" w:rsidRPr="00054C6A" w:rsidTr="0096048F">
        <w:tc>
          <w:tcPr>
            <w:tcW w:w="1135" w:type="dxa"/>
          </w:tcPr>
          <w:p w:rsidR="00733776" w:rsidRPr="00054C6A" w:rsidRDefault="00733776" w:rsidP="0096048F">
            <w:pPr>
              <w:spacing w:after="0"/>
              <w:rPr>
                <w:rFonts w:ascii="Arial" w:hAnsi="Arial" w:cs="Arial"/>
                <w:b/>
                <w:sz w:val="20"/>
                <w:szCs w:val="20"/>
              </w:rPr>
            </w:pPr>
            <w:r>
              <w:rPr>
                <w:rFonts w:ascii="Arial" w:hAnsi="Arial" w:cs="Arial"/>
                <w:b/>
                <w:sz w:val="20"/>
                <w:szCs w:val="20"/>
              </w:rPr>
              <w:t>NT</w:t>
            </w:r>
          </w:p>
        </w:tc>
        <w:tc>
          <w:tcPr>
            <w:tcW w:w="2126" w:type="dxa"/>
          </w:tcPr>
          <w:p w:rsidR="00733776" w:rsidRPr="00733776" w:rsidRDefault="00733776" w:rsidP="00733776">
            <w:pPr>
              <w:pStyle w:val="ListParagraph"/>
              <w:numPr>
                <w:ilvl w:val="0"/>
                <w:numId w:val="4"/>
              </w:numPr>
              <w:spacing w:after="0"/>
              <w:rPr>
                <w:rFonts w:ascii="Arial" w:hAnsi="Arial" w:cs="Arial"/>
                <w:sz w:val="20"/>
                <w:szCs w:val="20"/>
              </w:rPr>
            </w:pPr>
            <w:r w:rsidRPr="00E540EE">
              <w:rPr>
                <w:rFonts w:ascii="Arial" w:hAnsi="Arial" w:cs="Arial"/>
                <w:sz w:val="20"/>
                <w:szCs w:val="20"/>
              </w:rPr>
              <w:t xml:space="preserve">Restraining or remedying breaches of the Act. </w:t>
            </w:r>
            <w:r w:rsidRPr="00A36613">
              <w:rPr>
                <w:rFonts w:ascii="Arial" w:hAnsi="Arial" w:cs="Arial"/>
                <w:b/>
                <w:color w:val="F79646" w:themeColor="accent6"/>
                <w:sz w:val="20"/>
                <w:szCs w:val="20"/>
              </w:rPr>
              <w:t>x</w:t>
            </w:r>
          </w:p>
        </w:tc>
        <w:tc>
          <w:tcPr>
            <w:tcW w:w="2127" w:type="dxa"/>
          </w:tcPr>
          <w:p w:rsidR="00733776" w:rsidRPr="00733776" w:rsidRDefault="00733776" w:rsidP="00733776">
            <w:pPr>
              <w:pStyle w:val="ListParagraph"/>
              <w:numPr>
                <w:ilvl w:val="0"/>
                <w:numId w:val="4"/>
              </w:numPr>
              <w:spacing w:after="0"/>
              <w:rPr>
                <w:rFonts w:ascii="Arial" w:hAnsi="Arial" w:cs="Arial"/>
                <w:sz w:val="20"/>
                <w:szCs w:val="20"/>
              </w:rPr>
            </w:pPr>
            <w:r w:rsidRPr="00A36613">
              <w:rPr>
                <w:rFonts w:ascii="Arial" w:hAnsi="Arial" w:cs="Arial"/>
                <w:sz w:val="20"/>
                <w:szCs w:val="20"/>
              </w:rPr>
              <w:t xml:space="preserve">Restraining or remedying breaches of the Act. </w:t>
            </w:r>
            <w:r w:rsidRPr="00A36613">
              <w:rPr>
                <w:rFonts w:ascii="Arial" w:hAnsi="Arial" w:cs="Arial"/>
                <w:b/>
                <w:color w:val="F79646" w:themeColor="accent6"/>
                <w:sz w:val="20"/>
                <w:szCs w:val="20"/>
              </w:rPr>
              <w:t>x</w:t>
            </w:r>
          </w:p>
        </w:tc>
        <w:tc>
          <w:tcPr>
            <w:tcW w:w="2126" w:type="dxa"/>
          </w:tcPr>
          <w:p w:rsidR="00733776" w:rsidRPr="00733776" w:rsidRDefault="00733776" w:rsidP="00733776">
            <w:pPr>
              <w:spacing w:after="0"/>
              <w:jc w:val="both"/>
              <w:rPr>
                <w:rFonts w:ascii="Arial" w:hAnsi="Arial" w:cs="Arial"/>
                <w:sz w:val="20"/>
                <w:szCs w:val="20"/>
              </w:rPr>
            </w:pPr>
            <w:r>
              <w:rPr>
                <w:rFonts w:ascii="Arial" w:hAnsi="Arial" w:cs="Arial"/>
                <w:sz w:val="20"/>
                <w:szCs w:val="20"/>
              </w:rPr>
              <w:t>N/A</w:t>
            </w:r>
          </w:p>
        </w:tc>
        <w:tc>
          <w:tcPr>
            <w:tcW w:w="1701" w:type="dxa"/>
          </w:tcPr>
          <w:p w:rsidR="00733776" w:rsidRPr="00E540EE" w:rsidRDefault="00733776" w:rsidP="00733776">
            <w:pPr>
              <w:pStyle w:val="ListParagraph"/>
              <w:numPr>
                <w:ilvl w:val="0"/>
                <w:numId w:val="4"/>
              </w:numPr>
              <w:spacing w:after="0"/>
              <w:rPr>
                <w:rFonts w:ascii="Arial" w:hAnsi="Arial" w:cs="Arial"/>
                <w:sz w:val="20"/>
                <w:szCs w:val="20"/>
              </w:rPr>
            </w:pPr>
            <w:r w:rsidRPr="00E540EE">
              <w:rPr>
                <w:rFonts w:ascii="Arial" w:hAnsi="Arial" w:cs="Arial"/>
                <w:sz w:val="20"/>
                <w:szCs w:val="20"/>
              </w:rPr>
              <w:t xml:space="preserve">Appeal exploration licence. </w:t>
            </w:r>
            <w:r w:rsidRPr="000C2921">
              <w:rPr>
                <w:rFonts w:ascii="Arial" w:hAnsi="Arial" w:cs="Arial"/>
                <w:b/>
                <w:color w:val="F79646" w:themeColor="accent6"/>
                <w:sz w:val="20"/>
                <w:szCs w:val="20"/>
              </w:rPr>
              <w:t>X</w:t>
            </w:r>
          </w:p>
          <w:p w:rsidR="00733776" w:rsidRPr="00733776" w:rsidRDefault="00733776" w:rsidP="00733776">
            <w:pPr>
              <w:pStyle w:val="ListParagraph"/>
              <w:numPr>
                <w:ilvl w:val="0"/>
                <w:numId w:val="4"/>
              </w:numPr>
              <w:spacing w:after="0"/>
              <w:rPr>
                <w:rFonts w:ascii="Arial" w:hAnsi="Arial" w:cs="Arial"/>
                <w:sz w:val="20"/>
                <w:szCs w:val="20"/>
              </w:rPr>
            </w:pPr>
            <w:r w:rsidRPr="00E540EE">
              <w:rPr>
                <w:rFonts w:ascii="Arial" w:hAnsi="Arial" w:cs="Arial"/>
                <w:sz w:val="20"/>
                <w:szCs w:val="20"/>
              </w:rPr>
              <w:t xml:space="preserve">Appeal </w:t>
            </w:r>
            <w:r w:rsidRPr="00E540EE">
              <w:rPr>
                <w:rFonts w:ascii="Arial" w:hAnsi="Arial" w:cs="Arial"/>
                <w:sz w:val="20"/>
                <w:szCs w:val="20"/>
              </w:rPr>
              <w:lastRenderedPageBreak/>
              <w:t xml:space="preserve">production lease. </w:t>
            </w:r>
            <w:r w:rsidRPr="000C2921">
              <w:rPr>
                <w:rFonts w:ascii="Arial" w:hAnsi="Arial" w:cs="Arial"/>
                <w:b/>
                <w:color w:val="F79646" w:themeColor="accent6"/>
                <w:sz w:val="20"/>
                <w:szCs w:val="20"/>
              </w:rPr>
              <w:t>X</w:t>
            </w:r>
          </w:p>
        </w:tc>
      </w:tr>
      <w:tr w:rsidR="00D85080" w:rsidRPr="00054C6A" w:rsidTr="0096048F">
        <w:tc>
          <w:tcPr>
            <w:tcW w:w="1135" w:type="dxa"/>
          </w:tcPr>
          <w:p w:rsidR="00D85080" w:rsidRDefault="00D85080" w:rsidP="0096048F">
            <w:pPr>
              <w:spacing w:after="0"/>
              <w:rPr>
                <w:rFonts w:ascii="Arial" w:hAnsi="Arial" w:cs="Arial"/>
                <w:b/>
                <w:sz w:val="20"/>
                <w:szCs w:val="20"/>
              </w:rPr>
            </w:pPr>
          </w:p>
          <w:p w:rsidR="00D85080" w:rsidRDefault="00D85080" w:rsidP="0096048F">
            <w:pPr>
              <w:spacing w:after="0"/>
              <w:rPr>
                <w:rFonts w:ascii="Arial" w:hAnsi="Arial" w:cs="Arial"/>
                <w:b/>
                <w:sz w:val="20"/>
                <w:szCs w:val="20"/>
              </w:rPr>
            </w:pPr>
            <w:r>
              <w:rPr>
                <w:rFonts w:ascii="Arial" w:hAnsi="Arial" w:cs="Arial"/>
                <w:b/>
                <w:sz w:val="20"/>
                <w:szCs w:val="20"/>
              </w:rPr>
              <w:t>QLD</w:t>
            </w:r>
          </w:p>
          <w:p w:rsidR="00D85080" w:rsidRDefault="00D85080" w:rsidP="0096048F">
            <w:pPr>
              <w:spacing w:after="0"/>
              <w:rPr>
                <w:rFonts w:ascii="Arial" w:hAnsi="Arial" w:cs="Arial"/>
                <w:b/>
                <w:sz w:val="20"/>
                <w:szCs w:val="20"/>
              </w:rPr>
            </w:pPr>
          </w:p>
          <w:p w:rsidR="00D85080" w:rsidRDefault="00D85080" w:rsidP="0096048F">
            <w:pPr>
              <w:spacing w:after="0"/>
              <w:rPr>
                <w:rFonts w:ascii="Arial" w:hAnsi="Arial" w:cs="Arial"/>
                <w:b/>
                <w:sz w:val="20"/>
                <w:szCs w:val="20"/>
              </w:rPr>
            </w:pPr>
          </w:p>
          <w:p w:rsidR="00D85080" w:rsidRDefault="00D85080" w:rsidP="0096048F">
            <w:pPr>
              <w:spacing w:after="0"/>
              <w:rPr>
                <w:rFonts w:ascii="Arial" w:hAnsi="Arial" w:cs="Arial"/>
                <w:b/>
                <w:sz w:val="20"/>
                <w:szCs w:val="20"/>
              </w:rPr>
            </w:pPr>
          </w:p>
          <w:p w:rsidR="00D85080" w:rsidRDefault="00D85080" w:rsidP="0096048F">
            <w:pPr>
              <w:spacing w:after="0"/>
              <w:rPr>
                <w:rFonts w:ascii="Arial" w:hAnsi="Arial" w:cs="Arial"/>
                <w:b/>
                <w:sz w:val="20"/>
                <w:szCs w:val="20"/>
              </w:rPr>
            </w:pPr>
          </w:p>
          <w:p w:rsidR="00D85080" w:rsidRPr="00054C6A" w:rsidRDefault="00D85080" w:rsidP="0096048F">
            <w:pPr>
              <w:spacing w:after="0"/>
              <w:rPr>
                <w:rFonts w:ascii="Arial" w:hAnsi="Arial" w:cs="Arial"/>
                <w:b/>
                <w:sz w:val="20"/>
                <w:szCs w:val="20"/>
              </w:rPr>
            </w:pPr>
          </w:p>
        </w:tc>
        <w:tc>
          <w:tcPr>
            <w:tcW w:w="2126" w:type="dxa"/>
          </w:tcPr>
          <w:p w:rsidR="00536191" w:rsidRPr="00D85080" w:rsidRDefault="00D85080" w:rsidP="00536191">
            <w:pPr>
              <w:pStyle w:val="ListParagraph"/>
              <w:numPr>
                <w:ilvl w:val="0"/>
                <w:numId w:val="22"/>
              </w:numPr>
              <w:spacing w:after="0"/>
              <w:rPr>
                <w:rFonts w:ascii="Arial" w:hAnsi="Arial" w:cs="Arial"/>
                <w:sz w:val="20"/>
                <w:szCs w:val="20"/>
              </w:rPr>
            </w:pPr>
            <w:r>
              <w:rPr>
                <w:rFonts w:ascii="Arial" w:hAnsi="Arial" w:cs="Arial"/>
                <w:sz w:val="20"/>
                <w:szCs w:val="20"/>
              </w:rPr>
              <w:t>Restraining or remedying breaches of the Act.</w:t>
            </w:r>
            <w:r w:rsidR="00536191">
              <w:rPr>
                <w:rStyle w:val="EndnoteReference"/>
                <w:rFonts w:ascii="Arial" w:hAnsi="Arial" w:cs="Arial"/>
                <w:sz w:val="20"/>
                <w:szCs w:val="20"/>
              </w:rPr>
              <w:endnoteReference w:id="33"/>
            </w:r>
            <w:r w:rsidR="00536191">
              <w:rPr>
                <w:rFonts w:ascii="Arial" w:hAnsi="Arial" w:cs="Arial"/>
                <w:sz w:val="20"/>
                <w:szCs w:val="20"/>
              </w:rPr>
              <w:t xml:space="preserve"> </w:t>
            </w:r>
            <w:r w:rsidR="00536191">
              <w:rPr>
                <w:b/>
                <w:color w:val="92D050"/>
                <w:sz w:val="20"/>
                <w:szCs w:val="20"/>
              </w:rPr>
              <w:sym w:font="Wingdings 2" w:char="F050"/>
            </w:r>
          </w:p>
          <w:p w:rsidR="00536191" w:rsidRPr="00D85080" w:rsidRDefault="00FC2830" w:rsidP="00536191">
            <w:pPr>
              <w:pStyle w:val="ListParagraph"/>
              <w:numPr>
                <w:ilvl w:val="0"/>
                <w:numId w:val="22"/>
              </w:numPr>
              <w:spacing w:after="0"/>
              <w:rPr>
                <w:rFonts w:ascii="Arial" w:hAnsi="Arial" w:cs="Arial"/>
                <w:sz w:val="20"/>
                <w:szCs w:val="20"/>
              </w:rPr>
            </w:pPr>
            <w:r>
              <w:rPr>
                <w:rFonts w:ascii="Arial" w:hAnsi="Arial" w:cs="Arial"/>
                <w:sz w:val="20"/>
                <w:szCs w:val="20"/>
              </w:rPr>
              <w:t>S</w:t>
            </w:r>
            <w:r w:rsidR="00536191" w:rsidRPr="00D85080">
              <w:rPr>
                <w:rFonts w:ascii="Arial" w:hAnsi="Arial" w:cs="Arial"/>
                <w:sz w:val="20"/>
                <w:szCs w:val="20"/>
              </w:rPr>
              <w:t>tatutory judicial review rights in respect of major projects.</w:t>
            </w:r>
            <w:r w:rsidR="00536191">
              <w:rPr>
                <w:rStyle w:val="EndnoteReference"/>
                <w:rFonts w:ascii="Arial" w:hAnsi="Arial" w:cs="Arial"/>
                <w:sz w:val="20"/>
                <w:szCs w:val="20"/>
              </w:rPr>
              <w:endnoteReference w:id="34"/>
            </w:r>
            <w:r w:rsidR="00536191" w:rsidRPr="00D85080">
              <w:rPr>
                <w:rFonts w:ascii="Arial" w:hAnsi="Arial" w:cs="Arial"/>
                <w:b/>
                <w:color w:val="F79646" w:themeColor="accent6"/>
                <w:sz w:val="20"/>
                <w:szCs w:val="20"/>
              </w:rPr>
              <w:t xml:space="preserve"> </w:t>
            </w:r>
            <w:r w:rsidR="003B6F69" w:rsidRPr="00D85080">
              <w:rPr>
                <w:rFonts w:ascii="Arial" w:hAnsi="Arial" w:cs="Arial"/>
                <w:b/>
                <w:color w:val="F79646" w:themeColor="accent6"/>
                <w:sz w:val="20"/>
                <w:szCs w:val="20"/>
              </w:rPr>
              <w:t>X</w:t>
            </w:r>
            <w:r w:rsidR="003B6F69" w:rsidRPr="00D85080">
              <w:rPr>
                <w:rFonts w:ascii="Times New Roman" w:eastAsiaTheme="minorHAnsi" w:hAnsi="Times New Roman"/>
                <w:lang w:eastAsia="en-AU"/>
              </w:rPr>
              <w:t xml:space="preserve"> </w:t>
            </w:r>
          </w:p>
          <w:p w:rsidR="00536191" w:rsidRPr="00B92430" w:rsidRDefault="00536191" w:rsidP="00D85080">
            <w:pPr>
              <w:pStyle w:val="ListParagraph"/>
              <w:spacing w:after="0"/>
              <w:ind w:left="360"/>
              <w:rPr>
                <w:rFonts w:ascii="Arial" w:hAnsi="Arial" w:cs="Arial"/>
                <w:sz w:val="20"/>
                <w:szCs w:val="20"/>
              </w:rPr>
            </w:pPr>
          </w:p>
        </w:tc>
        <w:tc>
          <w:tcPr>
            <w:tcW w:w="2127" w:type="dxa"/>
          </w:tcPr>
          <w:p w:rsidR="00536191" w:rsidRPr="00362632" w:rsidRDefault="00536191" w:rsidP="00536191">
            <w:pPr>
              <w:pStyle w:val="ListParagraph"/>
              <w:numPr>
                <w:ilvl w:val="0"/>
                <w:numId w:val="22"/>
              </w:numPr>
              <w:spacing w:after="0"/>
              <w:rPr>
                <w:rFonts w:ascii="Arial" w:hAnsi="Arial" w:cs="Arial"/>
                <w:sz w:val="20"/>
                <w:szCs w:val="20"/>
              </w:rPr>
            </w:pPr>
            <w:r>
              <w:rPr>
                <w:rFonts w:ascii="Arial" w:hAnsi="Arial" w:cs="Arial"/>
                <w:sz w:val="20"/>
                <w:szCs w:val="20"/>
              </w:rPr>
              <w:t xml:space="preserve">Restraining or </w:t>
            </w:r>
            <w:r w:rsidRPr="00362632">
              <w:rPr>
                <w:rFonts w:ascii="Arial" w:hAnsi="Arial" w:cs="Arial"/>
                <w:sz w:val="20"/>
                <w:szCs w:val="20"/>
              </w:rPr>
              <w:t>remedying breaches of the Act.</w:t>
            </w:r>
            <w:r w:rsidRPr="00362632">
              <w:rPr>
                <w:rStyle w:val="EndnoteReference"/>
                <w:rFonts w:ascii="Arial" w:hAnsi="Arial" w:cs="Arial"/>
                <w:sz w:val="20"/>
                <w:szCs w:val="20"/>
              </w:rPr>
              <w:endnoteReference w:id="35"/>
            </w:r>
            <w:r w:rsidRPr="00362632">
              <w:rPr>
                <w:rFonts w:ascii="Arial" w:hAnsi="Arial" w:cs="Arial"/>
                <w:sz w:val="20"/>
                <w:szCs w:val="20"/>
              </w:rPr>
              <w:t xml:space="preserve"> </w:t>
            </w:r>
            <w:r w:rsidR="00362632" w:rsidRPr="00362632">
              <w:rPr>
                <w:b/>
                <w:color w:val="92D050"/>
                <w:sz w:val="20"/>
                <w:szCs w:val="20"/>
              </w:rPr>
              <w:sym w:font="Wingdings 2" w:char="F050"/>
            </w:r>
          </w:p>
          <w:p w:rsidR="00BE1A4C" w:rsidRPr="00362632" w:rsidRDefault="00BE1A4C" w:rsidP="00536191">
            <w:pPr>
              <w:pStyle w:val="ListParagraph"/>
              <w:numPr>
                <w:ilvl w:val="0"/>
                <w:numId w:val="22"/>
              </w:numPr>
              <w:spacing w:after="0"/>
              <w:rPr>
                <w:rFonts w:ascii="Arial" w:hAnsi="Arial" w:cs="Arial"/>
                <w:color w:val="E36C0A" w:themeColor="accent6" w:themeShade="BF"/>
                <w:sz w:val="20"/>
                <w:szCs w:val="20"/>
              </w:rPr>
            </w:pPr>
            <w:r w:rsidRPr="00362632">
              <w:rPr>
                <w:rFonts w:ascii="Arial" w:hAnsi="Arial" w:cs="Arial"/>
                <w:sz w:val="20"/>
                <w:szCs w:val="20"/>
              </w:rPr>
              <w:t>License approval and transfer</w:t>
            </w:r>
            <w:r w:rsidR="00362632" w:rsidRPr="00362632">
              <w:rPr>
                <w:rFonts w:ascii="Arial" w:hAnsi="Arial" w:cs="Arial"/>
                <w:sz w:val="20"/>
                <w:szCs w:val="20"/>
              </w:rPr>
              <w:t>.</w:t>
            </w:r>
            <w:r w:rsidR="00362632" w:rsidRPr="00362632">
              <w:rPr>
                <w:rStyle w:val="EndnoteReference"/>
                <w:rFonts w:ascii="Arial" w:hAnsi="Arial" w:cs="Arial"/>
                <w:sz w:val="20"/>
                <w:szCs w:val="20"/>
              </w:rPr>
              <w:endnoteReference w:id="36"/>
            </w:r>
            <w:r w:rsidR="00362632" w:rsidRPr="00362632">
              <w:rPr>
                <w:rFonts w:ascii="Arial" w:hAnsi="Arial" w:cs="Arial"/>
                <w:b/>
                <w:sz w:val="20"/>
                <w:szCs w:val="20"/>
              </w:rPr>
              <w:t xml:space="preserve"> </w:t>
            </w:r>
            <w:r w:rsidR="00362632" w:rsidRPr="00362632">
              <w:rPr>
                <w:b/>
                <w:color w:val="92D050"/>
                <w:sz w:val="20"/>
                <w:szCs w:val="20"/>
              </w:rPr>
              <w:sym w:font="Wingdings 2" w:char="F050"/>
            </w:r>
          </w:p>
          <w:p w:rsidR="00536191" w:rsidRPr="00B92430" w:rsidRDefault="00536191" w:rsidP="00D85080">
            <w:pPr>
              <w:pStyle w:val="ListParagraph"/>
              <w:ind w:left="360"/>
              <w:rPr>
                <w:rFonts w:ascii="Arial" w:hAnsi="Arial" w:cs="Arial"/>
                <w:sz w:val="20"/>
                <w:szCs w:val="20"/>
              </w:rPr>
            </w:pPr>
          </w:p>
        </w:tc>
        <w:tc>
          <w:tcPr>
            <w:tcW w:w="2126" w:type="dxa"/>
          </w:tcPr>
          <w:p w:rsidR="00536191" w:rsidRPr="00362632" w:rsidRDefault="00536191" w:rsidP="00536191">
            <w:pPr>
              <w:pStyle w:val="ListParagraph"/>
              <w:numPr>
                <w:ilvl w:val="0"/>
                <w:numId w:val="22"/>
              </w:numPr>
              <w:spacing w:after="0"/>
              <w:rPr>
                <w:rFonts w:ascii="Arial" w:hAnsi="Arial" w:cs="Arial"/>
                <w:sz w:val="20"/>
                <w:szCs w:val="20"/>
              </w:rPr>
            </w:pPr>
            <w:r w:rsidRPr="00362632">
              <w:rPr>
                <w:rFonts w:ascii="Arial" w:hAnsi="Arial" w:cs="Arial"/>
                <w:sz w:val="20"/>
                <w:szCs w:val="20"/>
              </w:rPr>
              <w:t xml:space="preserve">Restraining or remedying </w:t>
            </w:r>
            <w:r w:rsidRPr="00FC2830">
              <w:rPr>
                <w:rFonts w:ascii="Arial" w:hAnsi="Arial" w:cs="Arial"/>
                <w:sz w:val="20"/>
                <w:szCs w:val="20"/>
              </w:rPr>
              <w:t>breaches of Act(s)</w:t>
            </w:r>
            <w:r w:rsidR="009A57C7" w:rsidRPr="00FC2830">
              <w:rPr>
                <w:rFonts w:ascii="Arial" w:hAnsi="Arial" w:cs="Arial"/>
                <w:sz w:val="20"/>
                <w:szCs w:val="20"/>
              </w:rPr>
              <w:t>.</w:t>
            </w:r>
            <w:r w:rsidR="00FC2830" w:rsidRPr="00FC2830">
              <w:rPr>
                <w:rFonts w:ascii="Arial" w:hAnsi="Arial" w:cs="Arial"/>
                <w:b/>
                <w:color w:val="92D050"/>
                <w:sz w:val="20"/>
                <w:szCs w:val="20"/>
              </w:rPr>
              <w:sym w:font="Wingdings 2" w:char="F050"/>
            </w:r>
            <w:r w:rsidR="00FC2830">
              <w:rPr>
                <w:rFonts w:ascii="Arial" w:hAnsi="Arial" w:cs="Arial"/>
                <w:b/>
                <w:color w:val="92D050"/>
                <w:sz w:val="20"/>
                <w:szCs w:val="20"/>
              </w:rPr>
              <w:t> </w:t>
            </w:r>
            <w:r w:rsidR="00FC2830">
              <w:rPr>
                <w:rFonts w:ascii="Arial" w:hAnsi="Arial" w:cs="Arial"/>
                <w:sz w:val="20"/>
                <w:szCs w:val="20"/>
              </w:rPr>
              <w:t xml:space="preserve">/ </w:t>
            </w:r>
            <w:r w:rsidR="00FC2830" w:rsidRPr="00FC2830">
              <w:rPr>
                <w:rFonts w:ascii="Arial" w:hAnsi="Arial" w:cs="Arial"/>
                <w:b/>
                <w:color w:val="F79646" w:themeColor="accent6"/>
                <w:sz w:val="20"/>
                <w:szCs w:val="20"/>
              </w:rPr>
              <w:t>X</w:t>
            </w:r>
            <w:r w:rsidR="00FC2830" w:rsidRPr="00FC2830">
              <w:rPr>
                <w:rStyle w:val="EndnoteReference"/>
                <w:rFonts w:ascii="Arial" w:hAnsi="Arial" w:cs="Arial"/>
                <w:sz w:val="20"/>
                <w:szCs w:val="20"/>
              </w:rPr>
              <w:t xml:space="preserve"> </w:t>
            </w:r>
            <w:r w:rsidRPr="00FC2830">
              <w:rPr>
                <w:rStyle w:val="EndnoteReference"/>
                <w:rFonts w:ascii="Arial" w:hAnsi="Arial" w:cs="Arial"/>
                <w:sz w:val="20"/>
                <w:szCs w:val="20"/>
              </w:rPr>
              <w:endnoteReference w:id="37"/>
            </w:r>
            <w:r w:rsidR="00FC2830">
              <w:rPr>
                <w:rFonts w:ascii="Arial" w:hAnsi="Arial" w:cs="Arial"/>
                <w:color w:val="F79646" w:themeColor="accent6"/>
                <w:sz w:val="20"/>
                <w:szCs w:val="20"/>
              </w:rPr>
              <w:t> </w:t>
            </w:r>
          </w:p>
          <w:p w:rsidR="00D32EFB" w:rsidRPr="00362632" w:rsidRDefault="00D32EFB" w:rsidP="00536191">
            <w:pPr>
              <w:pStyle w:val="ListParagraph"/>
              <w:numPr>
                <w:ilvl w:val="0"/>
                <w:numId w:val="22"/>
              </w:numPr>
              <w:spacing w:after="0"/>
              <w:rPr>
                <w:rFonts w:ascii="Arial" w:hAnsi="Arial" w:cs="Arial"/>
                <w:color w:val="E36C0A" w:themeColor="accent6" w:themeShade="BF"/>
                <w:sz w:val="20"/>
                <w:szCs w:val="20"/>
              </w:rPr>
            </w:pPr>
            <w:r w:rsidRPr="00362632">
              <w:rPr>
                <w:rFonts w:ascii="Arial" w:hAnsi="Arial" w:cs="Arial"/>
                <w:sz w:val="20"/>
                <w:szCs w:val="20"/>
              </w:rPr>
              <w:t>Appeal decisions</w:t>
            </w:r>
            <w:r w:rsidR="009A57C7">
              <w:rPr>
                <w:rFonts w:ascii="Arial" w:hAnsi="Arial" w:cs="Arial"/>
                <w:sz w:val="20"/>
                <w:szCs w:val="20"/>
              </w:rPr>
              <w:t>.</w:t>
            </w:r>
            <w:r w:rsidR="00362632">
              <w:rPr>
                <w:rStyle w:val="EndnoteReference"/>
                <w:rFonts w:ascii="Arial" w:hAnsi="Arial" w:cs="Arial"/>
                <w:sz w:val="20"/>
                <w:szCs w:val="20"/>
              </w:rPr>
              <w:endnoteReference w:id="38"/>
            </w:r>
            <w:r w:rsidR="00362632">
              <w:rPr>
                <w:rFonts w:ascii="Arial" w:hAnsi="Arial" w:cs="Arial"/>
                <w:sz w:val="20"/>
                <w:szCs w:val="20"/>
              </w:rPr>
              <w:t xml:space="preserve"> </w:t>
            </w:r>
            <w:r w:rsidR="00362632">
              <w:rPr>
                <w:b/>
                <w:color w:val="92D050"/>
                <w:sz w:val="20"/>
                <w:szCs w:val="20"/>
              </w:rPr>
              <w:sym w:font="Wingdings 2" w:char="F050"/>
            </w:r>
          </w:p>
          <w:p w:rsidR="00536191" w:rsidRDefault="00536191" w:rsidP="00D85080">
            <w:pPr>
              <w:pStyle w:val="ListParagraph"/>
              <w:spacing w:after="0"/>
              <w:ind w:left="360"/>
              <w:jc w:val="both"/>
              <w:rPr>
                <w:rFonts w:ascii="Arial" w:hAnsi="Arial" w:cs="Arial"/>
                <w:sz w:val="20"/>
                <w:szCs w:val="20"/>
              </w:rPr>
            </w:pPr>
          </w:p>
        </w:tc>
        <w:tc>
          <w:tcPr>
            <w:tcW w:w="1701" w:type="dxa"/>
          </w:tcPr>
          <w:p w:rsidR="009A57C7" w:rsidRPr="00B92430" w:rsidRDefault="009A57C7" w:rsidP="009A57C7">
            <w:pPr>
              <w:pStyle w:val="ListParagraph"/>
              <w:numPr>
                <w:ilvl w:val="0"/>
                <w:numId w:val="4"/>
              </w:numPr>
              <w:spacing w:after="0"/>
              <w:jc w:val="both"/>
              <w:rPr>
                <w:rFonts w:ascii="Arial" w:hAnsi="Arial" w:cs="Arial"/>
                <w:sz w:val="20"/>
                <w:szCs w:val="20"/>
              </w:rPr>
            </w:pPr>
            <w:r w:rsidRPr="00B92430">
              <w:rPr>
                <w:rFonts w:ascii="Arial" w:hAnsi="Arial" w:cs="Arial"/>
                <w:sz w:val="20"/>
                <w:szCs w:val="20"/>
              </w:rPr>
              <w:t>Appeal exploration licence</w:t>
            </w:r>
            <w:r>
              <w:rPr>
                <w:rFonts w:ascii="Arial" w:hAnsi="Arial" w:cs="Arial"/>
                <w:sz w:val="20"/>
                <w:szCs w:val="20"/>
              </w:rPr>
              <w:t>.</w:t>
            </w:r>
            <w:r w:rsidRPr="00B92430">
              <w:rPr>
                <w:rFonts w:ascii="Arial" w:hAnsi="Arial" w:cs="Arial"/>
                <w:sz w:val="20"/>
                <w:szCs w:val="20"/>
              </w:rPr>
              <w:t xml:space="preserve"> </w:t>
            </w:r>
            <w:r>
              <w:rPr>
                <w:b/>
                <w:color w:val="92D050"/>
                <w:sz w:val="20"/>
                <w:szCs w:val="20"/>
              </w:rPr>
              <w:sym w:font="Wingdings 2" w:char="F050"/>
            </w:r>
          </w:p>
          <w:p w:rsidR="009A57C7" w:rsidRDefault="009A57C7" w:rsidP="009A57C7">
            <w:pPr>
              <w:pStyle w:val="ListParagraph"/>
              <w:numPr>
                <w:ilvl w:val="0"/>
                <w:numId w:val="4"/>
              </w:numPr>
              <w:spacing w:after="0"/>
              <w:jc w:val="both"/>
              <w:rPr>
                <w:rFonts w:ascii="Arial" w:hAnsi="Arial" w:cs="Arial"/>
                <w:sz w:val="20"/>
                <w:szCs w:val="20"/>
              </w:rPr>
            </w:pPr>
            <w:r w:rsidRPr="00B92430">
              <w:rPr>
                <w:rFonts w:ascii="Arial" w:hAnsi="Arial" w:cs="Arial"/>
                <w:sz w:val="20"/>
                <w:szCs w:val="20"/>
              </w:rPr>
              <w:t>Appeal production lease</w:t>
            </w:r>
            <w:r>
              <w:rPr>
                <w:rFonts w:ascii="Arial" w:hAnsi="Arial" w:cs="Arial"/>
                <w:sz w:val="20"/>
                <w:szCs w:val="20"/>
              </w:rPr>
              <w:t>.</w:t>
            </w:r>
            <w:r>
              <w:rPr>
                <w:rStyle w:val="EndnoteReference"/>
                <w:rFonts w:ascii="Arial" w:hAnsi="Arial" w:cs="Arial"/>
                <w:sz w:val="20"/>
                <w:szCs w:val="20"/>
              </w:rPr>
              <w:endnoteReference w:id="39"/>
            </w:r>
            <w:r w:rsidRPr="00B92430">
              <w:rPr>
                <w:rFonts w:ascii="Arial" w:hAnsi="Arial" w:cs="Arial"/>
                <w:sz w:val="20"/>
                <w:szCs w:val="20"/>
              </w:rPr>
              <w:t xml:space="preserve"> </w:t>
            </w:r>
            <w:r>
              <w:rPr>
                <w:b/>
                <w:color w:val="92D050"/>
                <w:sz w:val="20"/>
                <w:szCs w:val="20"/>
              </w:rPr>
              <w:sym w:font="Wingdings 2" w:char="F050"/>
            </w:r>
          </w:p>
          <w:p w:rsidR="00D32EFB" w:rsidRPr="00D32EFB" w:rsidRDefault="00D32EFB" w:rsidP="00D32EFB">
            <w:pPr>
              <w:spacing w:after="0"/>
              <w:rPr>
                <w:rFonts w:ascii="Arial" w:hAnsi="Arial" w:cs="Arial"/>
                <w:b/>
                <w:sz w:val="20"/>
                <w:szCs w:val="20"/>
              </w:rPr>
            </w:pPr>
            <w:r w:rsidRPr="00D32EFB">
              <w:rPr>
                <w:rFonts w:ascii="Arial" w:hAnsi="Arial" w:cs="Arial"/>
                <w:b/>
                <w:color w:val="E36C0A" w:themeColor="accent6" w:themeShade="BF"/>
                <w:sz w:val="20"/>
                <w:szCs w:val="20"/>
              </w:rPr>
              <w:t xml:space="preserve"> </w:t>
            </w:r>
          </w:p>
        </w:tc>
      </w:tr>
    </w:tbl>
    <w:p w:rsidR="003C0B84" w:rsidRDefault="003C0B84" w:rsidP="00A9458F">
      <w:pPr>
        <w:spacing w:after="0"/>
        <w:jc w:val="both"/>
        <w:rPr>
          <w:rFonts w:ascii="Arial" w:hAnsi="Arial" w:cs="Arial"/>
          <w:b/>
          <w:i/>
          <w:sz w:val="22"/>
          <w:szCs w:val="22"/>
        </w:rPr>
      </w:pPr>
    </w:p>
    <w:p w:rsidR="00563AC1" w:rsidRDefault="00563AC1" w:rsidP="00A9458F">
      <w:pPr>
        <w:spacing w:after="0"/>
        <w:jc w:val="both"/>
        <w:rPr>
          <w:rFonts w:ascii="Arial" w:hAnsi="Arial" w:cs="Arial"/>
          <w:b/>
          <w:i/>
          <w:sz w:val="22"/>
          <w:szCs w:val="22"/>
        </w:rPr>
      </w:pPr>
    </w:p>
    <w:p w:rsidR="003C0B84" w:rsidRPr="00C26D54" w:rsidRDefault="003C0B84" w:rsidP="00536191">
      <w:pPr>
        <w:pStyle w:val="ListParagraph"/>
        <w:numPr>
          <w:ilvl w:val="0"/>
          <w:numId w:val="9"/>
        </w:numPr>
        <w:spacing w:after="0"/>
        <w:jc w:val="both"/>
        <w:rPr>
          <w:rFonts w:ascii="Arial" w:hAnsi="Arial" w:cs="Arial"/>
          <w:b/>
          <w:i/>
          <w:sz w:val="22"/>
          <w:szCs w:val="22"/>
        </w:rPr>
      </w:pPr>
      <w:r>
        <w:rPr>
          <w:rFonts w:ascii="Arial" w:hAnsi="Arial" w:cs="Arial"/>
          <w:b/>
          <w:i/>
          <w:sz w:val="22"/>
          <w:szCs w:val="22"/>
        </w:rPr>
        <w:t xml:space="preserve">Additional comments - </w:t>
      </w:r>
      <w:r w:rsidRPr="00C26D54">
        <w:rPr>
          <w:rFonts w:ascii="Arial" w:hAnsi="Arial" w:cs="Arial"/>
          <w:b/>
          <w:i/>
          <w:sz w:val="22"/>
          <w:szCs w:val="22"/>
        </w:rPr>
        <w:t xml:space="preserve">Planning Bill 2013 (NSW) </w:t>
      </w:r>
    </w:p>
    <w:p w:rsidR="003C0B84" w:rsidRDefault="003C0B84" w:rsidP="00A9458F">
      <w:pPr>
        <w:spacing w:after="0"/>
        <w:jc w:val="both"/>
        <w:rPr>
          <w:rFonts w:ascii="Arial" w:hAnsi="Arial" w:cs="Arial"/>
          <w:sz w:val="22"/>
          <w:szCs w:val="22"/>
        </w:rPr>
      </w:pPr>
    </w:p>
    <w:p w:rsidR="00715CED" w:rsidRDefault="003C0B84" w:rsidP="00715CED">
      <w:pPr>
        <w:spacing w:after="0"/>
        <w:jc w:val="both"/>
        <w:rPr>
          <w:rFonts w:ascii="Arial" w:hAnsi="Arial" w:cs="Arial"/>
          <w:sz w:val="22"/>
          <w:szCs w:val="22"/>
          <w:lang w:val="en-US"/>
        </w:rPr>
      </w:pPr>
      <w:r w:rsidRPr="003C0B84">
        <w:rPr>
          <w:rFonts w:ascii="Arial" w:hAnsi="Arial" w:cs="Arial"/>
          <w:sz w:val="22"/>
          <w:szCs w:val="22"/>
        </w:rPr>
        <w:t xml:space="preserve">On 22 October 2013, the NSW Government introduced its revised Planning Bills into Parliament. </w:t>
      </w:r>
      <w:r w:rsidR="00715CED" w:rsidRPr="003C0B84">
        <w:rPr>
          <w:rFonts w:ascii="Arial" w:hAnsi="Arial" w:cs="Arial"/>
          <w:sz w:val="22"/>
          <w:szCs w:val="22"/>
        </w:rPr>
        <w:t>I</w:t>
      </w:r>
      <w:r w:rsidR="00715CED" w:rsidRPr="003C0B84">
        <w:rPr>
          <w:rFonts w:ascii="Arial" w:hAnsi="Arial" w:cs="Arial"/>
          <w:sz w:val="22"/>
          <w:szCs w:val="22"/>
          <w:lang w:val="en-US"/>
        </w:rPr>
        <w:t>n relation to</w:t>
      </w:r>
      <w:r w:rsidR="00715CED" w:rsidRPr="003C0B84">
        <w:rPr>
          <w:rFonts w:ascii="Arial" w:hAnsi="Arial" w:cs="Arial"/>
          <w:b/>
          <w:sz w:val="22"/>
          <w:szCs w:val="22"/>
          <w:lang w:val="en-US"/>
        </w:rPr>
        <w:t xml:space="preserve"> judicial review rights</w:t>
      </w:r>
      <w:r w:rsidR="00715CED" w:rsidRPr="003C0B84">
        <w:rPr>
          <w:rFonts w:ascii="Arial" w:hAnsi="Arial" w:cs="Arial"/>
          <w:sz w:val="22"/>
          <w:szCs w:val="22"/>
          <w:lang w:val="en-US"/>
        </w:rPr>
        <w:t>, legal errors can continue to be challenged under open standing provisions, which allow any person to enforce a breach of the Planning Act</w:t>
      </w:r>
      <w:r w:rsidR="00715CED" w:rsidRPr="003C0B84">
        <w:rPr>
          <w:rFonts w:ascii="Arial" w:hAnsi="Arial" w:cs="Arial"/>
          <w:sz w:val="22"/>
          <w:szCs w:val="22"/>
        </w:rPr>
        <w:t>.</w:t>
      </w:r>
      <w:r w:rsidR="00715CED">
        <w:rPr>
          <w:rStyle w:val="EndnoteReference"/>
          <w:rFonts w:ascii="Arial" w:hAnsi="Arial" w:cs="Arial"/>
          <w:sz w:val="22"/>
          <w:szCs w:val="22"/>
        </w:rPr>
        <w:endnoteReference w:id="40"/>
      </w:r>
      <w:r w:rsidR="00715CED" w:rsidRPr="003C0B84">
        <w:rPr>
          <w:rFonts w:ascii="Arial" w:hAnsi="Arial" w:cs="Arial"/>
          <w:sz w:val="22"/>
          <w:szCs w:val="22"/>
        </w:rPr>
        <w:t xml:space="preserve"> This will </w:t>
      </w:r>
      <w:r w:rsidR="00715CED" w:rsidRPr="003C0B84">
        <w:rPr>
          <w:rFonts w:ascii="Arial" w:hAnsi="Arial" w:cs="Arial"/>
          <w:sz w:val="22"/>
          <w:szCs w:val="22"/>
          <w:lang w:val="en-US"/>
        </w:rPr>
        <w:t xml:space="preserve">include, for example, where new draft strategic plans have not been properly exhibited. </w:t>
      </w:r>
    </w:p>
    <w:p w:rsidR="00715CED" w:rsidRDefault="00715CED" w:rsidP="00715CED">
      <w:pPr>
        <w:spacing w:after="0"/>
        <w:jc w:val="both"/>
        <w:rPr>
          <w:rFonts w:ascii="Arial" w:hAnsi="Arial" w:cs="Arial"/>
          <w:sz w:val="22"/>
          <w:szCs w:val="22"/>
          <w:lang w:val="en-US"/>
        </w:rPr>
      </w:pPr>
    </w:p>
    <w:p w:rsidR="00715CED" w:rsidRPr="003C0B84" w:rsidRDefault="00715CED" w:rsidP="00715CED">
      <w:pPr>
        <w:spacing w:after="0"/>
        <w:jc w:val="both"/>
        <w:rPr>
          <w:rFonts w:ascii="Arial" w:hAnsi="Arial" w:cs="Arial"/>
          <w:sz w:val="22"/>
          <w:szCs w:val="22"/>
          <w:lang w:val="en-US"/>
        </w:rPr>
      </w:pPr>
      <w:r w:rsidRPr="003C0B84">
        <w:rPr>
          <w:rFonts w:ascii="Arial" w:hAnsi="Arial" w:cs="Arial"/>
          <w:sz w:val="22"/>
          <w:szCs w:val="22"/>
          <w:lang w:val="en-US"/>
        </w:rPr>
        <w:t>However, the Planning Bill retains a privative clause which attempts to limit ‘provisions of this Act that are mandatory in connection with the validity of a strategic plan, an infrastructure plan or a planning approval’ for State significant development and State infrastructure development</w:t>
      </w:r>
      <w:r>
        <w:rPr>
          <w:rFonts w:ascii="Arial" w:hAnsi="Arial" w:cs="Arial"/>
          <w:sz w:val="22"/>
          <w:szCs w:val="22"/>
          <w:lang w:val="en-US"/>
        </w:rPr>
        <w:t xml:space="preserve"> (i.e. to limit mandatory requirements to</w:t>
      </w:r>
      <w:r w:rsidR="00563AC1">
        <w:rPr>
          <w:rFonts w:ascii="Arial" w:hAnsi="Arial" w:cs="Arial"/>
          <w:sz w:val="22"/>
          <w:szCs w:val="22"/>
          <w:lang w:val="en-US"/>
        </w:rPr>
        <w:t xml:space="preserve"> the </w:t>
      </w:r>
      <w:r w:rsidRPr="003C0B84">
        <w:rPr>
          <w:rFonts w:ascii="Arial" w:hAnsi="Arial" w:cs="Arial"/>
          <w:sz w:val="22"/>
          <w:szCs w:val="22"/>
          <w:lang w:val="en-US"/>
        </w:rPr>
        <w:t>public exhibition requirements</w:t>
      </w:r>
      <w:r>
        <w:rPr>
          <w:rFonts w:ascii="Arial" w:hAnsi="Arial" w:cs="Arial"/>
          <w:sz w:val="22"/>
          <w:szCs w:val="22"/>
          <w:lang w:val="en-US"/>
        </w:rPr>
        <w:t>)</w:t>
      </w:r>
      <w:r w:rsidRPr="003C0B84">
        <w:rPr>
          <w:rFonts w:ascii="Arial" w:hAnsi="Arial" w:cs="Arial"/>
          <w:sz w:val="22"/>
          <w:szCs w:val="22"/>
          <w:lang w:val="en-US"/>
        </w:rPr>
        <w:t>.</w:t>
      </w:r>
      <w:r>
        <w:rPr>
          <w:rStyle w:val="EndnoteReference"/>
          <w:rFonts w:ascii="Arial" w:hAnsi="Arial" w:cs="Arial"/>
          <w:sz w:val="22"/>
          <w:szCs w:val="22"/>
          <w:lang w:val="en-US"/>
        </w:rPr>
        <w:endnoteReference w:id="41"/>
      </w:r>
      <w:r w:rsidRPr="003C0B84">
        <w:rPr>
          <w:rFonts w:ascii="Arial" w:hAnsi="Arial" w:cs="Arial"/>
          <w:sz w:val="22"/>
          <w:szCs w:val="22"/>
          <w:lang w:val="en-US"/>
        </w:rPr>
        <w:t xml:space="preserve"> This clause also continues to curtail civil proceedings and enforcement against </w:t>
      </w:r>
      <w:r>
        <w:rPr>
          <w:rFonts w:ascii="Arial" w:hAnsi="Arial" w:cs="Arial"/>
          <w:sz w:val="22"/>
          <w:szCs w:val="22"/>
          <w:lang w:val="en-US"/>
        </w:rPr>
        <w:t>‘public priority</w:t>
      </w:r>
      <w:r w:rsidRPr="003C0B84">
        <w:rPr>
          <w:rFonts w:ascii="Arial" w:hAnsi="Arial" w:cs="Arial"/>
          <w:sz w:val="22"/>
          <w:szCs w:val="22"/>
          <w:lang w:val="en-US"/>
        </w:rPr>
        <w:t xml:space="preserve"> infrastructure</w:t>
      </w:r>
      <w:r>
        <w:rPr>
          <w:rFonts w:ascii="Arial" w:hAnsi="Arial" w:cs="Arial"/>
          <w:sz w:val="22"/>
          <w:szCs w:val="22"/>
          <w:lang w:val="en-US"/>
        </w:rPr>
        <w:t xml:space="preserve">’ projects. </w:t>
      </w:r>
      <w:r w:rsidRPr="003C0B84">
        <w:rPr>
          <w:rFonts w:ascii="Arial" w:hAnsi="Arial" w:cs="Arial"/>
          <w:sz w:val="22"/>
          <w:szCs w:val="22"/>
          <w:lang w:val="en-US"/>
        </w:rPr>
        <w:t>The NSW Planning Department has stated that the privative clause consolidates limitations</w:t>
      </w:r>
      <w:r w:rsidR="00563AC1" w:rsidRPr="00563AC1">
        <w:rPr>
          <w:rFonts w:ascii="Arial" w:hAnsi="Arial" w:cs="Arial"/>
          <w:sz w:val="22"/>
          <w:szCs w:val="22"/>
          <w:lang w:val="en-US"/>
        </w:rPr>
        <w:t xml:space="preserve"> </w:t>
      </w:r>
      <w:r w:rsidR="00563AC1">
        <w:rPr>
          <w:rFonts w:ascii="Arial" w:hAnsi="Arial" w:cs="Arial"/>
          <w:sz w:val="22"/>
          <w:szCs w:val="22"/>
          <w:lang w:val="en-US"/>
        </w:rPr>
        <w:t xml:space="preserve">in the </w:t>
      </w:r>
      <w:r w:rsidR="00563AC1" w:rsidRPr="003C0B84">
        <w:rPr>
          <w:rFonts w:ascii="Arial" w:hAnsi="Arial" w:cs="Arial"/>
          <w:sz w:val="22"/>
          <w:szCs w:val="22"/>
          <w:lang w:val="en-US"/>
        </w:rPr>
        <w:t>existing</w:t>
      </w:r>
      <w:r w:rsidR="00563AC1">
        <w:rPr>
          <w:rFonts w:ascii="Arial" w:hAnsi="Arial" w:cs="Arial"/>
          <w:sz w:val="22"/>
          <w:szCs w:val="22"/>
          <w:lang w:val="en-US"/>
        </w:rPr>
        <w:t xml:space="preserve"> system</w:t>
      </w:r>
      <w:r w:rsidRPr="003C0B84">
        <w:rPr>
          <w:rFonts w:ascii="Arial" w:hAnsi="Arial" w:cs="Arial"/>
          <w:sz w:val="22"/>
          <w:szCs w:val="22"/>
          <w:lang w:val="en-US"/>
        </w:rPr>
        <w:t>. EDO NSW is closely reviewing whether this intent has been achieved. However, privative clauses are a cause for concern from a public interest legal perspective</w:t>
      </w:r>
      <w:r>
        <w:rPr>
          <w:rFonts w:ascii="Arial" w:hAnsi="Arial" w:cs="Arial"/>
          <w:sz w:val="22"/>
          <w:szCs w:val="22"/>
          <w:lang w:val="en-US"/>
        </w:rPr>
        <w:t xml:space="preserve">, and are unlikely to </w:t>
      </w:r>
      <w:r w:rsidR="00563AC1">
        <w:rPr>
          <w:rFonts w:ascii="Arial" w:hAnsi="Arial" w:cs="Arial"/>
          <w:sz w:val="22"/>
          <w:szCs w:val="22"/>
          <w:lang w:val="en-US"/>
        </w:rPr>
        <w:t xml:space="preserve">engender public confidence that </w:t>
      </w:r>
      <w:r w:rsidRPr="003C0B84">
        <w:rPr>
          <w:rFonts w:ascii="Arial" w:hAnsi="Arial" w:cs="Arial"/>
          <w:sz w:val="22"/>
          <w:szCs w:val="22"/>
          <w:lang w:val="en-US"/>
        </w:rPr>
        <w:t>legal decision-making process</w:t>
      </w:r>
      <w:r w:rsidR="00563AC1">
        <w:rPr>
          <w:rFonts w:ascii="Arial" w:hAnsi="Arial" w:cs="Arial"/>
          <w:sz w:val="22"/>
          <w:szCs w:val="22"/>
          <w:lang w:val="en-US"/>
        </w:rPr>
        <w:t>es</w:t>
      </w:r>
      <w:r w:rsidRPr="003C0B84">
        <w:rPr>
          <w:rFonts w:ascii="Arial" w:hAnsi="Arial" w:cs="Arial"/>
          <w:sz w:val="22"/>
          <w:szCs w:val="22"/>
          <w:lang w:val="en-US"/>
        </w:rPr>
        <w:t xml:space="preserve"> </w:t>
      </w:r>
      <w:r w:rsidR="00563AC1">
        <w:rPr>
          <w:rFonts w:ascii="Arial" w:hAnsi="Arial" w:cs="Arial"/>
          <w:sz w:val="22"/>
          <w:szCs w:val="22"/>
          <w:lang w:val="en-US"/>
        </w:rPr>
        <w:t>will be</w:t>
      </w:r>
      <w:r w:rsidRPr="003C0B84">
        <w:rPr>
          <w:rFonts w:ascii="Arial" w:hAnsi="Arial" w:cs="Arial"/>
          <w:sz w:val="22"/>
          <w:szCs w:val="22"/>
          <w:lang w:val="en-US"/>
        </w:rPr>
        <w:t xml:space="preserve"> followed.</w:t>
      </w:r>
    </w:p>
    <w:p w:rsidR="00715CED" w:rsidRDefault="00715CED" w:rsidP="003C0B84">
      <w:pPr>
        <w:spacing w:after="0"/>
        <w:jc w:val="both"/>
        <w:rPr>
          <w:rFonts w:ascii="Arial" w:hAnsi="Arial" w:cs="Arial"/>
          <w:sz w:val="22"/>
          <w:szCs w:val="22"/>
        </w:rPr>
      </w:pPr>
    </w:p>
    <w:p w:rsidR="003C0B84" w:rsidRPr="003C0B84" w:rsidRDefault="003C0B84" w:rsidP="003C0B84">
      <w:pPr>
        <w:spacing w:after="0"/>
        <w:jc w:val="both"/>
        <w:rPr>
          <w:rFonts w:ascii="Arial" w:hAnsi="Arial" w:cs="Arial"/>
          <w:sz w:val="22"/>
          <w:szCs w:val="22"/>
          <w:lang w:val="en-US"/>
        </w:rPr>
      </w:pPr>
    </w:p>
    <w:p w:rsidR="003C0B84" w:rsidRPr="00C26D54" w:rsidRDefault="003C0B84" w:rsidP="00563AC1">
      <w:pPr>
        <w:pStyle w:val="ListParagraph"/>
        <w:keepNext/>
        <w:numPr>
          <w:ilvl w:val="0"/>
          <w:numId w:val="9"/>
        </w:numPr>
        <w:spacing w:after="0"/>
        <w:ind w:left="357" w:hanging="357"/>
        <w:jc w:val="both"/>
        <w:rPr>
          <w:rFonts w:ascii="Arial" w:hAnsi="Arial" w:cs="Arial"/>
          <w:b/>
          <w:i/>
          <w:sz w:val="22"/>
          <w:szCs w:val="22"/>
        </w:rPr>
      </w:pPr>
      <w:r w:rsidRPr="00C26D54">
        <w:rPr>
          <w:rFonts w:ascii="Arial" w:hAnsi="Arial" w:cs="Arial"/>
          <w:b/>
          <w:i/>
          <w:sz w:val="22"/>
          <w:szCs w:val="22"/>
        </w:rPr>
        <w:t xml:space="preserve">Additional </w:t>
      </w:r>
      <w:r>
        <w:rPr>
          <w:rFonts w:ascii="Arial" w:hAnsi="Arial" w:cs="Arial"/>
          <w:b/>
          <w:i/>
          <w:sz w:val="22"/>
          <w:szCs w:val="22"/>
        </w:rPr>
        <w:t xml:space="preserve">comments - </w:t>
      </w:r>
      <w:r w:rsidRPr="00C26D54">
        <w:rPr>
          <w:rFonts w:ascii="Arial" w:hAnsi="Arial" w:cs="Arial"/>
          <w:b/>
          <w:i/>
          <w:sz w:val="22"/>
          <w:szCs w:val="22"/>
        </w:rPr>
        <w:t>Water Management Act 2000 (NSW)</w:t>
      </w:r>
    </w:p>
    <w:p w:rsidR="003C0B84" w:rsidRDefault="003C0B84" w:rsidP="00A9458F">
      <w:pPr>
        <w:spacing w:after="0"/>
        <w:jc w:val="both"/>
        <w:rPr>
          <w:rFonts w:ascii="Arial" w:hAnsi="Arial" w:cs="Arial"/>
          <w:sz w:val="22"/>
          <w:szCs w:val="22"/>
        </w:rPr>
      </w:pPr>
    </w:p>
    <w:p w:rsidR="00880C98" w:rsidRDefault="00880C98" w:rsidP="00A9458F">
      <w:pPr>
        <w:spacing w:after="0"/>
        <w:jc w:val="both"/>
        <w:rPr>
          <w:rFonts w:ascii="Arial" w:hAnsi="Arial" w:cs="Arial"/>
          <w:sz w:val="22"/>
          <w:szCs w:val="22"/>
        </w:rPr>
      </w:pPr>
      <w:r>
        <w:rPr>
          <w:rFonts w:ascii="Arial" w:hAnsi="Arial" w:cs="Arial"/>
          <w:sz w:val="22"/>
          <w:szCs w:val="22"/>
        </w:rPr>
        <w:t xml:space="preserve">This section gives an example of how lack of transparency and accessibility of government information can affect access to justice and the exercise of public rights. </w:t>
      </w:r>
    </w:p>
    <w:p w:rsidR="00880C98" w:rsidRDefault="00880C98" w:rsidP="00A9458F">
      <w:pPr>
        <w:spacing w:after="0"/>
        <w:jc w:val="both"/>
        <w:rPr>
          <w:rFonts w:ascii="Arial" w:hAnsi="Arial" w:cs="Arial"/>
          <w:sz w:val="22"/>
          <w:szCs w:val="22"/>
        </w:rPr>
      </w:pPr>
    </w:p>
    <w:p w:rsidR="003C0B84" w:rsidRDefault="003C0B84" w:rsidP="00A9458F">
      <w:pPr>
        <w:spacing w:after="0"/>
        <w:jc w:val="both"/>
        <w:rPr>
          <w:rFonts w:ascii="Arial" w:hAnsi="Arial" w:cs="Arial"/>
          <w:sz w:val="22"/>
          <w:szCs w:val="22"/>
        </w:rPr>
      </w:pPr>
      <w:r>
        <w:rPr>
          <w:rFonts w:ascii="Arial" w:hAnsi="Arial" w:cs="Arial"/>
          <w:sz w:val="22"/>
          <w:szCs w:val="22"/>
        </w:rPr>
        <w:t>As previously indicated, the Water Management Act permits third parties who have objected to the granting of a water use or water works approval to appeal the decision within 28 days. Third parties may also seek an order restraining or remedying a breach of the Act, including breaches involving administrative decisions (to grant a licence or approval a licence transfer, for example). Recent changes to the Uniform Civil Procedure Rules 2005 (</w:t>
      </w:r>
      <w:r w:rsidRPr="003B0918">
        <w:rPr>
          <w:rFonts w:ascii="Arial" w:hAnsi="Arial" w:cs="Arial"/>
          <w:b/>
          <w:sz w:val="22"/>
          <w:szCs w:val="22"/>
        </w:rPr>
        <w:t>UCPR</w:t>
      </w:r>
      <w:r>
        <w:rPr>
          <w:rFonts w:ascii="Arial" w:hAnsi="Arial" w:cs="Arial"/>
          <w:sz w:val="22"/>
          <w:szCs w:val="22"/>
        </w:rPr>
        <w:t>) now require such proceedings to be commenced within three months of the decision being made under the Act.</w:t>
      </w:r>
      <w:r>
        <w:rPr>
          <w:rStyle w:val="EndnoteReference"/>
          <w:rFonts w:ascii="Arial" w:hAnsi="Arial" w:cs="Arial"/>
          <w:sz w:val="22"/>
          <w:szCs w:val="22"/>
        </w:rPr>
        <w:endnoteReference w:id="42"/>
      </w:r>
      <w:r>
        <w:rPr>
          <w:rFonts w:ascii="Arial" w:hAnsi="Arial" w:cs="Arial"/>
          <w:sz w:val="22"/>
          <w:szCs w:val="22"/>
        </w:rPr>
        <w:t xml:space="preserve"> </w:t>
      </w:r>
    </w:p>
    <w:p w:rsidR="003C0B84" w:rsidRDefault="003C0B84" w:rsidP="00A9458F">
      <w:pPr>
        <w:spacing w:after="0"/>
        <w:jc w:val="both"/>
        <w:rPr>
          <w:rFonts w:ascii="Arial" w:hAnsi="Arial" w:cs="Arial"/>
          <w:sz w:val="22"/>
          <w:szCs w:val="22"/>
        </w:rPr>
      </w:pPr>
    </w:p>
    <w:p w:rsidR="003C0B84" w:rsidRDefault="003C0B84" w:rsidP="00A9458F">
      <w:pPr>
        <w:spacing w:after="0"/>
        <w:jc w:val="both"/>
        <w:rPr>
          <w:rFonts w:ascii="Arial" w:hAnsi="Arial" w:cs="Arial"/>
          <w:sz w:val="22"/>
          <w:szCs w:val="22"/>
        </w:rPr>
      </w:pPr>
      <w:r>
        <w:rPr>
          <w:rFonts w:ascii="Arial" w:hAnsi="Arial" w:cs="Arial"/>
          <w:sz w:val="22"/>
          <w:szCs w:val="22"/>
        </w:rPr>
        <w:t xml:space="preserve">These appeal rights must be considered in tandem with barriers to accessing information regarding decisions to approve water use applications, water works, a new licence or a licence transfer. </w:t>
      </w:r>
    </w:p>
    <w:p w:rsidR="003C0B84" w:rsidRDefault="003C0B84" w:rsidP="00A9458F">
      <w:pPr>
        <w:spacing w:after="0"/>
        <w:jc w:val="both"/>
        <w:rPr>
          <w:rFonts w:ascii="Arial" w:hAnsi="Arial" w:cs="Arial"/>
          <w:sz w:val="22"/>
          <w:szCs w:val="22"/>
        </w:rPr>
      </w:pPr>
    </w:p>
    <w:p w:rsidR="003C0B84" w:rsidRDefault="003C0B84" w:rsidP="00A9458F">
      <w:pPr>
        <w:spacing w:after="0"/>
        <w:jc w:val="both"/>
        <w:rPr>
          <w:rFonts w:ascii="Arial" w:hAnsi="Arial" w:cs="Arial"/>
          <w:sz w:val="22"/>
          <w:szCs w:val="22"/>
        </w:rPr>
      </w:pPr>
      <w:r>
        <w:rPr>
          <w:rFonts w:ascii="Arial" w:hAnsi="Arial" w:cs="Arial"/>
          <w:sz w:val="22"/>
          <w:szCs w:val="22"/>
        </w:rPr>
        <w:t>While the NSW Office of Water does maintain a Register of Water Approvals (for water use or water works),</w:t>
      </w:r>
      <w:r>
        <w:rPr>
          <w:rStyle w:val="EndnoteReference"/>
          <w:rFonts w:ascii="Arial" w:hAnsi="Arial" w:cs="Arial"/>
          <w:sz w:val="22"/>
          <w:szCs w:val="22"/>
        </w:rPr>
        <w:endnoteReference w:id="43"/>
      </w:r>
      <w:r>
        <w:rPr>
          <w:rFonts w:ascii="Arial" w:hAnsi="Arial" w:cs="Arial"/>
          <w:sz w:val="22"/>
          <w:szCs w:val="22"/>
        </w:rPr>
        <w:t xml:space="preserve"> the Register can only be used if an interested party can specify the exact kind of approval and the month and year that it was issued. Based on our experience, most members of the community do not have access to this sort of information, effectively barring them from accessing the Register.  </w:t>
      </w:r>
    </w:p>
    <w:p w:rsidR="003C0B84" w:rsidRDefault="003C0B84" w:rsidP="00A9458F">
      <w:pPr>
        <w:spacing w:after="0"/>
        <w:jc w:val="both"/>
        <w:rPr>
          <w:rFonts w:ascii="Arial" w:hAnsi="Arial" w:cs="Arial"/>
          <w:sz w:val="22"/>
          <w:szCs w:val="22"/>
        </w:rPr>
      </w:pPr>
    </w:p>
    <w:p w:rsidR="003C0B84" w:rsidRDefault="003C0B84" w:rsidP="006A11B7">
      <w:pPr>
        <w:spacing w:after="0"/>
        <w:jc w:val="both"/>
        <w:rPr>
          <w:rFonts w:ascii="Arial" w:hAnsi="Arial" w:cs="Arial"/>
          <w:sz w:val="22"/>
          <w:szCs w:val="22"/>
        </w:rPr>
      </w:pPr>
      <w:r>
        <w:rPr>
          <w:rFonts w:ascii="Arial" w:hAnsi="Arial" w:cs="Arial"/>
          <w:sz w:val="22"/>
          <w:szCs w:val="22"/>
        </w:rPr>
        <w:t>Furthermore, while a ‘water access licence register’ is maintained by Land and Property Information (as per the requirements of the Water Management Act),</w:t>
      </w:r>
      <w:r>
        <w:rPr>
          <w:rStyle w:val="EndnoteReference"/>
          <w:rFonts w:ascii="Arial" w:hAnsi="Arial" w:cs="Arial"/>
          <w:sz w:val="22"/>
          <w:szCs w:val="22"/>
        </w:rPr>
        <w:endnoteReference w:id="44"/>
      </w:r>
      <w:r w:rsidR="0006358E">
        <w:rPr>
          <w:rFonts w:ascii="Arial" w:hAnsi="Arial" w:cs="Arial"/>
          <w:sz w:val="22"/>
          <w:szCs w:val="22"/>
        </w:rPr>
        <w:t xml:space="preserve"> searches are only possible where an individual has access to a specific licence number.  </w:t>
      </w:r>
    </w:p>
    <w:p w:rsidR="003C0B84" w:rsidRDefault="003C0B84" w:rsidP="006A11B7">
      <w:pPr>
        <w:spacing w:after="0"/>
        <w:jc w:val="both"/>
        <w:rPr>
          <w:rFonts w:ascii="Arial" w:hAnsi="Arial" w:cs="Arial"/>
          <w:sz w:val="22"/>
          <w:szCs w:val="22"/>
        </w:rPr>
      </w:pPr>
    </w:p>
    <w:p w:rsidR="0006358E" w:rsidRDefault="0006358E" w:rsidP="006A11B7">
      <w:pPr>
        <w:spacing w:after="0"/>
        <w:jc w:val="both"/>
        <w:rPr>
          <w:rFonts w:ascii="Arial" w:hAnsi="Arial" w:cs="Arial"/>
          <w:sz w:val="22"/>
          <w:szCs w:val="22"/>
        </w:rPr>
      </w:pPr>
      <w:r>
        <w:rPr>
          <w:rFonts w:ascii="Arial" w:hAnsi="Arial" w:cs="Arial"/>
          <w:sz w:val="22"/>
          <w:szCs w:val="22"/>
        </w:rPr>
        <w:t xml:space="preserve">In other words, </w:t>
      </w:r>
      <w:r w:rsidR="003C0B84">
        <w:rPr>
          <w:rFonts w:ascii="Arial" w:hAnsi="Arial" w:cs="Arial"/>
          <w:sz w:val="22"/>
          <w:szCs w:val="22"/>
        </w:rPr>
        <w:t>there is no central</w:t>
      </w:r>
      <w:r>
        <w:rPr>
          <w:rFonts w:ascii="Arial" w:hAnsi="Arial" w:cs="Arial"/>
          <w:sz w:val="22"/>
          <w:szCs w:val="22"/>
        </w:rPr>
        <w:t>, accessible</w:t>
      </w:r>
      <w:r w:rsidR="003C0B84">
        <w:rPr>
          <w:rFonts w:ascii="Arial" w:hAnsi="Arial" w:cs="Arial"/>
          <w:sz w:val="22"/>
          <w:szCs w:val="22"/>
        </w:rPr>
        <w:t xml:space="preserve"> register of decisions to grant new licences or to approve licence transfers. As such, it is difficult for third parties to know when the Minister has made such a decision under the Water Management Act. </w:t>
      </w:r>
    </w:p>
    <w:p w:rsidR="001C1C01" w:rsidRDefault="001C1C01" w:rsidP="006A11B7">
      <w:pPr>
        <w:spacing w:after="0"/>
        <w:jc w:val="both"/>
        <w:rPr>
          <w:rFonts w:ascii="Arial" w:hAnsi="Arial" w:cs="Arial"/>
          <w:sz w:val="22"/>
          <w:szCs w:val="22"/>
        </w:rPr>
      </w:pPr>
    </w:p>
    <w:p w:rsidR="000C7621" w:rsidRDefault="000C7621" w:rsidP="001C1C01">
      <w:pPr>
        <w:spacing w:after="0"/>
        <w:jc w:val="both"/>
        <w:rPr>
          <w:rFonts w:ascii="Arial" w:hAnsi="Arial" w:cs="Arial"/>
          <w:sz w:val="22"/>
          <w:szCs w:val="22"/>
        </w:rPr>
      </w:pPr>
      <w:r>
        <w:rPr>
          <w:rFonts w:ascii="Arial" w:hAnsi="Arial" w:cs="Arial"/>
          <w:sz w:val="22"/>
          <w:szCs w:val="22"/>
        </w:rPr>
        <w:t>We</w:t>
      </w:r>
      <w:r w:rsidR="0006358E">
        <w:rPr>
          <w:rFonts w:ascii="Arial" w:hAnsi="Arial" w:cs="Arial"/>
          <w:sz w:val="22"/>
          <w:szCs w:val="22"/>
        </w:rPr>
        <w:t xml:space="preserve"> </w:t>
      </w:r>
      <w:r>
        <w:rPr>
          <w:rFonts w:ascii="Arial" w:hAnsi="Arial" w:cs="Arial"/>
          <w:sz w:val="22"/>
          <w:szCs w:val="22"/>
        </w:rPr>
        <w:t xml:space="preserve">are </w:t>
      </w:r>
      <w:r w:rsidR="0006358E">
        <w:rPr>
          <w:rFonts w:ascii="Arial" w:hAnsi="Arial" w:cs="Arial"/>
          <w:sz w:val="22"/>
          <w:szCs w:val="22"/>
        </w:rPr>
        <w:t>aware that opponents of a more transparent system ha</w:t>
      </w:r>
      <w:r>
        <w:rPr>
          <w:rFonts w:ascii="Arial" w:hAnsi="Arial" w:cs="Arial"/>
          <w:sz w:val="22"/>
          <w:szCs w:val="22"/>
        </w:rPr>
        <w:t>ve raised concerns about privacy issues.</w:t>
      </w:r>
      <w:r w:rsidR="000446F4">
        <w:rPr>
          <w:rStyle w:val="EndnoteReference"/>
          <w:rFonts w:ascii="Arial" w:hAnsi="Arial" w:cs="Arial"/>
          <w:sz w:val="22"/>
          <w:szCs w:val="22"/>
        </w:rPr>
        <w:endnoteReference w:id="45"/>
      </w:r>
      <w:r w:rsidR="001C1C01">
        <w:rPr>
          <w:rFonts w:ascii="Arial" w:hAnsi="Arial" w:cs="Arial"/>
          <w:sz w:val="22"/>
          <w:szCs w:val="22"/>
        </w:rPr>
        <w:t xml:space="preserve"> However, the </w:t>
      </w:r>
      <w:r w:rsidR="001C1C01" w:rsidRPr="001C1C01">
        <w:rPr>
          <w:rFonts w:ascii="Arial" w:hAnsi="Arial" w:cs="Arial"/>
          <w:i/>
          <w:iCs/>
          <w:sz w:val="22"/>
          <w:szCs w:val="22"/>
        </w:rPr>
        <w:t xml:space="preserve">Privacy and Personal Information Protection Act 1998 </w:t>
      </w:r>
      <w:r w:rsidR="001C1C01" w:rsidRPr="001C1C01">
        <w:rPr>
          <w:rFonts w:ascii="Arial" w:hAnsi="Arial" w:cs="Arial"/>
          <w:sz w:val="22"/>
          <w:szCs w:val="22"/>
        </w:rPr>
        <w:t xml:space="preserve">(NSW) </w:t>
      </w:r>
      <w:r w:rsidR="001C1C01">
        <w:rPr>
          <w:rFonts w:ascii="Arial" w:hAnsi="Arial" w:cs="Arial"/>
          <w:sz w:val="22"/>
          <w:szCs w:val="22"/>
        </w:rPr>
        <w:t xml:space="preserve">permits the disclosure of </w:t>
      </w:r>
      <w:r w:rsidR="000446F4">
        <w:rPr>
          <w:rFonts w:ascii="Arial" w:hAnsi="Arial" w:cs="Arial"/>
          <w:sz w:val="22"/>
          <w:szCs w:val="22"/>
        </w:rPr>
        <w:t xml:space="preserve">‘personal </w:t>
      </w:r>
      <w:r w:rsidR="001C1C01">
        <w:rPr>
          <w:rFonts w:ascii="Arial" w:hAnsi="Arial" w:cs="Arial"/>
          <w:sz w:val="22"/>
          <w:szCs w:val="22"/>
        </w:rPr>
        <w:t>information</w:t>
      </w:r>
      <w:r w:rsidR="000446F4">
        <w:rPr>
          <w:rFonts w:ascii="Arial" w:hAnsi="Arial" w:cs="Arial"/>
          <w:sz w:val="22"/>
          <w:szCs w:val="22"/>
        </w:rPr>
        <w:t>’</w:t>
      </w:r>
      <w:r w:rsidR="001C1C01">
        <w:rPr>
          <w:rFonts w:ascii="Arial" w:hAnsi="Arial" w:cs="Arial"/>
          <w:sz w:val="22"/>
          <w:szCs w:val="22"/>
        </w:rPr>
        <w:t xml:space="preserve"> contained on public registers as long as the agency concerned is satisfied that the information will only be used for the purposes of the register or the Act under which the register is kept.</w:t>
      </w:r>
      <w:r w:rsidR="001C1C01">
        <w:rPr>
          <w:rStyle w:val="EndnoteReference"/>
          <w:rFonts w:ascii="Arial" w:hAnsi="Arial" w:cs="Arial"/>
          <w:sz w:val="22"/>
          <w:szCs w:val="22"/>
        </w:rPr>
        <w:endnoteReference w:id="46"/>
      </w:r>
      <w:r>
        <w:rPr>
          <w:rFonts w:ascii="Arial" w:hAnsi="Arial" w:cs="Arial"/>
          <w:sz w:val="22"/>
          <w:szCs w:val="22"/>
        </w:rPr>
        <w:t xml:space="preserve"> </w:t>
      </w:r>
      <w:r w:rsidR="001C1C01">
        <w:rPr>
          <w:rFonts w:ascii="Arial" w:hAnsi="Arial" w:cs="Arial"/>
          <w:sz w:val="22"/>
          <w:szCs w:val="22"/>
        </w:rPr>
        <w:t xml:space="preserve">Being able to access and use the information contained on the aforementioned registers for the purposes of verifying whether a decision has been made in accordance with the </w:t>
      </w:r>
      <w:r w:rsidR="004F550B">
        <w:rPr>
          <w:rFonts w:ascii="Arial" w:hAnsi="Arial" w:cs="Arial"/>
          <w:sz w:val="22"/>
          <w:szCs w:val="22"/>
        </w:rPr>
        <w:t>Water Management Act</w:t>
      </w:r>
      <w:r w:rsidR="001C1C01">
        <w:rPr>
          <w:rFonts w:ascii="Arial" w:hAnsi="Arial" w:cs="Arial"/>
          <w:sz w:val="22"/>
          <w:szCs w:val="22"/>
        </w:rPr>
        <w:t xml:space="preserve"> </w:t>
      </w:r>
      <w:r w:rsidR="004F550B">
        <w:rPr>
          <w:rFonts w:ascii="Arial" w:hAnsi="Arial" w:cs="Arial"/>
          <w:sz w:val="22"/>
          <w:szCs w:val="22"/>
        </w:rPr>
        <w:t xml:space="preserve">is most certainly consistent with this requirement. </w:t>
      </w:r>
    </w:p>
    <w:p w:rsidR="000C7621" w:rsidRDefault="000C7621" w:rsidP="006A11B7">
      <w:pPr>
        <w:spacing w:after="0"/>
        <w:jc w:val="both"/>
        <w:rPr>
          <w:rFonts w:ascii="Arial" w:hAnsi="Arial" w:cs="Arial"/>
          <w:sz w:val="22"/>
          <w:szCs w:val="22"/>
        </w:rPr>
      </w:pPr>
    </w:p>
    <w:p w:rsidR="0006358E" w:rsidRDefault="000446F4" w:rsidP="006A11B7">
      <w:pPr>
        <w:spacing w:after="0"/>
        <w:jc w:val="both"/>
        <w:rPr>
          <w:rFonts w:ascii="Arial" w:hAnsi="Arial" w:cs="Arial"/>
          <w:sz w:val="22"/>
          <w:szCs w:val="22"/>
        </w:rPr>
      </w:pPr>
      <w:r>
        <w:rPr>
          <w:rFonts w:ascii="Arial" w:hAnsi="Arial" w:cs="Arial"/>
          <w:sz w:val="22"/>
          <w:szCs w:val="22"/>
        </w:rPr>
        <w:t>T</w:t>
      </w:r>
      <w:r w:rsidR="002D26F6">
        <w:rPr>
          <w:rFonts w:ascii="Arial" w:hAnsi="Arial" w:cs="Arial"/>
          <w:sz w:val="22"/>
          <w:szCs w:val="22"/>
        </w:rPr>
        <w:t>he</w:t>
      </w:r>
      <w:r w:rsidR="000C7621">
        <w:rPr>
          <w:rFonts w:ascii="Arial" w:hAnsi="Arial" w:cs="Arial"/>
          <w:sz w:val="22"/>
          <w:szCs w:val="22"/>
        </w:rPr>
        <w:t xml:space="preserve"> Water Management Act, water sharing plans and dealing principles outline criteria that must be adhered to when determining an application for a new licence or for a licence transfer. Broadly speaking, these criteria seek to ensure that new licences or licence transfers will not have an unreasonable impact on other users and the environment. Accordingly, there is strong public interest argument in favour of third parties being able to verify that the decision-maker has complied with</w:t>
      </w:r>
      <w:r>
        <w:rPr>
          <w:rFonts w:ascii="Arial" w:hAnsi="Arial" w:cs="Arial"/>
          <w:sz w:val="22"/>
          <w:szCs w:val="22"/>
        </w:rPr>
        <w:t xml:space="preserve"> the</w:t>
      </w:r>
      <w:r w:rsidR="000C7621">
        <w:rPr>
          <w:rFonts w:ascii="Arial" w:hAnsi="Arial" w:cs="Arial"/>
          <w:sz w:val="22"/>
          <w:szCs w:val="22"/>
        </w:rPr>
        <w:t xml:space="preserve"> Act and relevant instruments. </w:t>
      </w:r>
    </w:p>
    <w:p w:rsidR="003C0B84" w:rsidRDefault="003C0B84" w:rsidP="006A11B7">
      <w:pPr>
        <w:spacing w:after="0"/>
        <w:jc w:val="both"/>
        <w:rPr>
          <w:rFonts w:ascii="Arial" w:hAnsi="Arial" w:cs="Arial"/>
          <w:sz w:val="22"/>
          <w:szCs w:val="22"/>
        </w:rPr>
      </w:pPr>
    </w:p>
    <w:p w:rsidR="003C0B84" w:rsidRDefault="000446F4" w:rsidP="006A11B7">
      <w:pPr>
        <w:spacing w:after="0"/>
        <w:jc w:val="both"/>
        <w:rPr>
          <w:rFonts w:ascii="Arial" w:hAnsi="Arial" w:cs="Arial"/>
          <w:sz w:val="22"/>
          <w:szCs w:val="22"/>
        </w:rPr>
      </w:pPr>
      <w:r>
        <w:rPr>
          <w:rFonts w:ascii="Arial" w:hAnsi="Arial" w:cs="Arial"/>
          <w:sz w:val="22"/>
          <w:szCs w:val="22"/>
        </w:rPr>
        <w:t>This</w:t>
      </w:r>
      <w:r w:rsidR="003C0B84">
        <w:rPr>
          <w:rFonts w:ascii="Arial" w:hAnsi="Arial" w:cs="Arial"/>
          <w:sz w:val="22"/>
          <w:szCs w:val="22"/>
        </w:rPr>
        <w:t xml:space="preserve"> lack of transparency has disadvantaged a number of our clients who were unable to access information regarding approvals granted under the Water Management Act within the relevant limitation period. While the UCPR do provide the courts with discretion to waive the three month limitation period, there is no guarantee that they would choose to exercise this discretion. </w:t>
      </w:r>
    </w:p>
    <w:p w:rsidR="003C0B84" w:rsidRPr="00A9458F" w:rsidRDefault="003C0B84" w:rsidP="00A9458F">
      <w:pPr>
        <w:spacing w:after="0"/>
        <w:jc w:val="both"/>
        <w:rPr>
          <w:rFonts w:ascii="Arial" w:hAnsi="Arial" w:cs="Arial"/>
          <w:sz w:val="22"/>
          <w:szCs w:val="22"/>
        </w:rPr>
      </w:pPr>
      <w:r>
        <w:rPr>
          <w:rFonts w:ascii="Arial" w:hAnsi="Arial" w:cs="Arial"/>
          <w:sz w:val="22"/>
          <w:szCs w:val="22"/>
        </w:rPr>
        <w:t xml:space="preserve"> </w:t>
      </w:r>
    </w:p>
    <w:p w:rsidR="003C0B84" w:rsidRDefault="003C0B84" w:rsidP="00733776">
      <w:pPr>
        <w:pStyle w:val="ListParagraph"/>
        <w:keepNext/>
        <w:numPr>
          <w:ilvl w:val="0"/>
          <w:numId w:val="9"/>
        </w:numPr>
        <w:spacing w:after="0"/>
        <w:ind w:left="357" w:hanging="357"/>
        <w:jc w:val="both"/>
        <w:rPr>
          <w:rFonts w:ascii="Arial" w:hAnsi="Arial" w:cs="Arial"/>
          <w:b/>
          <w:i/>
          <w:sz w:val="22"/>
          <w:szCs w:val="22"/>
        </w:rPr>
      </w:pPr>
      <w:r w:rsidRPr="00C26D54">
        <w:rPr>
          <w:rFonts w:ascii="Arial" w:hAnsi="Arial" w:cs="Arial"/>
          <w:b/>
          <w:i/>
          <w:sz w:val="22"/>
          <w:szCs w:val="22"/>
        </w:rPr>
        <w:t xml:space="preserve">Federal jurisdiction </w:t>
      </w:r>
    </w:p>
    <w:p w:rsidR="003C0B84" w:rsidRDefault="003C0B84" w:rsidP="00A31593">
      <w:pPr>
        <w:spacing w:after="0"/>
        <w:jc w:val="both"/>
        <w:rPr>
          <w:rFonts w:ascii="Arial" w:hAnsi="Arial" w:cs="Arial"/>
          <w:b/>
          <w:i/>
          <w:sz w:val="22"/>
          <w:szCs w:val="22"/>
        </w:rPr>
      </w:pPr>
    </w:p>
    <w:p w:rsidR="003C0B84" w:rsidRDefault="003C0B84" w:rsidP="00A31593">
      <w:pPr>
        <w:spacing w:after="0"/>
        <w:jc w:val="both"/>
        <w:rPr>
          <w:rFonts w:ascii="Arial" w:hAnsi="Arial" w:cs="Arial"/>
          <w:sz w:val="22"/>
          <w:szCs w:val="22"/>
        </w:rPr>
      </w:pPr>
      <w:r>
        <w:rPr>
          <w:rFonts w:ascii="Arial" w:hAnsi="Arial" w:cs="Arial"/>
          <w:sz w:val="22"/>
          <w:szCs w:val="22"/>
        </w:rPr>
        <w:t xml:space="preserve">Standing provisions in Federal environmental legislation vary, however we note a general tendency to exclude third party enforcement and appeal rights. As a consequence, genuine public interest litigants to appeal a decision made under most environmental legislation must rely on common law standing in order to commence proceedings. As previously indicated, the case law in relation to common law standing is inconsistent, with the result that established conservation groups may not be granted leave to appeal. Furthermore, common law standing relates exclusively to administrative decisions made pursuant to a particular statute. That is, it cannot be relied on to generally enforce the provisions of environmental legislation. </w:t>
      </w:r>
    </w:p>
    <w:p w:rsidR="003C0B84" w:rsidRPr="00A31593" w:rsidRDefault="003C0B84" w:rsidP="00A31593">
      <w:pPr>
        <w:spacing w:after="0"/>
        <w:jc w:val="both"/>
        <w:rPr>
          <w:rFonts w:ascii="Arial" w:hAnsi="Arial" w:cs="Arial"/>
          <w:sz w:val="22"/>
          <w:szCs w:val="22"/>
        </w:rPr>
      </w:pPr>
      <w:r>
        <w:rPr>
          <w:rFonts w:ascii="Arial" w:hAnsi="Arial" w:cs="Arial"/>
          <w:sz w:val="22"/>
          <w:szCs w:val="22"/>
        </w:rPr>
        <w:t xml:space="preserve"> </w:t>
      </w:r>
    </w:p>
    <w:p w:rsidR="003C0B84" w:rsidRDefault="003C0B84" w:rsidP="001968C9">
      <w:pPr>
        <w:pStyle w:val="ListParagraph"/>
        <w:ind w:left="0"/>
        <w:jc w:val="both"/>
        <w:rPr>
          <w:rFonts w:ascii="Arial" w:hAnsi="Arial" w:cs="Arial"/>
          <w:sz w:val="22"/>
          <w:szCs w:val="22"/>
        </w:rPr>
      </w:pPr>
      <w:r>
        <w:rPr>
          <w:rFonts w:ascii="Arial" w:hAnsi="Arial" w:cs="Arial"/>
          <w:sz w:val="22"/>
          <w:szCs w:val="22"/>
        </w:rPr>
        <w:t>A</w:t>
      </w:r>
      <w:r w:rsidRPr="00A31593">
        <w:rPr>
          <w:rFonts w:ascii="Arial" w:hAnsi="Arial" w:cs="Arial"/>
          <w:sz w:val="22"/>
          <w:szCs w:val="22"/>
        </w:rPr>
        <w:t xml:space="preserve"> positive example of </w:t>
      </w:r>
      <w:r w:rsidR="00880C98">
        <w:rPr>
          <w:rFonts w:ascii="Arial" w:hAnsi="Arial" w:cs="Arial"/>
          <w:sz w:val="22"/>
          <w:szCs w:val="22"/>
        </w:rPr>
        <w:t xml:space="preserve">relatively </w:t>
      </w:r>
      <w:r w:rsidRPr="00A31593">
        <w:rPr>
          <w:rFonts w:ascii="Arial" w:hAnsi="Arial" w:cs="Arial"/>
          <w:sz w:val="22"/>
          <w:szCs w:val="22"/>
        </w:rPr>
        <w:t xml:space="preserve">broad standing can be found in the </w:t>
      </w:r>
      <w:r w:rsidRPr="00A31593">
        <w:rPr>
          <w:rFonts w:ascii="Arial" w:hAnsi="Arial" w:cs="Arial"/>
          <w:i/>
          <w:sz w:val="22"/>
          <w:szCs w:val="22"/>
        </w:rPr>
        <w:t>Environment Protection and Biodiversity Conservation Act 1999</w:t>
      </w:r>
      <w:r w:rsidR="00880C98">
        <w:rPr>
          <w:rFonts w:ascii="Arial" w:hAnsi="Arial" w:cs="Arial"/>
          <w:i/>
          <w:sz w:val="22"/>
          <w:szCs w:val="22"/>
        </w:rPr>
        <w:t xml:space="preserve"> (</w:t>
      </w:r>
      <w:proofErr w:type="spellStart"/>
      <w:r w:rsidR="00880C98">
        <w:rPr>
          <w:rFonts w:ascii="Arial" w:hAnsi="Arial" w:cs="Arial"/>
          <w:i/>
          <w:sz w:val="22"/>
          <w:szCs w:val="22"/>
        </w:rPr>
        <w:t>Cth</w:t>
      </w:r>
      <w:proofErr w:type="spellEnd"/>
      <w:r w:rsidR="00880C98">
        <w:rPr>
          <w:rFonts w:ascii="Arial" w:hAnsi="Arial" w:cs="Arial"/>
          <w:i/>
          <w:sz w:val="22"/>
          <w:szCs w:val="22"/>
        </w:rPr>
        <w:t>)</w:t>
      </w:r>
      <w:r w:rsidRPr="00A31593">
        <w:rPr>
          <w:rFonts w:ascii="Arial" w:hAnsi="Arial" w:cs="Arial"/>
          <w:i/>
          <w:sz w:val="22"/>
          <w:szCs w:val="22"/>
        </w:rPr>
        <w:t xml:space="preserve"> </w:t>
      </w:r>
      <w:r w:rsidRPr="000F5F37">
        <w:rPr>
          <w:rFonts w:ascii="Arial" w:hAnsi="Arial" w:cs="Arial"/>
          <w:sz w:val="22"/>
          <w:szCs w:val="22"/>
        </w:rPr>
        <w:t>(</w:t>
      </w:r>
      <w:proofErr w:type="spellStart"/>
      <w:r w:rsidRPr="000F5F37">
        <w:rPr>
          <w:rFonts w:ascii="Arial" w:hAnsi="Arial" w:cs="Arial"/>
          <w:b/>
          <w:sz w:val="22"/>
          <w:szCs w:val="22"/>
        </w:rPr>
        <w:t>EPBC</w:t>
      </w:r>
      <w:proofErr w:type="spellEnd"/>
      <w:r w:rsidRPr="000F5F37">
        <w:rPr>
          <w:rFonts w:ascii="Arial" w:hAnsi="Arial" w:cs="Arial"/>
          <w:b/>
          <w:sz w:val="22"/>
          <w:szCs w:val="22"/>
        </w:rPr>
        <w:t xml:space="preserve"> Act</w:t>
      </w:r>
      <w:r w:rsidRPr="000F5F37">
        <w:rPr>
          <w:rFonts w:ascii="Arial" w:hAnsi="Arial" w:cs="Arial"/>
          <w:sz w:val="22"/>
          <w:szCs w:val="22"/>
        </w:rPr>
        <w:t>).</w:t>
      </w:r>
      <w:r w:rsidRPr="00A31593">
        <w:rPr>
          <w:rFonts w:ascii="Arial" w:hAnsi="Arial" w:cs="Arial"/>
          <w:i/>
          <w:sz w:val="22"/>
          <w:szCs w:val="22"/>
        </w:rPr>
        <w:t xml:space="preserve"> </w:t>
      </w:r>
      <w:r w:rsidRPr="00A31593">
        <w:rPr>
          <w:rFonts w:ascii="Arial" w:hAnsi="Arial" w:cs="Arial"/>
          <w:sz w:val="22"/>
          <w:szCs w:val="22"/>
        </w:rPr>
        <w:t xml:space="preserve">Under section 475, the </w:t>
      </w:r>
      <w:r w:rsidRPr="00A31593">
        <w:rPr>
          <w:rFonts w:ascii="Arial" w:hAnsi="Arial" w:cs="Arial"/>
          <w:i/>
          <w:sz w:val="22"/>
          <w:szCs w:val="22"/>
        </w:rPr>
        <w:t>EPBC Act</w:t>
      </w:r>
      <w:r w:rsidRPr="00A31593">
        <w:rPr>
          <w:rFonts w:ascii="Arial" w:hAnsi="Arial" w:cs="Arial"/>
          <w:sz w:val="22"/>
          <w:szCs w:val="22"/>
        </w:rPr>
        <w:t xml:space="preserve"> </w:t>
      </w:r>
      <w:r w:rsidR="001B04B2">
        <w:rPr>
          <w:rFonts w:ascii="Arial" w:hAnsi="Arial" w:cs="Arial"/>
          <w:sz w:val="22"/>
          <w:szCs w:val="22"/>
        </w:rPr>
        <w:t>gives</w:t>
      </w:r>
      <w:r w:rsidR="001B04B2" w:rsidRPr="00A31593">
        <w:rPr>
          <w:rFonts w:ascii="Arial" w:hAnsi="Arial" w:cs="Arial"/>
          <w:sz w:val="22"/>
          <w:szCs w:val="22"/>
        </w:rPr>
        <w:t xml:space="preserve"> </w:t>
      </w:r>
      <w:r w:rsidR="001B04B2">
        <w:rPr>
          <w:rFonts w:ascii="Arial" w:hAnsi="Arial" w:cs="Arial"/>
          <w:sz w:val="22"/>
          <w:szCs w:val="22"/>
        </w:rPr>
        <w:t xml:space="preserve">standing to </w:t>
      </w:r>
      <w:r w:rsidRPr="00A31593">
        <w:rPr>
          <w:rFonts w:ascii="Arial" w:hAnsi="Arial" w:cs="Arial"/>
          <w:sz w:val="22"/>
          <w:szCs w:val="22"/>
        </w:rPr>
        <w:t xml:space="preserve">an </w:t>
      </w:r>
      <w:r>
        <w:rPr>
          <w:rFonts w:ascii="Arial" w:hAnsi="Arial" w:cs="Arial"/>
          <w:sz w:val="22"/>
          <w:szCs w:val="22"/>
        </w:rPr>
        <w:t>‘</w:t>
      </w:r>
      <w:r w:rsidRPr="00A31593">
        <w:rPr>
          <w:rFonts w:ascii="Arial" w:hAnsi="Arial" w:cs="Arial"/>
          <w:sz w:val="22"/>
          <w:szCs w:val="22"/>
        </w:rPr>
        <w:t>interested person</w:t>
      </w:r>
      <w:r>
        <w:rPr>
          <w:rFonts w:ascii="Arial" w:hAnsi="Arial" w:cs="Arial"/>
          <w:sz w:val="22"/>
          <w:szCs w:val="22"/>
        </w:rPr>
        <w:t>’</w:t>
      </w:r>
      <w:r w:rsidRPr="00A31593">
        <w:rPr>
          <w:rFonts w:ascii="Arial" w:hAnsi="Arial" w:cs="Arial"/>
          <w:sz w:val="22"/>
          <w:szCs w:val="22"/>
        </w:rPr>
        <w:t xml:space="preserve"> to apply for an injunction for contravention of the </w:t>
      </w:r>
      <w:r w:rsidR="001B04B2">
        <w:rPr>
          <w:rFonts w:ascii="Arial" w:hAnsi="Arial" w:cs="Arial"/>
          <w:sz w:val="22"/>
          <w:szCs w:val="22"/>
        </w:rPr>
        <w:t>A</w:t>
      </w:r>
      <w:r w:rsidR="001B04B2" w:rsidRPr="00A31593">
        <w:rPr>
          <w:rFonts w:ascii="Arial" w:hAnsi="Arial" w:cs="Arial"/>
          <w:sz w:val="22"/>
          <w:szCs w:val="22"/>
        </w:rPr>
        <w:t>ct</w:t>
      </w:r>
      <w:r w:rsidR="001B04B2">
        <w:rPr>
          <w:rFonts w:ascii="Arial" w:hAnsi="Arial" w:cs="Arial"/>
          <w:sz w:val="22"/>
          <w:szCs w:val="22"/>
        </w:rPr>
        <w:t>. A</w:t>
      </w:r>
      <w:r w:rsidRPr="00A31593">
        <w:rPr>
          <w:rFonts w:ascii="Arial" w:hAnsi="Arial" w:cs="Arial"/>
          <w:sz w:val="22"/>
          <w:szCs w:val="22"/>
        </w:rPr>
        <w:t>n</w:t>
      </w:r>
      <w:r>
        <w:rPr>
          <w:rFonts w:ascii="Arial" w:hAnsi="Arial" w:cs="Arial"/>
          <w:sz w:val="22"/>
          <w:szCs w:val="22"/>
        </w:rPr>
        <w:t xml:space="preserve"> </w:t>
      </w:r>
      <w:r w:rsidRPr="00A31593">
        <w:rPr>
          <w:rFonts w:ascii="Arial" w:hAnsi="Arial" w:cs="Arial"/>
          <w:sz w:val="22"/>
          <w:szCs w:val="22"/>
        </w:rPr>
        <w:t>“interested person” is defined as:</w:t>
      </w:r>
    </w:p>
    <w:p w:rsidR="003C0B84" w:rsidRDefault="003C0B84" w:rsidP="001968C9">
      <w:pPr>
        <w:pStyle w:val="ListParagraph"/>
        <w:ind w:left="0"/>
        <w:jc w:val="both"/>
        <w:rPr>
          <w:rFonts w:ascii="Arial" w:hAnsi="Arial" w:cs="Arial"/>
          <w:sz w:val="22"/>
          <w:szCs w:val="22"/>
        </w:rPr>
      </w:pPr>
    </w:p>
    <w:p w:rsidR="003C0B84" w:rsidRPr="001B04B2" w:rsidRDefault="003C0B84" w:rsidP="00536191">
      <w:pPr>
        <w:pStyle w:val="ListParagraph"/>
        <w:numPr>
          <w:ilvl w:val="0"/>
          <w:numId w:val="17"/>
        </w:numPr>
        <w:rPr>
          <w:rFonts w:ascii="Arial" w:hAnsi="Arial" w:cs="Arial"/>
          <w:i/>
          <w:sz w:val="20"/>
          <w:szCs w:val="20"/>
        </w:rPr>
      </w:pPr>
      <w:r w:rsidRPr="001B04B2">
        <w:rPr>
          <w:rFonts w:ascii="Arial" w:hAnsi="Arial" w:cs="Arial"/>
          <w:i/>
          <w:sz w:val="20"/>
          <w:szCs w:val="20"/>
        </w:rPr>
        <w:t>An individual who is an Australian citizen or ordinarily resident in Australia or an external Territory; or</w:t>
      </w:r>
    </w:p>
    <w:p w:rsidR="003C0B84" w:rsidRPr="001B04B2" w:rsidRDefault="003C0B84" w:rsidP="00536191">
      <w:pPr>
        <w:pStyle w:val="ListParagraph"/>
        <w:numPr>
          <w:ilvl w:val="0"/>
          <w:numId w:val="17"/>
        </w:numPr>
        <w:rPr>
          <w:rFonts w:ascii="Arial" w:hAnsi="Arial" w:cs="Arial"/>
          <w:i/>
          <w:sz w:val="20"/>
          <w:szCs w:val="20"/>
        </w:rPr>
      </w:pPr>
      <w:r w:rsidRPr="001B04B2">
        <w:rPr>
          <w:rFonts w:ascii="Arial" w:hAnsi="Arial" w:cs="Arial"/>
          <w:i/>
          <w:sz w:val="20"/>
          <w:szCs w:val="20"/>
        </w:rPr>
        <w:t>An organisation that is incorporated (or was otherwise established) in Australia or external Territory which aims to protect, conserve or research into the environment; and</w:t>
      </w:r>
    </w:p>
    <w:p w:rsidR="003C0B84" w:rsidRPr="001B04B2" w:rsidRDefault="003C0B84" w:rsidP="00536191">
      <w:pPr>
        <w:pStyle w:val="ListParagraph"/>
        <w:numPr>
          <w:ilvl w:val="0"/>
          <w:numId w:val="17"/>
        </w:numPr>
        <w:rPr>
          <w:rFonts w:ascii="Arial" w:hAnsi="Arial" w:cs="Arial"/>
          <w:i/>
          <w:sz w:val="20"/>
          <w:szCs w:val="20"/>
        </w:rPr>
      </w:pPr>
      <w:r w:rsidRPr="001B04B2">
        <w:rPr>
          <w:rFonts w:ascii="Arial" w:hAnsi="Arial" w:cs="Arial"/>
          <w:i/>
          <w:sz w:val="20"/>
          <w:szCs w:val="20"/>
        </w:rPr>
        <w:t xml:space="preserve">Has engaged in a series of activities related to the protection or conservation of, or research into, the environment during the two years prior to the offence. </w:t>
      </w:r>
    </w:p>
    <w:p w:rsidR="003C0B84" w:rsidRPr="00A31593" w:rsidRDefault="003C0B84" w:rsidP="001968C9">
      <w:pPr>
        <w:pStyle w:val="ListParagraph"/>
        <w:ind w:left="0"/>
        <w:jc w:val="both"/>
        <w:rPr>
          <w:rFonts w:ascii="Arial" w:hAnsi="Arial" w:cs="Arial"/>
          <w:sz w:val="22"/>
          <w:szCs w:val="22"/>
        </w:rPr>
      </w:pPr>
    </w:p>
    <w:p w:rsidR="003C0B84" w:rsidRDefault="003C0B84" w:rsidP="001968C9">
      <w:pPr>
        <w:pStyle w:val="ListParagraph"/>
        <w:ind w:left="0"/>
        <w:jc w:val="both"/>
        <w:rPr>
          <w:rFonts w:ascii="Arial" w:hAnsi="Arial" w:cs="Arial"/>
          <w:sz w:val="22"/>
          <w:szCs w:val="22"/>
        </w:rPr>
      </w:pPr>
      <w:r w:rsidRPr="00A31593">
        <w:rPr>
          <w:rFonts w:ascii="Arial" w:hAnsi="Arial" w:cs="Arial"/>
          <w:sz w:val="22"/>
          <w:szCs w:val="22"/>
        </w:rPr>
        <w:t>ANEDO suggests a relaxation of</w:t>
      </w:r>
      <w:r>
        <w:rPr>
          <w:rFonts w:ascii="Arial" w:hAnsi="Arial" w:cs="Arial"/>
          <w:sz w:val="22"/>
          <w:szCs w:val="22"/>
        </w:rPr>
        <w:t xml:space="preserve"> the third limb of </w:t>
      </w:r>
      <w:r w:rsidR="00880C98">
        <w:rPr>
          <w:rFonts w:ascii="Arial" w:hAnsi="Arial" w:cs="Arial"/>
          <w:sz w:val="22"/>
          <w:szCs w:val="22"/>
        </w:rPr>
        <w:t>this</w:t>
      </w:r>
      <w:r>
        <w:rPr>
          <w:rFonts w:ascii="Arial" w:hAnsi="Arial" w:cs="Arial"/>
          <w:sz w:val="22"/>
          <w:szCs w:val="22"/>
        </w:rPr>
        <w:t xml:space="preserve"> test</w:t>
      </w:r>
      <w:r>
        <w:rPr>
          <w:rFonts w:ascii="Arial" w:hAnsi="Arial" w:cs="Arial"/>
          <w:sz w:val="22"/>
          <w:szCs w:val="22"/>
          <w:vertAlign w:val="superscript"/>
        </w:rPr>
        <w:t xml:space="preserve"> </w:t>
      </w:r>
      <w:r>
        <w:rPr>
          <w:rFonts w:ascii="Arial" w:hAnsi="Arial" w:cs="Arial"/>
          <w:sz w:val="22"/>
          <w:szCs w:val="22"/>
        </w:rPr>
        <w:t xml:space="preserve">so that </w:t>
      </w:r>
      <w:r w:rsidRPr="00A31593">
        <w:rPr>
          <w:rFonts w:ascii="Arial" w:hAnsi="Arial" w:cs="Arial"/>
          <w:sz w:val="22"/>
          <w:szCs w:val="22"/>
        </w:rPr>
        <w:t>a person or group only need demonstrate ongoing concern in the issue at hand.</w:t>
      </w:r>
      <w:r w:rsidRPr="00A31593">
        <w:rPr>
          <w:rFonts w:ascii="Arial" w:hAnsi="Arial" w:cs="Arial"/>
          <w:sz w:val="22"/>
          <w:szCs w:val="22"/>
          <w:vertAlign w:val="superscript"/>
        </w:rPr>
        <w:endnoteReference w:id="47"/>
      </w:r>
      <w:r w:rsidRPr="00A31593">
        <w:rPr>
          <w:rFonts w:ascii="Arial" w:hAnsi="Arial" w:cs="Arial"/>
          <w:sz w:val="22"/>
          <w:szCs w:val="22"/>
        </w:rPr>
        <w:t xml:space="preserve"> Adopting a broadened test such as this would promote broad and fair standing in the public interest, assisting the appropriate scrutiny of decisions affecting individuals and the wider community.</w:t>
      </w:r>
    </w:p>
    <w:p w:rsidR="003C0B84" w:rsidRDefault="003C0B84" w:rsidP="001968C9">
      <w:pPr>
        <w:pStyle w:val="ListParagraph"/>
        <w:ind w:left="0"/>
        <w:jc w:val="both"/>
        <w:rPr>
          <w:rFonts w:ascii="Arial" w:hAnsi="Arial" w:cs="Arial"/>
          <w:sz w:val="22"/>
          <w:szCs w:val="22"/>
        </w:rPr>
      </w:pPr>
    </w:p>
    <w:p w:rsidR="003C0B84" w:rsidRPr="000E2C8F" w:rsidRDefault="003C0B84" w:rsidP="000E2C8F">
      <w:pPr>
        <w:pStyle w:val="ListParagraph"/>
        <w:ind w:left="0"/>
        <w:jc w:val="both"/>
        <w:rPr>
          <w:rFonts w:ascii="Arial" w:hAnsi="Arial" w:cs="Arial"/>
          <w:sz w:val="22"/>
          <w:szCs w:val="22"/>
        </w:rPr>
      </w:pPr>
      <w:r>
        <w:rPr>
          <w:rFonts w:ascii="Arial" w:hAnsi="Arial" w:cs="Arial"/>
          <w:sz w:val="22"/>
          <w:szCs w:val="22"/>
        </w:rPr>
        <w:t>It has been noted that ‘</w:t>
      </w:r>
      <w:r w:rsidRPr="00A31593">
        <w:rPr>
          <w:rFonts w:ascii="Arial" w:hAnsi="Arial" w:cs="Arial"/>
          <w:sz w:val="22"/>
          <w:szCs w:val="22"/>
        </w:rPr>
        <w:t>If environmental laws are as important as Australian legislatures proclaim them to be, surely any person shou</w:t>
      </w:r>
      <w:r>
        <w:rPr>
          <w:rFonts w:ascii="Arial" w:hAnsi="Arial" w:cs="Arial"/>
          <w:sz w:val="22"/>
          <w:szCs w:val="22"/>
        </w:rPr>
        <w:t>ld be entitled to enforce them.’</w:t>
      </w:r>
      <w:r w:rsidRPr="00A31593">
        <w:rPr>
          <w:rFonts w:ascii="Arial" w:hAnsi="Arial" w:cs="Arial"/>
          <w:sz w:val="22"/>
          <w:szCs w:val="22"/>
          <w:vertAlign w:val="superscript"/>
        </w:rPr>
        <w:endnoteReference w:id="48"/>
      </w:r>
      <w:r>
        <w:rPr>
          <w:rFonts w:ascii="Arial" w:hAnsi="Arial" w:cs="Arial"/>
          <w:sz w:val="22"/>
          <w:szCs w:val="22"/>
        </w:rPr>
        <w:t xml:space="preserve"> Building on this idea, </w:t>
      </w:r>
      <w:r w:rsidRPr="00A31593">
        <w:rPr>
          <w:rFonts w:ascii="Arial" w:hAnsi="Arial" w:cs="Arial"/>
          <w:sz w:val="22"/>
          <w:szCs w:val="22"/>
        </w:rPr>
        <w:t>ANEDO generally sup</w:t>
      </w:r>
      <w:r>
        <w:rPr>
          <w:rFonts w:ascii="Arial" w:hAnsi="Arial" w:cs="Arial"/>
          <w:sz w:val="22"/>
          <w:szCs w:val="22"/>
        </w:rPr>
        <w:t>ports including</w:t>
      </w:r>
      <w:r w:rsidRPr="00A31593">
        <w:rPr>
          <w:rFonts w:ascii="Arial" w:hAnsi="Arial" w:cs="Arial"/>
          <w:sz w:val="22"/>
          <w:szCs w:val="22"/>
        </w:rPr>
        <w:t xml:space="preserve"> </w:t>
      </w:r>
      <w:r>
        <w:rPr>
          <w:rFonts w:ascii="Arial" w:hAnsi="Arial" w:cs="Arial"/>
          <w:sz w:val="22"/>
          <w:szCs w:val="22"/>
        </w:rPr>
        <w:t xml:space="preserve">the aforementioned ‘broadened </w:t>
      </w:r>
      <w:r w:rsidRPr="00A31593">
        <w:rPr>
          <w:rFonts w:ascii="Arial" w:hAnsi="Arial" w:cs="Arial"/>
          <w:sz w:val="22"/>
          <w:szCs w:val="22"/>
        </w:rPr>
        <w:t>test</w:t>
      </w:r>
      <w:r>
        <w:rPr>
          <w:rFonts w:ascii="Arial" w:hAnsi="Arial" w:cs="Arial"/>
          <w:sz w:val="22"/>
          <w:szCs w:val="22"/>
        </w:rPr>
        <w:t>’</w:t>
      </w:r>
      <w:r w:rsidRPr="00A31593">
        <w:rPr>
          <w:rFonts w:ascii="Arial" w:hAnsi="Arial" w:cs="Arial"/>
          <w:sz w:val="22"/>
          <w:szCs w:val="22"/>
        </w:rPr>
        <w:t xml:space="preserve"> for standing </w:t>
      </w:r>
      <w:r>
        <w:rPr>
          <w:rFonts w:ascii="Arial" w:hAnsi="Arial" w:cs="Arial"/>
          <w:sz w:val="22"/>
          <w:szCs w:val="22"/>
        </w:rPr>
        <w:t xml:space="preserve">in all Federal environmental legislation in relation to both enforcement </w:t>
      </w:r>
      <w:r w:rsidRPr="00111275">
        <w:rPr>
          <w:rFonts w:ascii="Arial" w:hAnsi="Arial" w:cs="Arial"/>
          <w:i/>
          <w:sz w:val="22"/>
          <w:szCs w:val="22"/>
        </w:rPr>
        <w:t>and</w:t>
      </w:r>
      <w:r>
        <w:rPr>
          <w:rFonts w:ascii="Arial" w:hAnsi="Arial" w:cs="Arial"/>
          <w:sz w:val="22"/>
          <w:szCs w:val="22"/>
        </w:rPr>
        <w:t xml:space="preserve"> appeal rights. </w:t>
      </w:r>
    </w:p>
    <w:p w:rsidR="003C0B84" w:rsidRPr="00600138" w:rsidRDefault="003C0B84" w:rsidP="00404DB9">
      <w:pPr>
        <w:keepNext/>
        <w:spacing w:after="0"/>
        <w:jc w:val="both"/>
        <w:rPr>
          <w:rFonts w:ascii="Arial" w:hAnsi="Arial" w:cs="Arial"/>
          <w:b/>
          <w:sz w:val="22"/>
          <w:szCs w:val="22"/>
        </w:rPr>
      </w:pPr>
      <w:r>
        <w:rPr>
          <w:rFonts w:ascii="Arial" w:hAnsi="Arial" w:cs="Arial"/>
          <w:b/>
          <w:sz w:val="22"/>
          <w:szCs w:val="22"/>
        </w:rPr>
        <w:t xml:space="preserve">Table 2: </w:t>
      </w:r>
      <w:r w:rsidRPr="00B9247F">
        <w:rPr>
          <w:rFonts w:ascii="Arial" w:hAnsi="Arial" w:cs="Arial"/>
          <w:b/>
          <w:sz w:val="22"/>
          <w:szCs w:val="22"/>
        </w:rPr>
        <w:t xml:space="preserve">Third party enforcement and </w:t>
      </w:r>
      <w:r>
        <w:rPr>
          <w:rFonts w:ascii="Arial" w:hAnsi="Arial" w:cs="Arial"/>
          <w:b/>
          <w:sz w:val="22"/>
          <w:szCs w:val="22"/>
        </w:rPr>
        <w:t xml:space="preserve">appeal rights (judicial review) </w:t>
      </w:r>
    </w:p>
    <w:p w:rsidR="003C0B84" w:rsidRPr="00A7680C" w:rsidRDefault="003C0B84" w:rsidP="00404DB9">
      <w:pPr>
        <w:pStyle w:val="ListParagraph"/>
        <w:keepNext/>
        <w:spacing w:after="0"/>
        <w:ind w:left="360"/>
        <w:jc w:val="both"/>
        <w:rPr>
          <w:rFonts w:ascii="Arial" w:hAnsi="Arial" w:cs="Arial"/>
          <w:b/>
          <w:i/>
          <w:sz w:val="20"/>
          <w:szCs w:val="20"/>
        </w:rPr>
      </w:pPr>
    </w:p>
    <w:tbl>
      <w:tblPr>
        <w:tblStyle w:val="TableGrid"/>
        <w:tblW w:w="0" w:type="auto"/>
        <w:tblInd w:w="-318" w:type="dxa"/>
        <w:tblLook w:val="04A0" w:firstRow="1" w:lastRow="0" w:firstColumn="1" w:lastColumn="0" w:noHBand="0" w:noVBand="1"/>
      </w:tblPr>
      <w:tblGrid>
        <w:gridCol w:w="3535"/>
        <w:gridCol w:w="2857"/>
        <w:gridCol w:w="2812"/>
      </w:tblGrid>
      <w:tr w:rsidR="003C0B84" w:rsidRPr="00A7680C" w:rsidTr="00914A72">
        <w:tc>
          <w:tcPr>
            <w:tcW w:w="3535" w:type="dxa"/>
          </w:tcPr>
          <w:p w:rsidR="003C0B84" w:rsidRPr="00A7680C" w:rsidRDefault="003C0B84" w:rsidP="00404DB9">
            <w:pPr>
              <w:pStyle w:val="ListParagraph"/>
              <w:keepNext/>
              <w:spacing w:after="0"/>
              <w:ind w:left="0"/>
              <w:rPr>
                <w:rFonts w:ascii="Arial" w:hAnsi="Arial" w:cs="Arial"/>
                <w:sz w:val="20"/>
                <w:szCs w:val="20"/>
              </w:rPr>
            </w:pPr>
          </w:p>
        </w:tc>
        <w:tc>
          <w:tcPr>
            <w:tcW w:w="2857" w:type="dxa"/>
          </w:tcPr>
          <w:p w:rsidR="003C0B84" w:rsidRPr="00A7680C" w:rsidRDefault="003C0B84" w:rsidP="00404DB9">
            <w:pPr>
              <w:pStyle w:val="ListParagraph"/>
              <w:keepNext/>
              <w:spacing w:after="0"/>
              <w:ind w:left="0"/>
              <w:rPr>
                <w:rFonts w:ascii="Arial" w:hAnsi="Arial" w:cs="Arial"/>
                <w:b/>
                <w:sz w:val="20"/>
                <w:szCs w:val="20"/>
              </w:rPr>
            </w:pPr>
            <w:r w:rsidRPr="00A7680C">
              <w:rPr>
                <w:rFonts w:ascii="Arial" w:hAnsi="Arial" w:cs="Arial"/>
                <w:b/>
                <w:sz w:val="20"/>
                <w:szCs w:val="20"/>
              </w:rPr>
              <w:t>Enforcement</w:t>
            </w:r>
          </w:p>
        </w:tc>
        <w:tc>
          <w:tcPr>
            <w:tcW w:w="2812" w:type="dxa"/>
          </w:tcPr>
          <w:p w:rsidR="003C0B84" w:rsidRPr="00A7680C" w:rsidRDefault="003C0B84" w:rsidP="00404DB9">
            <w:pPr>
              <w:pStyle w:val="ListParagraph"/>
              <w:keepNext/>
              <w:spacing w:after="0"/>
              <w:ind w:left="0"/>
              <w:rPr>
                <w:rFonts w:ascii="Arial" w:hAnsi="Arial" w:cs="Arial"/>
                <w:b/>
                <w:sz w:val="20"/>
                <w:szCs w:val="20"/>
              </w:rPr>
            </w:pPr>
            <w:r w:rsidRPr="00A7680C">
              <w:rPr>
                <w:rFonts w:ascii="Arial" w:hAnsi="Arial" w:cs="Arial"/>
                <w:b/>
                <w:sz w:val="20"/>
                <w:szCs w:val="20"/>
              </w:rPr>
              <w:t xml:space="preserve">Appeal </w:t>
            </w:r>
          </w:p>
        </w:tc>
      </w:tr>
      <w:tr w:rsidR="003C0B84" w:rsidRPr="00A7680C" w:rsidTr="00914A72">
        <w:tc>
          <w:tcPr>
            <w:tcW w:w="3535" w:type="dxa"/>
          </w:tcPr>
          <w:p w:rsidR="003C0B84" w:rsidRPr="00A7680C" w:rsidRDefault="003C0B84" w:rsidP="00AB3513">
            <w:pPr>
              <w:pStyle w:val="ListParagraph"/>
              <w:spacing w:after="0"/>
              <w:ind w:left="0"/>
              <w:rPr>
                <w:rFonts w:ascii="Arial" w:hAnsi="Arial" w:cs="Arial"/>
                <w:b/>
                <w:sz w:val="20"/>
                <w:szCs w:val="20"/>
              </w:rPr>
            </w:pPr>
            <w:r w:rsidRPr="00A7680C">
              <w:rPr>
                <w:rFonts w:ascii="Arial" w:hAnsi="Arial" w:cs="Arial"/>
                <w:b/>
                <w:sz w:val="20"/>
                <w:szCs w:val="20"/>
              </w:rPr>
              <w:t>EPBC Act 1999</w:t>
            </w:r>
          </w:p>
        </w:tc>
        <w:tc>
          <w:tcPr>
            <w:tcW w:w="2857" w:type="dxa"/>
          </w:tcPr>
          <w:p w:rsidR="003C0B84" w:rsidRPr="00A7680C" w:rsidRDefault="003C0B84" w:rsidP="00536191">
            <w:pPr>
              <w:pStyle w:val="ListParagraph"/>
              <w:numPr>
                <w:ilvl w:val="0"/>
                <w:numId w:val="12"/>
              </w:numPr>
              <w:spacing w:after="0"/>
              <w:rPr>
                <w:rFonts w:ascii="Arial" w:hAnsi="Arial" w:cs="Arial"/>
                <w:sz w:val="20"/>
                <w:szCs w:val="20"/>
              </w:rPr>
            </w:pPr>
            <w:r>
              <w:rPr>
                <w:rFonts w:ascii="Arial" w:hAnsi="Arial" w:cs="Arial"/>
                <w:sz w:val="20"/>
                <w:szCs w:val="20"/>
              </w:rPr>
              <w:t>An ‘interested person’ may apply for an injunction to remedy or restrain a breach of the Act.</w:t>
            </w:r>
            <w:r>
              <w:rPr>
                <w:rStyle w:val="EndnoteReference"/>
                <w:rFonts w:ascii="Arial" w:hAnsi="Arial" w:cs="Arial"/>
                <w:sz w:val="20"/>
                <w:szCs w:val="20"/>
              </w:rPr>
              <w:endnoteReference w:id="49"/>
            </w:r>
            <w:r>
              <w:rPr>
                <w:rFonts w:ascii="Arial" w:hAnsi="Arial" w:cs="Arial"/>
                <w:sz w:val="20"/>
                <w:szCs w:val="20"/>
              </w:rPr>
              <w:t xml:space="preserve"> </w:t>
            </w:r>
            <w:r w:rsidRPr="00B92430">
              <w:rPr>
                <w:b/>
                <w:color w:val="92D050"/>
                <w:sz w:val="20"/>
                <w:szCs w:val="20"/>
              </w:rPr>
              <w:sym w:font="Wingdings 2" w:char="F050"/>
            </w:r>
            <w:r>
              <w:rPr>
                <w:b/>
                <w:color w:val="92D050"/>
                <w:sz w:val="20"/>
                <w:szCs w:val="20"/>
              </w:rPr>
              <w:t xml:space="preserve"> </w:t>
            </w:r>
          </w:p>
          <w:p w:rsidR="003C0B84" w:rsidRPr="00A7680C" w:rsidRDefault="003C0B84" w:rsidP="00AB3513">
            <w:pPr>
              <w:pStyle w:val="ListParagraph"/>
              <w:spacing w:after="0"/>
              <w:ind w:left="0"/>
              <w:rPr>
                <w:rFonts w:ascii="Arial" w:hAnsi="Arial" w:cs="Arial"/>
                <w:sz w:val="20"/>
                <w:szCs w:val="20"/>
              </w:rPr>
            </w:pPr>
          </w:p>
          <w:p w:rsidR="003C0B84" w:rsidRPr="00A7680C" w:rsidRDefault="003C0B84" w:rsidP="00AB3513">
            <w:pPr>
              <w:pStyle w:val="ListParagraph"/>
              <w:spacing w:after="0"/>
              <w:ind w:left="0"/>
              <w:rPr>
                <w:rFonts w:ascii="Arial" w:hAnsi="Arial" w:cs="Arial"/>
                <w:sz w:val="20"/>
                <w:szCs w:val="20"/>
              </w:rPr>
            </w:pPr>
          </w:p>
        </w:tc>
        <w:tc>
          <w:tcPr>
            <w:tcW w:w="2812" w:type="dxa"/>
          </w:tcPr>
          <w:p w:rsidR="003C0B84" w:rsidRPr="00A7680C" w:rsidRDefault="003C0B84" w:rsidP="00536191">
            <w:pPr>
              <w:pStyle w:val="ListParagraph"/>
              <w:numPr>
                <w:ilvl w:val="0"/>
                <w:numId w:val="12"/>
              </w:numPr>
              <w:spacing w:after="0"/>
              <w:rPr>
                <w:rFonts w:ascii="Arial" w:hAnsi="Arial" w:cs="Arial"/>
                <w:sz w:val="20"/>
                <w:szCs w:val="20"/>
              </w:rPr>
            </w:pPr>
            <w:r>
              <w:rPr>
                <w:rFonts w:ascii="Arial" w:hAnsi="Arial" w:cs="Arial"/>
                <w:sz w:val="20"/>
                <w:szCs w:val="20"/>
              </w:rPr>
              <w:t>An ‘aggrieved person’ may appeal a decision made under the Act.</w:t>
            </w:r>
            <w:r>
              <w:rPr>
                <w:rStyle w:val="EndnoteReference"/>
                <w:rFonts w:ascii="Arial" w:hAnsi="Arial" w:cs="Arial"/>
                <w:sz w:val="20"/>
                <w:szCs w:val="20"/>
              </w:rPr>
              <w:t xml:space="preserve"> </w:t>
            </w:r>
            <w:r>
              <w:rPr>
                <w:rStyle w:val="EndnoteReference"/>
                <w:rFonts w:ascii="Arial" w:hAnsi="Arial" w:cs="Arial"/>
                <w:sz w:val="20"/>
                <w:szCs w:val="20"/>
              </w:rPr>
              <w:endnoteReference w:id="50"/>
            </w:r>
            <w:r w:rsidRPr="00B92430">
              <w:rPr>
                <w:b/>
                <w:color w:val="92D050"/>
                <w:sz w:val="20"/>
                <w:szCs w:val="20"/>
              </w:rPr>
              <w:t xml:space="preserve"> </w:t>
            </w:r>
            <w:r w:rsidRPr="00B92430">
              <w:rPr>
                <w:b/>
                <w:color w:val="92D050"/>
                <w:sz w:val="20"/>
                <w:szCs w:val="20"/>
              </w:rPr>
              <w:sym w:font="Wingdings 2" w:char="F050"/>
            </w:r>
          </w:p>
        </w:tc>
      </w:tr>
      <w:tr w:rsidR="003C0B84" w:rsidRPr="00A7680C" w:rsidTr="00914A72">
        <w:tc>
          <w:tcPr>
            <w:tcW w:w="3535" w:type="dxa"/>
          </w:tcPr>
          <w:p w:rsidR="003C0B84" w:rsidRPr="00A7680C" w:rsidRDefault="003C0B84" w:rsidP="00AB3513">
            <w:pPr>
              <w:pStyle w:val="ListParagraph"/>
              <w:spacing w:after="0"/>
              <w:ind w:left="0"/>
              <w:rPr>
                <w:rFonts w:ascii="Arial" w:hAnsi="Arial" w:cs="Arial"/>
                <w:b/>
                <w:sz w:val="20"/>
                <w:szCs w:val="20"/>
              </w:rPr>
            </w:pPr>
            <w:r w:rsidRPr="00A7680C">
              <w:rPr>
                <w:rFonts w:ascii="Arial" w:hAnsi="Arial" w:cs="Arial"/>
                <w:b/>
                <w:sz w:val="20"/>
                <w:szCs w:val="20"/>
              </w:rPr>
              <w:t>Fisheries Management Act 1991</w:t>
            </w:r>
          </w:p>
        </w:tc>
        <w:tc>
          <w:tcPr>
            <w:tcW w:w="2857" w:type="dxa"/>
          </w:tcPr>
          <w:p w:rsidR="003C0B84" w:rsidRPr="00A7680C" w:rsidRDefault="003C0B84" w:rsidP="00536191">
            <w:pPr>
              <w:pStyle w:val="ListParagraph"/>
              <w:numPr>
                <w:ilvl w:val="0"/>
                <w:numId w:val="13"/>
              </w:numPr>
              <w:spacing w:after="0"/>
              <w:rPr>
                <w:rFonts w:ascii="Arial" w:hAnsi="Arial" w:cs="Arial"/>
                <w:sz w:val="20"/>
                <w:szCs w:val="20"/>
              </w:rPr>
            </w:pPr>
            <w:r>
              <w:rPr>
                <w:rFonts w:ascii="Arial" w:hAnsi="Arial" w:cs="Arial"/>
                <w:sz w:val="20"/>
                <w:szCs w:val="20"/>
              </w:rPr>
              <w:t xml:space="preserve">No third party enforcement rights. </w:t>
            </w:r>
            <w:r w:rsidRPr="00054C6A">
              <w:rPr>
                <w:rFonts w:ascii="Arial" w:hAnsi="Arial" w:cs="Arial"/>
                <w:b/>
                <w:color w:val="F79646" w:themeColor="accent6"/>
                <w:sz w:val="20"/>
                <w:szCs w:val="20"/>
              </w:rPr>
              <w:t>x</w:t>
            </w:r>
            <w:r>
              <w:rPr>
                <w:rFonts w:ascii="Arial" w:hAnsi="Arial" w:cs="Arial"/>
                <w:sz w:val="20"/>
                <w:szCs w:val="20"/>
              </w:rPr>
              <w:t xml:space="preserve"> </w:t>
            </w:r>
          </w:p>
        </w:tc>
        <w:tc>
          <w:tcPr>
            <w:tcW w:w="2812" w:type="dxa"/>
          </w:tcPr>
          <w:p w:rsidR="003C0B84" w:rsidRPr="00A7680C" w:rsidRDefault="003C0B84" w:rsidP="00536191">
            <w:pPr>
              <w:pStyle w:val="ListParagraph"/>
              <w:numPr>
                <w:ilvl w:val="0"/>
                <w:numId w:val="13"/>
              </w:numPr>
              <w:spacing w:after="0"/>
              <w:rPr>
                <w:rFonts w:ascii="Arial" w:hAnsi="Arial" w:cs="Arial"/>
                <w:sz w:val="20"/>
                <w:szCs w:val="20"/>
              </w:rPr>
            </w:pPr>
            <w:r>
              <w:rPr>
                <w:rFonts w:ascii="Arial" w:hAnsi="Arial" w:cs="Arial"/>
                <w:sz w:val="20"/>
                <w:szCs w:val="20"/>
              </w:rPr>
              <w:t xml:space="preserve">No third party appeal rights. </w:t>
            </w:r>
            <w:r w:rsidRPr="00054C6A">
              <w:rPr>
                <w:rFonts w:ascii="Arial" w:hAnsi="Arial" w:cs="Arial"/>
                <w:b/>
                <w:color w:val="F79646" w:themeColor="accent6"/>
                <w:sz w:val="20"/>
                <w:szCs w:val="20"/>
              </w:rPr>
              <w:t>x</w:t>
            </w:r>
          </w:p>
        </w:tc>
      </w:tr>
      <w:tr w:rsidR="003C0B84" w:rsidRPr="00A7680C" w:rsidTr="00914A72">
        <w:tc>
          <w:tcPr>
            <w:tcW w:w="3535" w:type="dxa"/>
          </w:tcPr>
          <w:p w:rsidR="003C0B84" w:rsidRPr="00A7680C" w:rsidRDefault="003C0B84" w:rsidP="00AB3513">
            <w:pPr>
              <w:pStyle w:val="ListParagraph"/>
              <w:spacing w:after="0"/>
              <w:ind w:left="0"/>
              <w:rPr>
                <w:rFonts w:ascii="Arial" w:hAnsi="Arial" w:cs="Arial"/>
                <w:b/>
                <w:sz w:val="20"/>
                <w:szCs w:val="20"/>
              </w:rPr>
            </w:pPr>
            <w:r w:rsidRPr="00A7680C">
              <w:rPr>
                <w:rFonts w:ascii="Arial" w:hAnsi="Arial" w:cs="Arial"/>
                <w:b/>
                <w:sz w:val="20"/>
                <w:szCs w:val="20"/>
              </w:rPr>
              <w:t>Water Act 2007</w:t>
            </w:r>
          </w:p>
        </w:tc>
        <w:tc>
          <w:tcPr>
            <w:tcW w:w="2857" w:type="dxa"/>
          </w:tcPr>
          <w:p w:rsidR="003C0B84" w:rsidRPr="00A7680C" w:rsidRDefault="003C0B84" w:rsidP="00536191">
            <w:pPr>
              <w:pStyle w:val="ListParagraph"/>
              <w:numPr>
                <w:ilvl w:val="0"/>
                <w:numId w:val="14"/>
              </w:numPr>
              <w:spacing w:after="0"/>
              <w:rPr>
                <w:rFonts w:ascii="Arial" w:hAnsi="Arial" w:cs="Arial"/>
                <w:sz w:val="20"/>
                <w:szCs w:val="20"/>
              </w:rPr>
            </w:pPr>
            <w:r>
              <w:rPr>
                <w:rFonts w:ascii="Arial" w:hAnsi="Arial" w:cs="Arial"/>
                <w:sz w:val="20"/>
                <w:szCs w:val="20"/>
              </w:rPr>
              <w:t xml:space="preserve">No third party enforcement rights. </w:t>
            </w:r>
            <w:r w:rsidRPr="00054C6A">
              <w:rPr>
                <w:rFonts w:ascii="Arial" w:hAnsi="Arial" w:cs="Arial"/>
                <w:b/>
                <w:color w:val="F79646" w:themeColor="accent6"/>
                <w:sz w:val="20"/>
                <w:szCs w:val="20"/>
              </w:rPr>
              <w:t>x</w:t>
            </w:r>
          </w:p>
        </w:tc>
        <w:tc>
          <w:tcPr>
            <w:tcW w:w="2812" w:type="dxa"/>
          </w:tcPr>
          <w:p w:rsidR="003C0B84" w:rsidRPr="00A7680C" w:rsidRDefault="003C0B84" w:rsidP="00536191">
            <w:pPr>
              <w:pStyle w:val="ListParagraph"/>
              <w:numPr>
                <w:ilvl w:val="0"/>
                <w:numId w:val="14"/>
              </w:numPr>
              <w:spacing w:after="0"/>
              <w:rPr>
                <w:rFonts w:ascii="Arial" w:hAnsi="Arial" w:cs="Arial"/>
                <w:sz w:val="20"/>
                <w:szCs w:val="20"/>
              </w:rPr>
            </w:pPr>
            <w:r>
              <w:rPr>
                <w:rFonts w:ascii="Arial" w:hAnsi="Arial" w:cs="Arial"/>
                <w:sz w:val="20"/>
                <w:szCs w:val="20"/>
              </w:rPr>
              <w:t xml:space="preserve">No third party appeal rights.  </w:t>
            </w:r>
            <w:r w:rsidRPr="00054C6A">
              <w:rPr>
                <w:rFonts w:ascii="Arial" w:hAnsi="Arial" w:cs="Arial"/>
                <w:b/>
                <w:color w:val="F79646" w:themeColor="accent6"/>
                <w:sz w:val="20"/>
                <w:szCs w:val="20"/>
              </w:rPr>
              <w:t>x</w:t>
            </w:r>
          </w:p>
        </w:tc>
      </w:tr>
      <w:tr w:rsidR="003C0B84" w:rsidRPr="00A7680C" w:rsidTr="00914A72">
        <w:trPr>
          <w:trHeight w:val="65"/>
        </w:trPr>
        <w:tc>
          <w:tcPr>
            <w:tcW w:w="3535" w:type="dxa"/>
          </w:tcPr>
          <w:p w:rsidR="003C0B84" w:rsidRPr="00A7680C" w:rsidRDefault="003C0B84" w:rsidP="00AB3513">
            <w:pPr>
              <w:pStyle w:val="ListParagraph"/>
              <w:spacing w:after="0"/>
              <w:ind w:left="0"/>
              <w:rPr>
                <w:rFonts w:ascii="Arial" w:hAnsi="Arial" w:cs="Arial"/>
                <w:b/>
                <w:sz w:val="20"/>
                <w:szCs w:val="20"/>
              </w:rPr>
            </w:pPr>
            <w:r w:rsidRPr="00A7680C">
              <w:rPr>
                <w:rFonts w:ascii="Arial" w:hAnsi="Arial" w:cs="Arial"/>
                <w:b/>
                <w:sz w:val="20"/>
                <w:szCs w:val="20"/>
              </w:rPr>
              <w:t>Great Barrier Reef Marine Park Act 1975</w:t>
            </w:r>
          </w:p>
        </w:tc>
        <w:tc>
          <w:tcPr>
            <w:tcW w:w="2857" w:type="dxa"/>
          </w:tcPr>
          <w:p w:rsidR="003C0B84" w:rsidRPr="001A2FB7" w:rsidRDefault="003C0B84" w:rsidP="00536191">
            <w:pPr>
              <w:pStyle w:val="ListParagraph"/>
              <w:numPr>
                <w:ilvl w:val="0"/>
                <w:numId w:val="15"/>
              </w:numPr>
              <w:spacing w:after="0"/>
              <w:rPr>
                <w:rFonts w:ascii="Arial" w:hAnsi="Arial" w:cs="Arial"/>
                <w:sz w:val="20"/>
                <w:szCs w:val="20"/>
              </w:rPr>
            </w:pPr>
            <w:r>
              <w:rPr>
                <w:rFonts w:ascii="Arial" w:hAnsi="Arial" w:cs="Arial"/>
                <w:sz w:val="20"/>
                <w:szCs w:val="20"/>
              </w:rPr>
              <w:t>A person ‘whose interests have been, or would be’ affected by a breach may apply for an injunction to remedy or restrain that breach.</w:t>
            </w:r>
            <w:r>
              <w:rPr>
                <w:rStyle w:val="EndnoteReference"/>
                <w:rFonts w:ascii="Arial" w:hAnsi="Arial" w:cs="Arial"/>
                <w:sz w:val="20"/>
                <w:szCs w:val="20"/>
              </w:rPr>
              <w:endnoteReference w:id="51"/>
            </w:r>
            <w:r>
              <w:rPr>
                <w:rFonts w:ascii="Arial" w:hAnsi="Arial" w:cs="Arial"/>
                <w:sz w:val="20"/>
                <w:szCs w:val="20"/>
              </w:rPr>
              <w:t xml:space="preserve"> </w:t>
            </w:r>
            <w:r w:rsidRPr="00B92430">
              <w:rPr>
                <w:b/>
                <w:color w:val="92D050"/>
                <w:sz w:val="20"/>
                <w:szCs w:val="20"/>
              </w:rPr>
              <w:sym w:font="Wingdings 2" w:char="F050"/>
            </w:r>
          </w:p>
          <w:p w:rsidR="003C0B84" w:rsidRPr="00536191" w:rsidRDefault="003C0B84" w:rsidP="00536191">
            <w:pPr>
              <w:spacing w:after="0"/>
              <w:rPr>
                <w:rFonts w:ascii="Arial" w:hAnsi="Arial" w:cs="Arial"/>
                <w:color w:val="FF0000"/>
                <w:sz w:val="20"/>
                <w:szCs w:val="20"/>
              </w:rPr>
            </w:pPr>
          </w:p>
        </w:tc>
        <w:tc>
          <w:tcPr>
            <w:tcW w:w="2812" w:type="dxa"/>
          </w:tcPr>
          <w:p w:rsidR="003C0B84" w:rsidRPr="00A7680C" w:rsidRDefault="003C0B84" w:rsidP="00536191">
            <w:pPr>
              <w:pStyle w:val="ListParagraph"/>
              <w:numPr>
                <w:ilvl w:val="0"/>
                <w:numId w:val="15"/>
              </w:numPr>
              <w:spacing w:after="0"/>
              <w:rPr>
                <w:rFonts w:ascii="Arial" w:hAnsi="Arial" w:cs="Arial"/>
                <w:sz w:val="20"/>
                <w:szCs w:val="20"/>
              </w:rPr>
            </w:pPr>
            <w:r>
              <w:rPr>
                <w:rFonts w:ascii="Arial" w:hAnsi="Arial" w:cs="Arial"/>
                <w:sz w:val="20"/>
                <w:szCs w:val="20"/>
              </w:rPr>
              <w:t xml:space="preserve">No third party appeal rights.  </w:t>
            </w:r>
            <w:r w:rsidRPr="00054C6A">
              <w:rPr>
                <w:rFonts w:ascii="Arial" w:hAnsi="Arial" w:cs="Arial"/>
                <w:b/>
                <w:color w:val="F79646" w:themeColor="accent6"/>
                <w:sz w:val="20"/>
                <w:szCs w:val="20"/>
              </w:rPr>
              <w:t>x</w:t>
            </w:r>
          </w:p>
        </w:tc>
      </w:tr>
      <w:tr w:rsidR="003C0B84" w:rsidRPr="00A7680C" w:rsidTr="00914A72">
        <w:trPr>
          <w:trHeight w:val="2349"/>
        </w:trPr>
        <w:tc>
          <w:tcPr>
            <w:tcW w:w="3535" w:type="dxa"/>
          </w:tcPr>
          <w:p w:rsidR="003C0B84" w:rsidRDefault="003C0B84" w:rsidP="00EE2BB9">
            <w:pPr>
              <w:pStyle w:val="ListParagraph"/>
              <w:spacing w:after="0"/>
              <w:ind w:left="0"/>
              <w:rPr>
                <w:rFonts w:ascii="Arial" w:hAnsi="Arial" w:cs="Arial"/>
                <w:b/>
                <w:bCs/>
                <w:sz w:val="20"/>
                <w:szCs w:val="20"/>
              </w:rPr>
            </w:pPr>
            <w:r w:rsidRPr="00EE2BB9">
              <w:rPr>
                <w:rFonts w:ascii="Arial" w:hAnsi="Arial" w:cs="Arial"/>
                <w:b/>
                <w:bCs/>
                <w:sz w:val="20"/>
                <w:szCs w:val="20"/>
              </w:rPr>
              <w:t xml:space="preserve">Offshore Petroleum And Greenhouse Gas Storage Act 2006 </w:t>
            </w:r>
          </w:p>
          <w:p w:rsidR="003C0B84" w:rsidRDefault="003C0B84" w:rsidP="00EE2BB9">
            <w:pPr>
              <w:pStyle w:val="ListParagraph"/>
              <w:spacing w:after="0"/>
              <w:ind w:left="0"/>
              <w:rPr>
                <w:rFonts w:ascii="Arial" w:hAnsi="Arial" w:cs="Arial"/>
                <w:b/>
                <w:bCs/>
                <w:sz w:val="20"/>
                <w:szCs w:val="20"/>
              </w:rPr>
            </w:pPr>
          </w:p>
          <w:p w:rsidR="003C0B84" w:rsidRPr="00EE2BB9" w:rsidRDefault="003C0B84" w:rsidP="00EE2BB9">
            <w:pPr>
              <w:pStyle w:val="ListParagraph"/>
              <w:spacing w:after="0"/>
              <w:ind w:left="0"/>
              <w:rPr>
                <w:rFonts w:ascii="Arial" w:hAnsi="Arial" w:cs="Arial"/>
                <w:b/>
                <w:bCs/>
                <w:sz w:val="20"/>
                <w:szCs w:val="20"/>
              </w:rPr>
            </w:pPr>
            <w:r>
              <w:rPr>
                <w:rFonts w:ascii="Arial" w:hAnsi="Arial" w:cs="Arial"/>
                <w:b/>
                <w:bCs/>
                <w:sz w:val="20"/>
                <w:szCs w:val="20"/>
              </w:rPr>
              <w:t>and</w:t>
            </w:r>
          </w:p>
          <w:p w:rsidR="003C0B84" w:rsidRPr="00EE2BB9" w:rsidRDefault="003C0B84" w:rsidP="00EE2BB9">
            <w:pPr>
              <w:pStyle w:val="ListParagraph"/>
              <w:spacing w:after="0"/>
              <w:ind w:left="0"/>
              <w:rPr>
                <w:rFonts w:ascii="Arial" w:hAnsi="Arial" w:cs="Arial"/>
                <w:b/>
                <w:bCs/>
                <w:sz w:val="20"/>
                <w:szCs w:val="20"/>
              </w:rPr>
            </w:pPr>
          </w:p>
          <w:p w:rsidR="003C0B84" w:rsidRPr="00EE2BB9" w:rsidRDefault="003C0B84" w:rsidP="00EE2BB9">
            <w:pPr>
              <w:pStyle w:val="ListParagraph"/>
              <w:spacing w:after="0"/>
              <w:ind w:left="0"/>
              <w:rPr>
                <w:rFonts w:ascii="Arial" w:hAnsi="Arial" w:cs="Arial"/>
                <w:b/>
                <w:bCs/>
                <w:sz w:val="20"/>
                <w:szCs w:val="20"/>
              </w:rPr>
            </w:pPr>
            <w:r w:rsidRPr="00EE2BB9">
              <w:rPr>
                <w:rFonts w:ascii="Arial" w:hAnsi="Arial" w:cs="Arial"/>
                <w:b/>
                <w:bCs/>
                <w:sz w:val="20"/>
                <w:szCs w:val="20"/>
              </w:rPr>
              <w:t xml:space="preserve">Offshore Petroleum And Greenhouse Gas Storage (Environment) Regulations 2009 </w:t>
            </w:r>
          </w:p>
          <w:p w:rsidR="003C0B84" w:rsidRPr="00EE2BB9" w:rsidRDefault="003C0B84" w:rsidP="00AB3513">
            <w:pPr>
              <w:pStyle w:val="ListParagraph"/>
              <w:spacing w:after="0"/>
              <w:ind w:left="0"/>
              <w:rPr>
                <w:rFonts w:ascii="Arial" w:hAnsi="Arial" w:cs="Arial"/>
                <w:b/>
                <w:sz w:val="20"/>
                <w:szCs w:val="20"/>
              </w:rPr>
            </w:pPr>
          </w:p>
        </w:tc>
        <w:tc>
          <w:tcPr>
            <w:tcW w:w="2857" w:type="dxa"/>
          </w:tcPr>
          <w:p w:rsidR="003C0B84" w:rsidRDefault="003C0B84" w:rsidP="00536191">
            <w:pPr>
              <w:pStyle w:val="ListParagraph"/>
              <w:numPr>
                <w:ilvl w:val="0"/>
                <w:numId w:val="15"/>
              </w:numPr>
              <w:spacing w:after="0"/>
              <w:rPr>
                <w:rFonts w:ascii="Arial" w:hAnsi="Arial" w:cs="Arial"/>
                <w:sz w:val="20"/>
                <w:szCs w:val="20"/>
              </w:rPr>
            </w:pPr>
            <w:r>
              <w:rPr>
                <w:rFonts w:ascii="Arial" w:hAnsi="Arial" w:cs="Arial"/>
                <w:sz w:val="20"/>
                <w:szCs w:val="20"/>
              </w:rPr>
              <w:t xml:space="preserve">No third party enforcement rights (with respect to environmental plans for offshore petroleum </w:t>
            </w:r>
            <w:r w:rsidR="00BE1A4C">
              <w:rPr>
                <w:rFonts w:ascii="Arial" w:hAnsi="Arial" w:cs="Arial"/>
                <w:sz w:val="20"/>
                <w:szCs w:val="20"/>
              </w:rPr>
              <w:t>activities</w:t>
            </w:r>
            <w:r>
              <w:rPr>
                <w:rFonts w:ascii="Arial" w:hAnsi="Arial" w:cs="Arial"/>
                <w:sz w:val="20"/>
                <w:szCs w:val="20"/>
              </w:rPr>
              <w:t>, for example).</w:t>
            </w:r>
            <w:r w:rsidRPr="00054C6A">
              <w:rPr>
                <w:rFonts w:ascii="Arial" w:hAnsi="Arial" w:cs="Arial"/>
                <w:b/>
                <w:color w:val="F79646" w:themeColor="accent6"/>
                <w:sz w:val="20"/>
                <w:szCs w:val="20"/>
              </w:rPr>
              <w:t xml:space="preserve"> x</w:t>
            </w:r>
          </w:p>
        </w:tc>
        <w:tc>
          <w:tcPr>
            <w:tcW w:w="2812" w:type="dxa"/>
          </w:tcPr>
          <w:p w:rsidR="003C0B84" w:rsidRDefault="003C0B84" w:rsidP="00536191">
            <w:pPr>
              <w:pStyle w:val="ListParagraph"/>
              <w:numPr>
                <w:ilvl w:val="0"/>
                <w:numId w:val="15"/>
              </w:numPr>
              <w:spacing w:after="0"/>
              <w:rPr>
                <w:rFonts w:ascii="Arial" w:hAnsi="Arial" w:cs="Arial"/>
                <w:sz w:val="20"/>
                <w:szCs w:val="20"/>
              </w:rPr>
            </w:pPr>
            <w:r>
              <w:rPr>
                <w:rFonts w:ascii="Arial" w:hAnsi="Arial" w:cs="Arial"/>
                <w:sz w:val="20"/>
                <w:szCs w:val="20"/>
              </w:rPr>
              <w:t xml:space="preserve">No third party appeal rights (with respect to environmental plans for offshore petroleum </w:t>
            </w:r>
            <w:r w:rsidR="00BE1A4C">
              <w:rPr>
                <w:rFonts w:ascii="Arial" w:hAnsi="Arial" w:cs="Arial"/>
                <w:sz w:val="20"/>
                <w:szCs w:val="20"/>
              </w:rPr>
              <w:t>activities</w:t>
            </w:r>
            <w:r>
              <w:rPr>
                <w:rFonts w:ascii="Arial" w:hAnsi="Arial" w:cs="Arial"/>
                <w:sz w:val="20"/>
                <w:szCs w:val="20"/>
              </w:rPr>
              <w:t xml:space="preserve">, for example). </w:t>
            </w:r>
            <w:r w:rsidRPr="00054C6A">
              <w:rPr>
                <w:rFonts w:ascii="Arial" w:hAnsi="Arial" w:cs="Arial"/>
                <w:b/>
                <w:color w:val="F79646" w:themeColor="accent6"/>
                <w:sz w:val="20"/>
                <w:szCs w:val="20"/>
              </w:rPr>
              <w:t>x</w:t>
            </w:r>
          </w:p>
        </w:tc>
      </w:tr>
    </w:tbl>
    <w:p w:rsidR="003C0B84" w:rsidRDefault="003C0B84" w:rsidP="00A9458F">
      <w:pPr>
        <w:spacing w:after="0"/>
        <w:jc w:val="both"/>
        <w:rPr>
          <w:rFonts w:ascii="Arial" w:hAnsi="Arial" w:cs="Arial"/>
          <w:sz w:val="22"/>
          <w:szCs w:val="22"/>
        </w:rPr>
      </w:pPr>
    </w:p>
    <w:p w:rsidR="003C0B84" w:rsidRDefault="003C0B84" w:rsidP="00536191">
      <w:pPr>
        <w:pStyle w:val="ListParagraph"/>
        <w:numPr>
          <w:ilvl w:val="0"/>
          <w:numId w:val="9"/>
        </w:numPr>
        <w:jc w:val="both"/>
        <w:rPr>
          <w:rFonts w:ascii="Arial" w:hAnsi="Arial" w:cs="Arial"/>
          <w:b/>
          <w:i/>
          <w:sz w:val="22"/>
          <w:szCs w:val="22"/>
        </w:rPr>
      </w:pPr>
      <w:r w:rsidRPr="000E2C8F">
        <w:rPr>
          <w:rFonts w:ascii="Arial" w:hAnsi="Arial" w:cs="Arial"/>
          <w:b/>
          <w:i/>
          <w:sz w:val="22"/>
          <w:szCs w:val="22"/>
        </w:rPr>
        <w:t xml:space="preserve">Discretion </w:t>
      </w:r>
    </w:p>
    <w:p w:rsidR="003C0B84" w:rsidRDefault="003C0B84" w:rsidP="00A9458F">
      <w:pPr>
        <w:spacing w:after="0"/>
        <w:jc w:val="both"/>
        <w:rPr>
          <w:rFonts w:ascii="Arial" w:hAnsi="Arial" w:cs="Arial"/>
          <w:sz w:val="22"/>
          <w:szCs w:val="22"/>
        </w:rPr>
      </w:pPr>
      <w:r>
        <w:rPr>
          <w:rFonts w:ascii="Arial" w:hAnsi="Arial" w:cs="Arial"/>
          <w:sz w:val="22"/>
          <w:szCs w:val="22"/>
        </w:rPr>
        <w:t xml:space="preserve">While ANEDO favours the application of third party appeal rights with respect to administrative decision-making made under environmental legislation, we note that appeal rights are only capable of being exercised if legislation includes criteria which must be considered during the decision-making process. That is, virtually unfettered discretion to approve or refuse an application cannot be meaningfully challenged by a third party. </w:t>
      </w:r>
    </w:p>
    <w:p w:rsidR="003C0B84" w:rsidRDefault="003C0B84" w:rsidP="00A9458F">
      <w:pPr>
        <w:spacing w:after="0"/>
        <w:jc w:val="both"/>
        <w:rPr>
          <w:rFonts w:ascii="Arial" w:hAnsi="Arial" w:cs="Arial"/>
          <w:sz w:val="22"/>
          <w:szCs w:val="22"/>
        </w:rPr>
      </w:pPr>
    </w:p>
    <w:p w:rsidR="003C0B84" w:rsidRDefault="003C0B84" w:rsidP="00A9458F">
      <w:pPr>
        <w:spacing w:after="0"/>
        <w:jc w:val="both"/>
        <w:rPr>
          <w:rFonts w:ascii="Arial" w:hAnsi="Arial" w:cs="Arial"/>
          <w:sz w:val="22"/>
          <w:szCs w:val="22"/>
        </w:rPr>
      </w:pPr>
      <w:r>
        <w:rPr>
          <w:rFonts w:ascii="Arial" w:hAnsi="Arial" w:cs="Arial"/>
          <w:sz w:val="22"/>
          <w:szCs w:val="22"/>
        </w:rPr>
        <w:t>With this is mind, ANEDO notes that certain environmental legislation confers a great deal of discretion on decision-makers. While this is ultimately the prerogative of Parliament, we are concerned that high-impact activities are not being assessed against reasonably specific criteria designed to guide decision-makers through complex material and issues.</w:t>
      </w:r>
    </w:p>
    <w:p w:rsidR="003C0B84" w:rsidRDefault="003C0B84" w:rsidP="00A9458F">
      <w:pPr>
        <w:spacing w:after="0"/>
        <w:jc w:val="both"/>
        <w:rPr>
          <w:rFonts w:ascii="Arial" w:hAnsi="Arial" w:cs="Arial"/>
          <w:sz w:val="22"/>
          <w:szCs w:val="22"/>
        </w:rPr>
      </w:pPr>
    </w:p>
    <w:p w:rsidR="003C0B84" w:rsidRDefault="003C0B84" w:rsidP="00A9458F">
      <w:pPr>
        <w:spacing w:after="0"/>
        <w:jc w:val="both"/>
        <w:rPr>
          <w:rFonts w:ascii="Arial" w:hAnsi="Arial" w:cs="Arial"/>
          <w:sz w:val="22"/>
          <w:szCs w:val="22"/>
        </w:rPr>
      </w:pPr>
      <w:r>
        <w:rPr>
          <w:rFonts w:ascii="Arial" w:hAnsi="Arial" w:cs="Arial"/>
          <w:sz w:val="22"/>
          <w:szCs w:val="22"/>
        </w:rPr>
        <w:t>For example, Part 9 of the EPBC Act does not include any specific criteria which the Minister must ‘not act inconsistently with’ when determining an activity declared to be a controlled action for the purposes of the ‘water trigger.’</w:t>
      </w:r>
      <w:r>
        <w:rPr>
          <w:rStyle w:val="EndnoteReference"/>
          <w:rFonts w:ascii="Arial" w:hAnsi="Arial" w:cs="Arial"/>
          <w:sz w:val="22"/>
          <w:szCs w:val="22"/>
        </w:rPr>
        <w:endnoteReference w:id="52"/>
      </w:r>
      <w:r>
        <w:rPr>
          <w:rFonts w:ascii="Arial" w:hAnsi="Arial" w:cs="Arial"/>
          <w:sz w:val="22"/>
          <w:szCs w:val="22"/>
        </w:rPr>
        <w:t xml:space="preserve"> By way of contrast, the Minister must ‘not act inconsistently with’ specific criteria (such as environmental treaties) set out for six other matters of national environmental significance. While Part 9 does include general criteria against which all controlled actions are to be assessed,</w:t>
      </w:r>
      <w:r>
        <w:rPr>
          <w:rStyle w:val="EndnoteReference"/>
          <w:rFonts w:ascii="Arial" w:hAnsi="Arial" w:cs="Arial"/>
          <w:sz w:val="22"/>
          <w:szCs w:val="22"/>
        </w:rPr>
        <w:endnoteReference w:id="53"/>
      </w:r>
      <w:r>
        <w:rPr>
          <w:rFonts w:ascii="Arial" w:hAnsi="Arial" w:cs="Arial"/>
          <w:sz w:val="22"/>
          <w:szCs w:val="22"/>
        </w:rPr>
        <w:t xml:space="preserve"> the Minister need only ‘consider’ these matters, which is less onerous that a requirement to ‘not act inconsistently with’ specific treaties, for example. Ideally, however, the Minister would be required to ‘act consistently with’ relevant criteria as this arguable constitutes a stricter test. </w:t>
      </w:r>
    </w:p>
    <w:p w:rsidR="003C0B84" w:rsidRDefault="003C0B84" w:rsidP="00A9458F">
      <w:pPr>
        <w:spacing w:after="0"/>
        <w:jc w:val="both"/>
        <w:rPr>
          <w:rFonts w:ascii="Arial" w:hAnsi="Arial" w:cs="Arial"/>
          <w:b/>
          <w:i/>
          <w:sz w:val="22"/>
          <w:szCs w:val="22"/>
        </w:rPr>
      </w:pPr>
    </w:p>
    <w:p w:rsidR="003C0B84" w:rsidRDefault="003C0B84" w:rsidP="00A9458F">
      <w:pPr>
        <w:spacing w:after="0"/>
        <w:jc w:val="both"/>
        <w:rPr>
          <w:rFonts w:ascii="Arial" w:hAnsi="Arial" w:cs="Arial"/>
          <w:b/>
          <w:i/>
          <w:sz w:val="22"/>
          <w:szCs w:val="22"/>
        </w:rPr>
      </w:pPr>
      <w:r w:rsidRPr="00CB3713">
        <w:rPr>
          <w:rFonts w:ascii="Arial" w:hAnsi="Arial" w:cs="Arial"/>
          <w:b/>
          <w:i/>
          <w:sz w:val="22"/>
          <w:szCs w:val="22"/>
        </w:rPr>
        <w:t xml:space="preserve">Recommendations </w:t>
      </w:r>
    </w:p>
    <w:p w:rsidR="003C0B84" w:rsidRDefault="003C0B84" w:rsidP="00A9458F">
      <w:pPr>
        <w:spacing w:after="0"/>
        <w:jc w:val="both"/>
        <w:rPr>
          <w:rFonts w:ascii="Arial" w:hAnsi="Arial" w:cs="Arial"/>
          <w:b/>
          <w:i/>
          <w:sz w:val="22"/>
          <w:szCs w:val="22"/>
        </w:rPr>
      </w:pPr>
    </w:p>
    <w:p w:rsidR="00D671B0" w:rsidRPr="00A037A5" w:rsidRDefault="00D671B0" w:rsidP="00D671B0">
      <w:pPr>
        <w:pStyle w:val="ListParagraph"/>
        <w:numPr>
          <w:ilvl w:val="0"/>
          <w:numId w:val="25"/>
        </w:numPr>
        <w:spacing w:after="0"/>
        <w:jc w:val="both"/>
        <w:rPr>
          <w:rFonts w:ascii="Arial" w:hAnsi="Arial" w:cs="Arial"/>
          <w:i/>
          <w:sz w:val="22"/>
          <w:szCs w:val="22"/>
        </w:rPr>
      </w:pPr>
      <w:r w:rsidRPr="00A037A5">
        <w:rPr>
          <w:rFonts w:ascii="Arial" w:hAnsi="Arial" w:cs="Arial"/>
          <w:i/>
          <w:sz w:val="22"/>
          <w:szCs w:val="22"/>
        </w:rPr>
        <w:t>Environmental and planning legislation in all Australian jurisdictions should provide for open standing for enforcement and judicial review proceedings</w:t>
      </w:r>
      <w:r w:rsidR="00253F9C" w:rsidRPr="00A037A5">
        <w:rPr>
          <w:rFonts w:ascii="Arial" w:hAnsi="Arial" w:cs="Arial"/>
          <w:i/>
          <w:sz w:val="22"/>
          <w:szCs w:val="22"/>
        </w:rPr>
        <w:t xml:space="preserve"> where not already permitted</w:t>
      </w:r>
      <w:r w:rsidRPr="00A037A5">
        <w:rPr>
          <w:rFonts w:ascii="Arial" w:hAnsi="Arial" w:cs="Arial"/>
          <w:i/>
          <w:sz w:val="22"/>
          <w:szCs w:val="22"/>
        </w:rPr>
        <w:t>.</w:t>
      </w:r>
    </w:p>
    <w:p w:rsidR="003C2254" w:rsidRPr="00A037A5" w:rsidRDefault="003C2254" w:rsidP="00733776">
      <w:pPr>
        <w:pStyle w:val="ListParagraph"/>
        <w:spacing w:after="0"/>
        <w:ind w:left="360"/>
        <w:jc w:val="both"/>
        <w:rPr>
          <w:rFonts w:ascii="Arial" w:hAnsi="Arial" w:cs="Arial"/>
          <w:i/>
          <w:sz w:val="22"/>
          <w:szCs w:val="22"/>
        </w:rPr>
      </w:pPr>
    </w:p>
    <w:p w:rsidR="003C0B84" w:rsidRPr="00A037A5" w:rsidRDefault="003C0B84" w:rsidP="00444A1B">
      <w:pPr>
        <w:pStyle w:val="ListParagraph"/>
        <w:numPr>
          <w:ilvl w:val="0"/>
          <w:numId w:val="25"/>
        </w:numPr>
        <w:spacing w:after="0"/>
        <w:jc w:val="both"/>
        <w:rPr>
          <w:rFonts w:ascii="Arial" w:hAnsi="Arial" w:cs="Arial"/>
          <w:i/>
          <w:sz w:val="22"/>
          <w:szCs w:val="22"/>
        </w:rPr>
      </w:pPr>
      <w:r w:rsidRPr="00A037A5">
        <w:rPr>
          <w:rFonts w:ascii="Arial" w:hAnsi="Arial" w:cs="Arial"/>
          <w:i/>
          <w:sz w:val="22"/>
          <w:szCs w:val="22"/>
        </w:rPr>
        <w:t xml:space="preserve">All Federal environmental legislation should provide for third party enforcement. Enforcement provisions should be modelled on a slightly broadened version of s. 487 of the EPBC Act so that applicants need only demonstrate an ongoing interest in the issue at hand. </w:t>
      </w:r>
    </w:p>
    <w:p w:rsidR="003C0B84" w:rsidRPr="00A037A5" w:rsidRDefault="003C0B84" w:rsidP="009A038F">
      <w:pPr>
        <w:pStyle w:val="ListParagraph"/>
        <w:spacing w:after="0"/>
        <w:jc w:val="both"/>
        <w:rPr>
          <w:rFonts w:ascii="Arial" w:hAnsi="Arial" w:cs="Arial"/>
          <w:i/>
          <w:sz w:val="22"/>
          <w:szCs w:val="22"/>
        </w:rPr>
      </w:pPr>
    </w:p>
    <w:p w:rsidR="003C0B84" w:rsidRPr="00A037A5" w:rsidRDefault="003C0B84" w:rsidP="00444A1B">
      <w:pPr>
        <w:pStyle w:val="ListParagraph"/>
        <w:numPr>
          <w:ilvl w:val="0"/>
          <w:numId w:val="25"/>
        </w:numPr>
        <w:spacing w:after="0"/>
        <w:jc w:val="both"/>
        <w:rPr>
          <w:rFonts w:ascii="Arial" w:hAnsi="Arial" w:cs="Arial"/>
          <w:i/>
          <w:sz w:val="22"/>
          <w:szCs w:val="22"/>
        </w:rPr>
      </w:pPr>
      <w:r w:rsidRPr="00A037A5">
        <w:rPr>
          <w:rFonts w:ascii="Arial" w:hAnsi="Arial" w:cs="Arial"/>
          <w:i/>
          <w:sz w:val="22"/>
          <w:szCs w:val="22"/>
        </w:rPr>
        <w:t>All Federal environmental legislation should provide for third party appeal rights with respect to environmental decision-making involving: development or activities capable of having a not insignificant impact on communities or the environment; management or zoning plans which will determine permissible activities within a given area; and environment plans for high impact activities such as offshore petroleum exploration and production.</w:t>
      </w:r>
    </w:p>
    <w:p w:rsidR="003C0B84" w:rsidRPr="00A037A5" w:rsidRDefault="003C0B84" w:rsidP="000E2C8F">
      <w:pPr>
        <w:pStyle w:val="ListParagraph"/>
        <w:rPr>
          <w:rFonts w:ascii="Arial" w:hAnsi="Arial" w:cs="Arial"/>
          <w:i/>
          <w:sz w:val="22"/>
          <w:szCs w:val="22"/>
        </w:rPr>
      </w:pPr>
    </w:p>
    <w:p w:rsidR="003C0B84" w:rsidRPr="00A037A5" w:rsidRDefault="003C0B84" w:rsidP="00444A1B">
      <w:pPr>
        <w:pStyle w:val="ListParagraph"/>
        <w:numPr>
          <w:ilvl w:val="0"/>
          <w:numId w:val="25"/>
        </w:numPr>
        <w:spacing w:after="0"/>
        <w:jc w:val="both"/>
        <w:rPr>
          <w:rFonts w:ascii="Arial" w:hAnsi="Arial" w:cs="Arial"/>
          <w:i/>
          <w:sz w:val="22"/>
          <w:szCs w:val="22"/>
        </w:rPr>
      </w:pPr>
      <w:r w:rsidRPr="00A037A5">
        <w:rPr>
          <w:rFonts w:ascii="Arial" w:hAnsi="Arial" w:cs="Arial"/>
          <w:i/>
          <w:sz w:val="22"/>
          <w:szCs w:val="22"/>
        </w:rPr>
        <w:t xml:space="preserve">Where necessary, amend Federal environmental legislation to include specific criteria which the relevant decision maker must ‘act consistently with’. </w:t>
      </w:r>
    </w:p>
    <w:p w:rsidR="003C0B84" w:rsidRPr="00A037A5" w:rsidRDefault="003C0B84" w:rsidP="003C0B84">
      <w:pPr>
        <w:pStyle w:val="ListParagraph"/>
        <w:rPr>
          <w:rFonts w:ascii="Arial" w:hAnsi="Arial" w:cs="Arial"/>
          <w:i/>
          <w:sz w:val="22"/>
          <w:szCs w:val="22"/>
        </w:rPr>
      </w:pPr>
    </w:p>
    <w:p w:rsidR="0006358E" w:rsidRPr="00A037A5" w:rsidRDefault="0006358E" w:rsidP="00444A1B">
      <w:pPr>
        <w:pStyle w:val="ListParagraph"/>
        <w:numPr>
          <w:ilvl w:val="0"/>
          <w:numId w:val="25"/>
        </w:numPr>
        <w:spacing w:after="0"/>
        <w:jc w:val="both"/>
        <w:rPr>
          <w:rFonts w:ascii="Arial" w:hAnsi="Arial" w:cs="Arial"/>
          <w:i/>
          <w:sz w:val="22"/>
          <w:szCs w:val="22"/>
        </w:rPr>
      </w:pPr>
      <w:r w:rsidRPr="00A037A5">
        <w:rPr>
          <w:rFonts w:ascii="Arial" w:hAnsi="Arial" w:cs="Arial"/>
          <w:i/>
          <w:sz w:val="22"/>
          <w:szCs w:val="22"/>
        </w:rPr>
        <w:t xml:space="preserve">Amend the </w:t>
      </w:r>
      <w:r w:rsidR="003C2254" w:rsidRPr="00A037A5">
        <w:rPr>
          <w:rFonts w:ascii="Arial" w:hAnsi="Arial" w:cs="Arial"/>
          <w:i/>
          <w:sz w:val="22"/>
          <w:szCs w:val="22"/>
        </w:rPr>
        <w:t xml:space="preserve">NSW </w:t>
      </w:r>
      <w:r w:rsidRPr="00A037A5">
        <w:rPr>
          <w:rFonts w:ascii="Arial" w:hAnsi="Arial" w:cs="Arial"/>
          <w:i/>
          <w:sz w:val="22"/>
          <w:szCs w:val="22"/>
        </w:rPr>
        <w:t xml:space="preserve">Water Management Act to provide for a Register of Approvals which provides users with a range of search options, including an option to search for all approvals issued in a particular valley between dates specified by the user.  </w:t>
      </w:r>
    </w:p>
    <w:p w:rsidR="0006358E" w:rsidRPr="00A037A5" w:rsidRDefault="0006358E" w:rsidP="0006358E">
      <w:pPr>
        <w:pStyle w:val="ListParagraph"/>
        <w:rPr>
          <w:rFonts w:ascii="Arial" w:hAnsi="Arial" w:cs="Arial"/>
          <w:i/>
          <w:sz w:val="22"/>
          <w:szCs w:val="22"/>
        </w:rPr>
      </w:pPr>
    </w:p>
    <w:p w:rsidR="003C0B84" w:rsidRPr="00A037A5" w:rsidRDefault="0006358E" w:rsidP="00444A1B">
      <w:pPr>
        <w:pStyle w:val="ListParagraph"/>
        <w:numPr>
          <w:ilvl w:val="0"/>
          <w:numId w:val="25"/>
        </w:numPr>
        <w:spacing w:after="0"/>
        <w:jc w:val="both"/>
        <w:rPr>
          <w:rFonts w:ascii="Arial" w:hAnsi="Arial" w:cs="Arial"/>
          <w:i/>
          <w:sz w:val="22"/>
          <w:szCs w:val="22"/>
        </w:rPr>
      </w:pPr>
      <w:r w:rsidRPr="00A037A5">
        <w:rPr>
          <w:rFonts w:ascii="Arial" w:hAnsi="Arial" w:cs="Arial"/>
          <w:i/>
          <w:sz w:val="22"/>
          <w:szCs w:val="22"/>
        </w:rPr>
        <w:t xml:space="preserve">Amend the </w:t>
      </w:r>
      <w:r w:rsidR="003C2254" w:rsidRPr="00A037A5">
        <w:rPr>
          <w:rFonts w:ascii="Arial" w:hAnsi="Arial" w:cs="Arial"/>
          <w:i/>
          <w:sz w:val="22"/>
          <w:szCs w:val="22"/>
        </w:rPr>
        <w:t xml:space="preserve">NSW </w:t>
      </w:r>
      <w:r w:rsidRPr="00A037A5">
        <w:rPr>
          <w:rFonts w:ascii="Arial" w:hAnsi="Arial" w:cs="Arial"/>
          <w:i/>
          <w:sz w:val="22"/>
          <w:szCs w:val="22"/>
        </w:rPr>
        <w:t>Water Management Act to provide for the creation of a central register of decisions to grant new licences and to approve licence transfers.</w:t>
      </w:r>
      <w:r w:rsidR="003C0B84" w:rsidRPr="00A037A5">
        <w:rPr>
          <w:rFonts w:ascii="Arial" w:hAnsi="Arial" w:cs="Arial"/>
          <w:i/>
          <w:sz w:val="22"/>
          <w:szCs w:val="22"/>
        </w:rPr>
        <w:t xml:space="preserve">  </w:t>
      </w:r>
      <w:r w:rsidRPr="00A037A5">
        <w:rPr>
          <w:rFonts w:ascii="Arial" w:hAnsi="Arial" w:cs="Arial"/>
          <w:i/>
          <w:sz w:val="22"/>
          <w:szCs w:val="22"/>
        </w:rPr>
        <w:t xml:space="preserve">The central register must provide users with a range of search options, including an option to search for all licences issued or transferred in a particular valley between dates specified by the user.  </w:t>
      </w:r>
    </w:p>
    <w:p w:rsidR="003C0B84" w:rsidRPr="00A9458F" w:rsidRDefault="003C0B84" w:rsidP="00536191">
      <w:pPr>
        <w:pStyle w:val="PolicyHeading2"/>
        <w:numPr>
          <w:ilvl w:val="0"/>
          <w:numId w:val="3"/>
        </w:numPr>
        <w:spacing w:afterAutospacing="0"/>
        <w:rPr>
          <w:rFonts w:ascii="Arial" w:hAnsi="Arial" w:cs="Arial"/>
          <w:b w:val="0"/>
          <w:sz w:val="22"/>
          <w:szCs w:val="22"/>
        </w:rPr>
      </w:pPr>
      <w:r w:rsidRPr="00A9458F">
        <w:rPr>
          <w:rStyle w:val="Heading1Char"/>
          <w:b/>
          <w:sz w:val="22"/>
          <w:szCs w:val="22"/>
        </w:rPr>
        <w:t xml:space="preserve">Standing </w:t>
      </w:r>
      <w:r>
        <w:rPr>
          <w:rStyle w:val="Heading1Char"/>
          <w:b/>
          <w:sz w:val="22"/>
          <w:szCs w:val="22"/>
        </w:rPr>
        <w:t xml:space="preserve">– merits </w:t>
      </w:r>
    </w:p>
    <w:p w:rsidR="003C0B84" w:rsidRPr="00A9458F" w:rsidRDefault="003C0B84" w:rsidP="00D5547A">
      <w:pPr>
        <w:spacing w:after="0"/>
        <w:jc w:val="both"/>
        <w:rPr>
          <w:rFonts w:ascii="Arial" w:hAnsi="Arial" w:cs="Arial"/>
          <w:sz w:val="22"/>
          <w:szCs w:val="22"/>
        </w:rPr>
      </w:pPr>
    </w:p>
    <w:p w:rsidR="003C0B84" w:rsidRPr="00C26D54" w:rsidRDefault="003C0B84" w:rsidP="00536191">
      <w:pPr>
        <w:pStyle w:val="ListParagraph"/>
        <w:numPr>
          <w:ilvl w:val="0"/>
          <w:numId w:val="10"/>
        </w:numPr>
        <w:spacing w:after="0"/>
        <w:jc w:val="both"/>
        <w:rPr>
          <w:rFonts w:ascii="Arial" w:hAnsi="Arial" w:cs="Arial"/>
          <w:b/>
          <w:i/>
          <w:sz w:val="22"/>
          <w:szCs w:val="22"/>
        </w:rPr>
      </w:pPr>
      <w:r w:rsidRPr="00C26D54">
        <w:rPr>
          <w:rFonts w:ascii="Arial" w:hAnsi="Arial" w:cs="Arial"/>
          <w:b/>
          <w:i/>
          <w:sz w:val="22"/>
          <w:szCs w:val="22"/>
        </w:rPr>
        <w:t xml:space="preserve">Background </w:t>
      </w:r>
    </w:p>
    <w:p w:rsidR="003C0B84" w:rsidRDefault="003C0B84" w:rsidP="00D5547A">
      <w:pPr>
        <w:spacing w:after="0"/>
        <w:jc w:val="both"/>
        <w:rPr>
          <w:rFonts w:ascii="Arial" w:hAnsi="Arial" w:cs="Arial"/>
          <w:b/>
          <w:i/>
          <w:sz w:val="22"/>
          <w:szCs w:val="22"/>
        </w:rPr>
      </w:pPr>
    </w:p>
    <w:p w:rsidR="003C0B84" w:rsidRDefault="003C0B84" w:rsidP="00D5547A">
      <w:pPr>
        <w:spacing w:after="0"/>
        <w:jc w:val="both"/>
        <w:rPr>
          <w:rFonts w:ascii="Arial" w:hAnsi="Arial" w:cs="Arial"/>
          <w:sz w:val="22"/>
          <w:szCs w:val="22"/>
        </w:rPr>
      </w:pPr>
      <w:r>
        <w:rPr>
          <w:rFonts w:ascii="Arial" w:hAnsi="Arial" w:cs="Arial"/>
          <w:sz w:val="22"/>
          <w:szCs w:val="22"/>
        </w:rPr>
        <w:t>As previously noted, decision-making under environment and planning legislation often relates to high impact, controversial developments. Merits review provides an additional layer of scrutiny and to that extent improves community confidence in the decision-making process. In the words Preston CJ</w:t>
      </w:r>
      <w:r w:rsidR="00927032" w:rsidRPr="00927032">
        <w:rPr>
          <w:rFonts w:ascii="Arial" w:hAnsi="Arial" w:cs="Arial"/>
          <w:sz w:val="22"/>
          <w:szCs w:val="22"/>
        </w:rPr>
        <w:t xml:space="preserve"> </w:t>
      </w:r>
      <w:r w:rsidR="00927032">
        <w:rPr>
          <w:rFonts w:ascii="Arial" w:hAnsi="Arial" w:cs="Arial"/>
          <w:sz w:val="22"/>
          <w:szCs w:val="22"/>
        </w:rPr>
        <w:t xml:space="preserve">of the NSW </w:t>
      </w:r>
      <w:r w:rsidR="00A037A5">
        <w:rPr>
          <w:rFonts w:ascii="Arial" w:hAnsi="Arial" w:cs="Arial"/>
          <w:sz w:val="22"/>
          <w:szCs w:val="22"/>
        </w:rPr>
        <w:t>LEC</w:t>
      </w:r>
      <w:r>
        <w:rPr>
          <w:rFonts w:ascii="Arial" w:hAnsi="Arial" w:cs="Arial"/>
          <w:sz w:val="22"/>
          <w:szCs w:val="22"/>
        </w:rPr>
        <w:t>,</w:t>
      </w:r>
    </w:p>
    <w:p w:rsidR="003C0B84" w:rsidRDefault="003C0B84" w:rsidP="00D5547A">
      <w:pPr>
        <w:spacing w:after="0"/>
        <w:jc w:val="both"/>
        <w:rPr>
          <w:rFonts w:ascii="Arial" w:hAnsi="Arial" w:cs="Arial"/>
          <w:sz w:val="22"/>
          <w:szCs w:val="22"/>
        </w:rPr>
      </w:pPr>
    </w:p>
    <w:p w:rsidR="003C0B84" w:rsidRPr="00563AC1" w:rsidRDefault="003C0B84" w:rsidP="00D5547A">
      <w:pPr>
        <w:spacing w:after="0"/>
        <w:ind w:left="360"/>
        <w:jc w:val="both"/>
        <w:rPr>
          <w:rFonts w:ascii="Arial" w:hAnsi="Arial" w:cs="Arial"/>
          <w:i/>
          <w:sz w:val="20"/>
          <w:szCs w:val="20"/>
        </w:rPr>
      </w:pPr>
      <w:r w:rsidRPr="00563AC1">
        <w:rPr>
          <w:rFonts w:ascii="Arial" w:hAnsi="Arial" w:cs="Arial"/>
          <w:i/>
          <w:sz w:val="20"/>
          <w:szCs w:val="20"/>
        </w:rPr>
        <w:t xml:space="preserve">The rationale for merits review is founded in the notion of natural justice. The rights, liberties and obligations of citizens should not be unduly dependent upon administrative decisions which are not subject to review on the merits. Prima facie, an administrative decision should </w:t>
      </w:r>
      <w:r w:rsidRPr="00563AC1">
        <w:rPr>
          <w:rFonts w:ascii="Arial" w:hAnsi="Arial" w:cs="Arial"/>
          <w:i/>
          <w:sz w:val="20"/>
          <w:szCs w:val="20"/>
        </w:rPr>
        <w:lastRenderedPageBreak/>
        <w:t>be reviewable on the merits if it is likely to affect the interests of a person. Interests can be commercial, property and legal interests as well as intellectual, and like interests (e.g. environmental interests or concerns within the objects of an organisation). Interests can also include legitimate expectations. The benefits of merits review include:</w:t>
      </w:r>
    </w:p>
    <w:p w:rsidR="003C0B84" w:rsidRPr="00563AC1" w:rsidRDefault="003C0B84" w:rsidP="00D5547A">
      <w:pPr>
        <w:spacing w:after="0"/>
        <w:ind w:left="360"/>
        <w:jc w:val="both"/>
        <w:rPr>
          <w:rFonts w:ascii="Arial" w:hAnsi="Arial" w:cs="Arial"/>
          <w:i/>
          <w:sz w:val="20"/>
          <w:szCs w:val="20"/>
        </w:rPr>
      </w:pPr>
    </w:p>
    <w:p w:rsidR="003C0B84" w:rsidRPr="00563AC1" w:rsidRDefault="003C0B84" w:rsidP="00536191">
      <w:pPr>
        <w:numPr>
          <w:ilvl w:val="0"/>
          <w:numId w:val="6"/>
        </w:numPr>
        <w:spacing w:after="0"/>
        <w:jc w:val="both"/>
        <w:rPr>
          <w:rFonts w:ascii="Arial" w:hAnsi="Arial" w:cs="Arial"/>
          <w:i/>
          <w:sz w:val="20"/>
          <w:szCs w:val="20"/>
        </w:rPr>
      </w:pPr>
      <w:r w:rsidRPr="00563AC1">
        <w:rPr>
          <w:rFonts w:ascii="Arial" w:hAnsi="Arial" w:cs="Arial"/>
          <w:i/>
          <w:sz w:val="20"/>
          <w:szCs w:val="20"/>
        </w:rPr>
        <w:t>Enhancing the quality of the reasons for decisions;</w:t>
      </w:r>
    </w:p>
    <w:p w:rsidR="003C0B84" w:rsidRPr="00563AC1" w:rsidRDefault="003C0B84" w:rsidP="00536191">
      <w:pPr>
        <w:numPr>
          <w:ilvl w:val="0"/>
          <w:numId w:val="6"/>
        </w:numPr>
        <w:spacing w:after="0"/>
        <w:jc w:val="both"/>
        <w:rPr>
          <w:rFonts w:ascii="Arial" w:hAnsi="Arial" w:cs="Arial"/>
          <w:i/>
          <w:sz w:val="20"/>
          <w:szCs w:val="20"/>
        </w:rPr>
      </w:pPr>
      <w:r w:rsidRPr="00563AC1">
        <w:rPr>
          <w:rFonts w:ascii="Arial" w:hAnsi="Arial" w:cs="Arial"/>
          <w:i/>
          <w:sz w:val="20"/>
          <w:szCs w:val="20"/>
        </w:rPr>
        <w:t>Providing a forum for full and open consideration of issues of major importance;</w:t>
      </w:r>
    </w:p>
    <w:p w:rsidR="003C0B84" w:rsidRPr="00563AC1" w:rsidRDefault="003C0B84" w:rsidP="00536191">
      <w:pPr>
        <w:numPr>
          <w:ilvl w:val="0"/>
          <w:numId w:val="6"/>
        </w:numPr>
        <w:spacing w:after="0"/>
        <w:jc w:val="both"/>
        <w:rPr>
          <w:rFonts w:ascii="Arial" w:hAnsi="Arial" w:cs="Arial"/>
          <w:i/>
          <w:sz w:val="20"/>
          <w:szCs w:val="20"/>
        </w:rPr>
      </w:pPr>
      <w:r w:rsidRPr="00563AC1">
        <w:rPr>
          <w:rFonts w:ascii="Arial" w:hAnsi="Arial" w:cs="Arial"/>
          <w:i/>
          <w:sz w:val="20"/>
          <w:szCs w:val="20"/>
        </w:rPr>
        <w:t>Increasing the accountability of decision makers;</w:t>
      </w:r>
    </w:p>
    <w:p w:rsidR="003C0B84" w:rsidRPr="00563AC1" w:rsidRDefault="003C0B84" w:rsidP="00536191">
      <w:pPr>
        <w:numPr>
          <w:ilvl w:val="0"/>
          <w:numId w:val="6"/>
        </w:numPr>
        <w:spacing w:after="0"/>
        <w:jc w:val="both"/>
        <w:rPr>
          <w:rFonts w:ascii="Arial" w:hAnsi="Arial" w:cs="Arial"/>
          <w:i/>
          <w:sz w:val="20"/>
          <w:szCs w:val="20"/>
        </w:rPr>
      </w:pPr>
      <w:r w:rsidRPr="00563AC1">
        <w:rPr>
          <w:rFonts w:ascii="Arial" w:hAnsi="Arial" w:cs="Arial"/>
          <w:i/>
          <w:sz w:val="20"/>
          <w:szCs w:val="20"/>
        </w:rPr>
        <w:t>Clarifying the meaning of legislation;</w:t>
      </w:r>
    </w:p>
    <w:p w:rsidR="003C0B84" w:rsidRPr="00563AC1" w:rsidRDefault="003C0B84" w:rsidP="00536191">
      <w:pPr>
        <w:numPr>
          <w:ilvl w:val="0"/>
          <w:numId w:val="6"/>
        </w:numPr>
        <w:spacing w:after="0"/>
        <w:jc w:val="both"/>
        <w:rPr>
          <w:rFonts w:ascii="Arial" w:hAnsi="Arial" w:cs="Arial"/>
          <w:i/>
          <w:sz w:val="20"/>
          <w:szCs w:val="20"/>
        </w:rPr>
      </w:pPr>
      <w:r w:rsidRPr="00563AC1">
        <w:rPr>
          <w:rFonts w:ascii="Arial" w:hAnsi="Arial" w:cs="Arial"/>
          <w:i/>
          <w:sz w:val="20"/>
          <w:szCs w:val="20"/>
        </w:rPr>
        <w:t>Ensuring adherence to legislative principles and objects by administrative decision makers;</w:t>
      </w:r>
    </w:p>
    <w:p w:rsidR="003C0B84" w:rsidRPr="00563AC1" w:rsidRDefault="003C0B84" w:rsidP="00536191">
      <w:pPr>
        <w:numPr>
          <w:ilvl w:val="0"/>
          <w:numId w:val="6"/>
        </w:numPr>
        <w:spacing w:after="0"/>
        <w:jc w:val="both"/>
        <w:rPr>
          <w:rFonts w:ascii="Arial" w:hAnsi="Arial" w:cs="Arial"/>
          <w:i/>
          <w:sz w:val="20"/>
          <w:szCs w:val="20"/>
        </w:rPr>
      </w:pPr>
      <w:r w:rsidRPr="00563AC1">
        <w:rPr>
          <w:rFonts w:ascii="Arial" w:hAnsi="Arial" w:cs="Arial"/>
          <w:i/>
          <w:sz w:val="20"/>
          <w:szCs w:val="20"/>
        </w:rPr>
        <w:t>Focusing attention on the accuracy and quality of policy documents, guidelines and planning instruments; and</w:t>
      </w:r>
    </w:p>
    <w:p w:rsidR="003C0B84" w:rsidRPr="00563AC1" w:rsidRDefault="003C0B84" w:rsidP="00536191">
      <w:pPr>
        <w:numPr>
          <w:ilvl w:val="0"/>
          <w:numId w:val="6"/>
        </w:numPr>
        <w:spacing w:after="0"/>
        <w:jc w:val="both"/>
        <w:rPr>
          <w:rFonts w:ascii="Arial" w:hAnsi="Arial" w:cs="Arial"/>
          <w:i/>
          <w:sz w:val="20"/>
          <w:szCs w:val="20"/>
        </w:rPr>
      </w:pPr>
      <w:r w:rsidRPr="00563AC1">
        <w:rPr>
          <w:rFonts w:ascii="Arial" w:hAnsi="Arial" w:cs="Arial"/>
          <w:i/>
          <w:sz w:val="20"/>
          <w:szCs w:val="20"/>
        </w:rPr>
        <w:t>Highlighting problems that should be addressed by law reform.</w:t>
      </w:r>
      <w:r w:rsidRPr="00563AC1">
        <w:rPr>
          <w:rStyle w:val="EndnoteReference"/>
          <w:rFonts w:ascii="Arial" w:hAnsi="Arial" w:cs="Arial"/>
          <w:sz w:val="20"/>
          <w:szCs w:val="20"/>
        </w:rPr>
        <w:endnoteReference w:id="54"/>
      </w:r>
    </w:p>
    <w:p w:rsidR="003C0B84" w:rsidRDefault="003C0B84" w:rsidP="00DF2A80">
      <w:pPr>
        <w:spacing w:after="0"/>
        <w:jc w:val="both"/>
        <w:rPr>
          <w:rFonts w:ascii="Arial" w:hAnsi="Arial" w:cs="Arial"/>
          <w:sz w:val="22"/>
          <w:szCs w:val="22"/>
        </w:rPr>
      </w:pPr>
      <w:r>
        <w:rPr>
          <w:rFonts w:ascii="Arial" w:hAnsi="Arial" w:cs="Arial"/>
          <w:sz w:val="22"/>
          <w:szCs w:val="22"/>
        </w:rPr>
        <w:t xml:space="preserve"> </w:t>
      </w:r>
    </w:p>
    <w:p w:rsidR="003C0B84" w:rsidRDefault="003C0B84" w:rsidP="00DF2A80">
      <w:pPr>
        <w:spacing w:after="0"/>
        <w:jc w:val="both"/>
        <w:rPr>
          <w:rFonts w:ascii="Arial" w:hAnsi="Arial" w:cs="Arial"/>
          <w:sz w:val="22"/>
          <w:szCs w:val="22"/>
        </w:rPr>
      </w:pPr>
      <w:r>
        <w:rPr>
          <w:rFonts w:ascii="Arial" w:hAnsi="Arial" w:cs="Arial"/>
          <w:sz w:val="22"/>
          <w:szCs w:val="22"/>
        </w:rPr>
        <w:t xml:space="preserve">With this in mind, ANEDO supports the inclusion of merits appeal rights in environmental legislation, particularly in respect of development likely to have a significant impact on the community and environment. </w:t>
      </w:r>
    </w:p>
    <w:p w:rsidR="003C0B84" w:rsidRDefault="003C0B84" w:rsidP="00DF2A80">
      <w:pPr>
        <w:spacing w:after="0"/>
        <w:jc w:val="both"/>
        <w:rPr>
          <w:rFonts w:ascii="Arial" w:hAnsi="Arial" w:cs="Arial"/>
          <w:sz w:val="22"/>
          <w:szCs w:val="22"/>
        </w:rPr>
      </w:pPr>
    </w:p>
    <w:p w:rsidR="003C0B84" w:rsidRDefault="003C0B84" w:rsidP="00444A1B">
      <w:pPr>
        <w:pStyle w:val="ListParagraph"/>
        <w:keepNext/>
        <w:numPr>
          <w:ilvl w:val="0"/>
          <w:numId w:val="10"/>
        </w:numPr>
        <w:spacing w:after="0"/>
        <w:jc w:val="both"/>
        <w:rPr>
          <w:rFonts w:ascii="Arial" w:hAnsi="Arial" w:cs="Arial"/>
          <w:b/>
          <w:i/>
          <w:sz w:val="22"/>
          <w:szCs w:val="22"/>
        </w:rPr>
      </w:pPr>
      <w:r w:rsidRPr="002D390D">
        <w:rPr>
          <w:rFonts w:ascii="Arial" w:hAnsi="Arial" w:cs="Arial"/>
          <w:b/>
          <w:i/>
          <w:sz w:val="22"/>
          <w:szCs w:val="22"/>
        </w:rPr>
        <w:t>Third party merits</w:t>
      </w:r>
      <w:r>
        <w:rPr>
          <w:rFonts w:ascii="Arial" w:hAnsi="Arial" w:cs="Arial"/>
          <w:b/>
          <w:i/>
          <w:sz w:val="22"/>
          <w:szCs w:val="22"/>
        </w:rPr>
        <w:t xml:space="preserve"> appeal rights </w:t>
      </w:r>
      <w:r w:rsidR="00DA78A1">
        <w:rPr>
          <w:rFonts w:ascii="Arial" w:hAnsi="Arial" w:cs="Arial"/>
          <w:b/>
          <w:i/>
          <w:sz w:val="22"/>
          <w:szCs w:val="22"/>
        </w:rPr>
        <w:t>–</w:t>
      </w:r>
      <w:r>
        <w:rPr>
          <w:rFonts w:ascii="Arial" w:hAnsi="Arial" w:cs="Arial"/>
          <w:b/>
          <w:i/>
          <w:sz w:val="22"/>
          <w:szCs w:val="22"/>
        </w:rPr>
        <w:t xml:space="preserve"> States and Territories </w:t>
      </w:r>
      <w:r w:rsidRPr="007D72C5">
        <w:rPr>
          <w:rFonts w:ascii="Arial" w:hAnsi="Arial" w:cs="Arial"/>
          <w:b/>
          <w:i/>
          <w:sz w:val="22"/>
          <w:szCs w:val="22"/>
        </w:rPr>
        <w:t xml:space="preserve"> </w:t>
      </w:r>
    </w:p>
    <w:p w:rsidR="003C0B84" w:rsidRDefault="003C0B84" w:rsidP="00444A1B">
      <w:pPr>
        <w:keepNext/>
        <w:spacing w:after="0"/>
        <w:jc w:val="both"/>
        <w:rPr>
          <w:rFonts w:ascii="Arial" w:hAnsi="Arial" w:cs="Arial"/>
          <w:sz w:val="22"/>
          <w:szCs w:val="22"/>
        </w:rPr>
      </w:pPr>
    </w:p>
    <w:p w:rsidR="00925EF7" w:rsidRPr="00925EF7" w:rsidRDefault="003C0B84" w:rsidP="00925EF7">
      <w:pPr>
        <w:rPr>
          <w:rFonts w:ascii="Arial" w:hAnsi="Arial" w:cs="Arial"/>
          <w:sz w:val="22"/>
          <w:szCs w:val="22"/>
          <w:lang w:val="en"/>
        </w:rPr>
      </w:pPr>
      <w:r>
        <w:rPr>
          <w:rFonts w:ascii="Arial" w:hAnsi="Arial" w:cs="Arial"/>
          <w:sz w:val="22"/>
          <w:szCs w:val="22"/>
        </w:rPr>
        <w:t xml:space="preserve">As with judicial review, merits </w:t>
      </w:r>
      <w:r w:rsidR="00925EF7">
        <w:rPr>
          <w:rFonts w:ascii="Arial" w:hAnsi="Arial" w:cs="Arial"/>
          <w:sz w:val="22"/>
          <w:szCs w:val="22"/>
        </w:rPr>
        <w:t xml:space="preserve">appeal </w:t>
      </w:r>
      <w:r>
        <w:rPr>
          <w:rFonts w:ascii="Arial" w:hAnsi="Arial" w:cs="Arial"/>
          <w:sz w:val="22"/>
          <w:szCs w:val="22"/>
        </w:rPr>
        <w:t>rights var</w:t>
      </w:r>
      <w:r w:rsidR="00925EF7">
        <w:rPr>
          <w:rFonts w:ascii="Arial" w:hAnsi="Arial" w:cs="Arial"/>
          <w:sz w:val="22"/>
          <w:szCs w:val="22"/>
        </w:rPr>
        <w:t>y</w:t>
      </w:r>
      <w:r>
        <w:rPr>
          <w:rFonts w:ascii="Arial" w:hAnsi="Arial" w:cs="Arial"/>
          <w:sz w:val="22"/>
          <w:szCs w:val="22"/>
        </w:rPr>
        <w:t xml:space="preserve"> both within the between jurisdictions. The following table outlines </w:t>
      </w:r>
      <w:r w:rsidR="00925EF7">
        <w:rPr>
          <w:rFonts w:ascii="Arial" w:hAnsi="Arial" w:cs="Arial"/>
          <w:sz w:val="22"/>
          <w:szCs w:val="22"/>
        </w:rPr>
        <w:t xml:space="preserve">third party merits appeal </w:t>
      </w:r>
      <w:r>
        <w:rPr>
          <w:rFonts w:ascii="Arial" w:hAnsi="Arial" w:cs="Arial"/>
          <w:sz w:val="22"/>
          <w:szCs w:val="22"/>
        </w:rPr>
        <w:t>rights with respect to key aspects of planning, water, forestry and min</w:t>
      </w:r>
      <w:r w:rsidR="00536191">
        <w:rPr>
          <w:rFonts w:ascii="Arial" w:hAnsi="Arial" w:cs="Arial"/>
          <w:sz w:val="22"/>
          <w:szCs w:val="22"/>
        </w:rPr>
        <w:t xml:space="preserve">ing legislation. </w:t>
      </w:r>
      <w:r w:rsidR="00925EF7" w:rsidRPr="00925EF7">
        <w:rPr>
          <w:rFonts w:ascii="Arial" w:hAnsi="Arial" w:cs="Arial"/>
          <w:sz w:val="22"/>
          <w:szCs w:val="22"/>
        </w:rPr>
        <w:t xml:space="preserve">However, </w:t>
      </w:r>
      <w:proofErr w:type="spellStart"/>
      <w:r w:rsidR="00925EF7">
        <w:rPr>
          <w:rFonts w:ascii="Arial" w:hAnsi="Arial" w:cs="Arial"/>
          <w:sz w:val="22"/>
          <w:szCs w:val="22"/>
        </w:rPr>
        <w:t>i</w:t>
      </w:r>
      <w:proofErr w:type="spellEnd"/>
      <w:r w:rsidR="00925EF7" w:rsidRPr="00925EF7">
        <w:rPr>
          <w:rFonts w:ascii="Arial" w:hAnsi="Arial" w:cs="Arial"/>
          <w:sz w:val="22"/>
          <w:szCs w:val="22"/>
          <w:lang w:val="en"/>
        </w:rPr>
        <w:t>t should also be noted that:</w:t>
      </w:r>
    </w:p>
    <w:p w:rsidR="00925EF7" w:rsidRPr="00925EF7" w:rsidRDefault="00925EF7" w:rsidP="00925EF7">
      <w:pPr>
        <w:pStyle w:val="ListBullet"/>
        <w:rPr>
          <w:lang w:val="en"/>
        </w:rPr>
      </w:pPr>
      <w:r w:rsidRPr="00925EF7">
        <w:rPr>
          <w:lang w:val="en"/>
        </w:rPr>
        <w:t xml:space="preserve">merit appeal rights are available to </w:t>
      </w:r>
      <w:r w:rsidRPr="00925EF7">
        <w:rPr>
          <w:i/>
          <w:lang w:val="en"/>
        </w:rPr>
        <w:t>proponents</w:t>
      </w:r>
      <w:r w:rsidRPr="00925EF7">
        <w:rPr>
          <w:lang w:val="en"/>
        </w:rPr>
        <w:t xml:space="preserve"> in a much wider range of circumstances than for third party community members; </w:t>
      </w:r>
    </w:p>
    <w:p w:rsidR="00925EF7" w:rsidRPr="00925EF7" w:rsidRDefault="00925EF7" w:rsidP="00925EF7">
      <w:pPr>
        <w:pStyle w:val="ListBullet"/>
        <w:rPr>
          <w:lang w:val="en"/>
        </w:rPr>
      </w:pPr>
      <w:r w:rsidRPr="00925EF7">
        <w:rPr>
          <w:lang w:val="en"/>
        </w:rPr>
        <w:t>in most jurisdictions appeal rights are more limited for major projects; and</w:t>
      </w:r>
    </w:p>
    <w:p w:rsidR="00925EF7" w:rsidRPr="00925EF7" w:rsidRDefault="00925EF7" w:rsidP="00925EF7">
      <w:pPr>
        <w:pStyle w:val="ListBullet"/>
        <w:spacing w:before="0" w:after="120"/>
        <w:contextualSpacing w:val="0"/>
        <w:rPr>
          <w:lang w:val="en"/>
        </w:rPr>
      </w:pPr>
      <w:r w:rsidRPr="00925EF7">
        <w:rPr>
          <w:lang w:val="en"/>
        </w:rPr>
        <w:t xml:space="preserve">the vast majority of </w:t>
      </w:r>
      <w:r w:rsidR="00891438">
        <w:rPr>
          <w:lang w:val="en"/>
        </w:rPr>
        <w:t>development</w:t>
      </w:r>
      <w:r w:rsidRPr="00925EF7">
        <w:rPr>
          <w:lang w:val="en"/>
        </w:rPr>
        <w:t xml:space="preserve"> applications are </w:t>
      </w:r>
      <w:r w:rsidRPr="00733776">
        <w:rPr>
          <w:i/>
          <w:lang w:val="en"/>
        </w:rPr>
        <w:t>approved</w:t>
      </w:r>
      <w:r w:rsidR="00891438">
        <w:rPr>
          <w:lang w:val="en"/>
        </w:rPr>
        <w:t>,</w:t>
      </w:r>
      <w:r w:rsidR="00DA78A1">
        <w:rPr>
          <w:rStyle w:val="EndnoteReference"/>
          <w:lang w:val="en"/>
        </w:rPr>
        <w:endnoteReference w:id="55"/>
      </w:r>
      <w:r w:rsidRPr="00925EF7">
        <w:rPr>
          <w:lang w:val="en"/>
        </w:rPr>
        <w:t xml:space="preserve"> which means that limiting appeal rights disproportionately affects </w:t>
      </w:r>
      <w:r w:rsidR="00891438">
        <w:rPr>
          <w:lang w:val="en"/>
        </w:rPr>
        <w:t>third party community members</w:t>
      </w:r>
      <w:r w:rsidRPr="00925EF7">
        <w:rPr>
          <w:lang w:val="en"/>
        </w:rPr>
        <w:t xml:space="preserve">. </w:t>
      </w:r>
    </w:p>
    <w:p w:rsidR="00925EF7" w:rsidRPr="00925EF7" w:rsidRDefault="00925EF7" w:rsidP="00925EF7">
      <w:pPr>
        <w:rPr>
          <w:rFonts w:ascii="Arial" w:hAnsi="Arial" w:cs="Arial"/>
          <w:sz w:val="22"/>
          <w:szCs w:val="22"/>
          <w:lang w:val="en"/>
        </w:rPr>
      </w:pPr>
      <w:r w:rsidRPr="00925EF7">
        <w:rPr>
          <w:rFonts w:ascii="Arial" w:hAnsi="Arial" w:cs="Arial"/>
          <w:sz w:val="22"/>
          <w:szCs w:val="22"/>
          <w:lang w:val="en"/>
        </w:rPr>
        <w:t>These factors have led to considerable public concern about the equity of appeal rights.</w:t>
      </w:r>
    </w:p>
    <w:p w:rsidR="00536191" w:rsidRDefault="00536191" w:rsidP="00536191"/>
    <w:p w:rsidR="00536191" w:rsidRPr="001A2FB7" w:rsidRDefault="00536191" w:rsidP="004D0A84">
      <w:pPr>
        <w:keepNext/>
        <w:spacing w:after="0"/>
        <w:jc w:val="both"/>
        <w:rPr>
          <w:rFonts w:ascii="Arial" w:hAnsi="Arial" w:cs="Arial"/>
          <w:b/>
          <w:sz w:val="22"/>
          <w:szCs w:val="22"/>
        </w:rPr>
      </w:pPr>
      <w:r w:rsidRPr="00362632">
        <w:rPr>
          <w:rFonts w:ascii="Arial" w:hAnsi="Arial" w:cs="Arial"/>
          <w:b/>
          <w:sz w:val="22"/>
          <w:szCs w:val="22"/>
        </w:rPr>
        <w:t>Table 3 – Third party merits appeal</w:t>
      </w:r>
      <w:r w:rsidRPr="001A2FB7">
        <w:rPr>
          <w:rFonts w:ascii="Arial" w:hAnsi="Arial" w:cs="Arial"/>
          <w:b/>
          <w:sz w:val="22"/>
          <w:szCs w:val="22"/>
        </w:rPr>
        <w:t xml:space="preserve"> rights – State and Territories </w:t>
      </w:r>
    </w:p>
    <w:p w:rsidR="00536191" w:rsidRDefault="00536191" w:rsidP="004D0A84">
      <w:pPr>
        <w:keepNext/>
        <w:spacing w:after="0"/>
        <w:jc w:val="both"/>
        <w:rPr>
          <w:rFonts w:ascii="Arial" w:hAnsi="Arial" w:cs="Arial"/>
          <w:sz w:val="22"/>
          <w:szCs w:val="22"/>
        </w:rPr>
      </w:pPr>
    </w:p>
    <w:tbl>
      <w:tblPr>
        <w:tblStyle w:val="TableGrid"/>
        <w:tblW w:w="9356" w:type="dxa"/>
        <w:tblInd w:w="-459" w:type="dxa"/>
        <w:tblLayout w:type="fixed"/>
        <w:tblLook w:val="04A0" w:firstRow="1" w:lastRow="0" w:firstColumn="1" w:lastColumn="0" w:noHBand="0" w:noVBand="1"/>
      </w:tblPr>
      <w:tblGrid>
        <w:gridCol w:w="1134"/>
        <w:gridCol w:w="2127"/>
        <w:gridCol w:w="2126"/>
        <w:gridCol w:w="1984"/>
        <w:gridCol w:w="1985"/>
      </w:tblGrid>
      <w:tr w:rsidR="00536191" w:rsidRPr="00054C6A" w:rsidTr="00DF35DF">
        <w:trPr>
          <w:tblHeader/>
        </w:trPr>
        <w:tc>
          <w:tcPr>
            <w:tcW w:w="1134" w:type="dxa"/>
          </w:tcPr>
          <w:p w:rsidR="00536191" w:rsidRPr="00054C6A" w:rsidRDefault="00536191" w:rsidP="004D0A84">
            <w:pPr>
              <w:keepNext/>
              <w:spacing w:after="0"/>
              <w:rPr>
                <w:rFonts w:ascii="Arial" w:hAnsi="Arial" w:cs="Arial"/>
                <w:sz w:val="20"/>
                <w:szCs w:val="20"/>
              </w:rPr>
            </w:pPr>
          </w:p>
        </w:tc>
        <w:tc>
          <w:tcPr>
            <w:tcW w:w="2127" w:type="dxa"/>
          </w:tcPr>
          <w:p w:rsidR="00536191" w:rsidRPr="00054C6A" w:rsidRDefault="00536191" w:rsidP="004D0A84">
            <w:pPr>
              <w:keepNext/>
              <w:spacing w:after="0"/>
              <w:rPr>
                <w:rFonts w:ascii="Arial" w:hAnsi="Arial" w:cs="Arial"/>
                <w:b/>
                <w:sz w:val="20"/>
                <w:szCs w:val="20"/>
              </w:rPr>
            </w:pPr>
            <w:r w:rsidRPr="00054C6A">
              <w:rPr>
                <w:rFonts w:ascii="Arial" w:hAnsi="Arial" w:cs="Arial"/>
                <w:b/>
                <w:sz w:val="20"/>
                <w:szCs w:val="20"/>
              </w:rPr>
              <w:t xml:space="preserve">Planning </w:t>
            </w:r>
          </w:p>
        </w:tc>
        <w:tc>
          <w:tcPr>
            <w:tcW w:w="2126" w:type="dxa"/>
          </w:tcPr>
          <w:p w:rsidR="00536191" w:rsidRPr="00054C6A" w:rsidRDefault="00536191" w:rsidP="004D0A84">
            <w:pPr>
              <w:keepNext/>
              <w:spacing w:after="0"/>
              <w:rPr>
                <w:rFonts w:ascii="Arial" w:hAnsi="Arial" w:cs="Arial"/>
                <w:b/>
                <w:sz w:val="20"/>
                <w:szCs w:val="20"/>
              </w:rPr>
            </w:pPr>
            <w:r w:rsidRPr="00054C6A">
              <w:rPr>
                <w:rFonts w:ascii="Arial" w:hAnsi="Arial" w:cs="Arial"/>
                <w:b/>
                <w:sz w:val="20"/>
                <w:szCs w:val="20"/>
              </w:rPr>
              <w:t>Water</w:t>
            </w:r>
          </w:p>
        </w:tc>
        <w:tc>
          <w:tcPr>
            <w:tcW w:w="1984" w:type="dxa"/>
          </w:tcPr>
          <w:p w:rsidR="00536191" w:rsidRPr="00054C6A" w:rsidRDefault="00536191" w:rsidP="004D0A84">
            <w:pPr>
              <w:keepNext/>
              <w:spacing w:after="0"/>
              <w:rPr>
                <w:rFonts w:ascii="Arial" w:hAnsi="Arial" w:cs="Arial"/>
                <w:sz w:val="20"/>
                <w:szCs w:val="20"/>
              </w:rPr>
            </w:pPr>
            <w:r w:rsidRPr="00054C6A">
              <w:rPr>
                <w:rFonts w:ascii="Arial" w:hAnsi="Arial" w:cs="Arial"/>
                <w:b/>
                <w:sz w:val="20"/>
                <w:szCs w:val="20"/>
              </w:rPr>
              <w:t xml:space="preserve">Forestry </w:t>
            </w:r>
          </w:p>
        </w:tc>
        <w:tc>
          <w:tcPr>
            <w:tcW w:w="1985" w:type="dxa"/>
          </w:tcPr>
          <w:p w:rsidR="00536191" w:rsidRPr="00054C6A" w:rsidRDefault="00536191" w:rsidP="004D0A84">
            <w:pPr>
              <w:keepNext/>
              <w:spacing w:after="0"/>
              <w:rPr>
                <w:rFonts w:ascii="Arial" w:hAnsi="Arial" w:cs="Arial"/>
                <w:b/>
                <w:sz w:val="20"/>
                <w:szCs w:val="20"/>
              </w:rPr>
            </w:pPr>
            <w:r w:rsidRPr="00054C6A">
              <w:rPr>
                <w:rFonts w:ascii="Arial" w:hAnsi="Arial" w:cs="Arial"/>
                <w:b/>
                <w:sz w:val="20"/>
                <w:szCs w:val="20"/>
              </w:rPr>
              <w:t>Mining</w:t>
            </w:r>
          </w:p>
        </w:tc>
      </w:tr>
      <w:tr w:rsidR="00536191" w:rsidRPr="00054C6A" w:rsidTr="0096048F">
        <w:trPr>
          <w:trHeight w:val="2401"/>
        </w:trPr>
        <w:tc>
          <w:tcPr>
            <w:tcW w:w="1134" w:type="dxa"/>
          </w:tcPr>
          <w:p w:rsidR="00536191" w:rsidRPr="00054C6A" w:rsidRDefault="00536191" w:rsidP="00DA78A1">
            <w:pPr>
              <w:spacing w:after="0"/>
              <w:rPr>
                <w:rFonts w:ascii="Arial" w:hAnsi="Arial" w:cs="Arial"/>
                <w:b/>
                <w:sz w:val="20"/>
                <w:szCs w:val="20"/>
              </w:rPr>
            </w:pPr>
            <w:r w:rsidRPr="00054C6A">
              <w:rPr>
                <w:rFonts w:ascii="Arial" w:hAnsi="Arial" w:cs="Arial"/>
                <w:b/>
                <w:sz w:val="20"/>
                <w:szCs w:val="20"/>
              </w:rPr>
              <w:t>NSW</w:t>
            </w:r>
          </w:p>
          <w:p w:rsidR="00536191" w:rsidRPr="00054C6A" w:rsidRDefault="00536191" w:rsidP="00DA78A1">
            <w:pPr>
              <w:spacing w:after="0"/>
              <w:rPr>
                <w:rFonts w:ascii="Arial" w:hAnsi="Arial" w:cs="Arial"/>
                <w:b/>
                <w:sz w:val="20"/>
                <w:szCs w:val="20"/>
              </w:rPr>
            </w:pPr>
            <w:r w:rsidRPr="00054C6A">
              <w:rPr>
                <w:rFonts w:ascii="Arial" w:hAnsi="Arial" w:cs="Arial"/>
                <w:b/>
                <w:sz w:val="20"/>
                <w:szCs w:val="20"/>
              </w:rPr>
              <w:t>(current)</w:t>
            </w:r>
          </w:p>
        </w:tc>
        <w:tc>
          <w:tcPr>
            <w:tcW w:w="2127" w:type="dxa"/>
          </w:tcPr>
          <w:p w:rsidR="00E95BDF" w:rsidRPr="00054C6A" w:rsidRDefault="00536191" w:rsidP="00DA78A1">
            <w:pPr>
              <w:pStyle w:val="ListParagraph"/>
              <w:numPr>
                <w:ilvl w:val="0"/>
                <w:numId w:val="4"/>
              </w:numPr>
              <w:spacing w:after="0"/>
              <w:rPr>
                <w:rFonts w:ascii="Arial" w:hAnsi="Arial" w:cs="Arial"/>
                <w:sz w:val="20"/>
                <w:szCs w:val="20"/>
              </w:rPr>
            </w:pPr>
            <w:r>
              <w:rPr>
                <w:rFonts w:ascii="Arial" w:hAnsi="Arial" w:cs="Arial"/>
                <w:sz w:val="20"/>
                <w:szCs w:val="20"/>
              </w:rPr>
              <w:t>Appeal approval of</w:t>
            </w:r>
            <w:r w:rsidRPr="00054C6A">
              <w:rPr>
                <w:rFonts w:ascii="Arial" w:hAnsi="Arial" w:cs="Arial"/>
                <w:sz w:val="20"/>
                <w:szCs w:val="20"/>
              </w:rPr>
              <w:t xml:space="preserve"> major projects </w:t>
            </w:r>
            <w:r w:rsidR="00925EF7" w:rsidRPr="00054C6A">
              <w:rPr>
                <w:b/>
                <w:color w:val="92D050"/>
                <w:sz w:val="20"/>
                <w:szCs w:val="20"/>
              </w:rPr>
              <w:sym w:font="Wingdings 2" w:char="F050"/>
            </w:r>
            <w:r w:rsidR="00E95BDF">
              <w:rPr>
                <w:rFonts w:ascii="Arial" w:hAnsi="Arial" w:cs="Arial"/>
                <w:sz w:val="20"/>
                <w:szCs w:val="20"/>
              </w:rPr>
              <w:t>(where no PAC hearing, and not state significant infrastructure)</w:t>
            </w:r>
            <w:r w:rsidR="00E95BDF" w:rsidRPr="00054C6A">
              <w:rPr>
                <w:rFonts w:ascii="Arial" w:hAnsi="Arial" w:cs="Arial"/>
                <w:sz w:val="20"/>
                <w:szCs w:val="20"/>
              </w:rPr>
              <w:t>.</w:t>
            </w:r>
            <w:r w:rsidR="00E95BDF" w:rsidRPr="00054C6A">
              <w:rPr>
                <w:rStyle w:val="EndnoteReference"/>
                <w:rFonts w:ascii="Arial" w:hAnsi="Arial" w:cs="Arial"/>
                <w:sz w:val="20"/>
                <w:szCs w:val="20"/>
              </w:rPr>
              <w:endnoteReference w:id="56"/>
            </w:r>
            <w:r w:rsidR="00E95BDF" w:rsidRPr="00054C6A">
              <w:rPr>
                <w:rFonts w:ascii="Arial" w:hAnsi="Arial" w:cs="Arial"/>
                <w:sz w:val="20"/>
                <w:szCs w:val="20"/>
              </w:rPr>
              <w:t xml:space="preserve">  </w:t>
            </w:r>
          </w:p>
          <w:p w:rsidR="00536191" w:rsidRPr="00051330" w:rsidRDefault="00536191" w:rsidP="00DA78A1">
            <w:pPr>
              <w:pStyle w:val="ListParagraph"/>
              <w:numPr>
                <w:ilvl w:val="0"/>
                <w:numId w:val="4"/>
              </w:numPr>
              <w:spacing w:after="0"/>
              <w:rPr>
                <w:rFonts w:ascii="Arial" w:hAnsi="Arial" w:cs="Arial"/>
                <w:sz w:val="20"/>
                <w:szCs w:val="20"/>
              </w:rPr>
            </w:pPr>
            <w:r>
              <w:rPr>
                <w:rFonts w:ascii="Arial" w:hAnsi="Arial" w:cs="Arial"/>
                <w:sz w:val="20"/>
                <w:szCs w:val="20"/>
              </w:rPr>
              <w:t>A</w:t>
            </w:r>
            <w:r w:rsidRPr="00054C6A">
              <w:rPr>
                <w:rFonts w:ascii="Arial" w:hAnsi="Arial" w:cs="Arial"/>
                <w:sz w:val="20"/>
                <w:szCs w:val="20"/>
              </w:rPr>
              <w:t>ppeal</w:t>
            </w:r>
            <w:r>
              <w:rPr>
                <w:rFonts w:ascii="Arial" w:hAnsi="Arial" w:cs="Arial"/>
                <w:sz w:val="20"/>
                <w:szCs w:val="20"/>
              </w:rPr>
              <w:t xml:space="preserve"> approval of</w:t>
            </w:r>
            <w:r w:rsidRPr="00054C6A">
              <w:rPr>
                <w:rFonts w:ascii="Arial" w:hAnsi="Arial" w:cs="Arial"/>
                <w:sz w:val="20"/>
                <w:szCs w:val="20"/>
              </w:rPr>
              <w:t xml:space="preserve"> other projects. </w:t>
            </w:r>
            <w:r w:rsidRPr="00054C6A">
              <w:rPr>
                <w:rFonts w:ascii="Arial" w:hAnsi="Arial" w:cs="Arial"/>
                <w:b/>
                <w:color w:val="F79646" w:themeColor="accent6"/>
                <w:sz w:val="20"/>
                <w:szCs w:val="20"/>
              </w:rPr>
              <w:t>x</w:t>
            </w:r>
          </w:p>
          <w:p w:rsidR="00536191" w:rsidRPr="0052328C" w:rsidRDefault="00536191" w:rsidP="00DA78A1">
            <w:pPr>
              <w:pStyle w:val="ListParagraph"/>
              <w:numPr>
                <w:ilvl w:val="0"/>
                <w:numId w:val="4"/>
              </w:numPr>
              <w:spacing w:after="0"/>
              <w:rPr>
                <w:rFonts w:ascii="Arial" w:hAnsi="Arial" w:cs="Arial"/>
                <w:sz w:val="20"/>
                <w:szCs w:val="20"/>
              </w:rPr>
            </w:pPr>
            <w:r w:rsidRPr="00051330">
              <w:rPr>
                <w:rFonts w:ascii="Arial" w:hAnsi="Arial" w:cs="Arial"/>
                <w:b/>
                <w:sz w:val="20"/>
                <w:szCs w:val="20"/>
              </w:rPr>
              <w:t>See commen</w:t>
            </w:r>
            <w:r>
              <w:rPr>
                <w:rFonts w:ascii="Arial" w:hAnsi="Arial" w:cs="Arial"/>
                <w:b/>
                <w:sz w:val="20"/>
                <w:szCs w:val="20"/>
              </w:rPr>
              <w:t xml:space="preserve">ts </w:t>
            </w:r>
            <w:r w:rsidR="00563AC1">
              <w:rPr>
                <w:rFonts w:ascii="Arial" w:hAnsi="Arial" w:cs="Arial"/>
                <w:b/>
                <w:sz w:val="20"/>
                <w:szCs w:val="20"/>
              </w:rPr>
              <w:t xml:space="preserve">below </w:t>
            </w:r>
            <w:r>
              <w:rPr>
                <w:rFonts w:ascii="Arial" w:hAnsi="Arial" w:cs="Arial"/>
                <w:b/>
                <w:sz w:val="20"/>
                <w:szCs w:val="20"/>
              </w:rPr>
              <w:t>re. Planning Bill 2013.</w:t>
            </w:r>
          </w:p>
        </w:tc>
        <w:tc>
          <w:tcPr>
            <w:tcW w:w="2126" w:type="dxa"/>
          </w:tcPr>
          <w:p w:rsidR="00536191" w:rsidRDefault="00536191" w:rsidP="00DA78A1">
            <w:pPr>
              <w:pStyle w:val="ListParagraph"/>
              <w:numPr>
                <w:ilvl w:val="0"/>
                <w:numId w:val="4"/>
              </w:numPr>
              <w:spacing w:after="0"/>
              <w:rPr>
                <w:rFonts w:ascii="Arial" w:hAnsi="Arial" w:cs="Arial"/>
                <w:sz w:val="20"/>
                <w:szCs w:val="20"/>
              </w:rPr>
            </w:pPr>
            <w:r>
              <w:rPr>
                <w:rFonts w:ascii="Arial" w:hAnsi="Arial" w:cs="Arial"/>
                <w:sz w:val="20"/>
                <w:szCs w:val="20"/>
              </w:rPr>
              <w:t>A</w:t>
            </w:r>
            <w:r w:rsidRPr="00054C6A">
              <w:rPr>
                <w:rFonts w:ascii="Arial" w:hAnsi="Arial" w:cs="Arial"/>
                <w:sz w:val="20"/>
                <w:szCs w:val="20"/>
              </w:rPr>
              <w:t xml:space="preserve">ppeal approval of </w:t>
            </w:r>
            <w:r>
              <w:rPr>
                <w:rFonts w:ascii="Arial" w:hAnsi="Arial" w:cs="Arial"/>
                <w:sz w:val="20"/>
                <w:szCs w:val="20"/>
              </w:rPr>
              <w:t xml:space="preserve">allocation </w:t>
            </w:r>
            <w:r w:rsidRPr="00054C6A">
              <w:rPr>
                <w:rFonts w:ascii="Arial" w:hAnsi="Arial" w:cs="Arial"/>
                <w:sz w:val="20"/>
                <w:szCs w:val="20"/>
              </w:rPr>
              <w:t>licence (including transfer).</w:t>
            </w:r>
            <w:r>
              <w:rPr>
                <w:rStyle w:val="EndnoteReference"/>
                <w:rFonts w:ascii="Arial" w:hAnsi="Arial" w:cs="Arial"/>
                <w:sz w:val="20"/>
                <w:szCs w:val="20"/>
              </w:rPr>
              <w:endnoteReference w:id="57"/>
            </w:r>
            <w:r w:rsidRPr="00CC707B">
              <w:rPr>
                <w:rFonts w:ascii="Arial" w:hAnsi="Arial" w:cs="Arial"/>
                <w:b/>
                <w:color w:val="F79646" w:themeColor="accent6"/>
                <w:sz w:val="20"/>
                <w:szCs w:val="20"/>
              </w:rPr>
              <w:t xml:space="preserve"> x</w:t>
            </w:r>
            <w:r w:rsidRPr="00054C6A">
              <w:rPr>
                <w:rStyle w:val="EndnoteReference"/>
                <w:rFonts w:ascii="Arial" w:hAnsi="Arial" w:cs="Arial"/>
                <w:sz w:val="20"/>
                <w:szCs w:val="20"/>
              </w:rPr>
              <w:t xml:space="preserve"> </w:t>
            </w:r>
          </w:p>
          <w:p w:rsidR="00536191" w:rsidRPr="00054C6A" w:rsidRDefault="00536191" w:rsidP="00DA78A1">
            <w:pPr>
              <w:pStyle w:val="ListParagraph"/>
              <w:numPr>
                <w:ilvl w:val="0"/>
                <w:numId w:val="4"/>
              </w:numPr>
              <w:spacing w:after="0"/>
              <w:rPr>
                <w:rFonts w:ascii="Arial" w:hAnsi="Arial" w:cs="Arial"/>
                <w:sz w:val="20"/>
                <w:szCs w:val="20"/>
              </w:rPr>
            </w:pPr>
            <w:r>
              <w:rPr>
                <w:rFonts w:ascii="Arial" w:hAnsi="Arial" w:cs="Arial"/>
                <w:sz w:val="20"/>
                <w:szCs w:val="20"/>
              </w:rPr>
              <w:t>Appeal water use or water works approval.</w:t>
            </w:r>
            <w:r>
              <w:rPr>
                <w:rStyle w:val="EndnoteReference"/>
                <w:rFonts w:ascii="Arial" w:hAnsi="Arial" w:cs="Arial"/>
                <w:sz w:val="20"/>
                <w:szCs w:val="20"/>
              </w:rPr>
              <w:endnoteReference w:id="58"/>
            </w:r>
            <w:r w:rsidRPr="00CC707B">
              <w:rPr>
                <w:rFonts w:ascii="Arial" w:hAnsi="Arial" w:cs="Arial"/>
                <w:b/>
                <w:color w:val="F79646" w:themeColor="accent6"/>
                <w:sz w:val="20"/>
                <w:szCs w:val="20"/>
              </w:rPr>
              <w:t xml:space="preserve"> x</w:t>
            </w:r>
            <w:r>
              <w:rPr>
                <w:rFonts w:ascii="Arial" w:hAnsi="Arial" w:cs="Arial"/>
                <w:sz w:val="20"/>
                <w:szCs w:val="20"/>
              </w:rPr>
              <w:t xml:space="preserve">  </w:t>
            </w:r>
          </w:p>
          <w:p w:rsidR="00536191" w:rsidRPr="00054C6A" w:rsidRDefault="00536191" w:rsidP="00DA78A1">
            <w:pPr>
              <w:pStyle w:val="ListParagraph"/>
              <w:spacing w:after="0"/>
              <w:ind w:left="360"/>
              <w:rPr>
                <w:rFonts w:ascii="Arial" w:hAnsi="Arial" w:cs="Arial"/>
                <w:sz w:val="20"/>
                <w:szCs w:val="20"/>
              </w:rPr>
            </w:pPr>
          </w:p>
        </w:tc>
        <w:tc>
          <w:tcPr>
            <w:tcW w:w="1984" w:type="dxa"/>
          </w:tcPr>
          <w:p w:rsidR="00536191" w:rsidRPr="00CC707B" w:rsidRDefault="00536191" w:rsidP="00DA78A1">
            <w:pPr>
              <w:pStyle w:val="ListParagraph"/>
              <w:numPr>
                <w:ilvl w:val="0"/>
                <w:numId w:val="4"/>
              </w:numPr>
              <w:spacing w:after="0"/>
              <w:rPr>
                <w:rFonts w:ascii="Arial" w:hAnsi="Arial" w:cs="Arial"/>
                <w:sz w:val="20"/>
                <w:szCs w:val="20"/>
              </w:rPr>
            </w:pPr>
            <w:r>
              <w:rPr>
                <w:rFonts w:ascii="Arial" w:hAnsi="Arial" w:cs="Arial"/>
                <w:sz w:val="20"/>
                <w:szCs w:val="20"/>
              </w:rPr>
              <w:t>Appeal licences and approvals under the relevant legislation.</w:t>
            </w:r>
            <w:r>
              <w:rPr>
                <w:rStyle w:val="EndnoteReference"/>
                <w:rFonts w:ascii="Arial" w:hAnsi="Arial" w:cs="Arial"/>
                <w:sz w:val="20"/>
                <w:szCs w:val="20"/>
              </w:rPr>
              <w:endnoteReference w:id="59"/>
            </w:r>
            <w:r w:rsidRPr="00CC707B">
              <w:rPr>
                <w:rFonts w:ascii="Arial" w:hAnsi="Arial" w:cs="Arial"/>
                <w:b/>
                <w:color w:val="F79646" w:themeColor="accent6"/>
                <w:sz w:val="20"/>
                <w:szCs w:val="20"/>
              </w:rPr>
              <w:t xml:space="preserve"> x</w:t>
            </w:r>
          </w:p>
          <w:p w:rsidR="00536191" w:rsidRPr="00CA679D" w:rsidRDefault="00536191" w:rsidP="00DA78A1">
            <w:pPr>
              <w:pStyle w:val="ListParagraph"/>
              <w:spacing w:after="0"/>
              <w:ind w:left="360"/>
              <w:rPr>
                <w:rFonts w:ascii="Arial" w:hAnsi="Arial" w:cs="Arial"/>
                <w:color w:val="F79646" w:themeColor="accent6"/>
                <w:sz w:val="20"/>
                <w:szCs w:val="20"/>
              </w:rPr>
            </w:pPr>
          </w:p>
          <w:p w:rsidR="00536191" w:rsidRPr="00054C6A" w:rsidRDefault="00536191" w:rsidP="00DA78A1">
            <w:pPr>
              <w:pStyle w:val="ListParagraph"/>
              <w:spacing w:after="0"/>
              <w:ind w:left="360"/>
              <w:rPr>
                <w:rFonts w:ascii="Arial" w:hAnsi="Arial" w:cs="Arial"/>
                <w:sz w:val="20"/>
                <w:szCs w:val="20"/>
              </w:rPr>
            </w:pPr>
          </w:p>
        </w:tc>
        <w:tc>
          <w:tcPr>
            <w:tcW w:w="1985" w:type="dxa"/>
          </w:tcPr>
          <w:p w:rsidR="00536191" w:rsidRDefault="00536191" w:rsidP="00DA78A1">
            <w:pPr>
              <w:pStyle w:val="ListParagraph"/>
              <w:numPr>
                <w:ilvl w:val="0"/>
                <w:numId w:val="4"/>
              </w:numPr>
              <w:spacing w:after="0"/>
              <w:rPr>
                <w:rFonts w:ascii="Arial" w:hAnsi="Arial" w:cs="Arial"/>
                <w:sz w:val="20"/>
                <w:szCs w:val="20"/>
              </w:rPr>
            </w:pPr>
            <w:r>
              <w:rPr>
                <w:rFonts w:ascii="Arial" w:hAnsi="Arial" w:cs="Arial"/>
                <w:sz w:val="20"/>
                <w:szCs w:val="20"/>
              </w:rPr>
              <w:t>Appeal granting of exploration licence.</w:t>
            </w:r>
            <w:r>
              <w:rPr>
                <w:rStyle w:val="EndnoteReference"/>
                <w:rFonts w:ascii="Arial" w:hAnsi="Arial" w:cs="Arial"/>
                <w:sz w:val="20"/>
                <w:szCs w:val="20"/>
              </w:rPr>
              <w:endnoteReference w:id="60"/>
            </w:r>
            <w:r>
              <w:rPr>
                <w:rFonts w:ascii="Arial" w:hAnsi="Arial" w:cs="Arial"/>
                <w:sz w:val="20"/>
                <w:szCs w:val="20"/>
              </w:rPr>
              <w:t xml:space="preserve"> </w:t>
            </w:r>
            <w:r w:rsidRPr="00054C6A">
              <w:rPr>
                <w:rFonts w:ascii="Arial" w:hAnsi="Arial" w:cs="Arial"/>
                <w:b/>
                <w:color w:val="F79646" w:themeColor="accent6"/>
                <w:sz w:val="20"/>
                <w:szCs w:val="20"/>
              </w:rPr>
              <w:t>x</w:t>
            </w:r>
          </w:p>
          <w:p w:rsidR="00536191" w:rsidRPr="00054C6A" w:rsidRDefault="00536191" w:rsidP="00DA78A1">
            <w:pPr>
              <w:pStyle w:val="ListParagraph"/>
              <w:numPr>
                <w:ilvl w:val="0"/>
                <w:numId w:val="4"/>
              </w:numPr>
              <w:spacing w:after="0"/>
              <w:rPr>
                <w:rFonts w:ascii="Arial" w:hAnsi="Arial" w:cs="Arial"/>
                <w:sz w:val="20"/>
                <w:szCs w:val="20"/>
              </w:rPr>
            </w:pPr>
            <w:r>
              <w:rPr>
                <w:rFonts w:ascii="Arial" w:hAnsi="Arial" w:cs="Arial"/>
                <w:sz w:val="20"/>
                <w:szCs w:val="20"/>
              </w:rPr>
              <w:t>Appeal granting of production lease.</w:t>
            </w:r>
            <w:r>
              <w:rPr>
                <w:rStyle w:val="EndnoteReference"/>
                <w:rFonts w:ascii="Arial" w:hAnsi="Arial" w:cs="Arial"/>
                <w:sz w:val="20"/>
                <w:szCs w:val="20"/>
              </w:rPr>
              <w:endnoteReference w:id="61"/>
            </w:r>
            <w:r>
              <w:rPr>
                <w:rFonts w:ascii="Arial" w:hAnsi="Arial" w:cs="Arial"/>
                <w:sz w:val="20"/>
                <w:szCs w:val="20"/>
              </w:rPr>
              <w:t xml:space="preserve"> </w:t>
            </w:r>
            <w:r w:rsidRPr="00054C6A">
              <w:rPr>
                <w:rFonts w:ascii="Arial" w:hAnsi="Arial" w:cs="Arial"/>
                <w:b/>
                <w:color w:val="F79646" w:themeColor="accent6"/>
                <w:sz w:val="20"/>
                <w:szCs w:val="20"/>
              </w:rPr>
              <w:t>x</w:t>
            </w:r>
          </w:p>
        </w:tc>
      </w:tr>
      <w:tr w:rsidR="00536191" w:rsidRPr="00054C6A" w:rsidTr="0096048F">
        <w:trPr>
          <w:trHeight w:val="558"/>
        </w:trPr>
        <w:tc>
          <w:tcPr>
            <w:tcW w:w="1134" w:type="dxa"/>
          </w:tcPr>
          <w:p w:rsidR="00536191" w:rsidRPr="00054C6A" w:rsidRDefault="00536191" w:rsidP="00DA78A1">
            <w:pPr>
              <w:spacing w:after="0"/>
              <w:rPr>
                <w:rFonts w:ascii="Arial" w:hAnsi="Arial" w:cs="Arial"/>
                <w:b/>
                <w:sz w:val="20"/>
                <w:szCs w:val="20"/>
              </w:rPr>
            </w:pPr>
            <w:r w:rsidRPr="00054C6A">
              <w:rPr>
                <w:rFonts w:ascii="Arial" w:hAnsi="Arial" w:cs="Arial"/>
                <w:b/>
                <w:sz w:val="20"/>
                <w:szCs w:val="20"/>
              </w:rPr>
              <w:t>Vic</w:t>
            </w:r>
          </w:p>
        </w:tc>
        <w:tc>
          <w:tcPr>
            <w:tcW w:w="2127" w:type="dxa"/>
          </w:tcPr>
          <w:p w:rsidR="00536191" w:rsidRDefault="00536191" w:rsidP="00DA78A1">
            <w:pPr>
              <w:pStyle w:val="ListParagraph"/>
              <w:numPr>
                <w:ilvl w:val="0"/>
                <w:numId w:val="4"/>
              </w:numPr>
              <w:spacing w:after="0"/>
              <w:rPr>
                <w:rFonts w:ascii="Arial" w:hAnsi="Arial" w:cs="Arial"/>
                <w:sz w:val="20"/>
                <w:szCs w:val="20"/>
              </w:rPr>
            </w:pPr>
            <w:r>
              <w:rPr>
                <w:rFonts w:ascii="Arial" w:hAnsi="Arial" w:cs="Arial"/>
                <w:sz w:val="20"/>
                <w:szCs w:val="20"/>
              </w:rPr>
              <w:t>A</w:t>
            </w:r>
            <w:r w:rsidRPr="00054C6A">
              <w:rPr>
                <w:rFonts w:ascii="Arial" w:hAnsi="Arial" w:cs="Arial"/>
                <w:sz w:val="20"/>
                <w:szCs w:val="20"/>
              </w:rPr>
              <w:t xml:space="preserve">ppeal </w:t>
            </w:r>
            <w:r>
              <w:rPr>
                <w:rFonts w:ascii="Arial" w:hAnsi="Arial" w:cs="Arial"/>
                <w:sz w:val="20"/>
                <w:szCs w:val="20"/>
              </w:rPr>
              <w:t>approval of</w:t>
            </w:r>
            <w:r w:rsidRPr="00054C6A">
              <w:rPr>
                <w:rFonts w:ascii="Arial" w:hAnsi="Arial" w:cs="Arial"/>
                <w:sz w:val="20"/>
                <w:szCs w:val="20"/>
              </w:rPr>
              <w:t xml:space="preserve"> major projects</w:t>
            </w:r>
            <w:r>
              <w:rPr>
                <w:rFonts w:ascii="Arial" w:hAnsi="Arial" w:cs="Arial"/>
                <w:sz w:val="20"/>
                <w:szCs w:val="20"/>
              </w:rPr>
              <w:t xml:space="preserve"> called</w:t>
            </w:r>
            <w:r w:rsidR="00D5004F">
              <w:rPr>
                <w:rFonts w:ascii="Arial" w:hAnsi="Arial" w:cs="Arial"/>
                <w:sz w:val="20"/>
                <w:szCs w:val="20"/>
              </w:rPr>
              <w:t>-</w:t>
            </w:r>
            <w:r>
              <w:rPr>
                <w:rFonts w:ascii="Arial" w:hAnsi="Arial" w:cs="Arial"/>
                <w:sz w:val="20"/>
                <w:szCs w:val="20"/>
              </w:rPr>
              <w:t>in by the Minister</w:t>
            </w:r>
            <w:r w:rsidRPr="00054C6A">
              <w:rPr>
                <w:rFonts w:ascii="Arial" w:hAnsi="Arial" w:cs="Arial"/>
                <w:sz w:val="20"/>
                <w:szCs w:val="20"/>
              </w:rPr>
              <w:t>.</w:t>
            </w:r>
            <w:r>
              <w:rPr>
                <w:rStyle w:val="EndnoteReference"/>
                <w:rFonts w:ascii="Arial" w:hAnsi="Arial" w:cs="Arial"/>
                <w:sz w:val="20"/>
                <w:szCs w:val="20"/>
              </w:rPr>
              <w:endnoteReference w:id="62"/>
            </w:r>
            <w:r w:rsidRPr="00054C6A">
              <w:rPr>
                <w:rFonts w:ascii="Arial" w:hAnsi="Arial" w:cs="Arial"/>
                <w:b/>
                <w:color w:val="F79646" w:themeColor="accent6"/>
                <w:sz w:val="20"/>
                <w:szCs w:val="20"/>
              </w:rPr>
              <w:t xml:space="preserve"> x</w:t>
            </w:r>
            <w:r>
              <w:rPr>
                <w:rFonts w:ascii="Arial" w:hAnsi="Arial" w:cs="Arial"/>
                <w:sz w:val="20"/>
                <w:szCs w:val="20"/>
              </w:rPr>
              <w:t xml:space="preserve"> </w:t>
            </w:r>
          </w:p>
          <w:p w:rsidR="00536191" w:rsidRPr="00054C6A" w:rsidRDefault="00536191" w:rsidP="00DA78A1">
            <w:pPr>
              <w:pStyle w:val="ListParagraph"/>
              <w:numPr>
                <w:ilvl w:val="0"/>
                <w:numId w:val="4"/>
              </w:numPr>
              <w:spacing w:after="0"/>
              <w:rPr>
                <w:rFonts w:ascii="Arial" w:hAnsi="Arial" w:cs="Arial"/>
                <w:sz w:val="20"/>
                <w:szCs w:val="20"/>
              </w:rPr>
            </w:pPr>
            <w:r>
              <w:rPr>
                <w:rFonts w:ascii="Arial" w:hAnsi="Arial" w:cs="Arial"/>
                <w:sz w:val="20"/>
                <w:szCs w:val="20"/>
              </w:rPr>
              <w:t>A</w:t>
            </w:r>
            <w:r w:rsidRPr="00054C6A">
              <w:rPr>
                <w:rFonts w:ascii="Arial" w:hAnsi="Arial" w:cs="Arial"/>
                <w:sz w:val="20"/>
                <w:szCs w:val="20"/>
              </w:rPr>
              <w:t xml:space="preserve">ppeal </w:t>
            </w:r>
            <w:r>
              <w:rPr>
                <w:rFonts w:ascii="Arial" w:hAnsi="Arial" w:cs="Arial"/>
                <w:sz w:val="20"/>
                <w:szCs w:val="20"/>
              </w:rPr>
              <w:t>approval of</w:t>
            </w:r>
            <w:r w:rsidRPr="00054C6A">
              <w:rPr>
                <w:rFonts w:ascii="Arial" w:hAnsi="Arial" w:cs="Arial"/>
                <w:sz w:val="20"/>
                <w:szCs w:val="20"/>
              </w:rPr>
              <w:t xml:space="preserve"> major projects</w:t>
            </w:r>
            <w:r>
              <w:rPr>
                <w:rFonts w:ascii="Arial" w:hAnsi="Arial" w:cs="Arial"/>
                <w:sz w:val="20"/>
                <w:szCs w:val="20"/>
              </w:rPr>
              <w:t xml:space="preserve"> </w:t>
            </w:r>
            <w:r w:rsidRPr="00D5004F">
              <w:rPr>
                <w:rFonts w:ascii="Arial" w:hAnsi="Arial" w:cs="Arial"/>
                <w:i/>
                <w:sz w:val="20"/>
                <w:szCs w:val="20"/>
              </w:rPr>
              <w:t>not</w:t>
            </w:r>
            <w:r>
              <w:rPr>
                <w:rFonts w:ascii="Arial" w:hAnsi="Arial" w:cs="Arial"/>
                <w:sz w:val="20"/>
                <w:szCs w:val="20"/>
              </w:rPr>
              <w:t xml:space="preserve"> called</w:t>
            </w:r>
            <w:r w:rsidR="00D5004F">
              <w:rPr>
                <w:rFonts w:ascii="Arial" w:hAnsi="Arial" w:cs="Arial"/>
                <w:sz w:val="20"/>
                <w:szCs w:val="20"/>
              </w:rPr>
              <w:t>-</w:t>
            </w:r>
            <w:r>
              <w:rPr>
                <w:rFonts w:ascii="Arial" w:hAnsi="Arial" w:cs="Arial"/>
                <w:sz w:val="20"/>
                <w:szCs w:val="20"/>
              </w:rPr>
              <w:t>in by the Minister.</w:t>
            </w:r>
            <w:r>
              <w:rPr>
                <w:rStyle w:val="EndnoteReference"/>
                <w:rFonts w:ascii="Arial" w:hAnsi="Arial" w:cs="Arial"/>
                <w:sz w:val="20"/>
                <w:szCs w:val="20"/>
              </w:rPr>
              <w:endnoteReference w:id="63"/>
            </w:r>
          </w:p>
          <w:p w:rsidR="00536191" w:rsidRPr="00EE3BE0" w:rsidRDefault="00536191" w:rsidP="00DA78A1">
            <w:pPr>
              <w:pStyle w:val="ListParagraph"/>
              <w:numPr>
                <w:ilvl w:val="0"/>
                <w:numId w:val="4"/>
              </w:numPr>
              <w:spacing w:after="0"/>
              <w:rPr>
                <w:rFonts w:ascii="Arial" w:hAnsi="Arial" w:cs="Arial"/>
                <w:sz w:val="20"/>
                <w:szCs w:val="20"/>
              </w:rPr>
            </w:pPr>
            <w:r>
              <w:rPr>
                <w:rFonts w:ascii="Arial" w:hAnsi="Arial" w:cs="Arial"/>
                <w:sz w:val="20"/>
                <w:szCs w:val="20"/>
              </w:rPr>
              <w:lastRenderedPageBreak/>
              <w:t>A</w:t>
            </w:r>
            <w:r w:rsidRPr="00054C6A">
              <w:rPr>
                <w:rFonts w:ascii="Arial" w:hAnsi="Arial" w:cs="Arial"/>
                <w:sz w:val="20"/>
                <w:szCs w:val="20"/>
              </w:rPr>
              <w:t xml:space="preserve">ppeal </w:t>
            </w:r>
            <w:r>
              <w:rPr>
                <w:rFonts w:ascii="Arial" w:hAnsi="Arial" w:cs="Arial"/>
                <w:sz w:val="20"/>
                <w:szCs w:val="20"/>
              </w:rPr>
              <w:t>approval</w:t>
            </w:r>
            <w:r w:rsidRPr="00054C6A">
              <w:rPr>
                <w:rFonts w:ascii="Arial" w:hAnsi="Arial" w:cs="Arial"/>
                <w:sz w:val="20"/>
                <w:szCs w:val="20"/>
              </w:rPr>
              <w:t xml:space="preserve"> of other projects.</w:t>
            </w:r>
            <w:r w:rsidRPr="00054C6A">
              <w:rPr>
                <w:b/>
                <w:color w:val="92D050"/>
                <w:sz w:val="20"/>
                <w:szCs w:val="20"/>
              </w:rPr>
              <w:t xml:space="preserve"> </w:t>
            </w:r>
            <w:r w:rsidRPr="00054C6A">
              <w:rPr>
                <w:b/>
                <w:color w:val="92D050"/>
                <w:sz w:val="20"/>
                <w:szCs w:val="20"/>
              </w:rPr>
              <w:sym w:font="Wingdings 2" w:char="F050"/>
            </w:r>
            <w:r w:rsidRPr="00054C6A">
              <w:rPr>
                <w:rFonts w:ascii="Arial" w:hAnsi="Arial" w:cs="Arial"/>
                <w:sz w:val="20"/>
                <w:szCs w:val="20"/>
              </w:rPr>
              <w:t xml:space="preserve"> </w:t>
            </w:r>
          </w:p>
        </w:tc>
        <w:tc>
          <w:tcPr>
            <w:tcW w:w="2126" w:type="dxa"/>
          </w:tcPr>
          <w:p w:rsidR="00536191" w:rsidRPr="00054C6A" w:rsidRDefault="00536191" w:rsidP="00DA78A1">
            <w:pPr>
              <w:pStyle w:val="ListParagraph"/>
              <w:numPr>
                <w:ilvl w:val="0"/>
                <w:numId w:val="4"/>
              </w:numPr>
              <w:spacing w:after="0"/>
              <w:rPr>
                <w:rFonts w:ascii="Arial" w:hAnsi="Arial" w:cs="Arial"/>
                <w:sz w:val="20"/>
                <w:szCs w:val="20"/>
              </w:rPr>
            </w:pPr>
            <w:r>
              <w:rPr>
                <w:rFonts w:ascii="Arial" w:hAnsi="Arial" w:cs="Arial"/>
                <w:sz w:val="20"/>
                <w:szCs w:val="20"/>
              </w:rPr>
              <w:lastRenderedPageBreak/>
              <w:t>Appeal</w:t>
            </w:r>
            <w:r w:rsidRPr="00054C6A">
              <w:rPr>
                <w:rFonts w:ascii="Arial" w:hAnsi="Arial" w:cs="Arial"/>
                <w:sz w:val="20"/>
                <w:szCs w:val="20"/>
              </w:rPr>
              <w:t xml:space="preserve"> approval of</w:t>
            </w:r>
            <w:r>
              <w:rPr>
                <w:rFonts w:ascii="Arial" w:hAnsi="Arial" w:cs="Arial"/>
                <w:sz w:val="20"/>
                <w:szCs w:val="20"/>
              </w:rPr>
              <w:t xml:space="preserve"> allocation</w:t>
            </w:r>
            <w:r w:rsidRPr="00054C6A">
              <w:rPr>
                <w:rFonts w:ascii="Arial" w:hAnsi="Arial" w:cs="Arial"/>
                <w:sz w:val="20"/>
                <w:szCs w:val="20"/>
              </w:rPr>
              <w:t xml:space="preserve"> licence (including transfer).</w:t>
            </w:r>
            <w:r>
              <w:rPr>
                <w:rStyle w:val="EndnoteReference"/>
                <w:rFonts w:ascii="Arial" w:hAnsi="Arial" w:cs="Arial"/>
                <w:sz w:val="20"/>
                <w:szCs w:val="20"/>
              </w:rPr>
              <w:endnoteReference w:id="64"/>
            </w:r>
            <w:r w:rsidRPr="00054C6A">
              <w:rPr>
                <w:b/>
                <w:color w:val="92D050"/>
                <w:sz w:val="20"/>
                <w:szCs w:val="20"/>
              </w:rPr>
              <w:t xml:space="preserve"> </w:t>
            </w:r>
            <w:r w:rsidRPr="00CC707B">
              <w:rPr>
                <w:rFonts w:ascii="Arial" w:hAnsi="Arial" w:cs="Arial"/>
                <w:b/>
                <w:color w:val="F79646" w:themeColor="accent6"/>
                <w:sz w:val="20"/>
                <w:szCs w:val="20"/>
              </w:rPr>
              <w:t>x</w:t>
            </w:r>
            <w:r>
              <w:rPr>
                <w:rFonts w:ascii="Arial" w:hAnsi="Arial" w:cs="Arial"/>
                <w:sz w:val="20"/>
                <w:szCs w:val="20"/>
              </w:rPr>
              <w:t xml:space="preserve">  </w:t>
            </w:r>
          </w:p>
          <w:p w:rsidR="00536191" w:rsidRPr="00054C6A" w:rsidRDefault="00536191" w:rsidP="00DA78A1">
            <w:pPr>
              <w:pStyle w:val="ListParagraph"/>
              <w:spacing w:after="0"/>
              <w:ind w:left="360"/>
              <w:rPr>
                <w:rFonts w:ascii="Arial" w:hAnsi="Arial" w:cs="Arial"/>
                <w:sz w:val="20"/>
                <w:szCs w:val="20"/>
              </w:rPr>
            </w:pPr>
          </w:p>
        </w:tc>
        <w:tc>
          <w:tcPr>
            <w:tcW w:w="1984" w:type="dxa"/>
          </w:tcPr>
          <w:p w:rsidR="00536191" w:rsidRPr="00D20840" w:rsidRDefault="00536191" w:rsidP="00DA78A1">
            <w:pPr>
              <w:pStyle w:val="ListParagraph"/>
              <w:numPr>
                <w:ilvl w:val="0"/>
                <w:numId w:val="4"/>
              </w:numPr>
              <w:spacing w:after="0"/>
              <w:rPr>
                <w:rFonts w:ascii="Arial" w:hAnsi="Arial" w:cs="Arial"/>
                <w:sz w:val="20"/>
                <w:szCs w:val="20"/>
              </w:rPr>
            </w:pPr>
            <w:r>
              <w:rPr>
                <w:rFonts w:ascii="Arial" w:hAnsi="Arial" w:cs="Arial"/>
                <w:sz w:val="20"/>
                <w:szCs w:val="20"/>
              </w:rPr>
              <w:t>Appeal licences and approvals under relevant legislation.</w:t>
            </w:r>
            <w:r>
              <w:rPr>
                <w:rStyle w:val="EndnoteReference"/>
                <w:rFonts w:ascii="Arial" w:hAnsi="Arial" w:cs="Arial"/>
                <w:sz w:val="20"/>
                <w:szCs w:val="20"/>
              </w:rPr>
              <w:endnoteReference w:id="65"/>
            </w:r>
            <w:r>
              <w:rPr>
                <w:rFonts w:ascii="Arial" w:hAnsi="Arial" w:cs="Arial"/>
                <w:sz w:val="20"/>
                <w:szCs w:val="20"/>
              </w:rPr>
              <w:t xml:space="preserve"> </w:t>
            </w:r>
            <w:r w:rsidRPr="00CC707B">
              <w:rPr>
                <w:rFonts w:ascii="Arial" w:hAnsi="Arial" w:cs="Arial"/>
                <w:b/>
                <w:color w:val="F79646" w:themeColor="accent6"/>
                <w:sz w:val="20"/>
                <w:szCs w:val="20"/>
              </w:rPr>
              <w:t>x</w:t>
            </w:r>
          </w:p>
        </w:tc>
        <w:tc>
          <w:tcPr>
            <w:tcW w:w="1985" w:type="dxa"/>
          </w:tcPr>
          <w:p w:rsidR="00536191" w:rsidRPr="000C2921" w:rsidRDefault="00536191" w:rsidP="00DA78A1">
            <w:pPr>
              <w:pStyle w:val="ListParagraph"/>
              <w:numPr>
                <w:ilvl w:val="0"/>
                <w:numId w:val="4"/>
              </w:numPr>
              <w:spacing w:after="0"/>
              <w:rPr>
                <w:rFonts w:ascii="Arial" w:hAnsi="Arial" w:cs="Arial"/>
                <w:sz w:val="20"/>
                <w:szCs w:val="20"/>
              </w:rPr>
            </w:pPr>
            <w:r>
              <w:rPr>
                <w:rFonts w:ascii="Arial" w:hAnsi="Arial" w:cs="Arial"/>
                <w:sz w:val="20"/>
                <w:szCs w:val="20"/>
              </w:rPr>
              <w:t xml:space="preserve">Appeal granting of exploration licence. </w:t>
            </w:r>
            <w:r w:rsidRPr="00891438">
              <w:rPr>
                <w:rFonts w:ascii="Arial" w:hAnsi="Arial" w:cs="Arial"/>
                <w:b/>
                <w:color w:val="F79646" w:themeColor="accent6"/>
                <w:sz w:val="20"/>
                <w:szCs w:val="20"/>
              </w:rPr>
              <w:t>x</w:t>
            </w:r>
          </w:p>
          <w:p w:rsidR="00536191" w:rsidRPr="00D32EFB" w:rsidRDefault="00536191" w:rsidP="00DA78A1">
            <w:pPr>
              <w:pStyle w:val="ListParagraph"/>
              <w:numPr>
                <w:ilvl w:val="0"/>
                <w:numId w:val="4"/>
              </w:numPr>
              <w:spacing w:after="0"/>
              <w:rPr>
                <w:rFonts w:ascii="Arial" w:hAnsi="Arial" w:cs="Arial"/>
                <w:sz w:val="20"/>
                <w:szCs w:val="20"/>
              </w:rPr>
            </w:pPr>
            <w:r w:rsidRPr="000C2921">
              <w:rPr>
                <w:rFonts w:ascii="Arial" w:hAnsi="Arial" w:cs="Arial"/>
                <w:sz w:val="20"/>
                <w:szCs w:val="20"/>
              </w:rPr>
              <w:t>Appeal granting of production lease.</w:t>
            </w:r>
            <w:r w:rsidR="008911CB">
              <w:rPr>
                <w:rStyle w:val="EndnoteReference"/>
                <w:rFonts w:ascii="Arial" w:hAnsi="Arial" w:cs="Arial"/>
                <w:sz w:val="20"/>
                <w:szCs w:val="20"/>
              </w:rPr>
              <w:endnoteReference w:id="66"/>
            </w:r>
            <w:r w:rsidRPr="000C2921">
              <w:rPr>
                <w:rFonts w:ascii="Arial" w:hAnsi="Arial" w:cs="Arial"/>
                <w:sz w:val="20"/>
                <w:szCs w:val="20"/>
              </w:rPr>
              <w:t xml:space="preserve"> </w:t>
            </w:r>
            <w:r w:rsidR="00D32EFB" w:rsidRPr="00891438">
              <w:rPr>
                <w:rFonts w:ascii="Arial" w:hAnsi="Arial" w:cs="Arial"/>
                <w:b/>
                <w:color w:val="F79646" w:themeColor="accent6"/>
                <w:sz w:val="20"/>
                <w:szCs w:val="20"/>
              </w:rPr>
              <w:t>x</w:t>
            </w:r>
          </w:p>
          <w:p w:rsidR="00D32EFB" w:rsidRDefault="00D32EFB" w:rsidP="00DA78A1">
            <w:pPr>
              <w:pStyle w:val="ListParagraph"/>
              <w:spacing w:after="0"/>
              <w:ind w:left="360"/>
              <w:rPr>
                <w:rFonts w:ascii="Arial" w:hAnsi="Arial" w:cs="Arial"/>
                <w:b/>
                <w:color w:val="F79646" w:themeColor="accent6"/>
                <w:sz w:val="20"/>
                <w:szCs w:val="20"/>
              </w:rPr>
            </w:pPr>
          </w:p>
          <w:p w:rsidR="00D32EFB" w:rsidRPr="00D32EFB" w:rsidRDefault="00D32EFB" w:rsidP="00DA78A1">
            <w:pPr>
              <w:spacing w:after="0"/>
              <w:rPr>
                <w:rFonts w:ascii="Arial" w:hAnsi="Arial" w:cs="Arial"/>
                <w:b/>
                <w:sz w:val="20"/>
                <w:szCs w:val="20"/>
              </w:rPr>
            </w:pPr>
          </w:p>
        </w:tc>
      </w:tr>
      <w:tr w:rsidR="00536191" w:rsidRPr="00054C6A" w:rsidTr="0096048F">
        <w:trPr>
          <w:trHeight w:val="1964"/>
        </w:trPr>
        <w:tc>
          <w:tcPr>
            <w:tcW w:w="1134" w:type="dxa"/>
          </w:tcPr>
          <w:p w:rsidR="00536191" w:rsidRPr="00292F6E" w:rsidRDefault="00536191" w:rsidP="00DA78A1">
            <w:pPr>
              <w:spacing w:after="0"/>
              <w:rPr>
                <w:rFonts w:ascii="Arial" w:hAnsi="Arial" w:cs="Arial"/>
                <w:b/>
                <w:sz w:val="20"/>
                <w:szCs w:val="20"/>
                <w:highlight w:val="yellow"/>
              </w:rPr>
            </w:pPr>
            <w:r w:rsidRPr="00D92D16">
              <w:rPr>
                <w:rFonts w:ascii="Arial" w:hAnsi="Arial" w:cs="Arial"/>
                <w:b/>
                <w:sz w:val="20"/>
                <w:szCs w:val="20"/>
              </w:rPr>
              <w:lastRenderedPageBreak/>
              <w:t>Tas</w:t>
            </w:r>
          </w:p>
        </w:tc>
        <w:tc>
          <w:tcPr>
            <w:tcW w:w="2127" w:type="dxa"/>
          </w:tcPr>
          <w:p w:rsidR="00BE719F" w:rsidRPr="00D92D16" w:rsidRDefault="00BE719F" w:rsidP="00D92D16">
            <w:pPr>
              <w:pStyle w:val="ListParagraph"/>
              <w:numPr>
                <w:ilvl w:val="0"/>
                <w:numId w:val="4"/>
              </w:numPr>
              <w:spacing w:after="0"/>
              <w:rPr>
                <w:rFonts w:ascii="Arial" w:hAnsi="Arial" w:cs="Arial"/>
                <w:sz w:val="20"/>
                <w:szCs w:val="20"/>
              </w:rPr>
            </w:pPr>
            <w:r>
              <w:rPr>
                <w:rFonts w:ascii="Arial" w:hAnsi="Arial" w:cs="Arial"/>
                <w:sz w:val="20"/>
                <w:szCs w:val="20"/>
              </w:rPr>
              <w:t>Appeal rights in respect of major projects.</w:t>
            </w:r>
            <w:r>
              <w:rPr>
                <w:b/>
                <w:color w:val="92D050"/>
                <w:sz w:val="20"/>
                <w:szCs w:val="20"/>
              </w:rPr>
              <w:t xml:space="preserve"> </w:t>
            </w:r>
            <w:r>
              <w:rPr>
                <w:rStyle w:val="EndnoteReference"/>
                <w:rFonts w:ascii="Arial" w:hAnsi="Arial" w:cs="Arial"/>
                <w:sz w:val="20"/>
                <w:szCs w:val="20"/>
              </w:rPr>
              <w:endnoteReference w:id="67"/>
            </w:r>
            <w:r>
              <w:rPr>
                <w:b/>
                <w:color w:val="92D050"/>
                <w:sz w:val="20"/>
                <w:szCs w:val="20"/>
              </w:rPr>
              <w:t xml:space="preserve"> </w:t>
            </w:r>
            <w:r>
              <w:rPr>
                <w:b/>
                <w:color w:val="92D050"/>
                <w:sz w:val="20"/>
                <w:szCs w:val="20"/>
              </w:rPr>
              <w:sym w:font="Wingdings 2" w:char="F050"/>
            </w:r>
            <w:r w:rsidRPr="00D92D16">
              <w:rPr>
                <w:b/>
                <w:sz w:val="20"/>
                <w:szCs w:val="20"/>
              </w:rPr>
              <w:t>/</w:t>
            </w:r>
            <w:r>
              <w:rPr>
                <w:rFonts w:ascii="Arial" w:hAnsi="Arial" w:cs="Arial"/>
                <w:b/>
                <w:color w:val="F79646" w:themeColor="accent6"/>
                <w:sz w:val="20"/>
                <w:szCs w:val="20"/>
              </w:rPr>
              <w:t xml:space="preserve"> x</w:t>
            </w:r>
          </w:p>
          <w:p w:rsidR="00536191" w:rsidRPr="00D92D16" w:rsidRDefault="00BE719F" w:rsidP="00D92D16">
            <w:pPr>
              <w:pStyle w:val="ListParagraph"/>
              <w:numPr>
                <w:ilvl w:val="0"/>
                <w:numId w:val="4"/>
              </w:numPr>
              <w:spacing w:after="0"/>
              <w:rPr>
                <w:rFonts w:ascii="Arial" w:hAnsi="Arial" w:cs="Arial"/>
                <w:sz w:val="20"/>
                <w:szCs w:val="20"/>
              </w:rPr>
            </w:pPr>
            <w:r w:rsidRPr="00D92D16">
              <w:rPr>
                <w:rFonts w:ascii="Arial" w:hAnsi="Arial" w:cs="Arial"/>
                <w:sz w:val="20"/>
                <w:szCs w:val="20"/>
              </w:rPr>
              <w:t>Appeal rights in respect of other projects.</w:t>
            </w:r>
            <w:r>
              <w:rPr>
                <w:rStyle w:val="EndnoteReference"/>
                <w:rFonts w:ascii="Arial" w:hAnsi="Arial" w:cs="Arial"/>
                <w:sz w:val="20"/>
                <w:szCs w:val="20"/>
              </w:rPr>
              <w:endnoteReference w:id="68"/>
            </w:r>
            <w:r w:rsidRPr="00D92D16">
              <w:rPr>
                <w:rFonts w:ascii="Arial" w:hAnsi="Arial" w:cs="Arial"/>
                <w:sz w:val="20"/>
                <w:szCs w:val="20"/>
              </w:rPr>
              <w:t xml:space="preserve"> </w:t>
            </w:r>
            <w:r>
              <w:rPr>
                <w:b/>
                <w:color w:val="92D050"/>
              </w:rPr>
              <w:sym w:font="Wingdings 2" w:char="F050"/>
            </w:r>
          </w:p>
        </w:tc>
        <w:tc>
          <w:tcPr>
            <w:tcW w:w="2126" w:type="dxa"/>
          </w:tcPr>
          <w:p w:rsidR="00536191" w:rsidRPr="00D92D16" w:rsidRDefault="00BE719F" w:rsidP="00292F6E">
            <w:pPr>
              <w:spacing w:after="0"/>
              <w:rPr>
                <w:rStyle w:val="EndnoteReference"/>
                <w:vertAlign w:val="baseline"/>
              </w:rPr>
            </w:pPr>
            <w:r w:rsidRPr="00D92D16">
              <w:rPr>
                <w:rStyle w:val="EndnoteReference"/>
                <w:rFonts w:ascii="Arial" w:hAnsi="Arial" w:cs="Arial"/>
                <w:sz w:val="20"/>
                <w:szCs w:val="20"/>
                <w:vertAlign w:val="baseline"/>
              </w:rPr>
              <w:t xml:space="preserve">See </w:t>
            </w:r>
            <w:r>
              <w:rPr>
                <w:rStyle w:val="EndnoteReference"/>
                <w:rFonts w:ascii="Arial" w:hAnsi="Arial" w:cs="Arial"/>
                <w:sz w:val="20"/>
                <w:szCs w:val="20"/>
                <w:vertAlign w:val="baseline"/>
              </w:rPr>
              <w:t xml:space="preserve">info in </w:t>
            </w:r>
            <w:r w:rsidRPr="00D92D16">
              <w:rPr>
                <w:rStyle w:val="EndnoteReference"/>
                <w:rFonts w:ascii="Arial" w:hAnsi="Arial" w:cs="Arial"/>
                <w:sz w:val="20"/>
                <w:szCs w:val="20"/>
                <w:vertAlign w:val="baseline"/>
              </w:rPr>
              <w:t>Table 1</w:t>
            </w:r>
            <w:r>
              <w:rPr>
                <w:rFonts w:ascii="Arial" w:hAnsi="Arial" w:cs="Arial"/>
                <w:sz w:val="20"/>
                <w:szCs w:val="20"/>
              </w:rPr>
              <w:t>.</w:t>
            </w:r>
          </w:p>
        </w:tc>
        <w:tc>
          <w:tcPr>
            <w:tcW w:w="1984" w:type="dxa"/>
          </w:tcPr>
          <w:p w:rsidR="00536191" w:rsidRPr="00D92D16" w:rsidRDefault="00BE719F" w:rsidP="00D92D16">
            <w:pPr>
              <w:rPr>
                <w:rStyle w:val="EndnoteReference"/>
                <w:rFonts w:ascii="Arial" w:hAnsi="Arial" w:cs="Arial"/>
                <w:sz w:val="20"/>
                <w:szCs w:val="20"/>
                <w:vertAlign w:val="baseline"/>
              </w:rPr>
            </w:pPr>
            <w:r w:rsidRPr="00D92D16">
              <w:rPr>
                <w:rStyle w:val="EndnoteReference"/>
                <w:rFonts w:ascii="Arial" w:hAnsi="Arial" w:cs="Arial"/>
                <w:sz w:val="20"/>
                <w:szCs w:val="20"/>
                <w:vertAlign w:val="baseline"/>
              </w:rPr>
              <w:t>See</w:t>
            </w:r>
            <w:r w:rsidR="00536191" w:rsidRPr="00D92D16">
              <w:rPr>
                <w:rStyle w:val="EndnoteReference"/>
                <w:rFonts w:ascii="Arial" w:hAnsi="Arial" w:cs="Arial"/>
                <w:sz w:val="20"/>
                <w:szCs w:val="20"/>
                <w:vertAlign w:val="baseline"/>
              </w:rPr>
              <w:t xml:space="preserve"> </w:t>
            </w:r>
            <w:r>
              <w:rPr>
                <w:rStyle w:val="EndnoteReference"/>
                <w:rFonts w:ascii="Arial" w:hAnsi="Arial" w:cs="Arial"/>
                <w:sz w:val="20"/>
                <w:szCs w:val="20"/>
                <w:vertAlign w:val="baseline"/>
              </w:rPr>
              <w:t xml:space="preserve">info in </w:t>
            </w:r>
            <w:r w:rsidRPr="00D92D16">
              <w:rPr>
                <w:rStyle w:val="EndnoteReference"/>
                <w:rFonts w:ascii="Arial" w:hAnsi="Arial" w:cs="Arial"/>
                <w:sz w:val="20"/>
                <w:szCs w:val="20"/>
                <w:vertAlign w:val="baseline"/>
              </w:rPr>
              <w:t>Table 1</w:t>
            </w:r>
            <w:r>
              <w:rPr>
                <w:rFonts w:ascii="Arial" w:hAnsi="Arial" w:cs="Arial"/>
                <w:sz w:val="20"/>
                <w:szCs w:val="20"/>
              </w:rPr>
              <w:t>.</w:t>
            </w:r>
          </w:p>
        </w:tc>
        <w:tc>
          <w:tcPr>
            <w:tcW w:w="1985" w:type="dxa"/>
          </w:tcPr>
          <w:p w:rsidR="00536191" w:rsidRPr="00D92D16" w:rsidRDefault="00BE719F" w:rsidP="00D92D16">
            <w:r w:rsidRPr="00D92D16">
              <w:rPr>
                <w:rFonts w:ascii="Arial" w:hAnsi="Arial" w:cs="Arial"/>
                <w:sz w:val="20"/>
                <w:szCs w:val="20"/>
              </w:rPr>
              <w:t xml:space="preserve">See </w:t>
            </w:r>
            <w:r>
              <w:rPr>
                <w:rFonts w:ascii="Arial" w:hAnsi="Arial" w:cs="Arial"/>
                <w:sz w:val="20"/>
                <w:szCs w:val="20"/>
              </w:rPr>
              <w:t xml:space="preserve">info in </w:t>
            </w:r>
            <w:r w:rsidRPr="00D92D16">
              <w:rPr>
                <w:rFonts w:ascii="Arial" w:hAnsi="Arial" w:cs="Arial"/>
                <w:sz w:val="20"/>
                <w:szCs w:val="20"/>
              </w:rPr>
              <w:t>Table 1</w:t>
            </w:r>
            <w:r>
              <w:rPr>
                <w:rFonts w:ascii="Arial" w:hAnsi="Arial" w:cs="Arial"/>
                <w:sz w:val="20"/>
                <w:szCs w:val="20"/>
              </w:rPr>
              <w:t>.</w:t>
            </w:r>
          </w:p>
        </w:tc>
      </w:tr>
      <w:tr w:rsidR="00536191" w:rsidRPr="00054C6A" w:rsidTr="0096048F">
        <w:tc>
          <w:tcPr>
            <w:tcW w:w="1134" w:type="dxa"/>
          </w:tcPr>
          <w:p w:rsidR="00536191" w:rsidRPr="00054C6A" w:rsidRDefault="00536191" w:rsidP="00DA78A1">
            <w:pPr>
              <w:spacing w:after="0"/>
              <w:rPr>
                <w:rFonts w:ascii="Arial" w:hAnsi="Arial" w:cs="Arial"/>
                <w:b/>
                <w:sz w:val="20"/>
                <w:szCs w:val="20"/>
              </w:rPr>
            </w:pPr>
            <w:r w:rsidRPr="00054C6A">
              <w:rPr>
                <w:rFonts w:ascii="Arial" w:hAnsi="Arial" w:cs="Arial"/>
                <w:b/>
                <w:sz w:val="20"/>
                <w:szCs w:val="20"/>
              </w:rPr>
              <w:t>SA</w:t>
            </w:r>
          </w:p>
        </w:tc>
        <w:tc>
          <w:tcPr>
            <w:tcW w:w="2127" w:type="dxa"/>
          </w:tcPr>
          <w:p w:rsidR="00536191" w:rsidRPr="00EE3BE0" w:rsidRDefault="00536191" w:rsidP="00DA78A1">
            <w:pPr>
              <w:pStyle w:val="ListParagraph"/>
              <w:numPr>
                <w:ilvl w:val="0"/>
                <w:numId w:val="4"/>
              </w:numPr>
              <w:spacing w:after="0"/>
              <w:rPr>
                <w:rFonts w:ascii="Arial" w:hAnsi="Arial" w:cs="Arial"/>
                <w:sz w:val="20"/>
                <w:szCs w:val="20"/>
              </w:rPr>
            </w:pPr>
            <w:r>
              <w:rPr>
                <w:rFonts w:ascii="Arial" w:hAnsi="Arial" w:cs="Arial"/>
                <w:sz w:val="20"/>
                <w:szCs w:val="20"/>
              </w:rPr>
              <w:t>Appeal Category 3 matters.</w:t>
            </w:r>
            <w:r>
              <w:rPr>
                <w:rStyle w:val="EndnoteReference"/>
                <w:rFonts w:ascii="Arial" w:hAnsi="Arial" w:cs="Arial"/>
                <w:sz w:val="20"/>
                <w:szCs w:val="20"/>
              </w:rPr>
              <w:endnoteReference w:id="69"/>
            </w:r>
            <w:r w:rsidRPr="00054C6A">
              <w:rPr>
                <w:rFonts w:ascii="Arial" w:hAnsi="Arial" w:cs="Arial"/>
                <w:sz w:val="20"/>
                <w:szCs w:val="20"/>
              </w:rPr>
              <w:t xml:space="preserve"> </w:t>
            </w:r>
            <w:r w:rsidRPr="00054C6A">
              <w:rPr>
                <w:b/>
                <w:color w:val="92D050"/>
                <w:sz w:val="20"/>
                <w:szCs w:val="20"/>
              </w:rPr>
              <w:sym w:font="Wingdings 2" w:char="F050"/>
            </w:r>
          </w:p>
          <w:p w:rsidR="00536191" w:rsidRPr="00EE3BE0" w:rsidRDefault="00536191" w:rsidP="00DA78A1">
            <w:pPr>
              <w:pStyle w:val="ListParagraph"/>
              <w:numPr>
                <w:ilvl w:val="0"/>
                <w:numId w:val="4"/>
              </w:numPr>
              <w:spacing w:after="0"/>
              <w:rPr>
                <w:rFonts w:ascii="Arial" w:hAnsi="Arial" w:cs="Arial"/>
                <w:sz w:val="20"/>
                <w:szCs w:val="20"/>
              </w:rPr>
            </w:pPr>
            <w:r>
              <w:rPr>
                <w:rFonts w:ascii="Arial" w:hAnsi="Arial" w:cs="Arial"/>
                <w:sz w:val="20"/>
                <w:szCs w:val="20"/>
              </w:rPr>
              <w:t>Appeal approval of major projects.</w:t>
            </w:r>
            <w:r w:rsidR="00210A0A">
              <w:rPr>
                <w:rStyle w:val="EndnoteReference"/>
                <w:rFonts w:ascii="Arial" w:hAnsi="Arial" w:cs="Arial"/>
                <w:sz w:val="20"/>
                <w:szCs w:val="20"/>
              </w:rPr>
              <w:endnoteReference w:id="70"/>
            </w:r>
            <w:r>
              <w:rPr>
                <w:rFonts w:ascii="Arial" w:hAnsi="Arial" w:cs="Arial"/>
                <w:b/>
                <w:color w:val="F79646" w:themeColor="accent6"/>
                <w:sz w:val="20"/>
                <w:szCs w:val="20"/>
              </w:rPr>
              <w:t xml:space="preserve"> x</w:t>
            </w:r>
          </w:p>
          <w:p w:rsidR="00536191" w:rsidRPr="00EE3BE0" w:rsidRDefault="00536191" w:rsidP="00210A0A">
            <w:pPr>
              <w:pStyle w:val="ListParagraph"/>
              <w:numPr>
                <w:ilvl w:val="0"/>
                <w:numId w:val="4"/>
              </w:numPr>
              <w:spacing w:after="0"/>
              <w:rPr>
                <w:rFonts w:ascii="Arial" w:hAnsi="Arial" w:cs="Arial"/>
                <w:sz w:val="20"/>
                <w:szCs w:val="20"/>
              </w:rPr>
            </w:pPr>
            <w:r>
              <w:rPr>
                <w:rFonts w:ascii="Arial" w:hAnsi="Arial" w:cs="Arial"/>
                <w:sz w:val="20"/>
                <w:szCs w:val="20"/>
              </w:rPr>
              <w:t>A</w:t>
            </w:r>
            <w:r w:rsidRPr="00054C6A">
              <w:rPr>
                <w:rFonts w:ascii="Arial" w:hAnsi="Arial" w:cs="Arial"/>
                <w:sz w:val="20"/>
                <w:szCs w:val="20"/>
              </w:rPr>
              <w:t>ppeal</w:t>
            </w:r>
            <w:r>
              <w:rPr>
                <w:rFonts w:ascii="Arial" w:hAnsi="Arial" w:cs="Arial"/>
                <w:sz w:val="20"/>
                <w:szCs w:val="20"/>
              </w:rPr>
              <w:t xml:space="preserve"> approval of other projects. </w:t>
            </w:r>
            <w:r>
              <w:rPr>
                <w:rFonts w:ascii="Arial" w:hAnsi="Arial" w:cs="Arial"/>
                <w:b/>
                <w:color w:val="F79646" w:themeColor="accent6"/>
                <w:sz w:val="20"/>
                <w:szCs w:val="20"/>
              </w:rPr>
              <w:t>x</w:t>
            </w:r>
          </w:p>
        </w:tc>
        <w:tc>
          <w:tcPr>
            <w:tcW w:w="2126" w:type="dxa"/>
          </w:tcPr>
          <w:p w:rsidR="00536191" w:rsidRPr="00292F6E" w:rsidRDefault="00404DB9" w:rsidP="00292F6E">
            <w:pPr>
              <w:spacing w:after="0"/>
              <w:rPr>
                <w:rFonts w:ascii="Arial" w:hAnsi="Arial" w:cs="Arial"/>
                <w:sz w:val="20"/>
                <w:szCs w:val="20"/>
              </w:rPr>
            </w:pPr>
            <w:r w:rsidRPr="00404DB9">
              <w:rPr>
                <w:rFonts w:ascii="Arial" w:hAnsi="Arial" w:cs="Arial"/>
                <w:sz w:val="20"/>
                <w:szCs w:val="20"/>
              </w:rPr>
              <w:t>Information unavailable.</w:t>
            </w:r>
          </w:p>
        </w:tc>
        <w:tc>
          <w:tcPr>
            <w:tcW w:w="1984" w:type="dxa"/>
          </w:tcPr>
          <w:p w:rsidR="00536191" w:rsidRPr="000E1AD8" w:rsidRDefault="00536191" w:rsidP="00252CCC">
            <w:pPr>
              <w:pStyle w:val="ListParagraph"/>
              <w:numPr>
                <w:ilvl w:val="0"/>
                <w:numId w:val="4"/>
              </w:numPr>
              <w:spacing w:after="0"/>
              <w:rPr>
                <w:rFonts w:ascii="Arial" w:hAnsi="Arial" w:cs="Arial"/>
                <w:sz w:val="20"/>
                <w:szCs w:val="20"/>
              </w:rPr>
            </w:pPr>
            <w:r>
              <w:rPr>
                <w:rFonts w:ascii="Arial" w:hAnsi="Arial" w:cs="Arial"/>
                <w:sz w:val="20"/>
                <w:szCs w:val="20"/>
              </w:rPr>
              <w:t>Appeal licences and approvals under the relevant legislation.</w:t>
            </w:r>
            <w:r>
              <w:rPr>
                <w:rStyle w:val="EndnoteReference"/>
                <w:rFonts w:ascii="Arial" w:hAnsi="Arial" w:cs="Arial"/>
                <w:sz w:val="20"/>
                <w:szCs w:val="20"/>
              </w:rPr>
              <w:endnoteReference w:id="71"/>
            </w:r>
            <w:r>
              <w:rPr>
                <w:rFonts w:ascii="Arial" w:hAnsi="Arial" w:cs="Arial"/>
                <w:sz w:val="20"/>
                <w:szCs w:val="20"/>
              </w:rPr>
              <w:t xml:space="preserve"> </w:t>
            </w:r>
            <w:r w:rsidRPr="00B92430">
              <w:rPr>
                <w:rFonts w:ascii="Arial" w:hAnsi="Arial" w:cs="Arial"/>
                <w:b/>
                <w:color w:val="F79646" w:themeColor="accent6"/>
                <w:sz w:val="20"/>
                <w:szCs w:val="20"/>
              </w:rPr>
              <w:t>x</w:t>
            </w:r>
          </w:p>
        </w:tc>
        <w:tc>
          <w:tcPr>
            <w:tcW w:w="1985" w:type="dxa"/>
          </w:tcPr>
          <w:p w:rsidR="00536191" w:rsidRPr="00B92430" w:rsidRDefault="00210A0A" w:rsidP="00D92D16">
            <w:r w:rsidRPr="00210A0A">
              <w:rPr>
                <w:rFonts w:ascii="Arial" w:hAnsi="Arial" w:cs="Arial"/>
                <w:sz w:val="20"/>
                <w:szCs w:val="20"/>
              </w:rPr>
              <w:t>Information unavailable</w:t>
            </w:r>
            <w:r>
              <w:rPr>
                <w:rFonts w:ascii="Arial" w:hAnsi="Arial" w:cs="Arial"/>
                <w:sz w:val="20"/>
                <w:szCs w:val="20"/>
              </w:rPr>
              <w:t>.</w:t>
            </w:r>
          </w:p>
        </w:tc>
      </w:tr>
      <w:tr w:rsidR="00536191" w:rsidRPr="00054C6A" w:rsidTr="0096048F">
        <w:trPr>
          <w:trHeight w:val="1004"/>
        </w:trPr>
        <w:tc>
          <w:tcPr>
            <w:tcW w:w="1134" w:type="dxa"/>
          </w:tcPr>
          <w:p w:rsidR="00536191" w:rsidRPr="00054C6A" w:rsidRDefault="00536191" w:rsidP="00DA78A1">
            <w:pPr>
              <w:spacing w:after="0"/>
              <w:rPr>
                <w:rFonts w:ascii="Arial" w:hAnsi="Arial" w:cs="Arial"/>
                <w:b/>
                <w:sz w:val="20"/>
                <w:szCs w:val="20"/>
              </w:rPr>
            </w:pPr>
            <w:r w:rsidRPr="00054C6A">
              <w:rPr>
                <w:rFonts w:ascii="Arial" w:hAnsi="Arial" w:cs="Arial"/>
                <w:b/>
                <w:sz w:val="20"/>
                <w:szCs w:val="20"/>
              </w:rPr>
              <w:t>WA</w:t>
            </w:r>
          </w:p>
        </w:tc>
        <w:tc>
          <w:tcPr>
            <w:tcW w:w="2127" w:type="dxa"/>
          </w:tcPr>
          <w:p w:rsidR="00891438" w:rsidRDefault="00614CED" w:rsidP="00DA78A1">
            <w:pPr>
              <w:pStyle w:val="ListParagraph"/>
              <w:numPr>
                <w:ilvl w:val="0"/>
                <w:numId w:val="4"/>
              </w:numPr>
              <w:spacing w:after="0"/>
              <w:rPr>
                <w:rFonts w:ascii="Arial" w:hAnsi="Arial" w:cs="Arial"/>
                <w:sz w:val="20"/>
                <w:szCs w:val="20"/>
              </w:rPr>
            </w:pPr>
            <w:r>
              <w:rPr>
                <w:rFonts w:ascii="Arial" w:hAnsi="Arial" w:cs="Arial"/>
                <w:sz w:val="20"/>
                <w:szCs w:val="20"/>
              </w:rPr>
              <w:t>A</w:t>
            </w:r>
            <w:r w:rsidR="003D70D4" w:rsidRPr="00891438">
              <w:rPr>
                <w:rFonts w:ascii="Arial" w:hAnsi="Arial" w:cs="Arial"/>
                <w:sz w:val="20"/>
                <w:szCs w:val="20"/>
              </w:rPr>
              <w:t xml:space="preserve">ppeal decisions </w:t>
            </w:r>
            <w:r w:rsidR="00D5004F">
              <w:rPr>
                <w:rFonts w:ascii="Arial" w:hAnsi="Arial" w:cs="Arial"/>
                <w:sz w:val="20"/>
                <w:szCs w:val="20"/>
              </w:rPr>
              <w:t>on</w:t>
            </w:r>
            <w:r w:rsidR="003D70D4" w:rsidRPr="00891438">
              <w:rPr>
                <w:rFonts w:ascii="Arial" w:hAnsi="Arial" w:cs="Arial"/>
                <w:sz w:val="20"/>
                <w:szCs w:val="20"/>
              </w:rPr>
              <w:t xml:space="preserve"> environmental assessment of</w:t>
            </w:r>
            <w:r w:rsidR="00891438">
              <w:rPr>
                <w:rFonts w:ascii="Arial" w:hAnsi="Arial" w:cs="Arial"/>
                <w:sz w:val="20"/>
                <w:szCs w:val="20"/>
              </w:rPr>
              <w:t xml:space="preserve"> ‘</w:t>
            </w:r>
            <w:r w:rsidR="003D70D4" w:rsidRPr="00891438">
              <w:rPr>
                <w:rFonts w:ascii="Arial" w:hAnsi="Arial" w:cs="Arial"/>
                <w:sz w:val="20"/>
                <w:szCs w:val="20"/>
              </w:rPr>
              <w:t>significant proposals</w:t>
            </w:r>
            <w:r w:rsidR="00891438">
              <w:rPr>
                <w:rFonts w:ascii="Arial" w:hAnsi="Arial" w:cs="Arial"/>
                <w:sz w:val="20"/>
                <w:szCs w:val="20"/>
              </w:rPr>
              <w:t>’</w:t>
            </w:r>
            <w:r w:rsidR="003D70D4" w:rsidRPr="00891438">
              <w:rPr>
                <w:rFonts w:ascii="Arial" w:hAnsi="Arial" w:cs="Arial"/>
                <w:sz w:val="20"/>
                <w:szCs w:val="20"/>
              </w:rPr>
              <w:t xml:space="preserve">. </w:t>
            </w:r>
            <w:r w:rsidR="00D5004F" w:rsidRPr="00D5004F">
              <w:rPr>
                <w:b/>
                <w:color w:val="92D050"/>
                <w:sz w:val="20"/>
                <w:szCs w:val="20"/>
              </w:rPr>
              <w:t>(</w:t>
            </w:r>
            <w:r w:rsidR="00D5004F" w:rsidRPr="00054C6A">
              <w:rPr>
                <w:b/>
                <w:color w:val="92D050"/>
                <w:sz w:val="20"/>
                <w:szCs w:val="20"/>
              </w:rPr>
              <w:sym w:font="Wingdings 2" w:char="F050"/>
            </w:r>
            <w:r w:rsidR="00D5004F">
              <w:rPr>
                <w:b/>
                <w:color w:val="92D050"/>
                <w:sz w:val="20"/>
                <w:szCs w:val="20"/>
              </w:rPr>
              <w:t>)</w:t>
            </w:r>
          </w:p>
          <w:p w:rsidR="003D70D4" w:rsidRPr="00DA78A1" w:rsidRDefault="00614CED" w:rsidP="00D92D16">
            <w:pPr>
              <w:pStyle w:val="ListParagraph"/>
              <w:numPr>
                <w:ilvl w:val="0"/>
                <w:numId w:val="4"/>
              </w:numPr>
              <w:spacing w:after="0"/>
              <w:rPr>
                <w:rFonts w:ascii="Arial" w:hAnsi="Arial" w:cs="Arial"/>
                <w:sz w:val="20"/>
                <w:szCs w:val="20"/>
              </w:rPr>
            </w:pPr>
            <w:r>
              <w:rPr>
                <w:rFonts w:ascii="Arial" w:hAnsi="Arial" w:cs="Arial"/>
                <w:sz w:val="20"/>
                <w:szCs w:val="20"/>
              </w:rPr>
              <w:t>A</w:t>
            </w:r>
            <w:r w:rsidR="003D70D4" w:rsidRPr="00891438">
              <w:rPr>
                <w:rFonts w:ascii="Arial" w:hAnsi="Arial" w:cs="Arial"/>
                <w:sz w:val="20"/>
                <w:szCs w:val="20"/>
              </w:rPr>
              <w:t>ppeal regarding planning matters generally.</w:t>
            </w:r>
            <w:r w:rsidR="00891438">
              <w:rPr>
                <w:rStyle w:val="EndnoteReference"/>
                <w:rFonts w:ascii="Arial" w:hAnsi="Arial" w:cs="Arial"/>
                <w:sz w:val="20"/>
                <w:szCs w:val="20"/>
              </w:rPr>
              <w:endnoteReference w:id="72"/>
            </w:r>
            <w:r w:rsidR="00292F6E">
              <w:rPr>
                <w:rFonts w:ascii="Arial" w:hAnsi="Arial" w:cs="Arial"/>
                <w:sz w:val="20"/>
                <w:szCs w:val="20"/>
              </w:rPr>
              <w:t xml:space="preserve"> </w:t>
            </w:r>
            <w:r w:rsidR="00292F6E">
              <w:rPr>
                <w:rFonts w:ascii="Arial" w:hAnsi="Arial" w:cs="Arial"/>
                <w:b/>
                <w:color w:val="F79646" w:themeColor="accent6"/>
                <w:sz w:val="20"/>
                <w:szCs w:val="20"/>
              </w:rPr>
              <w:t>x</w:t>
            </w:r>
          </w:p>
        </w:tc>
        <w:tc>
          <w:tcPr>
            <w:tcW w:w="2126" w:type="dxa"/>
          </w:tcPr>
          <w:p w:rsidR="00536191" w:rsidRPr="00054C6A" w:rsidRDefault="00614CED" w:rsidP="00D92D16">
            <w:pPr>
              <w:pStyle w:val="ListParagraph"/>
              <w:numPr>
                <w:ilvl w:val="0"/>
                <w:numId w:val="4"/>
              </w:numPr>
              <w:spacing w:after="0"/>
              <w:rPr>
                <w:rFonts w:ascii="Arial" w:hAnsi="Arial" w:cs="Arial"/>
                <w:sz w:val="20"/>
                <w:szCs w:val="20"/>
              </w:rPr>
            </w:pPr>
            <w:r>
              <w:rPr>
                <w:rFonts w:ascii="Arial" w:hAnsi="Arial" w:cs="Arial"/>
                <w:sz w:val="20"/>
                <w:szCs w:val="20"/>
              </w:rPr>
              <w:t>A</w:t>
            </w:r>
            <w:r w:rsidR="003D70D4" w:rsidRPr="00891438">
              <w:rPr>
                <w:rFonts w:ascii="Arial" w:hAnsi="Arial" w:cs="Arial"/>
                <w:sz w:val="20"/>
                <w:szCs w:val="20"/>
              </w:rPr>
              <w:t xml:space="preserve">ppeal </w:t>
            </w:r>
            <w:r>
              <w:rPr>
                <w:rFonts w:ascii="Arial" w:hAnsi="Arial" w:cs="Arial"/>
                <w:sz w:val="20"/>
                <w:szCs w:val="20"/>
              </w:rPr>
              <w:t>approval</w:t>
            </w:r>
            <w:r w:rsidR="003D70D4" w:rsidRPr="00891438">
              <w:rPr>
                <w:rFonts w:ascii="Arial" w:hAnsi="Arial" w:cs="Arial"/>
                <w:sz w:val="20"/>
                <w:szCs w:val="20"/>
              </w:rPr>
              <w:t xml:space="preserve"> of water licence</w:t>
            </w:r>
            <w:r w:rsidR="008A7A68" w:rsidRPr="00891438">
              <w:rPr>
                <w:rFonts w:ascii="Arial" w:hAnsi="Arial" w:cs="Arial"/>
                <w:sz w:val="20"/>
                <w:szCs w:val="20"/>
              </w:rPr>
              <w:t>.</w:t>
            </w:r>
            <w:r w:rsidR="008A7A68" w:rsidRPr="00891438">
              <w:rPr>
                <w:rStyle w:val="EndnoteReference"/>
                <w:rFonts w:ascii="Arial" w:hAnsi="Arial" w:cs="Arial"/>
                <w:b/>
                <w:sz w:val="20"/>
                <w:szCs w:val="20"/>
              </w:rPr>
              <w:endnoteReference w:id="73"/>
            </w:r>
            <w:r w:rsidR="00891438" w:rsidRPr="00891438">
              <w:rPr>
                <w:rFonts w:ascii="Arial" w:hAnsi="Arial" w:cs="Arial"/>
                <w:b/>
                <w:sz w:val="20"/>
                <w:szCs w:val="20"/>
              </w:rPr>
              <w:t xml:space="preserve"> </w:t>
            </w:r>
            <w:r w:rsidR="00891438">
              <w:rPr>
                <w:rFonts w:ascii="Arial" w:hAnsi="Arial" w:cs="Arial"/>
                <w:b/>
                <w:color w:val="F79646" w:themeColor="accent6"/>
                <w:sz w:val="20"/>
                <w:szCs w:val="20"/>
              </w:rPr>
              <w:t>x</w:t>
            </w:r>
          </w:p>
        </w:tc>
        <w:tc>
          <w:tcPr>
            <w:tcW w:w="1984" w:type="dxa"/>
          </w:tcPr>
          <w:p w:rsidR="00536191" w:rsidRPr="00DA78A1" w:rsidRDefault="00614CED" w:rsidP="00D92D16">
            <w:pPr>
              <w:pStyle w:val="ListParagraph"/>
              <w:numPr>
                <w:ilvl w:val="0"/>
                <w:numId w:val="4"/>
              </w:numPr>
              <w:spacing w:after="0"/>
              <w:rPr>
                <w:rFonts w:ascii="Arial" w:hAnsi="Arial" w:cs="Arial"/>
                <w:sz w:val="20"/>
                <w:szCs w:val="20"/>
              </w:rPr>
            </w:pPr>
            <w:r>
              <w:rPr>
                <w:rFonts w:ascii="Arial" w:hAnsi="Arial" w:cs="Arial"/>
                <w:sz w:val="20"/>
                <w:szCs w:val="20"/>
              </w:rPr>
              <w:t>A</w:t>
            </w:r>
            <w:r w:rsidR="003D70D4" w:rsidRPr="00891438">
              <w:rPr>
                <w:rFonts w:ascii="Arial" w:hAnsi="Arial" w:cs="Arial"/>
                <w:sz w:val="20"/>
                <w:szCs w:val="20"/>
              </w:rPr>
              <w:t>ppeal approval of forest management plans or conditions.</w:t>
            </w:r>
            <w:r w:rsidR="00686589" w:rsidRPr="00891438">
              <w:rPr>
                <w:rStyle w:val="EndnoteReference"/>
                <w:rFonts w:ascii="Arial" w:hAnsi="Arial" w:cs="Arial"/>
                <w:sz w:val="20"/>
                <w:szCs w:val="20"/>
              </w:rPr>
              <w:endnoteReference w:id="74"/>
            </w:r>
            <w:r w:rsidR="00891438" w:rsidRPr="00891438">
              <w:rPr>
                <w:rStyle w:val="EndnoteReference"/>
                <w:rFonts w:ascii="Arial" w:hAnsi="Arial" w:cs="Arial"/>
                <w:sz w:val="20"/>
                <w:szCs w:val="20"/>
              </w:rPr>
              <w:t xml:space="preserve"> </w:t>
            </w:r>
            <w:r w:rsidR="00536191" w:rsidRPr="00DA78A1">
              <w:rPr>
                <w:rFonts w:ascii="Arial" w:hAnsi="Arial" w:cs="Arial"/>
                <w:b/>
                <w:color w:val="F79646" w:themeColor="accent6"/>
                <w:sz w:val="20"/>
                <w:szCs w:val="20"/>
              </w:rPr>
              <w:t>x</w:t>
            </w:r>
          </w:p>
        </w:tc>
        <w:tc>
          <w:tcPr>
            <w:tcW w:w="1985" w:type="dxa"/>
          </w:tcPr>
          <w:p w:rsidR="00536191" w:rsidRPr="000C2921" w:rsidRDefault="003D70D4" w:rsidP="00292F6E">
            <w:pPr>
              <w:pStyle w:val="ListParagraph"/>
              <w:numPr>
                <w:ilvl w:val="0"/>
                <w:numId w:val="4"/>
              </w:numPr>
              <w:spacing w:after="0"/>
              <w:rPr>
                <w:rFonts w:ascii="Arial" w:hAnsi="Arial" w:cs="Arial"/>
                <w:sz w:val="20"/>
                <w:szCs w:val="20"/>
              </w:rPr>
            </w:pPr>
            <w:r w:rsidRPr="00292F6E">
              <w:rPr>
                <w:rFonts w:ascii="Arial" w:hAnsi="Arial" w:cs="Arial"/>
                <w:sz w:val="20"/>
                <w:szCs w:val="20"/>
              </w:rPr>
              <w:t>Any person aggrieved by Mining Warden’s decision may appeal to Supreme Court, which may hear matters of fact</w:t>
            </w:r>
            <w:r w:rsidR="00686589">
              <w:rPr>
                <w:rStyle w:val="EndnoteReference"/>
                <w:rFonts w:ascii="Arial" w:hAnsi="Arial" w:cs="Arial"/>
                <w:sz w:val="20"/>
                <w:szCs w:val="20"/>
              </w:rPr>
              <w:endnoteReference w:id="75"/>
            </w:r>
            <w:r w:rsidR="00292F6E" w:rsidRPr="00D5004F">
              <w:rPr>
                <w:b/>
                <w:color w:val="92D050"/>
                <w:sz w:val="20"/>
                <w:szCs w:val="20"/>
              </w:rPr>
              <w:t>(</w:t>
            </w:r>
            <w:r w:rsidR="00292F6E" w:rsidRPr="00054C6A">
              <w:rPr>
                <w:b/>
                <w:color w:val="92D050"/>
                <w:sz w:val="20"/>
                <w:szCs w:val="20"/>
              </w:rPr>
              <w:sym w:font="Wingdings 2" w:char="F050"/>
            </w:r>
            <w:r w:rsidR="00292F6E">
              <w:rPr>
                <w:b/>
                <w:color w:val="92D050"/>
                <w:sz w:val="20"/>
                <w:szCs w:val="20"/>
              </w:rPr>
              <w:t>)</w:t>
            </w:r>
          </w:p>
        </w:tc>
      </w:tr>
      <w:tr w:rsidR="00536191" w:rsidRPr="00054C6A" w:rsidTr="0096048F">
        <w:trPr>
          <w:trHeight w:val="1117"/>
        </w:trPr>
        <w:tc>
          <w:tcPr>
            <w:tcW w:w="1134" w:type="dxa"/>
          </w:tcPr>
          <w:p w:rsidR="00536191" w:rsidRPr="00054C6A" w:rsidRDefault="00536191" w:rsidP="00DA78A1">
            <w:pPr>
              <w:spacing w:after="0"/>
              <w:rPr>
                <w:rFonts w:ascii="Arial" w:hAnsi="Arial" w:cs="Arial"/>
                <w:b/>
                <w:sz w:val="20"/>
                <w:szCs w:val="20"/>
              </w:rPr>
            </w:pPr>
            <w:r w:rsidRPr="00054C6A">
              <w:rPr>
                <w:rFonts w:ascii="Arial" w:hAnsi="Arial" w:cs="Arial"/>
                <w:b/>
                <w:sz w:val="20"/>
                <w:szCs w:val="20"/>
              </w:rPr>
              <w:t>NT</w:t>
            </w:r>
          </w:p>
        </w:tc>
        <w:tc>
          <w:tcPr>
            <w:tcW w:w="2127" w:type="dxa"/>
          </w:tcPr>
          <w:p w:rsidR="00E540EE" w:rsidRPr="00E540EE" w:rsidRDefault="00E540EE" w:rsidP="00DA78A1">
            <w:pPr>
              <w:pStyle w:val="ListParagraph"/>
              <w:numPr>
                <w:ilvl w:val="0"/>
                <w:numId w:val="4"/>
              </w:numPr>
              <w:spacing w:after="0"/>
              <w:rPr>
                <w:rFonts w:ascii="Arial" w:hAnsi="Arial" w:cs="Arial"/>
                <w:sz w:val="20"/>
                <w:szCs w:val="20"/>
              </w:rPr>
            </w:pPr>
            <w:r w:rsidRPr="00E540EE">
              <w:rPr>
                <w:rFonts w:ascii="Arial" w:hAnsi="Arial" w:cs="Arial"/>
                <w:sz w:val="20"/>
                <w:szCs w:val="20"/>
              </w:rPr>
              <w:t xml:space="preserve">Appeal rights in respect of major projects. </w:t>
            </w:r>
            <w:r w:rsidR="00A36613" w:rsidRPr="00A36613">
              <w:rPr>
                <w:rFonts w:ascii="Arial" w:hAnsi="Arial" w:cs="Arial"/>
                <w:b/>
                <w:color w:val="F79646" w:themeColor="accent6"/>
                <w:sz w:val="20"/>
                <w:szCs w:val="20"/>
              </w:rPr>
              <w:t>x</w:t>
            </w:r>
          </w:p>
          <w:p w:rsidR="00536191" w:rsidRPr="000C2921" w:rsidRDefault="00E540EE" w:rsidP="00DA78A1">
            <w:pPr>
              <w:pStyle w:val="ListParagraph"/>
              <w:numPr>
                <w:ilvl w:val="0"/>
                <w:numId w:val="4"/>
              </w:numPr>
              <w:spacing w:after="0"/>
              <w:rPr>
                <w:rFonts w:ascii="Arial" w:hAnsi="Arial" w:cs="Arial"/>
                <w:sz w:val="20"/>
                <w:szCs w:val="20"/>
              </w:rPr>
            </w:pPr>
            <w:r w:rsidRPr="00E540EE">
              <w:rPr>
                <w:rFonts w:ascii="Arial" w:hAnsi="Arial" w:cs="Arial"/>
                <w:sz w:val="20"/>
                <w:szCs w:val="20"/>
              </w:rPr>
              <w:t>Appeal rights in respect of other projects.</w:t>
            </w:r>
            <w:r w:rsidR="00733776">
              <w:rPr>
                <w:rStyle w:val="EndnoteReference"/>
                <w:rFonts w:ascii="Arial" w:hAnsi="Arial" w:cs="Arial"/>
                <w:sz w:val="20"/>
                <w:szCs w:val="20"/>
              </w:rPr>
              <w:endnoteReference w:id="76"/>
            </w:r>
            <w:r w:rsidRPr="00E540EE">
              <w:rPr>
                <w:rFonts w:ascii="Arial" w:hAnsi="Arial" w:cs="Arial"/>
                <w:sz w:val="20"/>
                <w:szCs w:val="20"/>
              </w:rPr>
              <w:t xml:space="preserve"> </w:t>
            </w:r>
            <w:r w:rsidR="00733776" w:rsidRPr="00054C6A">
              <w:rPr>
                <w:b/>
                <w:color w:val="92D050"/>
                <w:sz w:val="20"/>
                <w:szCs w:val="20"/>
              </w:rPr>
              <w:sym w:font="Wingdings 2" w:char="F050"/>
            </w:r>
            <w:r w:rsidRPr="00E540EE">
              <w:rPr>
                <w:rFonts w:ascii="Arial" w:hAnsi="Arial" w:cs="Arial"/>
                <w:sz w:val="20"/>
                <w:szCs w:val="20"/>
              </w:rPr>
              <w:t xml:space="preserve"> </w:t>
            </w:r>
            <w:r w:rsidR="00536191" w:rsidRPr="00054C6A">
              <w:rPr>
                <w:rFonts w:ascii="Arial" w:hAnsi="Arial" w:cs="Arial"/>
                <w:sz w:val="20"/>
                <w:szCs w:val="20"/>
              </w:rPr>
              <w:t xml:space="preserve"> </w:t>
            </w:r>
          </w:p>
        </w:tc>
        <w:tc>
          <w:tcPr>
            <w:tcW w:w="2126" w:type="dxa"/>
          </w:tcPr>
          <w:p w:rsidR="00536191" w:rsidRPr="00054C6A" w:rsidRDefault="00E540EE" w:rsidP="00733776">
            <w:pPr>
              <w:pStyle w:val="ListParagraph"/>
              <w:numPr>
                <w:ilvl w:val="0"/>
                <w:numId w:val="4"/>
              </w:numPr>
              <w:spacing w:after="0"/>
              <w:rPr>
                <w:rFonts w:ascii="Arial" w:hAnsi="Arial" w:cs="Arial"/>
                <w:sz w:val="20"/>
                <w:szCs w:val="20"/>
              </w:rPr>
            </w:pPr>
            <w:r w:rsidRPr="00A36613">
              <w:rPr>
                <w:rFonts w:ascii="Arial" w:hAnsi="Arial" w:cs="Arial"/>
                <w:sz w:val="20"/>
                <w:szCs w:val="20"/>
              </w:rPr>
              <w:t>Appeal rights in respect of approval of licence (including transfer).</w:t>
            </w:r>
            <w:r w:rsidR="0044577A" w:rsidRPr="00A36613">
              <w:rPr>
                <w:rStyle w:val="EndnoteReference"/>
                <w:rFonts w:ascii="Arial" w:hAnsi="Arial" w:cs="Arial"/>
                <w:sz w:val="20"/>
                <w:szCs w:val="20"/>
              </w:rPr>
              <w:endnoteReference w:id="77"/>
            </w:r>
            <w:r w:rsidR="00A36613" w:rsidRPr="00A36613">
              <w:rPr>
                <w:rFonts w:ascii="Arial" w:hAnsi="Arial" w:cs="Arial"/>
                <w:sz w:val="20"/>
                <w:szCs w:val="20"/>
              </w:rPr>
              <w:t xml:space="preserve"> </w:t>
            </w:r>
            <w:r w:rsidR="00536191" w:rsidRPr="00A36613">
              <w:rPr>
                <w:rFonts w:ascii="Arial" w:hAnsi="Arial" w:cs="Arial"/>
                <w:b/>
                <w:color w:val="F79646" w:themeColor="accent6"/>
                <w:sz w:val="20"/>
                <w:szCs w:val="20"/>
              </w:rPr>
              <w:t>x</w:t>
            </w:r>
          </w:p>
        </w:tc>
        <w:tc>
          <w:tcPr>
            <w:tcW w:w="1984" w:type="dxa"/>
          </w:tcPr>
          <w:p w:rsidR="00536191" w:rsidRPr="00054C6A" w:rsidRDefault="00536191" w:rsidP="00DA78A1">
            <w:pPr>
              <w:spacing w:after="0"/>
              <w:rPr>
                <w:rFonts w:ascii="Arial" w:hAnsi="Arial" w:cs="Arial"/>
                <w:sz w:val="20"/>
                <w:szCs w:val="20"/>
              </w:rPr>
            </w:pPr>
            <w:r>
              <w:rPr>
                <w:rFonts w:ascii="Arial" w:hAnsi="Arial" w:cs="Arial"/>
                <w:sz w:val="20"/>
                <w:szCs w:val="20"/>
              </w:rPr>
              <w:t xml:space="preserve"> </w:t>
            </w:r>
            <w:r w:rsidR="00DF35DF">
              <w:rPr>
                <w:rFonts w:ascii="Arial" w:hAnsi="Arial" w:cs="Arial"/>
                <w:sz w:val="20"/>
                <w:szCs w:val="20"/>
              </w:rPr>
              <w:t>N/A</w:t>
            </w:r>
          </w:p>
        </w:tc>
        <w:tc>
          <w:tcPr>
            <w:tcW w:w="1985" w:type="dxa"/>
          </w:tcPr>
          <w:p w:rsidR="00E540EE" w:rsidRPr="00C713A1" w:rsidRDefault="00E540EE" w:rsidP="00DA78A1">
            <w:pPr>
              <w:pStyle w:val="ListParagraph"/>
              <w:numPr>
                <w:ilvl w:val="0"/>
                <w:numId w:val="4"/>
              </w:numPr>
              <w:spacing w:after="0"/>
              <w:rPr>
                <w:rFonts w:ascii="Arial" w:hAnsi="Arial" w:cs="Arial"/>
                <w:sz w:val="20"/>
                <w:szCs w:val="20"/>
              </w:rPr>
            </w:pPr>
            <w:r w:rsidRPr="00C713A1">
              <w:rPr>
                <w:rFonts w:ascii="Arial" w:hAnsi="Arial" w:cs="Arial"/>
                <w:sz w:val="20"/>
                <w:szCs w:val="20"/>
              </w:rPr>
              <w:t xml:space="preserve">Appeal exploration licence. </w:t>
            </w:r>
            <w:r w:rsidR="00A36613" w:rsidRPr="00C713A1">
              <w:rPr>
                <w:rFonts w:ascii="Arial" w:hAnsi="Arial" w:cs="Arial"/>
                <w:b/>
                <w:color w:val="F79646" w:themeColor="accent6"/>
                <w:sz w:val="20"/>
                <w:szCs w:val="20"/>
              </w:rPr>
              <w:t>x</w:t>
            </w:r>
          </w:p>
          <w:p w:rsidR="00E540EE" w:rsidRPr="00292F6E" w:rsidRDefault="00E540EE" w:rsidP="00DA78A1">
            <w:pPr>
              <w:pStyle w:val="ListParagraph"/>
              <w:numPr>
                <w:ilvl w:val="0"/>
                <w:numId w:val="4"/>
              </w:numPr>
              <w:spacing w:after="0"/>
              <w:rPr>
                <w:rFonts w:ascii="Arial" w:hAnsi="Arial" w:cs="Arial"/>
                <w:sz w:val="20"/>
                <w:szCs w:val="20"/>
              </w:rPr>
            </w:pPr>
            <w:r w:rsidRPr="00C713A1">
              <w:rPr>
                <w:rFonts w:ascii="Arial" w:hAnsi="Arial" w:cs="Arial"/>
                <w:sz w:val="20"/>
                <w:szCs w:val="20"/>
              </w:rPr>
              <w:t xml:space="preserve">Appeal production lease. </w:t>
            </w:r>
            <w:r w:rsidR="00C713A1" w:rsidRPr="00C713A1">
              <w:rPr>
                <w:rFonts w:ascii="Arial" w:hAnsi="Arial" w:cs="Arial"/>
                <w:b/>
                <w:color w:val="F79646" w:themeColor="accent6"/>
                <w:sz w:val="20"/>
                <w:szCs w:val="20"/>
              </w:rPr>
              <w:t>x</w:t>
            </w:r>
          </w:p>
          <w:p w:rsidR="00C713A1" w:rsidRPr="00C713A1" w:rsidRDefault="00C713A1" w:rsidP="00DA78A1">
            <w:pPr>
              <w:pStyle w:val="ListParagraph"/>
              <w:numPr>
                <w:ilvl w:val="0"/>
                <w:numId w:val="4"/>
              </w:numPr>
              <w:spacing w:after="0"/>
              <w:rPr>
                <w:rFonts w:ascii="Arial" w:hAnsi="Arial" w:cs="Arial"/>
                <w:sz w:val="20"/>
                <w:szCs w:val="20"/>
              </w:rPr>
            </w:pPr>
            <w:r w:rsidRPr="00C713A1">
              <w:rPr>
                <w:rFonts w:ascii="Arial" w:hAnsi="Arial" w:cs="Arial"/>
                <w:sz w:val="20"/>
                <w:szCs w:val="20"/>
              </w:rPr>
              <w:t>Objection to prescribed petroleum act (native title).</w:t>
            </w:r>
            <w:r w:rsidRPr="00C713A1">
              <w:rPr>
                <w:rStyle w:val="EndnoteReference"/>
                <w:rFonts w:ascii="Arial" w:hAnsi="Arial" w:cs="Arial"/>
                <w:sz w:val="20"/>
                <w:szCs w:val="20"/>
              </w:rPr>
              <w:endnoteReference w:id="78"/>
            </w:r>
            <w:r w:rsidRPr="00C713A1">
              <w:rPr>
                <w:rFonts w:ascii="Arial" w:hAnsi="Arial" w:cs="Arial"/>
                <w:b/>
                <w:color w:val="92D050"/>
                <w:sz w:val="20"/>
                <w:szCs w:val="20"/>
              </w:rPr>
              <w:sym w:font="Wingdings 2" w:char="F050"/>
            </w:r>
          </w:p>
          <w:p w:rsidR="00536191" w:rsidRPr="00C713A1" w:rsidRDefault="00536191" w:rsidP="00DA78A1">
            <w:pPr>
              <w:rPr>
                <w:rFonts w:ascii="Arial" w:hAnsi="Arial" w:cs="Arial"/>
                <w:sz w:val="20"/>
                <w:szCs w:val="20"/>
              </w:rPr>
            </w:pPr>
          </w:p>
        </w:tc>
      </w:tr>
      <w:tr w:rsidR="00536191" w:rsidRPr="00054C6A" w:rsidTr="0096048F">
        <w:trPr>
          <w:trHeight w:val="1143"/>
        </w:trPr>
        <w:tc>
          <w:tcPr>
            <w:tcW w:w="1134" w:type="dxa"/>
          </w:tcPr>
          <w:p w:rsidR="00536191" w:rsidRPr="00054C6A" w:rsidRDefault="00536191" w:rsidP="00DA78A1">
            <w:pPr>
              <w:spacing w:after="0"/>
              <w:rPr>
                <w:rFonts w:ascii="Arial" w:hAnsi="Arial" w:cs="Arial"/>
                <w:b/>
                <w:sz w:val="20"/>
                <w:szCs w:val="20"/>
              </w:rPr>
            </w:pPr>
            <w:r>
              <w:rPr>
                <w:rFonts w:ascii="Arial" w:hAnsi="Arial" w:cs="Arial"/>
                <w:b/>
                <w:sz w:val="20"/>
                <w:szCs w:val="20"/>
              </w:rPr>
              <w:t>QLD</w:t>
            </w:r>
          </w:p>
        </w:tc>
        <w:tc>
          <w:tcPr>
            <w:tcW w:w="2127" w:type="dxa"/>
          </w:tcPr>
          <w:p w:rsidR="00BE1A4C" w:rsidRPr="00536191" w:rsidRDefault="00362632" w:rsidP="00DA78A1">
            <w:pPr>
              <w:pStyle w:val="ListParagraph"/>
              <w:numPr>
                <w:ilvl w:val="0"/>
                <w:numId w:val="22"/>
              </w:numPr>
              <w:spacing w:after="0"/>
              <w:rPr>
                <w:rFonts w:ascii="Arial" w:hAnsi="Arial" w:cs="Arial"/>
                <w:sz w:val="20"/>
                <w:szCs w:val="20"/>
              </w:rPr>
            </w:pPr>
            <w:r>
              <w:rPr>
                <w:rFonts w:ascii="Arial" w:hAnsi="Arial" w:cs="Arial"/>
                <w:sz w:val="20"/>
                <w:szCs w:val="20"/>
              </w:rPr>
              <w:t>A</w:t>
            </w:r>
            <w:r w:rsidR="00536191">
              <w:rPr>
                <w:rFonts w:ascii="Arial" w:hAnsi="Arial" w:cs="Arial"/>
                <w:sz w:val="20"/>
                <w:szCs w:val="20"/>
              </w:rPr>
              <w:t>ppeal rights in respect of major projects.</w:t>
            </w:r>
            <w:r w:rsidR="00BE1A4C">
              <w:rPr>
                <w:rStyle w:val="EndnoteReference"/>
                <w:rFonts w:ascii="Arial" w:hAnsi="Arial" w:cs="Arial"/>
                <w:sz w:val="20"/>
                <w:szCs w:val="20"/>
              </w:rPr>
              <w:endnoteReference w:id="79"/>
            </w:r>
            <w:r w:rsidR="00BE1A4C">
              <w:rPr>
                <w:rFonts w:ascii="Arial" w:hAnsi="Arial" w:cs="Arial"/>
                <w:b/>
                <w:color w:val="F79646" w:themeColor="accent6"/>
                <w:sz w:val="20"/>
                <w:szCs w:val="20"/>
              </w:rPr>
              <w:t xml:space="preserve"> </w:t>
            </w:r>
            <w:r>
              <w:rPr>
                <w:rFonts w:ascii="Arial" w:hAnsi="Arial" w:cs="Arial"/>
                <w:b/>
                <w:color w:val="F79646" w:themeColor="accent6"/>
                <w:sz w:val="20"/>
                <w:szCs w:val="20"/>
              </w:rPr>
              <w:t>x</w:t>
            </w:r>
          </w:p>
          <w:p w:rsidR="00BE1A4C" w:rsidRPr="00BE1A4C" w:rsidRDefault="00362632" w:rsidP="00362632">
            <w:pPr>
              <w:pStyle w:val="ListParagraph"/>
              <w:numPr>
                <w:ilvl w:val="0"/>
                <w:numId w:val="22"/>
              </w:numPr>
              <w:spacing w:after="0"/>
              <w:rPr>
                <w:rFonts w:ascii="Arial" w:hAnsi="Arial" w:cs="Arial"/>
                <w:sz w:val="20"/>
                <w:szCs w:val="20"/>
              </w:rPr>
            </w:pPr>
            <w:r>
              <w:rPr>
                <w:rFonts w:ascii="Arial" w:hAnsi="Arial" w:cs="Arial"/>
                <w:sz w:val="20"/>
                <w:szCs w:val="20"/>
              </w:rPr>
              <w:t>A</w:t>
            </w:r>
            <w:r w:rsidR="00BE1A4C" w:rsidRPr="00536191">
              <w:rPr>
                <w:rFonts w:ascii="Arial" w:hAnsi="Arial" w:cs="Arial"/>
                <w:sz w:val="20"/>
                <w:szCs w:val="20"/>
              </w:rPr>
              <w:t>ppeal rights in respect of other projects.</w:t>
            </w:r>
            <w:r w:rsidR="00BE1A4C" w:rsidRPr="00536191">
              <w:rPr>
                <w:rFonts w:ascii="Arial" w:hAnsi="Arial" w:cs="Arial"/>
                <w:b/>
                <w:color w:val="F79646" w:themeColor="accent6"/>
                <w:sz w:val="20"/>
                <w:szCs w:val="20"/>
              </w:rPr>
              <w:t xml:space="preserve"> </w:t>
            </w:r>
            <w:r w:rsidR="00BE1A4C">
              <w:rPr>
                <w:b/>
                <w:color w:val="92D050"/>
              </w:rPr>
              <w:sym w:font="Wingdings 2" w:char="F050"/>
            </w:r>
            <w:r>
              <w:rPr>
                <w:b/>
                <w:sz w:val="20"/>
                <w:szCs w:val="20"/>
              </w:rPr>
              <w:t>/</w:t>
            </w:r>
            <w:r w:rsidR="00BE1A4C" w:rsidRPr="00536191">
              <w:rPr>
                <w:rFonts w:ascii="Arial" w:hAnsi="Arial" w:cs="Arial"/>
                <w:b/>
                <w:color w:val="F79646" w:themeColor="accent6"/>
                <w:sz w:val="20"/>
                <w:szCs w:val="20"/>
              </w:rPr>
              <w:t>x</w:t>
            </w:r>
            <w:r w:rsidR="00BE1A4C" w:rsidRPr="00536191">
              <w:rPr>
                <w:rStyle w:val="EndnoteReference"/>
                <w:rFonts w:ascii="Arial" w:hAnsi="Arial" w:cs="Arial"/>
                <w:sz w:val="20"/>
                <w:szCs w:val="20"/>
              </w:rPr>
              <w:t xml:space="preserve"> </w:t>
            </w:r>
            <w:r w:rsidR="00BE1A4C">
              <w:rPr>
                <w:rStyle w:val="EndnoteReference"/>
                <w:rFonts w:ascii="Arial" w:hAnsi="Arial" w:cs="Arial"/>
                <w:sz w:val="20"/>
                <w:szCs w:val="20"/>
              </w:rPr>
              <w:endnoteReference w:id="80"/>
            </w:r>
            <w:r w:rsidR="00BE1A4C" w:rsidRPr="00536191">
              <w:rPr>
                <w:rFonts w:ascii="Arial" w:hAnsi="Arial" w:cs="Arial"/>
                <w:sz w:val="20"/>
                <w:szCs w:val="20"/>
              </w:rPr>
              <w:t xml:space="preserve"> </w:t>
            </w:r>
          </w:p>
        </w:tc>
        <w:tc>
          <w:tcPr>
            <w:tcW w:w="2126" w:type="dxa"/>
          </w:tcPr>
          <w:p w:rsidR="00BE1A4C" w:rsidRPr="00536191" w:rsidRDefault="00BE1A4C" w:rsidP="00DA78A1">
            <w:pPr>
              <w:pStyle w:val="ListParagraph"/>
              <w:numPr>
                <w:ilvl w:val="0"/>
                <w:numId w:val="23"/>
              </w:numPr>
              <w:spacing w:after="0"/>
              <w:rPr>
                <w:rFonts w:ascii="Times New Roman" w:eastAsiaTheme="minorHAnsi" w:hAnsi="Times New Roman"/>
                <w:lang w:eastAsia="en-AU"/>
              </w:rPr>
            </w:pPr>
            <w:r w:rsidRPr="00536191">
              <w:rPr>
                <w:rFonts w:ascii="Arial" w:hAnsi="Arial" w:cs="Arial"/>
                <w:sz w:val="20"/>
                <w:szCs w:val="20"/>
              </w:rPr>
              <w:t>Appeal rights in respect of approval of licence</w:t>
            </w:r>
            <w:r>
              <w:rPr>
                <w:rStyle w:val="EndnoteReference"/>
                <w:rFonts w:ascii="Arial" w:hAnsi="Arial" w:cs="Arial"/>
                <w:sz w:val="20"/>
                <w:szCs w:val="20"/>
              </w:rPr>
              <w:endnoteReference w:id="81"/>
            </w:r>
            <w:r w:rsidRPr="00536191">
              <w:rPr>
                <w:rFonts w:ascii="Arial" w:hAnsi="Arial" w:cs="Arial"/>
                <w:sz w:val="20"/>
                <w:szCs w:val="20"/>
              </w:rPr>
              <w:t xml:space="preserve"> </w:t>
            </w:r>
            <w:r>
              <w:rPr>
                <w:b/>
                <w:color w:val="92D050"/>
              </w:rPr>
              <w:sym w:font="Wingdings 2" w:char="F050"/>
            </w:r>
            <w:r w:rsidRPr="00536191">
              <w:rPr>
                <w:rFonts w:ascii="Arial" w:hAnsi="Arial" w:cs="Arial"/>
                <w:sz w:val="20"/>
                <w:szCs w:val="20"/>
              </w:rPr>
              <w:t xml:space="preserve"> (including transfer).</w:t>
            </w:r>
            <w:r w:rsidRPr="00536191">
              <w:rPr>
                <w:rFonts w:ascii="Arial" w:hAnsi="Arial" w:cs="Arial"/>
                <w:b/>
                <w:color w:val="F79646" w:themeColor="accent6"/>
                <w:sz w:val="20"/>
                <w:szCs w:val="20"/>
              </w:rPr>
              <w:t xml:space="preserve"> x</w:t>
            </w:r>
            <w:r w:rsidRPr="00536191">
              <w:rPr>
                <w:rFonts w:ascii="Times New Roman" w:eastAsiaTheme="minorHAnsi" w:hAnsi="Times New Roman"/>
                <w:lang w:eastAsia="en-AU"/>
              </w:rPr>
              <w:t xml:space="preserve"> </w:t>
            </w:r>
          </w:p>
          <w:p w:rsidR="00BE1A4C" w:rsidRDefault="00BE1A4C" w:rsidP="00DA78A1">
            <w:pPr>
              <w:pStyle w:val="ListParagraph"/>
              <w:spacing w:after="0"/>
              <w:ind w:left="360"/>
              <w:rPr>
                <w:rFonts w:ascii="Arial" w:hAnsi="Arial" w:cs="Arial"/>
                <w:b/>
                <w:color w:val="F79646" w:themeColor="accent6"/>
                <w:sz w:val="20"/>
                <w:szCs w:val="20"/>
              </w:rPr>
            </w:pPr>
          </w:p>
        </w:tc>
        <w:tc>
          <w:tcPr>
            <w:tcW w:w="1984" w:type="dxa"/>
          </w:tcPr>
          <w:p w:rsidR="00BE1A4C" w:rsidRPr="00536191" w:rsidRDefault="00BE1A4C" w:rsidP="00404DB9">
            <w:pPr>
              <w:pStyle w:val="ListParagraph"/>
              <w:numPr>
                <w:ilvl w:val="0"/>
                <w:numId w:val="23"/>
              </w:numPr>
              <w:spacing w:after="0"/>
              <w:rPr>
                <w:rFonts w:ascii="Arial" w:hAnsi="Arial" w:cs="Arial"/>
                <w:sz w:val="20"/>
                <w:szCs w:val="20"/>
              </w:rPr>
            </w:pPr>
            <w:r w:rsidRPr="00536191">
              <w:rPr>
                <w:rFonts w:ascii="Arial" w:hAnsi="Arial" w:cs="Arial"/>
                <w:sz w:val="20"/>
                <w:szCs w:val="20"/>
              </w:rPr>
              <w:t>Appeal rights in respect of native forestry</w:t>
            </w:r>
            <w:r w:rsidR="00404DB9">
              <w:rPr>
                <w:rFonts w:ascii="Arial" w:hAnsi="Arial" w:cs="Arial"/>
                <w:sz w:val="20"/>
                <w:szCs w:val="20"/>
              </w:rPr>
              <w:t xml:space="preserve"> </w:t>
            </w:r>
            <w:r w:rsidR="00404DB9">
              <w:rPr>
                <w:b/>
                <w:color w:val="92D050"/>
              </w:rPr>
              <w:sym w:font="Wingdings 2" w:char="F050"/>
            </w:r>
            <w:r w:rsidR="00404DB9">
              <w:rPr>
                <w:b/>
                <w:sz w:val="20"/>
                <w:szCs w:val="20"/>
              </w:rPr>
              <w:t xml:space="preserve">/ </w:t>
            </w:r>
            <w:r w:rsidR="00404DB9" w:rsidRPr="00536191">
              <w:rPr>
                <w:rFonts w:ascii="Arial" w:hAnsi="Arial" w:cs="Arial"/>
                <w:b/>
                <w:color w:val="F79646" w:themeColor="accent6"/>
                <w:sz w:val="20"/>
                <w:szCs w:val="20"/>
              </w:rPr>
              <w:t>x</w:t>
            </w:r>
            <w:r w:rsidR="00404DB9">
              <w:rPr>
                <w:rStyle w:val="EndnoteReference"/>
                <w:rFonts w:ascii="Arial" w:hAnsi="Arial" w:cs="Arial"/>
                <w:sz w:val="20"/>
                <w:szCs w:val="20"/>
              </w:rPr>
              <w:t xml:space="preserve"> </w:t>
            </w:r>
            <w:r w:rsidR="00404DB9">
              <w:rPr>
                <w:rStyle w:val="EndnoteReference"/>
                <w:rFonts w:ascii="Arial" w:hAnsi="Arial" w:cs="Arial"/>
                <w:sz w:val="20"/>
                <w:szCs w:val="20"/>
              </w:rPr>
              <w:endnoteReference w:id="82"/>
            </w:r>
            <w:r w:rsidRPr="00536191">
              <w:rPr>
                <w:rFonts w:ascii="Arial" w:hAnsi="Arial" w:cs="Arial"/>
                <w:sz w:val="20"/>
                <w:szCs w:val="20"/>
              </w:rPr>
              <w:t xml:space="preserve"> </w:t>
            </w:r>
          </w:p>
        </w:tc>
        <w:tc>
          <w:tcPr>
            <w:tcW w:w="1985" w:type="dxa"/>
          </w:tcPr>
          <w:p w:rsidR="00BE1A4C" w:rsidRDefault="00362632" w:rsidP="00DA78A1">
            <w:pPr>
              <w:pStyle w:val="ListParagraph"/>
              <w:numPr>
                <w:ilvl w:val="0"/>
                <w:numId w:val="23"/>
              </w:numPr>
              <w:spacing w:after="0"/>
              <w:rPr>
                <w:rFonts w:ascii="Arial" w:hAnsi="Arial" w:cs="Arial"/>
                <w:sz w:val="20"/>
                <w:szCs w:val="20"/>
              </w:rPr>
            </w:pPr>
            <w:r>
              <w:rPr>
                <w:rFonts w:ascii="Arial" w:hAnsi="Arial" w:cs="Arial"/>
                <w:sz w:val="20"/>
                <w:szCs w:val="20"/>
              </w:rPr>
              <w:t>A</w:t>
            </w:r>
            <w:r w:rsidR="00BE1A4C">
              <w:rPr>
                <w:rFonts w:ascii="Arial" w:hAnsi="Arial" w:cs="Arial"/>
                <w:sz w:val="20"/>
                <w:szCs w:val="20"/>
              </w:rPr>
              <w:t>ppeal exploration licence for minerals.</w:t>
            </w:r>
            <w:r w:rsidR="00BE1A4C">
              <w:rPr>
                <w:b/>
                <w:color w:val="92D050"/>
                <w:sz w:val="20"/>
                <w:szCs w:val="20"/>
              </w:rPr>
              <w:t xml:space="preserve"> </w:t>
            </w:r>
            <w:r w:rsidR="00BE1A4C">
              <w:rPr>
                <w:b/>
                <w:color w:val="92D050"/>
                <w:sz w:val="20"/>
                <w:szCs w:val="20"/>
              </w:rPr>
              <w:sym w:font="Wingdings 2" w:char="F050"/>
            </w:r>
            <w:r w:rsidR="00404DB9">
              <w:rPr>
                <w:b/>
                <w:sz w:val="20"/>
                <w:szCs w:val="20"/>
              </w:rPr>
              <w:t>/</w:t>
            </w:r>
            <w:r w:rsidR="00BE1A4C">
              <w:rPr>
                <w:rFonts w:ascii="Arial" w:hAnsi="Arial" w:cs="Arial"/>
                <w:b/>
                <w:color w:val="F79646" w:themeColor="accent6"/>
                <w:sz w:val="20"/>
                <w:szCs w:val="20"/>
              </w:rPr>
              <w:t>x</w:t>
            </w:r>
            <w:r w:rsidR="00BE1A4C" w:rsidRPr="00D32EFB">
              <w:rPr>
                <w:rStyle w:val="EndnoteReference"/>
                <w:rFonts w:ascii="Arial" w:hAnsi="Arial" w:cs="Arial"/>
                <w:sz w:val="20"/>
                <w:szCs w:val="20"/>
              </w:rPr>
              <w:endnoteReference w:id="83"/>
            </w:r>
          </w:p>
          <w:p w:rsidR="00BE1A4C" w:rsidRPr="00536191" w:rsidRDefault="00BE1A4C" w:rsidP="00DA78A1">
            <w:pPr>
              <w:pStyle w:val="ListParagraph"/>
              <w:numPr>
                <w:ilvl w:val="0"/>
                <w:numId w:val="23"/>
              </w:numPr>
              <w:spacing w:after="0"/>
              <w:rPr>
                <w:rFonts w:ascii="Arial" w:hAnsi="Arial" w:cs="Arial"/>
                <w:sz w:val="20"/>
                <w:szCs w:val="20"/>
              </w:rPr>
            </w:pPr>
            <w:r>
              <w:rPr>
                <w:rFonts w:ascii="Arial" w:hAnsi="Arial" w:cs="Arial"/>
                <w:sz w:val="20"/>
                <w:szCs w:val="20"/>
              </w:rPr>
              <w:t>Appeal production lease.</w:t>
            </w:r>
            <w:r>
              <w:t xml:space="preserve"> </w:t>
            </w:r>
            <w:r>
              <w:rPr>
                <w:b/>
                <w:color w:val="92D050"/>
                <w:sz w:val="20"/>
                <w:szCs w:val="20"/>
              </w:rPr>
              <w:sym w:font="Wingdings 2" w:char="F050"/>
            </w:r>
            <w:r w:rsidR="008A585A">
              <w:rPr>
                <w:b/>
                <w:sz w:val="20"/>
                <w:szCs w:val="20"/>
              </w:rPr>
              <w:t>/</w:t>
            </w:r>
            <w:r>
              <w:rPr>
                <w:rFonts w:ascii="Arial" w:hAnsi="Arial" w:cs="Arial"/>
                <w:b/>
                <w:color w:val="F79646" w:themeColor="accent6"/>
                <w:sz w:val="20"/>
                <w:szCs w:val="20"/>
              </w:rPr>
              <w:t>x</w:t>
            </w:r>
            <w:r w:rsidRPr="00D32EFB">
              <w:rPr>
                <w:rStyle w:val="EndnoteReference"/>
                <w:rFonts w:ascii="Arial" w:hAnsi="Arial" w:cs="Arial"/>
                <w:sz w:val="20"/>
                <w:szCs w:val="20"/>
              </w:rPr>
              <w:endnoteReference w:id="84"/>
            </w:r>
          </w:p>
        </w:tc>
      </w:tr>
    </w:tbl>
    <w:p w:rsidR="003C0B84" w:rsidRDefault="003C0B84" w:rsidP="009D3A05">
      <w:pPr>
        <w:autoSpaceDE w:val="0"/>
        <w:autoSpaceDN w:val="0"/>
        <w:adjustRightInd w:val="0"/>
        <w:spacing w:after="0"/>
        <w:jc w:val="both"/>
        <w:rPr>
          <w:rFonts w:ascii="Arial" w:hAnsi="Arial" w:cs="Arial"/>
          <w:color w:val="000000"/>
          <w:sz w:val="22"/>
          <w:szCs w:val="22"/>
        </w:rPr>
      </w:pPr>
    </w:p>
    <w:p w:rsidR="00563AC1" w:rsidRPr="00733776" w:rsidRDefault="00563AC1" w:rsidP="00292F6E">
      <w:pPr>
        <w:pStyle w:val="ListParagraph"/>
        <w:keepNext/>
        <w:numPr>
          <w:ilvl w:val="0"/>
          <w:numId w:val="10"/>
        </w:numPr>
        <w:autoSpaceDE w:val="0"/>
        <w:autoSpaceDN w:val="0"/>
        <w:adjustRightInd w:val="0"/>
        <w:spacing w:after="0"/>
        <w:jc w:val="both"/>
        <w:rPr>
          <w:rFonts w:ascii="Arial" w:hAnsi="Arial" w:cs="Arial"/>
          <w:b/>
          <w:i/>
          <w:color w:val="000000"/>
          <w:sz w:val="22"/>
          <w:szCs w:val="22"/>
        </w:rPr>
      </w:pPr>
      <w:r w:rsidRPr="00733776">
        <w:rPr>
          <w:rFonts w:ascii="Arial" w:hAnsi="Arial" w:cs="Arial"/>
          <w:b/>
          <w:i/>
          <w:sz w:val="22"/>
          <w:szCs w:val="22"/>
        </w:rPr>
        <w:t xml:space="preserve">Additional comments - Planning Bill 2013 (NSW) </w:t>
      </w:r>
    </w:p>
    <w:p w:rsidR="00563AC1" w:rsidRDefault="00563AC1" w:rsidP="00292F6E">
      <w:pPr>
        <w:keepNext/>
        <w:spacing w:after="0"/>
        <w:jc w:val="both"/>
        <w:rPr>
          <w:rFonts w:ascii="Arial" w:hAnsi="Arial" w:cs="Arial"/>
          <w:sz w:val="22"/>
          <w:szCs w:val="22"/>
        </w:rPr>
      </w:pPr>
    </w:p>
    <w:p w:rsidR="00563AC1" w:rsidRPr="003C0B84" w:rsidRDefault="00563AC1" w:rsidP="00733776">
      <w:pPr>
        <w:keepNext/>
        <w:autoSpaceDE w:val="0"/>
        <w:autoSpaceDN w:val="0"/>
        <w:adjustRightInd w:val="0"/>
        <w:spacing w:after="0"/>
        <w:jc w:val="both"/>
        <w:rPr>
          <w:rFonts w:ascii="Arial" w:hAnsi="Arial" w:cs="Arial"/>
          <w:sz w:val="22"/>
          <w:szCs w:val="22"/>
          <w:lang w:val="en-US"/>
        </w:rPr>
      </w:pPr>
      <w:r>
        <w:rPr>
          <w:rFonts w:ascii="Arial" w:hAnsi="Arial" w:cs="Arial"/>
          <w:sz w:val="22"/>
          <w:szCs w:val="22"/>
        </w:rPr>
        <w:t xml:space="preserve">As noted above, on 22 October 2013, the NSW Government introduced its revised Planning Bills into Parliament. </w:t>
      </w:r>
      <w:r w:rsidRPr="003C0B84">
        <w:rPr>
          <w:rFonts w:ascii="Arial" w:hAnsi="Arial" w:cs="Arial"/>
          <w:b/>
          <w:sz w:val="22"/>
          <w:szCs w:val="22"/>
          <w:lang w:val="en-US"/>
        </w:rPr>
        <w:t>In relation to merit appeal rights</w:t>
      </w:r>
      <w:r w:rsidRPr="003C0B84">
        <w:rPr>
          <w:rFonts w:ascii="Arial" w:hAnsi="Arial" w:cs="Arial"/>
          <w:sz w:val="22"/>
          <w:szCs w:val="22"/>
          <w:lang w:val="en-US"/>
        </w:rPr>
        <w:t xml:space="preserve">, the new Bills retain the </w:t>
      </w:r>
      <w:r w:rsidRPr="003C0B84">
        <w:rPr>
          <w:rFonts w:ascii="Arial" w:hAnsi="Arial" w:cs="Arial"/>
          <w:i/>
          <w:sz w:val="22"/>
          <w:szCs w:val="22"/>
          <w:lang w:val="en-US"/>
        </w:rPr>
        <w:t>status quo</w:t>
      </w:r>
      <w:r w:rsidRPr="003C0B84">
        <w:rPr>
          <w:rFonts w:ascii="Arial" w:hAnsi="Arial" w:cs="Arial"/>
          <w:sz w:val="22"/>
          <w:szCs w:val="22"/>
          <w:lang w:val="en-US"/>
        </w:rPr>
        <w:t xml:space="preserve"> for third party appeal rights against development approvals. These rights remain limited to community members who made submissions </w:t>
      </w:r>
      <w:r w:rsidRPr="003C0B84">
        <w:rPr>
          <w:rFonts w:ascii="Arial" w:hAnsi="Arial" w:cs="Arial"/>
          <w:i/>
          <w:sz w:val="22"/>
          <w:szCs w:val="22"/>
          <w:lang w:val="en-US"/>
        </w:rPr>
        <w:t>objecting</w:t>
      </w:r>
      <w:r w:rsidRPr="003C0B84">
        <w:rPr>
          <w:rFonts w:ascii="Arial" w:hAnsi="Arial" w:cs="Arial"/>
          <w:sz w:val="22"/>
          <w:szCs w:val="22"/>
          <w:lang w:val="en-US"/>
        </w:rPr>
        <w:t xml:space="preserve"> to a major project that required a detailed environmental impact statement (</w:t>
      </w:r>
      <w:r>
        <w:rPr>
          <w:rFonts w:ascii="Arial" w:hAnsi="Arial" w:cs="Arial"/>
          <w:sz w:val="22"/>
          <w:szCs w:val="22"/>
          <w:lang w:val="en-US"/>
        </w:rPr>
        <w:t xml:space="preserve">called </w:t>
      </w:r>
      <w:r w:rsidRPr="003C0B84">
        <w:rPr>
          <w:rFonts w:ascii="Arial" w:hAnsi="Arial" w:cs="Arial"/>
          <w:sz w:val="22"/>
          <w:szCs w:val="22"/>
          <w:lang w:val="en-US"/>
        </w:rPr>
        <w:t xml:space="preserve">‘designated </w:t>
      </w:r>
      <w:r w:rsidRPr="003C0B84">
        <w:rPr>
          <w:rFonts w:ascii="Arial" w:hAnsi="Arial" w:cs="Arial"/>
          <w:sz w:val="22"/>
          <w:szCs w:val="22"/>
          <w:lang w:val="en-US"/>
        </w:rPr>
        <w:lastRenderedPageBreak/>
        <w:t>development’ or ‘EIS assessed development’).</w:t>
      </w:r>
      <w:r>
        <w:rPr>
          <w:rStyle w:val="EndnoteReference"/>
          <w:rFonts w:ascii="Arial" w:hAnsi="Arial" w:cs="Arial"/>
          <w:sz w:val="22"/>
          <w:szCs w:val="22"/>
          <w:lang w:val="en-US"/>
        </w:rPr>
        <w:endnoteReference w:id="85"/>
      </w:r>
      <w:r w:rsidRPr="003C0B84">
        <w:rPr>
          <w:rFonts w:ascii="Arial" w:hAnsi="Arial" w:cs="Arial"/>
          <w:sz w:val="22"/>
          <w:szCs w:val="22"/>
          <w:lang w:val="en-US"/>
        </w:rPr>
        <w:t xml:space="preserve"> By contrast, developers will continue to have court appeal rights and/or internal review rights against refusals or conditions for all but the smallest developments.</w:t>
      </w:r>
      <w:r>
        <w:rPr>
          <w:rStyle w:val="EndnoteReference"/>
          <w:rFonts w:ascii="Arial" w:hAnsi="Arial" w:cs="Arial"/>
          <w:sz w:val="22"/>
          <w:szCs w:val="22"/>
          <w:lang w:val="en-US"/>
        </w:rPr>
        <w:endnoteReference w:id="86"/>
      </w:r>
      <w:r w:rsidRPr="003C0B84">
        <w:rPr>
          <w:rFonts w:ascii="Arial" w:hAnsi="Arial" w:cs="Arial"/>
          <w:sz w:val="22"/>
          <w:szCs w:val="22"/>
          <w:lang w:val="en-US"/>
        </w:rPr>
        <w:t xml:space="preserve"> This is reflected in the fact that 98 out of every 100 appeals to the Land &amp; Environment Court are lodged by developers, not objectors.</w:t>
      </w:r>
      <w:r w:rsidRPr="003C0B84">
        <w:rPr>
          <w:rFonts w:ascii="Arial" w:hAnsi="Arial" w:cs="Arial"/>
          <w:sz w:val="22"/>
          <w:szCs w:val="22"/>
          <w:vertAlign w:val="superscript"/>
          <w:lang w:val="en-US"/>
        </w:rPr>
        <w:endnoteReference w:id="87"/>
      </w:r>
      <w:r w:rsidRPr="003C0B84">
        <w:rPr>
          <w:rFonts w:ascii="Arial" w:hAnsi="Arial" w:cs="Arial"/>
          <w:sz w:val="22"/>
          <w:szCs w:val="22"/>
          <w:lang w:val="en-US"/>
        </w:rPr>
        <w:t xml:space="preserve"> </w:t>
      </w:r>
    </w:p>
    <w:p w:rsidR="00563AC1" w:rsidRPr="003C0B84" w:rsidRDefault="00563AC1" w:rsidP="00563AC1">
      <w:pPr>
        <w:spacing w:after="0"/>
        <w:jc w:val="both"/>
        <w:rPr>
          <w:rFonts w:ascii="Arial" w:hAnsi="Arial" w:cs="Arial"/>
          <w:sz w:val="22"/>
          <w:szCs w:val="22"/>
          <w:lang w:val="en-US"/>
        </w:rPr>
      </w:pPr>
    </w:p>
    <w:p w:rsidR="00563AC1" w:rsidRDefault="00563AC1" w:rsidP="00563AC1">
      <w:pPr>
        <w:spacing w:after="0"/>
        <w:jc w:val="both"/>
        <w:rPr>
          <w:rFonts w:ascii="Arial" w:hAnsi="Arial" w:cs="Arial"/>
          <w:sz w:val="22"/>
          <w:szCs w:val="22"/>
        </w:rPr>
      </w:pPr>
      <w:r>
        <w:rPr>
          <w:rFonts w:ascii="Arial" w:hAnsi="Arial" w:cs="Arial"/>
          <w:sz w:val="22"/>
          <w:szCs w:val="22"/>
          <w:lang w:val="en-US"/>
        </w:rPr>
        <w:t>Merit a</w:t>
      </w:r>
      <w:r w:rsidRPr="003C0B84">
        <w:rPr>
          <w:rFonts w:ascii="Arial" w:hAnsi="Arial" w:cs="Arial"/>
          <w:sz w:val="22"/>
          <w:szCs w:val="22"/>
          <w:lang w:val="en-US"/>
        </w:rPr>
        <w:t>ppeal rights will continue to be limited in some circumstances. A</w:t>
      </w:r>
      <w:proofErr w:type="spellStart"/>
      <w:r w:rsidRPr="003C0B84">
        <w:rPr>
          <w:rFonts w:ascii="Arial" w:hAnsi="Arial" w:cs="Arial"/>
          <w:sz w:val="22"/>
          <w:szCs w:val="22"/>
        </w:rPr>
        <w:t xml:space="preserve">s </w:t>
      </w:r>
      <w:r>
        <w:rPr>
          <w:rFonts w:ascii="Arial" w:hAnsi="Arial" w:cs="Arial"/>
          <w:sz w:val="22"/>
          <w:szCs w:val="22"/>
        </w:rPr>
        <w:t>now</w:t>
      </w:r>
      <w:proofErr w:type="spellEnd"/>
      <w:r w:rsidRPr="003C0B84">
        <w:rPr>
          <w:rFonts w:ascii="Arial" w:hAnsi="Arial" w:cs="Arial"/>
          <w:sz w:val="22"/>
          <w:szCs w:val="22"/>
        </w:rPr>
        <w:t xml:space="preserve">, both developers’ and objectors’ court appeal rights will be removed where the </w:t>
      </w:r>
      <w:r w:rsidRPr="003C0B84">
        <w:rPr>
          <w:rFonts w:ascii="Arial" w:hAnsi="Arial" w:cs="Arial"/>
          <w:sz w:val="22"/>
          <w:szCs w:val="22"/>
          <w:lang w:val="en-US"/>
        </w:rPr>
        <w:t>NSW Planning Assessment Commission (</w:t>
      </w:r>
      <w:r w:rsidRPr="003C0B84">
        <w:rPr>
          <w:rFonts w:ascii="Arial" w:hAnsi="Arial" w:cs="Arial"/>
          <w:b/>
          <w:sz w:val="22"/>
          <w:szCs w:val="22"/>
          <w:lang w:val="en-US"/>
        </w:rPr>
        <w:t>PAC</w:t>
      </w:r>
      <w:r w:rsidRPr="003C0B84">
        <w:rPr>
          <w:rFonts w:ascii="Arial" w:hAnsi="Arial" w:cs="Arial"/>
          <w:sz w:val="22"/>
          <w:szCs w:val="22"/>
          <w:lang w:val="en-US"/>
        </w:rPr>
        <w:t xml:space="preserve">) </w:t>
      </w:r>
      <w:r w:rsidRPr="003C0B84">
        <w:rPr>
          <w:rFonts w:ascii="Arial" w:hAnsi="Arial" w:cs="Arial"/>
          <w:sz w:val="22"/>
          <w:szCs w:val="22"/>
        </w:rPr>
        <w:t>holds a formal public hearing on a development application.</w:t>
      </w:r>
      <w:r w:rsidRPr="003C0B84">
        <w:rPr>
          <w:rFonts w:ascii="Arial" w:hAnsi="Arial" w:cs="Arial"/>
          <w:sz w:val="22"/>
          <w:szCs w:val="22"/>
          <w:vertAlign w:val="superscript"/>
        </w:rPr>
        <w:endnoteReference w:id="88"/>
      </w:r>
      <w:r w:rsidRPr="003C0B84">
        <w:rPr>
          <w:rFonts w:ascii="Arial" w:hAnsi="Arial" w:cs="Arial"/>
          <w:sz w:val="22"/>
          <w:szCs w:val="22"/>
        </w:rPr>
        <w:t xml:space="preserve"> This has a disproportionate effect on objector appeal rights – because a large majority of major project decisions are </w:t>
      </w:r>
      <w:r w:rsidRPr="003C0B84">
        <w:rPr>
          <w:rFonts w:ascii="Arial" w:hAnsi="Arial" w:cs="Arial"/>
          <w:i/>
          <w:sz w:val="22"/>
          <w:szCs w:val="22"/>
        </w:rPr>
        <w:t>approvals</w:t>
      </w:r>
      <w:r w:rsidRPr="003C0B84">
        <w:rPr>
          <w:rFonts w:ascii="Arial" w:hAnsi="Arial" w:cs="Arial"/>
          <w:sz w:val="22"/>
          <w:szCs w:val="22"/>
        </w:rPr>
        <w:t>,</w:t>
      </w:r>
      <w:r w:rsidRPr="003C0B84">
        <w:rPr>
          <w:rFonts w:ascii="Arial" w:hAnsi="Arial" w:cs="Arial"/>
          <w:sz w:val="22"/>
          <w:szCs w:val="22"/>
          <w:vertAlign w:val="superscript"/>
        </w:rPr>
        <w:endnoteReference w:id="89"/>
      </w:r>
      <w:r w:rsidRPr="003C0B84">
        <w:rPr>
          <w:rFonts w:ascii="Arial" w:hAnsi="Arial" w:cs="Arial"/>
          <w:sz w:val="22"/>
          <w:szCs w:val="22"/>
        </w:rPr>
        <w:t xml:space="preserve"> and </w:t>
      </w:r>
      <w:r>
        <w:rPr>
          <w:rFonts w:ascii="Arial" w:hAnsi="Arial" w:cs="Arial"/>
          <w:sz w:val="22"/>
          <w:szCs w:val="22"/>
        </w:rPr>
        <w:t xml:space="preserve">because </w:t>
      </w:r>
      <w:r w:rsidRPr="003C0B84">
        <w:rPr>
          <w:rFonts w:ascii="Arial" w:hAnsi="Arial" w:cs="Arial"/>
          <w:sz w:val="22"/>
          <w:szCs w:val="22"/>
        </w:rPr>
        <w:t>objectors’ rights are more limited to begin with.</w:t>
      </w:r>
      <w:r>
        <w:rPr>
          <w:rFonts w:ascii="Arial" w:hAnsi="Arial" w:cs="Arial"/>
          <w:sz w:val="22"/>
          <w:szCs w:val="22"/>
        </w:rPr>
        <w:t xml:space="preserve"> </w:t>
      </w:r>
    </w:p>
    <w:p w:rsidR="00563AC1" w:rsidRDefault="00563AC1" w:rsidP="00563AC1">
      <w:pPr>
        <w:spacing w:after="0"/>
        <w:jc w:val="both"/>
        <w:rPr>
          <w:rFonts w:ascii="Arial" w:hAnsi="Arial" w:cs="Arial"/>
          <w:sz w:val="22"/>
          <w:szCs w:val="22"/>
        </w:rPr>
      </w:pPr>
    </w:p>
    <w:p w:rsidR="00563AC1" w:rsidRPr="003C0B84" w:rsidRDefault="00563AC1" w:rsidP="00563AC1">
      <w:pPr>
        <w:spacing w:after="0"/>
        <w:jc w:val="both"/>
        <w:rPr>
          <w:rFonts w:ascii="Arial" w:hAnsi="Arial" w:cs="Arial"/>
          <w:sz w:val="22"/>
          <w:szCs w:val="22"/>
          <w:lang w:val="en-US"/>
        </w:rPr>
      </w:pPr>
      <w:r w:rsidRPr="003C0B84">
        <w:rPr>
          <w:rFonts w:ascii="Arial" w:hAnsi="Arial" w:cs="Arial"/>
          <w:sz w:val="22"/>
          <w:szCs w:val="22"/>
        </w:rPr>
        <w:t xml:space="preserve">Furthermore, the </w:t>
      </w:r>
      <w:r w:rsidR="00D92E63">
        <w:rPr>
          <w:rFonts w:ascii="Arial" w:hAnsi="Arial" w:cs="Arial"/>
          <w:sz w:val="22"/>
          <w:szCs w:val="22"/>
        </w:rPr>
        <w:t xml:space="preserve">NSW Planning </w:t>
      </w:r>
      <w:r w:rsidRPr="003C0B84">
        <w:rPr>
          <w:rFonts w:ascii="Arial" w:hAnsi="Arial" w:cs="Arial"/>
          <w:sz w:val="22"/>
          <w:szCs w:val="22"/>
        </w:rPr>
        <w:t xml:space="preserve">Minister will continue to have open discretion to </w:t>
      </w:r>
      <w:r w:rsidRPr="003C0B84">
        <w:rPr>
          <w:rFonts w:ascii="Arial" w:hAnsi="Arial" w:cs="Arial"/>
          <w:i/>
          <w:sz w:val="22"/>
          <w:szCs w:val="22"/>
        </w:rPr>
        <w:t>direct</w:t>
      </w:r>
      <w:r w:rsidRPr="003C0B84">
        <w:rPr>
          <w:rFonts w:ascii="Arial" w:hAnsi="Arial" w:cs="Arial"/>
          <w:sz w:val="22"/>
          <w:szCs w:val="22"/>
        </w:rPr>
        <w:t xml:space="preserve"> the PAC to conduct a public hearing,</w:t>
      </w:r>
      <w:r>
        <w:rPr>
          <w:rStyle w:val="EndnoteReference"/>
          <w:rFonts w:ascii="Arial" w:hAnsi="Arial" w:cs="Arial"/>
          <w:sz w:val="22"/>
          <w:szCs w:val="22"/>
        </w:rPr>
        <w:endnoteReference w:id="90"/>
      </w:r>
      <w:r w:rsidRPr="003C0B84">
        <w:rPr>
          <w:rFonts w:ascii="Arial" w:hAnsi="Arial" w:cs="Arial"/>
          <w:sz w:val="22"/>
          <w:szCs w:val="22"/>
        </w:rPr>
        <w:t xml:space="preserve"> without any requirement to seek expert advice or comply with public guidelines. In effect, this means a Planning Minister has open discretion to remove merit appeal rights for any particular major project. </w:t>
      </w:r>
    </w:p>
    <w:p w:rsidR="00563AC1" w:rsidRPr="003C0B84" w:rsidRDefault="00563AC1" w:rsidP="00563AC1">
      <w:pPr>
        <w:spacing w:after="0"/>
        <w:jc w:val="both"/>
        <w:rPr>
          <w:rFonts w:ascii="Arial" w:hAnsi="Arial" w:cs="Arial"/>
          <w:sz w:val="22"/>
          <w:szCs w:val="22"/>
          <w:lang w:val="en-US"/>
        </w:rPr>
      </w:pPr>
    </w:p>
    <w:p w:rsidR="00563AC1" w:rsidRDefault="00563AC1" w:rsidP="00733776">
      <w:pPr>
        <w:keepNext/>
        <w:autoSpaceDE w:val="0"/>
        <w:autoSpaceDN w:val="0"/>
        <w:adjustRightInd w:val="0"/>
        <w:spacing w:after="0"/>
        <w:jc w:val="both"/>
        <w:rPr>
          <w:rFonts w:ascii="Arial" w:hAnsi="Arial" w:cs="Arial"/>
          <w:b/>
          <w:i/>
          <w:color w:val="000000"/>
          <w:sz w:val="22"/>
          <w:szCs w:val="22"/>
        </w:rPr>
      </w:pPr>
      <w:r w:rsidRPr="003C0B84">
        <w:rPr>
          <w:rFonts w:ascii="Arial" w:hAnsi="Arial" w:cs="Arial"/>
          <w:sz w:val="22"/>
          <w:szCs w:val="22"/>
          <w:lang w:val="en-US"/>
        </w:rPr>
        <w:t xml:space="preserve">Throughout the NSW planning review, the Independent Commission Against Corruption </w:t>
      </w:r>
      <w:r w:rsidRPr="00733776">
        <w:rPr>
          <w:rFonts w:ascii="Arial" w:hAnsi="Arial" w:cs="Arial"/>
          <w:b/>
          <w:sz w:val="22"/>
          <w:szCs w:val="22"/>
          <w:lang w:val="en-US"/>
        </w:rPr>
        <w:t>(</w:t>
      </w:r>
      <w:r w:rsidRPr="00D92E63">
        <w:rPr>
          <w:rFonts w:ascii="Arial" w:hAnsi="Arial" w:cs="Arial"/>
          <w:b/>
          <w:sz w:val="22"/>
          <w:szCs w:val="22"/>
        </w:rPr>
        <w:t>ICAC</w:t>
      </w:r>
      <w:r w:rsidRPr="00733776">
        <w:rPr>
          <w:rFonts w:ascii="Arial" w:hAnsi="Arial" w:cs="Arial"/>
          <w:b/>
          <w:sz w:val="22"/>
          <w:szCs w:val="22"/>
        </w:rPr>
        <w:t xml:space="preserve">) has suggested that </w:t>
      </w:r>
      <w:r w:rsidRPr="00D92E63">
        <w:rPr>
          <w:rFonts w:ascii="Arial" w:hAnsi="Arial" w:cs="Arial"/>
          <w:b/>
          <w:sz w:val="22"/>
          <w:szCs w:val="22"/>
        </w:rPr>
        <w:t>third party merits</w:t>
      </w:r>
      <w:r w:rsidRPr="003C0B84">
        <w:rPr>
          <w:rFonts w:ascii="Arial" w:hAnsi="Arial" w:cs="Arial"/>
          <w:b/>
          <w:sz w:val="22"/>
          <w:szCs w:val="22"/>
        </w:rPr>
        <w:t xml:space="preserve"> appeal rights should be expanded</w:t>
      </w:r>
      <w:r w:rsidRPr="003C0B84">
        <w:rPr>
          <w:rFonts w:ascii="Arial" w:hAnsi="Arial" w:cs="Arial"/>
          <w:sz w:val="22"/>
          <w:szCs w:val="22"/>
        </w:rPr>
        <w:t xml:space="preserve"> to additional categories of private development, including projects that are significant and controversial (for example, large residential flat developments).</w:t>
      </w:r>
      <w:r w:rsidRPr="003C0B84">
        <w:rPr>
          <w:rFonts w:ascii="Arial" w:hAnsi="Arial" w:cs="Arial"/>
          <w:sz w:val="22"/>
          <w:szCs w:val="22"/>
          <w:vertAlign w:val="superscript"/>
        </w:rPr>
        <w:endnoteReference w:id="91"/>
      </w:r>
      <w:r w:rsidRPr="003C0B84">
        <w:rPr>
          <w:rFonts w:ascii="Arial" w:hAnsi="Arial" w:cs="Arial"/>
          <w:sz w:val="22"/>
          <w:szCs w:val="22"/>
        </w:rPr>
        <w:t xml:space="preserve"> According to ICAC, ‘The limited availability of third party appeal rights under the [current] EP&amp;A Act means that an important check on executive government is absent.’ Furthermore, ‘The absence of third party appeals creates an opportunity for corrupt conduct to occur…’.</w:t>
      </w:r>
      <w:r w:rsidRPr="003C0B84">
        <w:rPr>
          <w:rFonts w:ascii="Arial" w:hAnsi="Arial" w:cs="Arial"/>
          <w:sz w:val="22"/>
          <w:szCs w:val="22"/>
          <w:vertAlign w:val="superscript"/>
        </w:rPr>
        <w:endnoteReference w:id="92"/>
      </w:r>
      <w:r w:rsidRPr="003C0B84">
        <w:rPr>
          <w:rFonts w:ascii="Arial" w:hAnsi="Arial" w:cs="Arial"/>
          <w:sz w:val="22"/>
          <w:szCs w:val="22"/>
        </w:rPr>
        <w:t xml:space="preserve"> EDO NSW and other groups have also </w:t>
      </w:r>
      <w:r w:rsidRPr="003C0B84">
        <w:rPr>
          <w:rFonts w:ascii="Arial" w:hAnsi="Arial" w:cs="Arial"/>
          <w:sz w:val="22"/>
          <w:szCs w:val="22"/>
          <w:lang w:val="en"/>
        </w:rPr>
        <w:t xml:space="preserve">consistently </w:t>
      </w:r>
      <w:r w:rsidRPr="003C0B84">
        <w:rPr>
          <w:rFonts w:ascii="Arial" w:hAnsi="Arial" w:cs="Arial"/>
          <w:sz w:val="22"/>
          <w:szCs w:val="22"/>
        </w:rPr>
        <w:t>supported more equitable appea</w:t>
      </w:r>
      <w:r>
        <w:rPr>
          <w:rFonts w:ascii="Arial" w:hAnsi="Arial" w:cs="Arial"/>
          <w:sz w:val="22"/>
          <w:szCs w:val="22"/>
        </w:rPr>
        <w:t>l rights for community members. However,</w:t>
      </w:r>
      <w:r w:rsidRPr="003C0B84">
        <w:rPr>
          <w:rFonts w:ascii="Arial" w:hAnsi="Arial" w:cs="Arial"/>
          <w:sz w:val="22"/>
          <w:szCs w:val="22"/>
          <w:lang w:val="en"/>
        </w:rPr>
        <w:t xml:space="preserve"> the NSW Government has rejected these recommendations.</w:t>
      </w:r>
    </w:p>
    <w:p w:rsidR="00563AC1" w:rsidRPr="00733776" w:rsidRDefault="00563AC1" w:rsidP="00733776">
      <w:pPr>
        <w:keepNext/>
        <w:autoSpaceDE w:val="0"/>
        <w:autoSpaceDN w:val="0"/>
        <w:adjustRightInd w:val="0"/>
        <w:spacing w:after="0"/>
        <w:jc w:val="both"/>
        <w:rPr>
          <w:rFonts w:ascii="Arial" w:hAnsi="Arial" w:cs="Arial"/>
          <w:b/>
          <w:i/>
          <w:color w:val="000000"/>
          <w:sz w:val="22"/>
          <w:szCs w:val="22"/>
        </w:rPr>
      </w:pPr>
    </w:p>
    <w:p w:rsidR="003C0B84" w:rsidRPr="00C26D54" w:rsidRDefault="003C0B84" w:rsidP="00DF35DF">
      <w:pPr>
        <w:pStyle w:val="ListParagraph"/>
        <w:keepNext/>
        <w:numPr>
          <w:ilvl w:val="0"/>
          <w:numId w:val="10"/>
        </w:numPr>
        <w:autoSpaceDE w:val="0"/>
        <w:autoSpaceDN w:val="0"/>
        <w:adjustRightInd w:val="0"/>
        <w:spacing w:after="0"/>
        <w:jc w:val="both"/>
        <w:rPr>
          <w:rFonts w:ascii="Arial" w:hAnsi="Arial" w:cs="Arial"/>
          <w:b/>
          <w:i/>
          <w:color w:val="000000"/>
          <w:sz w:val="22"/>
          <w:szCs w:val="22"/>
        </w:rPr>
      </w:pPr>
      <w:r w:rsidRPr="00C26D54">
        <w:rPr>
          <w:rFonts w:ascii="Arial" w:hAnsi="Arial" w:cs="Arial"/>
          <w:b/>
          <w:i/>
          <w:color w:val="000000"/>
          <w:sz w:val="22"/>
          <w:szCs w:val="22"/>
        </w:rPr>
        <w:t xml:space="preserve">Federal jurisdiction </w:t>
      </w:r>
    </w:p>
    <w:p w:rsidR="003C0B84" w:rsidRDefault="003C0B84" w:rsidP="00DF35DF">
      <w:pPr>
        <w:keepNext/>
        <w:autoSpaceDE w:val="0"/>
        <w:autoSpaceDN w:val="0"/>
        <w:adjustRightInd w:val="0"/>
        <w:spacing w:after="0"/>
        <w:jc w:val="both"/>
        <w:rPr>
          <w:rFonts w:ascii="Arial" w:hAnsi="Arial" w:cs="Arial"/>
          <w:b/>
          <w:i/>
          <w:color w:val="000000"/>
          <w:sz w:val="22"/>
          <w:szCs w:val="22"/>
        </w:rPr>
      </w:pPr>
    </w:p>
    <w:p w:rsidR="003C0B84" w:rsidRPr="0013456F" w:rsidRDefault="003C0B84" w:rsidP="00DA0465">
      <w:pPr>
        <w:spacing w:after="0"/>
        <w:jc w:val="both"/>
        <w:rPr>
          <w:rFonts w:ascii="Arial" w:hAnsi="Arial" w:cs="Arial"/>
          <w:sz w:val="22"/>
          <w:szCs w:val="22"/>
        </w:rPr>
      </w:pPr>
      <w:r>
        <w:rPr>
          <w:rFonts w:ascii="Arial" w:hAnsi="Arial" w:cs="Arial"/>
          <w:sz w:val="22"/>
          <w:szCs w:val="22"/>
        </w:rPr>
        <w:t xml:space="preserve">ANEDO notes and is concerned about the overwhelming absence of merits review rights in Federal environmental legislation, as demonstrated by </w:t>
      </w:r>
      <w:r w:rsidR="00A037A5">
        <w:rPr>
          <w:rFonts w:ascii="Arial" w:hAnsi="Arial" w:cs="Arial"/>
          <w:sz w:val="22"/>
          <w:szCs w:val="22"/>
        </w:rPr>
        <w:t>T</w:t>
      </w:r>
      <w:r>
        <w:rPr>
          <w:rFonts w:ascii="Arial" w:hAnsi="Arial" w:cs="Arial"/>
          <w:sz w:val="22"/>
          <w:szCs w:val="22"/>
        </w:rPr>
        <w:t xml:space="preserve">able 4. </w:t>
      </w:r>
    </w:p>
    <w:p w:rsidR="003C0B84" w:rsidRPr="0013456F" w:rsidRDefault="003C0B84" w:rsidP="00DA0465">
      <w:pPr>
        <w:spacing w:after="0"/>
        <w:jc w:val="both"/>
        <w:rPr>
          <w:rFonts w:ascii="Arial" w:hAnsi="Arial" w:cs="Arial"/>
          <w:sz w:val="20"/>
          <w:szCs w:val="20"/>
        </w:rPr>
      </w:pPr>
    </w:p>
    <w:p w:rsidR="003C0B84" w:rsidRPr="0013456F" w:rsidRDefault="003C0B84" w:rsidP="0013456F">
      <w:pPr>
        <w:spacing w:after="0"/>
        <w:jc w:val="both"/>
        <w:rPr>
          <w:rFonts w:ascii="Arial" w:hAnsi="Arial" w:cs="Arial"/>
          <w:b/>
          <w:sz w:val="22"/>
          <w:szCs w:val="22"/>
        </w:rPr>
      </w:pPr>
      <w:r w:rsidRPr="0013456F">
        <w:rPr>
          <w:rFonts w:ascii="Arial" w:hAnsi="Arial" w:cs="Arial"/>
          <w:b/>
          <w:sz w:val="22"/>
          <w:szCs w:val="22"/>
        </w:rPr>
        <w:t xml:space="preserve">Table 4: Third party merits review rights </w:t>
      </w:r>
    </w:p>
    <w:p w:rsidR="003C0B84" w:rsidRPr="00DA0465" w:rsidRDefault="003C0B84" w:rsidP="00F74766">
      <w:pPr>
        <w:pStyle w:val="ListParagraph"/>
        <w:spacing w:after="0"/>
        <w:ind w:left="360"/>
        <w:jc w:val="both"/>
        <w:rPr>
          <w:rFonts w:ascii="Arial" w:hAnsi="Arial" w:cs="Arial"/>
          <w:sz w:val="20"/>
          <w:szCs w:val="20"/>
        </w:rPr>
      </w:pPr>
    </w:p>
    <w:tbl>
      <w:tblPr>
        <w:tblStyle w:val="TableGrid"/>
        <w:tblW w:w="9356" w:type="dxa"/>
        <w:tblInd w:w="-459" w:type="dxa"/>
        <w:tblLook w:val="04A0" w:firstRow="1" w:lastRow="0" w:firstColumn="1" w:lastColumn="0" w:noHBand="0" w:noVBand="1"/>
      </w:tblPr>
      <w:tblGrid>
        <w:gridCol w:w="4111"/>
        <w:gridCol w:w="5245"/>
      </w:tblGrid>
      <w:tr w:rsidR="003C0B84" w:rsidRPr="00A7680C" w:rsidTr="00A037A5">
        <w:tc>
          <w:tcPr>
            <w:tcW w:w="4111" w:type="dxa"/>
          </w:tcPr>
          <w:p w:rsidR="003C0B84" w:rsidRPr="00A7680C" w:rsidRDefault="003C0B84" w:rsidP="00B75817">
            <w:pPr>
              <w:pStyle w:val="ListParagraph"/>
              <w:spacing w:after="0"/>
              <w:ind w:left="0"/>
              <w:rPr>
                <w:rFonts w:ascii="Arial" w:hAnsi="Arial" w:cs="Arial"/>
                <w:sz w:val="20"/>
                <w:szCs w:val="20"/>
              </w:rPr>
            </w:pPr>
          </w:p>
        </w:tc>
        <w:tc>
          <w:tcPr>
            <w:tcW w:w="5245" w:type="dxa"/>
          </w:tcPr>
          <w:p w:rsidR="003C0B84" w:rsidRPr="00A7680C" w:rsidRDefault="003C0B84" w:rsidP="00B75817">
            <w:pPr>
              <w:pStyle w:val="ListParagraph"/>
              <w:spacing w:after="0"/>
              <w:ind w:left="0"/>
              <w:rPr>
                <w:rFonts w:ascii="Arial" w:hAnsi="Arial" w:cs="Arial"/>
                <w:b/>
                <w:sz w:val="20"/>
                <w:szCs w:val="20"/>
              </w:rPr>
            </w:pPr>
            <w:r>
              <w:rPr>
                <w:rFonts w:ascii="Arial" w:hAnsi="Arial" w:cs="Arial"/>
                <w:b/>
                <w:sz w:val="20"/>
                <w:szCs w:val="20"/>
              </w:rPr>
              <w:t>Merits review rights</w:t>
            </w:r>
          </w:p>
        </w:tc>
      </w:tr>
      <w:tr w:rsidR="003C0B84" w:rsidRPr="00A7680C" w:rsidTr="00A037A5">
        <w:tc>
          <w:tcPr>
            <w:tcW w:w="4111" w:type="dxa"/>
          </w:tcPr>
          <w:p w:rsidR="003C0B84" w:rsidRPr="00A7680C" w:rsidRDefault="003C0B84" w:rsidP="00B75817">
            <w:pPr>
              <w:pStyle w:val="ListParagraph"/>
              <w:spacing w:after="0"/>
              <w:ind w:left="0"/>
              <w:rPr>
                <w:rFonts w:ascii="Arial" w:hAnsi="Arial" w:cs="Arial"/>
                <w:b/>
                <w:sz w:val="20"/>
                <w:szCs w:val="20"/>
              </w:rPr>
            </w:pPr>
            <w:r w:rsidRPr="00A7680C">
              <w:rPr>
                <w:rFonts w:ascii="Arial" w:hAnsi="Arial" w:cs="Arial"/>
                <w:b/>
                <w:sz w:val="20"/>
                <w:szCs w:val="20"/>
              </w:rPr>
              <w:t>EPBC Act 1999</w:t>
            </w:r>
          </w:p>
        </w:tc>
        <w:tc>
          <w:tcPr>
            <w:tcW w:w="5245" w:type="dxa"/>
          </w:tcPr>
          <w:p w:rsidR="003C0B84" w:rsidRPr="00A037A5" w:rsidRDefault="003C0B84" w:rsidP="00A037A5">
            <w:pPr>
              <w:pStyle w:val="ListParagraph"/>
              <w:numPr>
                <w:ilvl w:val="0"/>
                <w:numId w:val="18"/>
              </w:numPr>
              <w:spacing w:after="0"/>
              <w:rPr>
                <w:rFonts w:ascii="Arial" w:hAnsi="Arial" w:cs="Arial"/>
                <w:sz w:val="20"/>
                <w:szCs w:val="20"/>
              </w:rPr>
            </w:pPr>
            <w:r w:rsidRPr="00DA0465">
              <w:rPr>
                <w:rFonts w:ascii="Arial" w:hAnsi="Arial" w:cs="Arial"/>
                <w:sz w:val="20"/>
                <w:szCs w:val="20"/>
              </w:rPr>
              <w:t xml:space="preserve">No third party merits review rights. </w:t>
            </w:r>
            <w:r w:rsidRPr="00054C6A">
              <w:rPr>
                <w:rFonts w:ascii="Arial" w:hAnsi="Arial" w:cs="Arial"/>
                <w:b/>
                <w:color w:val="F79646" w:themeColor="accent6"/>
                <w:sz w:val="20"/>
                <w:szCs w:val="20"/>
              </w:rPr>
              <w:t>x</w:t>
            </w:r>
            <w:r w:rsidRPr="00DA0465">
              <w:rPr>
                <w:rFonts w:ascii="Arial" w:hAnsi="Arial" w:cs="Arial"/>
                <w:sz w:val="20"/>
                <w:szCs w:val="20"/>
              </w:rPr>
              <w:t xml:space="preserve"> </w:t>
            </w:r>
          </w:p>
        </w:tc>
      </w:tr>
      <w:tr w:rsidR="003C0B84" w:rsidRPr="00A7680C" w:rsidTr="00A037A5">
        <w:tc>
          <w:tcPr>
            <w:tcW w:w="4111" w:type="dxa"/>
          </w:tcPr>
          <w:p w:rsidR="003C0B84" w:rsidRPr="00A7680C" w:rsidRDefault="003C0B84" w:rsidP="00B75817">
            <w:pPr>
              <w:pStyle w:val="ListParagraph"/>
              <w:spacing w:after="0"/>
              <w:ind w:left="0"/>
              <w:rPr>
                <w:rFonts w:ascii="Arial" w:hAnsi="Arial" w:cs="Arial"/>
                <w:b/>
                <w:sz w:val="20"/>
                <w:szCs w:val="20"/>
              </w:rPr>
            </w:pPr>
            <w:r w:rsidRPr="00A7680C">
              <w:rPr>
                <w:rFonts w:ascii="Arial" w:hAnsi="Arial" w:cs="Arial"/>
                <w:b/>
                <w:sz w:val="20"/>
                <w:szCs w:val="20"/>
              </w:rPr>
              <w:t>Fisheries Management Act 1991</w:t>
            </w:r>
          </w:p>
        </w:tc>
        <w:tc>
          <w:tcPr>
            <w:tcW w:w="5245" w:type="dxa"/>
          </w:tcPr>
          <w:p w:rsidR="003C0B84" w:rsidRPr="00A7680C" w:rsidRDefault="003C0B84" w:rsidP="00536191">
            <w:pPr>
              <w:pStyle w:val="ListParagraph"/>
              <w:numPr>
                <w:ilvl w:val="0"/>
                <w:numId w:val="13"/>
              </w:numPr>
              <w:spacing w:after="0"/>
              <w:rPr>
                <w:rFonts w:ascii="Arial" w:hAnsi="Arial" w:cs="Arial"/>
                <w:sz w:val="20"/>
                <w:szCs w:val="20"/>
              </w:rPr>
            </w:pPr>
            <w:r w:rsidRPr="00DA0465">
              <w:rPr>
                <w:rFonts w:ascii="Arial" w:hAnsi="Arial" w:cs="Arial"/>
                <w:sz w:val="20"/>
                <w:szCs w:val="20"/>
              </w:rPr>
              <w:t xml:space="preserve">No third party merits review rights. </w:t>
            </w:r>
            <w:r w:rsidRPr="00054C6A">
              <w:rPr>
                <w:rFonts w:ascii="Arial" w:hAnsi="Arial" w:cs="Arial"/>
                <w:b/>
                <w:color w:val="F79646" w:themeColor="accent6"/>
                <w:sz w:val="20"/>
                <w:szCs w:val="20"/>
              </w:rPr>
              <w:t>x</w:t>
            </w:r>
          </w:p>
        </w:tc>
      </w:tr>
      <w:tr w:rsidR="003C0B84" w:rsidRPr="00A7680C" w:rsidTr="00A037A5">
        <w:tc>
          <w:tcPr>
            <w:tcW w:w="4111" w:type="dxa"/>
          </w:tcPr>
          <w:p w:rsidR="003C0B84" w:rsidRPr="00A7680C" w:rsidRDefault="003C0B84" w:rsidP="00B75817">
            <w:pPr>
              <w:pStyle w:val="ListParagraph"/>
              <w:spacing w:after="0"/>
              <w:ind w:left="0"/>
              <w:rPr>
                <w:rFonts w:ascii="Arial" w:hAnsi="Arial" w:cs="Arial"/>
                <w:b/>
                <w:sz w:val="20"/>
                <w:szCs w:val="20"/>
              </w:rPr>
            </w:pPr>
            <w:r w:rsidRPr="00A7680C">
              <w:rPr>
                <w:rFonts w:ascii="Arial" w:hAnsi="Arial" w:cs="Arial"/>
                <w:b/>
                <w:sz w:val="20"/>
                <w:szCs w:val="20"/>
              </w:rPr>
              <w:t>Water Act 2007</w:t>
            </w:r>
          </w:p>
        </w:tc>
        <w:tc>
          <w:tcPr>
            <w:tcW w:w="5245" w:type="dxa"/>
          </w:tcPr>
          <w:p w:rsidR="003C0B84" w:rsidRPr="00A7680C" w:rsidRDefault="003C0B84" w:rsidP="00536191">
            <w:pPr>
              <w:pStyle w:val="ListParagraph"/>
              <w:numPr>
                <w:ilvl w:val="0"/>
                <w:numId w:val="14"/>
              </w:numPr>
              <w:spacing w:after="0"/>
              <w:rPr>
                <w:rFonts w:ascii="Arial" w:hAnsi="Arial" w:cs="Arial"/>
                <w:sz w:val="20"/>
                <w:szCs w:val="20"/>
              </w:rPr>
            </w:pPr>
            <w:r w:rsidRPr="00DA0465">
              <w:rPr>
                <w:rFonts w:ascii="Arial" w:hAnsi="Arial" w:cs="Arial"/>
                <w:sz w:val="20"/>
                <w:szCs w:val="20"/>
              </w:rPr>
              <w:t xml:space="preserve">No third party merits review rights. </w:t>
            </w:r>
            <w:r w:rsidRPr="00054C6A">
              <w:rPr>
                <w:rFonts w:ascii="Arial" w:hAnsi="Arial" w:cs="Arial"/>
                <w:b/>
                <w:color w:val="F79646" w:themeColor="accent6"/>
                <w:sz w:val="20"/>
                <w:szCs w:val="20"/>
              </w:rPr>
              <w:t>x</w:t>
            </w:r>
          </w:p>
        </w:tc>
      </w:tr>
      <w:tr w:rsidR="003C0B84" w:rsidRPr="00A7680C" w:rsidTr="00A037A5">
        <w:trPr>
          <w:trHeight w:val="65"/>
        </w:trPr>
        <w:tc>
          <w:tcPr>
            <w:tcW w:w="4111" w:type="dxa"/>
          </w:tcPr>
          <w:p w:rsidR="003C0B84" w:rsidRPr="00A7680C" w:rsidRDefault="003C0B84" w:rsidP="00B75817">
            <w:pPr>
              <w:pStyle w:val="ListParagraph"/>
              <w:spacing w:after="0"/>
              <w:ind w:left="0"/>
              <w:rPr>
                <w:rFonts w:ascii="Arial" w:hAnsi="Arial" w:cs="Arial"/>
                <w:b/>
                <w:sz w:val="20"/>
                <w:szCs w:val="20"/>
              </w:rPr>
            </w:pPr>
            <w:r w:rsidRPr="00A7680C">
              <w:rPr>
                <w:rFonts w:ascii="Arial" w:hAnsi="Arial" w:cs="Arial"/>
                <w:b/>
                <w:sz w:val="20"/>
                <w:szCs w:val="20"/>
              </w:rPr>
              <w:t>Great Barrier Reef Marine Park Act 1975</w:t>
            </w:r>
          </w:p>
        </w:tc>
        <w:tc>
          <w:tcPr>
            <w:tcW w:w="5245" w:type="dxa"/>
          </w:tcPr>
          <w:p w:rsidR="003C0B84" w:rsidRPr="00DA0465" w:rsidRDefault="003C0B84" w:rsidP="00536191">
            <w:pPr>
              <w:pStyle w:val="ListParagraph"/>
              <w:numPr>
                <w:ilvl w:val="0"/>
                <w:numId w:val="14"/>
              </w:numPr>
              <w:spacing w:after="0"/>
              <w:rPr>
                <w:rFonts w:ascii="Arial" w:hAnsi="Arial" w:cs="Arial"/>
                <w:sz w:val="20"/>
                <w:szCs w:val="20"/>
              </w:rPr>
            </w:pPr>
            <w:r w:rsidRPr="00DA0465">
              <w:rPr>
                <w:rFonts w:ascii="Arial" w:hAnsi="Arial" w:cs="Arial"/>
                <w:sz w:val="20"/>
                <w:szCs w:val="20"/>
              </w:rPr>
              <w:t xml:space="preserve">No third party merits review rights. </w:t>
            </w:r>
            <w:r w:rsidRPr="00054C6A">
              <w:rPr>
                <w:rFonts w:ascii="Arial" w:hAnsi="Arial" w:cs="Arial"/>
                <w:b/>
                <w:color w:val="F79646" w:themeColor="accent6"/>
                <w:sz w:val="20"/>
                <w:szCs w:val="20"/>
              </w:rPr>
              <w:t>x</w:t>
            </w:r>
            <w:r w:rsidRPr="00DA0465">
              <w:rPr>
                <w:rFonts w:ascii="Arial" w:hAnsi="Arial" w:cs="Arial"/>
                <w:sz w:val="20"/>
                <w:szCs w:val="20"/>
              </w:rPr>
              <w:t xml:space="preserve"> </w:t>
            </w:r>
          </w:p>
        </w:tc>
      </w:tr>
      <w:tr w:rsidR="003C0B84" w:rsidRPr="00A7680C" w:rsidTr="00A037A5">
        <w:trPr>
          <w:trHeight w:val="1472"/>
        </w:trPr>
        <w:tc>
          <w:tcPr>
            <w:tcW w:w="4111" w:type="dxa"/>
          </w:tcPr>
          <w:p w:rsidR="003C0B84" w:rsidRDefault="003C0B84" w:rsidP="00B75817">
            <w:pPr>
              <w:pStyle w:val="ListParagraph"/>
              <w:spacing w:after="0"/>
              <w:ind w:left="0"/>
              <w:rPr>
                <w:rFonts w:ascii="Arial" w:hAnsi="Arial" w:cs="Arial"/>
                <w:b/>
                <w:bCs/>
                <w:sz w:val="20"/>
                <w:szCs w:val="20"/>
              </w:rPr>
            </w:pPr>
            <w:r w:rsidRPr="00EE2BB9">
              <w:rPr>
                <w:rFonts w:ascii="Arial" w:hAnsi="Arial" w:cs="Arial"/>
                <w:b/>
                <w:bCs/>
                <w:sz w:val="20"/>
                <w:szCs w:val="20"/>
              </w:rPr>
              <w:t xml:space="preserve">Offshore Petroleum And Greenhouse Gas Storage Act 2006 </w:t>
            </w:r>
          </w:p>
          <w:p w:rsidR="003C0B84" w:rsidRPr="00EE2BB9" w:rsidRDefault="003C0B84" w:rsidP="00B75817">
            <w:pPr>
              <w:pStyle w:val="ListParagraph"/>
              <w:spacing w:after="0"/>
              <w:ind w:left="0"/>
              <w:rPr>
                <w:rFonts w:ascii="Arial" w:hAnsi="Arial" w:cs="Arial"/>
                <w:b/>
                <w:bCs/>
                <w:sz w:val="20"/>
                <w:szCs w:val="20"/>
              </w:rPr>
            </w:pPr>
            <w:r>
              <w:rPr>
                <w:rFonts w:ascii="Arial" w:hAnsi="Arial" w:cs="Arial"/>
                <w:b/>
                <w:bCs/>
                <w:sz w:val="20"/>
                <w:szCs w:val="20"/>
              </w:rPr>
              <w:t>and</w:t>
            </w:r>
          </w:p>
          <w:p w:rsidR="003C0B84" w:rsidRPr="00A037A5" w:rsidRDefault="003C0B84" w:rsidP="00B75817">
            <w:pPr>
              <w:pStyle w:val="ListParagraph"/>
              <w:spacing w:after="0"/>
              <w:ind w:left="0"/>
              <w:rPr>
                <w:rFonts w:ascii="Arial" w:hAnsi="Arial" w:cs="Arial"/>
                <w:b/>
                <w:bCs/>
                <w:sz w:val="20"/>
                <w:szCs w:val="20"/>
              </w:rPr>
            </w:pPr>
            <w:r w:rsidRPr="00EE2BB9">
              <w:rPr>
                <w:rFonts w:ascii="Arial" w:hAnsi="Arial" w:cs="Arial"/>
                <w:b/>
                <w:bCs/>
                <w:sz w:val="20"/>
                <w:szCs w:val="20"/>
              </w:rPr>
              <w:t xml:space="preserve">Offshore Petroleum And Greenhouse Gas Storage </w:t>
            </w:r>
            <w:r w:rsidR="00A037A5">
              <w:rPr>
                <w:rFonts w:ascii="Arial" w:hAnsi="Arial" w:cs="Arial"/>
                <w:b/>
                <w:bCs/>
                <w:sz w:val="20"/>
                <w:szCs w:val="20"/>
              </w:rPr>
              <w:t>(Environment) Regulations 2009</w:t>
            </w:r>
          </w:p>
        </w:tc>
        <w:tc>
          <w:tcPr>
            <w:tcW w:w="5245" w:type="dxa"/>
          </w:tcPr>
          <w:p w:rsidR="003C0B84" w:rsidRDefault="003C0B84" w:rsidP="00536191">
            <w:pPr>
              <w:pStyle w:val="ListParagraph"/>
              <w:numPr>
                <w:ilvl w:val="0"/>
                <w:numId w:val="15"/>
              </w:numPr>
              <w:spacing w:after="0"/>
              <w:rPr>
                <w:rFonts w:ascii="Arial" w:hAnsi="Arial" w:cs="Arial"/>
                <w:sz w:val="20"/>
                <w:szCs w:val="20"/>
              </w:rPr>
            </w:pPr>
            <w:r>
              <w:rPr>
                <w:rFonts w:ascii="Arial" w:hAnsi="Arial" w:cs="Arial"/>
                <w:sz w:val="20"/>
                <w:szCs w:val="20"/>
              </w:rPr>
              <w:t>No third party merits review rights.</w:t>
            </w:r>
            <w:r w:rsidRPr="00054C6A">
              <w:rPr>
                <w:rFonts w:ascii="Arial" w:hAnsi="Arial" w:cs="Arial"/>
                <w:b/>
                <w:color w:val="F79646" w:themeColor="accent6"/>
                <w:sz w:val="20"/>
                <w:szCs w:val="20"/>
              </w:rPr>
              <w:t xml:space="preserve"> x</w:t>
            </w:r>
          </w:p>
        </w:tc>
      </w:tr>
    </w:tbl>
    <w:p w:rsidR="003C0B84" w:rsidRPr="00A037A5" w:rsidRDefault="003C0B84" w:rsidP="009D3A05">
      <w:pPr>
        <w:autoSpaceDE w:val="0"/>
        <w:autoSpaceDN w:val="0"/>
        <w:adjustRightInd w:val="0"/>
        <w:spacing w:after="0"/>
        <w:jc w:val="both"/>
        <w:rPr>
          <w:rFonts w:ascii="Arial" w:hAnsi="Arial" w:cs="Arial"/>
          <w:b/>
          <w:i/>
          <w:color w:val="000000"/>
          <w:sz w:val="22"/>
          <w:szCs w:val="22"/>
        </w:rPr>
      </w:pPr>
    </w:p>
    <w:p w:rsidR="003C0B84" w:rsidRPr="00A037A5" w:rsidRDefault="003C0B84" w:rsidP="009D3A05">
      <w:pPr>
        <w:autoSpaceDE w:val="0"/>
        <w:autoSpaceDN w:val="0"/>
        <w:adjustRightInd w:val="0"/>
        <w:spacing w:after="0"/>
        <w:jc w:val="both"/>
        <w:rPr>
          <w:rFonts w:ascii="Arial" w:hAnsi="Arial" w:cs="Arial"/>
          <w:b/>
          <w:i/>
          <w:color w:val="000000"/>
          <w:sz w:val="22"/>
          <w:szCs w:val="22"/>
        </w:rPr>
      </w:pPr>
      <w:r w:rsidRPr="00A037A5">
        <w:rPr>
          <w:rFonts w:ascii="Arial" w:hAnsi="Arial" w:cs="Arial"/>
          <w:b/>
          <w:i/>
          <w:color w:val="000000"/>
          <w:sz w:val="22"/>
          <w:szCs w:val="22"/>
        </w:rPr>
        <w:t xml:space="preserve">Recommendations </w:t>
      </w:r>
    </w:p>
    <w:p w:rsidR="003C0B84" w:rsidRPr="00A037A5" w:rsidRDefault="003C0B84" w:rsidP="009D3A05">
      <w:pPr>
        <w:autoSpaceDE w:val="0"/>
        <w:autoSpaceDN w:val="0"/>
        <w:adjustRightInd w:val="0"/>
        <w:spacing w:after="0"/>
        <w:jc w:val="both"/>
        <w:rPr>
          <w:rFonts w:ascii="Arial" w:hAnsi="Arial" w:cs="Arial"/>
          <w:i/>
          <w:color w:val="000000"/>
          <w:sz w:val="22"/>
          <w:szCs w:val="22"/>
        </w:rPr>
      </w:pPr>
    </w:p>
    <w:p w:rsidR="00444A1B" w:rsidRPr="00A037A5" w:rsidRDefault="00444A1B" w:rsidP="00DF35DF">
      <w:pPr>
        <w:pStyle w:val="ListParagraph"/>
        <w:numPr>
          <w:ilvl w:val="0"/>
          <w:numId w:val="32"/>
        </w:numPr>
        <w:autoSpaceDE w:val="0"/>
        <w:autoSpaceDN w:val="0"/>
        <w:adjustRightInd w:val="0"/>
        <w:spacing w:after="0"/>
        <w:jc w:val="both"/>
        <w:rPr>
          <w:rFonts w:ascii="Arial" w:hAnsi="Arial" w:cs="Arial"/>
          <w:i/>
          <w:color w:val="000000"/>
          <w:sz w:val="22"/>
          <w:szCs w:val="22"/>
        </w:rPr>
      </w:pPr>
      <w:r w:rsidRPr="00A037A5">
        <w:rPr>
          <w:rFonts w:ascii="Arial" w:hAnsi="Arial" w:cs="Arial"/>
          <w:i/>
          <w:sz w:val="22"/>
          <w:szCs w:val="22"/>
        </w:rPr>
        <w:t>ANEDO supports the inclusion of merits appeal rights in environmental legislation, particularly in respect of development likely to have a significant impact on the community and environment.</w:t>
      </w:r>
    </w:p>
    <w:p w:rsidR="00A037A5" w:rsidRPr="00A037A5" w:rsidRDefault="00A037A5" w:rsidP="00A037A5">
      <w:pPr>
        <w:pStyle w:val="ListParagraph"/>
        <w:autoSpaceDE w:val="0"/>
        <w:autoSpaceDN w:val="0"/>
        <w:adjustRightInd w:val="0"/>
        <w:spacing w:after="0"/>
        <w:ind w:left="360"/>
        <w:jc w:val="both"/>
        <w:rPr>
          <w:rFonts w:ascii="Arial" w:hAnsi="Arial" w:cs="Arial"/>
          <w:i/>
          <w:color w:val="000000"/>
          <w:sz w:val="22"/>
          <w:szCs w:val="22"/>
        </w:rPr>
      </w:pPr>
    </w:p>
    <w:p w:rsidR="003C0B84" w:rsidRPr="00A037A5" w:rsidRDefault="003C0B84" w:rsidP="00DF35DF">
      <w:pPr>
        <w:pStyle w:val="ListParagraph"/>
        <w:numPr>
          <w:ilvl w:val="0"/>
          <w:numId w:val="32"/>
        </w:numPr>
        <w:autoSpaceDE w:val="0"/>
        <w:autoSpaceDN w:val="0"/>
        <w:adjustRightInd w:val="0"/>
        <w:spacing w:after="0"/>
        <w:jc w:val="both"/>
        <w:rPr>
          <w:rFonts w:ascii="Arial" w:hAnsi="Arial" w:cs="Arial"/>
          <w:i/>
          <w:color w:val="000000"/>
          <w:sz w:val="22"/>
          <w:szCs w:val="22"/>
        </w:rPr>
      </w:pPr>
      <w:r w:rsidRPr="00A037A5">
        <w:rPr>
          <w:rFonts w:ascii="Arial" w:hAnsi="Arial" w:cs="Arial"/>
          <w:i/>
          <w:color w:val="000000"/>
          <w:sz w:val="22"/>
          <w:szCs w:val="22"/>
        </w:rPr>
        <w:t xml:space="preserve">The EPBC Act should be amended to provide for third party merits review rights in respect of decisions to approve controlled actions. </w:t>
      </w:r>
    </w:p>
    <w:p w:rsidR="003C0B84" w:rsidRPr="00711BF6" w:rsidRDefault="003C0B84" w:rsidP="00536191">
      <w:pPr>
        <w:pStyle w:val="PolicyHeading2"/>
        <w:numPr>
          <w:ilvl w:val="0"/>
          <w:numId w:val="3"/>
        </w:numPr>
        <w:spacing w:afterAutospacing="0"/>
        <w:rPr>
          <w:rFonts w:ascii="Arial" w:hAnsi="Arial" w:cs="Arial"/>
          <w:b w:val="0"/>
          <w:sz w:val="22"/>
          <w:szCs w:val="22"/>
        </w:rPr>
      </w:pPr>
      <w:r w:rsidRPr="00711BF6">
        <w:rPr>
          <w:rStyle w:val="Heading1Char"/>
          <w:b/>
          <w:sz w:val="22"/>
          <w:szCs w:val="22"/>
        </w:rPr>
        <w:lastRenderedPageBreak/>
        <w:t xml:space="preserve">Costs  </w:t>
      </w:r>
    </w:p>
    <w:p w:rsidR="003C0B84" w:rsidRDefault="003C0B84" w:rsidP="009D3A05">
      <w:pPr>
        <w:autoSpaceDE w:val="0"/>
        <w:autoSpaceDN w:val="0"/>
        <w:adjustRightInd w:val="0"/>
        <w:spacing w:after="0"/>
        <w:jc w:val="both"/>
        <w:rPr>
          <w:rFonts w:ascii="Arial" w:hAnsi="Arial" w:cs="Arial"/>
          <w:color w:val="000000"/>
          <w:sz w:val="22"/>
          <w:szCs w:val="22"/>
        </w:rPr>
      </w:pPr>
    </w:p>
    <w:p w:rsidR="003C0B84" w:rsidRDefault="003C0B84" w:rsidP="009D4622">
      <w:pPr>
        <w:autoSpaceDE w:val="0"/>
        <w:autoSpaceDN w:val="0"/>
        <w:adjustRightInd w:val="0"/>
        <w:spacing w:after="0"/>
        <w:jc w:val="both"/>
        <w:rPr>
          <w:rFonts w:ascii="Arial" w:hAnsi="Arial" w:cs="Arial"/>
          <w:color w:val="000000"/>
          <w:sz w:val="22"/>
          <w:szCs w:val="22"/>
        </w:rPr>
      </w:pPr>
      <w:r w:rsidRPr="00EF035E">
        <w:rPr>
          <w:rFonts w:ascii="Arial" w:hAnsi="Arial" w:cs="Arial"/>
          <w:color w:val="000000"/>
          <w:sz w:val="22"/>
          <w:szCs w:val="22"/>
        </w:rPr>
        <w:t>Public interest environmental matters are by definition relevant to the broader Australian community. Indeed, some cases (for example those concerning climate change) have global implications. It i</w:t>
      </w:r>
      <w:r>
        <w:rPr>
          <w:rFonts w:ascii="Arial" w:hAnsi="Arial" w:cs="Arial"/>
          <w:color w:val="000000"/>
          <w:sz w:val="22"/>
          <w:szCs w:val="22"/>
        </w:rPr>
        <w:t xml:space="preserve">s therefore concerning that legislation and rules in certain jurisdictions, as well as </w:t>
      </w:r>
      <w:r w:rsidRPr="00EF035E">
        <w:rPr>
          <w:rFonts w:ascii="Arial" w:hAnsi="Arial" w:cs="Arial"/>
          <w:color w:val="000000"/>
          <w:sz w:val="22"/>
          <w:szCs w:val="22"/>
        </w:rPr>
        <w:t>relevant case law</w:t>
      </w:r>
      <w:r>
        <w:rPr>
          <w:rFonts w:ascii="Arial" w:hAnsi="Arial" w:cs="Arial"/>
          <w:color w:val="000000"/>
          <w:sz w:val="22"/>
          <w:szCs w:val="22"/>
        </w:rPr>
        <w:t>,</w:t>
      </w:r>
      <w:r w:rsidRPr="00EF035E">
        <w:rPr>
          <w:rFonts w:ascii="Arial" w:hAnsi="Arial" w:cs="Arial"/>
          <w:color w:val="000000"/>
          <w:sz w:val="22"/>
          <w:szCs w:val="22"/>
        </w:rPr>
        <w:t xml:space="preserve"> obstruct public interest litigants from accessing </w:t>
      </w:r>
      <w:r>
        <w:rPr>
          <w:rFonts w:ascii="Arial" w:hAnsi="Arial" w:cs="Arial"/>
          <w:color w:val="000000"/>
          <w:sz w:val="22"/>
          <w:szCs w:val="22"/>
        </w:rPr>
        <w:t xml:space="preserve">the courts. Specifically, security for costs and the threat of costs orders have deterred a number of our clients – all of whom are genuine public interest litigants – from either commencing or continuing with proceedings, or appealing an unfavourable decision. </w:t>
      </w:r>
    </w:p>
    <w:p w:rsidR="003C0B84" w:rsidRDefault="003C0B84" w:rsidP="009D4622">
      <w:pPr>
        <w:autoSpaceDE w:val="0"/>
        <w:autoSpaceDN w:val="0"/>
        <w:adjustRightInd w:val="0"/>
        <w:spacing w:after="0"/>
        <w:jc w:val="both"/>
        <w:rPr>
          <w:rFonts w:ascii="Arial" w:hAnsi="Arial" w:cs="Arial"/>
          <w:color w:val="000000"/>
          <w:sz w:val="22"/>
          <w:szCs w:val="22"/>
        </w:rPr>
      </w:pPr>
    </w:p>
    <w:p w:rsidR="003C0B84" w:rsidRDefault="003C0B84" w:rsidP="009D4622">
      <w:pPr>
        <w:autoSpaceDE w:val="0"/>
        <w:autoSpaceDN w:val="0"/>
        <w:adjustRightInd w:val="0"/>
        <w:spacing w:after="0"/>
        <w:jc w:val="both"/>
        <w:rPr>
          <w:rFonts w:ascii="Arial" w:hAnsi="Arial" w:cs="Arial"/>
          <w:color w:val="000000"/>
          <w:sz w:val="22"/>
          <w:szCs w:val="22"/>
        </w:rPr>
      </w:pPr>
      <w:r w:rsidRPr="009D4622">
        <w:rPr>
          <w:rFonts w:ascii="Arial" w:hAnsi="Arial" w:cs="Arial"/>
          <w:color w:val="000000"/>
          <w:sz w:val="22"/>
          <w:szCs w:val="22"/>
        </w:rPr>
        <w:t xml:space="preserve">While the leading High Court case, </w:t>
      </w:r>
      <w:r w:rsidRPr="009D4622">
        <w:rPr>
          <w:rFonts w:ascii="Arial" w:hAnsi="Arial" w:cs="Arial"/>
          <w:i/>
          <w:iCs/>
          <w:color w:val="000000"/>
          <w:sz w:val="22"/>
          <w:szCs w:val="22"/>
        </w:rPr>
        <w:t>Oshlack v Richmond River Council,</w:t>
      </w:r>
      <w:r w:rsidRPr="00835173">
        <w:rPr>
          <w:rStyle w:val="EndnoteReference"/>
          <w:rFonts w:ascii="Arial" w:hAnsi="Arial" w:cs="Arial"/>
          <w:iCs/>
          <w:color w:val="000000"/>
          <w:sz w:val="22"/>
          <w:szCs w:val="22"/>
        </w:rPr>
        <w:endnoteReference w:id="93"/>
      </w:r>
      <w:r w:rsidRPr="00835173">
        <w:rPr>
          <w:rFonts w:ascii="Arial" w:hAnsi="Arial" w:cs="Arial"/>
          <w:color w:val="000000"/>
          <w:sz w:val="22"/>
          <w:szCs w:val="22"/>
        </w:rPr>
        <w:t xml:space="preserve"> </w:t>
      </w:r>
      <w:r w:rsidRPr="009D4622">
        <w:rPr>
          <w:rFonts w:ascii="Arial" w:hAnsi="Arial" w:cs="Arial"/>
          <w:color w:val="000000"/>
          <w:sz w:val="22"/>
          <w:szCs w:val="22"/>
        </w:rPr>
        <w:t xml:space="preserve">confirmed that the public interest nature of proceedings could be taken into account when exercising a general statutory discretion concerning costs, it did not indicate that this was mandatory. That is, it was held that public interest factors are not necessarily sufficient to avoid a costs order being made against an unsuccessful litigant. </w:t>
      </w:r>
      <w:r>
        <w:rPr>
          <w:rFonts w:ascii="Arial" w:hAnsi="Arial" w:cs="Arial"/>
          <w:color w:val="000000"/>
          <w:sz w:val="22"/>
          <w:szCs w:val="22"/>
        </w:rPr>
        <w:t>Accordingly,</w:t>
      </w:r>
      <w:r w:rsidRPr="00987E92">
        <w:rPr>
          <w:rFonts w:ascii="Arial" w:hAnsi="Arial" w:cs="Arial"/>
          <w:color w:val="000000"/>
          <w:sz w:val="22"/>
          <w:szCs w:val="22"/>
        </w:rPr>
        <w:t xml:space="preserve"> </w:t>
      </w:r>
      <w:r w:rsidRPr="00987E92">
        <w:rPr>
          <w:rFonts w:ascii="Arial" w:hAnsi="Arial" w:cs="Arial"/>
          <w:i/>
          <w:iCs/>
          <w:color w:val="000000"/>
          <w:sz w:val="22"/>
          <w:szCs w:val="22"/>
        </w:rPr>
        <w:t xml:space="preserve">Oshlack </w:t>
      </w:r>
      <w:r w:rsidRPr="00987E92">
        <w:rPr>
          <w:rFonts w:ascii="Arial" w:hAnsi="Arial" w:cs="Arial"/>
          <w:color w:val="000000"/>
          <w:sz w:val="22"/>
          <w:szCs w:val="22"/>
        </w:rPr>
        <w:t xml:space="preserve">cannot necessarily be relied upon by public interest litigants to fill the </w:t>
      </w:r>
      <w:r>
        <w:rPr>
          <w:rFonts w:ascii="Arial" w:hAnsi="Arial" w:cs="Arial"/>
          <w:color w:val="000000"/>
          <w:sz w:val="22"/>
          <w:szCs w:val="22"/>
        </w:rPr>
        <w:t xml:space="preserve">aforementioned </w:t>
      </w:r>
      <w:r w:rsidRPr="00987E92">
        <w:rPr>
          <w:rFonts w:ascii="Arial" w:hAnsi="Arial" w:cs="Arial"/>
          <w:color w:val="000000"/>
          <w:sz w:val="22"/>
          <w:szCs w:val="22"/>
        </w:rPr>
        <w:t>regulatory lacunae</w:t>
      </w:r>
      <w:r>
        <w:rPr>
          <w:rFonts w:ascii="Arial" w:hAnsi="Arial" w:cs="Arial"/>
          <w:color w:val="000000"/>
          <w:sz w:val="22"/>
          <w:szCs w:val="22"/>
        </w:rPr>
        <w:t>.</w:t>
      </w:r>
      <w:r w:rsidRPr="00987E92">
        <w:rPr>
          <w:rFonts w:ascii="Arial" w:hAnsi="Arial" w:cs="Arial"/>
          <w:color w:val="000000"/>
          <w:sz w:val="22"/>
          <w:szCs w:val="22"/>
        </w:rPr>
        <w:t xml:space="preserve"> </w:t>
      </w:r>
      <w:r>
        <w:rPr>
          <w:rFonts w:ascii="Arial" w:hAnsi="Arial" w:cs="Arial"/>
          <w:color w:val="000000"/>
          <w:sz w:val="22"/>
          <w:szCs w:val="22"/>
        </w:rPr>
        <w:t>That is, this case</w:t>
      </w:r>
      <w:r w:rsidRPr="00987E92">
        <w:rPr>
          <w:rFonts w:ascii="Arial" w:hAnsi="Arial" w:cs="Arial"/>
          <w:color w:val="000000"/>
          <w:sz w:val="22"/>
          <w:szCs w:val="22"/>
        </w:rPr>
        <w:t xml:space="preserve"> do</w:t>
      </w:r>
      <w:r>
        <w:rPr>
          <w:rFonts w:ascii="Arial" w:hAnsi="Arial" w:cs="Arial"/>
          <w:color w:val="000000"/>
          <w:sz w:val="22"/>
          <w:szCs w:val="22"/>
        </w:rPr>
        <w:t>es</w:t>
      </w:r>
      <w:r w:rsidRPr="00987E92">
        <w:rPr>
          <w:rFonts w:ascii="Arial" w:hAnsi="Arial" w:cs="Arial"/>
          <w:color w:val="000000"/>
          <w:sz w:val="22"/>
          <w:szCs w:val="22"/>
        </w:rPr>
        <w:t xml:space="preserve"> not provide such litigants with sufficient clarity regarding the costs framework that is likely to apply </w:t>
      </w:r>
      <w:r>
        <w:rPr>
          <w:rFonts w:ascii="Arial" w:hAnsi="Arial" w:cs="Arial"/>
          <w:color w:val="000000"/>
          <w:sz w:val="22"/>
          <w:szCs w:val="22"/>
        </w:rPr>
        <w:t xml:space="preserve">in public interest matters.  </w:t>
      </w:r>
    </w:p>
    <w:p w:rsidR="00A037A5" w:rsidRPr="00987E92" w:rsidRDefault="00A037A5" w:rsidP="009D4622">
      <w:pPr>
        <w:autoSpaceDE w:val="0"/>
        <w:autoSpaceDN w:val="0"/>
        <w:adjustRightInd w:val="0"/>
        <w:spacing w:after="0"/>
        <w:jc w:val="both"/>
        <w:rPr>
          <w:rFonts w:ascii="Arial" w:hAnsi="Arial" w:cs="Arial"/>
          <w:color w:val="000000"/>
          <w:sz w:val="22"/>
          <w:szCs w:val="22"/>
        </w:rPr>
      </w:pPr>
    </w:p>
    <w:p w:rsidR="003C0B84" w:rsidRDefault="003C0B84" w:rsidP="009D4622">
      <w:pPr>
        <w:autoSpaceDE w:val="0"/>
        <w:autoSpaceDN w:val="0"/>
        <w:adjustRightInd w:val="0"/>
        <w:spacing w:after="0"/>
        <w:jc w:val="both"/>
        <w:rPr>
          <w:rFonts w:ascii="Arial" w:hAnsi="Arial" w:cs="Arial"/>
          <w:i/>
          <w:iCs/>
          <w:color w:val="000000"/>
          <w:sz w:val="22"/>
          <w:szCs w:val="22"/>
        </w:rPr>
      </w:pPr>
      <w:r w:rsidRPr="00987E92">
        <w:rPr>
          <w:rFonts w:ascii="Arial" w:hAnsi="Arial" w:cs="Arial"/>
          <w:color w:val="000000"/>
          <w:sz w:val="22"/>
          <w:szCs w:val="22"/>
        </w:rPr>
        <w:t xml:space="preserve">Relevantly, </w:t>
      </w:r>
      <w:r>
        <w:rPr>
          <w:rFonts w:ascii="Arial" w:hAnsi="Arial" w:cs="Arial"/>
          <w:color w:val="000000"/>
          <w:sz w:val="22"/>
          <w:szCs w:val="22"/>
        </w:rPr>
        <w:t>most jurisdictions</w:t>
      </w:r>
      <w:r w:rsidRPr="00987E92">
        <w:rPr>
          <w:rFonts w:ascii="Arial" w:hAnsi="Arial" w:cs="Arial"/>
          <w:color w:val="000000"/>
          <w:sz w:val="22"/>
          <w:szCs w:val="22"/>
        </w:rPr>
        <w:t xml:space="preserve"> </w:t>
      </w:r>
      <w:r>
        <w:rPr>
          <w:rFonts w:ascii="Arial" w:hAnsi="Arial" w:cs="Arial"/>
          <w:color w:val="000000"/>
          <w:sz w:val="22"/>
          <w:szCs w:val="22"/>
        </w:rPr>
        <w:t>have</w:t>
      </w:r>
      <w:r w:rsidRPr="00987E92">
        <w:rPr>
          <w:rFonts w:ascii="Arial" w:hAnsi="Arial" w:cs="Arial"/>
          <w:color w:val="000000"/>
          <w:sz w:val="22"/>
          <w:szCs w:val="22"/>
        </w:rPr>
        <w:t xml:space="preserve"> failed to develop a clear set of guiding principles in respect of public interest costs matters. As noted by Justice McHugh in </w:t>
      </w:r>
      <w:r w:rsidRPr="00987E92">
        <w:rPr>
          <w:rFonts w:ascii="Arial" w:hAnsi="Arial" w:cs="Arial"/>
          <w:i/>
          <w:iCs/>
          <w:color w:val="000000"/>
          <w:sz w:val="22"/>
          <w:szCs w:val="22"/>
        </w:rPr>
        <w:t xml:space="preserve">Oshlack, </w:t>
      </w:r>
    </w:p>
    <w:p w:rsidR="003C0B84" w:rsidRPr="00987E92" w:rsidRDefault="003C0B84" w:rsidP="009D4622">
      <w:pPr>
        <w:autoSpaceDE w:val="0"/>
        <w:autoSpaceDN w:val="0"/>
        <w:adjustRightInd w:val="0"/>
        <w:spacing w:after="0"/>
        <w:jc w:val="both"/>
        <w:rPr>
          <w:rFonts w:ascii="Arial" w:hAnsi="Arial" w:cs="Arial"/>
          <w:color w:val="000000"/>
          <w:sz w:val="22"/>
          <w:szCs w:val="22"/>
        </w:rPr>
      </w:pPr>
    </w:p>
    <w:p w:rsidR="003C0B84" w:rsidRPr="00A037A5" w:rsidRDefault="003C0B84" w:rsidP="009D4622">
      <w:pPr>
        <w:autoSpaceDE w:val="0"/>
        <w:autoSpaceDN w:val="0"/>
        <w:adjustRightInd w:val="0"/>
        <w:spacing w:after="0"/>
        <w:ind w:left="720"/>
        <w:jc w:val="both"/>
        <w:rPr>
          <w:rFonts w:ascii="Arial" w:hAnsi="Arial" w:cs="Arial"/>
          <w:iCs/>
          <w:color w:val="000000"/>
          <w:sz w:val="20"/>
          <w:szCs w:val="20"/>
        </w:rPr>
      </w:pPr>
      <w:r w:rsidRPr="00A037A5">
        <w:rPr>
          <w:rFonts w:ascii="Arial" w:hAnsi="Arial" w:cs="Arial"/>
          <w:i/>
          <w:iCs/>
          <w:color w:val="000000"/>
          <w:sz w:val="20"/>
          <w:szCs w:val="20"/>
        </w:rPr>
        <w:t>If discretions concerning costs are to be exercised consistently and rationally, it is essential that courts formulate principles and guidelines that can be applied with precision in most cases.</w:t>
      </w:r>
      <w:r w:rsidRPr="00A037A5">
        <w:rPr>
          <w:rStyle w:val="EndnoteReference"/>
          <w:rFonts w:ascii="Arial" w:hAnsi="Arial" w:cs="Arial"/>
          <w:iCs/>
          <w:color w:val="000000"/>
          <w:sz w:val="20"/>
          <w:szCs w:val="20"/>
        </w:rPr>
        <w:endnoteReference w:id="94"/>
      </w:r>
    </w:p>
    <w:p w:rsidR="003C0B84" w:rsidRPr="00987E92" w:rsidRDefault="003C0B84" w:rsidP="009D4622">
      <w:pPr>
        <w:autoSpaceDE w:val="0"/>
        <w:autoSpaceDN w:val="0"/>
        <w:adjustRightInd w:val="0"/>
        <w:spacing w:after="0"/>
        <w:ind w:left="720"/>
        <w:jc w:val="both"/>
        <w:rPr>
          <w:rFonts w:ascii="Arial" w:hAnsi="Arial" w:cs="Arial"/>
          <w:color w:val="000000"/>
          <w:sz w:val="22"/>
          <w:szCs w:val="22"/>
        </w:rPr>
      </w:pPr>
    </w:p>
    <w:p w:rsidR="003C0B84" w:rsidRDefault="003C0B84" w:rsidP="009D4622">
      <w:pPr>
        <w:autoSpaceDE w:val="0"/>
        <w:autoSpaceDN w:val="0"/>
        <w:adjustRightInd w:val="0"/>
        <w:spacing w:after="0"/>
        <w:jc w:val="both"/>
        <w:rPr>
          <w:rFonts w:ascii="Arial" w:hAnsi="Arial" w:cs="Arial"/>
          <w:iCs/>
          <w:color w:val="000000"/>
          <w:sz w:val="22"/>
          <w:szCs w:val="22"/>
        </w:rPr>
      </w:pPr>
      <w:r w:rsidRPr="00987E92">
        <w:rPr>
          <w:rFonts w:ascii="Arial" w:hAnsi="Arial" w:cs="Arial"/>
          <w:color w:val="000000"/>
          <w:sz w:val="22"/>
          <w:szCs w:val="22"/>
        </w:rPr>
        <w:t xml:space="preserve">To the best of our knowledge, the only court in Australia that has attempted to develop guiding principles of this nature is the </w:t>
      </w:r>
      <w:r>
        <w:rPr>
          <w:rFonts w:ascii="Arial" w:hAnsi="Arial" w:cs="Arial"/>
          <w:color w:val="000000"/>
          <w:sz w:val="22"/>
          <w:szCs w:val="22"/>
        </w:rPr>
        <w:t xml:space="preserve">NSW </w:t>
      </w:r>
      <w:r w:rsidRPr="00987E92">
        <w:rPr>
          <w:rFonts w:ascii="Arial" w:hAnsi="Arial" w:cs="Arial"/>
          <w:color w:val="000000"/>
          <w:sz w:val="22"/>
          <w:szCs w:val="22"/>
        </w:rPr>
        <w:t>LEC.</w:t>
      </w:r>
      <w:r>
        <w:rPr>
          <w:rFonts w:ascii="Arial" w:hAnsi="Arial" w:cs="Arial"/>
          <w:color w:val="000000"/>
          <w:sz w:val="22"/>
          <w:szCs w:val="22"/>
        </w:rPr>
        <w:t xml:space="preserve"> Thus public interest litigants have a </w:t>
      </w:r>
      <w:r w:rsidRPr="00CA5501">
        <w:rPr>
          <w:rFonts w:ascii="Arial" w:hAnsi="Arial" w:cs="Arial"/>
          <w:i/>
          <w:color w:val="000000"/>
          <w:sz w:val="22"/>
          <w:szCs w:val="22"/>
        </w:rPr>
        <w:t>reasonable</w:t>
      </w:r>
      <w:r>
        <w:rPr>
          <w:rFonts w:ascii="Arial" w:hAnsi="Arial" w:cs="Arial"/>
          <w:color w:val="000000"/>
          <w:sz w:val="22"/>
          <w:szCs w:val="22"/>
        </w:rPr>
        <w:t xml:space="preserve"> idea of the costs framework that is likely to apply to their matter, particularly in Class 1-3 matters (where costs are only awarded in exceptional circumstances).</w:t>
      </w:r>
      <w:r>
        <w:rPr>
          <w:rStyle w:val="EndnoteReference"/>
          <w:rFonts w:ascii="Arial" w:hAnsi="Arial" w:cs="Arial"/>
          <w:color w:val="000000"/>
          <w:sz w:val="22"/>
          <w:szCs w:val="22"/>
        </w:rPr>
        <w:endnoteReference w:id="95"/>
      </w:r>
      <w:r>
        <w:rPr>
          <w:rFonts w:ascii="Arial" w:hAnsi="Arial" w:cs="Arial"/>
          <w:color w:val="000000"/>
          <w:sz w:val="22"/>
          <w:szCs w:val="22"/>
        </w:rPr>
        <w:t xml:space="preserve"> By</w:t>
      </w:r>
      <w:r w:rsidR="0010355B">
        <w:rPr>
          <w:rFonts w:ascii="Arial" w:hAnsi="Arial" w:cs="Arial"/>
          <w:color w:val="000000"/>
          <w:sz w:val="22"/>
          <w:szCs w:val="22"/>
        </w:rPr>
        <w:t> </w:t>
      </w:r>
      <w:r>
        <w:rPr>
          <w:rFonts w:ascii="Arial" w:hAnsi="Arial" w:cs="Arial"/>
          <w:color w:val="000000"/>
          <w:sz w:val="22"/>
          <w:szCs w:val="22"/>
        </w:rPr>
        <w:t xml:space="preserve">contrast, the court has </w:t>
      </w:r>
      <w:r w:rsidRPr="003D157C">
        <w:rPr>
          <w:rFonts w:ascii="Arial" w:hAnsi="Arial" w:cs="Arial"/>
          <w:i/>
          <w:color w:val="000000"/>
          <w:sz w:val="22"/>
          <w:szCs w:val="22"/>
        </w:rPr>
        <w:t>discretion</w:t>
      </w:r>
      <w:r>
        <w:rPr>
          <w:rFonts w:ascii="Arial" w:hAnsi="Arial" w:cs="Arial"/>
          <w:color w:val="000000"/>
          <w:sz w:val="22"/>
          <w:szCs w:val="22"/>
        </w:rPr>
        <w:t xml:space="preserve"> to waive security for costs and costs orders in class 4 (judicial review) appeals determined to be brought in the public interest.</w:t>
      </w:r>
      <w:r>
        <w:rPr>
          <w:rStyle w:val="EndnoteReference"/>
          <w:rFonts w:ascii="Arial" w:hAnsi="Arial" w:cs="Arial"/>
          <w:color w:val="000000"/>
          <w:sz w:val="22"/>
          <w:szCs w:val="22"/>
        </w:rPr>
        <w:endnoteReference w:id="96"/>
      </w:r>
      <w:r>
        <w:rPr>
          <w:rFonts w:ascii="Arial" w:hAnsi="Arial" w:cs="Arial"/>
          <w:color w:val="000000"/>
          <w:sz w:val="22"/>
          <w:szCs w:val="22"/>
        </w:rPr>
        <w:t xml:space="preserve">  However, this rule is to be considered in conjunction with </w:t>
      </w:r>
      <w:r w:rsidRPr="00E17BCE">
        <w:rPr>
          <w:rFonts w:ascii="Arial" w:hAnsi="Arial" w:cs="Arial"/>
          <w:i/>
          <w:iCs/>
          <w:color w:val="000000"/>
          <w:sz w:val="22"/>
          <w:szCs w:val="22"/>
        </w:rPr>
        <w:t>Caroona Coal Action Group Inc v Coal Mines Aust</w:t>
      </w:r>
      <w:r>
        <w:rPr>
          <w:rFonts w:ascii="Arial" w:hAnsi="Arial" w:cs="Arial"/>
          <w:i/>
          <w:iCs/>
          <w:color w:val="000000"/>
          <w:sz w:val="22"/>
          <w:szCs w:val="22"/>
        </w:rPr>
        <w:t>ralia Pty Limited and Or (No 3),</w:t>
      </w:r>
      <w:r>
        <w:rPr>
          <w:rStyle w:val="EndnoteReference"/>
          <w:rFonts w:ascii="Arial" w:hAnsi="Arial" w:cs="Arial"/>
          <w:i/>
          <w:iCs/>
          <w:color w:val="000000"/>
          <w:sz w:val="22"/>
          <w:szCs w:val="22"/>
        </w:rPr>
        <w:endnoteReference w:id="97"/>
      </w:r>
      <w:r>
        <w:rPr>
          <w:rFonts w:ascii="Arial" w:hAnsi="Arial" w:cs="Arial"/>
          <w:i/>
          <w:iCs/>
          <w:color w:val="000000"/>
          <w:sz w:val="22"/>
          <w:szCs w:val="22"/>
        </w:rPr>
        <w:t xml:space="preserve"> </w:t>
      </w:r>
      <w:r>
        <w:rPr>
          <w:rFonts w:ascii="Arial" w:hAnsi="Arial" w:cs="Arial"/>
          <w:iCs/>
          <w:color w:val="000000"/>
          <w:sz w:val="22"/>
          <w:szCs w:val="22"/>
        </w:rPr>
        <w:t xml:space="preserve">in which Preston CJ outlined three-step criteria for determining whether a matter is in the public interest.  </w:t>
      </w:r>
    </w:p>
    <w:p w:rsidR="003C0B84" w:rsidRDefault="003C0B84" w:rsidP="009D4622">
      <w:pPr>
        <w:autoSpaceDE w:val="0"/>
        <w:autoSpaceDN w:val="0"/>
        <w:adjustRightInd w:val="0"/>
        <w:spacing w:after="0"/>
        <w:jc w:val="both"/>
        <w:rPr>
          <w:rFonts w:ascii="Arial" w:hAnsi="Arial" w:cs="Arial"/>
          <w:iCs/>
          <w:color w:val="000000"/>
          <w:sz w:val="22"/>
          <w:szCs w:val="22"/>
        </w:rPr>
      </w:pPr>
    </w:p>
    <w:p w:rsidR="003C0B84" w:rsidRDefault="003C0B84" w:rsidP="009D4622">
      <w:pPr>
        <w:autoSpaceDE w:val="0"/>
        <w:autoSpaceDN w:val="0"/>
        <w:adjustRightInd w:val="0"/>
        <w:spacing w:after="0"/>
        <w:jc w:val="both"/>
        <w:rPr>
          <w:rFonts w:ascii="Arial" w:hAnsi="Arial" w:cs="Arial"/>
          <w:iCs/>
          <w:color w:val="000000"/>
          <w:sz w:val="22"/>
          <w:szCs w:val="22"/>
        </w:rPr>
      </w:pPr>
      <w:r>
        <w:rPr>
          <w:rFonts w:ascii="Arial" w:hAnsi="Arial" w:cs="Arial"/>
          <w:iCs/>
          <w:color w:val="000000"/>
          <w:sz w:val="22"/>
          <w:szCs w:val="22"/>
        </w:rPr>
        <w:t>We also acknowledge that certain jurisdictions tend to exercise their discretion in favour of public interest litigants. For example, the Supreme Court of Tasmania is explicitly empowered to order security for costs</w:t>
      </w:r>
      <w:r w:rsidR="0010355B">
        <w:rPr>
          <w:rFonts w:ascii="Arial" w:hAnsi="Arial" w:cs="Arial"/>
          <w:iCs/>
          <w:color w:val="000000"/>
          <w:sz w:val="22"/>
          <w:szCs w:val="22"/>
        </w:rPr>
        <w:t>,</w:t>
      </w:r>
      <w:r>
        <w:rPr>
          <w:rStyle w:val="EndnoteReference"/>
          <w:rFonts w:ascii="Arial" w:hAnsi="Arial" w:cs="Arial"/>
          <w:iCs/>
          <w:color w:val="000000"/>
          <w:sz w:val="22"/>
          <w:szCs w:val="22"/>
        </w:rPr>
        <w:endnoteReference w:id="98"/>
      </w:r>
      <w:r>
        <w:rPr>
          <w:rFonts w:ascii="Arial" w:hAnsi="Arial" w:cs="Arial"/>
          <w:iCs/>
          <w:color w:val="000000"/>
          <w:sz w:val="22"/>
          <w:szCs w:val="22"/>
        </w:rPr>
        <w:t xml:space="preserve"> </w:t>
      </w:r>
      <w:r w:rsidR="0010355B">
        <w:rPr>
          <w:rFonts w:ascii="Arial" w:hAnsi="Arial" w:cs="Arial"/>
          <w:iCs/>
          <w:color w:val="000000"/>
          <w:sz w:val="22"/>
          <w:szCs w:val="22"/>
        </w:rPr>
        <w:t>but</w:t>
      </w:r>
      <w:r>
        <w:rPr>
          <w:rFonts w:ascii="Arial" w:hAnsi="Arial" w:cs="Arial"/>
          <w:iCs/>
          <w:color w:val="000000"/>
          <w:sz w:val="22"/>
          <w:szCs w:val="22"/>
        </w:rPr>
        <w:t xml:space="preserve"> has declined to do so in a number of environmental and planning matters on the basis of public interest</w:t>
      </w:r>
      <w:r w:rsidR="0010355B">
        <w:rPr>
          <w:rFonts w:ascii="Arial" w:hAnsi="Arial" w:cs="Arial"/>
          <w:iCs/>
          <w:color w:val="000000"/>
          <w:sz w:val="22"/>
          <w:szCs w:val="22"/>
        </w:rPr>
        <w:t>,</w:t>
      </w:r>
      <w:r>
        <w:rPr>
          <w:rFonts w:ascii="Arial" w:hAnsi="Arial" w:cs="Arial"/>
          <w:iCs/>
          <w:color w:val="000000"/>
          <w:sz w:val="22"/>
          <w:szCs w:val="22"/>
        </w:rPr>
        <w:t xml:space="preserve"> and concern that such an order would put an end to proceedings.</w:t>
      </w:r>
      <w:r>
        <w:rPr>
          <w:rStyle w:val="EndnoteReference"/>
          <w:rFonts w:ascii="Arial" w:hAnsi="Arial" w:cs="Arial"/>
          <w:iCs/>
          <w:color w:val="000000"/>
          <w:sz w:val="22"/>
          <w:szCs w:val="22"/>
        </w:rPr>
        <w:endnoteReference w:id="99"/>
      </w:r>
      <w:r>
        <w:rPr>
          <w:rFonts w:ascii="Arial" w:hAnsi="Arial" w:cs="Arial"/>
          <w:iCs/>
          <w:color w:val="000000"/>
          <w:sz w:val="22"/>
          <w:szCs w:val="22"/>
        </w:rPr>
        <w:t xml:space="preserve"> Notwithstanding this trend, we do note that the Court ultimately has complete discretion regarding both security for costs </w:t>
      </w:r>
      <w:r w:rsidRPr="00BD0583">
        <w:rPr>
          <w:rFonts w:ascii="Arial" w:hAnsi="Arial" w:cs="Arial"/>
          <w:i/>
          <w:iCs/>
          <w:color w:val="000000"/>
          <w:sz w:val="22"/>
          <w:szCs w:val="22"/>
        </w:rPr>
        <w:t>and</w:t>
      </w:r>
      <w:r>
        <w:rPr>
          <w:rFonts w:ascii="Arial" w:hAnsi="Arial" w:cs="Arial"/>
          <w:iCs/>
          <w:color w:val="000000"/>
          <w:sz w:val="22"/>
          <w:szCs w:val="22"/>
        </w:rPr>
        <w:t xml:space="preserve"> costs orders, with the Rules stating that ‘the costs of the proceedings in the Court or before a judge are to be in the discretion of the Court or judge.’</w:t>
      </w:r>
      <w:r>
        <w:rPr>
          <w:rStyle w:val="EndnoteReference"/>
          <w:rFonts w:ascii="Arial" w:hAnsi="Arial" w:cs="Arial"/>
          <w:iCs/>
          <w:color w:val="000000"/>
          <w:sz w:val="22"/>
          <w:szCs w:val="22"/>
        </w:rPr>
        <w:endnoteReference w:id="100"/>
      </w:r>
      <w:r>
        <w:rPr>
          <w:rFonts w:ascii="Arial" w:hAnsi="Arial" w:cs="Arial"/>
          <w:iCs/>
          <w:color w:val="000000"/>
          <w:sz w:val="22"/>
          <w:szCs w:val="22"/>
        </w:rPr>
        <w:t xml:space="preserve"> There is therefore scope to introduce specific public interest provisions, thereby providing litigants with a greater degree of certainty regarding the likely financial consequences of commencing proceedings. </w:t>
      </w:r>
    </w:p>
    <w:p w:rsidR="003C0B84" w:rsidRDefault="003C0B84" w:rsidP="009D4622">
      <w:pPr>
        <w:autoSpaceDE w:val="0"/>
        <w:autoSpaceDN w:val="0"/>
        <w:adjustRightInd w:val="0"/>
        <w:spacing w:after="0"/>
        <w:jc w:val="both"/>
        <w:rPr>
          <w:rFonts w:ascii="Arial" w:hAnsi="Arial" w:cs="Arial"/>
          <w:iCs/>
          <w:color w:val="000000"/>
          <w:sz w:val="22"/>
          <w:szCs w:val="22"/>
        </w:rPr>
      </w:pPr>
    </w:p>
    <w:p w:rsidR="003C0B84" w:rsidRDefault="003C0B84" w:rsidP="009D4622">
      <w:pPr>
        <w:autoSpaceDE w:val="0"/>
        <w:autoSpaceDN w:val="0"/>
        <w:adjustRightInd w:val="0"/>
        <w:spacing w:after="0"/>
        <w:jc w:val="both"/>
        <w:rPr>
          <w:rFonts w:ascii="Arial" w:hAnsi="Arial" w:cs="Arial"/>
          <w:color w:val="000000"/>
          <w:sz w:val="22"/>
          <w:szCs w:val="22"/>
        </w:rPr>
      </w:pPr>
      <w:r>
        <w:rPr>
          <w:rFonts w:ascii="Arial" w:hAnsi="Arial" w:cs="Arial"/>
          <w:color w:val="000000"/>
          <w:sz w:val="22"/>
          <w:szCs w:val="22"/>
        </w:rPr>
        <w:t>Similarly in Victoria, the Supreme Court ultimately has complete discretion with respect to security for costs and costs orders.</w:t>
      </w:r>
      <w:r>
        <w:rPr>
          <w:rStyle w:val="EndnoteReference"/>
          <w:rFonts w:ascii="Arial" w:hAnsi="Arial" w:cs="Arial"/>
          <w:color w:val="000000"/>
          <w:sz w:val="22"/>
          <w:szCs w:val="22"/>
        </w:rPr>
        <w:endnoteReference w:id="101"/>
      </w:r>
      <w:r>
        <w:rPr>
          <w:rFonts w:ascii="Arial" w:hAnsi="Arial" w:cs="Arial"/>
          <w:color w:val="000000"/>
          <w:sz w:val="22"/>
          <w:szCs w:val="22"/>
        </w:rPr>
        <w:t xml:space="preserve"> That is, the Act and Rules are silent as to costs in public interest matters. While the Court recently issued a protective costs order in a public interests matter (</w:t>
      </w:r>
      <w:r w:rsidRPr="00701F81">
        <w:rPr>
          <w:rFonts w:ascii="Arial" w:hAnsi="Arial" w:cs="Arial"/>
          <w:i/>
          <w:color w:val="000000"/>
          <w:sz w:val="22"/>
          <w:szCs w:val="22"/>
        </w:rPr>
        <w:t>Bare v Small</w:t>
      </w:r>
      <w:r w:rsidRPr="004A20CF">
        <w:rPr>
          <w:rFonts w:ascii="Arial" w:hAnsi="Arial" w:cs="Arial"/>
          <w:color w:val="000000"/>
          <w:sz w:val="22"/>
          <w:szCs w:val="22"/>
        </w:rPr>
        <w:t>)</w:t>
      </w:r>
      <w:r>
        <w:rPr>
          <w:rFonts w:ascii="Arial" w:hAnsi="Arial" w:cs="Arial"/>
          <w:color w:val="000000"/>
          <w:sz w:val="22"/>
          <w:szCs w:val="22"/>
        </w:rPr>
        <w:t>,</w:t>
      </w:r>
      <w:r>
        <w:rPr>
          <w:rStyle w:val="EndnoteReference"/>
          <w:rFonts w:ascii="Arial" w:hAnsi="Arial" w:cs="Arial"/>
          <w:color w:val="000000"/>
          <w:sz w:val="22"/>
          <w:szCs w:val="22"/>
        </w:rPr>
        <w:endnoteReference w:id="102"/>
      </w:r>
      <w:r>
        <w:rPr>
          <w:rFonts w:ascii="Arial" w:hAnsi="Arial" w:cs="Arial"/>
          <w:color w:val="000000"/>
          <w:sz w:val="22"/>
          <w:szCs w:val="22"/>
        </w:rPr>
        <w:t xml:space="preserve"> this was an exceptional ruling.</w:t>
      </w:r>
    </w:p>
    <w:p w:rsidR="003C0B84" w:rsidRDefault="003C0B84" w:rsidP="009D4622">
      <w:pPr>
        <w:autoSpaceDE w:val="0"/>
        <w:autoSpaceDN w:val="0"/>
        <w:adjustRightInd w:val="0"/>
        <w:spacing w:after="0"/>
        <w:jc w:val="both"/>
        <w:rPr>
          <w:rFonts w:ascii="Arial" w:hAnsi="Arial" w:cs="Arial"/>
          <w:color w:val="000000"/>
          <w:sz w:val="22"/>
          <w:szCs w:val="22"/>
        </w:rPr>
      </w:pPr>
    </w:p>
    <w:p w:rsidR="003C0B84" w:rsidRDefault="003C0B84" w:rsidP="00265F73">
      <w:pPr>
        <w:autoSpaceDE w:val="0"/>
        <w:autoSpaceDN w:val="0"/>
        <w:adjustRightInd w:val="0"/>
        <w:spacing w:after="0"/>
        <w:jc w:val="both"/>
        <w:rPr>
          <w:rFonts w:ascii="Arial" w:hAnsi="Arial" w:cs="Arial"/>
          <w:color w:val="000000"/>
          <w:sz w:val="22"/>
          <w:szCs w:val="22"/>
        </w:rPr>
      </w:pPr>
      <w:r>
        <w:rPr>
          <w:rFonts w:ascii="Arial" w:hAnsi="Arial" w:cs="Arial"/>
          <w:color w:val="000000"/>
          <w:sz w:val="22"/>
          <w:szCs w:val="22"/>
        </w:rPr>
        <w:t xml:space="preserve">Finally, ANEDO submits </w:t>
      </w:r>
      <w:r w:rsidRPr="00265F73">
        <w:rPr>
          <w:rFonts w:ascii="Arial" w:hAnsi="Arial" w:cs="Arial"/>
          <w:color w:val="000000"/>
          <w:sz w:val="22"/>
          <w:szCs w:val="22"/>
        </w:rPr>
        <w:t xml:space="preserve">that </w:t>
      </w:r>
      <w:r>
        <w:rPr>
          <w:rFonts w:ascii="Arial" w:hAnsi="Arial" w:cs="Arial"/>
          <w:color w:val="000000"/>
          <w:sz w:val="22"/>
          <w:szCs w:val="22"/>
        </w:rPr>
        <w:t xml:space="preserve">while 40.51 </w:t>
      </w:r>
      <w:r w:rsidRPr="00265F73">
        <w:rPr>
          <w:rFonts w:ascii="Arial" w:hAnsi="Arial" w:cs="Arial"/>
          <w:color w:val="000000"/>
          <w:sz w:val="22"/>
          <w:szCs w:val="22"/>
        </w:rPr>
        <w:t xml:space="preserve">of the Federal Court Rules currently provides an opportunity for </w:t>
      </w:r>
      <w:r>
        <w:rPr>
          <w:rFonts w:ascii="Arial" w:hAnsi="Arial" w:cs="Arial"/>
          <w:color w:val="000000"/>
          <w:sz w:val="22"/>
          <w:szCs w:val="22"/>
        </w:rPr>
        <w:t xml:space="preserve">a party to apply for a maximum costs order, </w:t>
      </w:r>
      <w:r w:rsidRPr="00265F73">
        <w:rPr>
          <w:rFonts w:ascii="Arial" w:hAnsi="Arial" w:cs="Arial"/>
          <w:color w:val="000000"/>
          <w:sz w:val="22"/>
          <w:szCs w:val="22"/>
        </w:rPr>
        <w:t xml:space="preserve">this is not sufficient and </w:t>
      </w:r>
      <w:r w:rsidRPr="00265F73">
        <w:rPr>
          <w:rFonts w:ascii="Arial" w:hAnsi="Arial" w:cs="Arial"/>
          <w:color w:val="000000"/>
          <w:sz w:val="22"/>
          <w:szCs w:val="22"/>
        </w:rPr>
        <w:lastRenderedPageBreak/>
        <w:t>does not give public interest litigants sufficient protection.</w:t>
      </w:r>
      <w:r>
        <w:rPr>
          <w:rFonts w:ascii="Arial" w:hAnsi="Arial" w:cs="Arial"/>
          <w:color w:val="000000"/>
          <w:sz w:val="22"/>
          <w:szCs w:val="22"/>
        </w:rPr>
        <w:t xml:space="preserve"> We also note that these Rules do not provide for wa</w:t>
      </w:r>
      <w:r w:rsidR="0010355B">
        <w:rPr>
          <w:rFonts w:ascii="Arial" w:hAnsi="Arial" w:cs="Arial"/>
          <w:color w:val="000000"/>
          <w:sz w:val="22"/>
          <w:szCs w:val="22"/>
        </w:rPr>
        <w:t>i</w:t>
      </w:r>
      <w:r>
        <w:rPr>
          <w:rFonts w:ascii="Arial" w:hAnsi="Arial" w:cs="Arial"/>
          <w:color w:val="000000"/>
          <w:sz w:val="22"/>
          <w:szCs w:val="22"/>
        </w:rPr>
        <w:t xml:space="preserve">ver of security for costs in public interest matters. </w:t>
      </w:r>
    </w:p>
    <w:p w:rsidR="003C0B84" w:rsidRDefault="003C0B84" w:rsidP="00265F73">
      <w:pPr>
        <w:autoSpaceDE w:val="0"/>
        <w:autoSpaceDN w:val="0"/>
        <w:adjustRightInd w:val="0"/>
        <w:spacing w:after="0"/>
        <w:jc w:val="both"/>
        <w:rPr>
          <w:rFonts w:ascii="Arial" w:hAnsi="Arial" w:cs="Arial"/>
          <w:color w:val="000000"/>
          <w:sz w:val="22"/>
          <w:szCs w:val="22"/>
        </w:rPr>
      </w:pPr>
    </w:p>
    <w:tbl>
      <w:tblPr>
        <w:tblStyle w:val="TableGrid"/>
        <w:tblW w:w="0" w:type="auto"/>
        <w:tblLook w:val="04A0" w:firstRow="1" w:lastRow="0" w:firstColumn="1" w:lastColumn="0" w:noHBand="0" w:noVBand="1"/>
      </w:tblPr>
      <w:tblGrid>
        <w:gridCol w:w="8886"/>
      </w:tblGrid>
      <w:tr w:rsidR="003C0B84" w:rsidTr="002E4CCF">
        <w:tc>
          <w:tcPr>
            <w:tcW w:w="8886" w:type="dxa"/>
          </w:tcPr>
          <w:p w:rsidR="003C0B84" w:rsidRPr="00DF35DF" w:rsidRDefault="003C0B84" w:rsidP="002E4CCF">
            <w:pPr>
              <w:jc w:val="both"/>
              <w:rPr>
                <w:rFonts w:ascii="Arial" w:hAnsi="Arial" w:cs="Arial"/>
                <w:b/>
                <w:sz w:val="22"/>
                <w:szCs w:val="22"/>
              </w:rPr>
            </w:pPr>
            <w:r w:rsidRPr="00DF35DF">
              <w:rPr>
                <w:rFonts w:ascii="Arial" w:hAnsi="Arial" w:cs="Arial"/>
                <w:b/>
                <w:sz w:val="22"/>
                <w:szCs w:val="22"/>
              </w:rPr>
              <w:t xml:space="preserve">Case study: adverse costs order against public interest environmental litigant in Federal Court </w:t>
            </w:r>
          </w:p>
          <w:p w:rsidR="003C0B84" w:rsidRPr="00DF35DF" w:rsidRDefault="003C0B84" w:rsidP="002E4CCF">
            <w:pPr>
              <w:spacing w:after="200" w:line="276" w:lineRule="auto"/>
              <w:jc w:val="both"/>
              <w:rPr>
                <w:rFonts w:ascii="Arial" w:hAnsi="Arial" w:cs="Arial"/>
                <w:sz w:val="22"/>
                <w:szCs w:val="22"/>
              </w:rPr>
            </w:pPr>
            <w:r w:rsidRPr="00DF35DF">
              <w:rPr>
                <w:rFonts w:ascii="Arial" w:hAnsi="Arial" w:cs="Arial"/>
                <w:sz w:val="22"/>
                <w:szCs w:val="22"/>
              </w:rPr>
              <w:t xml:space="preserve">EDO NSW, on behalf of Bat Advocacy NSW </w:t>
            </w:r>
            <w:proofErr w:type="spellStart"/>
            <w:r w:rsidRPr="00DF35DF">
              <w:rPr>
                <w:rFonts w:ascii="Arial" w:hAnsi="Arial" w:cs="Arial"/>
                <w:sz w:val="22"/>
                <w:szCs w:val="22"/>
              </w:rPr>
              <w:t>Inc</w:t>
            </w:r>
            <w:proofErr w:type="spellEnd"/>
            <w:r w:rsidRPr="00DF35DF">
              <w:rPr>
                <w:rFonts w:ascii="Arial" w:hAnsi="Arial" w:cs="Arial"/>
                <w:sz w:val="22"/>
                <w:szCs w:val="22"/>
              </w:rPr>
              <w:t>, b</w:t>
            </w:r>
            <w:r w:rsidR="0010355B">
              <w:rPr>
                <w:rFonts w:ascii="Arial" w:hAnsi="Arial" w:cs="Arial"/>
                <w:sz w:val="22"/>
                <w:szCs w:val="22"/>
              </w:rPr>
              <w:t>r</w:t>
            </w:r>
            <w:r w:rsidRPr="00DF35DF">
              <w:rPr>
                <w:rFonts w:ascii="Arial" w:hAnsi="Arial" w:cs="Arial"/>
                <w:sz w:val="22"/>
                <w:szCs w:val="22"/>
              </w:rPr>
              <w:t xml:space="preserve">ought proceedings in the Federal Court challenging a decision of the Minister for Environment Protection, Heritage and the Arts under the EPBC Act to approve the dispersal of grey-headed flying-foxes from the Royal Botanic Gardens in Sydney. </w:t>
            </w:r>
          </w:p>
          <w:p w:rsidR="003C0B84" w:rsidRPr="00DF35DF" w:rsidRDefault="003C0B84" w:rsidP="002E4CCF">
            <w:pPr>
              <w:spacing w:after="200" w:line="276" w:lineRule="auto"/>
              <w:jc w:val="both"/>
              <w:rPr>
                <w:rFonts w:ascii="Arial" w:hAnsi="Arial" w:cs="Arial"/>
                <w:sz w:val="22"/>
                <w:szCs w:val="22"/>
              </w:rPr>
            </w:pPr>
            <w:r w:rsidRPr="00DF35DF">
              <w:rPr>
                <w:rFonts w:ascii="Arial" w:hAnsi="Arial" w:cs="Arial"/>
                <w:sz w:val="22"/>
                <w:szCs w:val="22"/>
              </w:rPr>
              <w:t xml:space="preserve">In </w:t>
            </w:r>
            <w:r w:rsidRPr="00DF35DF">
              <w:rPr>
                <w:rFonts w:ascii="Arial" w:hAnsi="Arial" w:cs="Arial"/>
                <w:i/>
                <w:iCs/>
                <w:sz w:val="22"/>
                <w:szCs w:val="22"/>
              </w:rPr>
              <w:t xml:space="preserve">Bat Advocacy NSW Inc v Minister for Environment Protection, Heritage and the Arts </w:t>
            </w:r>
            <w:r w:rsidRPr="00DF35DF">
              <w:rPr>
                <w:rFonts w:ascii="Arial" w:hAnsi="Arial" w:cs="Arial"/>
                <w:sz w:val="22"/>
                <w:szCs w:val="22"/>
              </w:rPr>
              <w:t xml:space="preserve">[2011] </w:t>
            </w:r>
            <w:proofErr w:type="spellStart"/>
            <w:r w:rsidRPr="00DF35DF">
              <w:rPr>
                <w:rFonts w:ascii="Arial" w:hAnsi="Arial" w:cs="Arial"/>
                <w:sz w:val="22"/>
                <w:szCs w:val="22"/>
              </w:rPr>
              <w:t>FCA</w:t>
            </w:r>
            <w:proofErr w:type="spellEnd"/>
            <w:r w:rsidRPr="00DF35DF">
              <w:rPr>
                <w:rFonts w:ascii="Arial" w:hAnsi="Arial" w:cs="Arial"/>
                <w:sz w:val="22"/>
                <w:szCs w:val="22"/>
              </w:rPr>
              <w:t xml:space="preserve"> 113, Justice </w:t>
            </w:r>
            <w:proofErr w:type="spellStart"/>
            <w:r w:rsidRPr="00DF35DF">
              <w:rPr>
                <w:rFonts w:ascii="Arial" w:hAnsi="Arial" w:cs="Arial"/>
                <w:sz w:val="22"/>
                <w:szCs w:val="22"/>
              </w:rPr>
              <w:t>Cowdroy</w:t>
            </w:r>
            <w:proofErr w:type="spellEnd"/>
            <w:r w:rsidRPr="00DF35DF">
              <w:rPr>
                <w:rFonts w:ascii="Arial" w:hAnsi="Arial" w:cs="Arial"/>
                <w:sz w:val="22"/>
                <w:szCs w:val="22"/>
              </w:rPr>
              <w:t xml:space="preserve"> dismissed the application, rejecting all four grounds of appeal. The Court was satisfied that the Minister had regard to the impact of the action on critical habitat, social matters, the term of the approval and matters raised in public submissions, taking into account the documents before the Minister and the conditions of consent imposed. </w:t>
            </w:r>
          </w:p>
          <w:p w:rsidR="003C0B84" w:rsidRPr="002E4CCF" w:rsidRDefault="003C0B84" w:rsidP="002E4CCF">
            <w:pPr>
              <w:spacing w:after="200" w:line="276" w:lineRule="auto"/>
              <w:jc w:val="both"/>
              <w:rPr>
                <w:rFonts w:ascii="Arial" w:hAnsi="Arial" w:cs="Arial"/>
              </w:rPr>
            </w:pPr>
            <w:r w:rsidRPr="00DF35DF">
              <w:rPr>
                <w:rFonts w:ascii="Arial" w:hAnsi="Arial" w:cs="Arial"/>
                <w:sz w:val="22"/>
                <w:szCs w:val="22"/>
              </w:rPr>
              <w:t xml:space="preserve">Bat Advocacy appealed </w:t>
            </w:r>
            <w:proofErr w:type="spellStart"/>
            <w:r w:rsidRPr="00DF35DF">
              <w:rPr>
                <w:rFonts w:ascii="Arial" w:hAnsi="Arial" w:cs="Arial"/>
                <w:sz w:val="22"/>
                <w:szCs w:val="22"/>
              </w:rPr>
              <w:t>Cowdroy’s</w:t>
            </w:r>
            <w:proofErr w:type="spellEnd"/>
            <w:r w:rsidRPr="00DF35DF">
              <w:rPr>
                <w:rFonts w:ascii="Arial" w:hAnsi="Arial" w:cs="Arial"/>
                <w:sz w:val="22"/>
                <w:szCs w:val="22"/>
              </w:rPr>
              <w:t xml:space="preserve"> decision in relation to ground one only. The Full Court of the Federal Court dismissed the appeal </w:t>
            </w:r>
            <w:r w:rsidRPr="00DF35DF">
              <w:rPr>
                <w:rFonts w:ascii="Arial" w:hAnsi="Arial" w:cs="Arial"/>
                <w:i/>
                <w:sz w:val="22"/>
                <w:szCs w:val="22"/>
              </w:rPr>
              <w:t>in Bat Advocacy NSW Inc v Minister for Environment Protection, Heritage and the Arts [2011] FCAFC 59.</w:t>
            </w:r>
            <w:r w:rsidRPr="00DF35DF">
              <w:rPr>
                <w:rFonts w:ascii="Arial" w:hAnsi="Arial" w:cs="Arial"/>
                <w:sz w:val="22"/>
                <w:szCs w:val="22"/>
              </w:rPr>
              <w:t xml:space="preserve"> Bat Advocacy made submissions that it should not be required to pay costs as the proceedings were b</w:t>
            </w:r>
            <w:r w:rsidR="0010355B">
              <w:rPr>
                <w:rFonts w:ascii="Arial" w:hAnsi="Arial" w:cs="Arial"/>
                <w:sz w:val="22"/>
                <w:szCs w:val="22"/>
              </w:rPr>
              <w:t>r</w:t>
            </w:r>
            <w:r w:rsidRPr="00DF35DF">
              <w:rPr>
                <w:rFonts w:ascii="Arial" w:hAnsi="Arial" w:cs="Arial"/>
                <w:sz w:val="22"/>
                <w:szCs w:val="22"/>
              </w:rPr>
              <w:t xml:space="preserve">ought in the public interest. In </w:t>
            </w:r>
            <w:r w:rsidRPr="00DF35DF">
              <w:rPr>
                <w:rFonts w:ascii="Arial" w:hAnsi="Arial" w:cs="Arial"/>
                <w:i/>
                <w:iCs/>
                <w:sz w:val="22"/>
                <w:szCs w:val="22"/>
              </w:rPr>
              <w:t>Bat Advocacy NSW Inc v Minister for Environment Protection, Heritage and the Arts (No 2)</w:t>
            </w:r>
            <w:r w:rsidRPr="00DF35DF">
              <w:rPr>
                <w:rFonts w:ascii="Arial" w:hAnsi="Arial" w:cs="Arial"/>
                <w:sz w:val="22"/>
                <w:szCs w:val="22"/>
              </w:rPr>
              <w:t xml:space="preserve"> [2011] FCAFC 84 the Full Court rejected its application, finding that Bat Advocacy had not make out a basis for a special costs order.</w:t>
            </w:r>
          </w:p>
        </w:tc>
      </w:tr>
    </w:tbl>
    <w:p w:rsidR="003C0B84" w:rsidRDefault="003C0B84" w:rsidP="00C32281">
      <w:pPr>
        <w:tabs>
          <w:tab w:val="left" w:pos="6992"/>
        </w:tabs>
        <w:autoSpaceDE w:val="0"/>
        <w:autoSpaceDN w:val="0"/>
        <w:adjustRightInd w:val="0"/>
        <w:spacing w:after="0"/>
        <w:jc w:val="both"/>
        <w:rPr>
          <w:rFonts w:ascii="Arial" w:hAnsi="Arial" w:cs="Arial"/>
          <w:color w:val="000000"/>
          <w:sz w:val="22"/>
          <w:szCs w:val="22"/>
        </w:rPr>
      </w:pPr>
      <w:r>
        <w:rPr>
          <w:rFonts w:ascii="Arial" w:hAnsi="Arial" w:cs="Arial"/>
          <w:color w:val="000000"/>
          <w:sz w:val="22"/>
          <w:szCs w:val="22"/>
        </w:rPr>
        <w:tab/>
      </w:r>
    </w:p>
    <w:p w:rsidR="003C0B84" w:rsidRDefault="003C0B84" w:rsidP="00A037A5">
      <w:pPr>
        <w:keepNext/>
        <w:autoSpaceDE w:val="0"/>
        <w:autoSpaceDN w:val="0"/>
        <w:adjustRightInd w:val="0"/>
        <w:spacing w:after="0"/>
        <w:jc w:val="both"/>
        <w:rPr>
          <w:rFonts w:ascii="Arial" w:hAnsi="Arial" w:cs="Arial"/>
          <w:b/>
          <w:i/>
          <w:color w:val="000000"/>
          <w:sz w:val="22"/>
          <w:szCs w:val="22"/>
          <w:lang w:val="en-US"/>
        </w:rPr>
      </w:pPr>
      <w:r w:rsidRPr="00187876">
        <w:rPr>
          <w:rFonts w:ascii="Arial" w:hAnsi="Arial" w:cs="Arial"/>
          <w:b/>
          <w:i/>
          <w:color w:val="000000"/>
          <w:sz w:val="22"/>
          <w:szCs w:val="22"/>
          <w:lang w:val="en-US"/>
        </w:rPr>
        <w:t>Recommendations</w:t>
      </w:r>
    </w:p>
    <w:p w:rsidR="003C0B84" w:rsidRDefault="003C0B84" w:rsidP="00A037A5">
      <w:pPr>
        <w:keepNext/>
        <w:autoSpaceDE w:val="0"/>
        <w:autoSpaceDN w:val="0"/>
        <w:adjustRightInd w:val="0"/>
        <w:spacing w:after="0"/>
        <w:jc w:val="both"/>
        <w:rPr>
          <w:rFonts w:ascii="Arial" w:hAnsi="Arial" w:cs="Arial"/>
          <w:color w:val="000000"/>
          <w:sz w:val="22"/>
          <w:szCs w:val="22"/>
        </w:rPr>
      </w:pPr>
    </w:p>
    <w:p w:rsidR="003971FB" w:rsidRDefault="003971FB" w:rsidP="003971FB">
      <w:pPr>
        <w:pStyle w:val="ListParagraph"/>
        <w:numPr>
          <w:ilvl w:val="0"/>
          <w:numId w:val="33"/>
        </w:numPr>
        <w:autoSpaceDE w:val="0"/>
        <w:autoSpaceDN w:val="0"/>
        <w:adjustRightInd w:val="0"/>
        <w:spacing w:after="0"/>
        <w:jc w:val="both"/>
        <w:rPr>
          <w:rFonts w:ascii="Arial" w:hAnsi="Arial" w:cs="Arial"/>
          <w:i/>
          <w:color w:val="000000"/>
          <w:sz w:val="22"/>
          <w:szCs w:val="22"/>
        </w:rPr>
      </w:pPr>
      <w:r>
        <w:rPr>
          <w:rFonts w:ascii="Arial" w:hAnsi="Arial" w:cs="Arial"/>
          <w:i/>
          <w:color w:val="000000"/>
          <w:sz w:val="22"/>
          <w:szCs w:val="22"/>
        </w:rPr>
        <w:t>To reduce costs barriers to access to justice, the preferred position would be to allow m</w:t>
      </w:r>
      <w:r w:rsidRPr="003971FB">
        <w:rPr>
          <w:rFonts w:ascii="Arial" w:hAnsi="Arial" w:cs="Arial"/>
          <w:i/>
          <w:color w:val="000000"/>
          <w:sz w:val="22"/>
          <w:szCs w:val="22"/>
        </w:rPr>
        <w:t xml:space="preserve">erits review, judicial review and third party enforcement </w:t>
      </w:r>
      <w:r>
        <w:rPr>
          <w:rFonts w:ascii="Arial" w:hAnsi="Arial" w:cs="Arial"/>
          <w:i/>
          <w:color w:val="000000"/>
          <w:sz w:val="22"/>
          <w:szCs w:val="22"/>
        </w:rPr>
        <w:t>to be</w:t>
      </w:r>
      <w:r w:rsidRPr="003971FB">
        <w:rPr>
          <w:rFonts w:ascii="Arial" w:hAnsi="Arial" w:cs="Arial"/>
          <w:i/>
          <w:color w:val="000000"/>
          <w:sz w:val="22"/>
          <w:szCs w:val="22"/>
        </w:rPr>
        <w:t xml:space="preserve"> </w:t>
      </w:r>
      <w:r>
        <w:rPr>
          <w:rFonts w:ascii="Arial" w:hAnsi="Arial" w:cs="Arial"/>
          <w:i/>
          <w:color w:val="000000"/>
          <w:sz w:val="22"/>
          <w:szCs w:val="22"/>
        </w:rPr>
        <w:t xml:space="preserve">undertaken in </w:t>
      </w:r>
      <w:r w:rsidRPr="003971FB">
        <w:rPr>
          <w:rFonts w:ascii="Arial" w:hAnsi="Arial" w:cs="Arial"/>
          <w:i/>
          <w:color w:val="000000"/>
          <w:sz w:val="22"/>
          <w:szCs w:val="22"/>
        </w:rPr>
        <w:t xml:space="preserve">‘own costs’ </w:t>
      </w:r>
      <w:r>
        <w:rPr>
          <w:rFonts w:ascii="Arial" w:hAnsi="Arial" w:cs="Arial"/>
          <w:i/>
          <w:color w:val="000000"/>
          <w:sz w:val="22"/>
          <w:szCs w:val="22"/>
        </w:rPr>
        <w:t>jurisdictions. (Alternative options to promote access to justice follow.)</w:t>
      </w:r>
    </w:p>
    <w:p w:rsidR="003971FB" w:rsidRDefault="003971FB" w:rsidP="00D92D16">
      <w:pPr>
        <w:pStyle w:val="ListParagraph"/>
        <w:autoSpaceDE w:val="0"/>
        <w:autoSpaceDN w:val="0"/>
        <w:adjustRightInd w:val="0"/>
        <w:spacing w:after="0"/>
        <w:ind w:left="360"/>
        <w:jc w:val="both"/>
        <w:rPr>
          <w:rFonts w:ascii="Arial" w:hAnsi="Arial" w:cs="Arial"/>
          <w:i/>
          <w:color w:val="000000"/>
          <w:sz w:val="22"/>
          <w:szCs w:val="22"/>
        </w:rPr>
      </w:pPr>
    </w:p>
    <w:p w:rsidR="003C0B84" w:rsidRPr="00A037A5" w:rsidRDefault="003C0B84" w:rsidP="00DF35DF">
      <w:pPr>
        <w:pStyle w:val="ListParagraph"/>
        <w:numPr>
          <w:ilvl w:val="0"/>
          <w:numId w:val="33"/>
        </w:numPr>
        <w:autoSpaceDE w:val="0"/>
        <w:autoSpaceDN w:val="0"/>
        <w:adjustRightInd w:val="0"/>
        <w:spacing w:after="0"/>
        <w:jc w:val="both"/>
        <w:rPr>
          <w:rFonts w:ascii="Arial" w:hAnsi="Arial" w:cs="Arial"/>
          <w:i/>
          <w:color w:val="000000"/>
          <w:sz w:val="22"/>
          <w:szCs w:val="22"/>
        </w:rPr>
      </w:pPr>
      <w:r w:rsidRPr="00A037A5">
        <w:rPr>
          <w:rFonts w:ascii="Arial" w:hAnsi="Arial" w:cs="Arial"/>
          <w:i/>
          <w:color w:val="000000"/>
          <w:sz w:val="22"/>
          <w:szCs w:val="22"/>
        </w:rPr>
        <w:t xml:space="preserve">Relevant rules in each jurisdiction should be amended to provide for public interest litigants to be exempted from security for costs. </w:t>
      </w:r>
    </w:p>
    <w:p w:rsidR="003C0B84" w:rsidRPr="00A037A5" w:rsidRDefault="003C0B84" w:rsidP="0095196C">
      <w:pPr>
        <w:pStyle w:val="ListParagraph"/>
        <w:rPr>
          <w:rFonts w:ascii="Arial" w:hAnsi="Arial" w:cs="Arial"/>
          <w:i/>
          <w:color w:val="000000"/>
          <w:sz w:val="22"/>
          <w:szCs w:val="22"/>
        </w:rPr>
      </w:pPr>
    </w:p>
    <w:p w:rsidR="003971FB" w:rsidRDefault="003C0B84" w:rsidP="00DF35DF">
      <w:pPr>
        <w:pStyle w:val="ListParagraph"/>
        <w:numPr>
          <w:ilvl w:val="0"/>
          <w:numId w:val="33"/>
        </w:numPr>
        <w:autoSpaceDE w:val="0"/>
        <w:autoSpaceDN w:val="0"/>
        <w:adjustRightInd w:val="0"/>
        <w:spacing w:after="0"/>
        <w:jc w:val="both"/>
        <w:rPr>
          <w:rFonts w:ascii="Arial" w:hAnsi="Arial" w:cs="Arial"/>
          <w:i/>
          <w:color w:val="000000"/>
          <w:sz w:val="22"/>
          <w:szCs w:val="22"/>
        </w:rPr>
      </w:pPr>
      <w:r w:rsidRPr="00A037A5">
        <w:rPr>
          <w:rFonts w:ascii="Arial" w:hAnsi="Arial" w:cs="Arial"/>
          <w:i/>
          <w:color w:val="000000"/>
          <w:sz w:val="22"/>
          <w:szCs w:val="22"/>
        </w:rPr>
        <w:t>Relevant rules in each jurisdiction should be amended to provide that unsuccessful public interest litigants be exempted from paying costs.</w:t>
      </w:r>
    </w:p>
    <w:p w:rsidR="003971FB" w:rsidRPr="00D92D16" w:rsidRDefault="003971FB" w:rsidP="00D92D16">
      <w:pPr>
        <w:pStyle w:val="ListParagraph"/>
        <w:rPr>
          <w:rFonts w:ascii="Arial" w:hAnsi="Arial" w:cs="Arial"/>
          <w:i/>
          <w:color w:val="000000"/>
          <w:sz w:val="22"/>
          <w:szCs w:val="22"/>
        </w:rPr>
      </w:pPr>
    </w:p>
    <w:p w:rsidR="003971FB" w:rsidRPr="00A037A5" w:rsidRDefault="003C0B84" w:rsidP="003971FB">
      <w:pPr>
        <w:pStyle w:val="ListParagraph"/>
        <w:numPr>
          <w:ilvl w:val="0"/>
          <w:numId w:val="33"/>
        </w:numPr>
        <w:autoSpaceDE w:val="0"/>
        <w:autoSpaceDN w:val="0"/>
        <w:adjustRightInd w:val="0"/>
        <w:spacing w:after="0"/>
        <w:jc w:val="both"/>
        <w:rPr>
          <w:rFonts w:ascii="Arial" w:hAnsi="Arial" w:cs="Arial"/>
          <w:i/>
          <w:color w:val="000000"/>
          <w:sz w:val="22"/>
          <w:szCs w:val="22"/>
        </w:rPr>
      </w:pPr>
      <w:r w:rsidRPr="00A037A5">
        <w:rPr>
          <w:rFonts w:ascii="Arial" w:hAnsi="Arial" w:cs="Arial"/>
          <w:i/>
          <w:color w:val="000000"/>
          <w:sz w:val="22"/>
          <w:szCs w:val="22"/>
        </w:rPr>
        <w:t xml:space="preserve"> </w:t>
      </w:r>
      <w:r w:rsidR="003971FB" w:rsidRPr="00A037A5">
        <w:rPr>
          <w:rFonts w:ascii="Arial" w:hAnsi="Arial" w:cs="Arial"/>
          <w:i/>
          <w:color w:val="000000"/>
          <w:sz w:val="22"/>
          <w:szCs w:val="22"/>
        </w:rPr>
        <w:t>Relevant rules in each jurisdiction should include criteria to determine whether a matter may be properly classified as one that is in the public interest.</w:t>
      </w:r>
      <w:r w:rsidR="00474C85">
        <w:rPr>
          <w:rStyle w:val="EndnoteReference"/>
          <w:rFonts w:ascii="Arial" w:hAnsi="Arial" w:cs="Arial"/>
          <w:i/>
          <w:color w:val="000000"/>
          <w:sz w:val="22"/>
          <w:szCs w:val="22"/>
        </w:rPr>
        <w:endnoteReference w:id="103"/>
      </w:r>
      <w:r w:rsidR="003971FB" w:rsidRPr="00A037A5">
        <w:rPr>
          <w:rFonts w:ascii="Arial" w:hAnsi="Arial" w:cs="Arial"/>
          <w:i/>
          <w:color w:val="000000"/>
          <w:sz w:val="22"/>
          <w:szCs w:val="22"/>
        </w:rPr>
        <w:t xml:space="preserve"> </w:t>
      </w:r>
    </w:p>
    <w:p w:rsidR="00444A1B" w:rsidRPr="00444A1B" w:rsidRDefault="00444A1B" w:rsidP="00444A1B">
      <w:pPr>
        <w:autoSpaceDE w:val="0"/>
        <w:autoSpaceDN w:val="0"/>
        <w:adjustRightInd w:val="0"/>
        <w:spacing w:after="0"/>
        <w:jc w:val="both"/>
        <w:rPr>
          <w:rFonts w:ascii="Arial" w:hAnsi="Arial" w:cs="Arial"/>
          <w:color w:val="000000"/>
          <w:sz w:val="22"/>
          <w:szCs w:val="22"/>
        </w:rPr>
      </w:pPr>
    </w:p>
    <w:p w:rsidR="003C0B84" w:rsidRPr="00A9458F" w:rsidRDefault="003C0B84" w:rsidP="00444A1B">
      <w:pPr>
        <w:pStyle w:val="PolicyHeading2"/>
        <w:keepNext/>
        <w:numPr>
          <w:ilvl w:val="0"/>
          <w:numId w:val="3"/>
        </w:numPr>
        <w:spacing w:beforeAutospacing="0" w:afterAutospacing="0"/>
        <w:rPr>
          <w:rFonts w:ascii="Arial" w:hAnsi="Arial" w:cs="Arial"/>
          <w:b w:val="0"/>
          <w:sz w:val="22"/>
          <w:szCs w:val="22"/>
        </w:rPr>
      </w:pPr>
      <w:r>
        <w:rPr>
          <w:rStyle w:val="Heading1Char"/>
          <w:b/>
          <w:sz w:val="22"/>
          <w:szCs w:val="22"/>
        </w:rPr>
        <w:t>Specialist courts</w:t>
      </w:r>
      <w:r w:rsidRPr="00A9458F">
        <w:rPr>
          <w:rStyle w:val="Heading1Char"/>
          <w:b/>
          <w:sz w:val="22"/>
          <w:szCs w:val="22"/>
        </w:rPr>
        <w:t xml:space="preserve"> </w:t>
      </w:r>
    </w:p>
    <w:p w:rsidR="003C0B84" w:rsidRPr="00EF0B43" w:rsidRDefault="003C0B84" w:rsidP="00444A1B">
      <w:pPr>
        <w:keepNext/>
        <w:autoSpaceDE w:val="0"/>
        <w:autoSpaceDN w:val="0"/>
        <w:adjustRightInd w:val="0"/>
        <w:spacing w:after="0"/>
        <w:jc w:val="both"/>
        <w:rPr>
          <w:rFonts w:ascii="Arial" w:hAnsi="Arial" w:cs="Arial"/>
          <w:color w:val="000000"/>
          <w:sz w:val="22"/>
          <w:szCs w:val="22"/>
        </w:rPr>
      </w:pPr>
    </w:p>
    <w:p w:rsidR="003C0B84" w:rsidRPr="00C26D54" w:rsidRDefault="003C0B84" w:rsidP="00444A1B">
      <w:pPr>
        <w:pStyle w:val="ListParagraph"/>
        <w:keepNext/>
        <w:numPr>
          <w:ilvl w:val="0"/>
          <w:numId w:val="11"/>
        </w:numPr>
        <w:autoSpaceDE w:val="0"/>
        <w:autoSpaceDN w:val="0"/>
        <w:adjustRightInd w:val="0"/>
        <w:spacing w:after="0"/>
        <w:jc w:val="both"/>
        <w:rPr>
          <w:rFonts w:ascii="Arial" w:hAnsi="Arial" w:cs="Arial"/>
          <w:b/>
          <w:i/>
          <w:color w:val="000000"/>
          <w:sz w:val="22"/>
          <w:szCs w:val="22"/>
        </w:rPr>
      </w:pPr>
      <w:r w:rsidRPr="00C26D54">
        <w:rPr>
          <w:rFonts w:ascii="Arial" w:hAnsi="Arial" w:cs="Arial"/>
          <w:b/>
          <w:i/>
          <w:color w:val="000000"/>
          <w:sz w:val="22"/>
          <w:szCs w:val="22"/>
        </w:rPr>
        <w:t xml:space="preserve">Background </w:t>
      </w:r>
    </w:p>
    <w:p w:rsidR="003C0B84" w:rsidRDefault="003C0B84" w:rsidP="00444A1B">
      <w:pPr>
        <w:keepNext/>
        <w:autoSpaceDE w:val="0"/>
        <w:autoSpaceDN w:val="0"/>
        <w:adjustRightInd w:val="0"/>
        <w:spacing w:after="0"/>
        <w:jc w:val="both"/>
        <w:rPr>
          <w:rFonts w:ascii="Arial" w:hAnsi="Arial" w:cs="Arial"/>
          <w:b/>
          <w:i/>
          <w:color w:val="000000"/>
          <w:sz w:val="22"/>
          <w:szCs w:val="22"/>
        </w:rPr>
      </w:pPr>
    </w:p>
    <w:p w:rsidR="003C0B84" w:rsidRDefault="003C0B84" w:rsidP="0060002C">
      <w:pPr>
        <w:autoSpaceDE w:val="0"/>
        <w:autoSpaceDN w:val="0"/>
        <w:adjustRightInd w:val="0"/>
        <w:spacing w:after="0"/>
        <w:jc w:val="both"/>
        <w:rPr>
          <w:rFonts w:ascii="Arial" w:hAnsi="Arial" w:cs="Arial"/>
          <w:color w:val="000000"/>
          <w:sz w:val="22"/>
          <w:szCs w:val="22"/>
        </w:rPr>
      </w:pPr>
      <w:r>
        <w:rPr>
          <w:rFonts w:ascii="Arial" w:hAnsi="Arial" w:cs="Arial"/>
          <w:color w:val="000000"/>
          <w:sz w:val="22"/>
          <w:szCs w:val="22"/>
        </w:rPr>
        <w:t>ANEDO submits that s</w:t>
      </w:r>
      <w:r w:rsidRPr="00C32281">
        <w:rPr>
          <w:rFonts w:ascii="Arial" w:hAnsi="Arial" w:cs="Arial"/>
          <w:color w:val="000000"/>
          <w:sz w:val="22"/>
          <w:szCs w:val="22"/>
        </w:rPr>
        <w:t>pecialist</w:t>
      </w:r>
      <w:r>
        <w:rPr>
          <w:rFonts w:ascii="Arial" w:hAnsi="Arial" w:cs="Arial"/>
          <w:color w:val="000000"/>
          <w:sz w:val="22"/>
          <w:szCs w:val="22"/>
        </w:rPr>
        <w:t xml:space="preserve"> environmental courts have an important</w:t>
      </w:r>
      <w:r w:rsidRPr="00C32281">
        <w:rPr>
          <w:rFonts w:ascii="Arial" w:hAnsi="Arial" w:cs="Arial"/>
          <w:color w:val="000000"/>
          <w:sz w:val="22"/>
          <w:szCs w:val="22"/>
        </w:rPr>
        <w:t xml:space="preserve"> role </w:t>
      </w:r>
      <w:r>
        <w:rPr>
          <w:rFonts w:ascii="Arial" w:hAnsi="Arial" w:cs="Arial"/>
          <w:color w:val="000000"/>
          <w:sz w:val="22"/>
          <w:szCs w:val="22"/>
        </w:rPr>
        <w:t xml:space="preserve">to play </w:t>
      </w:r>
      <w:r w:rsidRPr="00C32281">
        <w:rPr>
          <w:rFonts w:ascii="Arial" w:hAnsi="Arial" w:cs="Arial"/>
          <w:color w:val="000000"/>
          <w:sz w:val="22"/>
          <w:szCs w:val="22"/>
        </w:rPr>
        <w:t>in fa</w:t>
      </w:r>
      <w:r>
        <w:rPr>
          <w:rFonts w:ascii="Arial" w:hAnsi="Arial" w:cs="Arial"/>
          <w:color w:val="000000"/>
          <w:sz w:val="22"/>
          <w:szCs w:val="22"/>
        </w:rPr>
        <w:t>cilitating access to justice. As Chief Justice Preston has noted in relation to the NSW LEC,</w:t>
      </w:r>
    </w:p>
    <w:p w:rsidR="003C0B84" w:rsidRDefault="003C0B84" w:rsidP="0060002C">
      <w:pPr>
        <w:autoSpaceDE w:val="0"/>
        <w:autoSpaceDN w:val="0"/>
        <w:adjustRightInd w:val="0"/>
        <w:spacing w:after="0"/>
        <w:jc w:val="both"/>
        <w:rPr>
          <w:rFonts w:ascii="Arial" w:hAnsi="Arial" w:cs="Arial"/>
          <w:color w:val="000000"/>
          <w:sz w:val="22"/>
          <w:szCs w:val="22"/>
        </w:rPr>
      </w:pPr>
    </w:p>
    <w:p w:rsidR="003C0B84" w:rsidRPr="00A930F2" w:rsidRDefault="003C0B84" w:rsidP="0060002C">
      <w:pPr>
        <w:autoSpaceDE w:val="0"/>
        <w:autoSpaceDN w:val="0"/>
        <w:adjustRightInd w:val="0"/>
        <w:spacing w:after="0"/>
        <w:ind w:left="720"/>
        <w:jc w:val="both"/>
        <w:rPr>
          <w:rFonts w:ascii="Arial" w:hAnsi="Arial" w:cs="Arial"/>
          <w:color w:val="000000"/>
          <w:sz w:val="20"/>
          <w:szCs w:val="20"/>
        </w:rPr>
      </w:pPr>
      <w:r w:rsidRPr="00A930F2">
        <w:rPr>
          <w:rFonts w:ascii="Arial" w:hAnsi="Arial" w:cs="Arial"/>
          <w:i/>
          <w:color w:val="000000"/>
          <w:sz w:val="20"/>
          <w:szCs w:val="20"/>
        </w:rPr>
        <w:t xml:space="preserve">A key feature of the Court and the legislation it administers is the ability of the public to participate and have access to justice. Many of the planning or environmental laws contain open standing provisions, which enable any person to bring proceedings to </w:t>
      </w:r>
      <w:r w:rsidRPr="00A930F2">
        <w:rPr>
          <w:rFonts w:ascii="Arial" w:hAnsi="Arial" w:cs="Arial"/>
          <w:i/>
          <w:color w:val="000000"/>
          <w:sz w:val="20"/>
          <w:szCs w:val="20"/>
        </w:rPr>
        <w:lastRenderedPageBreak/>
        <w:t>remedy or restrain breaches of the laws. Public interest litigation has been a feature throughout the Court’s history. The Court’s decisions have been instrumental in the development of public interest litigation, both procedurally and substantively</w:t>
      </w:r>
      <w:r w:rsidRPr="00A930F2">
        <w:rPr>
          <w:rFonts w:ascii="Arial" w:hAnsi="Arial" w:cs="Arial"/>
          <w:color w:val="000000"/>
          <w:sz w:val="20"/>
          <w:szCs w:val="20"/>
        </w:rPr>
        <w:t>.</w:t>
      </w:r>
      <w:r w:rsidRPr="00A930F2">
        <w:rPr>
          <w:rStyle w:val="EndnoteReference"/>
          <w:rFonts w:ascii="Arial" w:hAnsi="Arial" w:cs="Arial"/>
          <w:color w:val="000000"/>
          <w:sz w:val="20"/>
          <w:szCs w:val="20"/>
        </w:rPr>
        <w:t xml:space="preserve"> </w:t>
      </w:r>
      <w:r w:rsidRPr="00A930F2">
        <w:rPr>
          <w:rStyle w:val="EndnoteReference"/>
          <w:rFonts w:ascii="Arial" w:hAnsi="Arial" w:cs="Arial"/>
          <w:color w:val="000000"/>
          <w:sz w:val="20"/>
          <w:szCs w:val="20"/>
        </w:rPr>
        <w:endnoteReference w:id="104"/>
      </w:r>
      <w:r w:rsidRPr="00A930F2">
        <w:rPr>
          <w:rFonts w:ascii="Arial" w:hAnsi="Arial" w:cs="Arial"/>
          <w:color w:val="000000"/>
          <w:sz w:val="20"/>
          <w:szCs w:val="20"/>
        </w:rPr>
        <w:t xml:space="preserve">  </w:t>
      </w:r>
    </w:p>
    <w:p w:rsidR="003C0B84" w:rsidRDefault="003C0B84" w:rsidP="00C32281">
      <w:pPr>
        <w:autoSpaceDE w:val="0"/>
        <w:autoSpaceDN w:val="0"/>
        <w:adjustRightInd w:val="0"/>
        <w:spacing w:after="0"/>
        <w:jc w:val="both"/>
        <w:rPr>
          <w:rFonts w:ascii="Arial" w:hAnsi="Arial" w:cs="Arial"/>
          <w:b/>
          <w:i/>
          <w:color w:val="000000"/>
          <w:sz w:val="22"/>
          <w:szCs w:val="22"/>
        </w:rPr>
      </w:pPr>
    </w:p>
    <w:p w:rsidR="003C0B84" w:rsidRDefault="003C0B84" w:rsidP="00C32281">
      <w:pPr>
        <w:autoSpaceDE w:val="0"/>
        <w:autoSpaceDN w:val="0"/>
        <w:adjustRightInd w:val="0"/>
        <w:spacing w:after="0"/>
        <w:jc w:val="both"/>
        <w:rPr>
          <w:rFonts w:ascii="Arial" w:hAnsi="Arial" w:cs="Arial"/>
          <w:color w:val="000000"/>
          <w:sz w:val="22"/>
          <w:szCs w:val="22"/>
        </w:rPr>
      </w:pPr>
      <w:r>
        <w:rPr>
          <w:rFonts w:ascii="Arial" w:hAnsi="Arial" w:cs="Arial"/>
          <w:color w:val="000000"/>
          <w:sz w:val="22"/>
          <w:szCs w:val="22"/>
        </w:rPr>
        <w:t xml:space="preserve">In addition to Preston CJ’s remarks, ANEDO has observed that specialist environmental courts are particularly well placed to manage the complexities of environmental litigation with maximum efficiency. For example, a high level of background knowledge about environment and planning matters, case management provisions in certain jurisdictions (in particular NSW) and on site hearings (also in NSW) ensure that matters are dealt with in an expeditious manner, improving the overall productivity of the court system. </w:t>
      </w:r>
    </w:p>
    <w:p w:rsidR="00D32EFB" w:rsidRPr="0060002C" w:rsidRDefault="00D32EFB" w:rsidP="00C32281">
      <w:pPr>
        <w:autoSpaceDE w:val="0"/>
        <w:autoSpaceDN w:val="0"/>
        <w:adjustRightInd w:val="0"/>
        <w:spacing w:after="0"/>
        <w:jc w:val="both"/>
        <w:rPr>
          <w:rFonts w:ascii="Arial" w:hAnsi="Arial" w:cs="Arial"/>
          <w:color w:val="000000"/>
          <w:sz w:val="22"/>
          <w:szCs w:val="22"/>
        </w:rPr>
      </w:pPr>
    </w:p>
    <w:p w:rsidR="003C0B84" w:rsidRPr="00C26D54" w:rsidRDefault="003C0B84" w:rsidP="00536191">
      <w:pPr>
        <w:pStyle w:val="ListParagraph"/>
        <w:numPr>
          <w:ilvl w:val="0"/>
          <w:numId w:val="11"/>
        </w:numPr>
        <w:autoSpaceDE w:val="0"/>
        <w:autoSpaceDN w:val="0"/>
        <w:adjustRightInd w:val="0"/>
        <w:spacing w:after="0"/>
        <w:jc w:val="both"/>
        <w:rPr>
          <w:rFonts w:ascii="Arial" w:hAnsi="Arial" w:cs="Arial"/>
          <w:b/>
          <w:i/>
          <w:color w:val="000000"/>
          <w:sz w:val="22"/>
          <w:szCs w:val="22"/>
        </w:rPr>
      </w:pPr>
      <w:r w:rsidRPr="00C26D54">
        <w:rPr>
          <w:rFonts w:ascii="Arial" w:hAnsi="Arial" w:cs="Arial"/>
          <w:b/>
          <w:i/>
          <w:color w:val="000000"/>
          <w:sz w:val="22"/>
          <w:szCs w:val="22"/>
        </w:rPr>
        <w:t xml:space="preserve">NSW </w:t>
      </w:r>
    </w:p>
    <w:p w:rsidR="003C0B84" w:rsidRDefault="003C0B84" w:rsidP="00C32281">
      <w:pPr>
        <w:autoSpaceDE w:val="0"/>
        <w:autoSpaceDN w:val="0"/>
        <w:adjustRightInd w:val="0"/>
        <w:spacing w:after="0"/>
        <w:jc w:val="both"/>
        <w:rPr>
          <w:rFonts w:ascii="Arial" w:hAnsi="Arial" w:cs="Arial"/>
          <w:color w:val="000000"/>
          <w:sz w:val="22"/>
          <w:szCs w:val="22"/>
        </w:rPr>
      </w:pPr>
    </w:p>
    <w:p w:rsidR="003C0B84" w:rsidRDefault="003C0B84" w:rsidP="00C32281">
      <w:pPr>
        <w:autoSpaceDE w:val="0"/>
        <w:autoSpaceDN w:val="0"/>
        <w:adjustRightInd w:val="0"/>
        <w:spacing w:after="0"/>
        <w:jc w:val="both"/>
        <w:rPr>
          <w:rFonts w:ascii="Arial" w:hAnsi="Arial" w:cs="Arial"/>
          <w:color w:val="000000"/>
          <w:sz w:val="22"/>
          <w:szCs w:val="22"/>
        </w:rPr>
      </w:pPr>
      <w:r w:rsidRPr="002E4CCF">
        <w:rPr>
          <w:rFonts w:ascii="Arial" w:hAnsi="Arial" w:cs="Arial"/>
          <w:color w:val="000000"/>
          <w:sz w:val="22"/>
          <w:szCs w:val="22"/>
        </w:rPr>
        <w:t>The NSW LEC was established in</w:t>
      </w:r>
      <w:r>
        <w:rPr>
          <w:rFonts w:ascii="Arial" w:hAnsi="Arial" w:cs="Arial"/>
          <w:color w:val="000000"/>
          <w:sz w:val="22"/>
          <w:szCs w:val="22"/>
        </w:rPr>
        <w:t xml:space="preserve"> 1980 under the </w:t>
      </w:r>
      <w:r w:rsidRPr="001860EC">
        <w:rPr>
          <w:rFonts w:ascii="Arial" w:hAnsi="Arial" w:cs="Arial"/>
          <w:i/>
          <w:color w:val="000000"/>
          <w:sz w:val="22"/>
          <w:szCs w:val="22"/>
        </w:rPr>
        <w:t xml:space="preserve">Land and Environment Court Act 1979. </w:t>
      </w:r>
      <w:r>
        <w:rPr>
          <w:rFonts w:ascii="Arial" w:hAnsi="Arial" w:cs="Arial"/>
          <w:color w:val="000000"/>
          <w:sz w:val="22"/>
          <w:szCs w:val="22"/>
        </w:rPr>
        <w:t>The Act provides for the appointment of judges,</w:t>
      </w:r>
      <w:r>
        <w:rPr>
          <w:rStyle w:val="EndnoteReference"/>
          <w:rFonts w:ascii="Arial" w:hAnsi="Arial" w:cs="Arial"/>
          <w:color w:val="000000"/>
          <w:sz w:val="22"/>
          <w:szCs w:val="22"/>
        </w:rPr>
        <w:endnoteReference w:id="105"/>
      </w:r>
      <w:r>
        <w:rPr>
          <w:rFonts w:ascii="Arial" w:hAnsi="Arial" w:cs="Arial"/>
          <w:color w:val="000000"/>
          <w:sz w:val="22"/>
          <w:szCs w:val="22"/>
        </w:rPr>
        <w:t xml:space="preserve"> as well as commissioners with specialist knowledge of environmental protection and/or planning.</w:t>
      </w:r>
      <w:r>
        <w:rPr>
          <w:rStyle w:val="EndnoteReference"/>
          <w:rFonts w:ascii="Arial" w:hAnsi="Arial" w:cs="Arial"/>
          <w:color w:val="000000"/>
          <w:sz w:val="22"/>
          <w:szCs w:val="22"/>
        </w:rPr>
        <w:endnoteReference w:id="106"/>
      </w:r>
    </w:p>
    <w:p w:rsidR="003C0B84" w:rsidRDefault="003C0B84" w:rsidP="00C32281">
      <w:pPr>
        <w:autoSpaceDE w:val="0"/>
        <w:autoSpaceDN w:val="0"/>
        <w:adjustRightInd w:val="0"/>
        <w:spacing w:after="0"/>
        <w:jc w:val="both"/>
        <w:rPr>
          <w:rFonts w:ascii="Arial" w:hAnsi="Arial" w:cs="Arial"/>
          <w:color w:val="000000"/>
          <w:sz w:val="22"/>
          <w:szCs w:val="22"/>
        </w:rPr>
      </w:pPr>
    </w:p>
    <w:p w:rsidR="003C0B84" w:rsidRPr="001860EC" w:rsidRDefault="003C0B84" w:rsidP="00C32281">
      <w:pPr>
        <w:autoSpaceDE w:val="0"/>
        <w:autoSpaceDN w:val="0"/>
        <w:adjustRightInd w:val="0"/>
        <w:spacing w:after="0"/>
        <w:jc w:val="both"/>
        <w:rPr>
          <w:rFonts w:ascii="Arial" w:hAnsi="Arial" w:cs="Arial"/>
          <w:color w:val="000000"/>
          <w:sz w:val="22"/>
          <w:szCs w:val="22"/>
        </w:rPr>
      </w:pPr>
      <w:r>
        <w:rPr>
          <w:rFonts w:ascii="Arial" w:hAnsi="Arial" w:cs="Arial"/>
          <w:color w:val="000000"/>
          <w:sz w:val="22"/>
          <w:szCs w:val="22"/>
        </w:rPr>
        <w:t>The Court is constituted as a superior court of record,</w:t>
      </w:r>
      <w:r>
        <w:rPr>
          <w:rStyle w:val="EndnoteReference"/>
          <w:rFonts w:ascii="Arial" w:hAnsi="Arial" w:cs="Arial"/>
          <w:color w:val="000000"/>
          <w:sz w:val="22"/>
          <w:szCs w:val="22"/>
        </w:rPr>
        <w:endnoteReference w:id="107"/>
      </w:r>
      <w:r>
        <w:rPr>
          <w:rFonts w:ascii="Arial" w:hAnsi="Arial" w:cs="Arial"/>
          <w:color w:val="000000"/>
          <w:sz w:val="22"/>
          <w:szCs w:val="22"/>
        </w:rPr>
        <w:t xml:space="preserve"> which means it sits next to (rather than below) the Supreme Court in the judicial hierarchy. Furthermore, its judges have the same status and tenure as Supreme Court judges.</w:t>
      </w:r>
      <w:r>
        <w:rPr>
          <w:rStyle w:val="EndnoteReference"/>
          <w:rFonts w:ascii="Arial" w:hAnsi="Arial" w:cs="Arial"/>
          <w:color w:val="000000"/>
          <w:sz w:val="22"/>
          <w:szCs w:val="22"/>
        </w:rPr>
        <w:endnoteReference w:id="108"/>
      </w:r>
      <w:r>
        <w:rPr>
          <w:rFonts w:ascii="Arial" w:hAnsi="Arial" w:cs="Arial"/>
          <w:color w:val="000000"/>
          <w:sz w:val="22"/>
          <w:szCs w:val="22"/>
        </w:rPr>
        <w:t xml:space="preserve"> Both of these factors lend considerable weight to its decisions, which in turn has facilitated the development of a large body of well-respected environmental jurisprudence.</w:t>
      </w:r>
    </w:p>
    <w:p w:rsidR="003C0B84" w:rsidRPr="00C32281" w:rsidRDefault="003C0B84" w:rsidP="00C32281">
      <w:pPr>
        <w:autoSpaceDE w:val="0"/>
        <w:autoSpaceDN w:val="0"/>
        <w:adjustRightInd w:val="0"/>
        <w:spacing w:after="0"/>
        <w:jc w:val="both"/>
        <w:rPr>
          <w:rFonts w:ascii="Arial" w:hAnsi="Arial" w:cs="Arial"/>
          <w:color w:val="000000"/>
          <w:sz w:val="22"/>
          <w:szCs w:val="22"/>
        </w:rPr>
      </w:pPr>
    </w:p>
    <w:p w:rsidR="003C0B84" w:rsidRDefault="003C0B84" w:rsidP="00C32281">
      <w:pPr>
        <w:autoSpaceDE w:val="0"/>
        <w:autoSpaceDN w:val="0"/>
        <w:adjustRightInd w:val="0"/>
        <w:spacing w:after="0"/>
        <w:jc w:val="both"/>
        <w:rPr>
          <w:rFonts w:ascii="Arial" w:hAnsi="Arial" w:cs="Arial"/>
          <w:color w:val="000000"/>
          <w:sz w:val="22"/>
          <w:szCs w:val="22"/>
        </w:rPr>
      </w:pPr>
      <w:r>
        <w:rPr>
          <w:rFonts w:ascii="Arial" w:hAnsi="Arial" w:cs="Arial"/>
          <w:color w:val="000000"/>
          <w:sz w:val="22"/>
          <w:szCs w:val="22"/>
        </w:rPr>
        <w:t xml:space="preserve">In addition to the comments provided above, </w:t>
      </w:r>
      <w:r w:rsidRPr="00C32281">
        <w:rPr>
          <w:rFonts w:ascii="Arial" w:hAnsi="Arial" w:cs="Arial"/>
          <w:color w:val="000000"/>
          <w:sz w:val="22"/>
          <w:szCs w:val="22"/>
        </w:rPr>
        <w:t xml:space="preserve">Preston </w:t>
      </w:r>
      <w:r>
        <w:rPr>
          <w:rFonts w:ascii="Arial" w:hAnsi="Arial" w:cs="Arial"/>
          <w:color w:val="000000"/>
          <w:sz w:val="22"/>
          <w:szCs w:val="22"/>
        </w:rPr>
        <w:t xml:space="preserve">CJ has observed that the NSW LEC has improved access to justice by: </w:t>
      </w:r>
      <w:r w:rsidRPr="00C32281">
        <w:rPr>
          <w:rFonts w:ascii="Arial" w:hAnsi="Arial" w:cs="Arial"/>
          <w:color w:val="000000"/>
          <w:sz w:val="22"/>
          <w:szCs w:val="22"/>
        </w:rPr>
        <w:t xml:space="preserve">ensuring just, quick and cheap resolution; </w:t>
      </w:r>
      <w:r>
        <w:rPr>
          <w:rFonts w:ascii="Arial" w:hAnsi="Arial" w:cs="Arial"/>
          <w:color w:val="000000"/>
          <w:sz w:val="22"/>
          <w:szCs w:val="22"/>
        </w:rPr>
        <w:t xml:space="preserve">making </w:t>
      </w:r>
      <w:r w:rsidRPr="00C32281">
        <w:rPr>
          <w:rFonts w:ascii="Arial" w:hAnsi="Arial" w:cs="Arial"/>
          <w:color w:val="000000"/>
          <w:sz w:val="22"/>
          <w:szCs w:val="22"/>
        </w:rPr>
        <w:t xml:space="preserve">technical experts available to the court; reducing formality where possible; promoting and providing extensive publically available information on its functions and decisions; and </w:t>
      </w:r>
      <w:r w:rsidR="00A930F2">
        <w:rPr>
          <w:rFonts w:ascii="Arial" w:hAnsi="Arial" w:cs="Arial"/>
          <w:color w:val="000000"/>
          <w:sz w:val="22"/>
          <w:szCs w:val="22"/>
        </w:rPr>
        <w:t>improving</w:t>
      </w:r>
      <w:r w:rsidR="00A930F2" w:rsidRPr="00C32281">
        <w:rPr>
          <w:rFonts w:ascii="Arial" w:hAnsi="Arial" w:cs="Arial"/>
          <w:color w:val="000000"/>
          <w:sz w:val="22"/>
          <w:szCs w:val="22"/>
        </w:rPr>
        <w:t xml:space="preserve"> </w:t>
      </w:r>
      <w:r w:rsidRPr="00C32281">
        <w:rPr>
          <w:rFonts w:ascii="Arial" w:hAnsi="Arial" w:cs="Arial"/>
          <w:color w:val="000000"/>
          <w:sz w:val="22"/>
          <w:szCs w:val="22"/>
        </w:rPr>
        <w:t>geographical access through telephone conferencing, electronic call overs and holding appeal hearings near the location of a subject appeal.</w:t>
      </w:r>
      <w:r>
        <w:rPr>
          <w:rStyle w:val="EndnoteReference"/>
          <w:rFonts w:ascii="Arial" w:hAnsi="Arial" w:cs="Arial"/>
          <w:color w:val="000000"/>
          <w:sz w:val="22"/>
          <w:szCs w:val="22"/>
        </w:rPr>
        <w:endnoteReference w:id="109"/>
      </w:r>
    </w:p>
    <w:p w:rsidR="003C0B84" w:rsidRPr="00C32281" w:rsidRDefault="003C0B84" w:rsidP="00C32281">
      <w:pPr>
        <w:autoSpaceDE w:val="0"/>
        <w:autoSpaceDN w:val="0"/>
        <w:adjustRightInd w:val="0"/>
        <w:spacing w:after="0"/>
        <w:jc w:val="both"/>
        <w:rPr>
          <w:rFonts w:ascii="Arial" w:hAnsi="Arial" w:cs="Arial"/>
          <w:color w:val="000000"/>
          <w:sz w:val="22"/>
          <w:szCs w:val="22"/>
        </w:rPr>
      </w:pPr>
    </w:p>
    <w:p w:rsidR="003C0B84" w:rsidRPr="00C26D54" w:rsidRDefault="003C0B84" w:rsidP="00536191">
      <w:pPr>
        <w:pStyle w:val="ListParagraph"/>
        <w:numPr>
          <w:ilvl w:val="0"/>
          <w:numId w:val="11"/>
        </w:numPr>
        <w:autoSpaceDE w:val="0"/>
        <w:autoSpaceDN w:val="0"/>
        <w:adjustRightInd w:val="0"/>
        <w:spacing w:after="0"/>
        <w:jc w:val="both"/>
        <w:rPr>
          <w:rFonts w:ascii="Arial" w:hAnsi="Arial" w:cs="Arial"/>
          <w:b/>
          <w:i/>
          <w:color w:val="000000"/>
          <w:sz w:val="22"/>
          <w:szCs w:val="22"/>
        </w:rPr>
      </w:pPr>
      <w:r>
        <w:rPr>
          <w:rFonts w:ascii="Arial" w:hAnsi="Arial" w:cs="Arial"/>
          <w:b/>
          <w:i/>
          <w:color w:val="000000"/>
          <w:sz w:val="22"/>
          <w:szCs w:val="22"/>
        </w:rPr>
        <w:t xml:space="preserve">Tasmania, </w:t>
      </w:r>
      <w:r w:rsidRPr="00C26D54">
        <w:rPr>
          <w:rFonts w:ascii="Arial" w:hAnsi="Arial" w:cs="Arial"/>
          <w:b/>
          <w:i/>
          <w:color w:val="000000"/>
          <w:sz w:val="22"/>
          <w:szCs w:val="22"/>
        </w:rPr>
        <w:t>South Australia</w:t>
      </w:r>
      <w:r>
        <w:rPr>
          <w:rFonts w:ascii="Arial" w:hAnsi="Arial" w:cs="Arial"/>
          <w:b/>
          <w:i/>
          <w:color w:val="000000"/>
          <w:sz w:val="22"/>
          <w:szCs w:val="22"/>
        </w:rPr>
        <w:t xml:space="preserve">, Queensland </w:t>
      </w:r>
      <w:r w:rsidRPr="00C26D54">
        <w:rPr>
          <w:rFonts w:ascii="Arial" w:hAnsi="Arial" w:cs="Arial"/>
          <w:b/>
          <w:i/>
          <w:color w:val="000000"/>
          <w:sz w:val="22"/>
          <w:szCs w:val="22"/>
        </w:rPr>
        <w:t xml:space="preserve"> </w:t>
      </w:r>
    </w:p>
    <w:p w:rsidR="003C0B84" w:rsidRDefault="003C0B84" w:rsidP="00C32281">
      <w:pPr>
        <w:autoSpaceDE w:val="0"/>
        <w:autoSpaceDN w:val="0"/>
        <w:adjustRightInd w:val="0"/>
        <w:spacing w:after="0"/>
        <w:jc w:val="both"/>
        <w:rPr>
          <w:rFonts w:ascii="Arial" w:hAnsi="Arial" w:cs="Arial"/>
          <w:color w:val="000000"/>
          <w:sz w:val="22"/>
          <w:szCs w:val="22"/>
        </w:rPr>
      </w:pPr>
    </w:p>
    <w:p w:rsidR="003C0B84" w:rsidRDefault="003C0B84" w:rsidP="00BA4BF6">
      <w:pPr>
        <w:autoSpaceDE w:val="0"/>
        <w:autoSpaceDN w:val="0"/>
        <w:adjustRightInd w:val="0"/>
        <w:spacing w:after="0"/>
        <w:jc w:val="both"/>
        <w:rPr>
          <w:rFonts w:ascii="Arial" w:hAnsi="Arial" w:cs="Arial"/>
          <w:color w:val="000000"/>
          <w:sz w:val="22"/>
          <w:szCs w:val="22"/>
        </w:rPr>
      </w:pPr>
      <w:r>
        <w:rPr>
          <w:rFonts w:ascii="Arial" w:hAnsi="Arial" w:cs="Arial"/>
          <w:color w:val="000000"/>
          <w:sz w:val="22"/>
          <w:szCs w:val="22"/>
        </w:rPr>
        <w:t>Tasmania and South Australia also have</w:t>
      </w:r>
      <w:r w:rsidRPr="00C32281">
        <w:rPr>
          <w:rFonts w:ascii="Arial" w:hAnsi="Arial" w:cs="Arial"/>
          <w:color w:val="000000"/>
          <w:sz w:val="22"/>
          <w:szCs w:val="22"/>
        </w:rPr>
        <w:t xml:space="preserve"> some form of separate body dealing with environ</w:t>
      </w:r>
      <w:r>
        <w:rPr>
          <w:rFonts w:ascii="Arial" w:hAnsi="Arial" w:cs="Arial"/>
          <w:color w:val="000000"/>
          <w:sz w:val="22"/>
          <w:szCs w:val="22"/>
        </w:rPr>
        <w:t xml:space="preserve">mental matters. </w:t>
      </w:r>
    </w:p>
    <w:p w:rsidR="003C0B84" w:rsidRDefault="003C0B84" w:rsidP="00BA4BF6">
      <w:pPr>
        <w:autoSpaceDE w:val="0"/>
        <w:autoSpaceDN w:val="0"/>
        <w:adjustRightInd w:val="0"/>
        <w:spacing w:after="0"/>
        <w:jc w:val="both"/>
        <w:rPr>
          <w:rFonts w:ascii="Arial" w:hAnsi="Arial" w:cs="Arial"/>
          <w:color w:val="000000"/>
          <w:sz w:val="22"/>
          <w:szCs w:val="22"/>
        </w:rPr>
      </w:pPr>
    </w:p>
    <w:p w:rsidR="003C0B84" w:rsidRDefault="003C0B84" w:rsidP="00EF0B43">
      <w:pPr>
        <w:autoSpaceDE w:val="0"/>
        <w:autoSpaceDN w:val="0"/>
        <w:adjustRightInd w:val="0"/>
        <w:spacing w:after="0"/>
        <w:jc w:val="both"/>
        <w:rPr>
          <w:rFonts w:ascii="Arial" w:hAnsi="Arial" w:cs="Arial"/>
          <w:color w:val="000000"/>
          <w:sz w:val="22"/>
          <w:szCs w:val="22"/>
        </w:rPr>
      </w:pPr>
      <w:r w:rsidRPr="00EF0B43">
        <w:rPr>
          <w:rFonts w:ascii="Arial" w:hAnsi="Arial" w:cs="Arial"/>
          <w:color w:val="000000"/>
          <w:sz w:val="22"/>
          <w:szCs w:val="22"/>
        </w:rPr>
        <w:t>The Resource Management and Planning Appeal Tribunal</w:t>
      </w:r>
      <w:r>
        <w:rPr>
          <w:rFonts w:ascii="Arial" w:hAnsi="Arial" w:cs="Arial"/>
          <w:color w:val="000000"/>
          <w:sz w:val="22"/>
          <w:szCs w:val="22"/>
        </w:rPr>
        <w:t xml:space="preserve"> (Tasmania)</w:t>
      </w:r>
      <w:r>
        <w:rPr>
          <w:rStyle w:val="EndnoteReference"/>
          <w:rFonts w:ascii="Arial" w:hAnsi="Arial" w:cs="Arial"/>
          <w:color w:val="000000"/>
          <w:sz w:val="22"/>
          <w:szCs w:val="22"/>
        </w:rPr>
        <w:endnoteReference w:id="110"/>
      </w:r>
      <w:r w:rsidRPr="00EF0B43">
        <w:rPr>
          <w:rFonts w:ascii="Arial" w:hAnsi="Arial" w:cs="Arial"/>
          <w:color w:val="000000"/>
          <w:sz w:val="22"/>
          <w:szCs w:val="22"/>
        </w:rPr>
        <w:t xml:space="preserve"> is a specialist tribunal, responsible for reviewing a wide range of decisions made under the suite of legislation comprising the Resource Management and Planning System (</w:t>
      </w:r>
      <w:r w:rsidRPr="00EF0B43">
        <w:rPr>
          <w:rFonts w:ascii="Arial" w:hAnsi="Arial" w:cs="Arial"/>
          <w:b/>
          <w:color w:val="000000"/>
          <w:sz w:val="22"/>
          <w:szCs w:val="22"/>
        </w:rPr>
        <w:t>RMPS</w:t>
      </w:r>
      <w:r w:rsidRPr="00EF0B43">
        <w:rPr>
          <w:rFonts w:ascii="Arial" w:hAnsi="Arial" w:cs="Arial"/>
          <w:color w:val="000000"/>
          <w:sz w:val="22"/>
          <w:szCs w:val="22"/>
        </w:rPr>
        <w:t xml:space="preserve">), which includes planning, environmental, water management, reserve management, heritage and threatened species legislation.  The Tribunal is comprised of a chairperson, who must be a lawyer, </w:t>
      </w:r>
      <w:r>
        <w:rPr>
          <w:rFonts w:ascii="Arial" w:hAnsi="Arial" w:cs="Arial"/>
          <w:color w:val="000000"/>
          <w:sz w:val="22"/>
          <w:szCs w:val="22"/>
        </w:rPr>
        <w:t xml:space="preserve">and </w:t>
      </w:r>
      <w:r w:rsidRPr="00EF0B43">
        <w:rPr>
          <w:rFonts w:ascii="Arial" w:hAnsi="Arial" w:cs="Arial"/>
          <w:color w:val="000000"/>
          <w:sz w:val="22"/>
          <w:szCs w:val="22"/>
        </w:rPr>
        <w:t>other members selected from a pool of panellists with expertise in a range of relevant fields.</w:t>
      </w:r>
      <w:r>
        <w:rPr>
          <w:rStyle w:val="EndnoteReference"/>
          <w:rFonts w:ascii="Arial" w:hAnsi="Arial" w:cs="Arial"/>
          <w:color w:val="000000"/>
          <w:sz w:val="22"/>
          <w:szCs w:val="22"/>
        </w:rPr>
        <w:endnoteReference w:id="111"/>
      </w:r>
      <w:r>
        <w:rPr>
          <w:rFonts w:ascii="Arial" w:hAnsi="Arial" w:cs="Arial"/>
          <w:color w:val="000000"/>
          <w:sz w:val="22"/>
          <w:szCs w:val="22"/>
        </w:rPr>
        <w:t xml:space="preserve"> </w:t>
      </w:r>
      <w:r w:rsidRPr="00EF0B43">
        <w:rPr>
          <w:rFonts w:ascii="Arial" w:hAnsi="Arial" w:cs="Arial"/>
          <w:color w:val="000000"/>
          <w:sz w:val="22"/>
          <w:szCs w:val="22"/>
        </w:rPr>
        <w:t>The Tribunal is subject to the objectives of the RMPS, which include promoting sustainable development, providing for fair, orderly and sustainable use of resources, encouraging public participation and facilitating economic development consistent with those objectives.</w:t>
      </w:r>
      <w:r>
        <w:rPr>
          <w:rStyle w:val="EndnoteReference"/>
          <w:rFonts w:ascii="Arial" w:hAnsi="Arial" w:cs="Arial"/>
          <w:color w:val="000000"/>
          <w:sz w:val="22"/>
          <w:szCs w:val="22"/>
        </w:rPr>
        <w:endnoteReference w:id="112"/>
      </w:r>
      <w:r w:rsidRPr="00EF0B43">
        <w:rPr>
          <w:rFonts w:ascii="Arial" w:hAnsi="Arial" w:cs="Arial"/>
          <w:color w:val="000000"/>
          <w:sz w:val="22"/>
          <w:szCs w:val="22"/>
        </w:rPr>
        <w:t xml:space="preserve"> </w:t>
      </w:r>
    </w:p>
    <w:p w:rsidR="003C0B84" w:rsidRPr="00EF0B43" w:rsidRDefault="003C0B84" w:rsidP="00EF0B43">
      <w:pPr>
        <w:autoSpaceDE w:val="0"/>
        <w:autoSpaceDN w:val="0"/>
        <w:adjustRightInd w:val="0"/>
        <w:spacing w:after="0"/>
        <w:jc w:val="both"/>
        <w:rPr>
          <w:rFonts w:ascii="Arial" w:hAnsi="Arial" w:cs="Arial"/>
          <w:color w:val="000000"/>
          <w:sz w:val="22"/>
          <w:szCs w:val="22"/>
        </w:rPr>
      </w:pPr>
    </w:p>
    <w:p w:rsidR="003C0B84" w:rsidRDefault="003C0B84" w:rsidP="002F2ADD">
      <w:pPr>
        <w:autoSpaceDE w:val="0"/>
        <w:autoSpaceDN w:val="0"/>
        <w:adjustRightInd w:val="0"/>
        <w:spacing w:after="0"/>
        <w:jc w:val="both"/>
        <w:rPr>
          <w:rFonts w:ascii="Arial" w:hAnsi="Arial" w:cs="Arial"/>
          <w:color w:val="000000"/>
          <w:sz w:val="22"/>
          <w:szCs w:val="22"/>
        </w:rPr>
      </w:pPr>
      <w:r>
        <w:rPr>
          <w:rFonts w:ascii="Arial" w:hAnsi="Arial" w:cs="Arial"/>
          <w:color w:val="000000"/>
          <w:sz w:val="22"/>
          <w:szCs w:val="22"/>
        </w:rPr>
        <w:t xml:space="preserve">Similarly, </w:t>
      </w:r>
      <w:r w:rsidRPr="002F2ADD">
        <w:rPr>
          <w:rFonts w:ascii="Arial" w:hAnsi="Arial" w:cs="Arial"/>
          <w:color w:val="000000"/>
          <w:sz w:val="22"/>
          <w:szCs w:val="22"/>
        </w:rPr>
        <w:t>the Environment, Resources and Development Court</w:t>
      </w:r>
      <w:r>
        <w:rPr>
          <w:rFonts w:ascii="Arial" w:hAnsi="Arial" w:cs="Arial"/>
          <w:color w:val="000000"/>
          <w:sz w:val="22"/>
          <w:szCs w:val="22"/>
        </w:rPr>
        <w:t xml:space="preserve"> (South Australia) is empowered to review certain decisions under a number of environment and planning statutes.</w:t>
      </w:r>
      <w:r>
        <w:rPr>
          <w:rStyle w:val="EndnoteReference"/>
          <w:rFonts w:ascii="Arial" w:hAnsi="Arial" w:cs="Arial"/>
          <w:color w:val="000000"/>
          <w:sz w:val="22"/>
          <w:szCs w:val="22"/>
        </w:rPr>
        <w:endnoteReference w:id="113"/>
      </w:r>
      <w:r>
        <w:rPr>
          <w:rFonts w:ascii="Arial" w:hAnsi="Arial" w:cs="Arial"/>
          <w:color w:val="000000"/>
          <w:sz w:val="22"/>
          <w:szCs w:val="22"/>
        </w:rPr>
        <w:t xml:space="preserve"> Unlike </w:t>
      </w:r>
      <w:r w:rsidR="00A930F2">
        <w:rPr>
          <w:rFonts w:ascii="Arial" w:hAnsi="Arial" w:cs="Arial"/>
          <w:color w:val="000000"/>
          <w:sz w:val="22"/>
          <w:szCs w:val="22"/>
        </w:rPr>
        <w:t xml:space="preserve">Tasmania’s </w:t>
      </w:r>
      <w:r>
        <w:rPr>
          <w:rFonts w:ascii="Arial" w:hAnsi="Arial" w:cs="Arial"/>
          <w:color w:val="000000"/>
          <w:sz w:val="22"/>
          <w:szCs w:val="22"/>
        </w:rPr>
        <w:t>Resources and Planning Appeal Tribunal, presiding judges do not necessarily have to have particular expertise in planning and environment law.</w:t>
      </w:r>
      <w:r>
        <w:rPr>
          <w:rStyle w:val="EndnoteReference"/>
          <w:rFonts w:ascii="Arial" w:hAnsi="Arial" w:cs="Arial"/>
          <w:color w:val="000000"/>
          <w:sz w:val="22"/>
          <w:szCs w:val="22"/>
        </w:rPr>
        <w:endnoteReference w:id="114"/>
      </w:r>
      <w:r>
        <w:rPr>
          <w:rFonts w:ascii="Arial" w:hAnsi="Arial" w:cs="Arial"/>
          <w:color w:val="000000"/>
          <w:sz w:val="22"/>
          <w:szCs w:val="22"/>
        </w:rPr>
        <w:t xml:space="preserve"> Nor is it subject to any overriding requirement to promote sustainable development (or other environmental objectives).</w:t>
      </w:r>
    </w:p>
    <w:p w:rsidR="003C0B84" w:rsidRDefault="003C0B84" w:rsidP="002F2ADD">
      <w:pPr>
        <w:autoSpaceDE w:val="0"/>
        <w:autoSpaceDN w:val="0"/>
        <w:adjustRightInd w:val="0"/>
        <w:spacing w:after="0"/>
        <w:jc w:val="both"/>
        <w:rPr>
          <w:rFonts w:ascii="Arial" w:hAnsi="Arial" w:cs="Arial"/>
          <w:color w:val="000000"/>
          <w:sz w:val="22"/>
          <w:szCs w:val="22"/>
        </w:rPr>
      </w:pPr>
    </w:p>
    <w:p w:rsidR="003C0B84" w:rsidRPr="005F61FF" w:rsidRDefault="003C0B84" w:rsidP="002F2ADD">
      <w:pPr>
        <w:autoSpaceDE w:val="0"/>
        <w:autoSpaceDN w:val="0"/>
        <w:adjustRightInd w:val="0"/>
        <w:spacing w:after="0"/>
        <w:jc w:val="both"/>
        <w:rPr>
          <w:rFonts w:ascii="Arial" w:hAnsi="Arial" w:cs="Arial"/>
          <w:color w:val="000000"/>
          <w:sz w:val="22"/>
          <w:szCs w:val="22"/>
        </w:rPr>
      </w:pPr>
      <w:r>
        <w:rPr>
          <w:rFonts w:ascii="Arial" w:hAnsi="Arial" w:cs="Arial"/>
          <w:color w:val="000000"/>
          <w:sz w:val="22"/>
          <w:szCs w:val="22"/>
        </w:rPr>
        <w:t xml:space="preserve">Finally, the Planning and Environment Court (QLD) was constituted in 1990 by the </w:t>
      </w:r>
      <w:r w:rsidRPr="005F61FF">
        <w:rPr>
          <w:rFonts w:ascii="Arial" w:hAnsi="Arial" w:cs="Arial"/>
          <w:i/>
          <w:color w:val="000000"/>
          <w:sz w:val="22"/>
          <w:szCs w:val="22"/>
        </w:rPr>
        <w:t>L</w:t>
      </w:r>
      <w:r w:rsidRPr="00FC4D67">
        <w:rPr>
          <w:rFonts w:ascii="Arial" w:hAnsi="Arial" w:cs="Arial"/>
          <w:i/>
          <w:color w:val="000000"/>
          <w:sz w:val="22"/>
          <w:szCs w:val="22"/>
        </w:rPr>
        <w:t>ocal Government (Planning and Environment Act) 1990</w:t>
      </w:r>
      <w:r>
        <w:rPr>
          <w:rFonts w:ascii="Arial" w:hAnsi="Arial" w:cs="Arial"/>
          <w:i/>
          <w:color w:val="000000"/>
          <w:sz w:val="22"/>
          <w:szCs w:val="22"/>
        </w:rPr>
        <w:t xml:space="preserve"> </w:t>
      </w:r>
      <w:r>
        <w:rPr>
          <w:rFonts w:ascii="Arial" w:hAnsi="Arial" w:cs="Arial"/>
          <w:color w:val="000000"/>
          <w:sz w:val="22"/>
          <w:szCs w:val="22"/>
        </w:rPr>
        <w:t>(QLD)</w:t>
      </w:r>
      <w:r>
        <w:rPr>
          <w:rFonts w:ascii="Arial" w:hAnsi="Arial" w:cs="Arial"/>
          <w:i/>
          <w:color w:val="000000"/>
          <w:sz w:val="22"/>
          <w:szCs w:val="22"/>
        </w:rPr>
        <w:t xml:space="preserve"> </w:t>
      </w:r>
      <w:r>
        <w:rPr>
          <w:rFonts w:ascii="Arial" w:hAnsi="Arial" w:cs="Arial"/>
          <w:color w:val="000000"/>
          <w:sz w:val="22"/>
          <w:szCs w:val="22"/>
        </w:rPr>
        <w:t xml:space="preserve">(now the </w:t>
      </w:r>
      <w:r w:rsidRPr="00FC4D67">
        <w:rPr>
          <w:rFonts w:ascii="Arial" w:hAnsi="Arial" w:cs="Arial"/>
          <w:i/>
          <w:color w:val="000000"/>
          <w:sz w:val="22"/>
          <w:szCs w:val="22"/>
        </w:rPr>
        <w:t xml:space="preserve">Sustainable Planning </w:t>
      </w:r>
      <w:r w:rsidRPr="00FC4D67">
        <w:rPr>
          <w:rFonts w:ascii="Arial" w:hAnsi="Arial" w:cs="Arial"/>
          <w:i/>
          <w:color w:val="000000"/>
          <w:sz w:val="22"/>
          <w:szCs w:val="22"/>
        </w:rPr>
        <w:lastRenderedPageBreak/>
        <w:t>Act 2009</w:t>
      </w:r>
      <w:r>
        <w:rPr>
          <w:rFonts w:ascii="Arial" w:hAnsi="Arial" w:cs="Arial"/>
          <w:color w:val="000000"/>
          <w:sz w:val="22"/>
          <w:szCs w:val="22"/>
        </w:rPr>
        <w:t xml:space="preserve"> (QLD).</w:t>
      </w:r>
      <w:r>
        <w:rPr>
          <w:rStyle w:val="EndnoteReference"/>
          <w:rFonts w:ascii="Arial" w:hAnsi="Arial" w:cs="Arial"/>
          <w:color w:val="000000"/>
          <w:sz w:val="22"/>
          <w:szCs w:val="22"/>
        </w:rPr>
        <w:endnoteReference w:id="115"/>
      </w:r>
      <w:r>
        <w:rPr>
          <w:rFonts w:ascii="Arial" w:hAnsi="Arial" w:cs="Arial"/>
          <w:color w:val="000000"/>
          <w:sz w:val="22"/>
          <w:szCs w:val="22"/>
        </w:rPr>
        <w:t xml:space="preserve"> The Sustainable Planning Act provides for the appointment of District Court judges to the Planning and Environment Court.</w:t>
      </w:r>
      <w:r>
        <w:rPr>
          <w:rStyle w:val="EndnoteReference"/>
          <w:rFonts w:ascii="Arial" w:hAnsi="Arial" w:cs="Arial"/>
          <w:color w:val="000000"/>
          <w:sz w:val="22"/>
          <w:szCs w:val="22"/>
        </w:rPr>
        <w:endnoteReference w:id="116"/>
      </w:r>
    </w:p>
    <w:p w:rsidR="003C0B84" w:rsidRDefault="003C0B84" w:rsidP="00DE08F2">
      <w:pPr>
        <w:autoSpaceDE w:val="0"/>
        <w:autoSpaceDN w:val="0"/>
        <w:adjustRightInd w:val="0"/>
        <w:spacing w:after="0"/>
        <w:jc w:val="both"/>
        <w:rPr>
          <w:rFonts w:ascii="Arial" w:hAnsi="Arial" w:cs="Arial"/>
          <w:color w:val="000000"/>
          <w:sz w:val="22"/>
          <w:szCs w:val="22"/>
        </w:rPr>
      </w:pPr>
    </w:p>
    <w:p w:rsidR="003C0B84" w:rsidRDefault="003C0B84" w:rsidP="00DE08F2">
      <w:pPr>
        <w:autoSpaceDE w:val="0"/>
        <w:autoSpaceDN w:val="0"/>
        <w:adjustRightInd w:val="0"/>
        <w:spacing w:after="0"/>
        <w:jc w:val="both"/>
        <w:rPr>
          <w:rFonts w:ascii="Arial" w:hAnsi="Arial" w:cs="Arial"/>
          <w:color w:val="000000"/>
          <w:sz w:val="22"/>
          <w:szCs w:val="22"/>
        </w:rPr>
      </w:pPr>
      <w:r>
        <w:rPr>
          <w:rFonts w:ascii="Arial" w:hAnsi="Arial" w:cs="Arial"/>
          <w:color w:val="000000"/>
          <w:sz w:val="22"/>
          <w:szCs w:val="22"/>
        </w:rPr>
        <w:t xml:space="preserve">Unlike the NSW LEC, the aforementioned bodies are not superior courts of record.  </w:t>
      </w:r>
    </w:p>
    <w:p w:rsidR="003C0B84" w:rsidRDefault="003C0B84" w:rsidP="00C32281">
      <w:pPr>
        <w:autoSpaceDE w:val="0"/>
        <w:autoSpaceDN w:val="0"/>
        <w:adjustRightInd w:val="0"/>
        <w:spacing w:after="0"/>
        <w:jc w:val="both"/>
        <w:rPr>
          <w:rFonts w:ascii="Arial" w:hAnsi="Arial" w:cs="Arial"/>
          <w:color w:val="000000"/>
          <w:sz w:val="22"/>
          <w:szCs w:val="22"/>
        </w:rPr>
      </w:pPr>
    </w:p>
    <w:p w:rsidR="003C0B84" w:rsidRPr="00C26D54" w:rsidRDefault="003C0B84" w:rsidP="004D0A84">
      <w:pPr>
        <w:pStyle w:val="ListParagraph"/>
        <w:keepNext/>
        <w:numPr>
          <w:ilvl w:val="0"/>
          <w:numId w:val="11"/>
        </w:numPr>
        <w:autoSpaceDE w:val="0"/>
        <w:autoSpaceDN w:val="0"/>
        <w:adjustRightInd w:val="0"/>
        <w:spacing w:after="0"/>
        <w:ind w:left="357" w:hanging="357"/>
        <w:jc w:val="both"/>
        <w:rPr>
          <w:rFonts w:ascii="Arial" w:hAnsi="Arial" w:cs="Arial"/>
          <w:b/>
          <w:i/>
          <w:color w:val="000000"/>
          <w:sz w:val="22"/>
          <w:szCs w:val="22"/>
        </w:rPr>
      </w:pPr>
      <w:r w:rsidRPr="00C26D54">
        <w:rPr>
          <w:rFonts w:ascii="Arial" w:hAnsi="Arial" w:cs="Arial"/>
          <w:b/>
          <w:i/>
          <w:color w:val="000000"/>
          <w:sz w:val="22"/>
          <w:szCs w:val="22"/>
        </w:rPr>
        <w:t>Victoria, Western Australia and Northern Territory</w:t>
      </w:r>
    </w:p>
    <w:p w:rsidR="003C0B84" w:rsidRDefault="003C0B84" w:rsidP="004D0A84">
      <w:pPr>
        <w:keepNext/>
        <w:autoSpaceDE w:val="0"/>
        <w:autoSpaceDN w:val="0"/>
        <w:adjustRightInd w:val="0"/>
        <w:spacing w:after="0"/>
        <w:jc w:val="both"/>
        <w:rPr>
          <w:rFonts w:ascii="Arial" w:hAnsi="Arial" w:cs="Arial"/>
          <w:color w:val="000000"/>
          <w:sz w:val="22"/>
          <w:szCs w:val="22"/>
        </w:rPr>
      </w:pPr>
    </w:p>
    <w:p w:rsidR="003C0B84" w:rsidRDefault="003C0B84" w:rsidP="00DE08F2">
      <w:pPr>
        <w:autoSpaceDE w:val="0"/>
        <w:autoSpaceDN w:val="0"/>
        <w:adjustRightInd w:val="0"/>
        <w:spacing w:after="0"/>
        <w:jc w:val="both"/>
        <w:rPr>
          <w:rFonts w:ascii="Arial" w:hAnsi="Arial" w:cs="Arial"/>
          <w:color w:val="000000"/>
          <w:sz w:val="22"/>
          <w:szCs w:val="22"/>
        </w:rPr>
      </w:pPr>
      <w:r w:rsidRPr="00C32281">
        <w:rPr>
          <w:rFonts w:ascii="Arial" w:hAnsi="Arial" w:cs="Arial"/>
          <w:color w:val="000000"/>
          <w:sz w:val="22"/>
          <w:szCs w:val="22"/>
        </w:rPr>
        <w:t xml:space="preserve">Victoria, Western Australia and Northern Territory </w:t>
      </w:r>
      <w:r>
        <w:rPr>
          <w:rFonts w:ascii="Arial" w:hAnsi="Arial" w:cs="Arial"/>
          <w:color w:val="000000"/>
          <w:sz w:val="22"/>
          <w:szCs w:val="22"/>
        </w:rPr>
        <w:t xml:space="preserve">do not have a </w:t>
      </w:r>
      <w:r w:rsidRPr="00C32281">
        <w:rPr>
          <w:rFonts w:ascii="Arial" w:hAnsi="Arial" w:cs="Arial"/>
          <w:color w:val="000000"/>
          <w:sz w:val="22"/>
          <w:szCs w:val="22"/>
        </w:rPr>
        <w:t xml:space="preserve">specialist environmental or planning court.  </w:t>
      </w:r>
    </w:p>
    <w:p w:rsidR="003C0B84" w:rsidRDefault="003C0B84" w:rsidP="00DE08F2">
      <w:pPr>
        <w:autoSpaceDE w:val="0"/>
        <w:autoSpaceDN w:val="0"/>
        <w:adjustRightInd w:val="0"/>
        <w:spacing w:after="0"/>
        <w:jc w:val="both"/>
        <w:rPr>
          <w:rFonts w:ascii="Arial" w:hAnsi="Arial" w:cs="Arial"/>
          <w:color w:val="000000"/>
          <w:sz w:val="22"/>
          <w:szCs w:val="22"/>
        </w:rPr>
      </w:pPr>
    </w:p>
    <w:tbl>
      <w:tblPr>
        <w:tblStyle w:val="TableGrid"/>
        <w:tblW w:w="0" w:type="auto"/>
        <w:tblLook w:val="04A0" w:firstRow="1" w:lastRow="0" w:firstColumn="1" w:lastColumn="0" w:noHBand="0" w:noVBand="1"/>
      </w:tblPr>
      <w:tblGrid>
        <w:gridCol w:w="8886"/>
      </w:tblGrid>
      <w:tr w:rsidR="003C0B84" w:rsidTr="00F23AAD">
        <w:tc>
          <w:tcPr>
            <w:tcW w:w="8886" w:type="dxa"/>
          </w:tcPr>
          <w:p w:rsidR="003C0B84" w:rsidRPr="00A037A5" w:rsidRDefault="003C0B84" w:rsidP="00DE08F2">
            <w:pPr>
              <w:autoSpaceDE w:val="0"/>
              <w:autoSpaceDN w:val="0"/>
              <w:adjustRightInd w:val="0"/>
              <w:spacing w:after="0"/>
              <w:jc w:val="both"/>
              <w:rPr>
                <w:rFonts w:ascii="Arial" w:hAnsi="Arial" w:cs="Arial"/>
                <w:b/>
                <w:color w:val="000000"/>
                <w:sz w:val="22"/>
                <w:szCs w:val="22"/>
              </w:rPr>
            </w:pPr>
            <w:r w:rsidRPr="00A037A5">
              <w:rPr>
                <w:rFonts w:ascii="Arial" w:hAnsi="Arial" w:cs="Arial"/>
                <w:b/>
                <w:color w:val="000000"/>
                <w:sz w:val="22"/>
                <w:szCs w:val="22"/>
              </w:rPr>
              <w:t>Case study: Victoria</w:t>
            </w:r>
          </w:p>
          <w:p w:rsidR="003C0B84" w:rsidRPr="00A037A5" w:rsidRDefault="003C0B84" w:rsidP="00DE08F2">
            <w:pPr>
              <w:autoSpaceDE w:val="0"/>
              <w:autoSpaceDN w:val="0"/>
              <w:adjustRightInd w:val="0"/>
              <w:spacing w:after="0"/>
              <w:jc w:val="both"/>
              <w:rPr>
                <w:rFonts w:ascii="Arial" w:hAnsi="Arial" w:cs="Arial"/>
                <w:color w:val="000000"/>
                <w:sz w:val="22"/>
                <w:szCs w:val="22"/>
              </w:rPr>
            </w:pPr>
          </w:p>
          <w:p w:rsidR="003C0B84" w:rsidRPr="00A037A5" w:rsidRDefault="003C0B84" w:rsidP="00F23AAD">
            <w:pPr>
              <w:jc w:val="both"/>
              <w:rPr>
                <w:rFonts w:ascii="Arial" w:hAnsi="Arial" w:cs="Arial"/>
                <w:sz w:val="22"/>
                <w:szCs w:val="22"/>
              </w:rPr>
            </w:pPr>
            <w:r w:rsidRPr="00A037A5">
              <w:rPr>
                <w:rFonts w:ascii="Arial" w:hAnsi="Arial" w:cs="Arial"/>
                <w:sz w:val="22"/>
                <w:szCs w:val="22"/>
              </w:rPr>
              <w:t>Victoria has no specialist environment or planning court. Dispute resolution in relation to planning and environment matters is dealt with by the Victorian Civil and Administrative Tribunal (</w:t>
            </w:r>
            <w:r w:rsidRPr="00A037A5">
              <w:rPr>
                <w:rFonts w:ascii="Arial" w:hAnsi="Arial" w:cs="Arial"/>
                <w:b/>
                <w:sz w:val="22"/>
                <w:szCs w:val="22"/>
              </w:rPr>
              <w:t>VCAT</w:t>
            </w:r>
            <w:r w:rsidRPr="00A037A5">
              <w:rPr>
                <w:rFonts w:ascii="Arial" w:hAnsi="Arial" w:cs="Arial"/>
                <w:sz w:val="22"/>
                <w:szCs w:val="22"/>
              </w:rPr>
              <w:t>)</w:t>
            </w:r>
            <w:r w:rsidRPr="00A037A5">
              <w:rPr>
                <w:rStyle w:val="EndnoteReference"/>
                <w:rFonts w:ascii="Arial" w:hAnsi="Arial" w:cs="Arial"/>
                <w:sz w:val="22"/>
                <w:szCs w:val="22"/>
              </w:rPr>
              <w:endnoteReference w:id="117"/>
            </w:r>
            <w:r w:rsidRPr="00A037A5">
              <w:rPr>
                <w:rFonts w:ascii="Arial" w:hAnsi="Arial" w:cs="Arial"/>
                <w:sz w:val="22"/>
                <w:szCs w:val="22"/>
              </w:rPr>
              <w:t xml:space="preserve"> through its specialist Planning and Environment List. </w:t>
            </w:r>
          </w:p>
          <w:p w:rsidR="003C0B84" w:rsidRPr="00A037A5" w:rsidRDefault="003C0B84" w:rsidP="00F23AAD">
            <w:pPr>
              <w:jc w:val="both"/>
              <w:rPr>
                <w:rFonts w:ascii="Arial" w:hAnsi="Arial" w:cs="Arial"/>
                <w:sz w:val="22"/>
                <w:szCs w:val="22"/>
              </w:rPr>
            </w:pPr>
            <w:r w:rsidRPr="00A037A5">
              <w:rPr>
                <w:rFonts w:ascii="Arial" w:hAnsi="Arial" w:cs="Arial"/>
                <w:sz w:val="22"/>
                <w:szCs w:val="22"/>
              </w:rPr>
              <w:t xml:space="preserve">There are no internal appeal arrangements within VCAT. Appeal from VCAT decisions on a point of law only is to the Supreme Court of Victoria (or from a decision of the VCAT President to the Court of Appeal). </w:t>
            </w:r>
          </w:p>
          <w:p w:rsidR="003C0B84" w:rsidRPr="00F23AAD" w:rsidRDefault="003C0B84" w:rsidP="00A16B8C">
            <w:pPr>
              <w:jc w:val="both"/>
              <w:rPr>
                <w:rFonts w:ascii="Arial" w:hAnsi="Arial" w:cs="Arial"/>
              </w:rPr>
            </w:pPr>
            <w:r w:rsidRPr="00A037A5">
              <w:rPr>
                <w:rFonts w:ascii="Arial" w:hAnsi="Arial" w:cs="Arial"/>
                <w:sz w:val="22"/>
                <w:szCs w:val="22"/>
              </w:rPr>
              <w:t>The setting of legal precedent from the Supreme Court or Court of Appeal on interpretation and application of environmental law is limited. In the absence of guidance from superior courts, decision making lacks consistency, resulting in considerable uncertainty for appellants.</w:t>
            </w:r>
            <w:r>
              <w:rPr>
                <w:rFonts w:ascii="Arial" w:hAnsi="Arial" w:cs="Arial"/>
              </w:rPr>
              <w:t xml:space="preserve">  </w:t>
            </w:r>
          </w:p>
        </w:tc>
      </w:tr>
    </w:tbl>
    <w:p w:rsidR="003C0B84" w:rsidRDefault="003C0B84" w:rsidP="00C32281">
      <w:pPr>
        <w:autoSpaceDE w:val="0"/>
        <w:autoSpaceDN w:val="0"/>
        <w:adjustRightInd w:val="0"/>
        <w:spacing w:after="0"/>
        <w:jc w:val="both"/>
        <w:rPr>
          <w:rFonts w:ascii="Arial" w:hAnsi="Arial" w:cs="Arial"/>
          <w:color w:val="000000"/>
          <w:sz w:val="22"/>
          <w:szCs w:val="22"/>
        </w:rPr>
      </w:pPr>
    </w:p>
    <w:p w:rsidR="003C0B84" w:rsidRDefault="003C0B84" w:rsidP="00A037A5">
      <w:pPr>
        <w:keepNext/>
        <w:autoSpaceDE w:val="0"/>
        <w:autoSpaceDN w:val="0"/>
        <w:adjustRightInd w:val="0"/>
        <w:spacing w:after="0"/>
        <w:jc w:val="both"/>
        <w:rPr>
          <w:rFonts w:ascii="Arial" w:hAnsi="Arial" w:cs="Arial"/>
          <w:b/>
          <w:i/>
          <w:color w:val="000000"/>
          <w:sz w:val="22"/>
          <w:szCs w:val="22"/>
        </w:rPr>
      </w:pPr>
      <w:r w:rsidRPr="00C32281">
        <w:rPr>
          <w:rFonts w:ascii="Arial" w:hAnsi="Arial" w:cs="Arial"/>
          <w:b/>
          <w:i/>
          <w:color w:val="000000"/>
          <w:sz w:val="22"/>
          <w:szCs w:val="22"/>
        </w:rPr>
        <w:t>Recommendations</w:t>
      </w:r>
    </w:p>
    <w:p w:rsidR="003C0B84" w:rsidRDefault="003C0B84" w:rsidP="00A037A5">
      <w:pPr>
        <w:keepNext/>
        <w:autoSpaceDE w:val="0"/>
        <w:autoSpaceDN w:val="0"/>
        <w:adjustRightInd w:val="0"/>
        <w:spacing w:after="0"/>
        <w:jc w:val="both"/>
        <w:rPr>
          <w:rFonts w:ascii="Arial" w:hAnsi="Arial" w:cs="Arial"/>
          <w:color w:val="000000"/>
          <w:sz w:val="22"/>
          <w:szCs w:val="22"/>
        </w:rPr>
      </w:pPr>
    </w:p>
    <w:p w:rsidR="003C0B84" w:rsidRPr="00A037A5" w:rsidRDefault="003C0B84" w:rsidP="00DF35DF">
      <w:pPr>
        <w:pStyle w:val="ListParagraph"/>
        <w:numPr>
          <w:ilvl w:val="0"/>
          <w:numId w:val="34"/>
        </w:numPr>
        <w:autoSpaceDE w:val="0"/>
        <w:autoSpaceDN w:val="0"/>
        <w:adjustRightInd w:val="0"/>
        <w:spacing w:after="0"/>
        <w:jc w:val="both"/>
        <w:rPr>
          <w:rFonts w:ascii="Arial" w:hAnsi="Arial" w:cs="Arial"/>
          <w:i/>
          <w:color w:val="000000"/>
          <w:sz w:val="22"/>
          <w:szCs w:val="22"/>
        </w:rPr>
      </w:pPr>
      <w:r w:rsidRPr="00A037A5">
        <w:rPr>
          <w:rFonts w:ascii="Arial" w:hAnsi="Arial" w:cs="Arial"/>
          <w:i/>
          <w:color w:val="000000"/>
          <w:sz w:val="22"/>
          <w:szCs w:val="22"/>
        </w:rPr>
        <w:t>Specialist environmental courts should be constituted in those jurisdictions lacking such a court.</w:t>
      </w:r>
    </w:p>
    <w:p w:rsidR="003C0B84" w:rsidRPr="00A037A5" w:rsidRDefault="003C0B84" w:rsidP="00855D50">
      <w:pPr>
        <w:pStyle w:val="ListParagraph"/>
        <w:autoSpaceDE w:val="0"/>
        <w:autoSpaceDN w:val="0"/>
        <w:adjustRightInd w:val="0"/>
        <w:spacing w:after="0"/>
        <w:ind w:left="360"/>
        <w:jc w:val="both"/>
        <w:rPr>
          <w:rFonts w:ascii="Arial" w:hAnsi="Arial" w:cs="Arial"/>
          <w:i/>
          <w:color w:val="000000"/>
          <w:sz w:val="22"/>
          <w:szCs w:val="22"/>
        </w:rPr>
      </w:pPr>
    </w:p>
    <w:p w:rsidR="003C0B84" w:rsidRPr="00A037A5" w:rsidRDefault="003C0B84" w:rsidP="00DF35DF">
      <w:pPr>
        <w:pStyle w:val="ListParagraph"/>
        <w:numPr>
          <w:ilvl w:val="0"/>
          <w:numId w:val="34"/>
        </w:numPr>
        <w:autoSpaceDE w:val="0"/>
        <w:autoSpaceDN w:val="0"/>
        <w:adjustRightInd w:val="0"/>
        <w:spacing w:after="0"/>
        <w:jc w:val="both"/>
        <w:rPr>
          <w:rFonts w:ascii="Arial" w:hAnsi="Arial" w:cs="Arial"/>
          <w:i/>
          <w:color w:val="000000"/>
          <w:sz w:val="22"/>
          <w:szCs w:val="22"/>
        </w:rPr>
      </w:pPr>
      <w:r w:rsidRPr="00A037A5">
        <w:rPr>
          <w:rFonts w:ascii="Arial" w:hAnsi="Arial" w:cs="Arial"/>
          <w:i/>
          <w:color w:val="000000"/>
          <w:sz w:val="22"/>
          <w:szCs w:val="22"/>
        </w:rPr>
        <w:t xml:space="preserve">Existing and new specialist environmental courts should be modelled on the NSW LEC. That is, they should be constituted as superior courts of record. They should also provide for the appointment of both judges and commissioners with particular expertise in environment and planning matters. </w:t>
      </w:r>
    </w:p>
    <w:p w:rsidR="003C0B84" w:rsidRPr="00C13CD1" w:rsidRDefault="003C0B84" w:rsidP="00536191">
      <w:pPr>
        <w:pStyle w:val="PolicyHeading2"/>
        <w:numPr>
          <w:ilvl w:val="0"/>
          <w:numId w:val="3"/>
        </w:numPr>
        <w:spacing w:afterAutospacing="0"/>
        <w:rPr>
          <w:rStyle w:val="Heading1Char"/>
          <w:bCs/>
          <w:kern w:val="0"/>
          <w:sz w:val="22"/>
          <w:szCs w:val="22"/>
          <w:lang w:val="en-US"/>
        </w:rPr>
      </w:pPr>
      <w:r>
        <w:rPr>
          <w:rStyle w:val="Heading1Char"/>
          <w:b/>
          <w:sz w:val="22"/>
          <w:szCs w:val="22"/>
        </w:rPr>
        <w:t xml:space="preserve">Photocopying costs - discovery and subpoenas </w:t>
      </w:r>
    </w:p>
    <w:p w:rsidR="003C0B84" w:rsidRDefault="003C0B84" w:rsidP="000005A1">
      <w:pPr>
        <w:spacing w:after="0"/>
        <w:rPr>
          <w:rStyle w:val="Heading1Char"/>
          <w:b w:val="0"/>
          <w:sz w:val="22"/>
          <w:szCs w:val="22"/>
        </w:rPr>
      </w:pPr>
    </w:p>
    <w:p w:rsidR="003C0B84" w:rsidRDefault="003C0B84" w:rsidP="000005A1">
      <w:pPr>
        <w:spacing w:after="0"/>
        <w:jc w:val="both"/>
        <w:rPr>
          <w:rStyle w:val="Heading1Char"/>
          <w:b w:val="0"/>
          <w:sz w:val="22"/>
          <w:szCs w:val="22"/>
        </w:rPr>
      </w:pPr>
      <w:r>
        <w:rPr>
          <w:rStyle w:val="Heading1Char"/>
          <w:b w:val="0"/>
          <w:sz w:val="22"/>
          <w:szCs w:val="22"/>
        </w:rPr>
        <w:t>ANEDO is concerned by the absence of public interest provisions in court rules</w:t>
      </w:r>
      <w:r>
        <w:rPr>
          <w:rStyle w:val="EndnoteReference"/>
          <w:rFonts w:ascii="Arial" w:hAnsi="Arial" w:cs="Arial"/>
          <w:bCs/>
          <w:kern w:val="32"/>
          <w:sz w:val="22"/>
          <w:szCs w:val="22"/>
        </w:rPr>
        <w:endnoteReference w:id="118"/>
      </w:r>
      <w:r>
        <w:rPr>
          <w:rStyle w:val="Heading1Char"/>
          <w:b w:val="0"/>
          <w:sz w:val="22"/>
          <w:szCs w:val="22"/>
        </w:rPr>
        <w:t xml:space="preserve"> with respect to photocopying for discovery and subpoenaed documents. As a consequence, a number of our clients have been invoiced for thousands of dollars (and in one instance $17,000)</w:t>
      </w:r>
      <w:r>
        <w:rPr>
          <w:rStyle w:val="EndnoteReference"/>
          <w:rFonts w:ascii="Arial" w:hAnsi="Arial" w:cs="Arial"/>
          <w:bCs/>
          <w:kern w:val="32"/>
          <w:sz w:val="22"/>
          <w:szCs w:val="22"/>
        </w:rPr>
        <w:endnoteReference w:id="119"/>
      </w:r>
      <w:r>
        <w:rPr>
          <w:rStyle w:val="Heading1Char"/>
          <w:b w:val="0"/>
          <w:sz w:val="22"/>
          <w:szCs w:val="22"/>
        </w:rPr>
        <w:t xml:space="preserve"> by both private parties and government departments for the right to access documents during proceedings. This imposes an unreasonable burden on public interest litigants, who based on our experience, have limited means and to that extent cannot afford large photocopying fees.</w:t>
      </w:r>
    </w:p>
    <w:p w:rsidR="003C0B84" w:rsidRDefault="003C0B84" w:rsidP="000005A1">
      <w:pPr>
        <w:spacing w:after="0"/>
        <w:jc w:val="both"/>
        <w:rPr>
          <w:rStyle w:val="Heading1Char"/>
          <w:b w:val="0"/>
          <w:sz w:val="22"/>
          <w:szCs w:val="22"/>
        </w:rPr>
      </w:pPr>
    </w:p>
    <w:p w:rsidR="003C0B84" w:rsidRDefault="003C0B84" w:rsidP="000005A1">
      <w:pPr>
        <w:spacing w:after="0"/>
        <w:jc w:val="both"/>
        <w:rPr>
          <w:rStyle w:val="Heading1Char"/>
          <w:b w:val="0"/>
          <w:sz w:val="22"/>
          <w:szCs w:val="22"/>
        </w:rPr>
      </w:pPr>
      <w:r>
        <w:rPr>
          <w:rStyle w:val="Heading1Char"/>
          <w:b w:val="0"/>
          <w:sz w:val="22"/>
          <w:szCs w:val="22"/>
        </w:rPr>
        <w:t xml:space="preserve">ANEDO therefore submits that there is a strong argument in favour or waiving or capping photocopying fees where litigation is being brought in the public interest. In addition to reflecting the special status of public interest litigation, such rules would improve the overall efficiency of court proceedings by avoiding protracted negotiations over photocopying costs. </w:t>
      </w:r>
    </w:p>
    <w:p w:rsidR="003C0B84" w:rsidRDefault="003C0B84" w:rsidP="000005A1">
      <w:pPr>
        <w:spacing w:after="0"/>
        <w:jc w:val="both"/>
        <w:rPr>
          <w:rStyle w:val="Heading1Char"/>
          <w:b w:val="0"/>
          <w:sz w:val="22"/>
          <w:szCs w:val="22"/>
        </w:rPr>
      </w:pPr>
    </w:p>
    <w:p w:rsidR="003C0B84" w:rsidRDefault="003C0B84" w:rsidP="000005A1">
      <w:pPr>
        <w:spacing w:after="0"/>
        <w:jc w:val="both"/>
        <w:rPr>
          <w:rStyle w:val="Heading1Char"/>
          <w:b w:val="0"/>
          <w:sz w:val="22"/>
          <w:szCs w:val="22"/>
        </w:rPr>
      </w:pPr>
      <w:r>
        <w:rPr>
          <w:rStyle w:val="Heading1Char"/>
          <w:b w:val="0"/>
          <w:sz w:val="22"/>
          <w:szCs w:val="22"/>
        </w:rPr>
        <w:t>We also note that ‘e-discovery’ has been introduced in QLD,</w:t>
      </w:r>
      <w:r>
        <w:rPr>
          <w:rStyle w:val="EndnoteReference"/>
          <w:rFonts w:ascii="Arial" w:hAnsi="Arial" w:cs="Arial"/>
          <w:bCs/>
          <w:kern w:val="32"/>
          <w:sz w:val="22"/>
          <w:szCs w:val="22"/>
        </w:rPr>
        <w:endnoteReference w:id="120"/>
      </w:r>
      <w:r>
        <w:rPr>
          <w:rStyle w:val="Heading1Char"/>
          <w:b w:val="0"/>
          <w:sz w:val="22"/>
          <w:szCs w:val="22"/>
        </w:rPr>
        <w:t xml:space="preserve"> improving efficiency and significantly lowering costs for all parties. ANEDO supports the use of this model in all Australian jurisdictions.</w:t>
      </w:r>
    </w:p>
    <w:p w:rsidR="003C0B84" w:rsidRDefault="003C0B84" w:rsidP="000005A1">
      <w:pPr>
        <w:spacing w:after="0"/>
        <w:jc w:val="both"/>
        <w:rPr>
          <w:rStyle w:val="Heading1Char"/>
          <w:b w:val="0"/>
          <w:sz w:val="22"/>
          <w:szCs w:val="22"/>
        </w:rPr>
      </w:pPr>
    </w:p>
    <w:p w:rsidR="003C0B84" w:rsidRDefault="003C0B84" w:rsidP="004D0A84">
      <w:pPr>
        <w:keepNext/>
        <w:spacing w:after="0"/>
        <w:jc w:val="both"/>
        <w:rPr>
          <w:rStyle w:val="Heading1Char"/>
          <w:i/>
          <w:sz w:val="22"/>
          <w:szCs w:val="22"/>
        </w:rPr>
      </w:pPr>
      <w:r w:rsidRPr="000005A1">
        <w:rPr>
          <w:rStyle w:val="Heading1Char"/>
          <w:i/>
          <w:sz w:val="22"/>
          <w:szCs w:val="22"/>
        </w:rPr>
        <w:lastRenderedPageBreak/>
        <w:t xml:space="preserve">Recommendations: </w:t>
      </w:r>
    </w:p>
    <w:p w:rsidR="00A81B7D" w:rsidRPr="000005A1" w:rsidRDefault="00A81B7D" w:rsidP="004D0A84">
      <w:pPr>
        <w:keepNext/>
        <w:spacing w:after="0"/>
        <w:jc w:val="both"/>
        <w:rPr>
          <w:rStyle w:val="Heading1Char"/>
          <w:i/>
          <w:sz w:val="22"/>
          <w:szCs w:val="22"/>
        </w:rPr>
      </w:pPr>
    </w:p>
    <w:p w:rsidR="00A81B7D" w:rsidRPr="00A037A5" w:rsidRDefault="003C0B84" w:rsidP="00DF35DF">
      <w:pPr>
        <w:pStyle w:val="ListParagraph"/>
        <w:numPr>
          <w:ilvl w:val="0"/>
          <w:numId w:val="35"/>
        </w:numPr>
        <w:jc w:val="both"/>
        <w:rPr>
          <w:rStyle w:val="Heading1Char"/>
          <w:b w:val="0"/>
          <w:i/>
          <w:sz w:val="22"/>
          <w:szCs w:val="22"/>
        </w:rPr>
      </w:pPr>
      <w:r w:rsidRPr="00A037A5">
        <w:rPr>
          <w:rStyle w:val="Heading1Char"/>
          <w:b w:val="0"/>
          <w:i/>
          <w:sz w:val="22"/>
          <w:szCs w:val="22"/>
        </w:rPr>
        <w:t>Rules in all jurisdictions should be amended to provide courts with discretion to either waive or cap photocopying fees for discovery and subpoenaed documents held by government departments where the applicant is a public interest litigant. Caps should be commensurate with the litigant’s means.</w:t>
      </w:r>
    </w:p>
    <w:p w:rsidR="003C0B84" w:rsidRPr="00A037A5" w:rsidRDefault="003C0B84" w:rsidP="00A81B7D">
      <w:pPr>
        <w:pStyle w:val="ListParagraph"/>
        <w:ind w:left="360"/>
        <w:jc w:val="both"/>
        <w:rPr>
          <w:rStyle w:val="Heading1Char"/>
          <w:b w:val="0"/>
          <w:i/>
          <w:sz w:val="22"/>
          <w:szCs w:val="22"/>
        </w:rPr>
      </w:pPr>
      <w:r w:rsidRPr="00A037A5">
        <w:rPr>
          <w:rStyle w:val="Heading1Char"/>
          <w:b w:val="0"/>
          <w:i/>
          <w:sz w:val="22"/>
          <w:szCs w:val="22"/>
        </w:rPr>
        <w:t xml:space="preserve"> </w:t>
      </w:r>
    </w:p>
    <w:p w:rsidR="003C0B84" w:rsidRPr="00A037A5" w:rsidRDefault="003C0B84" w:rsidP="00DF35DF">
      <w:pPr>
        <w:pStyle w:val="ListParagraph"/>
        <w:numPr>
          <w:ilvl w:val="0"/>
          <w:numId w:val="35"/>
        </w:numPr>
        <w:jc w:val="both"/>
        <w:rPr>
          <w:rStyle w:val="Heading1Char"/>
          <w:b w:val="0"/>
          <w:i/>
          <w:sz w:val="22"/>
          <w:szCs w:val="22"/>
        </w:rPr>
      </w:pPr>
      <w:r w:rsidRPr="00A037A5">
        <w:rPr>
          <w:rStyle w:val="Heading1Char"/>
          <w:b w:val="0"/>
          <w:i/>
          <w:sz w:val="22"/>
          <w:szCs w:val="22"/>
        </w:rPr>
        <w:t xml:space="preserve">Rules should be amended to provide for ‘e-discovery’, thereby significantly reducing the cost of discovery for all parties. </w:t>
      </w:r>
    </w:p>
    <w:p w:rsidR="00B8270A" w:rsidRPr="000005A1" w:rsidRDefault="00B8270A" w:rsidP="00B8270A">
      <w:pPr>
        <w:pStyle w:val="ListParagraph"/>
        <w:ind w:left="360"/>
        <w:jc w:val="both"/>
        <w:rPr>
          <w:rStyle w:val="Heading1Char"/>
          <w:b w:val="0"/>
          <w:sz w:val="22"/>
          <w:szCs w:val="22"/>
        </w:rPr>
      </w:pPr>
    </w:p>
    <w:p w:rsidR="003C0B84" w:rsidRPr="0004411D" w:rsidRDefault="003C0B84" w:rsidP="00536191">
      <w:pPr>
        <w:pStyle w:val="PolicyHeading2"/>
        <w:numPr>
          <w:ilvl w:val="0"/>
          <w:numId w:val="3"/>
        </w:numPr>
        <w:spacing w:afterAutospacing="0"/>
        <w:rPr>
          <w:rFonts w:ascii="Arial" w:hAnsi="Arial" w:cs="Arial"/>
          <w:b w:val="0"/>
          <w:sz w:val="22"/>
          <w:szCs w:val="22"/>
        </w:rPr>
      </w:pPr>
      <w:r>
        <w:rPr>
          <w:rStyle w:val="Heading1Char"/>
          <w:b/>
          <w:sz w:val="22"/>
          <w:szCs w:val="22"/>
        </w:rPr>
        <w:t xml:space="preserve">Freedom of information legislation </w:t>
      </w:r>
      <w:r w:rsidRPr="00A9458F">
        <w:rPr>
          <w:rStyle w:val="Heading1Char"/>
          <w:b/>
          <w:sz w:val="22"/>
          <w:szCs w:val="22"/>
        </w:rPr>
        <w:t xml:space="preserve"> </w:t>
      </w:r>
    </w:p>
    <w:p w:rsidR="003C0B84" w:rsidRDefault="003C0B84" w:rsidP="00790F83">
      <w:pPr>
        <w:pStyle w:val="ListParagraph"/>
        <w:autoSpaceDE w:val="0"/>
        <w:autoSpaceDN w:val="0"/>
        <w:adjustRightInd w:val="0"/>
        <w:spacing w:after="0"/>
        <w:ind w:left="360"/>
        <w:jc w:val="both"/>
        <w:rPr>
          <w:rFonts w:ascii="Arial" w:hAnsi="Arial" w:cs="Arial"/>
          <w:b/>
          <w:i/>
          <w:color w:val="000000"/>
          <w:sz w:val="22"/>
          <w:szCs w:val="22"/>
          <w:lang w:val="en-US"/>
        </w:rPr>
      </w:pPr>
    </w:p>
    <w:p w:rsidR="003C0B84" w:rsidRDefault="003C0B84" w:rsidP="00536191">
      <w:pPr>
        <w:pStyle w:val="ListParagraph"/>
        <w:numPr>
          <w:ilvl w:val="0"/>
          <w:numId w:val="20"/>
        </w:numPr>
        <w:autoSpaceDE w:val="0"/>
        <w:autoSpaceDN w:val="0"/>
        <w:adjustRightInd w:val="0"/>
        <w:spacing w:after="0"/>
        <w:jc w:val="both"/>
        <w:rPr>
          <w:rFonts w:ascii="Arial" w:hAnsi="Arial" w:cs="Arial"/>
          <w:b/>
          <w:i/>
          <w:color w:val="000000"/>
          <w:sz w:val="22"/>
          <w:szCs w:val="22"/>
          <w:lang w:val="en-US"/>
        </w:rPr>
      </w:pPr>
      <w:r w:rsidRPr="00D73A1D">
        <w:rPr>
          <w:rFonts w:ascii="Arial" w:hAnsi="Arial" w:cs="Arial"/>
          <w:b/>
          <w:i/>
          <w:color w:val="000000"/>
          <w:sz w:val="22"/>
          <w:szCs w:val="22"/>
          <w:lang w:val="en-US"/>
        </w:rPr>
        <w:t xml:space="preserve">Background </w:t>
      </w:r>
    </w:p>
    <w:p w:rsidR="003C0B84" w:rsidRPr="00C97C01" w:rsidRDefault="003C0B84" w:rsidP="000E0086">
      <w:pPr>
        <w:pStyle w:val="ListParagraph"/>
        <w:autoSpaceDE w:val="0"/>
        <w:autoSpaceDN w:val="0"/>
        <w:adjustRightInd w:val="0"/>
        <w:spacing w:after="0"/>
        <w:ind w:left="360"/>
        <w:jc w:val="both"/>
        <w:rPr>
          <w:rFonts w:ascii="Arial" w:hAnsi="Arial" w:cs="Arial"/>
          <w:color w:val="000000"/>
          <w:sz w:val="22"/>
          <w:szCs w:val="22"/>
          <w:lang w:val="en-US"/>
        </w:rPr>
      </w:pPr>
    </w:p>
    <w:p w:rsidR="003C0B84" w:rsidRDefault="003C0B84" w:rsidP="00D73A1D">
      <w:pPr>
        <w:autoSpaceDE w:val="0"/>
        <w:autoSpaceDN w:val="0"/>
        <w:adjustRightInd w:val="0"/>
        <w:spacing w:after="0"/>
        <w:jc w:val="both"/>
        <w:rPr>
          <w:rFonts w:ascii="Arial" w:hAnsi="Arial" w:cs="Arial"/>
          <w:color w:val="000000"/>
          <w:sz w:val="22"/>
          <w:szCs w:val="22"/>
          <w:lang w:val="en-US"/>
        </w:rPr>
      </w:pPr>
      <w:r>
        <w:rPr>
          <w:rFonts w:ascii="Arial" w:hAnsi="Arial" w:cs="Arial"/>
          <w:color w:val="000000"/>
          <w:sz w:val="22"/>
          <w:szCs w:val="22"/>
          <w:lang w:val="en-US"/>
        </w:rPr>
        <w:t>ANEDO submits that rigorous freedom of information (</w:t>
      </w:r>
      <w:r w:rsidRPr="0068433C">
        <w:rPr>
          <w:rFonts w:ascii="Arial" w:hAnsi="Arial" w:cs="Arial"/>
          <w:b/>
          <w:color w:val="000000"/>
          <w:sz w:val="22"/>
          <w:szCs w:val="22"/>
          <w:lang w:val="en-US"/>
        </w:rPr>
        <w:t>FOI</w:t>
      </w:r>
      <w:r>
        <w:rPr>
          <w:rFonts w:ascii="Arial" w:hAnsi="Arial" w:cs="Arial"/>
          <w:color w:val="000000"/>
          <w:sz w:val="22"/>
          <w:szCs w:val="22"/>
          <w:lang w:val="en-US"/>
        </w:rPr>
        <w:t xml:space="preserve">) legislation is fundamental to achieving access to justice and to improving the overall efficiency of the legal system. </w:t>
      </w:r>
    </w:p>
    <w:p w:rsidR="003C0B84" w:rsidRDefault="003C0B84" w:rsidP="00D73A1D">
      <w:pPr>
        <w:autoSpaceDE w:val="0"/>
        <w:autoSpaceDN w:val="0"/>
        <w:adjustRightInd w:val="0"/>
        <w:spacing w:after="0"/>
        <w:jc w:val="both"/>
        <w:rPr>
          <w:rFonts w:ascii="Arial" w:hAnsi="Arial" w:cs="Arial"/>
          <w:color w:val="000000"/>
          <w:sz w:val="22"/>
          <w:szCs w:val="22"/>
          <w:lang w:val="en-US"/>
        </w:rPr>
      </w:pPr>
    </w:p>
    <w:p w:rsidR="003C0B84" w:rsidRDefault="003C0B84" w:rsidP="00D73A1D">
      <w:pPr>
        <w:autoSpaceDE w:val="0"/>
        <w:autoSpaceDN w:val="0"/>
        <w:adjustRightInd w:val="0"/>
        <w:spacing w:after="0"/>
        <w:jc w:val="both"/>
        <w:rPr>
          <w:rFonts w:ascii="Arial" w:hAnsi="Arial" w:cs="Arial"/>
          <w:color w:val="000000"/>
          <w:sz w:val="22"/>
          <w:szCs w:val="22"/>
          <w:lang w:val="en-US"/>
        </w:rPr>
      </w:pPr>
      <w:r>
        <w:rPr>
          <w:rFonts w:ascii="Arial" w:hAnsi="Arial" w:cs="Arial"/>
          <w:color w:val="000000"/>
          <w:sz w:val="22"/>
          <w:szCs w:val="22"/>
          <w:lang w:val="en-US"/>
        </w:rPr>
        <w:t>While we acknowledge the existence of FOI statutes in all Australian jurisdictions,</w:t>
      </w:r>
      <w:r>
        <w:rPr>
          <w:rStyle w:val="EndnoteReference"/>
          <w:rFonts w:ascii="Arial" w:hAnsi="Arial" w:cs="Arial"/>
          <w:color w:val="000000"/>
          <w:sz w:val="22"/>
          <w:szCs w:val="22"/>
          <w:lang w:val="en-US"/>
        </w:rPr>
        <w:endnoteReference w:id="121"/>
      </w:r>
      <w:r>
        <w:rPr>
          <w:rFonts w:ascii="Arial" w:hAnsi="Arial" w:cs="Arial"/>
          <w:color w:val="000000"/>
          <w:sz w:val="22"/>
          <w:szCs w:val="22"/>
          <w:lang w:val="en-US"/>
        </w:rPr>
        <w:t xml:space="preserve"> our experience indicates that there is significant scope for improvement in most States and Territories. Examination of the relevant legislation and case law reveals some common themes. The following sections will provide an overview of these themes. </w:t>
      </w:r>
      <w:r w:rsidR="009844A9">
        <w:rPr>
          <w:rFonts w:ascii="Arial" w:hAnsi="Arial" w:cs="Arial"/>
          <w:color w:val="000000"/>
          <w:sz w:val="22"/>
          <w:szCs w:val="22"/>
          <w:lang w:val="en-US"/>
        </w:rPr>
        <w:t>Further information is available in ANEDO’s 2012 s</w:t>
      </w:r>
      <w:r w:rsidR="009844A9" w:rsidRPr="009844A9">
        <w:rPr>
          <w:rFonts w:ascii="Arial" w:hAnsi="Arial" w:cs="Arial"/>
          <w:color w:val="000000"/>
          <w:sz w:val="22"/>
          <w:szCs w:val="22"/>
          <w:lang w:val="en-US"/>
        </w:rPr>
        <w:t xml:space="preserve">ubmission </w:t>
      </w:r>
      <w:r w:rsidR="009844A9">
        <w:rPr>
          <w:rFonts w:ascii="Arial" w:hAnsi="Arial" w:cs="Arial"/>
          <w:color w:val="000000"/>
          <w:sz w:val="22"/>
          <w:szCs w:val="22"/>
          <w:lang w:val="en-US"/>
        </w:rPr>
        <w:t>to the</w:t>
      </w:r>
      <w:r w:rsidR="009844A9" w:rsidRPr="009844A9">
        <w:rPr>
          <w:rFonts w:ascii="Arial" w:hAnsi="Arial" w:cs="Arial"/>
          <w:color w:val="000000"/>
          <w:sz w:val="22"/>
          <w:szCs w:val="22"/>
          <w:lang w:val="en-US"/>
        </w:rPr>
        <w:t xml:space="preserve"> review of the </w:t>
      </w:r>
      <w:r w:rsidR="009844A9" w:rsidRPr="009844A9">
        <w:rPr>
          <w:rFonts w:ascii="Arial" w:hAnsi="Arial" w:cs="Arial"/>
          <w:i/>
          <w:color w:val="000000"/>
          <w:sz w:val="22"/>
          <w:szCs w:val="22"/>
          <w:lang w:val="en-US"/>
        </w:rPr>
        <w:t>Freedom of Information Act 1982</w:t>
      </w:r>
      <w:r w:rsidR="009844A9">
        <w:rPr>
          <w:rFonts w:ascii="Arial" w:hAnsi="Arial" w:cs="Arial"/>
          <w:i/>
          <w:color w:val="000000"/>
          <w:sz w:val="22"/>
          <w:szCs w:val="22"/>
          <w:lang w:val="en-US"/>
        </w:rPr>
        <w:t xml:space="preserve"> </w:t>
      </w:r>
      <w:r w:rsidR="009844A9" w:rsidRPr="009844A9">
        <w:rPr>
          <w:rFonts w:ascii="Arial" w:hAnsi="Arial" w:cs="Arial"/>
          <w:color w:val="000000"/>
          <w:sz w:val="22"/>
          <w:szCs w:val="22"/>
          <w:lang w:val="en-US"/>
        </w:rPr>
        <w:t>(</w:t>
      </w:r>
      <w:proofErr w:type="spellStart"/>
      <w:r w:rsidR="009844A9">
        <w:rPr>
          <w:rFonts w:ascii="Arial" w:hAnsi="Arial" w:cs="Arial"/>
          <w:color w:val="000000"/>
          <w:sz w:val="22"/>
          <w:szCs w:val="22"/>
          <w:lang w:val="en-US"/>
        </w:rPr>
        <w:t>C</w:t>
      </w:r>
      <w:r w:rsidR="009844A9" w:rsidRPr="00D92D16">
        <w:rPr>
          <w:rFonts w:ascii="Arial" w:hAnsi="Arial" w:cs="Arial"/>
          <w:color w:val="000000"/>
          <w:sz w:val="22"/>
          <w:szCs w:val="22"/>
          <w:lang w:val="en-US"/>
        </w:rPr>
        <w:t>th</w:t>
      </w:r>
      <w:proofErr w:type="spellEnd"/>
      <w:r w:rsidR="009844A9" w:rsidRPr="00D92D16">
        <w:rPr>
          <w:rFonts w:ascii="Arial" w:hAnsi="Arial" w:cs="Arial"/>
          <w:color w:val="000000"/>
          <w:sz w:val="22"/>
          <w:szCs w:val="22"/>
          <w:lang w:val="en-US"/>
        </w:rPr>
        <w:t>)</w:t>
      </w:r>
      <w:r w:rsidR="009844A9">
        <w:rPr>
          <w:rFonts w:ascii="Arial" w:hAnsi="Arial" w:cs="Arial"/>
          <w:color w:val="000000"/>
          <w:sz w:val="22"/>
          <w:szCs w:val="22"/>
          <w:lang w:val="en-US"/>
        </w:rPr>
        <w:t>,</w:t>
      </w:r>
      <w:r w:rsidR="009844A9">
        <w:rPr>
          <w:rStyle w:val="EndnoteReference"/>
          <w:rFonts w:ascii="Arial" w:hAnsi="Arial" w:cs="Arial"/>
          <w:color w:val="000000"/>
          <w:sz w:val="22"/>
          <w:szCs w:val="22"/>
          <w:lang w:val="en-US"/>
        </w:rPr>
        <w:endnoteReference w:id="122"/>
      </w:r>
      <w:r w:rsidR="009844A9">
        <w:rPr>
          <w:rFonts w:ascii="Arial" w:hAnsi="Arial" w:cs="Arial"/>
          <w:color w:val="000000"/>
          <w:sz w:val="22"/>
          <w:szCs w:val="22"/>
          <w:lang w:val="en-US"/>
        </w:rPr>
        <w:t xml:space="preserve"> and</w:t>
      </w:r>
      <w:r>
        <w:rPr>
          <w:rFonts w:ascii="Arial" w:hAnsi="Arial" w:cs="Arial"/>
          <w:color w:val="000000"/>
          <w:sz w:val="22"/>
          <w:szCs w:val="22"/>
          <w:lang w:val="en-US"/>
        </w:rPr>
        <w:t xml:space="preserve"> more specific information can be provided on request. </w:t>
      </w:r>
    </w:p>
    <w:p w:rsidR="004D0A84" w:rsidRDefault="004D0A84" w:rsidP="00D73A1D">
      <w:pPr>
        <w:autoSpaceDE w:val="0"/>
        <w:autoSpaceDN w:val="0"/>
        <w:adjustRightInd w:val="0"/>
        <w:spacing w:after="0"/>
        <w:jc w:val="both"/>
        <w:rPr>
          <w:rFonts w:ascii="Arial" w:hAnsi="Arial" w:cs="Arial"/>
          <w:color w:val="000000"/>
          <w:sz w:val="22"/>
          <w:szCs w:val="22"/>
          <w:lang w:val="en-US"/>
        </w:rPr>
      </w:pPr>
    </w:p>
    <w:p w:rsidR="003C0B84" w:rsidRPr="00D73A1D" w:rsidRDefault="003C0B84" w:rsidP="00536191">
      <w:pPr>
        <w:pStyle w:val="ListParagraph"/>
        <w:numPr>
          <w:ilvl w:val="0"/>
          <w:numId w:val="20"/>
        </w:numPr>
        <w:autoSpaceDE w:val="0"/>
        <w:autoSpaceDN w:val="0"/>
        <w:adjustRightInd w:val="0"/>
        <w:spacing w:after="0"/>
        <w:jc w:val="both"/>
        <w:rPr>
          <w:rFonts w:ascii="Arial" w:hAnsi="Arial" w:cs="Arial"/>
          <w:b/>
          <w:i/>
          <w:color w:val="000000"/>
          <w:sz w:val="22"/>
          <w:szCs w:val="22"/>
          <w:lang w:val="en-US"/>
        </w:rPr>
      </w:pPr>
      <w:r w:rsidRPr="00D73A1D">
        <w:rPr>
          <w:rFonts w:ascii="Arial" w:hAnsi="Arial" w:cs="Arial"/>
          <w:b/>
          <w:i/>
          <w:color w:val="000000"/>
          <w:sz w:val="22"/>
          <w:szCs w:val="22"/>
          <w:lang w:val="en-US"/>
        </w:rPr>
        <w:t xml:space="preserve">Exemptions </w:t>
      </w:r>
    </w:p>
    <w:p w:rsidR="003C0B84" w:rsidRDefault="003C0B84" w:rsidP="00D73A1D">
      <w:pPr>
        <w:autoSpaceDE w:val="0"/>
        <w:autoSpaceDN w:val="0"/>
        <w:adjustRightInd w:val="0"/>
        <w:spacing w:after="0"/>
        <w:jc w:val="both"/>
        <w:rPr>
          <w:rFonts w:ascii="Arial" w:hAnsi="Arial" w:cs="Arial"/>
          <w:color w:val="000000"/>
          <w:sz w:val="22"/>
          <w:szCs w:val="22"/>
          <w:lang w:val="en-US"/>
        </w:rPr>
      </w:pPr>
    </w:p>
    <w:p w:rsidR="003C0B84" w:rsidRDefault="003C0B84" w:rsidP="00D73A1D">
      <w:pPr>
        <w:autoSpaceDE w:val="0"/>
        <w:autoSpaceDN w:val="0"/>
        <w:adjustRightInd w:val="0"/>
        <w:spacing w:after="0"/>
        <w:jc w:val="both"/>
        <w:rPr>
          <w:rFonts w:ascii="Arial" w:hAnsi="Arial" w:cs="Arial"/>
          <w:color w:val="000000"/>
          <w:sz w:val="22"/>
          <w:szCs w:val="22"/>
          <w:lang w:val="en-US"/>
        </w:rPr>
      </w:pPr>
      <w:r>
        <w:rPr>
          <w:rFonts w:ascii="Arial" w:hAnsi="Arial" w:cs="Arial"/>
          <w:color w:val="000000"/>
          <w:sz w:val="22"/>
          <w:szCs w:val="22"/>
          <w:lang w:val="en-US"/>
        </w:rPr>
        <w:t xml:space="preserve">EDO offices are aware of instances where government agencies have relied on exemptions in freedom of information legislation to an unreasonable extent. We use the world ‘unreasonable’ to describe cases where review has eventually resulted in the documents being released – after considerable delay and sometimes cost to our clients. Unnecessarily withholding documents not only undermines the intent of FOI legislation, but is overwhelming inefficient. The following case study illustrates this point. </w:t>
      </w:r>
    </w:p>
    <w:p w:rsidR="003C0B84" w:rsidRDefault="003C0B84" w:rsidP="00D73A1D">
      <w:pPr>
        <w:autoSpaceDE w:val="0"/>
        <w:autoSpaceDN w:val="0"/>
        <w:adjustRightInd w:val="0"/>
        <w:spacing w:after="0"/>
        <w:jc w:val="both"/>
        <w:rPr>
          <w:rFonts w:ascii="Arial" w:hAnsi="Arial" w:cs="Arial"/>
          <w:color w:val="000000"/>
          <w:sz w:val="22"/>
          <w:szCs w:val="22"/>
          <w:lang w:val="en-US"/>
        </w:rPr>
      </w:pPr>
    </w:p>
    <w:tbl>
      <w:tblPr>
        <w:tblStyle w:val="TableGrid"/>
        <w:tblW w:w="0" w:type="auto"/>
        <w:tblLook w:val="04A0" w:firstRow="1" w:lastRow="0" w:firstColumn="1" w:lastColumn="0" w:noHBand="0" w:noVBand="1"/>
      </w:tblPr>
      <w:tblGrid>
        <w:gridCol w:w="8886"/>
      </w:tblGrid>
      <w:tr w:rsidR="003C0B84" w:rsidTr="0068433C">
        <w:tc>
          <w:tcPr>
            <w:tcW w:w="8886" w:type="dxa"/>
          </w:tcPr>
          <w:p w:rsidR="003C0B84" w:rsidRPr="0068433C" w:rsidRDefault="003C0B84" w:rsidP="00D73A1D">
            <w:pPr>
              <w:autoSpaceDE w:val="0"/>
              <w:autoSpaceDN w:val="0"/>
              <w:adjustRightInd w:val="0"/>
              <w:spacing w:after="0"/>
              <w:jc w:val="both"/>
              <w:rPr>
                <w:rFonts w:ascii="Arial" w:hAnsi="Arial" w:cs="Arial"/>
                <w:b/>
                <w:color w:val="000000"/>
                <w:sz w:val="22"/>
                <w:szCs w:val="22"/>
                <w:lang w:val="en-US"/>
              </w:rPr>
            </w:pPr>
            <w:r w:rsidRPr="0068433C">
              <w:rPr>
                <w:rFonts w:ascii="Arial" w:hAnsi="Arial" w:cs="Arial"/>
                <w:b/>
                <w:color w:val="000000"/>
                <w:sz w:val="22"/>
                <w:szCs w:val="22"/>
                <w:lang w:val="en-US"/>
              </w:rPr>
              <w:t xml:space="preserve">Case study: Western Australia </w:t>
            </w:r>
          </w:p>
          <w:p w:rsidR="003C0B84" w:rsidRDefault="003C0B84" w:rsidP="00D73A1D">
            <w:pPr>
              <w:autoSpaceDE w:val="0"/>
              <w:autoSpaceDN w:val="0"/>
              <w:adjustRightInd w:val="0"/>
              <w:spacing w:after="0"/>
              <w:jc w:val="both"/>
              <w:rPr>
                <w:rFonts w:ascii="Arial" w:hAnsi="Arial" w:cs="Arial"/>
                <w:color w:val="000000"/>
                <w:sz w:val="22"/>
                <w:szCs w:val="22"/>
                <w:lang w:val="en-US"/>
              </w:rPr>
            </w:pPr>
          </w:p>
          <w:p w:rsidR="003C0B84" w:rsidRDefault="003C0B84" w:rsidP="0068433C">
            <w:pPr>
              <w:autoSpaceDE w:val="0"/>
              <w:autoSpaceDN w:val="0"/>
              <w:adjustRightInd w:val="0"/>
              <w:spacing w:after="0"/>
              <w:jc w:val="both"/>
              <w:rPr>
                <w:rFonts w:ascii="Arial" w:hAnsi="Arial" w:cs="Arial"/>
                <w:color w:val="000000"/>
                <w:sz w:val="22"/>
                <w:szCs w:val="22"/>
              </w:rPr>
            </w:pPr>
            <w:r w:rsidRPr="0068433C">
              <w:rPr>
                <w:rFonts w:ascii="Arial" w:hAnsi="Arial" w:cs="Arial"/>
                <w:color w:val="000000"/>
                <w:sz w:val="22"/>
                <w:szCs w:val="22"/>
              </w:rPr>
              <w:t xml:space="preserve">In </w:t>
            </w:r>
            <w:r w:rsidRPr="0068433C">
              <w:rPr>
                <w:rFonts w:ascii="Arial" w:hAnsi="Arial" w:cs="Arial"/>
                <w:i/>
                <w:color w:val="000000"/>
                <w:sz w:val="22"/>
                <w:szCs w:val="22"/>
              </w:rPr>
              <w:t xml:space="preserve">Re Pillsbury and Department of Mines and Petroleum and </w:t>
            </w:r>
            <w:proofErr w:type="spellStart"/>
            <w:r w:rsidRPr="0068433C">
              <w:rPr>
                <w:rFonts w:ascii="Arial" w:hAnsi="Arial" w:cs="Arial"/>
                <w:i/>
                <w:color w:val="000000"/>
                <w:sz w:val="22"/>
                <w:szCs w:val="22"/>
              </w:rPr>
              <w:t>Cimeco</w:t>
            </w:r>
            <w:proofErr w:type="spellEnd"/>
            <w:r w:rsidRPr="0068433C">
              <w:rPr>
                <w:rFonts w:ascii="Arial" w:hAnsi="Arial" w:cs="Arial"/>
                <w:i/>
                <w:color w:val="000000"/>
                <w:sz w:val="22"/>
                <w:szCs w:val="22"/>
              </w:rPr>
              <w:t xml:space="preserve"> Pty Ltd and Rey Resources Limited</w:t>
            </w:r>
            <w:r w:rsidRPr="0068433C">
              <w:rPr>
                <w:rFonts w:ascii="Arial" w:hAnsi="Arial" w:cs="Arial"/>
                <w:color w:val="000000"/>
                <w:sz w:val="22"/>
                <w:szCs w:val="22"/>
              </w:rPr>
              <w:t>,</w:t>
            </w:r>
            <w:r w:rsidRPr="0068433C">
              <w:rPr>
                <w:rFonts w:ascii="Arial" w:hAnsi="Arial" w:cs="Arial"/>
                <w:color w:val="000000"/>
                <w:sz w:val="22"/>
                <w:szCs w:val="22"/>
                <w:vertAlign w:val="superscript"/>
              </w:rPr>
              <w:endnoteReference w:id="123"/>
            </w:r>
            <w:r w:rsidRPr="0068433C">
              <w:rPr>
                <w:rFonts w:ascii="Arial" w:hAnsi="Arial" w:cs="Arial"/>
                <w:color w:val="000000"/>
                <w:sz w:val="22"/>
                <w:szCs w:val="22"/>
              </w:rPr>
              <w:t xml:space="preserve"> Mr Pillsbury applied to the Department of Mines and Petroleum (</w:t>
            </w:r>
            <w:r w:rsidRPr="0068433C">
              <w:rPr>
                <w:rFonts w:ascii="Arial" w:hAnsi="Arial" w:cs="Arial"/>
                <w:b/>
                <w:color w:val="000000"/>
                <w:sz w:val="22"/>
                <w:szCs w:val="22"/>
              </w:rPr>
              <w:t>DMP</w:t>
            </w:r>
            <w:r w:rsidRPr="0068433C">
              <w:rPr>
                <w:rFonts w:ascii="Arial" w:hAnsi="Arial" w:cs="Arial"/>
                <w:color w:val="000000"/>
                <w:sz w:val="22"/>
                <w:szCs w:val="22"/>
              </w:rPr>
              <w:t xml:space="preserve">) for access to Rey Resources’ Health, Safety &amp; Environmental Management Interface Plan and Occupational Hygiene Management Plan.  </w:t>
            </w:r>
          </w:p>
          <w:p w:rsidR="003C0B84" w:rsidRPr="0068433C" w:rsidRDefault="003C0B84" w:rsidP="0068433C">
            <w:pPr>
              <w:autoSpaceDE w:val="0"/>
              <w:autoSpaceDN w:val="0"/>
              <w:adjustRightInd w:val="0"/>
              <w:spacing w:after="0"/>
              <w:jc w:val="both"/>
              <w:rPr>
                <w:rFonts w:ascii="Arial" w:hAnsi="Arial" w:cs="Arial"/>
                <w:color w:val="000000"/>
                <w:sz w:val="22"/>
                <w:szCs w:val="22"/>
              </w:rPr>
            </w:pPr>
          </w:p>
          <w:p w:rsidR="003C0B84" w:rsidRDefault="003C0B84" w:rsidP="0068433C">
            <w:pPr>
              <w:autoSpaceDE w:val="0"/>
              <w:autoSpaceDN w:val="0"/>
              <w:adjustRightInd w:val="0"/>
              <w:spacing w:after="0"/>
              <w:jc w:val="both"/>
              <w:rPr>
                <w:rFonts w:ascii="Arial" w:hAnsi="Arial" w:cs="Arial"/>
                <w:color w:val="000000"/>
                <w:sz w:val="22"/>
                <w:szCs w:val="22"/>
              </w:rPr>
            </w:pPr>
            <w:r w:rsidRPr="0068433C">
              <w:rPr>
                <w:rFonts w:ascii="Arial" w:hAnsi="Arial" w:cs="Arial"/>
                <w:color w:val="000000"/>
                <w:sz w:val="22"/>
                <w:szCs w:val="22"/>
              </w:rPr>
              <w:t>The DMP refused to provide access to the documents. It argued that the documents were exempt from disclosure on the basis that disclosure would reveal commercially valuable information (other than trade secrets) and that disclosure could reasonably be expected to destroy or diminish that commercial value.</w:t>
            </w:r>
            <w:r w:rsidRPr="0068433C">
              <w:rPr>
                <w:rFonts w:ascii="Arial" w:hAnsi="Arial" w:cs="Arial"/>
                <w:color w:val="000000"/>
                <w:sz w:val="22"/>
                <w:szCs w:val="22"/>
                <w:vertAlign w:val="superscript"/>
              </w:rPr>
              <w:endnoteReference w:id="124"/>
            </w:r>
          </w:p>
          <w:p w:rsidR="003C0B84" w:rsidRPr="0068433C" w:rsidRDefault="003C0B84" w:rsidP="0068433C">
            <w:pPr>
              <w:autoSpaceDE w:val="0"/>
              <w:autoSpaceDN w:val="0"/>
              <w:adjustRightInd w:val="0"/>
              <w:spacing w:after="0"/>
              <w:jc w:val="both"/>
              <w:rPr>
                <w:rFonts w:ascii="Arial" w:hAnsi="Arial" w:cs="Arial"/>
                <w:color w:val="000000"/>
                <w:sz w:val="22"/>
                <w:szCs w:val="22"/>
              </w:rPr>
            </w:pPr>
          </w:p>
          <w:p w:rsidR="003C0B84" w:rsidRDefault="003C0B84" w:rsidP="0068433C">
            <w:pPr>
              <w:autoSpaceDE w:val="0"/>
              <w:autoSpaceDN w:val="0"/>
              <w:adjustRightInd w:val="0"/>
              <w:spacing w:after="0"/>
              <w:jc w:val="both"/>
              <w:rPr>
                <w:rFonts w:ascii="Arial" w:hAnsi="Arial" w:cs="Arial"/>
                <w:color w:val="000000"/>
                <w:sz w:val="22"/>
                <w:szCs w:val="22"/>
              </w:rPr>
            </w:pPr>
            <w:r w:rsidRPr="0068433C">
              <w:rPr>
                <w:rFonts w:ascii="Arial" w:hAnsi="Arial" w:cs="Arial"/>
                <w:color w:val="000000"/>
                <w:sz w:val="22"/>
                <w:szCs w:val="22"/>
              </w:rPr>
              <w:t>EDO WA assisted Mr Pillsbury to apply for internal review of the DMP’s decision. The DMP upheld its initial decision and relied on an additional ground for refusing access to the documents, namely that disclosure would reveal information (other than trade secrets or commercial valuable information) about the business, professional, commercial or financial affairs of a person and that disclosure could reasonably be expected to have an adverse effect on those affairs or to prejudice the future supply of information of that kind to the Government or to an agency.</w:t>
            </w:r>
            <w:r w:rsidRPr="0068433C">
              <w:rPr>
                <w:rFonts w:ascii="Arial" w:hAnsi="Arial" w:cs="Arial"/>
                <w:color w:val="000000"/>
                <w:sz w:val="22"/>
                <w:szCs w:val="22"/>
                <w:vertAlign w:val="superscript"/>
              </w:rPr>
              <w:endnoteReference w:id="125"/>
            </w:r>
          </w:p>
          <w:p w:rsidR="003C0B84" w:rsidRPr="0068433C" w:rsidRDefault="003C0B84" w:rsidP="0068433C">
            <w:pPr>
              <w:autoSpaceDE w:val="0"/>
              <w:autoSpaceDN w:val="0"/>
              <w:adjustRightInd w:val="0"/>
              <w:spacing w:after="0"/>
              <w:jc w:val="both"/>
              <w:rPr>
                <w:rFonts w:ascii="Arial" w:hAnsi="Arial" w:cs="Arial"/>
                <w:color w:val="000000"/>
                <w:sz w:val="22"/>
                <w:szCs w:val="22"/>
              </w:rPr>
            </w:pPr>
          </w:p>
          <w:p w:rsidR="003C0B84" w:rsidRPr="0068433C" w:rsidRDefault="003C0B84" w:rsidP="0068433C">
            <w:pPr>
              <w:autoSpaceDE w:val="0"/>
              <w:autoSpaceDN w:val="0"/>
              <w:adjustRightInd w:val="0"/>
              <w:spacing w:after="0"/>
              <w:jc w:val="both"/>
              <w:rPr>
                <w:rFonts w:ascii="Arial" w:hAnsi="Arial" w:cs="Arial"/>
                <w:color w:val="000000"/>
                <w:sz w:val="22"/>
                <w:szCs w:val="22"/>
                <w:u w:val="single"/>
              </w:rPr>
            </w:pPr>
            <w:r>
              <w:rPr>
                <w:rFonts w:ascii="Arial" w:hAnsi="Arial" w:cs="Arial"/>
                <w:color w:val="000000"/>
                <w:sz w:val="22"/>
                <w:szCs w:val="22"/>
              </w:rPr>
              <w:lastRenderedPageBreak/>
              <w:t>EDO WA</w:t>
            </w:r>
            <w:r w:rsidRPr="0068433C">
              <w:rPr>
                <w:rFonts w:ascii="Arial" w:hAnsi="Arial" w:cs="Arial"/>
                <w:color w:val="000000"/>
                <w:sz w:val="22"/>
                <w:szCs w:val="22"/>
              </w:rPr>
              <w:t xml:space="preserve"> then assisted Mr Pillsbury to apply for external review of the DMP’s decision to the Information Commissioner. The Information Commissioner found that the two exemptions relied on by the DMP did not apply and ordered that Mr Pillsbury be given access to the documents in question.</w:t>
            </w:r>
          </w:p>
          <w:p w:rsidR="003C0B84" w:rsidRDefault="003C0B84" w:rsidP="0068433C">
            <w:pPr>
              <w:autoSpaceDE w:val="0"/>
              <w:autoSpaceDN w:val="0"/>
              <w:adjustRightInd w:val="0"/>
              <w:spacing w:after="0"/>
              <w:jc w:val="both"/>
              <w:rPr>
                <w:rFonts w:ascii="Arial" w:hAnsi="Arial" w:cs="Arial"/>
                <w:color w:val="000000"/>
                <w:sz w:val="22"/>
                <w:szCs w:val="22"/>
                <w:lang w:val="en-US"/>
              </w:rPr>
            </w:pPr>
          </w:p>
        </w:tc>
      </w:tr>
    </w:tbl>
    <w:p w:rsidR="003C0B84" w:rsidRPr="00D73A1D" w:rsidRDefault="003C0B84" w:rsidP="00D73A1D">
      <w:pPr>
        <w:autoSpaceDE w:val="0"/>
        <w:autoSpaceDN w:val="0"/>
        <w:adjustRightInd w:val="0"/>
        <w:spacing w:after="0"/>
        <w:jc w:val="both"/>
        <w:rPr>
          <w:rFonts w:ascii="Arial" w:hAnsi="Arial" w:cs="Arial"/>
          <w:color w:val="000000"/>
          <w:sz w:val="22"/>
          <w:szCs w:val="22"/>
          <w:lang w:val="en-US"/>
        </w:rPr>
      </w:pPr>
    </w:p>
    <w:p w:rsidR="003C0B84" w:rsidRPr="00D73A1D" w:rsidRDefault="003C0B84" w:rsidP="00536191">
      <w:pPr>
        <w:pStyle w:val="ListParagraph"/>
        <w:numPr>
          <w:ilvl w:val="0"/>
          <w:numId w:val="20"/>
        </w:numPr>
        <w:autoSpaceDE w:val="0"/>
        <w:autoSpaceDN w:val="0"/>
        <w:adjustRightInd w:val="0"/>
        <w:spacing w:after="0"/>
        <w:ind w:left="357"/>
        <w:jc w:val="both"/>
        <w:rPr>
          <w:rFonts w:ascii="Arial" w:hAnsi="Arial" w:cs="Arial"/>
          <w:b/>
          <w:i/>
          <w:color w:val="000000"/>
          <w:sz w:val="22"/>
          <w:szCs w:val="22"/>
          <w:lang w:val="en-US"/>
        </w:rPr>
      </w:pPr>
      <w:r w:rsidRPr="00D73A1D">
        <w:rPr>
          <w:rFonts w:ascii="Arial" w:hAnsi="Arial" w:cs="Arial"/>
          <w:b/>
          <w:i/>
          <w:color w:val="000000"/>
          <w:sz w:val="22"/>
          <w:szCs w:val="22"/>
          <w:lang w:val="en-US"/>
        </w:rPr>
        <w:t>Delays</w:t>
      </w:r>
    </w:p>
    <w:p w:rsidR="003C0B84" w:rsidRDefault="003C0B84" w:rsidP="00561542">
      <w:pPr>
        <w:spacing w:after="0"/>
        <w:rPr>
          <w:rFonts w:ascii="Arial" w:hAnsi="Arial" w:cs="Arial"/>
          <w:color w:val="000000"/>
          <w:sz w:val="22"/>
          <w:szCs w:val="22"/>
          <w:lang w:val="en-US"/>
        </w:rPr>
      </w:pPr>
    </w:p>
    <w:p w:rsidR="003C0B84" w:rsidRDefault="003C0B84" w:rsidP="00B006BD">
      <w:pPr>
        <w:spacing w:after="0"/>
        <w:jc w:val="both"/>
        <w:rPr>
          <w:rFonts w:ascii="Arial" w:hAnsi="Arial" w:cs="Arial"/>
          <w:color w:val="000000"/>
          <w:sz w:val="22"/>
          <w:szCs w:val="22"/>
          <w:lang w:val="en-US"/>
        </w:rPr>
      </w:pPr>
      <w:r>
        <w:rPr>
          <w:rFonts w:ascii="Arial" w:hAnsi="Arial" w:cs="Arial"/>
          <w:color w:val="000000"/>
          <w:sz w:val="22"/>
          <w:szCs w:val="22"/>
          <w:lang w:val="en-US"/>
        </w:rPr>
        <w:t xml:space="preserve">Similarly, we are concerned by considerable delays associated with obtaining information, or reviewing applications for documents. These delays are not only inherently inefficient, but may seriously disadvantage our clients, all of whom are genuine public interest litigants. </w:t>
      </w:r>
    </w:p>
    <w:p w:rsidR="003C0B84" w:rsidRDefault="003C0B84" w:rsidP="00B006BD">
      <w:pPr>
        <w:spacing w:after="0"/>
        <w:jc w:val="both"/>
        <w:rPr>
          <w:rFonts w:ascii="Arial" w:hAnsi="Arial" w:cs="Arial"/>
          <w:color w:val="000000"/>
          <w:sz w:val="22"/>
          <w:szCs w:val="22"/>
          <w:lang w:val="en-US"/>
        </w:rPr>
      </w:pPr>
    </w:p>
    <w:p w:rsidR="003C0B84" w:rsidRDefault="003C0B84" w:rsidP="00B006BD">
      <w:pPr>
        <w:spacing w:after="0"/>
        <w:jc w:val="both"/>
        <w:rPr>
          <w:rFonts w:ascii="Arial" w:hAnsi="Arial" w:cs="Arial"/>
          <w:color w:val="000000"/>
          <w:sz w:val="22"/>
          <w:szCs w:val="22"/>
          <w:lang w:val="en-US"/>
        </w:rPr>
      </w:pPr>
      <w:r>
        <w:rPr>
          <w:rFonts w:ascii="Arial" w:hAnsi="Arial" w:cs="Arial"/>
          <w:color w:val="000000"/>
          <w:sz w:val="22"/>
          <w:szCs w:val="22"/>
          <w:lang w:val="en-US"/>
        </w:rPr>
        <w:t>For example, ANEDO often relies on FOI legislation to assess (and provide advice) regarding prospects of appeal. Several of our clients have been unable to access information within the statutory limitations period, giving rise to three possible scenarios. First, the client is unable to commence proceedings. Alternatively and where the rules provide,</w:t>
      </w:r>
      <w:r>
        <w:rPr>
          <w:rStyle w:val="EndnoteReference"/>
          <w:rFonts w:ascii="Arial" w:hAnsi="Arial" w:cs="Arial"/>
          <w:color w:val="000000"/>
          <w:sz w:val="22"/>
          <w:szCs w:val="22"/>
          <w:lang w:val="en-US"/>
        </w:rPr>
        <w:endnoteReference w:id="126"/>
      </w:r>
      <w:r>
        <w:rPr>
          <w:rFonts w:ascii="Arial" w:hAnsi="Arial" w:cs="Arial"/>
          <w:color w:val="000000"/>
          <w:sz w:val="22"/>
          <w:szCs w:val="22"/>
          <w:lang w:val="en-US"/>
        </w:rPr>
        <w:t xml:space="preserve"> the client may request that the court exercise its discretion to commence proceedings outside of the limitations period. Finally, the client relies on preliminary discovery to determine prospects, thereby lengthening court waiting lists. </w:t>
      </w:r>
    </w:p>
    <w:p w:rsidR="003C0B84" w:rsidRDefault="003C0B84" w:rsidP="00B006BD">
      <w:pPr>
        <w:spacing w:after="0"/>
        <w:jc w:val="both"/>
        <w:rPr>
          <w:rFonts w:ascii="Arial" w:hAnsi="Arial" w:cs="Arial"/>
          <w:color w:val="000000"/>
          <w:sz w:val="22"/>
          <w:szCs w:val="22"/>
          <w:lang w:val="en-US"/>
        </w:rPr>
      </w:pPr>
    </w:p>
    <w:tbl>
      <w:tblPr>
        <w:tblStyle w:val="TableGrid"/>
        <w:tblW w:w="0" w:type="auto"/>
        <w:tblLook w:val="04A0" w:firstRow="1" w:lastRow="0" w:firstColumn="1" w:lastColumn="0" w:noHBand="0" w:noVBand="1"/>
      </w:tblPr>
      <w:tblGrid>
        <w:gridCol w:w="8886"/>
      </w:tblGrid>
      <w:tr w:rsidR="003C0B84" w:rsidTr="00463E11">
        <w:tc>
          <w:tcPr>
            <w:tcW w:w="8886" w:type="dxa"/>
          </w:tcPr>
          <w:p w:rsidR="003C0B84" w:rsidRDefault="003C0B84" w:rsidP="0030404A">
            <w:pPr>
              <w:jc w:val="both"/>
              <w:rPr>
                <w:rFonts w:ascii="Arial" w:hAnsi="Arial" w:cs="Arial"/>
                <w:b/>
                <w:color w:val="000000"/>
                <w:sz w:val="22"/>
                <w:szCs w:val="22"/>
                <w:lang w:val="en-US"/>
              </w:rPr>
            </w:pPr>
            <w:r>
              <w:rPr>
                <w:rFonts w:ascii="Arial" w:hAnsi="Arial" w:cs="Arial"/>
                <w:b/>
                <w:color w:val="000000"/>
                <w:sz w:val="22"/>
                <w:szCs w:val="22"/>
                <w:lang w:val="en-US"/>
              </w:rPr>
              <w:t xml:space="preserve">Case study: NSW </w:t>
            </w:r>
          </w:p>
          <w:p w:rsidR="003C0B84" w:rsidRDefault="003C0B84" w:rsidP="0030404A">
            <w:pPr>
              <w:jc w:val="both"/>
              <w:rPr>
                <w:rFonts w:ascii="Arial" w:hAnsi="Arial" w:cs="Arial"/>
                <w:sz w:val="22"/>
                <w:szCs w:val="22"/>
                <w:lang w:val="en-US"/>
              </w:rPr>
            </w:pPr>
            <w:r>
              <w:rPr>
                <w:rFonts w:ascii="Arial" w:hAnsi="Arial" w:cs="Arial"/>
                <w:sz w:val="22"/>
                <w:szCs w:val="22"/>
                <w:lang w:val="en-US"/>
              </w:rPr>
              <w:t xml:space="preserve">The </w:t>
            </w:r>
            <w:r w:rsidRPr="001243CA">
              <w:rPr>
                <w:rFonts w:ascii="Arial" w:hAnsi="Arial" w:cs="Arial"/>
                <w:i/>
                <w:sz w:val="22"/>
                <w:szCs w:val="22"/>
                <w:lang w:val="en-US"/>
              </w:rPr>
              <w:t>Government Information (Public Access) Act 2009</w:t>
            </w:r>
            <w:r>
              <w:rPr>
                <w:rFonts w:ascii="Arial" w:hAnsi="Arial" w:cs="Arial"/>
                <w:sz w:val="22"/>
                <w:szCs w:val="22"/>
                <w:lang w:val="en-US"/>
              </w:rPr>
              <w:t xml:space="preserve"> (NSW) (</w:t>
            </w:r>
            <w:r w:rsidRPr="001243CA">
              <w:rPr>
                <w:rFonts w:ascii="Arial" w:hAnsi="Arial" w:cs="Arial"/>
                <w:b/>
                <w:sz w:val="22"/>
                <w:szCs w:val="22"/>
                <w:lang w:val="en-US"/>
              </w:rPr>
              <w:t>GIPA Act</w:t>
            </w:r>
            <w:r>
              <w:rPr>
                <w:rFonts w:ascii="Arial" w:hAnsi="Arial" w:cs="Arial"/>
                <w:sz w:val="22"/>
                <w:szCs w:val="22"/>
                <w:lang w:val="en-US"/>
              </w:rPr>
              <w:t>) provides for the release of government documents that are not subject to statutory exemptions. It also includes review mechanisms where requests are denied by the relevant agency or agencies.</w:t>
            </w:r>
          </w:p>
          <w:p w:rsidR="003C0B84" w:rsidRDefault="003C0B84" w:rsidP="0030404A">
            <w:pPr>
              <w:jc w:val="both"/>
              <w:rPr>
                <w:rFonts w:ascii="Arial" w:hAnsi="Arial" w:cs="Arial"/>
                <w:sz w:val="22"/>
                <w:szCs w:val="22"/>
                <w:lang w:val="en-US"/>
              </w:rPr>
            </w:pPr>
            <w:r>
              <w:rPr>
                <w:rFonts w:ascii="Arial" w:hAnsi="Arial" w:cs="Arial"/>
                <w:sz w:val="22"/>
                <w:szCs w:val="22"/>
                <w:lang w:val="en-US"/>
              </w:rPr>
              <w:t>Relevant timeframes under the GIPA Act are as follows:</w:t>
            </w:r>
          </w:p>
          <w:p w:rsidR="003C0B84" w:rsidRDefault="003C0B84" w:rsidP="00536191">
            <w:pPr>
              <w:pStyle w:val="ListParagraph"/>
              <w:numPr>
                <w:ilvl w:val="0"/>
                <w:numId w:val="15"/>
              </w:numPr>
              <w:jc w:val="both"/>
              <w:rPr>
                <w:rFonts w:ascii="Arial" w:hAnsi="Arial" w:cs="Arial"/>
                <w:sz w:val="22"/>
                <w:szCs w:val="22"/>
                <w:lang w:val="en-US"/>
              </w:rPr>
            </w:pPr>
            <w:r>
              <w:rPr>
                <w:rFonts w:ascii="Arial" w:hAnsi="Arial" w:cs="Arial"/>
                <w:sz w:val="22"/>
                <w:szCs w:val="22"/>
                <w:lang w:val="en-US"/>
              </w:rPr>
              <w:t>Initial decision to be provided in 20 days. Agency may extend decision period by up to 15 days. Thus it may take up to 35 days to receive notice of the agency’s decision.</w:t>
            </w:r>
            <w:r>
              <w:rPr>
                <w:rStyle w:val="EndnoteReference"/>
                <w:rFonts w:ascii="Arial" w:hAnsi="Arial" w:cs="Arial"/>
                <w:sz w:val="22"/>
                <w:szCs w:val="22"/>
                <w:lang w:val="en-US"/>
              </w:rPr>
              <w:endnoteReference w:id="127"/>
            </w:r>
          </w:p>
          <w:p w:rsidR="003C0B84" w:rsidRDefault="003C0B84" w:rsidP="00536191">
            <w:pPr>
              <w:pStyle w:val="ListParagraph"/>
              <w:numPr>
                <w:ilvl w:val="0"/>
                <w:numId w:val="15"/>
              </w:numPr>
              <w:jc w:val="both"/>
              <w:rPr>
                <w:rFonts w:ascii="Arial" w:hAnsi="Arial" w:cs="Arial"/>
                <w:sz w:val="22"/>
                <w:szCs w:val="22"/>
                <w:lang w:val="en-US"/>
              </w:rPr>
            </w:pPr>
            <w:r>
              <w:rPr>
                <w:rFonts w:ascii="Arial" w:hAnsi="Arial" w:cs="Arial"/>
                <w:sz w:val="22"/>
                <w:szCs w:val="22"/>
                <w:lang w:val="en-US"/>
              </w:rPr>
              <w:t>The regulations may provide for further extension of the decision period.</w:t>
            </w:r>
            <w:r>
              <w:rPr>
                <w:rStyle w:val="EndnoteReference"/>
                <w:rFonts w:ascii="Arial" w:hAnsi="Arial" w:cs="Arial"/>
                <w:sz w:val="22"/>
                <w:szCs w:val="22"/>
                <w:lang w:val="en-US"/>
              </w:rPr>
              <w:endnoteReference w:id="128"/>
            </w:r>
          </w:p>
          <w:p w:rsidR="003C0B84" w:rsidRPr="00E31E09" w:rsidRDefault="003C0B84" w:rsidP="00536191">
            <w:pPr>
              <w:pStyle w:val="ListParagraph"/>
              <w:numPr>
                <w:ilvl w:val="0"/>
                <w:numId w:val="15"/>
              </w:numPr>
              <w:jc w:val="both"/>
              <w:rPr>
                <w:rFonts w:ascii="Arial" w:hAnsi="Arial" w:cs="Arial"/>
                <w:b/>
                <w:sz w:val="22"/>
                <w:szCs w:val="22"/>
                <w:lang w:val="en-US"/>
              </w:rPr>
            </w:pPr>
            <w:r>
              <w:rPr>
                <w:rFonts w:ascii="Arial" w:hAnsi="Arial" w:cs="Arial"/>
                <w:sz w:val="22"/>
                <w:szCs w:val="22"/>
                <w:lang w:val="en-US"/>
              </w:rPr>
              <w:t xml:space="preserve">Where an application is refused, the applicant may request internal review of the decision. </w:t>
            </w:r>
            <w:r w:rsidRPr="00E31E09">
              <w:rPr>
                <w:rFonts w:ascii="Arial" w:hAnsi="Arial" w:cs="Arial"/>
                <w:b/>
                <w:sz w:val="22"/>
                <w:szCs w:val="22"/>
                <w:lang w:val="en-US"/>
              </w:rPr>
              <w:t>There is no timeframe within which such a review may be completed.</w:t>
            </w:r>
            <w:r>
              <w:rPr>
                <w:rStyle w:val="EndnoteReference"/>
                <w:rFonts w:ascii="Arial" w:hAnsi="Arial" w:cs="Arial"/>
                <w:b/>
                <w:sz w:val="22"/>
                <w:szCs w:val="22"/>
                <w:lang w:val="en-US"/>
              </w:rPr>
              <w:endnoteReference w:id="129"/>
            </w:r>
          </w:p>
          <w:p w:rsidR="003C0B84" w:rsidRPr="00E31E09" w:rsidRDefault="003C0B84" w:rsidP="00536191">
            <w:pPr>
              <w:pStyle w:val="ListParagraph"/>
              <w:numPr>
                <w:ilvl w:val="0"/>
                <w:numId w:val="15"/>
              </w:numPr>
              <w:jc w:val="both"/>
              <w:rPr>
                <w:rFonts w:ascii="Arial" w:hAnsi="Arial" w:cs="Arial"/>
                <w:b/>
                <w:sz w:val="22"/>
                <w:szCs w:val="22"/>
                <w:lang w:val="en-US"/>
              </w:rPr>
            </w:pPr>
            <w:r>
              <w:rPr>
                <w:rFonts w:ascii="Arial" w:hAnsi="Arial" w:cs="Arial"/>
                <w:sz w:val="22"/>
                <w:szCs w:val="22"/>
                <w:lang w:val="en-US"/>
              </w:rPr>
              <w:t xml:space="preserve">Where an application is refused, the applicant may apply to the Information Commissioner to review the decision. </w:t>
            </w:r>
            <w:r w:rsidRPr="00E31E09">
              <w:rPr>
                <w:rFonts w:ascii="Arial" w:hAnsi="Arial" w:cs="Arial"/>
                <w:b/>
                <w:sz w:val="22"/>
                <w:szCs w:val="22"/>
                <w:lang w:val="en-US"/>
              </w:rPr>
              <w:t>There is no timeframe within which such a review may be completed.</w:t>
            </w:r>
            <w:r>
              <w:rPr>
                <w:rFonts w:ascii="Arial" w:hAnsi="Arial" w:cs="Arial"/>
                <w:b/>
                <w:sz w:val="22"/>
                <w:szCs w:val="22"/>
                <w:lang w:val="en-US"/>
              </w:rPr>
              <w:t xml:space="preserve"> </w:t>
            </w:r>
            <w:r>
              <w:rPr>
                <w:rFonts w:ascii="Arial" w:hAnsi="Arial" w:cs="Arial"/>
                <w:sz w:val="22"/>
                <w:szCs w:val="22"/>
                <w:lang w:val="en-US"/>
              </w:rPr>
              <w:t>Furthermore, the Information Commissioner may only make recommendations regarding the application.</w:t>
            </w:r>
            <w:r>
              <w:rPr>
                <w:rStyle w:val="EndnoteReference"/>
                <w:rFonts w:ascii="Arial" w:hAnsi="Arial" w:cs="Arial"/>
                <w:sz w:val="22"/>
                <w:szCs w:val="22"/>
                <w:lang w:val="en-US"/>
              </w:rPr>
              <w:endnoteReference w:id="130"/>
            </w:r>
            <w:r>
              <w:rPr>
                <w:rFonts w:ascii="Arial" w:hAnsi="Arial" w:cs="Arial"/>
                <w:sz w:val="22"/>
                <w:szCs w:val="22"/>
                <w:lang w:val="en-US"/>
              </w:rPr>
              <w:t xml:space="preserve"> </w:t>
            </w:r>
          </w:p>
          <w:p w:rsidR="003C0B84" w:rsidRDefault="003C0B84" w:rsidP="00536191">
            <w:pPr>
              <w:pStyle w:val="ListParagraph"/>
              <w:numPr>
                <w:ilvl w:val="0"/>
                <w:numId w:val="15"/>
              </w:numPr>
              <w:jc w:val="both"/>
              <w:rPr>
                <w:rFonts w:ascii="Arial" w:hAnsi="Arial" w:cs="Arial"/>
                <w:b/>
                <w:sz w:val="22"/>
                <w:szCs w:val="22"/>
                <w:lang w:val="en-US"/>
              </w:rPr>
            </w:pPr>
            <w:r>
              <w:rPr>
                <w:rFonts w:ascii="Arial" w:hAnsi="Arial" w:cs="Arial"/>
                <w:sz w:val="22"/>
                <w:szCs w:val="22"/>
                <w:lang w:val="en-US"/>
              </w:rPr>
              <w:t xml:space="preserve">Where an application is refused, the applicant may apply to the Administrative Decisions Tribunal (NSW) for review. </w:t>
            </w:r>
            <w:r w:rsidRPr="00E31E09">
              <w:rPr>
                <w:rFonts w:ascii="Arial" w:hAnsi="Arial" w:cs="Arial"/>
                <w:b/>
                <w:sz w:val="22"/>
                <w:szCs w:val="22"/>
                <w:lang w:val="en-US"/>
              </w:rPr>
              <w:t>There is no timeframe within which such a review may be completed.</w:t>
            </w:r>
            <w:r>
              <w:rPr>
                <w:rStyle w:val="EndnoteReference"/>
                <w:rFonts w:ascii="Arial" w:hAnsi="Arial" w:cs="Arial"/>
                <w:b/>
                <w:sz w:val="22"/>
                <w:szCs w:val="22"/>
                <w:lang w:val="en-US"/>
              </w:rPr>
              <w:endnoteReference w:id="131"/>
            </w:r>
          </w:p>
          <w:p w:rsidR="003C0B84" w:rsidRPr="00B75817" w:rsidRDefault="003C0B84" w:rsidP="002F53E6">
            <w:pPr>
              <w:jc w:val="both"/>
              <w:rPr>
                <w:rFonts w:ascii="Arial" w:hAnsi="Arial" w:cs="Arial"/>
                <w:b/>
                <w:color w:val="E36C0A" w:themeColor="accent6" w:themeShade="BF"/>
                <w:sz w:val="22"/>
                <w:szCs w:val="22"/>
                <w:lang w:val="en-US"/>
              </w:rPr>
            </w:pPr>
            <w:r>
              <w:rPr>
                <w:rFonts w:ascii="Arial" w:hAnsi="Arial" w:cs="Arial"/>
                <w:sz w:val="22"/>
                <w:szCs w:val="22"/>
                <w:lang w:val="en-US"/>
              </w:rPr>
              <w:t xml:space="preserve">In summary, it can take many months (and sometimes longer) to obtain documents to which our clients have a legal right. This has materially disadvantaged several of our clients, particularly where information is sought for the purposes of determining whether there are reasonable prospects for commencing proceedings – keeping in mind that judicial review proceedings must be commenced in three months. </w:t>
            </w:r>
          </w:p>
        </w:tc>
      </w:tr>
    </w:tbl>
    <w:p w:rsidR="003C0B84" w:rsidRPr="00D73A1D" w:rsidRDefault="003C0B84" w:rsidP="00D73A1D">
      <w:pPr>
        <w:pStyle w:val="ListParagraph"/>
        <w:rPr>
          <w:rFonts w:ascii="Arial" w:hAnsi="Arial" w:cs="Arial"/>
          <w:b/>
          <w:i/>
          <w:color w:val="000000"/>
          <w:sz w:val="22"/>
          <w:szCs w:val="22"/>
          <w:lang w:val="en-US"/>
        </w:rPr>
      </w:pPr>
    </w:p>
    <w:p w:rsidR="003C0B84" w:rsidRDefault="003C0B84" w:rsidP="00536191">
      <w:pPr>
        <w:pStyle w:val="ListParagraph"/>
        <w:numPr>
          <w:ilvl w:val="0"/>
          <w:numId w:val="20"/>
        </w:numPr>
        <w:autoSpaceDE w:val="0"/>
        <w:autoSpaceDN w:val="0"/>
        <w:adjustRightInd w:val="0"/>
        <w:spacing w:after="0"/>
        <w:ind w:left="357"/>
        <w:jc w:val="both"/>
        <w:rPr>
          <w:rFonts w:ascii="Arial" w:hAnsi="Arial" w:cs="Arial"/>
          <w:b/>
          <w:i/>
          <w:color w:val="000000"/>
          <w:sz w:val="22"/>
          <w:szCs w:val="22"/>
          <w:lang w:val="en-US"/>
        </w:rPr>
      </w:pPr>
      <w:r>
        <w:rPr>
          <w:rFonts w:ascii="Arial" w:hAnsi="Arial" w:cs="Arial"/>
          <w:b/>
          <w:i/>
          <w:color w:val="000000"/>
          <w:sz w:val="22"/>
          <w:szCs w:val="22"/>
          <w:lang w:val="en-US"/>
        </w:rPr>
        <w:t>Application of Copyright Act 1968 (Cth)</w:t>
      </w:r>
    </w:p>
    <w:p w:rsidR="003C0B84" w:rsidRDefault="003C0B84" w:rsidP="00BE0A23">
      <w:pPr>
        <w:autoSpaceDE w:val="0"/>
        <w:autoSpaceDN w:val="0"/>
        <w:adjustRightInd w:val="0"/>
        <w:spacing w:after="0"/>
        <w:ind w:left="-3"/>
        <w:jc w:val="both"/>
        <w:rPr>
          <w:rFonts w:ascii="Arial" w:hAnsi="Arial" w:cs="Arial"/>
          <w:b/>
          <w:i/>
          <w:color w:val="000000"/>
          <w:sz w:val="22"/>
          <w:szCs w:val="22"/>
          <w:lang w:val="en-US"/>
        </w:rPr>
      </w:pPr>
    </w:p>
    <w:p w:rsidR="003C0B84" w:rsidRDefault="003C0B84" w:rsidP="00B75817">
      <w:pPr>
        <w:autoSpaceDE w:val="0"/>
        <w:autoSpaceDN w:val="0"/>
        <w:adjustRightInd w:val="0"/>
        <w:spacing w:after="0"/>
        <w:ind w:left="-3"/>
        <w:jc w:val="both"/>
        <w:rPr>
          <w:rFonts w:ascii="Arial" w:hAnsi="Arial" w:cs="Arial"/>
          <w:color w:val="000000"/>
          <w:sz w:val="22"/>
          <w:szCs w:val="22"/>
        </w:rPr>
      </w:pPr>
      <w:r>
        <w:rPr>
          <w:rFonts w:ascii="Arial" w:hAnsi="Arial" w:cs="Arial"/>
          <w:color w:val="000000"/>
          <w:sz w:val="22"/>
          <w:szCs w:val="22"/>
          <w:lang w:val="en-US"/>
        </w:rPr>
        <w:t xml:space="preserve">ANEDO is extremely concerned by the manner in which the </w:t>
      </w:r>
      <w:r w:rsidRPr="00B75817">
        <w:rPr>
          <w:rFonts w:ascii="Arial" w:hAnsi="Arial" w:cs="Arial"/>
          <w:i/>
          <w:color w:val="000000"/>
          <w:sz w:val="22"/>
          <w:szCs w:val="22"/>
        </w:rPr>
        <w:t>Copyright Act 1968</w:t>
      </w:r>
      <w:r>
        <w:rPr>
          <w:rFonts w:ascii="Arial" w:hAnsi="Arial" w:cs="Arial"/>
          <w:color w:val="000000"/>
          <w:sz w:val="22"/>
          <w:szCs w:val="22"/>
        </w:rPr>
        <w:t xml:space="preserve"> (Cth) (</w:t>
      </w:r>
      <w:r w:rsidRPr="00B75817">
        <w:rPr>
          <w:rFonts w:ascii="Arial" w:hAnsi="Arial" w:cs="Arial"/>
          <w:b/>
          <w:color w:val="000000"/>
          <w:sz w:val="22"/>
          <w:szCs w:val="22"/>
        </w:rPr>
        <w:t>Copyright Act</w:t>
      </w:r>
      <w:r>
        <w:rPr>
          <w:rFonts w:ascii="Arial" w:hAnsi="Arial" w:cs="Arial"/>
          <w:color w:val="000000"/>
          <w:sz w:val="22"/>
          <w:szCs w:val="22"/>
        </w:rPr>
        <w:t>)</w:t>
      </w:r>
      <w:r w:rsidRPr="00B75817">
        <w:rPr>
          <w:rFonts w:ascii="Arial" w:hAnsi="Arial" w:cs="Arial"/>
          <w:color w:val="000000"/>
          <w:sz w:val="22"/>
          <w:szCs w:val="22"/>
        </w:rPr>
        <w:t xml:space="preserve"> is being interpreted in FOI matters. </w:t>
      </w:r>
      <w:r>
        <w:rPr>
          <w:rFonts w:ascii="Arial" w:hAnsi="Arial" w:cs="Arial"/>
          <w:color w:val="000000"/>
          <w:sz w:val="22"/>
          <w:szCs w:val="22"/>
        </w:rPr>
        <w:t>For example, in NSW, copyright has been claimed over environmental impact statements (</w:t>
      </w:r>
      <w:r w:rsidRPr="00B75817">
        <w:rPr>
          <w:rFonts w:ascii="Arial" w:hAnsi="Arial" w:cs="Arial"/>
          <w:b/>
          <w:color w:val="000000"/>
          <w:sz w:val="22"/>
          <w:szCs w:val="22"/>
        </w:rPr>
        <w:t>EIS</w:t>
      </w:r>
      <w:r>
        <w:rPr>
          <w:rFonts w:ascii="Arial" w:hAnsi="Arial" w:cs="Arial"/>
          <w:color w:val="000000"/>
          <w:sz w:val="22"/>
          <w:szCs w:val="22"/>
        </w:rPr>
        <w:t xml:space="preserve">) in order to circumvent the </w:t>
      </w:r>
      <w:r>
        <w:rPr>
          <w:rFonts w:ascii="Arial" w:hAnsi="Arial" w:cs="Arial"/>
          <w:color w:val="000000"/>
          <w:sz w:val="22"/>
          <w:szCs w:val="22"/>
        </w:rPr>
        <w:lastRenderedPageBreak/>
        <w:t>open access provisions contained in the GIPA Act.</w:t>
      </w:r>
      <w:r>
        <w:rPr>
          <w:rStyle w:val="EndnoteReference"/>
          <w:rFonts w:ascii="Arial" w:hAnsi="Arial" w:cs="Arial"/>
          <w:color w:val="000000"/>
          <w:sz w:val="22"/>
          <w:szCs w:val="22"/>
        </w:rPr>
        <w:endnoteReference w:id="132"/>
      </w:r>
      <w:r>
        <w:rPr>
          <w:rFonts w:ascii="Arial" w:hAnsi="Arial" w:cs="Arial"/>
          <w:color w:val="000000"/>
          <w:sz w:val="22"/>
          <w:szCs w:val="22"/>
        </w:rPr>
        <w:t xml:space="preserve"> This is manifestly unreasonable insofar as open access documents have been classified as such precisely </w:t>
      </w:r>
      <w:r w:rsidRPr="00B75817">
        <w:rPr>
          <w:rFonts w:ascii="Arial" w:hAnsi="Arial" w:cs="Arial"/>
          <w:color w:val="000000"/>
          <w:sz w:val="22"/>
          <w:szCs w:val="22"/>
        </w:rPr>
        <w:t>because</w:t>
      </w:r>
      <w:r>
        <w:rPr>
          <w:rFonts w:ascii="Arial" w:hAnsi="Arial" w:cs="Arial"/>
          <w:color w:val="000000"/>
          <w:sz w:val="22"/>
          <w:szCs w:val="22"/>
        </w:rPr>
        <w:t xml:space="preserve"> there is a strong public interest in ensuring that they are available for inspection. </w:t>
      </w:r>
    </w:p>
    <w:p w:rsidR="003C0B84" w:rsidRDefault="003C0B84" w:rsidP="00B75817">
      <w:pPr>
        <w:autoSpaceDE w:val="0"/>
        <w:autoSpaceDN w:val="0"/>
        <w:adjustRightInd w:val="0"/>
        <w:spacing w:after="0"/>
        <w:ind w:left="-3"/>
        <w:jc w:val="both"/>
        <w:rPr>
          <w:rFonts w:ascii="Arial" w:hAnsi="Arial" w:cs="Arial"/>
          <w:color w:val="000000"/>
          <w:sz w:val="22"/>
          <w:szCs w:val="22"/>
        </w:rPr>
      </w:pPr>
    </w:p>
    <w:p w:rsidR="003C0B84" w:rsidRPr="00B75817" w:rsidRDefault="003C0B84" w:rsidP="00B75817">
      <w:pPr>
        <w:autoSpaceDE w:val="0"/>
        <w:autoSpaceDN w:val="0"/>
        <w:adjustRightInd w:val="0"/>
        <w:spacing w:after="0"/>
        <w:ind w:left="-3"/>
        <w:jc w:val="both"/>
        <w:rPr>
          <w:rFonts w:ascii="Arial" w:hAnsi="Arial" w:cs="Arial"/>
          <w:color w:val="000000"/>
          <w:sz w:val="22"/>
          <w:szCs w:val="22"/>
          <w:lang w:val="en-US"/>
        </w:rPr>
      </w:pPr>
      <w:r>
        <w:rPr>
          <w:rFonts w:ascii="Arial" w:hAnsi="Arial" w:cs="Arial"/>
          <w:color w:val="000000"/>
          <w:sz w:val="22"/>
          <w:szCs w:val="22"/>
        </w:rPr>
        <w:t>This is particularly true in respect of an EIS, which outlines the likely impacts of large scale development (according to the proponent) on the environment and community. The</w:t>
      </w:r>
      <w:r w:rsidR="004D0A84">
        <w:rPr>
          <w:rFonts w:ascii="Arial" w:hAnsi="Arial" w:cs="Arial"/>
          <w:color w:val="000000"/>
          <w:sz w:val="22"/>
          <w:szCs w:val="22"/>
        </w:rPr>
        <w:t> </w:t>
      </w:r>
      <w:r>
        <w:rPr>
          <w:rFonts w:ascii="Arial" w:hAnsi="Arial" w:cs="Arial"/>
          <w:color w:val="000000"/>
          <w:sz w:val="22"/>
          <w:szCs w:val="22"/>
        </w:rPr>
        <w:t xml:space="preserve">information contained therein is used by government agencies to determine whether the development in question is likely to comply with the law, and to assist in the formulation of conditions of consent to mitigate and monitor impacts. There can be little dispute that the public has an overriding interest in ensuring that the development is likely to comply with the legislative framework. Denying access also has the unfortunate consequence of decreasing confidence in government processes, and potentially adding to court waiting lists by attempting to obtain the EIS through preliminary discovery. </w:t>
      </w:r>
    </w:p>
    <w:p w:rsidR="003C0B84" w:rsidRPr="00B75817" w:rsidRDefault="003C0B84" w:rsidP="00B75817">
      <w:pPr>
        <w:autoSpaceDE w:val="0"/>
        <w:autoSpaceDN w:val="0"/>
        <w:adjustRightInd w:val="0"/>
        <w:spacing w:after="0"/>
        <w:ind w:left="-3"/>
        <w:jc w:val="both"/>
        <w:rPr>
          <w:rFonts w:ascii="Arial" w:hAnsi="Arial" w:cs="Arial"/>
          <w:color w:val="000000"/>
          <w:sz w:val="22"/>
          <w:szCs w:val="22"/>
        </w:rPr>
      </w:pPr>
    </w:p>
    <w:tbl>
      <w:tblPr>
        <w:tblStyle w:val="TableGrid"/>
        <w:tblW w:w="0" w:type="auto"/>
        <w:tblInd w:w="-3" w:type="dxa"/>
        <w:tblLook w:val="04A0" w:firstRow="1" w:lastRow="0" w:firstColumn="1" w:lastColumn="0" w:noHBand="0" w:noVBand="1"/>
      </w:tblPr>
      <w:tblGrid>
        <w:gridCol w:w="8886"/>
      </w:tblGrid>
      <w:tr w:rsidR="003C0B84" w:rsidTr="00B75817">
        <w:tc>
          <w:tcPr>
            <w:tcW w:w="8886" w:type="dxa"/>
          </w:tcPr>
          <w:p w:rsidR="003C0B84" w:rsidRPr="00A037A5" w:rsidRDefault="003C0B84" w:rsidP="00B75817">
            <w:pPr>
              <w:autoSpaceDE w:val="0"/>
              <w:autoSpaceDN w:val="0"/>
              <w:adjustRightInd w:val="0"/>
              <w:spacing w:after="0"/>
              <w:jc w:val="both"/>
              <w:rPr>
                <w:rFonts w:ascii="Arial" w:hAnsi="Arial" w:cs="Arial"/>
                <w:b/>
                <w:color w:val="000000"/>
                <w:sz w:val="22"/>
                <w:szCs w:val="22"/>
              </w:rPr>
            </w:pPr>
            <w:r w:rsidRPr="00A037A5">
              <w:rPr>
                <w:rFonts w:ascii="Arial" w:hAnsi="Arial" w:cs="Arial"/>
                <w:b/>
                <w:color w:val="000000"/>
                <w:sz w:val="22"/>
                <w:szCs w:val="22"/>
              </w:rPr>
              <w:t xml:space="preserve">Case study: Western Australia </w:t>
            </w:r>
          </w:p>
          <w:p w:rsidR="003C0B84" w:rsidRPr="00A037A5" w:rsidRDefault="003C0B84" w:rsidP="00B75E70">
            <w:pPr>
              <w:pStyle w:val="NormalWeb"/>
              <w:spacing w:before="0" w:beforeAutospacing="0" w:after="0" w:afterAutospacing="0"/>
              <w:jc w:val="both"/>
              <w:rPr>
                <w:rFonts w:ascii="Arial" w:eastAsiaTheme="minorHAnsi" w:hAnsi="Arial" w:cs="Arial"/>
                <w:sz w:val="22"/>
                <w:szCs w:val="22"/>
              </w:rPr>
            </w:pPr>
          </w:p>
          <w:p w:rsidR="003C0B84" w:rsidRPr="00A037A5" w:rsidRDefault="003C0B84" w:rsidP="00B75E70">
            <w:pPr>
              <w:pStyle w:val="NormalWeb"/>
              <w:spacing w:before="0" w:beforeAutospacing="0" w:after="0" w:afterAutospacing="0"/>
              <w:jc w:val="both"/>
              <w:rPr>
                <w:rFonts w:ascii="Arial" w:eastAsiaTheme="minorHAnsi" w:hAnsi="Arial" w:cs="Arial"/>
                <w:sz w:val="22"/>
                <w:szCs w:val="22"/>
              </w:rPr>
            </w:pPr>
            <w:r w:rsidRPr="00A037A5">
              <w:rPr>
                <w:rFonts w:ascii="Arial" w:eastAsiaTheme="minorHAnsi" w:hAnsi="Arial" w:cs="Arial"/>
                <w:sz w:val="22"/>
                <w:szCs w:val="22"/>
              </w:rPr>
              <w:t xml:space="preserve">In </w:t>
            </w:r>
            <w:r w:rsidRPr="00A037A5">
              <w:rPr>
                <w:rFonts w:ascii="Arial" w:hAnsi="Arial" w:cs="Arial"/>
                <w:i/>
                <w:color w:val="000000"/>
                <w:sz w:val="22"/>
                <w:szCs w:val="22"/>
              </w:rPr>
              <w:t xml:space="preserve">Re Pillsbury and Department of Mines and Petroleum and </w:t>
            </w:r>
            <w:proofErr w:type="spellStart"/>
            <w:r w:rsidRPr="00A037A5">
              <w:rPr>
                <w:rFonts w:ascii="Arial" w:hAnsi="Arial" w:cs="Arial"/>
                <w:i/>
                <w:color w:val="000000"/>
                <w:sz w:val="22"/>
                <w:szCs w:val="22"/>
              </w:rPr>
              <w:t>Cimeco</w:t>
            </w:r>
            <w:proofErr w:type="spellEnd"/>
            <w:r w:rsidRPr="00A037A5">
              <w:rPr>
                <w:rFonts w:ascii="Arial" w:hAnsi="Arial" w:cs="Arial"/>
                <w:i/>
                <w:color w:val="000000"/>
                <w:sz w:val="22"/>
                <w:szCs w:val="22"/>
              </w:rPr>
              <w:t xml:space="preserve"> Pty Ltd and Rey Resources Limited,</w:t>
            </w:r>
            <w:r w:rsidRPr="00A037A5">
              <w:rPr>
                <w:rFonts w:ascii="Arial" w:eastAsiaTheme="minorHAnsi" w:hAnsi="Arial" w:cs="Arial"/>
                <w:sz w:val="22"/>
                <w:szCs w:val="22"/>
              </w:rPr>
              <w:t xml:space="preserve"> the Information Commissioner determined that certain documents sought by </w:t>
            </w:r>
            <w:proofErr w:type="spellStart"/>
            <w:r w:rsidRPr="00A037A5">
              <w:rPr>
                <w:rFonts w:ascii="Arial" w:eastAsiaTheme="minorHAnsi" w:hAnsi="Arial" w:cs="Arial"/>
                <w:sz w:val="22"/>
                <w:szCs w:val="22"/>
              </w:rPr>
              <w:t>Mr</w:t>
            </w:r>
            <w:proofErr w:type="spellEnd"/>
            <w:r w:rsidRPr="00A037A5">
              <w:rPr>
                <w:rFonts w:ascii="Arial" w:eastAsiaTheme="minorHAnsi" w:hAnsi="Arial" w:cs="Arial"/>
                <w:sz w:val="22"/>
                <w:szCs w:val="22"/>
              </w:rPr>
              <w:t xml:space="preserve"> Pillsbury were </w:t>
            </w:r>
            <w:r w:rsidRPr="00A037A5">
              <w:rPr>
                <w:rFonts w:ascii="Arial" w:eastAsiaTheme="minorHAnsi" w:hAnsi="Arial" w:cs="Arial"/>
                <w:i/>
                <w:sz w:val="22"/>
                <w:szCs w:val="22"/>
              </w:rPr>
              <w:t>prima facie</w:t>
            </w:r>
            <w:r w:rsidRPr="00A037A5">
              <w:rPr>
                <w:rFonts w:ascii="Arial" w:eastAsiaTheme="minorHAnsi" w:hAnsi="Arial" w:cs="Arial"/>
                <w:sz w:val="22"/>
                <w:szCs w:val="22"/>
              </w:rPr>
              <w:t xml:space="preserve"> subject to copyright and the client could only access the documents by way of inspection.  </w:t>
            </w:r>
          </w:p>
          <w:p w:rsidR="003C0B84" w:rsidRPr="00A037A5" w:rsidRDefault="003C0B84" w:rsidP="00B75E70">
            <w:pPr>
              <w:pStyle w:val="NormalWeb"/>
              <w:spacing w:before="0" w:beforeAutospacing="0" w:after="0" w:afterAutospacing="0"/>
              <w:ind w:left="714"/>
              <w:jc w:val="both"/>
              <w:rPr>
                <w:rFonts w:ascii="Arial" w:hAnsi="Arial" w:cs="Arial"/>
                <w:sz w:val="22"/>
                <w:szCs w:val="22"/>
              </w:rPr>
            </w:pPr>
          </w:p>
          <w:p w:rsidR="003C0B84" w:rsidRPr="00A037A5" w:rsidRDefault="003C0B84" w:rsidP="00B75E70">
            <w:pPr>
              <w:pStyle w:val="NormalWeb"/>
              <w:spacing w:before="0" w:beforeAutospacing="0" w:after="0" w:afterAutospacing="0"/>
              <w:jc w:val="both"/>
              <w:rPr>
                <w:rFonts w:ascii="Arial" w:hAnsi="Arial" w:cs="Arial"/>
                <w:sz w:val="22"/>
                <w:szCs w:val="22"/>
              </w:rPr>
            </w:pPr>
            <w:r w:rsidRPr="00A037A5">
              <w:rPr>
                <w:rFonts w:ascii="Arial" w:eastAsiaTheme="minorHAnsi" w:hAnsi="Arial" w:cs="Arial"/>
                <w:sz w:val="22"/>
                <w:szCs w:val="22"/>
              </w:rPr>
              <w:t xml:space="preserve">The </w:t>
            </w:r>
            <w:r w:rsidRPr="00A037A5">
              <w:rPr>
                <w:rFonts w:ascii="Arial" w:hAnsi="Arial" w:cs="Arial"/>
                <w:sz w:val="22"/>
                <w:szCs w:val="22"/>
              </w:rPr>
              <w:t xml:space="preserve">DMP subsequently informed the client that he could not take handwritten notes when he inspected the relevant documents as this would infringe copyright. </w:t>
            </w:r>
          </w:p>
          <w:p w:rsidR="003C0B84" w:rsidRPr="00A037A5" w:rsidRDefault="003C0B84" w:rsidP="00B75E70">
            <w:pPr>
              <w:pStyle w:val="NormalWeb"/>
              <w:spacing w:before="0" w:beforeAutospacing="0" w:after="0" w:afterAutospacing="0"/>
              <w:ind w:left="714"/>
              <w:jc w:val="both"/>
              <w:rPr>
                <w:rFonts w:ascii="Arial" w:hAnsi="Arial" w:cs="Arial"/>
                <w:sz w:val="22"/>
                <w:szCs w:val="22"/>
              </w:rPr>
            </w:pPr>
          </w:p>
          <w:p w:rsidR="003C0B84" w:rsidRPr="00A037A5" w:rsidRDefault="003C0B84" w:rsidP="00B75E70">
            <w:pPr>
              <w:pStyle w:val="NormalWeb"/>
              <w:spacing w:before="0" w:beforeAutospacing="0" w:after="0" w:afterAutospacing="0"/>
              <w:jc w:val="both"/>
              <w:rPr>
                <w:rFonts w:ascii="Arial" w:hAnsi="Arial" w:cs="Arial"/>
                <w:sz w:val="22"/>
                <w:szCs w:val="22"/>
              </w:rPr>
            </w:pPr>
            <w:r w:rsidRPr="00A037A5">
              <w:rPr>
                <w:rFonts w:ascii="Arial" w:hAnsi="Arial" w:cs="Arial"/>
                <w:sz w:val="22"/>
                <w:szCs w:val="22"/>
              </w:rPr>
              <w:t>However, there are numerous exemptions to copyright infringement under the Copyright Act. For example, the fair dealing exemption allows a person to reproduce up to 10% or one chapter of a written work where the reproduction is for the purpose of research or study.</w:t>
            </w:r>
            <w:r w:rsidRPr="00A037A5">
              <w:rPr>
                <w:rStyle w:val="EndnoteReference"/>
                <w:rFonts w:ascii="Arial" w:hAnsi="Arial" w:cs="Arial"/>
                <w:sz w:val="22"/>
                <w:szCs w:val="22"/>
              </w:rPr>
              <w:endnoteReference w:id="133"/>
            </w:r>
            <w:r w:rsidRPr="00A037A5">
              <w:rPr>
                <w:rFonts w:ascii="Arial" w:hAnsi="Arial" w:cs="Arial"/>
                <w:sz w:val="22"/>
                <w:szCs w:val="22"/>
              </w:rPr>
              <w:t xml:space="preserve"> This exemption was clearly applicable to </w:t>
            </w:r>
            <w:proofErr w:type="spellStart"/>
            <w:r w:rsidRPr="00A037A5">
              <w:rPr>
                <w:rFonts w:ascii="Arial" w:hAnsi="Arial" w:cs="Arial"/>
                <w:sz w:val="22"/>
                <w:szCs w:val="22"/>
              </w:rPr>
              <w:t>Mr</w:t>
            </w:r>
            <w:proofErr w:type="spellEnd"/>
            <w:r w:rsidRPr="00A037A5">
              <w:rPr>
                <w:rFonts w:ascii="Arial" w:hAnsi="Arial" w:cs="Arial"/>
                <w:sz w:val="22"/>
                <w:szCs w:val="22"/>
              </w:rPr>
              <w:t xml:space="preserve"> Pillsbury’s matter, yet the DMP insisted that this exemption did not apply and insisted that taking handwritten notes would infringe copyright.</w:t>
            </w:r>
          </w:p>
          <w:p w:rsidR="003C0B84" w:rsidRPr="00A037A5" w:rsidRDefault="003C0B84" w:rsidP="00B75E70">
            <w:pPr>
              <w:pStyle w:val="NormalWeb"/>
              <w:spacing w:before="0" w:beforeAutospacing="0" w:after="0" w:afterAutospacing="0"/>
              <w:jc w:val="both"/>
              <w:rPr>
                <w:rFonts w:ascii="Arial" w:hAnsi="Arial" w:cs="Arial"/>
                <w:sz w:val="22"/>
                <w:szCs w:val="22"/>
              </w:rPr>
            </w:pPr>
          </w:p>
          <w:p w:rsidR="003C0B84" w:rsidRPr="007D4487" w:rsidRDefault="003C0B84" w:rsidP="00B75E70">
            <w:pPr>
              <w:pStyle w:val="NormalWeb"/>
              <w:spacing w:before="0" w:beforeAutospacing="0" w:after="0" w:afterAutospacing="0"/>
              <w:jc w:val="both"/>
              <w:rPr>
                <w:rFonts w:ascii="Arial" w:hAnsi="Arial" w:cs="Arial"/>
              </w:rPr>
            </w:pPr>
            <w:r w:rsidRPr="00A037A5">
              <w:rPr>
                <w:rFonts w:ascii="Arial" w:hAnsi="Arial" w:cs="Arial"/>
                <w:sz w:val="22"/>
                <w:szCs w:val="22"/>
              </w:rPr>
              <w:t xml:space="preserve">It was only after EDO WA escalated the matter within the DMP that the DMP agreed to allow </w:t>
            </w:r>
            <w:proofErr w:type="spellStart"/>
            <w:r w:rsidRPr="00A037A5">
              <w:rPr>
                <w:rFonts w:ascii="Arial" w:hAnsi="Arial" w:cs="Arial"/>
                <w:sz w:val="22"/>
                <w:szCs w:val="22"/>
              </w:rPr>
              <w:t>Mr</w:t>
            </w:r>
            <w:proofErr w:type="spellEnd"/>
            <w:r w:rsidRPr="00A037A5">
              <w:rPr>
                <w:rFonts w:ascii="Arial" w:hAnsi="Arial" w:cs="Arial"/>
                <w:sz w:val="22"/>
                <w:szCs w:val="22"/>
              </w:rPr>
              <w:t xml:space="preserve"> Pillsbury to take handwritten notes during the inspection.  However, several weeks transpired before the DMP capitulated.</w:t>
            </w:r>
            <w:r>
              <w:rPr>
                <w:rFonts w:ascii="Arial" w:hAnsi="Arial" w:cs="Arial"/>
              </w:rPr>
              <w:t xml:space="preserve"> </w:t>
            </w:r>
          </w:p>
        </w:tc>
      </w:tr>
    </w:tbl>
    <w:p w:rsidR="003C0B84" w:rsidRDefault="003C0B84" w:rsidP="00B75817">
      <w:pPr>
        <w:autoSpaceDE w:val="0"/>
        <w:autoSpaceDN w:val="0"/>
        <w:adjustRightInd w:val="0"/>
        <w:spacing w:after="0"/>
        <w:ind w:left="-3"/>
        <w:jc w:val="both"/>
        <w:rPr>
          <w:rFonts w:ascii="Arial" w:hAnsi="Arial" w:cs="Arial"/>
          <w:color w:val="000000"/>
          <w:sz w:val="22"/>
          <w:szCs w:val="22"/>
        </w:rPr>
      </w:pPr>
    </w:p>
    <w:p w:rsidR="003C0B84" w:rsidRPr="00790F83" w:rsidRDefault="003C0B84" w:rsidP="00536191">
      <w:pPr>
        <w:pStyle w:val="ListParagraph"/>
        <w:numPr>
          <w:ilvl w:val="0"/>
          <w:numId w:val="20"/>
        </w:numPr>
        <w:autoSpaceDE w:val="0"/>
        <w:autoSpaceDN w:val="0"/>
        <w:adjustRightInd w:val="0"/>
        <w:spacing w:after="0"/>
        <w:jc w:val="both"/>
        <w:rPr>
          <w:rFonts w:ascii="Arial" w:hAnsi="Arial" w:cs="Arial"/>
          <w:b/>
          <w:i/>
          <w:color w:val="000000"/>
          <w:sz w:val="22"/>
          <w:szCs w:val="22"/>
        </w:rPr>
      </w:pPr>
      <w:r w:rsidRPr="00790F83">
        <w:rPr>
          <w:rFonts w:ascii="Arial" w:hAnsi="Arial" w:cs="Arial"/>
          <w:b/>
          <w:i/>
          <w:color w:val="000000"/>
          <w:sz w:val="22"/>
          <w:szCs w:val="22"/>
        </w:rPr>
        <w:t>Fees</w:t>
      </w:r>
    </w:p>
    <w:p w:rsidR="003C0B84" w:rsidRDefault="003C0B84" w:rsidP="00790F83">
      <w:pPr>
        <w:autoSpaceDE w:val="0"/>
        <w:autoSpaceDN w:val="0"/>
        <w:adjustRightInd w:val="0"/>
        <w:spacing w:after="0"/>
        <w:jc w:val="both"/>
        <w:rPr>
          <w:rFonts w:ascii="Arial" w:hAnsi="Arial" w:cs="Arial"/>
          <w:color w:val="000000"/>
          <w:sz w:val="22"/>
          <w:szCs w:val="22"/>
        </w:rPr>
      </w:pPr>
    </w:p>
    <w:p w:rsidR="003C0B84" w:rsidRDefault="003C0B84" w:rsidP="00790F83">
      <w:pPr>
        <w:autoSpaceDE w:val="0"/>
        <w:autoSpaceDN w:val="0"/>
        <w:adjustRightInd w:val="0"/>
        <w:spacing w:after="0"/>
        <w:jc w:val="both"/>
        <w:rPr>
          <w:rFonts w:ascii="Arial" w:hAnsi="Arial" w:cs="Arial"/>
          <w:color w:val="000000"/>
          <w:sz w:val="22"/>
          <w:szCs w:val="22"/>
        </w:rPr>
      </w:pPr>
      <w:r>
        <w:rPr>
          <w:rFonts w:ascii="Arial" w:hAnsi="Arial" w:cs="Arial"/>
          <w:color w:val="000000"/>
          <w:sz w:val="22"/>
          <w:szCs w:val="22"/>
        </w:rPr>
        <w:t>Briefly, we note that fees for producing public documents may unfairly prejudice public interest litigants. While certain FOI legislation provides agencies with discretion to reduce or waive fees, it does not necessarily include criteria to guide when the agency should exercise this discretion (for example</w:t>
      </w:r>
      <w:r w:rsidR="009844A9">
        <w:rPr>
          <w:rFonts w:ascii="Arial" w:hAnsi="Arial" w:cs="Arial"/>
          <w:color w:val="000000"/>
          <w:sz w:val="22"/>
          <w:szCs w:val="22"/>
        </w:rPr>
        <w:t>,</w:t>
      </w:r>
      <w:r>
        <w:rPr>
          <w:rFonts w:ascii="Arial" w:hAnsi="Arial" w:cs="Arial"/>
          <w:color w:val="000000"/>
          <w:sz w:val="22"/>
          <w:szCs w:val="22"/>
        </w:rPr>
        <w:t xml:space="preserve"> for applicant’s acting in the public interest).</w:t>
      </w:r>
      <w:r>
        <w:rPr>
          <w:rStyle w:val="EndnoteReference"/>
          <w:rFonts w:ascii="Arial" w:hAnsi="Arial" w:cs="Arial"/>
          <w:color w:val="000000"/>
          <w:sz w:val="22"/>
          <w:szCs w:val="22"/>
        </w:rPr>
        <w:endnoteReference w:id="134"/>
      </w:r>
      <w:r>
        <w:rPr>
          <w:rFonts w:ascii="Arial" w:hAnsi="Arial" w:cs="Arial"/>
          <w:color w:val="000000"/>
          <w:sz w:val="22"/>
          <w:szCs w:val="22"/>
        </w:rPr>
        <w:t xml:space="preserve"> </w:t>
      </w:r>
    </w:p>
    <w:p w:rsidR="003C0B84" w:rsidRDefault="003C0B84" w:rsidP="00790F83">
      <w:pPr>
        <w:autoSpaceDE w:val="0"/>
        <w:autoSpaceDN w:val="0"/>
        <w:adjustRightInd w:val="0"/>
        <w:spacing w:after="0"/>
        <w:jc w:val="both"/>
        <w:rPr>
          <w:rFonts w:ascii="Arial" w:hAnsi="Arial" w:cs="Arial"/>
          <w:color w:val="000000"/>
          <w:sz w:val="22"/>
          <w:szCs w:val="22"/>
        </w:rPr>
      </w:pPr>
    </w:p>
    <w:p w:rsidR="003C0B84" w:rsidRDefault="003C0B84" w:rsidP="00790F83">
      <w:pPr>
        <w:autoSpaceDE w:val="0"/>
        <w:autoSpaceDN w:val="0"/>
        <w:adjustRightInd w:val="0"/>
        <w:spacing w:after="0"/>
        <w:jc w:val="both"/>
        <w:rPr>
          <w:rFonts w:ascii="Arial" w:hAnsi="Arial" w:cs="Arial"/>
          <w:color w:val="000000"/>
          <w:sz w:val="22"/>
          <w:szCs w:val="22"/>
        </w:rPr>
      </w:pPr>
      <w:r>
        <w:rPr>
          <w:rFonts w:ascii="Arial" w:hAnsi="Arial" w:cs="Arial"/>
          <w:color w:val="000000"/>
          <w:sz w:val="22"/>
          <w:szCs w:val="22"/>
        </w:rPr>
        <w:t xml:space="preserve">In his review of the </w:t>
      </w:r>
      <w:r w:rsidRPr="00790F83">
        <w:rPr>
          <w:rFonts w:ascii="Arial" w:hAnsi="Arial" w:cs="Arial"/>
          <w:i/>
          <w:color w:val="000000"/>
          <w:sz w:val="22"/>
          <w:szCs w:val="22"/>
        </w:rPr>
        <w:t>Freedom of Information Act 1982</w:t>
      </w:r>
      <w:r>
        <w:rPr>
          <w:rFonts w:ascii="Arial" w:hAnsi="Arial" w:cs="Arial"/>
          <w:color w:val="000000"/>
          <w:sz w:val="22"/>
          <w:szCs w:val="22"/>
        </w:rPr>
        <w:t xml:space="preserve"> (</w:t>
      </w:r>
      <w:proofErr w:type="spellStart"/>
      <w:r>
        <w:rPr>
          <w:rFonts w:ascii="Arial" w:hAnsi="Arial" w:cs="Arial"/>
          <w:color w:val="000000"/>
          <w:sz w:val="22"/>
          <w:szCs w:val="22"/>
        </w:rPr>
        <w:t>Cth</w:t>
      </w:r>
      <w:proofErr w:type="spellEnd"/>
      <w:r>
        <w:rPr>
          <w:rFonts w:ascii="Arial" w:hAnsi="Arial" w:cs="Arial"/>
          <w:color w:val="000000"/>
          <w:sz w:val="22"/>
          <w:szCs w:val="22"/>
        </w:rPr>
        <w:t xml:space="preserve">) and the </w:t>
      </w:r>
      <w:r w:rsidRPr="00790F83">
        <w:rPr>
          <w:rFonts w:ascii="Arial" w:hAnsi="Arial" w:cs="Arial"/>
          <w:i/>
          <w:color w:val="000000"/>
          <w:sz w:val="22"/>
          <w:szCs w:val="22"/>
        </w:rPr>
        <w:t>Australian Information Act 2010</w:t>
      </w:r>
      <w:r>
        <w:rPr>
          <w:rFonts w:ascii="Arial" w:hAnsi="Arial" w:cs="Arial"/>
          <w:color w:val="000000"/>
          <w:sz w:val="22"/>
          <w:szCs w:val="22"/>
        </w:rPr>
        <w:t xml:space="preserve"> (</w:t>
      </w:r>
      <w:proofErr w:type="spellStart"/>
      <w:r>
        <w:rPr>
          <w:rFonts w:ascii="Arial" w:hAnsi="Arial" w:cs="Arial"/>
          <w:color w:val="000000"/>
          <w:sz w:val="22"/>
          <w:szCs w:val="22"/>
        </w:rPr>
        <w:t>Cth</w:t>
      </w:r>
      <w:proofErr w:type="spellEnd"/>
      <w:r>
        <w:rPr>
          <w:rFonts w:ascii="Arial" w:hAnsi="Arial" w:cs="Arial"/>
          <w:color w:val="000000"/>
          <w:sz w:val="22"/>
          <w:szCs w:val="22"/>
        </w:rPr>
        <w:t xml:space="preserve">), Dr Allan Hawke recommended:  </w:t>
      </w:r>
    </w:p>
    <w:p w:rsidR="003C0B84" w:rsidRDefault="003C0B84" w:rsidP="00790F83">
      <w:pPr>
        <w:autoSpaceDE w:val="0"/>
        <w:autoSpaceDN w:val="0"/>
        <w:adjustRightInd w:val="0"/>
        <w:spacing w:after="0"/>
        <w:jc w:val="both"/>
        <w:rPr>
          <w:rFonts w:ascii="Arial" w:hAnsi="Arial" w:cs="Arial"/>
          <w:color w:val="000000"/>
          <w:sz w:val="22"/>
          <w:szCs w:val="22"/>
        </w:rPr>
      </w:pPr>
    </w:p>
    <w:p w:rsidR="00790F83" w:rsidRPr="009844A9" w:rsidRDefault="003C0B84" w:rsidP="00790F83">
      <w:pPr>
        <w:autoSpaceDE w:val="0"/>
        <w:autoSpaceDN w:val="0"/>
        <w:adjustRightInd w:val="0"/>
        <w:spacing w:after="0"/>
        <w:ind w:left="720"/>
        <w:jc w:val="both"/>
        <w:rPr>
          <w:rFonts w:ascii="Arial" w:hAnsi="Arial" w:cs="Arial"/>
          <w:i/>
          <w:color w:val="000000"/>
          <w:sz w:val="20"/>
          <w:szCs w:val="20"/>
        </w:rPr>
      </w:pPr>
      <w:r w:rsidRPr="009844A9">
        <w:rPr>
          <w:rFonts w:ascii="Arial" w:hAnsi="Arial" w:cs="Arial"/>
          <w:i/>
          <w:color w:val="000000"/>
          <w:sz w:val="20"/>
          <w:szCs w:val="20"/>
        </w:rPr>
        <w:t>that an agency should be able to waive or reduce charges in full, by 50% or not at all.  However, it considers that it would be better for these options to be set out in guidelines rather than in the FOI Act itself and recommends the OAIC consider amending its guidelines accordingly.</w:t>
      </w:r>
      <w:r w:rsidRPr="009844A9">
        <w:rPr>
          <w:rStyle w:val="EndnoteReference"/>
          <w:rFonts w:ascii="Arial" w:hAnsi="Arial" w:cs="Arial"/>
          <w:i/>
          <w:color w:val="000000"/>
          <w:sz w:val="20"/>
          <w:szCs w:val="20"/>
        </w:rPr>
        <w:endnoteReference w:id="135"/>
      </w:r>
      <w:r w:rsidRPr="009844A9">
        <w:rPr>
          <w:rFonts w:ascii="Arial" w:hAnsi="Arial" w:cs="Arial"/>
          <w:i/>
          <w:color w:val="000000"/>
          <w:sz w:val="20"/>
          <w:szCs w:val="20"/>
        </w:rPr>
        <w:t> </w:t>
      </w:r>
      <w:r w:rsidR="00790F83" w:rsidRPr="009844A9">
        <w:rPr>
          <w:rFonts w:ascii="Arial" w:hAnsi="Arial" w:cs="Arial"/>
          <w:i/>
          <w:color w:val="000000"/>
          <w:sz w:val="20"/>
          <w:szCs w:val="20"/>
        </w:rPr>
        <w:t xml:space="preserve"> </w:t>
      </w:r>
    </w:p>
    <w:p w:rsidR="00790F83" w:rsidRDefault="00790F83" w:rsidP="00790F83">
      <w:pPr>
        <w:autoSpaceDE w:val="0"/>
        <w:autoSpaceDN w:val="0"/>
        <w:adjustRightInd w:val="0"/>
        <w:spacing w:after="0"/>
        <w:jc w:val="both"/>
        <w:rPr>
          <w:rFonts w:ascii="Arial" w:hAnsi="Arial" w:cs="Arial"/>
          <w:i/>
          <w:color w:val="000000"/>
          <w:sz w:val="22"/>
          <w:szCs w:val="22"/>
        </w:rPr>
      </w:pPr>
    </w:p>
    <w:p w:rsidR="00790F83" w:rsidRPr="00790F83" w:rsidRDefault="00790F83" w:rsidP="00790F83">
      <w:pPr>
        <w:autoSpaceDE w:val="0"/>
        <w:autoSpaceDN w:val="0"/>
        <w:adjustRightInd w:val="0"/>
        <w:spacing w:after="0"/>
        <w:jc w:val="both"/>
        <w:rPr>
          <w:rFonts w:ascii="Arial" w:hAnsi="Arial" w:cs="Arial"/>
          <w:color w:val="000000"/>
          <w:sz w:val="22"/>
          <w:szCs w:val="22"/>
        </w:rPr>
      </w:pPr>
      <w:r>
        <w:rPr>
          <w:rFonts w:ascii="Arial" w:hAnsi="Arial" w:cs="Arial"/>
          <w:color w:val="000000"/>
          <w:sz w:val="22"/>
          <w:szCs w:val="22"/>
        </w:rPr>
        <w:t xml:space="preserve">While ANEDO broadly supports this </w:t>
      </w:r>
      <w:r w:rsidR="008127D6">
        <w:rPr>
          <w:rFonts w:ascii="Arial" w:hAnsi="Arial" w:cs="Arial"/>
          <w:color w:val="000000"/>
          <w:sz w:val="22"/>
          <w:szCs w:val="22"/>
        </w:rPr>
        <w:t xml:space="preserve">recommendation, we would prefer that first, provisions regarding fee reduction or waiver be contained in legislation, and second, that legislation specifically provide for reduction or waiver where the applicant is acting in the public interest. </w:t>
      </w:r>
    </w:p>
    <w:p w:rsidR="00790F83" w:rsidRPr="00790F83" w:rsidRDefault="00790F83" w:rsidP="00790F83">
      <w:pPr>
        <w:autoSpaceDE w:val="0"/>
        <w:autoSpaceDN w:val="0"/>
        <w:adjustRightInd w:val="0"/>
        <w:spacing w:after="0"/>
        <w:jc w:val="both"/>
        <w:rPr>
          <w:rFonts w:ascii="Arial" w:hAnsi="Arial" w:cs="Arial"/>
          <w:color w:val="000000"/>
          <w:sz w:val="22"/>
          <w:szCs w:val="22"/>
        </w:rPr>
      </w:pPr>
    </w:p>
    <w:p w:rsidR="00B75817" w:rsidRPr="00EC5F75" w:rsidRDefault="00EC5F75" w:rsidP="00B75817">
      <w:pPr>
        <w:autoSpaceDE w:val="0"/>
        <w:autoSpaceDN w:val="0"/>
        <w:adjustRightInd w:val="0"/>
        <w:spacing w:after="0"/>
        <w:ind w:left="-3"/>
        <w:jc w:val="both"/>
        <w:rPr>
          <w:rFonts w:ascii="Arial" w:hAnsi="Arial" w:cs="Arial"/>
          <w:b/>
          <w:i/>
          <w:color w:val="000000"/>
          <w:sz w:val="22"/>
          <w:szCs w:val="22"/>
        </w:rPr>
      </w:pPr>
      <w:r w:rsidRPr="00EC5F75">
        <w:rPr>
          <w:rFonts w:ascii="Arial" w:hAnsi="Arial" w:cs="Arial"/>
          <w:b/>
          <w:i/>
          <w:color w:val="000000"/>
          <w:sz w:val="22"/>
          <w:szCs w:val="22"/>
        </w:rPr>
        <w:lastRenderedPageBreak/>
        <w:t xml:space="preserve">Recommendations </w:t>
      </w:r>
    </w:p>
    <w:p w:rsidR="00B75817" w:rsidRDefault="00B75817" w:rsidP="00B75817">
      <w:pPr>
        <w:autoSpaceDE w:val="0"/>
        <w:autoSpaceDN w:val="0"/>
        <w:adjustRightInd w:val="0"/>
        <w:spacing w:after="0"/>
        <w:ind w:left="-3"/>
        <w:jc w:val="both"/>
        <w:rPr>
          <w:rFonts w:ascii="Arial" w:hAnsi="Arial" w:cs="Arial"/>
          <w:color w:val="000000"/>
          <w:sz w:val="22"/>
          <w:szCs w:val="22"/>
        </w:rPr>
      </w:pPr>
    </w:p>
    <w:p w:rsidR="00B75817" w:rsidRPr="00A037A5" w:rsidRDefault="008D6F7C" w:rsidP="00DF35DF">
      <w:pPr>
        <w:pStyle w:val="ListParagraph"/>
        <w:numPr>
          <w:ilvl w:val="0"/>
          <w:numId w:val="36"/>
        </w:numPr>
        <w:autoSpaceDE w:val="0"/>
        <w:autoSpaceDN w:val="0"/>
        <w:adjustRightInd w:val="0"/>
        <w:spacing w:after="0"/>
        <w:jc w:val="both"/>
        <w:rPr>
          <w:rFonts w:ascii="Arial" w:hAnsi="Arial" w:cs="Arial"/>
          <w:i/>
          <w:color w:val="000000"/>
          <w:sz w:val="22"/>
          <w:szCs w:val="22"/>
        </w:rPr>
      </w:pPr>
      <w:r w:rsidRPr="00A037A5">
        <w:rPr>
          <w:rFonts w:ascii="Arial" w:hAnsi="Arial" w:cs="Arial"/>
          <w:i/>
          <w:color w:val="000000"/>
          <w:sz w:val="22"/>
          <w:szCs w:val="22"/>
        </w:rPr>
        <w:t xml:space="preserve">FOI legislation in every jurisdiction should be amended to require agencies to determine access applications in no more than </w:t>
      </w:r>
      <w:r w:rsidR="00DD36AF" w:rsidRPr="00A037A5">
        <w:rPr>
          <w:rFonts w:ascii="Arial" w:hAnsi="Arial" w:cs="Arial"/>
          <w:i/>
          <w:color w:val="000000"/>
          <w:sz w:val="22"/>
          <w:szCs w:val="22"/>
        </w:rPr>
        <w:t xml:space="preserve">15 working </w:t>
      </w:r>
      <w:r w:rsidRPr="00A037A5">
        <w:rPr>
          <w:rFonts w:ascii="Arial" w:hAnsi="Arial" w:cs="Arial"/>
          <w:i/>
          <w:color w:val="000000"/>
          <w:sz w:val="22"/>
          <w:szCs w:val="22"/>
        </w:rPr>
        <w:t xml:space="preserve">days. </w:t>
      </w:r>
    </w:p>
    <w:p w:rsidR="008D6F7C" w:rsidRPr="00A037A5" w:rsidRDefault="008D6F7C" w:rsidP="008D6F7C">
      <w:pPr>
        <w:pStyle w:val="ListParagraph"/>
        <w:autoSpaceDE w:val="0"/>
        <w:autoSpaceDN w:val="0"/>
        <w:adjustRightInd w:val="0"/>
        <w:spacing w:after="0"/>
        <w:ind w:left="360"/>
        <w:jc w:val="both"/>
        <w:rPr>
          <w:rFonts w:ascii="Arial" w:hAnsi="Arial" w:cs="Arial"/>
          <w:i/>
          <w:color w:val="000000"/>
          <w:sz w:val="22"/>
          <w:szCs w:val="22"/>
        </w:rPr>
      </w:pPr>
    </w:p>
    <w:p w:rsidR="008D6F7C" w:rsidRPr="00A037A5" w:rsidRDefault="008D6F7C" w:rsidP="00DF35DF">
      <w:pPr>
        <w:pStyle w:val="ListParagraph"/>
        <w:numPr>
          <w:ilvl w:val="0"/>
          <w:numId w:val="36"/>
        </w:numPr>
        <w:autoSpaceDE w:val="0"/>
        <w:autoSpaceDN w:val="0"/>
        <w:adjustRightInd w:val="0"/>
        <w:spacing w:after="0"/>
        <w:jc w:val="both"/>
        <w:rPr>
          <w:rFonts w:ascii="Arial" w:hAnsi="Arial" w:cs="Arial"/>
          <w:i/>
          <w:color w:val="000000"/>
          <w:sz w:val="22"/>
          <w:szCs w:val="22"/>
        </w:rPr>
      </w:pPr>
      <w:r w:rsidRPr="00A037A5">
        <w:rPr>
          <w:rFonts w:ascii="Arial" w:hAnsi="Arial" w:cs="Arial"/>
          <w:i/>
          <w:color w:val="000000"/>
          <w:sz w:val="22"/>
          <w:szCs w:val="22"/>
        </w:rPr>
        <w:t xml:space="preserve">FOI legislation in every jurisdiction should be amended to </w:t>
      </w:r>
      <w:r w:rsidR="00DD36AF" w:rsidRPr="00A037A5">
        <w:rPr>
          <w:rFonts w:ascii="Arial" w:hAnsi="Arial" w:cs="Arial"/>
          <w:i/>
          <w:color w:val="000000"/>
          <w:sz w:val="22"/>
          <w:szCs w:val="22"/>
        </w:rPr>
        <w:t xml:space="preserve">include specific timeframes within which reviews must be completed. A reasonable period would be 10 working days for internal review, and 28 working days for a review conducted by the Information Commissioner (or equivalent). </w:t>
      </w:r>
    </w:p>
    <w:p w:rsidR="008127D6" w:rsidRPr="00A037A5" w:rsidRDefault="008127D6" w:rsidP="008127D6">
      <w:pPr>
        <w:pStyle w:val="ListParagraph"/>
        <w:rPr>
          <w:rFonts w:ascii="Arial" w:hAnsi="Arial" w:cs="Arial"/>
          <w:i/>
          <w:color w:val="000000"/>
          <w:sz w:val="22"/>
          <w:szCs w:val="22"/>
        </w:rPr>
      </w:pPr>
    </w:p>
    <w:p w:rsidR="008127D6" w:rsidRPr="00A037A5" w:rsidRDefault="008127D6" w:rsidP="00DF35DF">
      <w:pPr>
        <w:pStyle w:val="ListParagraph"/>
        <w:numPr>
          <w:ilvl w:val="0"/>
          <w:numId w:val="36"/>
        </w:numPr>
        <w:autoSpaceDE w:val="0"/>
        <w:autoSpaceDN w:val="0"/>
        <w:adjustRightInd w:val="0"/>
        <w:spacing w:after="0"/>
        <w:jc w:val="both"/>
        <w:rPr>
          <w:rFonts w:ascii="Arial" w:hAnsi="Arial" w:cs="Arial"/>
          <w:i/>
          <w:color w:val="000000"/>
          <w:sz w:val="22"/>
          <w:szCs w:val="22"/>
        </w:rPr>
      </w:pPr>
      <w:r w:rsidRPr="00A037A5">
        <w:rPr>
          <w:rFonts w:ascii="Arial" w:hAnsi="Arial" w:cs="Arial"/>
          <w:i/>
          <w:color w:val="000000"/>
          <w:sz w:val="22"/>
          <w:szCs w:val="22"/>
        </w:rPr>
        <w:t xml:space="preserve">FOI legislation in every jurisdiction should be amended to require agencies to provide a minimum discount of 50% to applicants acting in the public interest, or in the alternative to waive fees where the applicant is acting in the public interest. </w:t>
      </w:r>
    </w:p>
    <w:p w:rsidR="00323F3C" w:rsidRPr="00A037A5" w:rsidRDefault="00323F3C" w:rsidP="00323F3C">
      <w:pPr>
        <w:pStyle w:val="ListParagraph"/>
        <w:rPr>
          <w:rFonts w:ascii="Arial" w:hAnsi="Arial" w:cs="Arial"/>
          <w:i/>
          <w:color w:val="000000"/>
          <w:sz w:val="22"/>
          <w:szCs w:val="22"/>
        </w:rPr>
      </w:pPr>
    </w:p>
    <w:p w:rsidR="00323F3C" w:rsidRPr="00A037A5" w:rsidRDefault="00323F3C" w:rsidP="00DF35DF">
      <w:pPr>
        <w:pStyle w:val="ListParagraph"/>
        <w:numPr>
          <w:ilvl w:val="0"/>
          <w:numId w:val="36"/>
        </w:numPr>
        <w:autoSpaceDE w:val="0"/>
        <w:autoSpaceDN w:val="0"/>
        <w:adjustRightInd w:val="0"/>
        <w:spacing w:after="0"/>
        <w:jc w:val="both"/>
        <w:rPr>
          <w:rFonts w:ascii="Arial" w:hAnsi="Arial" w:cs="Arial"/>
          <w:i/>
          <w:color w:val="000000"/>
          <w:sz w:val="22"/>
          <w:szCs w:val="22"/>
        </w:rPr>
      </w:pPr>
      <w:r w:rsidRPr="00A037A5">
        <w:rPr>
          <w:rFonts w:ascii="Arial" w:hAnsi="Arial" w:cs="Arial"/>
          <w:i/>
          <w:color w:val="000000"/>
          <w:sz w:val="22"/>
          <w:szCs w:val="22"/>
        </w:rPr>
        <w:t xml:space="preserve">The Copyright Act should be amended to exclude </w:t>
      </w:r>
      <w:r w:rsidR="004C427E" w:rsidRPr="00A037A5">
        <w:rPr>
          <w:rFonts w:ascii="Arial" w:hAnsi="Arial" w:cs="Arial"/>
          <w:i/>
          <w:color w:val="000000"/>
          <w:sz w:val="22"/>
          <w:szCs w:val="22"/>
        </w:rPr>
        <w:t xml:space="preserve">all documents submitted by a proponent to a government agency for the purposes of determining a development application (including, but not limited to, environmental impact statements). </w:t>
      </w:r>
    </w:p>
    <w:p w:rsidR="00B75817" w:rsidRPr="00B75817" w:rsidRDefault="00B75817" w:rsidP="00BE0A23">
      <w:pPr>
        <w:autoSpaceDE w:val="0"/>
        <w:autoSpaceDN w:val="0"/>
        <w:adjustRightInd w:val="0"/>
        <w:spacing w:after="0"/>
        <w:ind w:left="-3"/>
        <w:jc w:val="both"/>
        <w:rPr>
          <w:rFonts w:ascii="Arial" w:hAnsi="Arial" w:cs="Arial"/>
          <w:color w:val="000000"/>
          <w:sz w:val="22"/>
          <w:szCs w:val="22"/>
        </w:rPr>
      </w:pPr>
    </w:p>
    <w:sectPr w:rsidR="00B75817" w:rsidRPr="00B75817" w:rsidSect="00E32660">
      <w:footerReference w:type="even" r:id="rId18"/>
      <w:footerReference w:type="default" r:id="rId19"/>
      <w:headerReference w:type="first" r:id="rId20"/>
      <w:endnotePr>
        <w:numFmt w:val="decimal"/>
      </w:endnotePr>
      <w:pgSz w:w="11907" w:h="16840" w:code="9"/>
      <w:pgMar w:top="1440" w:right="1440"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4B2" w:rsidRDefault="001B04B2">
      <w:r>
        <w:separator/>
      </w:r>
    </w:p>
  </w:endnote>
  <w:endnote w:type="continuationSeparator" w:id="0">
    <w:p w:rsidR="001B04B2" w:rsidRDefault="001B04B2">
      <w:r>
        <w:continuationSeparator/>
      </w:r>
    </w:p>
  </w:endnote>
  <w:endnote w:id="1">
    <w:p w:rsidR="001B04B2" w:rsidRDefault="001B04B2">
      <w:pPr>
        <w:pStyle w:val="EndnoteText"/>
      </w:pPr>
      <w:r>
        <w:rPr>
          <w:rStyle w:val="EndnoteReference"/>
        </w:rPr>
        <w:endnoteRef/>
      </w:r>
      <w:r>
        <w:t xml:space="preserve"> </w:t>
      </w:r>
      <w:r w:rsidR="008A585A">
        <w:t>For further information on the public benefits of environmental laws and protections, s</w:t>
      </w:r>
      <w:r>
        <w:t>ee</w:t>
      </w:r>
      <w:r w:rsidR="008A585A">
        <w:t xml:space="preserve"> </w:t>
      </w:r>
      <w:r>
        <w:t>ANEDO, ‘</w:t>
      </w:r>
      <w:r w:rsidR="008A585A">
        <w:t>In </w:t>
      </w:r>
      <w:r>
        <w:t xml:space="preserve">defence of environmental laws’, May 2012 (available on request). </w:t>
      </w:r>
    </w:p>
  </w:endnote>
  <w:endnote w:id="2">
    <w:p w:rsidR="001B04B2" w:rsidRDefault="001B04B2" w:rsidP="00B6796E">
      <w:pPr>
        <w:pStyle w:val="EndnoteText"/>
      </w:pPr>
      <w:r>
        <w:rPr>
          <w:rStyle w:val="EndnoteReference"/>
        </w:rPr>
        <w:endnoteRef/>
      </w:r>
      <w:r>
        <w:t xml:space="preserve"> Williams, Neil, </w:t>
      </w:r>
      <w:r w:rsidRPr="00B6796E">
        <w:t>‘Unrepresented litigants in the Land and Environment Court of New South Wales’, a paper present by Neil Williams</w:t>
      </w:r>
      <w:r>
        <w:t xml:space="preserve"> SC to the 2010 Environment and </w:t>
      </w:r>
      <w:r w:rsidRPr="00B6796E">
        <w:t>Planning Law Association (NSW) Conference at Kiama, 23 October 2010, at 36–39.</w:t>
      </w:r>
    </w:p>
  </w:endnote>
  <w:endnote w:id="3">
    <w:p w:rsidR="001B04B2" w:rsidRDefault="001B04B2" w:rsidP="00C46568">
      <w:pPr>
        <w:pStyle w:val="EndnoteText"/>
      </w:pPr>
      <w:r>
        <w:rPr>
          <w:rStyle w:val="EndnoteReference"/>
        </w:rPr>
        <w:endnoteRef/>
      </w:r>
      <w:r>
        <w:t xml:space="preserve"> Tasmanian Planning Commission, decision dated 2 February 2009. </w:t>
      </w:r>
    </w:p>
  </w:endnote>
  <w:endnote w:id="4">
    <w:p w:rsidR="001B04B2" w:rsidRDefault="001B04B2" w:rsidP="00C46568">
      <w:pPr>
        <w:pStyle w:val="EndnoteText"/>
      </w:pPr>
      <w:r>
        <w:rPr>
          <w:rStyle w:val="EndnoteReference"/>
        </w:rPr>
        <w:endnoteRef/>
      </w:r>
      <w:r>
        <w:t xml:space="preserve"> Friends of The Surry Inc v Minister for Planning &amp; Ors [2013] VCAT 157 (23 January 2013).</w:t>
      </w:r>
    </w:p>
  </w:endnote>
  <w:endnote w:id="5">
    <w:p w:rsidR="001B04B2" w:rsidRDefault="001B04B2">
      <w:pPr>
        <w:pStyle w:val="EndnoteText"/>
      </w:pPr>
      <w:r>
        <w:rPr>
          <w:rStyle w:val="EndnoteReference"/>
        </w:rPr>
        <w:endnoteRef/>
      </w:r>
      <w:r>
        <w:t xml:space="preserve"> Cripps, J, “People v The Offenders”, Dispute Resolution Seminar, Brisbane 6 July 1990. </w:t>
      </w:r>
    </w:p>
  </w:endnote>
  <w:endnote w:id="6">
    <w:p w:rsidR="001B04B2" w:rsidRPr="00915FED" w:rsidRDefault="001B04B2" w:rsidP="003331AA">
      <w:pPr>
        <w:pStyle w:val="EndnoteText"/>
        <w:rPr>
          <w:lang w:val="en-US"/>
        </w:rPr>
      </w:pPr>
      <w:r w:rsidRPr="00915FED">
        <w:rPr>
          <w:rStyle w:val="EndnoteReference"/>
        </w:rPr>
        <w:endnoteRef/>
      </w:r>
      <w:r>
        <w:rPr>
          <w:lang w:val="en-US"/>
        </w:rPr>
        <w:t xml:space="preserve"> </w:t>
      </w:r>
      <w:r w:rsidRPr="00915FED">
        <w:rPr>
          <w:lang w:val="en-US"/>
        </w:rPr>
        <w:t xml:space="preserve">Groves, M. 2010, ‘Standing and related matters’, </w:t>
      </w:r>
      <w:r w:rsidRPr="00915FED">
        <w:rPr>
          <w:i/>
          <w:lang w:val="en-US"/>
        </w:rPr>
        <w:t>Admin Review,</w:t>
      </w:r>
      <w:r>
        <w:rPr>
          <w:lang w:val="en-US"/>
        </w:rPr>
        <w:t xml:space="preserve"> Issue 59, Pp.</w:t>
      </w:r>
      <w:r w:rsidRPr="00915FED">
        <w:rPr>
          <w:lang w:val="en-US"/>
        </w:rPr>
        <w:t xml:space="preserve"> 86-88.</w:t>
      </w:r>
    </w:p>
  </w:endnote>
  <w:endnote w:id="7">
    <w:p w:rsidR="001B04B2" w:rsidRPr="00915FED" w:rsidRDefault="001B04B2" w:rsidP="003331AA">
      <w:pPr>
        <w:pStyle w:val="EndnoteText"/>
        <w:rPr>
          <w:lang w:val="en-US"/>
        </w:rPr>
      </w:pPr>
      <w:r w:rsidRPr="00915FED">
        <w:rPr>
          <w:rStyle w:val="EndnoteReference"/>
        </w:rPr>
        <w:endnoteRef/>
      </w:r>
      <w:r>
        <w:rPr>
          <w:lang w:val="en-US"/>
        </w:rPr>
        <w:t xml:space="preserve"> </w:t>
      </w:r>
      <w:r w:rsidRPr="00915FED">
        <w:rPr>
          <w:lang w:val="en-US"/>
        </w:rPr>
        <w:t xml:space="preserve">Groves, M. 2010, ‘Standing and related matters’, </w:t>
      </w:r>
      <w:r w:rsidRPr="00915FED">
        <w:rPr>
          <w:i/>
          <w:lang w:val="en-US"/>
        </w:rPr>
        <w:t>Admin Review,</w:t>
      </w:r>
      <w:r>
        <w:rPr>
          <w:lang w:val="en-US"/>
        </w:rPr>
        <w:t xml:space="preserve"> Issue 59, Pp.</w:t>
      </w:r>
      <w:r w:rsidRPr="00915FED">
        <w:rPr>
          <w:lang w:val="en-US"/>
        </w:rPr>
        <w:t xml:space="preserve"> 86-88.</w:t>
      </w:r>
    </w:p>
  </w:endnote>
  <w:endnote w:id="8">
    <w:p w:rsidR="001B04B2" w:rsidRPr="00915FED" w:rsidRDefault="001B04B2" w:rsidP="003331AA">
      <w:pPr>
        <w:pStyle w:val="EndnoteText"/>
        <w:rPr>
          <w:lang w:val="en-US"/>
        </w:rPr>
      </w:pPr>
      <w:r w:rsidRPr="00915FED">
        <w:rPr>
          <w:rStyle w:val="EndnoteReference"/>
        </w:rPr>
        <w:endnoteRef/>
      </w:r>
      <w:r>
        <w:rPr>
          <w:lang w:val="en-US"/>
        </w:rPr>
        <w:t xml:space="preserve"> </w:t>
      </w:r>
      <w:r w:rsidRPr="00915FED">
        <w:rPr>
          <w:lang w:val="en-US"/>
        </w:rPr>
        <w:t>146 CLR 493.</w:t>
      </w:r>
    </w:p>
  </w:endnote>
  <w:endnote w:id="9">
    <w:p w:rsidR="001B04B2" w:rsidRPr="00915FED" w:rsidRDefault="001B04B2" w:rsidP="003331AA">
      <w:pPr>
        <w:pStyle w:val="EndnoteText"/>
        <w:rPr>
          <w:lang w:val="en-US"/>
        </w:rPr>
      </w:pPr>
      <w:r w:rsidRPr="00915FED">
        <w:rPr>
          <w:rStyle w:val="EndnoteReference"/>
        </w:rPr>
        <w:endnoteRef/>
      </w:r>
      <w:r w:rsidRPr="00915FED">
        <w:rPr>
          <w:lang w:val="en-US"/>
        </w:rPr>
        <w:t xml:space="preserve">Furthermore, ACF had lodged a submission pursuant to administrative procedures under the </w:t>
      </w:r>
      <w:r w:rsidRPr="00915FED">
        <w:rPr>
          <w:i/>
          <w:lang w:val="en-US"/>
        </w:rPr>
        <w:t xml:space="preserve">Environment Protection (Impact of Proposals) Act </w:t>
      </w:r>
      <w:r w:rsidRPr="00915FED">
        <w:rPr>
          <w:lang w:val="en-US"/>
        </w:rPr>
        <w:t xml:space="preserve">1974 (Cth). </w:t>
      </w:r>
    </w:p>
  </w:endnote>
  <w:endnote w:id="10">
    <w:p w:rsidR="001B04B2" w:rsidRPr="00915FED" w:rsidRDefault="001B04B2" w:rsidP="003331AA">
      <w:pPr>
        <w:pStyle w:val="EndnoteText"/>
        <w:rPr>
          <w:lang w:val="en-US"/>
        </w:rPr>
      </w:pPr>
      <w:r w:rsidRPr="00915FED">
        <w:rPr>
          <w:rStyle w:val="EndnoteReference"/>
        </w:rPr>
        <w:endnoteRef/>
      </w:r>
      <w:r w:rsidRPr="00915FED">
        <w:rPr>
          <w:i/>
        </w:rPr>
        <w:t>Australian Conservation Foundation v Commonwealth</w:t>
      </w:r>
      <w:r w:rsidRPr="00915FED">
        <w:rPr>
          <w:lang w:val="en-US"/>
        </w:rPr>
        <w:t>(1980) 146 CLR 493 at 531.</w:t>
      </w:r>
    </w:p>
  </w:endnote>
  <w:endnote w:id="11">
    <w:p w:rsidR="001B04B2" w:rsidRPr="00915FED" w:rsidRDefault="001B04B2" w:rsidP="003331AA">
      <w:pPr>
        <w:pStyle w:val="EndnoteText"/>
        <w:rPr>
          <w:lang w:val="en-US"/>
        </w:rPr>
      </w:pPr>
      <w:r w:rsidRPr="00915FED">
        <w:rPr>
          <w:rStyle w:val="EndnoteReference"/>
        </w:rPr>
        <w:endnoteRef/>
      </w:r>
      <w:r w:rsidRPr="00915FED">
        <w:rPr>
          <w:lang w:val="en-US"/>
        </w:rPr>
        <w:t xml:space="preserve">Available at: </w:t>
      </w:r>
      <w:hyperlink r:id="rId1" w:history="1">
        <w:r w:rsidRPr="00915FED">
          <w:rPr>
            <w:rStyle w:val="Hyperlink"/>
            <w:lang w:val="en-US"/>
          </w:rPr>
          <w:t>http://www.hrcr.org/safrica/access_courts/Austrailia/aus_cons_comm.html</w:t>
        </w:r>
      </w:hyperlink>
      <w:r w:rsidRPr="00915FED">
        <w:rPr>
          <w:lang w:val="en-US"/>
        </w:rPr>
        <w:t xml:space="preserve">. </w:t>
      </w:r>
    </w:p>
  </w:endnote>
  <w:endnote w:id="12">
    <w:p w:rsidR="001B04B2" w:rsidRDefault="001B04B2" w:rsidP="00776DD8">
      <w:pPr>
        <w:pStyle w:val="EndnoteText"/>
      </w:pPr>
      <w:r>
        <w:rPr>
          <w:rStyle w:val="EndnoteReference"/>
        </w:rPr>
        <w:endnoteRef/>
      </w:r>
      <w:r>
        <w:t xml:space="preserve"> EPA Act, s. 123. </w:t>
      </w:r>
    </w:p>
  </w:endnote>
  <w:endnote w:id="13">
    <w:p w:rsidR="001B04B2" w:rsidRDefault="001B04B2" w:rsidP="00776DD8">
      <w:pPr>
        <w:pStyle w:val="EndnoteText"/>
      </w:pPr>
      <w:r>
        <w:rPr>
          <w:rStyle w:val="EndnoteReference"/>
        </w:rPr>
        <w:endnoteRef/>
      </w:r>
      <w:r>
        <w:t xml:space="preserve"> </w:t>
      </w:r>
      <w:r w:rsidRPr="00947C1D">
        <w:rPr>
          <w:i/>
        </w:rPr>
        <w:t>Water Management Act 2000</w:t>
      </w:r>
      <w:r>
        <w:t xml:space="preserve"> (NSW), s. 336. </w:t>
      </w:r>
    </w:p>
  </w:endnote>
  <w:endnote w:id="14">
    <w:p w:rsidR="001B04B2" w:rsidRDefault="001B04B2" w:rsidP="00776DD8">
      <w:pPr>
        <w:pStyle w:val="EndnoteText"/>
      </w:pPr>
      <w:r>
        <w:rPr>
          <w:rStyle w:val="EndnoteReference"/>
        </w:rPr>
        <w:endnoteRef/>
      </w:r>
      <w:r>
        <w:t xml:space="preserve"> </w:t>
      </w:r>
      <w:r w:rsidRPr="00947C1D">
        <w:rPr>
          <w:i/>
        </w:rPr>
        <w:t>Water Management Act 2000</w:t>
      </w:r>
      <w:r>
        <w:t xml:space="preserve"> (NSW), s. 368. According to this section, only individuals who have objected to licence applications applying to areas lacking a water sharing plan or outside of a water management have appeal rights. As almost all of NSW is now covered by water sharing plans, this effectively excludes the vast majority of licences. </w:t>
      </w:r>
    </w:p>
  </w:endnote>
  <w:endnote w:id="15">
    <w:p w:rsidR="001B04B2" w:rsidRDefault="001B04B2" w:rsidP="00776DD8">
      <w:pPr>
        <w:pStyle w:val="EndnoteText"/>
      </w:pPr>
      <w:r>
        <w:rPr>
          <w:rStyle w:val="EndnoteReference"/>
        </w:rPr>
        <w:endnoteRef/>
      </w:r>
      <w:r>
        <w:t xml:space="preserve"> </w:t>
      </w:r>
      <w:r w:rsidRPr="00E01BEC">
        <w:rPr>
          <w:i/>
        </w:rPr>
        <w:t>Water Management Act 2000</w:t>
      </w:r>
      <w:r>
        <w:t xml:space="preserve"> (NSW), s. </w:t>
      </w:r>
    </w:p>
  </w:endnote>
  <w:endnote w:id="16">
    <w:p w:rsidR="001B04B2" w:rsidRDefault="001B04B2" w:rsidP="00776DD8">
      <w:pPr>
        <w:pStyle w:val="EndnoteText"/>
      </w:pPr>
      <w:r>
        <w:rPr>
          <w:rStyle w:val="EndnoteReference"/>
        </w:rPr>
        <w:endnoteRef/>
      </w:r>
      <w:r>
        <w:t xml:space="preserve"> </w:t>
      </w:r>
      <w:r w:rsidRPr="00E01BEC">
        <w:rPr>
          <w:i/>
        </w:rPr>
        <w:t>Forestry Act 2012</w:t>
      </w:r>
      <w:r w:rsidRPr="00CC707B">
        <w:t>(NSW), s. 69ZA.</w:t>
      </w:r>
    </w:p>
  </w:endnote>
  <w:endnote w:id="17">
    <w:p w:rsidR="001B04B2" w:rsidRDefault="001B04B2">
      <w:pPr>
        <w:pStyle w:val="EndnoteText"/>
      </w:pPr>
      <w:r>
        <w:rPr>
          <w:rStyle w:val="EndnoteReference"/>
        </w:rPr>
        <w:endnoteRef/>
      </w:r>
      <w:r>
        <w:t xml:space="preserve"> The </w:t>
      </w:r>
      <w:r w:rsidRPr="00733776">
        <w:rPr>
          <w:i/>
        </w:rPr>
        <w:t>Mining Act 1992</w:t>
      </w:r>
      <w:r>
        <w:t xml:space="preserve"> (NSW) (s 137) and </w:t>
      </w:r>
      <w:r w:rsidRPr="00733776">
        <w:rPr>
          <w:i/>
        </w:rPr>
        <w:t xml:space="preserve">Petroleum (Onshore) Act 1991 </w:t>
      </w:r>
      <w:r>
        <w:t>(NSW) (s 25) contemplate that judicial review proceedings may be brought against the validity of decisions on mining titles, but there is no ‘open standing’ provision, so third parties would need to demonstrate standing under common law principles.</w:t>
      </w:r>
    </w:p>
  </w:endnote>
  <w:endnote w:id="18">
    <w:p w:rsidR="001B04B2" w:rsidRDefault="001B04B2" w:rsidP="00776DD8">
      <w:pPr>
        <w:pStyle w:val="EndnoteText"/>
      </w:pPr>
      <w:r>
        <w:rPr>
          <w:rStyle w:val="EndnoteReference"/>
        </w:rPr>
        <w:endnoteRef/>
      </w:r>
      <w:r>
        <w:t xml:space="preserve"> Planning and Environment Act 1987 (Vic), s. 114.  </w:t>
      </w:r>
    </w:p>
  </w:endnote>
  <w:endnote w:id="19">
    <w:p w:rsidR="001B04B2" w:rsidRDefault="001B04B2" w:rsidP="00776DD8">
      <w:pPr>
        <w:pStyle w:val="EndnoteText"/>
      </w:pPr>
      <w:r>
        <w:rPr>
          <w:rStyle w:val="EndnoteReference"/>
        </w:rPr>
        <w:endnoteRef/>
      </w:r>
      <w:r>
        <w:t xml:space="preserve"> Planning and Environment Act 1987 (Vic)s 82 and 82B.  This is a  limited right as only an “objector” or an ”affected person” may apply to the Victorian Civil and Administrative Tribunal for a review of the granting of a permit.</w:t>
      </w:r>
    </w:p>
  </w:endnote>
  <w:endnote w:id="20">
    <w:p w:rsidR="001B04B2" w:rsidRDefault="001B04B2" w:rsidP="00776DD8">
      <w:pPr>
        <w:pStyle w:val="EndnoteText"/>
      </w:pPr>
      <w:r>
        <w:rPr>
          <w:rStyle w:val="EndnoteReference"/>
        </w:rPr>
        <w:endnoteRef/>
      </w:r>
      <w:r>
        <w:t xml:space="preserve"> Water Act 1989 (Vic), s.64  Only “a  person whose interests are affected” may apply to the VCAT for a review of a licence approval. </w:t>
      </w:r>
    </w:p>
  </w:endnote>
  <w:endnote w:id="21">
    <w:p w:rsidR="001B04B2" w:rsidRDefault="001B04B2" w:rsidP="00776DD8">
      <w:pPr>
        <w:pStyle w:val="EndnoteText"/>
      </w:pPr>
      <w:r>
        <w:rPr>
          <w:rStyle w:val="EndnoteReference"/>
        </w:rPr>
        <w:endnoteRef/>
      </w:r>
      <w:r>
        <w:t xml:space="preserve"> </w:t>
      </w:r>
      <w:r>
        <w:rPr>
          <w:i/>
        </w:rPr>
        <w:t xml:space="preserve">Land Use Planning and Approvals Act 1993 </w:t>
      </w:r>
      <w:r>
        <w:t>(Tas), s 64</w:t>
      </w:r>
    </w:p>
  </w:endnote>
  <w:endnote w:id="22">
    <w:p w:rsidR="001B04B2" w:rsidRDefault="001B04B2" w:rsidP="00776DD8">
      <w:pPr>
        <w:pStyle w:val="EndnoteText"/>
      </w:pPr>
      <w:r>
        <w:rPr>
          <w:rStyle w:val="EndnoteReference"/>
        </w:rPr>
        <w:endnoteRef/>
      </w:r>
      <w:r>
        <w:t xml:space="preserve"> </w:t>
      </w:r>
      <w:r>
        <w:rPr>
          <w:i/>
        </w:rPr>
        <w:t xml:space="preserve">Water Management Act 1999 </w:t>
      </w:r>
      <w:r>
        <w:t>(</w:t>
      </w:r>
      <w:proofErr w:type="spellStart"/>
      <w:r>
        <w:t>Tas</w:t>
      </w:r>
      <w:proofErr w:type="spellEnd"/>
      <w:r>
        <w:t>), s 264</w:t>
      </w:r>
    </w:p>
  </w:endnote>
  <w:endnote w:id="23">
    <w:p w:rsidR="001B04B2" w:rsidRDefault="001B04B2" w:rsidP="00776DD8">
      <w:pPr>
        <w:pStyle w:val="EndnoteText"/>
      </w:pPr>
      <w:r>
        <w:rPr>
          <w:rStyle w:val="EndnoteReference"/>
        </w:rPr>
        <w:endnoteRef/>
      </w:r>
      <w:r>
        <w:t xml:space="preserve"> </w:t>
      </w:r>
      <w:r>
        <w:rPr>
          <w:i/>
        </w:rPr>
        <w:t xml:space="preserve">Water Management Act 1999 </w:t>
      </w:r>
      <w:r>
        <w:t>(Tas), s 275</w:t>
      </w:r>
    </w:p>
  </w:endnote>
  <w:endnote w:id="24">
    <w:p w:rsidR="001B04B2" w:rsidRDefault="001B04B2" w:rsidP="00776DD8">
      <w:pPr>
        <w:pStyle w:val="EndnoteText"/>
      </w:pPr>
      <w:r>
        <w:rPr>
          <w:rStyle w:val="EndnoteReference"/>
        </w:rPr>
        <w:endnoteRef/>
      </w:r>
      <w:r>
        <w:t xml:space="preserve"> </w:t>
      </w:r>
      <w:r>
        <w:rPr>
          <w:i/>
        </w:rPr>
        <w:t>Forest Practices Act 1985</w:t>
      </w:r>
      <w:r>
        <w:t xml:space="preserve"> (Tas), s. 7. </w:t>
      </w:r>
    </w:p>
  </w:endnote>
  <w:endnote w:id="25">
    <w:p w:rsidR="001B04B2" w:rsidRDefault="001B04B2" w:rsidP="00776DD8">
      <w:pPr>
        <w:pStyle w:val="EndnoteText"/>
      </w:pPr>
      <w:r>
        <w:rPr>
          <w:rStyle w:val="EndnoteReference"/>
        </w:rPr>
        <w:endnoteRef/>
      </w:r>
      <w:r>
        <w:t xml:space="preserve"> </w:t>
      </w:r>
      <w:r>
        <w:rPr>
          <w:i/>
        </w:rPr>
        <w:t>Forest Practices Act 1987</w:t>
      </w:r>
      <w:r>
        <w:t xml:space="preserve"> (Tas), s. 8 (2) (f). Objector right limited to owners of adjoining land or within 100 metres of the proposed reserved who will be ‘directly and materially disadvantaged’ by the application. </w:t>
      </w:r>
    </w:p>
  </w:endnote>
  <w:endnote w:id="26">
    <w:p w:rsidR="001B04B2" w:rsidRDefault="001B04B2" w:rsidP="00776DD8">
      <w:pPr>
        <w:pStyle w:val="EndnoteText"/>
      </w:pPr>
      <w:r>
        <w:rPr>
          <w:rStyle w:val="EndnoteReference"/>
        </w:rPr>
        <w:endnoteRef/>
      </w:r>
      <w:r>
        <w:t xml:space="preserve"> </w:t>
      </w:r>
      <w:r>
        <w:rPr>
          <w:i/>
        </w:rPr>
        <w:t>Mineral Resources Development Act 1995</w:t>
      </w:r>
      <w:r>
        <w:t xml:space="preserve">, ss. 15, 40, 67E, 76. Objector right limited to persons with an “estate or interest” in the land. The Mining Tribunal has held that this does not extend to conservation groups or adjacent downstream landowners: Frontier Resources Ltd v </w:t>
      </w:r>
      <w:proofErr w:type="spellStart"/>
      <w:r>
        <w:t>Tarkine</w:t>
      </w:r>
      <w:proofErr w:type="spellEnd"/>
      <w:r>
        <w:t xml:space="preserve"> National Coalition </w:t>
      </w:r>
      <w:proofErr w:type="spellStart"/>
      <w:r>
        <w:t>Inc</w:t>
      </w:r>
      <w:proofErr w:type="spellEnd"/>
      <w:r>
        <w:t xml:space="preserve"> [2011] TASMC.  </w:t>
      </w:r>
    </w:p>
  </w:endnote>
  <w:endnote w:id="27">
    <w:p w:rsidR="001B04B2" w:rsidRDefault="001B04B2" w:rsidP="00776DD8">
      <w:pPr>
        <w:pStyle w:val="EndnoteText"/>
      </w:pPr>
      <w:r>
        <w:rPr>
          <w:rStyle w:val="EndnoteReference"/>
        </w:rPr>
        <w:endnoteRef/>
      </w:r>
      <w:r>
        <w:t xml:space="preserve"> </w:t>
      </w:r>
      <w:r w:rsidRPr="00600138">
        <w:rPr>
          <w:i/>
        </w:rPr>
        <w:t>Development Act 1993</w:t>
      </w:r>
      <w:r>
        <w:t xml:space="preserve"> (</w:t>
      </w:r>
      <w:r w:rsidRPr="00600138">
        <w:t>SA</w:t>
      </w:r>
      <w:r>
        <w:t>), s.85.</w:t>
      </w:r>
    </w:p>
  </w:endnote>
  <w:endnote w:id="28">
    <w:p w:rsidR="001B04B2" w:rsidRDefault="001B04B2" w:rsidP="00776DD8">
      <w:pPr>
        <w:pStyle w:val="EndnoteText"/>
      </w:pPr>
      <w:r>
        <w:rPr>
          <w:rStyle w:val="EndnoteReference"/>
        </w:rPr>
        <w:endnoteRef/>
      </w:r>
      <w:r>
        <w:t xml:space="preserve"> </w:t>
      </w:r>
      <w:r w:rsidRPr="00600138">
        <w:rPr>
          <w:i/>
        </w:rPr>
        <w:t>Development Act 1993</w:t>
      </w:r>
      <w:r>
        <w:t>, (</w:t>
      </w:r>
      <w:r w:rsidRPr="00600138">
        <w:t>SA</w:t>
      </w:r>
      <w:r>
        <w:t>). s. 48E.</w:t>
      </w:r>
    </w:p>
  </w:endnote>
  <w:endnote w:id="29">
    <w:p w:rsidR="001B04B2" w:rsidRDefault="001B04B2" w:rsidP="00776DD8">
      <w:pPr>
        <w:pStyle w:val="EndnoteText"/>
      </w:pPr>
      <w:r>
        <w:rPr>
          <w:rStyle w:val="EndnoteReference"/>
        </w:rPr>
        <w:endnoteRef/>
      </w:r>
      <w:r>
        <w:t xml:space="preserve"> </w:t>
      </w:r>
      <w:r w:rsidRPr="00600138">
        <w:rPr>
          <w:i/>
        </w:rPr>
        <w:t>Development Act 1993</w:t>
      </w:r>
      <w:r>
        <w:t xml:space="preserve"> (SA), s. 38. </w:t>
      </w:r>
    </w:p>
  </w:endnote>
  <w:endnote w:id="30">
    <w:p w:rsidR="001B04B2" w:rsidRDefault="001B04B2" w:rsidP="00776DD8">
      <w:pPr>
        <w:pStyle w:val="EndnoteText"/>
      </w:pPr>
      <w:r>
        <w:rPr>
          <w:rStyle w:val="EndnoteReference"/>
        </w:rPr>
        <w:endnoteRef/>
      </w:r>
      <w:r>
        <w:t xml:space="preserve"> </w:t>
      </w:r>
      <w:r w:rsidRPr="00600138">
        <w:rPr>
          <w:i/>
        </w:rPr>
        <w:t>Natural Resources Management Act 2004</w:t>
      </w:r>
      <w:r>
        <w:t xml:space="preserve"> (SA),</w:t>
      </w:r>
      <w:r w:rsidRPr="00600138">
        <w:t xml:space="preserve"> </w:t>
      </w:r>
      <w:r>
        <w:t xml:space="preserve">s. 201. </w:t>
      </w:r>
    </w:p>
  </w:endnote>
  <w:endnote w:id="31">
    <w:p w:rsidR="001B04B2" w:rsidRDefault="001B04B2" w:rsidP="00776DD8">
      <w:pPr>
        <w:pStyle w:val="EndnoteText"/>
      </w:pPr>
      <w:r>
        <w:rPr>
          <w:rStyle w:val="EndnoteReference"/>
        </w:rPr>
        <w:endnoteRef/>
      </w:r>
      <w:r>
        <w:t xml:space="preserve"> </w:t>
      </w:r>
      <w:r w:rsidRPr="003D08B2">
        <w:rPr>
          <w:i/>
        </w:rPr>
        <w:t xml:space="preserve">Natural Resource Management Act 2004 </w:t>
      </w:r>
      <w:r>
        <w:t xml:space="preserve">(SA). </w:t>
      </w:r>
    </w:p>
  </w:endnote>
  <w:endnote w:id="32">
    <w:p w:rsidR="001B04B2" w:rsidRDefault="001B04B2" w:rsidP="00776DD8">
      <w:pPr>
        <w:pStyle w:val="EndnoteText"/>
      </w:pPr>
      <w:r>
        <w:rPr>
          <w:rStyle w:val="EndnoteReference"/>
        </w:rPr>
        <w:endnoteRef/>
      </w:r>
      <w:r>
        <w:t xml:space="preserve"> </w:t>
      </w:r>
      <w:r w:rsidRPr="000E1AD8">
        <w:rPr>
          <w:i/>
        </w:rPr>
        <w:t>Forestry Act 1950</w:t>
      </w:r>
      <w:r>
        <w:t xml:space="preserve"> (SA).  </w:t>
      </w:r>
    </w:p>
  </w:endnote>
  <w:endnote w:id="33">
    <w:p w:rsidR="001B04B2" w:rsidRDefault="001B04B2" w:rsidP="00D85080">
      <w:pPr>
        <w:pStyle w:val="EndnoteText"/>
      </w:pPr>
      <w:r>
        <w:rPr>
          <w:rStyle w:val="EndnoteReference"/>
        </w:rPr>
        <w:endnoteRef/>
      </w:r>
      <w:r>
        <w:t xml:space="preserve"> </w:t>
      </w:r>
      <w:r>
        <w:rPr>
          <w:i/>
        </w:rPr>
        <w:t>Sustainable Planning Act 2009</w:t>
      </w:r>
      <w:r>
        <w:t xml:space="preserve"> (Qld), s 601. For environmental approvals, a</w:t>
      </w:r>
      <w:r w:rsidRPr="009A57C7">
        <w:t xml:space="preserve"> </w:t>
      </w:r>
      <w:r w:rsidRPr="009A57C7">
        <w:rPr>
          <w:lang w:val="en-US"/>
        </w:rPr>
        <w:t xml:space="preserve">person can bring proceedings to remedy a breach of the </w:t>
      </w:r>
      <w:r w:rsidRPr="009A57C7">
        <w:rPr>
          <w:i/>
          <w:lang w:val="en-US"/>
        </w:rPr>
        <w:t>Environmental Protection Act 1994</w:t>
      </w:r>
      <w:r w:rsidRPr="009A57C7">
        <w:rPr>
          <w:lang w:val="en-US"/>
        </w:rPr>
        <w:t xml:space="preserve"> (</w:t>
      </w:r>
      <w:proofErr w:type="spellStart"/>
      <w:r w:rsidRPr="009A57C7">
        <w:rPr>
          <w:lang w:val="en-US"/>
        </w:rPr>
        <w:t>Qld</w:t>
      </w:r>
      <w:proofErr w:type="spellEnd"/>
      <w:r w:rsidRPr="009A57C7">
        <w:rPr>
          <w:lang w:val="en-US"/>
        </w:rPr>
        <w:t xml:space="preserve">). This includes </w:t>
      </w:r>
      <w:r>
        <w:rPr>
          <w:lang w:val="en-US"/>
        </w:rPr>
        <w:t xml:space="preserve">(for example) </w:t>
      </w:r>
      <w:r w:rsidRPr="009A57C7">
        <w:rPr>
          <w:lang w:val="en-US"/>
        </w:rPr>
        <w:t xml:space="preserve">a breach of the conditions of an Environmental Authority which all miners (minerals and CSG) must hold under that Act. However, the enforcement right is </w:t>
      </w:r>
      <w:r w:rsidRPr="009A57C7">
        <w:t>only available to someone whose ‘interests are affected by the subject matter of the proceeding’; or wit</w:t>
      </w:r>
      <w:r>
        <w:t xml:space="preserve">h the leave of the Court. See </w:t>
      </w:r>
      <w:r>
        <w:rPr>
          <w:i/>
        </w:rPr>
        <w:t xml:space="preserve">Environmental Protection Act 1994 </w:t>
      </w:r>
      <w:r>
        <w:t>(Qld), section 505.</w:t>
      </w:r>
    </w:p>
  </w:endnote>
  <w:endnote w:id="34">
    <w:p w:rsidR="001B04B2" w:rsidRDefault="001B04B2" w:rsidP="00D85080">
      <w:pPr>
        <w:pStyle w:val="EndnoteText"/>
        <w:rPr>
          <w:lang w:val="en-US"/>
        </w:rPr>
      </w:pPr>
      <w:r>
        <w:rPr>
          <w:rStyle w:val="EndnoteReference"/>
        </w:rPr>
        <w:endnoteRef/>
      </w:r>
      <w:r>
        <w:t xml:space="preserve"> Judicial review specifically excluded in sections 27AD and 76W </w:t>
      </w:r>
      <w:r>
        <w:rPr>
          <w:i/>
          <w:lang w:val="en-US"/>
        </w:rPr>
        <w:t>State Development and Public Works Organisation Act 1971</w:t>
      </w:r>
      <w:r>
        <w:rPr>
          <w:lang w:val="en-US"/>
        </w:rPr>
        <w:t>(</w:t>
      </w:r>
      <w:proofErr w:type="spellStart"/>
      <w:r>
        <w:rPr>
          <w:lang w:val="en-US"/>
        </w:rPr>
        <w:t>Qld</w:t>
      </w:r>
      <w:proofErr w:type="spellEnd"/>
      <w:r>
        <w:rPr>
          <w:lang w:val="en-US"/>
        </w:rPr>
        <w:t xml:space="preserve">). </w:t>
      </w:r>
      <w:r w:rsidRPr="00FC2830">
        <w:t xml:space="preserve">The JR Act has limited application to the </w:t>
      </w:r>
      <w:r w:rsidRPr="00FC2830">
        <w:rPr>
          <w:i/>
        </w:rPr>
        <w:t xml:space="preserve">Sustainable Planning Act 2009 </w:t>
      </w:r>
      <w:r w:rsidRPr="00FC2830">
        <w:t xml:space="preserve">(Qld) (see s 757 </w:t>
      </w:r>
      <w:r w:rsidRPr="00292F6E">
        <w:t>SPA</w:t>
      </w:r>
      <w:r w:rsidRPr="00FC2830">
        <w:t xml:space="preserve">), however there are JR-like applications and declarations available under s 456 </w:t>
      </w:r>
      <w:r>
        <w:t>of the SPA</w:t>
      </w:r>
      <w:r w:rsidRPr="00FC2830">
        <w:t>.</w:t>
      </w:r>
    </w:p>
  </w:endnote>
  <w:endnote w:id="35">
    <w:p w:rsidR="001B04B2" w:rsidRDefault="001B04B2" w:rsidP="00D85080">
      <w:pPr>
        <w:pStyle w:val="EndnoteText"/>
      </w:pPr>
      <w:r>
        <w:rPr>
          <w:rStyle w:val="EndnoteReference"/>
        </w:rPr>
        <w:endnoteRef/>
      </w:r>
      <w:r>
        <w:t xml:space="preserve"> </w:t>
      </w:r>
      <w:r>
        <w:rPr>
          <w:i/>
        </w:rPr>
        <w:t xml:space="preserve">Water Act 2000 </w:t>
      </w:r>
      <w:r>
        <w:t>(Qld), section 784.</w:t>
      </w:r>
    </w:p>
  </w:endnote>
  <w:endnote w:id="36">
    <w:p w:rsidR="001B04B2" w:rsidRDefault="001B04B2">
      <w:pPr>
        <w:pStyle w:val="EndnoteText"/>
      </w:pPr>
      <w:r>
        <w:rPr>
          <w:rStyle w:val="EndnoteReference"/>
        </w:rPr>
        <w:endnoteRef/>
      </w:r>
      <w:r>
        <w:t xml:space="preserve"> </w:t>
      </w:r>
      <w:r w:rsidRPr="00362632">
        <w:t xml:space="preserve">The application of the </w:t>
      </w:r>
      <w:r w:rsidRPr="00362632">
        <w:rPr>
          <w:i/>
        </w:rPr>
        <w:t>Judicial Review Act 1991</w:t>
      </w:r>
      <w:r>
        <w:t xml:space="preserve"> (Qld) </w:t>
      </w:r>
      <w:r w:rsidRPr="00362632">
        <w:t xml:space="preserve">is not excluded from the </w:t>
      </w:r>
      <w:r w:rsidRPr="00362632">
        <w:rPr>
          <w:i/>
        </w:rPr>
        <w:t>Water Act 2000</w:t>
      </w:r>
      <w:r w:rsidRPr="00362632">
        <w:t xml:space="preserve"> (Qld), save for a Minister’s decision regarding the cost or price of bulk water supply (section 360Y </w:t>
      </w:r>
      <w:r w:rsidRPr="00362632">
        <w:rPr>
          <w:i/>
        </w:rPr>
        <w:t>Water Act 2000</w:t>
      </w:r>
      <w:r w:rsidRPr="00362632">
        <w:t xml:space="preserve"> (Qld)).</w:t>
      </w:r>
    </w:p>
  </w:endnote>
  <w:endnote w:id="37">
    <w:p w:rsidR="001B04B2" w:rsidRDefault="001B04B2" w:rsidP="00D85080">
      <w:pPr>
        <w:pStyle w:val="EndnoteText"/>
        <w:rPr>
          <w:lang w:val="en-US"/>
        </w:rPr>
      </w:pPr>
      <w:r>
        <w:rPr>
          <w:rStyle w:val="EndnoteReference"/>
        </w:rPr>
        <w:endnoteRef/>
      </w:r>
      <w:r>
        <w:t xml:space="preserve"> Clearing native vegetation by forestry on freehold land is ‘development’ u</w:t>
      </w:r>
      <w:proofErr w:type="spellStart"/>
      <w:r>
        <w:rPr>
          <w:lang w:val="en-US"/>
        </w:rPr>
        <w:t>nder</w:t>
      </w:r>
      <w:proofErr w:type="spellEnd"/>
      <w:r>
        <w:rPr>
          <w:lang w:val="en-US"/>
        </w:rPr>
        <w:t xml:space="preserve"> planning legislation. Plantation forestry also requires planning approval and can be similarly enforced.  There are no rights regarding forestry on public land.</w:t>
      </w:r>
    </w:p>
  </w:endnote>
  <w:endnote w:id="38">
    <w:p w:rsidR="001B04B2" w:rsidRDefault="001B04B2">
      <w:pPr>
        <w:pStyle w:val="EndnoteText"/>
      </w:pPr>
      <w:r>
        <w:rPr>
          <w:rStyle w:val="EndnoteReference"/>
        </w:rPr>
        <w:endnoteRef/>
      </w:r>
      <w:r>
        <w:t xml:space="preserve"> </w:t>
      </w:r>
      <w:r w:rsidRPr="00362632">
        <w:t>The application of the JR Act</w:t>
      </w:r>
      <w:r>
        <w:t xml:space="preserve"> (Qld)</w:t>
      </w:r>
      <w:r w:rsidRPr="00362632">
        <w:t xml:space="preserve"> is not excluded from the </w:t>
      </w:r>
      <w:r w:rsidRPr="00362632">
        <w:rPr>
          <w:i/>
        </w:rPr>
        <w:t xml:space="preserve">Forestry Act 1959 </w:t>
      </w:r>
      <w:r w:rsidRPr="00362632">
        <w:t>(Qld).</w:t>
      </w:r>
    </w:p>
  </w:endnote>
  <w:endnote w:id="39">
    <w:p w:rsidR="001B04B2" w:rsidRDefault="001B04B2">
      <w:pPr>
        <w:pStyle w:val="EndnoteText"/>
      </w:pPr>
      <w:r>
        <w:rPr>
          <w:rStyle w:val="EndnoteReference"/>
        </w:rPr>
        <w:endnoteRef/>
      </w:r>
      <w:r>
        <w:t xml:space="preserve"> </w:t>
      </w:r>
      <w:r w:rsidRPr="009A57C7">
        <w:t xml:space="preserve">The application of the JR Act </w:t>
      </w:r>
      <w:r>
        <w:t xml:space="preserve">(Qld) </w:t>
      </w:r>
      <w:r w:rsidRPr="009A57C7">
        <w:t xml:space="preserve">is not excluded from the </w:t>
      </w:r>
      <w:r w:rsidRPr="009A57C7">
        <w:rPr>
          <w:i/>
        </w:rPr>
        <w:t xml:space="preserve">Petroleum and Gas (Production and Safety) Act 2004 </w:t>
      </w:r>
      <w:r w:rsidRPr="009A57C7">
        <w:t xml:space="preserve">(Qld), </w:t>
      </w:r>
      <w:r w:rsidRPr="009A57C7">
        <w:rPr>
          <w:i/>
        </w:rPr>
        <w:t xml:space="preserve">Environmental Protection Act 1994 </w:t>
      </w:r>
      <w:r w:rsidRPr="009A57C7">
        <w:t xml:space="preserve">(Qld), or the </w:t>
      </w:r>
      <w:r w:rsidRPr="009A57C7">
        <w:rPr>
          <w:i/>
        </w:rPr>
        <w:t xml:space="preserve">Mineral Resources Act 1989 </w:t>
      </w:r>
      <w:r w:rsidRPr="009A57C7">
        <w:t>(Qld) (save for section 231K concerning mineral development licences for an Aurukun project</w:t>
      </w:r>
      <w:r>
        <w:t>)</w:t>
      </w:r>
      <w:r w:rsidRPr="009A57C7">
        <w:t>.</w:t>
      </w:r>
    </w:p>
  </w:endnote>
  <w:endnote w:id="40">
    <w:p w:rsidR="001B04B2" w:rsidRDefault="001B04B2">
      <w:pPr>
        <w:pStyle w:val="EndnoteText"/>
      </w:pPr>
      <w:r>
        <w:rPr>
          <w:rStyle w:val="EndnoteReference"/>
        </w:rPr>
        <w:endnoteRef/>
      </w:r>
      <w:r>
        <w:t xml:space="preserve"> </w:t>
      </w:r>
      <w:r w:rsidRPr="00715CED">
        <w:t>Planning Bill 2013 (NSW), cl. 10.9</w:t>
      </w:r>
      <w:r>
        <w:t>.</w:t>
      </w:r>
    </w:p>
  </w:endnote>
  <w:endnote w:id="41">
    <w:p w:rsidR="001B04B2" w:rsidRDefault="001B04B2">
      <w:pPr>
        <w:pStyle w:val="EndnoteText"/>
      </w:pPr>
      <w:r>
        <w:rPr>
          <w:rStyle w:val="EndnoteReference"/>
        </w:rPr>
        <w:endnoteRef/>
      </w:r>
      <w:r>
        <w:t xml:space="preserve"> </w:t>
      </w:r>
      <w:r w:rsidRPr="00715CED">
        <w:rPr>
          <w:lang w:val="en-US"/>
        </w:rPr>
        <w:t>Planning Bill 2013 (NSW), cl. 10.12</w:t>
      </w:r>
      <w:r>
        <w:rPr>
          <w:lang w:val="en-US"/>
        </w:rPr>
        <w:t>.</w:t>
      </w:r>
    </w:p>
  </w:endnote>
  <w:endnote w:id="42">
    <w:p w:rsidR="001B04B2" w:rsidRDefault="001B04B2">
      <w:pPr>
        <w:pStyle w:val="EndnoteText"/>
      </w:pPr>
      <w:r>
        <w:rPr>
          <w:rStyle w:val="EndnoteReference"/>
        </w:rPr>
        <w:endnoteRef/>
      </w:r>
      <w:r>
        <w:t xml:space="preserve"> UCRP, rule 59.10.   </w:t>
      </w:r>
    </w:p>
  </w:endnote>
  <w:endnote w:id="43">
    <w:p w:rsidR="001B04B2" w:rsidRDefault="001B04B2">
      <w:pPr>
        <w:pStyle w:val="EndnoteText"/>
      </w:pPr>
      <w:r>
        <w:rPr>
          <w:rStyle w:val="EndnoteReference"/>
        </w:rPr>
        <w:endnoteRef/>
      </w:r>
      <w:r>
        <w:t xml:space="preserve"> Available at: </w:t>
      </w:r>
      <w:hyperlink r:id="rId2" w:history="1">
        <w:r w:rsidRPr="003427A1">
          <w:rPr>
            <w:rStyle w:val="Hyperlink"/>
          </w:rPr>
          <w:t>http://registers.water.nsw.gov.au/wma/ApplicationSearch.jsp?selectedRegister=Application</w:t>
        </w:r>
      </w:hyperlink>
      <w:r>
        <w:t xml:space="preserve"> </w:t>
      </w:r>
    </w:p>
  </w:endnote>
  <w:endnote w:id="44">
    <w:p w:rsidR="001B04B2" w:rsidRDefault="001B04B2">
      <w:pPr>
        <w:pStyle w:val="EndnoteText"/>
      </w:pPr>
      <w:r>
        <w:rPr>
          <w:rStyle w:val="EndnoteReference"/>
        </w:rPr>
        <w:endnoteRef/>
      </w:r>
      <w:r>
        <w:t xml:space="preserve"> </w:t>
      </w:r>
      <w:r w:rsidRPr="003C0B84">
        <w:rPr>
          <w:i/>
        </w:rPr>
        <w:t>Water Management Act 2000</w:t>
      </w:r>
      <w:r>
        <w:t xml:space="preserve"> (NSW), s. 71.</w:t>
      </w:r>
    </w:p>
  </w:endnote>
  <w:endnote w:id="45">
    <w:p w:rsidR="001B04B2" w:rsidRDefault="001B04B2">
      <w:pPr>
        <w:pStyle w:val="EndnoteText"/>
      </w:pPr>
      <w:r>
        <w:rPr>
          <w:rStyle w:val="EndnoteReference"/>
        </w:rPr>
        <w:endnoteRef/>
      </w:r>
      <w:r>
        <w:t xml:space="preserve"> It should be noted that Australian privacy protections are conferred on individuals only, not corporations. See, for example, definition of ‘personal information’ in the </w:t>
      </w:r>
      <w:r w:rsidRPr="00733776">
        <w:rPr>
          <w:i/>
        </w:rPr>
        <w:t>Privacy Act 1988</w:t>
      </w:r>
      <w:r>
        <w:t xml:space="preserve"> (</w:t>
      </w:r>
      <w:proofErr w:type="spellStart"/>
      <w:r>
        <w:t>Cth</w:t>
      </w:r>
      <w:proofErr w:type="spellEnd"/>
      <w:r>
        <w:t xml:space="preserve">), s 6; and </w:t>
      </w:r>
      <w:r>
        <w:rPr>
          <w:i/>
        </w:rPr>
        <w:t>Privacy and P</w:t>
      </w:r>
      <w:r w:rsidRPr="00733776">
        <w:rPr>
          <w:i/>
        </w:rPr>
        <w:t>ersonal Information Act 199</w:t>
      </w:r>
      <w:r>
        <w:rPr>
          <w:i/>
        </w:rPr>
        <w:t>8</w:t>
      </w:r>
      <w:r>
        <w:t xml:space="preserve"> (NSW), s 4.</w:t>
      </w:r>
    </w:p>
  </w:endnote>
  <w:endnote w:id="46">
    <w:p w:rsidR="001B04B2" w:rsidRDefault="001B04B2">
      <w:pPr>
        <w:pStyle w:val="EndnoteText"/>
      </w:pPr>
      <w:r>
        <w:rPr>
          <w:rStyle w:val="EndnoteReference"/>
        </w:rPr>
        <w:endnoteRef/>
      </w:r>
      <w:r>
        <w:t xml:space="preserve"> </w:t>
      </w:r>
      <w:r w:rsidRPr="001C1C01">
        <w:rPr>
          <w:i/>
          <w:iCs/>
        </w:rPr>
        <w:t xml:space="preserve">Privacy and Personal Information Protection Act 1998 </w:t>
      </w:r>
      <w:r w:rsidRPr="001C1C01">
        <w:t>(NSW) s 57(1).</w:t>
      </w:r>
    </w:p>
  </w:endnote>
  <w:endnote w:id="47">
    <w:p w:rsidR="001B04B2" w:rsidRPr="00915FED" w:rsidRDefault="001B04B2" w:rsidP="001968C9">
      <w:pPr>
        <w:pStyle w:val="EndnoteText"/>
      </w:pPr>
      <w:r w:rsidRPr="00915FED">
        <w:rPr>
          <w:rStyle w:val="EndnoteReference"/>
        </w:rPr>
        <w:endnoteRef/>
      </w:r>
      <w:r w:rsidRPr="00915FED">
        <w:t xml:space="preserve"> In considering ongoing concern, the entity’s objectives could be a relevant (but not the only) consideration.</w:t>
      </w:r>
    </w:p>
  </w:endnote>
  <w:endnote w:id="48">
    <w:p w:rsidR="001B04B2" w:rsidRPr="00915FED" w:rsidRDefault="001B04B2" w:rsidP="00600138">
      <w:pPr>
        <w:pStyle w:val="EndnoteText"/>
        <w:rPr>
          <w:lang w:val="en-US"/>
        </w:rPr>
      </w:pPr>
      <w:r w:rsidRPr="00915FED">
        <w:rPr>
          <w:rStyle w:val="EndnoteReference"/>
        </w:rPr>
        <w:endnoteRef/>
      </w:r>
      <w:r w:rsidRPr="00915FED">
        <w:rPr>
          <w:lang w:val="en-US"/>
        </w:rPr>
        <w:t xml:space="preserve">Barker, M.L. 1996, ‘Standing to Sue in Public Interest Environmental Litigation: From ACF v Commonwealth to Tasmanian Conservation Trust v Minister for Resources’, </w:t>
      </w:r>
      <w:r w:rsidRPr="00915FED">
        <w:rPr>
          <w:i/>
          <w:lang w:val="en-US"/>
        </w:rPr>
        <w:t>Environmental and Planning Law Journal</w:t>
      </w:r>
      <w:r w:rsidRPr="00915FED">
        <w:rPr>
          <w:lang w:val="en-US"/>
        </w:rPr>
        <w:t>, Vol. 13, No. 3, Pgs. 186-208.</w:t>
      </w:r>
    </w:p>
  </w:endnote>
  <w:endnote w:id="49">
    <w:p w:rsidR="001B04B2" w:rsidRDefault="001B04B2">
      <w:pPr>
        <w:pStyle w:val="EndnoteText"/>
      </w:pPr>
      <w:r>
        <w:rPr>
          <w:rStyle w:val="EndnoteReference"/>
        </w:rPr>
        <w:endnoteRef/>
      </w:r>
      <w:r>
        <w:t xml:space="preserve"> EPBC Act, s. 475 (6). </w:t>
      </w:r>
    </w:p>
  </w:endnote>
  <w:endnote w:id="50">
    <w:p w:rsidR="001B04B2" w:rsidRDefault="001B04B2" w:rsidP="00523241">
      <w:pPr>
        <w:pStyle w:val="EndnoteText"/>
      </w:pPr>
      <w:r>
        <w:rPr>
          <w:rStyle w:val="EndnoteReference"/>
        </w:rPr>
        <w:endnoteRef/>
      </w:r>
      <w:r>
        <w:t xml:space="preserve"> EPBC Act, s. 487. </w:t>
      </w:r>
    </w:p>
  </w:endnote>
  <w:endnote w:id="51">
    <w:p w:rsidR="001B04B2" w:rsidRDefault="001B04B2">
      <w:pPr>
        <w:pStyle w:val="EndnoteText"/>
      </w:pPr>
      <w:r>
        <w:rPr>
          <w:rStyle w:val="EndnoteReference"/>
        </w:rPr>
        <w:endnoteRef/>
      </w:r>
      <w:r>
        <w:t xml:space="preserve"> </w:t>
      </w:r>
      <w:r w:rsidRPr="00AB3513">
        <w:rPr>
          <w:i/>
        </w:rPr>
        <w:t>Great Barrier Reef Marine Park Act 1975</w:t>
      </w:r>
      <w:r>
        <w:t xml:space="preserve">, s. 61AGA.  </w:t>
      </w:r>
    </w:p>
  </w:endnote>
  <w:endnote w:id="52">
    <w:p w:rsidR="001B04B2" w:rsidRDefault="001B04B2">
      <w:pPr>
        <w:pStyle w:val="EndnoteText"/>
      </w:pPr>
      <w:r>
        <w:rPr>
          <w:rStyle w:val="EndnoteReference"/>
        </w:rPr>
        <w:endnoteRef/>
      </w:r>
      <w:r>
        <w:t xml:space="preserve"> The ‘water trigger’ refers to the ninth matter of national environmental significance, namely large coal mining developments and large coal seam gas developments likely to have a significant impact on water resources. EPBC Act, ss. 24D, 24E. </w:t>
      </w:r>
    </w:p>
  </w:endnote>
  <w:endnote w:id="53">
    <w:p w:rsidR="001B04B2" w:rsidRDefault="001B04B2">
      <w:pPr>
        <w:pStyle w:val="EndnoteText"/>
      </w:pPr>
      <w:r>
        <w:rPr>
          <w:rStyle w:val="EndnoteReference"/>
        </w:rPr>
        <w:endnoteRef/>
      </w:r>
      <w:r>
        <w:t xml:space="preserve"> EPBC Act, s. 136.</w:t>
      </w:r>
    </w:p>
  </w:endnote>
  <w:endnote w:id="54">
    <w:p w:rsidR="001B04B2" w:rsidRDefault="001B04B2">
      <w:pPr>
        <w:pStyle w:val="EndnoteText"/>
      </w:pPr>
      <w:r>
        <w:rPr>
          <w:rStyle w:val="EndnoteReference"/>
        </w:rPr>
        <w:endnoteRef/>
      </w:r>
      <w:r>
        <w:t xml:space="preserve"> </w:t>
      </w:r>
      <w:r w:rsidRPr="00D5547A">
        <w:t>Preston, B and Smith J, “Legislation needed for an effective Court” in Promises, Perception,</w:t>
      </w:r>
      <w:r>
        <w:t xml:space="preserve"> </w:t>
      </w:r>
      <w:r w:rsidRPr="00D5547A">
        <w:t xml:space="preserve">Problems and Remedies, The Land and Environment Court and Environmental Law 1979-1999. </w:t>
      </w:r>
      <w:r>
        <w:t xml:space="preserve">Conference Proceedings, </w:t>
      </w:r>
      <w:r w:rsidRPr="00D5547A">
        <w:t xml:space="preserve">Nature Conservation Council of NSW, 1999, at 107. </w:t>
      </w:r>
      <w:r>
        <w:t xml:space="preserve">  </w:t>
      </w:r>
    </w:p>
  </w:endnote>
  <w:endnote w:id="55">
    <w:p w:rsidR="001B04B2" w:rsidRDefault="001B04B2">
      <w:pPr>
        <w:pStyle w:val="EndnoteText"/>
      </w:pPr>
      <w:r>
        <w:rPr>
          <w:rStyle w:val="EndnoteReference"/>
        </w:rPr>
        <w:endnoteRef/>
      </w:r>
      <w:r>
        <w:t xml:space="preserve"> </w:t>
      </w:r>
      <w:r w:rsidRPr="00DA78A1">
        <w:t xml:space="preserve">For example, the NSW Department of Planning reported a 98% approval rate in the Major Development Monitor 2008-09 (119 of 121 DAs); and </w:t>
      </w:r>
      <w:r>
        <w:t xml:space="preserve">in </w:t>
      </w:r>
      <w:r w:rsidRPr="00DA78A1">
        <w:t>2009-10 (138 of 140).</w:t>
      </w:r>
    </w:p>
  </w:endnote>
  <w:endnote w:id="56">
    <w:p w:rsidR="001B04B2" w:rsidRDefault="001B04B2" w:rsidP="00E95BDF">
      <w:pPr>
        <w:pStyle w:val="EndnoteText"/>
      </w:pPr>
      <w:r>
        <w:rPr>
          <w:rStyle w:val="EndnoteReference"/>
        </w:rPr>
        <w:endnoteRef/>
      </w:r>
      <w:r>
        <w:t xml:space="preserve"> EPA Act, s. 98. PAC refers to the Planning and Assessment Commission.  </w:t>
      </w:r>
    </w:p>
  </w:endnote>
  <w:endnote w:id="57">
    <w:p w:rsidR="001B04B2" w:rsidRDefault="001B04B2" w:rsidP="00536191">
      <w:pPr>
        <w:pStyle w:val="EndnoteText"/>
      </w:pPr>
      <w:r>
        <w:rPr>
          <w:rStyle w:val="EndnoteReference"/>
        </w:rPr>
        <w:endnoteRef/>
      </w:r>
      <w:r>
        <w:t xml:space="preserve"> </w:t>
      </w:r>
      <w:r w:rsidRPr="002E4272">
        <w:rPr>
          <w:i/>
        </w:rPr>
        <w:t>Water Management Act 2000</w:t>
      </w:r>
      <w:r>
        <w:t xml:space="preserve"> (NSW).</w:t>
      </w:r>
    </w:p>
  </w:endnote>
  <w:endnote w:id="58">
    <w:p w:rsidR="001B04B2" w:rsidRDefault="001B04B2" w:rsidP="00536191">
      <w:pPr>
        <w:pStyle w:val="EndnoteText"/>
      </w:pPr>
      <w:r>
        <w:rPr>
          <w:rStyle w:val="EndnoteReference"/>
        </w:rPr>
        <w:endnoteRef/>
      </w:r>
      <w:r>
        <w:t xml:space="preserve"> </w:t>
      </w:r>
      <w:r w:rsidRPr="002E4272">
        <w:rPr>
          <w:i/>
        </w:rPr>
        <w:t>Water Management Act 2000</w:t>
      </w:r>
      <w:r>
        <w:t xml:space="preserve"> (NSW).</w:t>
      </w:r>
    </w:p>
  </w:endnote>
  <w:endnote w:id="59">
    <w:p w:rsidR="001B04B2" w:rsidRDefault="001B04B2" w:rsidP="00536191">
      <w:pPr>
        <w:pStyle w:val="EndnoteText"/>
      </w:pPr>
      <w:r>
        <w:rPr>
          <w:rStyle w:val="EndnoteReference"/>
        </w:rPr>
        <w:endnoteRef/>
      </w:r>
      <w:r>
        <w:t xml:space="preserve"> </w:t>
      </w:r>
      <w:r w:rsidRPr="009B075B">
        <w:rPr>
          <w:i/>
          <w:iCs/>
        </w:rPr>
        <w:t xml:space="preserve">Forestry Act 2012 </w:t>
      </w:r>
      <w:r w:rsidRPr="009B075B">
        <w:t xml:space="preserve">(NSW); </w:t>
      </w:r>
      <w:r w:rsidRPr="009B075B">
        <w:rPr>
          <w:i/>
          <w:iCs/>
        </w:rPr>
        <w:t xml:space="preserve">National Park Estate (Land Transfers) Act 1998 </w:t>
      </w:r>
      <w:r w:rsidRPr="009B075B">
        <w:t xml:space="preserve">(NSW); </w:t>
      </w:r>
      <w:r w:rsidRPr="009B075B">
        <w:rPr>
          <w:i/>
          <w:iCs/>
        </w:rPr>
        <w:t xml:space="preserve">Plantations and Reafforestation Act 1999 </w:t>
      </w:r>
      <w:r w:rsidRPr="009B075B">
        <w:t>(NSW).</w:t>
      </w:r>
      <w:r>
        <w:t xml:space="preserve"> </w:t>
      </w:r>
    </w:p>
  </w:endnote>
  <w:endnote w:id="60">
    <w:p w:rsidR="001B04B2" w:rsidRDefault="001B04B2" w:rsidP="00536191">
      <w:pPr>
        <w:pStyle w:val="EndnoteText"/>
      </w:pPr>
      <w:r>
        <w:rPr>
          <w:rStyle w:val="EndnoteReference"/>
        </w:rPr>
        <w:endnoteRef/>
      </w:r>
      <w:r>
        <w:t xml:space="preserve"> </w:t>
      </w:r>
      <w:r w:rsidRPr="00781573">
        <w:rPr>
          <w:i/>
        </w:rPr>
        <w:t>Mining Act 1992</w:t>
      </w:r>
      <w:r>
        <w:t xml:space="preserve"> (NSW), </w:t>
      </w:r>
      <w:r w:rsidRPr="00781573">
        <w:rPr>
          <w:i/>
        </w:rPr>
        <w:t>Petroleum (Onshore) Act 1991</w:t>
      </w:r>
      <w:r>
        <w:t xml:space="preserve"> (NSW). </w:t>
      </w:r>
    </w:p>
  </w:endnote>
  <w:endnote w:id="61">
    <w:p w:rsidR="001B04B2" w:rsidRDefault="001B04B2" w:rsidP="00536191">
      <w:pPr>
        <w:pStyle w:val="EndnoteText"/>
      </w:pPr>
      <w:r>
        <w:rPr>
          <w:rStyle w:val="EndnoteReference"/>
        </w:rPr>
        <w:endnoteRef/>
      </w:r>
      <w:r>
        <w:t xml:space="preserve"> </w:t>
      </w:r>
      <w:r w:rsidRPr="00781573">
        <w:rPr>
          <w:i/>
        </w:rPr>
        <w:t>Mining Act 1992</w:t>
      </w:r>
      <w:r>
        <w:t xml:space="preserve"> (NSW), </w:t>
      </w:r>
      <w:r w:rsidRPr="00781573">
        <w:rPr>
          <w:i/>
        </w:rPr>
        <w:t>Petroleum (Onshore) Act 1991</w:t>
      </w:r>
      <w:r>
        <w:t xml:space="preserve"> (NSW). </w:t>
      </w:r>
    </w:p>
  </w:endnote>
  <w:endnote w:id="62">
    <w:p w:rsidR="001B04B2" w:rsidRDefault="001B04B2" w:rsidP="00536191">
      <w:pPr>
        <w:pStyle w:val="EndnoteText"/>
      </w:pPr>
      <w:r>
        <w:rPr>
          <w:rStyle w:val="EndnoteReference"/>
        </w:rPr>
        <w:endnoteRef/>
      </w:r>
      <w:r>
        <w:t xml:space="preserve"> </w:t>
      </w:r>
      <w:r w:rsidRPr="00F255F2">
        <w:rPr>
          <w:i/>
        </w:rPr>
        <w:t>Planning and Environment Act 1987</w:t>
      </w:r>
      <w:r>
        <w:t xml:space="preserve"> (Vic), s. 97. </w:t>
      </w:r>
    </w:p>
  </w:endnote>
  <w:endnote w:id="63">
    <w:p w:rsidR="001B04B2" w:rsidRDefault="001B04B2" w:rsidP="00536191">
      <w:pPr>
        <w:pStyle w:val="EndnoteText"/>
      </w:pPr>
      <w:r>
        <w:rPr>
          <w:rStyle w:val="EndnoteReference"/>
        </w:rPr>
        <w:endnoteRef/>
      </w:r>
      <w:r>
        <w:t xml:space="preserve"> Ibid. </w:t>
      </w:r>
    </w:p>
  </w:endnote>
  <w:endnote w:id="64">
    <w:p w:rsidR="001B04B2" w:rsidRDefault="001B04B2" w:rsidP="00536191">
      <w:pPr>
        <w:pStyle w:val="EndnoteText"/>
      </w:pPr>
      <w:r>
        <w:rPr>
          <w:rStyle w:val="EndnoteReference"/>
        </w:rPr>
        <w:endnoteRef/>
      </w:r>
      <w:r>
        <w:t xml:space="preserve"> </w:t>
      </w:r>
      <w:r w:rsidRPr="000B108D">
        <w:rPr>
          <w:i/>
          <w:u w:val="single"/>
        </w:rPr>
        <w:t>Water Act 1989</w:t>
      </w:r>
      <w:r>
        <w:t xml:space="preserve"> (Vic). Note that this Act is currently under review. </w:t>
      </w:r>
    </w:p>
  </w:endnote>
  <w:endnote w:id="65">
    <w:p w:rsidR="001B04B2" w:rsidRDefault="001B04B2" w:rsidP="00536191">
      <w:pPr>
        <w:pStyle w:val="EndnoteText"/>
      </w:pPr>
      <w:r>
        <w:rPr>
          <w:rStyle w:val="EndnoteReference"/>
        </w:rPr>
        <w:endnoteRef/>
      </w:r>
      <w:r>
        <w:t xml:space="preserve"> </w:t>
      </w:r>
      <w:r w:rsidRPr="00F37F9F">
        <w:rPr>
          <w:i/>
        </w:rPr>
        <w:t xml:space="preserve">Forests Act 1958 </w:t>
      </w:r>
      <w:r>
        <w:t>(Vic);</w:t>
      </w:r>
      <w:r w:rsidRPr="00F37F9F">
        <w:rPr>
          <w:i/>
        </w:rPr>
        <w:t xml:space="preserve"> Sustainable Forests (Timber) Act 2004 </w:t>
      </w:r>
      <w:r>
        <w:t xml:space="preserve">(Vic).  </w:t>
      </w:r>
    </w:p>
  </w:endnote>
  <w:endnote w:id="66">
    <w:p w:rsidR="001B04B2" w:rsidRDefault="001B04B2">
      <w:pPr>
        <w:pStyle w:val="EndnoteText"/>
      </w:pPr>
      <w:r>
        <w:rPr>
          <w:rStyle w:val="EndnoteReference"/>
        </w:rPr>
        <w:endnoteRef/>
      </w:r>
      <w:r>
        <w:t xml:space="preserve"> </w:t>
      </w:r>
      <w:r w:rsidRPr="00733776">
        <w:rPr>
          <w:i/>
        </w:rPr>
        <w:t>Mineral Resources (Sustainable Development) Act 1990</w:t>
      </w:r>
      <w:r>
        <w:t xml:space="preserve"> (Vic); </w:t>
      </w:r>
      <w:r w:rsidRPr="00733776">
        <w:rPr>
          <w:i/>
        </w:rPr>
        <w:t>Mines Act 1958</w:t>
      </w:r>
      <w:r>
        <w:t xml:space="preserve"> (Vic).</w:t>
      </w:r>
    </w:p>
  </w:endnote>
  <w:endnote w:id="67">
    <w:p w:rsidR="00BE719F" w:rsidRDefault="00BE719F" w:rsidP="00BE719F">
      <w:pPr>
        <w:pStyle w:val="EndnoteText"/>
      </w:pPr>
      <w:r>
        <w:rPr>
          <w:rStyle w:val="EndnoteReference"/>
        </w:rPr>
        <w:endnoteRef/>
      </w:r>
      <w:r>
        <w:t xml:space="preserve"> Rights of appeal exist in respect of major infrastructure projects: </w:t>
      </w:r>
      <w:r>
        <w:rPr>
          <w:i/>
        </w:rPr>
        <w:t>Major Infrastructure Development Approvals Act 1995</w:t>
      </w:r>
      <w:r>
        <w:t xml:space="preserve"> (</w:t>
      </w:r>
      <w:proofErr w:type="spellStart"/>
      <w:r>
        <w:t>Tas</w:t>
      </w:r>
      <w:proofErr w:type="spellEnd"/>
      <w:r>
        <w:t xml:space="preserve">), </w:t>
      </w:r>
      <w:proofErr w:type="spellStart"/>
      <w:r>
        <w:t>s11</w:t>
      </w:r>
      <w:proofErr w:type="spellEnd"/>
      <w:r>
        <w:t xml:space="preserve">.  For Projects of State Significance and Projects of Regional Significance, there are broad </w:t>
      </w:r>
      <w:r>
        <w:rPr>
          <w:rFonts w:cs="Arial"/>
        </w:rPr>
        <w:t xml:space="preserve">rights to appear at panel hearings, but no right of appeal against panel decision: </w:t>
      </w:r>
      <w:r>
        <w:rPr>
          <w:i/>
        </w:rPr>
        <w:t xml:space="preserve">State Policies and Projects Act 1993 </w:t>
      </w:r>
      <w:r>
        <w:t>(</w:t>
      </w:r>
      <w:proofErr w:type="spellStart"/>
      <w:r>
        <w:t>Tas</w:t>
      </w:r>
      <w:proofErr w:type="spellEnd"/>
      <w:r>
        <w:t xml:space="preserve">), s 28; </w:t>
      </w:r>
      <w:r>
        <w:rPr>
          <w:i/>
        </w:rPr>
        <w:t>Land Use Planning and Approvals Act 1993</w:t>
      </w:r>
      <w:r>
        <w:t xml:space="preserve"> (</w:t>
      </w:r>
      <w:proofErr w:type="spellStart"/>
      <w:r>
        <w:t>Tas</w:t>
      </w:r>
      <w:proofErr w:type="spellEnd"/>
      <w:r>
        <w:t xml:space="preserve">), Division </w:t>
      </w:r>
      <w:proofErr w:type="spellStart"/>
      <w:r>
        <w:t>2A</w:t>
      </w:r>
      <w:proofErr w:type="spellEnd"/>
    </w:p>
  </w:endnote>
  <w:endnote w:id="68">
    <w:p w:rsidR="00BE719F" w:rsidRDefault="00BE719F" w:rsidP="00BE719F">
      <w:pPr>
        <w:pStyle w:val="EndnoteText"/>
      </w:pPr>
      <w:r>
        <w:rPr>
          <w:rStyle w:val="EndnoteReference"/>
        </w:rPr>
        <w:endnoteRef/>
      </w:r>
      <w:r>
        <w:t xml:space="preserve"> </w:t>
      </w:r>
      <w:r>
        <w:rPr>
          <w:i/>
        </w:rPr>
        <w:t>Land Use Planning and Approvals Act 1993</w:t>
      </w:r>
      <w:r>
        <w:t xml:space="preserve"> (</w:t>
      </w:r>
      <w:proofErr w:type="spellStart"/>
      <w:r>
        <w:t>Tas</w:t>
      </w:r>
      <w:proofErr w:type="spellEnd"/>
      <w:r>
        <w:t>), s 61</w:t>
      </w:r>
    </w:p>
  </w:endnote>
  <w:endnote w:id="69">
    <w:p w:rsidR="001B04B2" w:rsidRDefault="001B04B2" w:rsidP="00536191">
      <w:pPr>
        <w:pStyle w:val="EndnoteText"/>
      </w:pPr>
      <w:r>
        <w:rPr>
          <w:rStyle w:val="EndnoteReference"/>
        </w:rPr>
        <w:endnoteRef/>
      </w:r>
      <w:r>
        <w:t xml:space="preserve"> </w:t>
      </w:r>
      <w:r w:rsidRPr="00EE3BE0">
        <w:rPr>
          <w:i/>
        </w:rPr>
        <w:t>Development Act 1993</w:t>
      </w:r>
      <w:r>
        <w:t xml:space="preserve"> (SA), ss. 38, 86.  </w:t>
      </w:r>
    </w:p>
  </w:endnote>
  <w:endnote w:id="70">
    <w:p w:rsidR="00210A0A" w:rsidRDefault="00210A0A">
      <w:pPr>
        <w:pStyle w:val="EndnoteText"/>
      </w:pPr>
      <w:r>
        <w:rPr>
          <w:rStyle w:val="EndnoteReference"/>
        </w:rPr>
        <w:endnoteRef/>
      </w:r>
      <w:r>
        <w:t xml:space="preserve"> </w:t>
      </w:r>
      <w:r w:rsidRPr="00733776">
        <w:rPr>
          <w:i/>
        </w:rPr>
        <w:t>Development Act 1993</w:t>
      </w:r>
      <w:r>
        <w:t xml:space="preserve"> (SA).</w:t>
      </w:r>
    </w:p>
  </w:endnote>
  <w:endnote w:id="71">
    <w:p w:rsidR="001B04B2" w:rsidRDefault="001B04B2" w:rsidP="00536191">
      <w:pPr>
        <w:pStyle w:val="EndnoteText"/>
      </w:pPr>
      <w:r>
        <w:rPr>
          <w:rStyle w:val="EndnoteReference"/>
        </w:rPr>
        <w:endnoteRef/>
      </w:r>
      <w:r>
        <w:t xml:space="preserve"> </w:t>
      </w:r>
      <w:r w:rsidRPr="00956664">
        <w:rPr>
          <w:i/>
        </w:rPr>
        <w:t>Natural Resources Management Act 2004</w:t>
      </w:r>
      <w:r>
        <w:t xml:space="preserve"> (SA). </w:t>
      </w:r>
    </w:p>
  </w:endnote>
  <w:endnote w:id="72">
    <w:p w:rsidR="001B04B2" w:rsidRDefault="001B04B2">
      <w:pPr>
        <w:pStyle w:val="EndnoteText"/>
      </w:pPr>
      <w:r>
        <w:rPr>
          <w:rStyle w:val="EndnoteReference"/>
        </w:rPr>
        <w:endnoteRef/>
      </w:r>
      <w:r>
        <w:t xml:space="preserve"> </w:t>
      </w:r>
      <w:r w:rsidRPr="00891438">
        <w:rPr>
          <w:i/>
        </w:rPr>
        <w:t>Planning and Development Act 2005</w:t>
      </w:r>
      <w:r>
        <w:t xml:space="preserve"> (WA).</w:t>
      </w:r>
    </w:p>
  </w:endnote>
  <w:endnote w:id="73">
    <w:p w:rsidR="001B04B2" w:rsidRDefault="001B04B2">
      <w:pPr>
        <w:pStyle w:val="EndnoteText"/>
      </w:pPr>
      <w:r>
        <w:rPr>
          <w:rStyle w:val="EndnoteReference"/>
        </w:rPr>
        <w:endnoteRef/>
      </w:r>
      <w:r>
        <w:t xml:space="preserve"> </w:t>
      </w:r>
      <w:r w:rsidRPr="00733776">
        <w:rPr>
          <w:i/>
        </w:rPr>
        <w:t>Rights in Water and Irrigation Act 1914</w:t>
      </w:r>
      <w:r>
        <w:t xml:space="preserve"> (WA).</w:t>
      </w:r>
    </w:p>
  </w:endnote>
  <w:endnote w:id="74">
    <w:p w:rsidR="001B04B2" w:rsidRDefault="001B04B2">
      <w:pPr>
        <w:pStyle w:val="EndnoteText"/>
      </w:pPr>
      <w:r>
        <w:rPr>
          <w:rStyle w:val="EndnoteReference"/>
        </w:rPr>
        <w:endnoteRef/>
      </w:r>
      <w:r>
        <w:t xml:space="preserve"> </w:t>
      </w:r>
      <w:r w:rsidRPr="00733776">
        <w:rPr>
          <w:i/>
        </w:rPr>
        <w:t>Conservation and Land Management Act 1984</w:t>
      </w:r>
      <w:r>
        <w:t xml:space="preserve"> (WA).</w:t>
      </w:r>
    </w:p>
  </w:endnote>
  <w:endnote w:id="75">
    <w:p w:rsidR="001B04B2" w:rsidRDefault="001B04B2">
      <w:pPr>
        <w:pStyle w:val="EndnoteText"/>
      </w:pPr>
      <w:r>
        <w:rPr>
          <w:rStyle w:val="EndnoteReference"/>
        </w:rPr>
        <w:endnoteRef/>
      </w:r>
      <w:r>
        <w:t xml:space="preserve"> </w:t>
      </w:r>
      <w:r w:rsidRPr="00733776">
        <w:rPr>
          <w:i/>
        </w:rPr>
        <w:t>Mining Act 1978</w:t>
      </w:r>
      <w:r>
        <w:t xml:space="preserve"> (WA), </w:t>
      </w:r>
      <w:proofErr w:type="spellStart"/>
      <w:r>
        <w:t>s</w:t>
      </w:r>
      <w:r w:rsidR="00292F6E">
        <w:t>s</w:t>
      </w:r>
      <w:proofErr w:type="spellEnd"/>
      <w:r w:rsidR="00292F6E">
        <w:t xml:space="preserve"> </w:t>
      </w:r>
      <w:r>
        <w:t>147</w:t>
      </w:r>
      <w:r w:rsidR="00292F6E">
        <w:t>-148</w:t>
      </w:r>
      <w:r>
        <w:t>.</w:t>
      </w:r>
      <w:r w:rsidR="00292F6E" w:rsidRPr="00292F6E">
        <w:tab/>
      </w:r>
      <w:r w:rsidR="00292F6E">
        <w:t>Note: a</w:t>
      </w:r>
      <w:r w:rsidR="00292F6E" w:rsidRPr="00292F6E">
        <w:t xml:space="preserve">ny person may object to a </w:t>
      </w:r>
      <w:r w:rsidR="00292F6E" w:rsidRPr="00292F6E">
        <w:rPr>
          <w:i/>
        </w:rPr>
        <w:t>mining tenement application</w:t>
      </w:r>
      <w:r w:rsidR="00292F6E" w:rsidRPr="00292F6E">
        <w:t xml:space="preserve"> to Mining Warden’s Court (Mining Regulations r 146</w:t>
      </w:r>
      <w:r w:rsidR="00292F6E">
        <w:t xml:space="preserve">). </w:t>
      </w:r>
    </w:p>
  </w:endnote>
  <w:endnote w:id="76">
    <w:p w:rsidR="001B04B2" w:rsidRDefault="001B04B2">
      <w:pPr>
        <w:pStyle w:val="EndnoteText"/>
      </w:pPr>
      <w:r>
        <w:rPr>
          <w:rStyle w:val="EndnoteReference"/>
        </w:rPr>
        <w:endnoteRef/>
      </w:r>
      <w:r>
        <w:t xml:space="preserve"> </w:t>
      </w:r>
      <w:r w:rsidRPr="00733776">
        <w:rPr>
          <w:i/>
        </w:rPr>
        <w:t>Planning Act</w:t>
      </w:r>
      <w:r>
        <w:t xml:space="preserve"> (NT), s 117.</w:t>
      </w:r>
    </w:p>
  </w:endnote>
  <w:endnote w:id="77">
    <w:p w:rsidR="001B04B2" w:rsidRDefault="001B04B2">
      <w:pPr>
        <w:pStyle w:val="EndnoteText"/>
      </w:pPr>
      <w:r>
        <w:rPr>
          <w:rStyle w:val="EndnoteReference"/>
        </w:rPr>
        <w:endnoteRef/>
      </w:r>
      <w:r>
        <w:t xml:space="preserve"> </w:t>
      </w:r>
      <w:r w:rsidRPr="00733776">
        <w:rPr>
          <w:i/>
        </w:rPr>
        <w:t>Water Act 1992</w:t>
      </w:r>
      <w:r>
        <w:t xml:space="preserve"> (NT).</w:t>
      </w:r>
    </w:p>
  </w:endnote>
  <w:endnote w:id="78">
    <w:p w:rsidR="001B04B2" w:rsidRDefault="001B04B2">
      <w:pPr>
        <w:pStyle w:val="EndnoteText"/>
      </w:pPr>
      <w:r>
        <w:rPr>
          <w:rStyle w:val="EndnoteReference"/>
        </w:rPr>
        <w:endnoteRef/>
      </w:r>
      <w:r>
        <w:t xml:space="preserve"> </w:t>
      </w:r>
      <w:r w:rsidRPr="00C713A1">
        <w:rPr>
          <w:i/>
        </w:rPr>
        <w:t xml:space="preserve">Petroleum Act </w:t>
      </w:r>
      <w:r w:rsidRPr="00C713A1">
        <w:t xml:space="preserve">(NT) s 57J </w:t>
      </w:r>
      <w:r w:rsidRPr="00C713A1">
        <w:rPr>
          <w:lang w:val="en-US"/>
        </w:rPr>
        <w:t>A registered native title claimant or registered native title body corporate objecting to the prescribed petroleum act may apply to the Tribunal to have the objection to the prescribed petroleum act heard (after certain preconditions are met).  Tribunal then provides a recommendation to the Minister, who must comply with the recommendation unless satisfied of a number of preconditions.</w:t>
      </w:r>
    </w:p>
  </w:endnote>
  <w:endnote w:id="79">
    <w:p w:rsidR="001B04B2" w:rsidRDefault="001B04B2" w:rsidP="00536191">
      <w:pPr>
        <w:pStyle w:val="EndnoteText"/>
        <w:rPr>
          <w:lang w:val="en-US"/>
        </w:rPr>
      </w:pPr>
      <w:r>
        <w:rPr>
          <w:rStyle w:val="EndnoteReference"/>
        </w:rPr>
        <w:endnoteRef/>
      </w:r>
      <w:r>
        <w:t xml:space="preserve"> </w:t>
      </w:r>
      <w:r>
        <w:rPr>
          <w:i/>
          <w:lang w:val="en-US"/>
        </w:rPr>
        <w:t>State Development and Public Works Organisation Act 1971</w:t>
      </w:r>
      <w:r>
        <w:rPr>
          <w:lang w:val="en-US"/>
        </w:rPr>
        <w:t>(</w:t>
      </w:r>
      <w:proofErr w:type="spellStart"/>
      <w:r>
        <w:rPr>
          <w:lang w:val="en-US"/>
        </w:rPr>
        <w:t>Qld</w:t>
      </w:r>
      <w:proofErr w:type="spellEnd"/>
      <w:r>
        <w:rPr>
          <w:lang w:val="en-US"/>
        </w:rPr>
        <w:t>)</w:t>
      </w:r>
    </w:p>
  </w:endnote>
  <w:endnote w:id="80">
    <w:p w:rsidR="001B04B2" w:rsidRDefault="001B04B2" w:rsidP="00536191">
      <w:pPr>
        <w:pStyle w:val="EndnoteText"/>
        <w:rPr>
          <w:lang w:val="en-US"/>
        </w:rPr>
      </w:pPr>
      <w:r>
        <w:rPr>
          <w:rStyle w:val="EndnoteReference"/>
        </w:rPr>
        <w:endnoteRef/>
      </w:r>
      <w:r>
        <w:t xml:space="preserve"> </w:t>
      </w:r>
      <w:r>
        <w:rPr>
          <w:lang w:val="en-US"/>
        </w:rPr>
        <w:t>Only for submitters on ‘impact assessable’ development (not ‘self-assessable’ or ‘code assessable’ development)</w:t>
      </w:r>
      <w:r>
        <w:rPr>
          <w:i/>
          <w:lang w:val="en-US"/>
        </w:rPr>
        <w:t xml:space="preserve"> </w:t>
      </w:r>
      <w:r>
        <w:rPr>
          <w:i/>
        </w:rPr>
        <w:t>Sustainable Planning Act 2009</w:t>
      </w:r>
      <w:r>
        <w:t xml:space="preserve"> (Qld), section 462.</w:t>
      </w:r>
    </w:p>
  </w:endnote>
  <w:endnote w:id="81">
    <w:p w:rsidR="001B04B2" w:rsidRDefault="001B04B2" w:rsidP="00536191">
      <w:pPr>
        <w:pStyle w:val="EndnoteText"/>
      </w:pPr>
      <w:r>
        <w:rPr>
          <w:rStyle w:val="EndnoteReference"/>
        </w:rPr>
        <w:endnoteRef/>
      </w:r>
      <w:r>
        <w:t xml:space="preserve"> </w:t>
      </w:r>
      <w:r>
        <w:rPr>
          <w:i/>
        </w:rPr>
        <w:t>Water Act 2000</w:t>
      </w:r>
      <w:r>
        <w:t xml:space="preserve"> (Qld), sections 851 and 877.</w:t>
      </w:r>
    </w:p>
  </w:endnote>
  <w:endnote w:id="82">
    <w:p w:rsidR="001B04B2" w:rsidRDefault="001B04B2">
      <w:pPr>
        <w:pStyle w:val="EndnoteText"/>
      </w:pPr>
      <w:r>
        <w:rPr>
          <w:rStyle w:val="EndnoteReference"/>
        </w:rPr>
        <w:endnoteRef/>
      </w:r>
      <w:r>
        <w:t xml:space="preserve"> </w:t>
      </w:r>
      <w:r w:rsidRPr="00404DB9">
        <w:rPr>
          <w:i/>
        </w:rPr>
        <w:t xml:space="preserve">Forestry Act 1959 </w:t>
      </w:r>
      <w:r w:rsidRPr="00404DB9">
        <w:t>(Qld) s 83A allows for internal review (not a merits review to court), but only for decisions for granting permits for land within State forests (under s 35), licences to get forest products</w:t>
      </w:r>
      <w:r>
        <w:t xml:space="preserve"> (under s</w:t>
      </w:r>
      <w:r w:rsidRPr="00404DB9">
        <w:t xml:space="preserve"> 55), a decision in relation to a permit, licence, lease, or other authority, or an agreement or contract (under s 56) or a decision in relation to a permit to traverse a part of a State forest, timber reserve or forest entitlement area with vehicles, teams, horses, or other animals (under s 73(2)).</w:t>
      </w:r>
    </w:p>
  </w:endnote>
  <w:endnote w:id="83">
    <w:p w:rsidR="001B04B2" w:rsidRDefault="001B04B2" w:rsidP="00536191">
      <w:pPr>
        <w:pStyle w:val="EndnoteText"/>
        <w:rPr>
          <w:lang w:val="en-US"/>
        </w:rPr>
      </w:pPr>
      <w:r>
        <w:rPr>
          <w:rStyle w:val="EndnoteReference"/>
        </w:rPr>
        <w:endnoteRef/>
      </w:r>
      <w:r>
        <w:t xml:space="preserve"> </w:t>
      </w:r>
      <w:r>
        <w:rPr>
          <w:lang w:val="en-US"/>
        </w:rPr>
        <w:t xml:space="preserve">No third party appeal available against the granting of exploration permits for minerals (coal </w:t>
      </w:r>
      <w:proofErr w:type="spellStart"/>
      <w:r>
        <w:rPr>
          <w:lang w:val="en-US"/>
        </w:rPr>
        <w:t>etc</w:t>
      </w:r>
      <w:proofErr w:type="spellEnd"/>
      <w:r>
        <w:rPr>
          <w:lang w:val="en-US"/>
        </w:rPr>
        <w:t xml:space="preserve">). Appeal rights </w:t>
      </w:r>
      <w:r>
        <w:t xml:space="preserve">are available against the approval </w:t>
      </w:r>
      <w:r>
        <w:rPr>
          <w:lang w:val="en-US"/>
        </w:rPr>
        <w:t xml:space="preserve">of certain ‘site-specific’ (effectively meaning, higher risk) Coal Seam Gas exploration activities under the </w:t>
      </w:r>
      <w:r>
        <w:rPr>
          <w:i/>
          <w:lang w:val="en-US"/>
        </w:rPr>
        <w:t xml:space="preserve">Environmental Protection Act 1994 </w:t>
      </w:r>
      <w:r>
        <w:rPr>
          <w:lang w:val="en-US"/>
        </w:rPr>
        <w:t>(</w:t>
      </w:r>
      <w:proofErr w:type="spellStart"/>
      <w:r>
        <w:rPr>
          <w:lang w:val="en-US"/>
        </w:rPr>
        <w:t>Qld</w:t>
      </w:r>
      <w:proofErr w:type="spellEnd"/>
      <w:r>
        <w:rPr>
          <w:lang w:val="en-US"/>
        </w:rPr>
        <w:t xml:space="preserve">). However, they are only available if that person (it can be any person) made an earlier written submission on the application. </w:t>
      </w:r>
      <w:r>
        <w:t>See EP Act, s520(2).</w:t>
      </w:r>
    </w:p>
  </w:endnote>
  <w:endnote w:id="84">
    <w:p w:rsidR="001B04B2" w:rsidRDefault="001B04B2" w:rsidP="00536191">
      <w:pPr>
        <w:pStyle w:val="EndnoteText"/>
        <w:rPr>
          <w:lang w:val="en-US"/>
        </w:rPr>
      </w:pPr>
      <w:r>
        <w:rPr>
          <w:rStyle w:val="EndnoteReference"/>
        </w:rPr>
        <w:endnoteRef/>
      </w:r>
      <w:r>
        <w:t xml:space="preserve"> Any person can object to an application for a mining lease (and Environmental Authority) </w:t>
      </w:r>
      <w:r>
        <w:rPr>
          <w:i/>
        </w:rPr>
        <w:t>before</w:t>
      </w:r>
      <w:r>
        <w:t xml:space="preserve"> it is granted, </w:t>
      </w:r>
      <w:r>
        <w:rPr>
          <w:i/>
        </w:rPr>
        <w:t>Mineral Resources Act 1989</w:t>
      </w:r>
      <w:r>
        <w:t xml:space="preserve"> (Qld), s 260.  </w:t>
      </w:r>
      <w:r w:rsidRPr="00362632">
        <w:t xml:space="preserve">Only affected landholders can object to an application for small scale mining for minerals other than coal </w:t>
      </w:r>
      <w:r w:rsidRPr="00362632">
        <w:rPr>
          <w:i/>
        </w:rPr>
        <w:t>Mineral Resources Act 1989 (</w:t>
      </w:r>
      <w:r w:rsidRPr="00362632">
        <w:t xml:space="preserve">Qld), sections 50 and 71. </w:t>
      </w:r>
      <w:r>
        <w:t xml:space="preserve">For coal seam gas production, like exploration, an appeal is only available for ‘site-specific’ (i.e. higher risk) coal seam gas activities under the </w:t>
      </w:r>
      <w:r>
        <w:rPr>
          <w:i/>
        </w:rPr>
        <w:t>Environmental Protection Act 1994</w:t>
      </w:r>
      <w:r>
        <w:t xml:space="preserve"> (Qld), Again, they are only available if that person (it can be any person) made an earlier written submission during the application stage. See EP Act, s520(2).</w:t>
      </w:r>
    </w:p>
  </w:endnote>
  <w:endnote w:id="85">
    <w:p w:rsidR="001B04B2" w:rsidRDefault="001B04B2">
      <w:pPr>
        <w:pStyle w:val="EndnoteText"/>
      </w:pPr>
      <w:r>
        <w:rPr>
          <w:rStyle w:val="EndnoteReference"/>
        </w:rPr>
        <w:endnoteRef/>
      </w:r>
      <w:r>
        <w:t xml:space="preserve"> </w:t>
      </w:r>
      <w:r w:rsidRPr="00563AC1">
        <w:t>Planning Bill 2013</w:t>
      </w:r>
      <w:r>
        <w:t xml:space="preserve"> (NSW)</w:t>
      </w:r>
      <w:r w:rsidRPr="00563AC1">
        <w:t>, cl. 9.8</w:t>
      </w:r>
      <w:r>
        <w:t>.</w:t>
      </w:r>
    </w:p>
  </w:endnote>
  <w:endnote w:id="86">
    <w:p w:rsidR="001B04B2" w:rsidRDefault="001B04B2">
      <w:pPr>
        <w:pStyle w:val="EndnoteText"/>
      </w:pPr>
      <w:r>
        <w:rPr>
          <w:rStyle w:val="EndnoteReference"/>
        </w:rPr>
        <w:endnoteRef/>
      </w:r>
      <w:r>
        <w:t xml:space="preserve"> </w:t>
      </w:r>
      <w:r w:rsidRPr="00563AC1">
        <w:rPr>
          <w:lang w:val="en-US"/>
        </w:rPr>
        <w:t>Planning Bill</w:t>
      </w:r>
      <w:r>
        <w:rPr>
          <w:lang w:val="en-US"/>
        </w:rPr>
        <w:t xml:space="preserve"> (NSW)</w:t>
      </w:r>
      <w:r w:rsidRPr="00563AC1">
        <w:rPr>
          <w:lang w:val="en-US"/>
        </w:rPr>
        <w:t xml:space="preserve">, </w:t>
      </w:r>
      <w:proofErr w:type="spellStart"/>
      <w:r w:rsidRPr="00563AC1">
        <w:rPr>
          <w:lang w:val="en-US"/>
        </w:rPr>
        <w:t>cll</w:t>
      </w:r>
      <w:proofErr w:type="spellEnd"/>
      <w:r w:rsidRPr="00563AC1">
        <w:rPr>
          <w:lang w:val="en-US"/>
        </w:rPr>
        <w:t>. 9.2-9.7</w:t>
      </w:r>
      <w:r>
        <w:rPr>
          <w:lang w:val="en-US"/>
        </w:rPr>
        <w:t>.</w:t>
      </w:r>
    </w:p>
  </w:endnote>
  <w:endnote w:id="87">
    <w:p w:rsidR="001B04B2" w:rsidRPr="00C6369F" w:rsidRDefault="001B04B2" w:rsidP="00563AC1">
      <w:pPr>
        <w:pStyle w:val="EndnoteText"/>
      </w:pPr>
      <w:r w:rsidRPr="00C6369F">
        <w:rPr>
          <w:rStyle w:val="EndnoteReference"/>
        </w:rPr>
        <w:endnoteRef/>
      </w:r>
      <w:r w:rsidRPr="00C6369F">
        <w:t xml:space="preserve"> See NSW Department of Planning and Infrastructure, ‘Local Development Monitors’, available at: </w:t>
      </w:r>
      <w:hyperlink r:id="rId3" w:history="1">
        <w:r w:rsidRPr="00C6369F">
          <w:rPr>
            <w:rStyle w:val="Hyperlink"/>
          </w:rPr>
          <w:t>http://www.planning.nsw.gov.au/performance-monitoring</w:t>
        </w:r>
      </w:hyperlink>
      <w:r w:rsidRPr="00C6369F">
        <w:t>. Statistics for major projects are more difficult to find, due to limited and inconsistent reporting and definitional issues across Australian jurisdictions.</w:t>
      </w:r>
    </w:p>
  </w:endnote>
  <w:endnote w:id="88">
    <w:p w:rsidR="001B04B2" w:rsidRPr="00C6369F" w:rsidRDefault="001B04B2" w:rsidP="00563AC1">
      <w:pPr>
        <w:pStyle w:val="EndnoteText"/>
      </w:pPr>
      <w:r w:rsidRPr="00C6369F">
        <w:rPr>
          <w:rStyle w:val="EndnoteReference"/>
        </w:rPr>
        <w:endnoteRef/>
      </w:r>
      <w:r w:rsidRPr="00C6369F">
        <w:t xml:space="preserve"> </w:t>
      </w:r>
      <w:r w:rsidRPr="00563AC1">
        <w:t>Planning Bill 2013</w:t>
      </w:r>
      <w:r>
        <w:t xml:space="preserve"> (NSW)</w:t>
      </w:r>
      <w:r w:rsidRPr="00563AC1">
        <w:t>, cl. 9.6(3)</w:t>
      </w:r>
      <w:r>
        <w:t xml:space="preserve">. </w:t>
      </w:r>
      <w:r w:rsidRPr="00C6369F">
        <w:rPr>
          <w:lang w:val="en-US"/>
        </w:rPr>
        <w:t>For many major private projects, the NSW Planning Assessment Commission (</w:t>
      </w:r>
      <w:r w:rsidRPr="00C6369F">
        <w:rPr>
          <w:b/>
          <w:lang w:val="en-US"/>
        </w:rPr>
        <w:t>PAC</w:t>
      </w:r>
      <w:r w:rsidRPr="00C6369F">
        <w:rPr>
          <w:lang w:val="en-US"/>
        </w:rPr>
        <w:t>) will continue to determine development applications under an ongoing delegation from the current Planning Minister.</w:t>
      </w:r>
    </w:p>
  </w:endnote>
  <w:endnote w:id="89">
    <w:p w:rsidR="001B04B2" w:rsidRDefault="001B04B2" w:rsidP="00563AC1">
      <w:pPr>
        <w:pStyle w:val="EndnoteText"/>
      </w:pPr>
      <w:r>
        <w:rPr>
          <w:rStyle w:val="EndnoteReference"/>
        </w:rPr>
        <w:endnoteRef/>
      </w:r>
      <w:r>
        <w:t xml:space="preserve"> </w:t>
      </w:r>
      <w:r w:rsidRPr="009D3DCA">
        <w:t>For example, the NSW Department of Planning reported a 98% approval rate in the Major Development Monitor 2008-09 (119 of 121 DAs); and 2009-10 (138 of 140).</w:t>
      </w:r>
    </w:p>
  </w:endnote>
  <w:endnote w:id="90">
    <w:p w:rsidR="001B04B2" w:rsidRDefault="001B04B2">
      <w:pPr>
        <w:pStyle w:val="EndnoteText"/>
      </w:pPr>
      <w:r>
        <w:rPr>
          <w:rStyle w:val="EndnoteReference"/>
        </w:rPr>
        <w:endnoteRef/>
      </w:r>
      <w:r>
        <w:t xml:space="preserve"> </w:t>
      </w:r>
      <w:r w:rsidRPr="00563AC1">
        <w:t>Planning Administration Bill 2013</w:t>
      </w:r>
      <w:r>
        <w:t xml:space="preserve"> (NSW)</w:t>
      </w:r>
      <w:r w:rsidRPr="00563AC1">
        <w:t>, cl. 4.3</w:t>
      </w:r>
      <w:r>
        <w:t>.</w:t>
      </w:r>
    </w:p>
  </w:endnote>
  <w:endnote w:id="91">
    <w:p w:rsidR="001B04B2" w:rsidRPr="00C6369F" w:rsidRDefault="001B04B2" w:rsidP="00563AC1">
      <w:pPr>
        <w:pStyle w:val="EndnoteText"/>
        <w:rPr>
          <w:rFonts w:cs="Arial"/>
        </w:rPr>
      </w:pPr>
      <w:r w:rsidRPr="00C6369F">
        <w:rPr>
          <w:rStyle w:val="EndnoteReference"/>
          <w:rFonts w:cs="Arial"/>
        </w:rPr>
        <w:endnoteRef/>
      </w:r>
      <w:r w:rsidRPr="00C6369F">
        <w:rPr>
          <w:rFonts w:cs="Arial"/>
        </w:rPr>
        <w:t xml:space="preserve"> Other suggested categories include development that represents a significant departure from existing development standards; and development that is the subject of voluntary planning agreements. See ICAC, </w:t>
      </w:r>
      <w:r w:rsidRPr="00C6369F">
        <w:rPr>
          <w:rFonts w:cs="Arial"/>
          <w:i/>
        </w:rPr>
        <w:t>Anti-corruption safeguards and the NSW planning system</w:t>
      </w:r>
      <w:r w:rsidRPr="00C6369F">
        <w:rPr>
          <w:rFonts w:cs="Arial"/>
        </w:rPr>
        <w:t xml:space="preserve"> (February 2012), recommendation 15. </w:t>
      </w:r>
    </w:p>
  </w:endnote>
  <w:endnote w:id="92">
    <w:p w:rsidR="001B04B2" w:rsidRDefault="001B04B2" w:rsidP="00563AC1">
      <w:pPr>
        <w:pStyle w:val="EndnoteText"/>
      </w:pPr>
      <w:r w:rsidRPr="00C6369F">
        <w:rPr>
          <w:rStyle w:val="EndnoteReference"/>
        </w:rPr>
        <w:endnoteRef/>
      </w:r>
      <w:r w:rsidRPr="00C6369F">
        <w:t xml:space="preserve"> ICAC (NSW), </w:t>
      </w:r>
      <w:r w:rsidRPr="00C6369F">
        <w:rPr>
          <w:i/>
        </w:rPr>
        <w:t>Anti-corruption safeguards and the NSW planning system</w:t>
      </w:r>
      <w:r w:rsidRPr="00C6369F">
        <w:t xml:space="preserve"> (2012), p 22.</w:t>
      </w:r>
    </w:p>
  </w:endnote>
  <w:endnote w:id="93">
    <w:p w:rsidR="001B04B2" w:rsidRDefault="001B04B2">
      <w:pPr>
        <w:pStyle w:val="EndnoteText"/>
      </w:pPr>
      <w:r>
        <w:rPr>
          <w:rStyle w:val="EndnoteReference"/>
        </w:rPr>
        <w:endnoteRef/>
      </w:r>
      <w:r>
        <w:t xml:space="preserve"> </w:t>
      </w:r>
      <w:r w:rsidRPr="002C054B">
        <w:t xml:space="preserve">(1998) 193 CLR 72.  </w:t>
      </w:r>
    </w:p>
  </w:endnote>
  <w:endnote w:id="94">
    <w:p w:rsidR="001B04B2" w:rsidRDefault="001B04B2">
      <w:pPr>
        <w:pStyle w:val="EndnoteText"/>
      </w:pPr>
      <w:r>
        <w:rPr>
          <w:rStyle w:val="EndnoteReference"/>
        </w:rPr>
        <w:endnoteRef/>
      </w:r>
      <w:r>
        <w:t xml:space="preserve"> </w:t>
      </w:r>
      <w:r w:rsidRPr="00CA5501">
        <w:t xml:space="preserve">At 72.  </w:t>
      </w:r>
    </w:p>
  </w:endnote>
  <w:endnote w:id="95">
    <w:p w:rsidR="001B04B2" w:rsidRDefault="001B04B2">
      <w:pPr>
        <w:pStyle w:val="EndnoteText"/>
      </w:pPr>
      <w:r>
        <w:rPr>
          <w:rStyle w:val="EndnoteReference"/>
        </w:rPr>
        <w:endnoteRef/>
      </w:r>
      <w:r>
        <w:t xml:space="preserve"> Land and Environment Court Rules 2007 (NSW), reg. 3.7. </w:t>
      </w:r>
    </w:p>
  </w:endnote>
  <w:endnote w:id="96">
    <w:p w:rsidR="001B04B2" w:rsidRDefault="001B04B2">
      <w:pPr>
        <w:pStyle w:val="EndnoteText"/>
      </w:pPr>
      <w:r>
        <w:rPr>
          <w:rStyle w:val="EndnoteReference"/>
        </w:rPr>
        <w:endnoteRef/>
      </w:r>
      <w:r>
        <w:t xml:space="preserve"> Land and Environment Court Rules 2007 (NSW), reg. 4.2  </w:t>
      </w:r>
    </w:p>
  </w:endnote>
  <w:endnote w:id="97">
    <w:p w:rsidR="001B04B2" w:rsidRDefault="001B04B2">
      <w:pPr>
        <w:pStyle w:val="EndnoteText"/>
      </w:pPr>
      <w:r>
        <w:rPr>
          <w:rStyle w:val="EndnoteReference"/>
        </w:rPr>
        <w:endnoteRef/>
      </w:r>
      <w:r>
        <w:t xml:space="preserve"> [2010] NSWLEC 59.   </w:t>
      </w:r>
    </w:p>
  </w:endnote>
  <w:endnote w:id="98">
    <w:p w:rsidR="001B04B2" w:rsidRDefault="001B04B2">
      <w:pPr>
        <w:pStyle w:val="EndnoteText"/>
      </w:pPr>
      <w:r>
        <w:rPr>
          <w:rStyle w:val="EndnoteReference"/>
        </w:rPr>
        <w:endnoteRef/>
      </w:r>
      <w:r>
        <w:t xml:space="preserve"> Supreme Court Rules 2000 (Tas), reg. 828. </w:t>
      </w:r>
    </w:p>
  </w:endnote>
  <w:endnote w:id="99">
    <w:p w:rsidR="001B04B2" w:rsidRDefault="001B04B2">
      <w:pPr>
        <w:pStyle w:val="EndnoteText"/>
      </w:pPr>
      <w:r>
        <w:rPr>
          <w:rStyle w:val="EndnoteReference"/>
        </w:rPr>
        <w:endnoteRef/>
      </w:r>
      <w:r>
        <w:t xml:space="preserve"> For example, </w:t>
      </w:r>
      <w:r w:rsidRPr="00483CD0">
        <w:rPr>
          <w:i/>
        </w:rPr>
        <w:t xml:space="preserve">St Helens Area </w:t>
      </w:r>
      <w:proofErr w:type="spellStart"/>
      <w:r w:rsidRPr="00483CD0">
        <w:rPr>
          <w:i/>
        </w:rPr>
        <w:t>Landcare</w:t>
      </w:r>
      <w:proofErr w:type="spellEnd"/>
      <w:r w:rsidRPr="00483CD0">
        <w:rPr>
          <w:i/>
        </w:rPr>
        <w:t xml:space="preserve"> and </w:t>
      </w:r>
      <w:proofErr w:type="spellStart"/>
      <w:r w:rsidRPr="00483CD0">
        <w:rPr>
          <w:i/>
        </w:rPr>
        <w:t>Coastcare</w:t>
      </w:r>
      <w:proofErr w:type="spellEnd"/>
      <w:r w:rsidRPr="00483CD0">
        <w:rPr>
          <w:i/>
        </w:rPr>
        <w:t xml:space="preserve"> Group </w:t>
      </w:r>
      <w:proofErr w:type="spellStart"/>
      <w:r w:rsidRPr="00483CD0">
        <w:rPr>
          <w:i/>
        </w:rPr>
        <w:t>Inc</w:t>
      </w:r>
      <w:proofErr w:type="spellEnd"/>
      <w:r w:rsidRPr="00483CD0">
        <w:rPr>
          <w:i/>
        </w:rPr>
        <w:t xml:space="preserve"> v Break </w:t>
      </w:r>
      <w:proofErr w:type="spellStart"/>
      <w:r w:rsidRPr="00483CD0">
        <w:rPr>
          <w:i/>
        </w:rPr>
        <w:t>O’Day</w:t>
      </w:r>
      <w:proofErr w:type="spellEnd"/>
      <w:r w:rsidRPr="00483CD0">
        <w:rPr>
          <w:i/>
        </w:rPr>
        <w:t xml:space="preserve"> Council</w:t>
      </w:r>
      <w:r>
        <w:t xml:space="preserve"> [2005] TASSC 46. </w:t>
      </w:r>
    </w:p>
  </w:endnote>
  <w:endnote w:id="100">
    <w:p w:rsidR="001B04B2" w:rsidRDefault="001B04B2">
      <w:pPr>
        <w:pStyle w:val="EndnoteText"/>
      </w:pPr>
      <w:r>
        <w:rPr>
          <w:rStyle w:val="EndnoteReference"/>
        </w:rPr>
        <w:endnoteRef/>
      </w:r>
      <w:r>
        <w:t xml:space="preserve"> Supreme Court Rules 2000 (Tas), reg. 57. </w:t>
      </w:r>
    </w:p>
  </w:endnote>
  <w:endnote w:id="101">
    <w:p w:rsidR="001B04B2" w:rsidRDefault="001B04B2">
      <w:pPr>
        <w:pStyle w:val="EndnoteText"/>
      </w:pPr>
      <w:r>
        <w:rPr>
          <w:rStyle w:val="EndnoteReference"/>
        </w:rPr>
        <w:endnoteRef/>
      </w:r>
      <w:r>
        <w:t xml:space="preserve"> Supreme Court Act 1986 (Vic), s. 24; Supreme Court (General Civil Procedure </w:t>
      </w:r>
    </w:p>
  </w:endnote>
  <w:endnote w:id="102">
    <w:p w:rsidR="001B04B2" w:rsidRDefault="001B04B2">
      <w:pPr>
        <w:pStyle w:val="EndnoteText"/>
      </w:pPr>
      <w:r>
        <w:rPr>
          <w:rStyle w:val="EndnoteReference"/>
        </w:rPr>
        <w:endnoteRef/>
      </w:r>
      <w:r>
        <w:t xml:space="preserve"> [2013] VSCA 204. </w:t>
      </w:r>
    </w:p>
  </w:endnote>
  <w:endnote w:id="103">
    <w:p w:rsidR="00474C85" w:rsidRDefault="00474C85">
      <w:pPr>
        <w:pStyle w:val="EndnoteText"/>
      </w:pPr>
      <w:r>
        <w:rPr>
          <w:rStyle w:val="EndnoteReference"/>
        </w:rPr>
        <w:endnoteRef/>
      </w:r>
      <w:r>
        <w:t xml:space="preserve"> </w:t>
      </w:r>
      <w:r w:rsidRPr="00D92D16">
        <w:t xml:space="preserve">The three steps developed by Preston CJ in </w:t>
      </w:r>
      <w:r w:rsidRPr="00474C85">
        <w:rPr>
          <w:i/>
          <w:iCs/>
        </w:rPr>
        <w:t xml:space="preserve">Caroona Coal Action Group </w:t>
      </w:r>
      <w:proofErr w:type="spellStart"/>
      <w:r w:rsidRPr="00474C85">
        <w:rPr>
          <w:i/>
          <w:iCs/>
        </w:rPr>
        <w:t>Inc</w:t>
      </w:r>
      <w:proofErr w:type="spellEnd"/>
      <w:r w:rsidRPr="00474C85">
        <w:rPr>
          <w:i/>
          <w:iCs/>
        </w:rPr>
        <w:t xml:space="preserve"> v Coal Mines Australia Pty Limited and Or (No 3)</w:t>
      </w:r>
      <w:r w:rsidRPr="00D92D16">
        <w:rPr>
          <w:iCs/>
        </w:rPr>
        <w:t xml:space="preserve"> </w:t>
      </w:r>
      <w:r w:rsidRPr="00D92D16">
        <w:t>could be further built on for this purpose.</w:t>
      </w:r>
    </w:p>
  </w:endnote>
  <w:endnote w:id="104">
    <w:p w:rsidR="001B04B2" w:rsidRDefault="001B04B2" w:rsidP="0060002C">
      <w:pPr>
        <w:pStyle w:val="EndnoteText"/>
      </w:pPr>
      <w:r>
        <w:rPr>
          <w:rStyle w:val="EndnoteReference"/>
        </w:rPr>
        <w:endnoteRef/>
      </w:r>
      <w:r w:rsidRPr="00C32281">
        <w:t xml:space="preserve"> </w:t>
      </w:r>
      <w:r w:rsidRPr="00C32281">
        <w:rPr>
          <w:rFonts w:cs="Arial"/>
          <w:color w:val="000000"/>
        </w:rPr>
        <w:t xml:space="preserve">Preston, Brian (Chief Justice), </w:t>
      </w:r>
      <w:r w:rsidRPr="00C32281">
        <w:rPr>
          <w:rFonts w:cs="Arial"/>
          <w:i/>
          <w:color w:val="000000"/>
        </w:rPr>
        <w:t>Benefits of Judicial Specialization in Environmental law: The Land and Environment Court of New South Wales as a Case Study</w:t>
      </w:r>
      <w:r w:rsidRPr="00C32281">
        <w:rPr>
          <w:rFonts w:cs="Arial"/>
          <w:color w:val="000000"/>
        </w:rPr>
        <w:t xml:space="preserve">, 29 Pace </w:t>
      </w:r>
      <w:proofErr w:type="spellStart"/>
      <w:r w:rsidRPr="00C32281">
        <w:rPr>
          <w:rFonts w:cs="Arial"/>
          <w:color w:val="000000"/>
        </w:rPr>
        <w:t>Envtl</w:t>
      </w:r>
      <w:proofErr w:type="spellEnd"/>
      <w:r w:rsidRPr="00C32281">
        <w:rPr>
          <w:rFonts w:cs="Arial"/>
          <w:color w:val="000000"/>
        </w:rPr>
        <w:t>. L. Rev. 396 (2012)</w:t>
      </w:r>
      <w:r>
        <w:rPr>
          <w:rFonts w:cs="Arial"/>
          <w:color w:val="000000"/>
        </w:rPr>
        <w:t xml:space="preserve">, p. 11. </w:t>
      </w:r>
      <w:r>
        <w:rPr>
          <w:rFonts w:ascii="Arial" w:hAnsi="Arial" w:cs="Arial"/>
          <w:color w:val="000000"/>
          <w:sz w:val="22"/>
          <w:szCs w:val="22"/>
        </w:rPr>
        <w:t xml:space="preserve">  </w:t>
      </w:r>
    </w:p>
  </w:endnote>
  <w:endnote w:id="105">
    <w:p w:rsidR="001B04B2" w:rsidRDefault="001B04B2">
      <w:pPr>
        <w:pStyle w:val="EndnoteText"/>
      </w:pPr>
      <w:r w:rsidRPr="003A3D80">
        <w:rPr>
          <w:rStyle w:val="EndnoteReference"/>
          <w:i/>
        </w:rPr>
        <w:endnoteRef/>
      </w:r>
      <w:r w:rsidRPr="003A3D80">
        <w:rPr>
          <w:i/>
        </w:rPr>
        <w:t xml:space="preserve"> Land and Environment Court Act 1979,</w:t>
      </w:r>
      <w:r>
        <w:t xml:space="preserve"> ss. 7, 8. </w:t>
      </w:r>
    </w:p>
  </w:endnote>
  <w:endnote w:id="106">
    <w:p w:rsidR="001B04B2" w:rsidRDefault="001B04B2">
      <w:pPr>
        <w:pStyle w:val="EndnoteText"/>
      </w:pPr>
      <w:r>
        <w:rPr>
          <w:rStyle w:val="EndnoteReference"/>
        </w:rPr>
        <w:endnoteRef/>
      </w:r>
      <w:r>
        <w:t xml:space="preserve"> </w:t>
      </w:r>
      <w:r w:rsidRPr="003A3D80">
        <w:rPr>
          <w:i/>
        </w:rPr>
        <w:t>Land and Environment Court Act 1979</w:t>
      </w:r>
      <w:r>
        <w:t xml:space="preserve">, s. 12. </w:t>
      </w:r>
    </w:p>
  </w:endnote>
  <w:endnote w:id="107">
    <w:p w:rsidR="001B04B2" w:rsidRDefault="001B04B2">
      <w:pPr>
        <w:pStyle w:val="EndnoteText"/>
      </w:pPr>
      <w:r>
        <w:rPr>
          <w:rStyle w:val="EndnoteReference"/>
        </w:rPr>
        <w:endnoteRef/>
      </w:r>
      <w:r>
        <w:t xml:space="preserve"> </w:t>
      </w:r>
      <w:r w:rsidRPr="00EF2CFE">
        <w:rPr>
          <w:i/>
        </w:rPr>
        <w:t>Land and Environment Court Act 1979</w:t>
      </w:r>
      <w:r>
        <w:t xml:space="preserve">, s. 5.  </w:t>
      </w:r>
    </w:p>
  </w:endnote>
  <w:endnote w:id="108">
    <w:p w:rsidR="001B04B2" w:rsidRDefault="001B04B2">
      <w:pPr>
        <w:pStyle w:val="EndnoteText"/>
      </w:pPr>
      <w:r>
        <w:rPr>
          <w:rStyle w:val="EndnoteReference"/>
        </w:rPr>
        <w:endnoteRef/>
      </w:r>
      <w:r>
        <w:t xml:space="preserve"> </w:t>
      </w:r>
      <w:r w:rsidRPr="000D6FF6">
        <w:rPr>
          <w:i/>
        </w:rPr>
        <w:t>Land and Environment Court Act 1979</w:t>
      </w:r>
      <w:r>
        <w:t xml:space="preserve">, s. 8. </w:t>
      </w:r>
    </w:p>
  </w:endnote>
  <w:endnote w:id="109">
    <w:p w:rsidR="001B04B2" w:rsidRDefault="001B04B2">
      <w:pPr>
        <w:pStyle w:val="EndnoteText"/>
      </w:pPr>
      <w:r>
        <w:rPr>
          <w:rStyle w:val="EndnoteReference"/>
        </w:rPr>
        <w:endnoteRef/>
      </w:r>
      <w:r>
        <w:t xml:space="preserve"> Ibid, pp. 36-40. </w:t>
      </w:r>
    </w:p>
  </w:endnote>
  <w:endnote w:id="110">
    <w:p w:rsidR="001B04B2" w:rsidRDefault="001B04B2">
      <w:pPr>
        <w:pStyle w:val="EndnoteText"/>
      </w:pPr>
      <w:r>
        <w:rPr>
          <w:rStyle w:val="EndnoteReference"/>
        </w:rPr>
        <w:endnoteRef/>
      </w:r>
      <w:r>
        <w:t xml:space="preserve"> Established under the </w:t>
      </w:r>
      <w:r w:rsidRPr="00794C49">
        <w:rPr>
          <w:i/>
        </w:rPr>
        <w:t xml:space="preserve">Resource Management and Planning Appeal Tribunal Act </w:t>
      </w:r>
      <w:r>
        <w:rPr>
          <w:i/>
        </w:rPr>
        <w:t xml:space="preserve">1993 </w:t>
      </w:r>
      <w:r w:rsidRPr="00794C49">
        <w:t>(Tas)</w:t>
      </w:r>
      <w:r>
        <w:rPr>
          <w:i/>
        </w:rPr>
        <w:t xml:space="preserve">. </w:t>
      </w:r>
    </w:p>
  </w:endnote>
  <w:endnote w:id="111">
    <w:p w:rsidR="001B04B2" w:rsidRDefault="001B04B2">
      <w:pPr>
        <w:pStyle w:val="EndnoteText"/>
      </w:pPr>
      <w:r>
        <w:rPr>
          <w:rStyle w:val="EndnoteReference"/>
        </w:rPr>
        <w:endnoteRef/>
      </w:r>
      <w:r>
        <w:t xml:space="preserve"> </w:t>
      </w:r>
      <w:r w:rsidRPr="00794C49">
        <w:rPr>
          <w:i/>
        </w:rPr>
        <w:t>Resource Management and Planning Appeal Tribunal Act 1993</w:t>
      </w:r>
      <w:r>
        <w:t>, Part 3.</w:t>
      </w:r>
    </w:p>
  </w:endnote>
  <w:endnote w:id="112">
    <w:p w:rsidR="001B04B2" w:rsidRDefault="001B04B2">
      <w:pPr>
        <w:pStyle w:val="EndnoteText"/>
      </w:pPr>
      <w:r>
        <w:rPr>
          <w:rStyle w:val="EndnoteReference"/>
        </w:rPr>
        <w:endnoteRef/>
      </w:r>
      <w:r>
        <w:t xml:space="preserve"> Ibid, Schedule 1. </w:t>
      </w:r>
    </w:p>
  </w:endnote>
  <w:endnote w:id="113">
    <w:p w:rsidR="001B04B2" w:rsidRPr="003D3E28" w:rsidRDefault="001B04B2">
      <w:pPr>
        <w:pStyle w:val="EndnoteText"/>
        <w:rPr>
          <w:i/>
        </w:rPr>
      </w:pPr>
      <w:r>
        <w:rPr>
          <w:rStyle w:val="EndnoteReference"/>
        </w:rPr>
        <w:endnoteRef/>
      </w:r>
      <w:r>
        <w:t xml:space="preserve"> </w:t>
      </w:r>
      <w:r w:rsidRPr="003D3E28">
        <w:t xml:space="preserve">Including (but not limited to) the: </w:t>
      </w:r>
      <w:r w:rsidRPr="003D3E28">
        <w:rPr>
          <w:i/>
        </w:rPr>
        <w:t xml:space="preserve">Environment, Resources and Development Court Act 1993 </w:t>
      </w:r>
      <w:r w:rsidRPr="003D3E28">
        <w:t>(SA)</w:t>
      </w:r>
      <w:r w:rsidRPr="003D3E28">
        <w:rPr>
          <w:i/>
        </w:rPr>
        <w:t xml:space="preserve">; Development Act 1993 </w:t>
      </w:r>
      <w:r w:rsidRPr="003D3E28">
        <w:t>(SA)</w:t>
      </w:r>
      <w:r w:rsidRPr="003D3E28">
        <w:rPr>
          <w:i/>
        </w:rPr>
        <w:t xml:space="preserve">; Environment Protection Act 1993 </w:t>
      </w:r>
      <w:r w:rsidRPr="003D3E28">
        <w:t>(SA)</w:t>
      </w:r>
      <w:r w:rsidRPr="003D3E28">
        <w:rPr>
          <w:i/>
        </w:rPr>
        <w:t xml:space="preserve">; Natural Resources Management Act 2004 </w:t>
      </w:r>
      <w:r w:rsidRPr="003D3E28">
        <w:t>(SA)</w:t>
      </w:r>
      <w:r w:rsidRPr="003D3E28">
        <w:rPr>
          <w:i/>
        </w:rPr>
        <w:t xml:space="preserve">; Marine Parks Act 2007 </w:t>
      </w:r>
      <w:r w:rsidRPr="003D3E28">
        <w:t>(SA).</w:t>
      </w:r>
      <w:r w:rsidRPr="003D3E28">
        <w:rPr>
          <w:i/>
        </w:rPr>
        <w:t xml:space="preserve"> </w:t>
      </w:r>
    </w:p>
  </w:endnote>
  <w:endnote w:id="114">
    <w:p w:rsidR="001B04B2" w:rsidRPr="00A16B8C" w:rsidRDefault="001B04B2">
      <w:pPr>
        <w:pStyle w:val="EndnoteText"/>
        <w:rPr>
          <w:bCs/>
        </w:rPr>
      </w:pPr>
      <w:r w:rsidRPr="007B1E9A">
        <w:rPr>
          <w:rStyle w:val="EndnoteReference"/>
        </w:rPr>
        <w:endnoteRef/>
      </w:r>
      <w:r w:rsidRPr="007B1E9A">
        <w:t xml:space="preserve"> </w:t>
      </w:r>
      <w:r>
        <w:rPr>
          <w:bCs/>
          <w:i/>
        </w:rPr>
        <w:t>Environment, Resources a</w:t>
      </w:r>
      <w:r w:rsidRPr="007B1E9A">
        <w:rPr>
          <w:bCs/>
          <w:i/>
        </w:rPr>
        <w:t>nd Development Court Act 1993</w:t>
      </w:r>
      <w:r>
        <w:rPr>
          <w:bCs/>
        </w:rPr>
        <w:t xml:space="preserve"> (SA), s.</w:t>
      </w:r>
      <w:r w:rsidRPr="007B1E9A">
        <w:rPr>
          <w:bCs/>
        </w:rPr>
        <w:t xml:space="preserve"> 8</w:t>
      </w:r>
      <w:r>
        <w:rPr>
          <w:bCs/>
        </w:rPr>
        <w:t>.</w:t>
      </w:r>
      <w:r w:rsidRPr="007B1E9A">
        <w:rPr>
          <w:bCs/>
        </w:rPr>
        <w:t xml:space="preserve"> </w:t>
      </w:r>
    </w:p>
  </w:endnote>
  <w:endnote w:id="115">
    <w:p w:rsidR="001B04B2" w:rsidRDefault="001B04B2">
      <w:pPr>
        <w:pStyle w:val="EndnoteText"/>
      </w:pPr>
      <w:r>
        <w:rPr>
          <w:rStyle w:val="EndnoteReference"/>
        </w:rPr>
        <w:endnoteRef/>
      </w:r>
      <w:r>
        <w:t xml:space="preserve"> </w:t>
      </w:r>
      <w:r w:rsidRPr="00FC4D67">
        <w:rPr>
          <w:i/>
        </w:rPr>
        <w:t xml:space="preserve">Sustainable Planning Act 2009 </w:t>
      </w:r>
      <w:r>
        <w:t>(QLD), Part 7.</w:t>
      </w:r>
    </w:p>
  </w:endnote>
  <w:endnote w:id="116">
    <w:p w:rsidR="001B04B2" w:rsidRDefault="001B04B2">
      <w:pPr>
        <w:pStyle w:val="EndnoteText"/>
      </w:pPr>
      <w:r>
        <w:rPr>
          <w:rStyle w:val="EndnoteReference"/>
        </w:rPr>
        <w:endnoteRef/>
      </w:r>
      <w:r>
        <w:t xml:space="preserve"> </w:t>
      </w:r>
      <w:r w:rsidRPr="00FC4D67">
        <w:rPr>
          <w:i/>
        </w:rPr>
        <w:t xml:space="preserve">Sustainable Planning Act 2009 </w:t>
      </w:r>
      <w:r>
        <w:t xml:space="preserve">(QLD), s. 443. </w:t>
      </w:r>
    </w:p>
  </w:endnote>
  <w:endnote w:id="117">
    <w:p w:rsidR="001B04B2" w:rsidRDefault="001B04B2">
      <w:pPr>
        <w:pStyle w:val="EndnoteText"/>
      </w:pPr>
      <w:r>
        <w:rPr>
          <w:rStyle w:val="EndnoteReference"/>
        </w:rPr>
        <w:endnoteRef/>
      </w:r>
      <w:r>
        <w:t xml:space="preserve"> Established under the </w:t>
      </w:r>
      <w:r w:rsidRPr="00A16B8C">
        <w:rPr>
          <w:i/>
        </w:rPr>
        <w:t xml:space="preserve">Victorian Civil and Administrative Tribunal Act 1998 </w:t>
      </w:r>
      <w:r>
        <w:t xml:space="preserve">(Vic). </w:t>
      </w:r>
    </w:p>
  </w:endnote>
  <w:endnote w:id="118">
    <w:p w:rsidR="001B04B2" w:rsidRDefault="001B04B2">
      <w:pPr>
        <w:pStyle w:val="EndnoteText"/>
      </w:pPr>
      <w:r>
        <w:rPr>
          <w:rStyle w:val="EndnoteReference"/>
        </w:rPr>
        <w:endnoteRef/>
      </w:r>
      <w:r>
        <w:t xml:space="preserve"> For example the </w:t>
      </w:r>
      <w:r w:rsidRPr="000005A1">
        <w:rPr>
          <w:i/>
        </w:rPr>
        <w:t>Uniform Civil Procedure Rules 2005</w:t>
      </w:r>
      <w:r>
        <w:t xml:space="preserve"> (NSW) do not include provisions which provide the court with discretion to waive or cap photocopying fees for public interest litigants. </w:t>
      </w:r>
    </w:p>
  </w:endnote>
  <w:endnote w:id="119">
    <w:p w:rsidR="001B04B2" w:rsidRDefault="001B04B2">
      <w:pPr>
        <w:pStyle w:val="EndnoteText"/>
      </w:pPr>
      <w:r>
        <w:rPr>
          <w:rStyle w:val="EndnoteReference"/>
        </w:rPr>
        <w:endnoteRef/>
      </w:r>
      <w:r>
        <w:t xml:space="preserve"> Though this was negotiated down to $2,500, suggesting the initial fee was not commensurate with actual photocopying costs. In any case and based on our experience, $2,500 is a significant amount for a public interest litigant. </w:t>
      </w:r>
    </w:p>
  </w:endnote>
  <w:endnote w:id="120">
    <w:p w:rsidR="001B04B2" w:rsidRDefault="001B04B2">
      <w:pPr>
        <w:pStyle w:val="EndnoteText"/>
      </w:pPr>
      <w:r>
        <w:rPr>
          <w:rStyle w:val="EndnoteReference"/>
        </w:rPr>
        <w:endnoteRef/>
      </w:r>
      <w:r>
        <w:t xml:space="preserve"> Planning and Environment Court (QLD), Practice Note Direction No. 10 of 2013, ‘Use of technology for the efficient management of documents in litigation.’ </w:t>
      </w:r>
    </w:p>
  </w:endnote>
  <w:endnote w:id="121">
    <w:p w:rsidR="001B04B2" w:rsidRDefault="001B04B2">
      <w:pPr>
        <w:pStyle w:val="EndnoteText"/>
      </w:pPr>
      <w:r>
        <w:rPr>
          <w:rStyle w:val="EndnoteReference"/>
        </w:rPr>
        <w:endnoteRef/>
      </w:r>
      <w:r>
        <w:t xml:space="preserve"> </w:t>
      </w:r>
      <w:r w:rsidRPr="00331F7B">
        <w:rPr>
          <w:i/>
        </w:rPr>
        <w:t>Freedom of Information Act 1989</w:t>
      </w:r>
      <w:r w:rsidRPr="00331F7B">
        <w:t xml:space="preserve"> (ACT); </w:t>
      </w:r>
      <w:r w:rsidRPr="00331F7B">
        <w:rPr>
          <w:i/>
        </w:rPr>
        <w:t xml:space="preserve">Government Information (Public Access) Act 2009 </w:t>
      </w:r>
      <w:r w:rsidRPr="00331F7B">
        <w:t xml:space="preserve">(NSW); </w:t>
      </w:r>
      <w:r w:rsidRPr="00331F7B">
        <w:rPr>
          <w:i/>
        </w:rPr>
        <w:t>Information Act 2003</w:t>
      </w:r>
      <w:r w:rsidRPr="00331F7B">
        <w:t xml:space="preserve"> (NT); </w:t>
      </w:r>
      <w:r w:rsidRPr="00331F7B">
        <w:rPr>
          <w:i/>
        </w:rPr>
        <w:t>Right to Information Act 2009</w:t>
      </w:r>
      <w:r w:rsidRPr="00331F7B">
        <w:t xml:space="preserve"> (QLD); </w:t>
      </w:r>
      <w:r w:rsidRPr="00331F7B">
        <w:rPr>
          <w:i/>
        </w:rPr>
        <w:t>Freedom of Information Act 1991</w:t>
      </w:r>
      <w:r w:rsidRPr="00331F7B">
        <w:t xml:space="preserve"> (SA); </w:t>
      </w:r>
      <w:r w:rsidRPr="00331F7B">
        <w:rPr>
          <w:i/>
        </w:rPr>
        <w:t>Right to Information Act 2009</w:t>
      </w:r>
      <w:r w:rsidRPr="00331F7B">
        <w:t xml:space="preserve"> (Tas); </w:t>
      </w:r>
      <w:r w:rsidRPr="00331F7B">
        <w:rPr>
          <w:i/>
        </w:rPr>
        <w:t>Freedom of Information Act 1982</w:t>
      </w:r>
      <w:r w:rsidRPr="00331F7B">
        <w:t xml:space="preserve"> (Vic</w:t>
      </w:r>
      <w:r w:rsidRPr="00331F7B">
        <w:rPr>
          <w:i/>
        </w:rPr>
        <w:t>); Freedom of Information Act 1992</w:t>
      </w:r>
      <w:r w:rsidRPr="00331F7B">
        <w:t xml:space="preserve"> (WA). </w:t>
      </w:r>
      <w:r>
        <w:t xml:space="preserve"> </w:t>
      </w:r>
    </w:p>
  </w:endnote>
  <w:endnote w:id="122">
    <w:p w:rsidR="009844A9" w:rsidRDefault="009844A9">
      <w:pPr>
        <w:pStyle w:val="EndnoteText"/>
      </w:pPr>
      <w:r>
        <w:rPr>
          <w:rStyle w:val="EndnoteReference"/>
        </w:rPr>
        <w:endnoteRef/>
      </w:r>
      <w:r>
        <w:t xml:space="preserve"> Available at: </w:t>
      </w:r>
      <w:hyperlink r:id="rId4" w:history="1">
        <w:r w:rsidRPr="003F0810">
          <w:rPr>
            <w:rStyle w:val="Hyperlink"/>
          </w:rPr>
          <w:t>http://edo.org.au/policy/121207-Cth-FOI-Act-review-ANEDO-submission-FINAL.docx</w:t>
        </w:r>
      </w:hyperlink>
      <w:r>
        <w:t>.</w:t>
      </w:r>
    </w:p>
  </w:endnote>
  <w:endnote w:id="123">
    <w:p w:rsidR="001B04B2" w:rsidRDefault="001B04B2" w:rsidP="0068433C">
      <w:pPr>
        <w:pStyle w:val="EndnoteText"/>
      </w:pPr>
      <w:r>
        <w:rPr>
          <w:rStyle w:val="EndnoteReference"/>
        </w:rPr>
        <w:endnoteRef/>
      </w:r>
      <w:r w:rsidRPr="00FA0952">
        <w:rPr>
          <w:sz w:val="22"/>
        </w:rPr>
        <w:t xml:space="preserve">[2013] </w:t>
      </w:r>
      <w:proofErr w:type="spellStart"/>
      <w:r w:rsidRPr="00FA0952">
        <w:rPr>
          <w:sz w:val="22"/>
        </w:rPr>
        <w:t>WAICmr</w:t>
      </w:r>
      <w:proofErr w:type="spellEnd"/>
      <w:r w:rsidRPr="00FA0952">
        <w:rPr>
          <w:sz w:val="22"/>
        </w:rPr>
        <w:t xml:space="preserve"> 1 (22 January 2013).</w:t>
      </w:r>
    </w:p>
  </w:endnote>
  <w:endnote w:id="124">
    <w:p w:rsidR="001B04B2" w:rsidRPr="0005733D" w:rsidRDefault="001B04B2" w:rsidP="0068433C">
      <w:pPr>
        <w:pStyle w:val="EndnoteText"/>
      </w:pPr>
      <w:r>
        <w:rPr>
          <w:rStyle w:val="EndnoteReference"/>
        </w:rPr>
        <w:endnoteRef/>
      </w:r>
      <w:r>
        <w:t xml:space="preserve"> </w:t>
      </w:r>
      <w:r>
        <w:rPr>
          <w:i/>
        </w:rPr>
        <w:t>Freedom of Information Act 1992</w:t>
      </w:r>
      <w:r>
        <w:t xml:space="preserve"> (WA), Schedule 1, cl 4(2).</w:t>
      </w:r>
    </w:p>
  </w:endnote>
  <w:endnote w:id="125">
    <w:p w:rsidR="001B04B2" w:rsidRDefault="001B04B2" w:rsidP="0068433C">
      <w:pPr>
        <w:pStyle w:val="EndnoteText"/>
      </w:pPr>
      <w:r>
        <w:rPr>
          <w:rStyle w:val="EndnoteReference"/>
        </w:rPr>
        <w:endnoteRef/>
      </w:r>
      <w:r>
        <w:t xml:space="preserve"> </w:t>
      </w:r>
      <w:r>
        <w:rPr>
          <w:i/>
        </w:rPr>
        <w:t>Freedom of Information Act 1992</w:t>
      </w:r>
      <w:r>
        <w:t xml:space="preserve"> (WA), Schedule 1, cl 4(3).</w:t>
      </w:r>
    </w:p>
  </w:endnote>
  <w:endnote w:id="126">
    <w:p w:rsidR="001B04B2" w:rsidRDefault="001B04B2">
      <w:pPr>
        <w:pStyle w:val="EndnoteText"/>
      </w:pPr>
      <w:r>
        <w:rPr>
          <w:rStyle w:val="EndnoteReference"/>
        </w:rPr>
        <w:endnoteRef/>
      </w:r>
      <w:r>
        <w:t xml:space="preserve"> See for example the </w:t>
      </w:r>
      <w:r w:rsidRPr="00B92D0B">
        <w:rPr>
          <w:i/>
        </w:rPr>
        <w:t>Uniform Civil Procedure Rules 2005</w:t>
      </w:r>
      <w:r>
        <w:t xml:space="preserve"> (NSW), reg. 59.10. </w:t>
      </w:r>
    </w:p>
  </w:endnote>
  <w:endnote w:id="127">
    <w:p w:rsidR="001B04B2" w:rsidRDefault="001B04B2">
      <w:pPr>
        <w:pStyle w:val="EndnoteText"/>
      </w:pPr>
      <w:r>
        <w:rPr>
          <w:rStyle w:val="EndnoteReference"/>
        </w:rPr>
        <w:endnoteRef/>
      </w:r>
      <w:r>
        <w:t xml:space="preserve"> </w:t>
      </w:r>
      <w:r w:rsidRPr="00E31E09">
        <w:rPr>
          <w:i/>
        </w:rPr>
        <w:t xml:space="preserve">Government Information (Public Access) Act 2009 </w:t>
      </w:r>
      <w:r>
        <w:t>(NSW), ss. 57 (1), (2).</w:t>
      </w:r>
    </w:p>
  </w:endnote>
  <w:endnote w:id="128">
    <w:p w:rsidR="001B04B2" w:rsidRDefault="001B04B2">
      <w:pPr>
        <w:pStyle w:val="EndnoteText"/>
      </w:pPr>
      <w:r>
        <w:rPr>
          <w:rStyle w:val="EndnoteReference"/>
        </w:rPr>
        <w:endnoteRef/>
      </w:r>
      <w:r>
        <w:t xml:space="preserve"> </w:t>
      </w:r>
      <w:r w:rsidRPr="00E31E09">
        <w:rPr>
          <w:i/>
        </w:rPr>
        <w:t xml:space="preserve">Government Information (Public Access) Act 2009 </w:t>
      </w:r>
      <w:r>
        <w:t>(NSW), s. 57 (3).</w:t>
      </w:r>
    </w:p>
  </w:endnote>
  <w:endnote w:id="129">
    <w:p w:rsidR="001B04B2" w:rsidRDefault="001B04B2">
      <w:pPr>
        <w:pStyle w:val="EndnoteText"/>
      </w:pPr>
      <w:r>
        <w:rPr>
          <w:rStyle w:val="EndnoteReference"/>
        </w:rPr>
        <w:endnoteRef/>
      </w:r>
      <w:r>
        <w:t xml:space="preserve"> </w:t>
      </w:r>
      <w:r w:rsidRPr="00E31E09">
        <w:rPr>
          <w:i/>
        </w:rPr>
        <w:t xml:space="preserve">Government Information (Public Access) Act 2009 </w:t>
      </w:r>
      <w:r>
        <w:t xml:space="preserve">(NSW), Division 2 of Part 4. </w:t>
      </w:r>
    </w:p>
  </w:endnote>
  <w:endnote w:id="130">
    <w:p w:rsidR="001B04B2" w:rsidRDefault="001B04B2">
      <w:pPr>
        <w:pStyle w:val="EndnoteText"/>
      </w:pPr>
      <w:r>
        <w:rPr>
          <w:rStyle w:val="EndnoteReference"/>
        </w:rPr>
        <w:endnoteRef/>
      </w:r>
      <w:r>
        <w:t xml:space="preserve"> </w:t>
      </w:r>
      <w:r w:rsidRPr="00E31E09">
        <w:rPr>
          <w:i/>
        </w:rPr>
        <w:t xml:space="preserve">Government Information (Public Access) Act 2009 </w:t>
      </w:r>
      <w:r>
        <w:t>(NSW), Division 3 of Part 4.</w:t>
      </w:r>
    </w:p>
  </w:endnote>
  <w:endnote w:id="131">
    <w:p w:rsidR="001B04B2" w:rsidRPr="00E31E09" w:rsidRDefault="001B04B2">
      <w:pPr>
        <w:pStyle w:val="EndnoteText"/>
        <w:rPr>
          <w:b/>
        </w:rPr>
      </w:pPr>
      <w:r>
        <w:rPr>
          <w:rStyle w:val="EndnoteReference"/>
        </w:rPr>
        <w:endnoteRef/>
      </w:r>
      <w:r>
        <w:t xml:space="preserve"> </w:t>
      </w:r>
      <w:r w:rsidRPr="00E31E09">
        <w:rPr>
          <w:i/>
        </w:rPr>
        <w:t xml:space="preserve">Government Information (Public Access) Act 2009 </w:t>
      </w:r>
      <w:r>
        <w:t xml:space="preserve">(NSW), Division 4 of Part 4. </w:t>
      </w:r>
    </w:p>
  </w:endnote>
  <w:endnote w:id="132">
    <w:p w:rsidR="001B04B2" w:rsidRDefault="001B04B2">
      <w:pPr>
        <w:pStyle w:val="EndnoteText"/>
      </w:pPr>
      <w:r>
        <w:rPr>
          <w:rStyle w:val="EndnoteReference"/>
        </w:rPr>
        <w:endnoteRef/>
      </w:r>
      <w:r>
        <w:t xml:space="preserve"> </w:t>
      </w:r>
      <w:r w:rsidRPr="002951D5">
        <w:rPr>
          <w:bCs/>
          <w:i/>
        </w:rPr>
        <w:t>Government Information (Public Access) Act 2009</w:t>
      </w:r>
      <w:r>
        <w:rPr>
          <w:vertAlign w:val="superscript"/>
        </w:rPr>
        <w:t xml:space="preserve"> </w:t>
      </w:r>
      <w:r>
        <w:t xml:space="preserve">(NSW), Part 3; </w:t>
      </w:r>
      <w:r w:rsidRPr="002951D5">
        <w:rPr>
          <w:bCs/>
          <w:i/>
        </w:rPr>
        <w:t>Government</w:t>
      </w:r>
      <w:r>
        <w:rPr>
          <w:bCs/>
          <w:i/>
        </w:rPr>
        <w:t xml:space="preserve"> Information (Public Access) Regulations</w:t>
      </w:r>
      <w:r w:rsidRPr="002951D5">
        <w:rPr>
          <w:bCs/>
          <w:i/>
        </w:rPr>
        <w:t xml:space="preserve"> 2009</w:t>
      </w:r>
      <w:r>
        <w:rPr>
          <w:vertAlign w:val="superscript"/>
        </w:rPr>
        <w:t xml:space="preserve"> </w:t>
      </w:r>
      <w:r>
        <w:t xml:space="preserve">(NSW), Schedule 1, cl. 3 (1) (a). We further note that EISs are not included Schedule 1 of the Act, which outlines documents for which there is an overriding public interest against disclosure. </w:t>
      </w:r>
    </w:p>
  </w:endnote>
  <w:endnote w:id="133">
    <w:p w:rsidR="001B04B2" w:rsidRPr="00742B1B" w:rsidRDefault="001B04B2" w:rsidP="00EC5F75">
      <w:pPr>
        <w:pStyle w:val="EndnoteText"/>
      </w:pPr>
      <w:r>
        <w:rPr>
          <w:rStyle w:val="EndnoteReference"/>
        </w:rPr>
        <w:endnoteRef/>
      </w:r>
      <w:r>
        <w:t xml:space="preserve"> </w:t>
      </w:r>
      <w:r>
        <w:rPr>
          <w:i/>
        </w:rPr>
        <w:t>Copyright Act 1968</w:t>
      </w:r>
      <w:r>
        <w:t xml:space="preserve"> (Cth) s 40.</w:t>
      </w:r>
    </w:p>
  </w:endnote>
  <w:endnote w:id="134">
    <w:p w:rsidR="001B04B2" w:rsidRDefault="001B04B2">
      <w:pPr>
        <w:pStyle w:val="EndnoteText"/>
      </w:pPr>
      <w:r>
        <w:rPr>
          <w:rStyle w:val="EndnoteReference"/>
        </w:rPr>
        <w:endnoteRef/>
      </w:r>
      <w:r>
        <w:t xml:space="preserve"> See for example, </w:t>
      </w:r>
      <w:r w:rsidRPr="00790F83">
        <w:rPr>
          <w:i/>
        </w:rPr>
        <w:t xml:space="preserve">Government Information (Public Access) Act 2009 </w:t>
      </w:r>
      <w:r>
        <w:t xml:space="preserve">(NSW), s. 127. </w:t>
      </w:r>
    </w:p>
  </w:endnote>
  <w:endnote w:id="135">
    <w:p w:rsidR="001B04B2" w:rsidRDefault="001B04B2">
      <w:pPr>
        <w:pStyle w:val="EndnoteText"/>
      </w:pPr>
      <w:r>
        <w:rPr>
          <w:rStyle w:val="EndnoteReference"/>
        </w:rPr>
        <w:endnoteRef/>
      </w:r>
      <w:r>
        <w:t xml:space="preserve"> Australian Government (prepared by Dr. Allan Hawke), ‘Review of Freedom of Information Act 1982 and Australian Information Commissioner Act 2010, 2013’, Recommendation 25 (a).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4B2" w:rsidRDefault="001B04B2" w:rsidP="00E521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04B2" w:rsidRDefault="001B04B2" w:rsidP="00D23D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4B2" w:rsidRPr="00A037A5" w:rsidRDefault="001B04B2" w:rsidP="00E521EB">
    <w:pPr>
      <w:pStyle w:val="Footer"/>
      <w:framePr w:wrap="around" w:vAnchor="text" w:hAnchor="margin" w:xAlign="right" w:y="1"/>
      <w:rPr>
        <w:rStyle w:val="PageNumber"/>
        <w:rFonts w:ascii="Arial" w:hAnsi="Arial" w:cs="Arial"/>
        <w:sz w:val="22"/>
        <w:szCs w:val="22"/>
      </w:rPr>
    </w:pPr>
    <w:r w:rsidRPr="00A037A5">
      <w:rPr>
        <w:rStyle w:val="PageNumber"/>
        <w:rFonts w:ascii="Arial" w:hAnsi="Arial" w:cs="Arial"/>
        <w:sz w:val="22"/>
        <w:szCs w:val="22"/>
      </w:rPr>
      <w:fldChar w:fldCharType="begin"/>
    </w:r>
    <w:r w:rsidRPr="00A037A5">
      <w:rPr>
        <w:rStyle w:val="PageNumber"/>
        <w:rFonts w:ascii="Arial" w:hAnsi="Arial" w:cs="Arial"/>
        <w:sz w:val="22"/>
        <w:szCs w:val="22"/>
      </w:rPr>
      <w:instrText xml:space="preserve">PAGE  </w:instrText>
    </w:r>
    <w:r w:rsidRPr="00A037A5">
      <w:rPr>
        <w:rStyle w:val="PageNumber"/>
        <w:rFonts w:ascii="Arial" w:hAnsi="Arial" w:cs="Arial"/>
        <w:sz w:val="22"/>
        <w:szCs w:val="22"/>
      </w:rPr>
      <w:fldChar w:fldCharType="separate"/>
    </w:r>
    <w:r w:rsidR="00EF39F3">
      <w:rPr>
        <w:rStyle w:val="PageNumber"/>
        <w:rFonts w:ascii="Arial" w:hAnsi="Arial" w:cs="Arial"/>
        <w:noProof/>
        <w:sz w:val="22"/>
        <w:szCs w:val="22"/>
      </w:rPr>
      <w:t>26</w:t>
    </w:r>
    <w:r w:rsidRPr="00A037A5">
      <w:rPr>
        <w:rStyle w:val="PageNumber"/>
        <w:rFonts w:ascii="Arial" w:hAnsi="Arial" w:cs="Arial"/>
        <w:sz w:val="22"/>
        <w:szCs w:val="22"/>
      </w:rPr>
      <w:fldChar w:fldCharType="end"/>
    </w:r>
  </w:p>
  <w:p w:rsidR="001B04B2" w:rsidRDefault="001B04B2" w:rsidP="00D23DD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4B2" w:rsidRDefault="001B04B2">
      <w:r>
        <w:separator/>
      </w:r>
    </w:p>
  </w:footnote>
  <w:footnote w:type="continuationSeparator" w:id="0">
    <w:p w:rsidR="001B04B2" w:rsidRDefault="001B0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4B2" w:rsidRDefault="001B04B2" w:rsidP="006F1D9F">
    <w:pPr>
      <w:pStyle w:val="Header"/>
      <w:jc w:val="right"/>
    </w:pPr>
    <w:r>
      <w:rPr>
        <w:noProof/>
        <w:lang w:eastAsia="en-AU"/>
      </w:rPr>
      <w:drawing>
        <wp:inline distT="0" distB="0" distL="0" distR="0" wp14:anchorId="1C8A410B" wp14:editId="7EEE06CD">
          <wp:extent cx="1695450" cy="1581150"/>
          <wp:effectExtent l="0" t="0" r="0" b="0"/>
          <wp:docPr id="1" name="Picture 1" descr="ANEDO logo +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EDO logo +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1581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7A4"/>
    <w:multiLevelType w:val="hybridMultilevel"/>
    <w:tmpl w:val="C694D8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288409C"/>
    <w:multiLevelType w:val="hybridMultilevel"/>
    <w:tmpl w:val="FB2EAF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48D465C"/>
    <w:multiLevelType w:val="hybridMultilevel"/>
    <w:tmpl w:val="A21C7B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6691959"/>
    <w:multiLevelType w:val="hybridMultilevel"/>
    <w:tmpl w:val="45180A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09733428"/>
    <w:multiLevelType w:val="hybridMultilevel"/>
    <w:tmpl w:val="45180A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0FC943F0"/>
    <w:multiLevelType w:val="hybridMultilevel"/>
    <w:tmpl w:val="CCB02D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37075E5"/>
    <w:multiLevelType w:val="hybridMultilevel"/>
    <w:tmpl w:val="1936781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A4F0A41"/>
    <w:multiLevelType w:val="hybridMultilevel"/>
    <w:tmpl w:val="01D0D7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CBE6D37"/>
    <w:multiLevelType w:val="hybridMultilevel"/>
    <w:tmpl w:val="4DC6FA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32DE3F26"/>
    <w:multiLevelType w:val="hybridMultilevel"/>
    <w:tmpl w:val="C47665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43E14CAB"/>
    <w:multiLevelType w:val="hybridMultilevel"/>
    <w:tmpl w:val="F3000D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443B4549"/>
    <w:multiLevelType w:val="hybridMultilevel"/>
    <w:tmpl w:val="4262175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465D23D4"/>
    <w:multiLevelType w:val="hybridMultilevel"/>
    <w:tmpl w:val="CCB02D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4CA77757"/>
    <w:multiLevelType w:val="hybridMultilevel"/>
    <w:tmpl w:val="1A4E6E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4DE46C8C"/>
    <w:multiLevelType w:val="hybridMultilevel"/>
    <w:tmpl w:val="A21C7B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4EF00487"/>
    <w:multiLevelType w:val="hybridMultilevel"/>
    <w:tmpl w:val="C47665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4F5250C3"/>
    <w:multiLevelType w:val="hybridMultilevel"/>
    <w:tmpl w:val="FB2EAF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513A6484"/>
    <w:multiLevelType w:val="hybridMultilevel"/>
    <w:tmpl w:val="B80C43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524A2BAC"/>
    <w:multiLevelType w:val="hybridMultilevel"/>
    <w:tmpl w:val="64F808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54382D6E"/>
    <w:multiLevelType w:val="singleLevel"/>
    <w:tmpl w:val="5E7C151C"/>
    <w:lvl w:ilvl="0">
      <w:numFmt w:val="bullet"/>
      <w:pStyle w:val="ListBullet"/>
      <w:lvlText w:val=""/>
      <w:lvlJc w:val="left"/>
      <w:pPr>
        <w:tabs>
          <w:tab w:val="num" w:pos="340"/>
        </w:tabs>
        <w:ind w:left="340" w:hanging="340"/>
      </w:pPr>
      <w:rPr>
        <w:rFonts w:ascii="Symbol" w:hAnsi="Symbol" w:hint="default"/>
        <w:sz w:val="18"/>
      </w:rPr>
    </w:lvl>
  </w:abstractNum>
  <w:abstractNum w:abstractNumId="20">
    <w:nsid w:val="57726B9F"/>
    <w:multiLevelType w:val="hybridMultilevel"/>
    <w:tmpl w:val="304AE6F4"/>
    <w:lvl w:ilvl="0" w:tplc="8722A13E">
      <w:start w:val="1"/>
      <w:numFmt w:val="decimal"/>
      <w:lvlText w:val="%1."/>
      <w:lvlJc w:val="left"/>
      <w:pPr>
        <w:ind w:left="360" w:hanging="360"/>
      </w:pPr>
      <w:rPr>
        <w:rFonts w:cs="Arial"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598B5F75"/>
    <w:multiLevelType w:val="hybridMultilevel"/>
    <w:tmpl w:val="D29428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nsid w:val="59B40F0E"/>
    <w:multiLevelType w:val="hybridMultilevel"/>
    <w:tmpl w:val="F94C641A"/>
    <w:lvl w:ilvl="0" w:tplc="05CEF66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59B95267"/>
    <w:multiLevelType w:val="hybridMultilevel"/>
    <w:tmpl w:val="FB2EAF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5E3B3722"/>
    <w:multiLevelType w:val="hybridMultilevel"/>
    <w:tmpl w:val="B468914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5EE30624"/>
    <w:multiLevelType w:val="hybridMultilevel"/>
    <w:tmpl w:val="78C23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57F7BCF"/>
    <w:multiLevelType w:val="hybridMultilevel"/>
    <w:tmpl w:val="1FA43C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67E34AF8"/>
    <w:multiLevelType w:val="hybridMultilevel"/>
    <w:tmpl w:val="A20634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E672B37"/>
    <w:multiLevelType w:val="hybridMultilevel"/>
    <w:tmpl w:val="11A08F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70D86902"/>
    <w:multiLevelType w:val="hybridMultilevel"/>
    <w:tmpl w:val="FB2EAF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7B5C5D30"/>
    <w:multiLevelType w:val="hybridMultilevel"/>
    <w:tmpl w:val="7D4AF79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7"/>
  </w:num>
  <w:num w:numId="2">
    <w:abstractNumId w:val="21"/>
  </w:num>
  <w:num w:numId="3">
    <w:abstractNumId w:val="20"/>
  </w:num>
  <w:num w:numId="4">
    <w:abstractNumId w:val="22"/>
  </w:num>
  <w:num w:numId="5">
    <w:abstractNumId w:val="2"/>
  </w:num>
  <w:num w:numId="6">
    <w:abstractNumId w:val="13"/>
  </w:num>
  <w:num w:numId="7">
    <w:abstractNumId w:val="15"/>
  </w:num>
  <w:num w:numId="8">
    <w:abstractNumId w:val="5"/>
  </w:num>
  <w:num w:numId="9">
    <w:abstractNumId w:val="11"/>
  </w:num>
  <w:num w:numId="10">
    <w:abstractNumId w:val="30"/>
  </w:num>
  <w:num w:numId="11">
    <w:abstractNumId w:val="6"/>
  </w:num>
  <w:num w:numId="12">
    <w:abstractNumId w:val="28"/>
  </w:num>
  <w:num w:numId="13">
    <w:abstractNumId w:val="8"/>
  </w:num>
  <w:num w:numId="14">
    <w:abstractNumId w:val="0"/>
  </w:num>
  <w:num w:numId="15">
    <w:abstractNumId w:val="26"/>
  </w:num>
  <w:num w:numId="16">
    <w:abstractNumId w:val="3"/>
  </w:num>
  <w:num w:numId="17">
    <w:abstractNumId w:val="25"/>
  </w:num>
  <w:num w:numId="18">
    <w:abstractNumId w:val="17"/>
  </w:num>
  <w:num w:numId="19">
    <w:abstractNumId w:val="23"/>
  </w:num>
  <w:num w:numId="20">
    <w:abstractNumId w:val="24"/>
  </w:num>
  <w:num w:numId="21">
    <w:abstractNumId w:val="29"/>
  </w:num>
  <w:num w:numId="22">
    <w:abstractNumId w:val="22"/>
  </w:num>
  <w:num w:numId="23">
    <w:abstractNumId w:val="10"/>
  </w:num>
  <w:num w:numId="24">
    <w:abstractNumId w:val="18"/>
  </w:num>
  <w:num w:numId="25">
    <w:abstractNumId w:val="4"/>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4"/>
  </w:num>
  <w:num w:numId="34">
    <w:abstractNumId w:val="12"/>
  </w:num>
  <w:num w:numId="35">
    <w:abstractNumId w:val="16"/>
  </w:num>
  <w:num w:numId="36">
    <w:abstractNumId w:val="1"/>
  </w:num>
  <w:num w:numId="37">
    <w:abstractNumId w:val="7"/>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915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837"/>
    <w:rsid w:val="00000292"/>
    <w:rsid w:val="000005A1"/>
    <w:rsid w:val="00004261"/>
    <w:rsid w:val="00014614"/>
    <w:rsid w:val="00021080"/>
    <w:rsid w:val="0003218F"/>
    <w:rsid w:val="00041325"/>
    <w:rsid w:val="0004411D"/>
    <w:rsid w:val="000446F4"/>
    <w:rsid w:val="00051330"/>
    <w:rsid w:val="00054C6A"/>
    <w:rsid w:val="00057285"/>
    <w:rsid w:val="00057785"/>
    <w:rsid w:val="00060174"/>
    <w:rsid w:val="0006358E"/>
    <w:rsid w:val="00082C3A"/>
    <w:rsid w:val="00087C35"/>
    <w:rsid w:val="000945AB"/>
    <w:rsid w:val="000A3DAA"/>
    <w:rsid w:val="000B108D"/>
    <w:rsid w:val="000B1564"/>
    <w:rsid w:val="000C0263"/>
    <w:rsid w:val="000C0590"/>
    <w:rsid w:val="000C2921"/>
    <w:rsid w:val="000C7621"/>
    <w:rsid w:val="000D104E"/>
    <w:rsid w:val="000D6BF7"/>
    <w:rsid w:val="000D6FF6"/>
    <w:rsid w:val="000D7D34"/>
    <w:rsid w:val="000E0086"/>
    <w:rsid w:val="000E1AD8"/>
    <w:rsid w:val="000E2C8F"/>
    <w:rsid w:val="000F1B3C"/>
    <w:rsid w:val="000F319B"/>
    <w:rsid w:val="000F5F37"/>
    <w:rsid w:val="000F69A7"/>
    <w:rsid w:val="00101781"/>
    <w:rsid w:val="001032D1"/>
    <w:rsid w:val="0010355B"/>
    <w:rsid w:val="00111275"/>
    <w:rsid w:val="00116734"/>
    <w:rsid w:val="00121AE0"/>
    <w:rsid w:val="001243CA"/>
    <w:rsid w:val="00124950"/>
    <w:rsid w:val="00125211"/>
    <w:rsid w:val="001318AC"/>
    <w:rsid w:val="0013456F"/>
    <w:rsid w:val="00155FC1"/>
    <w:rsid w:val="00166513"/>
    <w:rsid w:val="00171E55"/>
    <w:rsid w:val="0018075C"/>
    <w:rsid w:val="001837DC"/>
    <w:rsid w:val="001860EC"/>
    <w:rsid w:val="00186CEF"/>
    <w:rsid w:val="00187876"/>
    <w:rsid w:val="00193160"/>
    <w:rsid w:val="001968C9"/>
    <w:rsid w:val="001A2FB7"/>
    <w:rsid w:val="001A68D0"/>
    <w:rsid w:val="001B04B2"/>
    <w:rsid w:val="001C1C01"/>
    <w:rsid w:val="001C2EBB"/>
    <w:rsid w:val="001C3E05"/>
    <w:rsid w:val="001D07C1"/>
    <w:rsid w:val="001D2130"/>
    <w:rsid w:val="001E137C"/>
    <w:rsid w:val="001E227A"/>
    <w:rsid w:val="001E6A6A"/>
    <w:rsid w:val="001E72AA"/>
    <w:rsid w:val="001F3DB0"/>
    <w:rsid w:val="001F4B02"/>
    <w:rsid w:val="001F55B5"/>
    <w:rsid w:val="00207B1A"/>
    <w:rsid w:val="00210A0A"/>
    <w:rsid w:val="00232BE8"/>
    <w:rsid w:val="0024106C"/>
    <w:rsid w:val="002443FF"/>
    <w:rsid w:val="00252CCC"/>
    <w:rsid w:val="00252D79"/>
    <w:rsid w:val="00253F9C"/>
    <w:rsid w:val="00254A28"/>
    <w:rsid w:val="00255FC7"/>
    <w:rsid w:val="002566A7"/>
    <w:rsid w:val="002619C1"/>
    <w:rsid w:val="002628D8"/>
    <w:rsid w:val="00264AF3"/>
    <w:rsid w:val="00265F73"/>
    <w:rsid w:val="0026666D"/>
    <w:rsid w:val="00267B9A"/>
    <w:rsid w:val="00275BC5"/>
    <w:rsid w:val="00277894"/>
    <w:rsid w:val="002812F1"/>
    <w:rsid w:val="002907C6"/>
    <w:rsid w:val="00292F6E"/>
    <w:rsid w:val="002951D5"/>
    <w:rsid w:val="002966C7"/>
    <w:rsid w:val="002A5878"/>
    <w:rsid w:val="002A7D7C"/>
    <w:rsid w:val="002B3E8B"/>
    <w:rsid w:val="002B5F12"/>
    <w:rsid w:val="002C054B"/>
    <w:rsid w:val="002C0A07"/>
    <w:rsid w:val="002C468F"/>
    <w:rsid w:val="002C4866"/>
    <w:rsid w:val="002D1970"/>
    <w:rsid w:val="002D26F6"/>
    <w:rsid w:val="002D390D"/>
    <w:rsid w:val="002D5F5D"/>
    <w:rsid w:val="002D6119"/>
    <w:rsid w:val="002E2B64"/>
    <w:rsid w:val="002E4272"/>
    <w:rsid w:val="002E4693"/>
    <w:rsid w:val="002E4CCF"/>
    <w:rsid w:val="002E5A16"/>
    <w:rsid w:val="002F1A11"/>
    <w:rsid w:val="002F2ADD"/>
    <w:rsid w:val="002F3AE5"/>
    <w:rsid w:val="002F3C88"/>
    <w:rsid w:val="002F53E6"/>
    <w:rsid w:val="00303A55"/>
    <w:rsid w:val="0030404A"/>
    <w:rsid w:val="00304FE2"/>
    <w:rsid w:val="0030537E"/>
    <w:rsid w:val="003112C9"/>
    <w:rsid w:val="00312519"/>
    <w:rsid w:val="00315CFB"/>
    <w:rsid w:val="00317C8B"/>
    <w:rsid w:val="003203B8"/>
    <w:rsid w:val="00323F3C"/>
    <w:rsid w:val="00324E99"/>
    <w:rsid w:val="00327692"/>
    <w:rsid w:val="0033066E"/>
    <w:rsid w:val="00331F7B"/>
    <w:rsid w:val="0033229E"/>
    <w:rsid w:val="003331AA"/>
    <w:rsid w:val="00333FDA"/>
    <w:rsid w:val="00361AE4"/>
    <w:rsid w:val="00362632"/>
    <w:rsid w:val="00363E9F"/>
    <w:rsid w:val="00364F12"/>
    <w:rsid w:val="00372C52"/>
    <w:rsid w:val="003731DA"/>
    <w:rsid w:val="0038298D"/>
    <w:rsid w:val="00385760"/>
    <w:rsid w:val="0039135F"/>
    <w:rsid w:val="0039219F"/>
    <w:rsid w:val="003924EF"/>
    <w:rsid w:val="00396AB1"/>
    <w:rsid w:val="003971FB"/>
    <w:rsid w:val="003A3D80"/>
    <w:rsid w:val="003A5D75"/>
    <w:rsid w:val="003B0918"/>
    <w:rsid w:val="003B6F69"/>
    <w:rsid w:val="003C0B84"/>
    <w:rsid w:val="003C1A8E"/>
    <w:rsid w:val="003C2254"/>
    <w:rsid w:val="003D08B2"/>
    <w:rsid w:val="003D0DB4"/>
    <w:rsid w:val="003D157C"/>
    <w:rsid w:val="003D2FBC"/>
    <w:rsid w:val="003D3E28"/>
    <w:rsid w:val="003D4257"/>
    <w:rsid w:val="003D697E"/>
    <w:rsid w:val="003D70D4"/>
    <w:rsid w:val="003E51B5"/>
    <w:rsid w:val="003E7E10"/>
    <w:rsid w:val="00400438"/>
    <w:rsid w:val="00401184"/>
    <w:rsid w:val="00403E5C"/>
    <w:rsid w:val="00404DB9"/>
    <w:rsid w:val="00407DC9"/>
    <w:rsid w:val="0041264B"/>
    <w:rsid w:val="004204A2"/>
    <w:rsid w:val="0042305A"/>
    <w:rsid w:val="00423797"/>
    <w:rsid w:val="004241A6"/>
    <w:rsid w:val="004257E8"/>
    <w:rsid w:val="00425D5D"/>
    <w:rsid w:val="00426D0A"/>
    <w:rsid w:val="004278AB"/>
    <w:rsid w:val="00427E20"/>
    <w:rsid w:val="00431225"/>
    <w:rsid w:val="0043176C"/>
    <w:rsid w:val="00432A77"/>
    <w:rsid w:val="00444A1B"/>
    <w:rsid w:val="0044577A"/>
    <w:rsid w:val="00446FC7"/>
    <w:rsid w:val="00450676"/>
    <w:rsid w:val="00463E11"/>
    <w:rsid w:val="00465613"/>
    <w:rsid w:val="00473389"/>
    <w:rsid w:val="00474C85"/>
    <w:rsid w:val="004770AF"/>
    <w:rsid w:val="00483CD0"/>
    <w:rsid w:val="00494E40"/>
    <w:rsid w:val="004A20CF"/>
    <w:rsid w:val="004B01AF"/>
    <w:rsid w:val="004B07DF"/>
    <w:rsid w:val="004B4871"/>
    <w:rsid w:val="004B4CC1"/>
    <w:rsid w:val="004C427E"/>
    <w:rsid w:val="004D05DD"/>
    <w:rsid w:val="004D0A84"/>
    <w:rsid w:val="004E48FF"/>
    <w:rsid w:val="004E60CD"/>
    <w:rsid w:val="004E7043"/>
    <w:rsid w:val="004F550B"/>
    <w:rsid w:val="004F7B92"/>
    <w:rsid w:val="0050414E"/>
    <w:rsid w:val="00514244"/>
    <w:rsid w:val="00517AD4"/>
    <w:rsid w:val="00520255"/>
    <w:rsid w:val="00523241"/>
    <w:rsid w:val="0052328C"/>
    <w:rsid w:val="00526BCA"/>
    <w:rsid w:val="00532002"/>
    <w:rsid w:val="00533EDE"/>
    <w:rsid w:val="0053587A"/>
    <w:rsid w:val="00536191"/>
    <w:rsid w:val="00537877"/>
    <w:rsid w:val="00540D38"/>
    <w:rsid w:val="005424E2"/>
    <w:rsid w:val="005426BF"/>
    <w:rsid w:val="00543B29"/>
    <w:rsid w:val="00544C8E"/>
    <w:rsid w:val="00550263"/>
    <w:rsid w:val="0055484C"/>
    <w:rsid w:val="005550EB"/>
    <w:rsid w:val="0055666B"/>
    <w:rsid w:val="00561542"/>
    <w:rsid w:val="00562837"/>
    <w:rsid w:val="00563AC1"/>
    <w:rsid w:val="00565622"/>
    <w:rsid w:val="00565A95"/>
    <w:rsid w:val="00565DAC"/>
    <w:rsid w:val="00571837"/>
    <w:rsid w:val="005734CC"/>
    <w:rsid w:val="0057424F"/>
    <w:rsid w:val="00575443"/>
    <w:rsid w:val="00580573"/>
    <w:rsid w:val="005A31BF"/>
    <w:rsid w:val="005B2B9E"/>
    <w:rsid w:val="005B5420"/>
    <w:rsid w:val="005C0F93"/>
    <w:rsid w:val="005E05BD"/>
    <w:rsid w:val="005E090E"/>
    <w:rsid w:val="005E4130"/>
    <w:rsid w:val="005E7BB8"/>
    <w:rsid w:val="005F3233"/>
    <w:rsid w:val="005F61FF"/>
    <w:rsid w:val="0060002C"/>
    <w:rsid w:val="00600138"/>
    <w:rsid w:val="0060050B"/>
    <w:rsid w:val="006076CF"/>
    <w:rsid w:val="00612509"/>
    <w:rsid w:val="0061292E"/>
    <w:rsid w:val="00613E97"/>
    <w:rsid w:val="00614CED"/>
    <w:rsid w:val="006158E9"/>
    <w:rsid w:val="00617C51"/>
    <w:rsid w:val="006219D8"/>
    <w:rsid w:val="00626321"/>
    <w:rsid w:val="0063373C"/>
    <w:rsid w:val="00634C86"/>
    <w:rsid w:val="0063638C"/>
    <w:rsid w:val="006434FC"/>
    <w:rsid w:val="006473B8"/>
    <w:rsid w:val="006543DF"/>
    <w:rsid w:val="006646F3"/>
    <w:rsid w:val="00670725"/>
    <w:rsid w:val="00672FBE"/>
    <w:rsid w:val="0068391E"/>
    <w:rsid w:val="0068433C"/>
    <w:rsid w:val="00686589"/>
    <w:rsid w:val="00695C23"/>
    <w:rsid w:val="00695E02"/>
    <w:rsid w:val="006A11B7"/>
    <w:rsid w:val="006A6A3C"/>
    <w:rsid w:val="006A7AF9"/>
    <w:rsid w:val="006B188E"/>
    <w:rsid w:val="006D0DE4"/>
    <w:rsid w:val="006D1B57"/>
    <w:rsid w:val="006D2ABC"/>
    <w:rsid w:val="006D500E"/>
    <w:rsid w:val="006D7460"/>
    <w:rsid w:val="006D74A8"/>
    <w:rsid w:val="006E2658"/>
    <w:rsid w:val="006E2759"/>
    <w:rsid w:val="006E3793"/>
    <w:rsid w:val="006E7103"/>
    <w:rsid w:val="006F1D9F"/>
    <w:rsid w:val="006F476C"/>
    <w:rsid w:val="006F7FA8"/>
    <w:rsid w:val="00701C7D"/>
    <w:rsid w:val="00701F81"/>
    <w:rsid w:val="00704F10"/>
    <w:rsid w:val="007053C6"/>
    <w:rsid w:val="00705734"/>
    <w:rsid w:val="00705814"/>
    <w:rsid w:val="007066D8"/>
    <w:rsid w:val="007066DE"/>
    <w:rsid w:val="00706D64"/>
    <w:rsid w:val="00711BF6"/>
    <w:rsid w:val="007150D0"/>
    <w:rsid w:val="00715CED"/>
    <w:rsid w:val="007211F2"/>
    <w:rsid w:val="0072502C"/>
    <w:rsid w:val="00733776"/>
    <w:rsid w:val="00735F19"/>
    <w:rsid w:val="00742DB7"/>
    <w:rsid w:val="00744171"/>
    <w:rsid w:val="007474E8"/>
    <w:rsid w:val="00750B2D"/>
    <w:rsid w:val="00755F0A"/>
    <w:rsid w:val="007566DE"/>
    <w:rsid w:val="00766239"/>
    <w:rsid w:val="007671EC"/>
    <w:rsid w:val="00767D83"/>
    <w:rsid w:val="0077611C"/>
    <w:rsid w:val="00776DD8"/>
    <w:rsid w:val="00777983"/>
    <w:rsid w:val="00781573"/>
    <w:rsid w:val="00782B66"/>
    <w:rsid w:val="00783021"/>
    <w:rsid w:val="00784146"/>
    <w:rsid w:val="00784E93"/>
    <w:rsid w:val="00785588"/>
    <w:rsid w:val="00787DFD"/>
    <w:rsid w:val="00790F83"/>
    <w:rsid w:val="00794C49"/>
    <w:rsid w:val="007A3BAB"/>
    <w:rsid w:val="007A6B0C"/>
    <w:rsid w:val="007A73F4"/>
    <w:rsid w:val="007B112A"/>
    <w:rsid w:val="007B1E9A"/>
    <w:rsid w:val="007B3CD3"/>
    <w:rsid w:val="007B4EF3"/>
    <w:rsid w:val="007B580D"/>
    <w:rsid w:val="007B6B1B"/>
    <w:rsid w:val="007C0333"/>
    <w:rsid w:val="007C781A"/>
    <w:rsid w:val="007D4487"/>
    <w:rsid w:val="007D5F9B"/>
    <w:rsid w:val="007D6654"/>
    <w:rsid w:val="007D6EA5"/>
    <w:rsid w:val="007D72C5"/>
    <w:rsid w:val="007E2293"/>
    <w:rsid w:val="007E4698"/>
    <w:rsid w:val="007E6E72"/>
    <w:rsid w:val="007F2F8C"/>
    <w:rsid w:val="007F6644"/>
    <w:rsid w:val="00802824"/>
    <w:rsid w:val="008123DB"/>
    <w:rsid w:val="008127D6"/>
    <w:rsid w:val="00815190"/>
    <w:rsid w:val="008222E8"/>
    <w:rsid w:val="00826CA3"/>
    <w:rsid w:val="00831770"/>
    <w:rsid w:val="00835173"/>
    <w:rsid w:val="008357B0"/>
    <w:rsid w:val="00836466"/>
    <w:rsid w:val="008373C7"/>
    <w:rsid w:val="008430F4"/>
    <w:rsid w:val="0084712D"/>
    <w:rsid w:val="00850390"/>
    <w:rsid w:val="0085576C"/>
    <w:rsid w:val="00855D50"/>
    <w:rsid w:val="0086013C"/>
    <w:rsid w:val="0086059A"/>
    <w:rsid w:val="00861A68"/>
    <w:rsid w:val="00862E47"/>
    <w:rsid w:val="00863B76"/>
    <w:rsid w:val="00865743"/>
    <w:rsid w:val="00873A37"/>
    <w:rsid w:val="00874B5F"/>
    <w:rsid w:val="008758D8"/>
    <w:rsid w:val="00880220"/>
    <w:rsid w:val="00880C98"/>
    <w:rsid w:val="008855EC"/>
    <w:rsid w:val="00885894"/>
    <w:rsid w:val="0089001C"/>
    <w:rsid w:val="00890216"/>
    <w:rsid w:val="008911CB"/>
    <w:rsid w:val="00891438"/>
    <w:rsid w:val="00893AF7"/>
    <w:rsid w:val="00894F56"/>
    <w:rsid w:val="008A07F1"/>
    <w:rsid w:val="008A139F"/>
    <w:rsid w:val="008A4977"/>
    <w:rsid w:val="008A585A"/>
    <w:rsid w:val="008A7A68"/>
    <w:rsid w:val="008B04B0"/>
    <w:rsid w:val="008B6FC7"/>
    <w:rsid w:val="008B79E6"/>
    <w:rsid w:val="008B7BB7"/>
    <w:rsid w:val="008C1B9E"/>
    <w:rsid w:val="008C327A"/>
    <w:rsid w:val="008C7C4B"/>
    <w:rsid w:val="008C7DBA"/>
    <w:rsid w:val="008D1FFA"/>
    <w:rsid w:val="008D3D74"/>
    <w:rsid w:val="008D4E10"/>
    <w:rsid w:val="008D6F7C"/>
    <w:rsid w:val="008E117A"/>
    <w:rsid w:val="008E372F"/>
    <w:rsid w:val="008E6F2D"/>
    <w:rsid w:val="008E75D2"/>
    <w:rsid w:val="008F627F"/>
    <w:rsid w:val="008F7101"/>
    <w:rsid w:val="00901416"/>
    <w:rsid w:val="00911235"/>
    <w:rsid w:val="00914A72"/>
    <w:rsid w:val="0091517D"/>
    <w:rsid w:val="0091774B"/>
    <w:rsid w:val="0092171F"/>
    <w:rsid w:val="00923382"/>
    <w:rsid w:val="00925EF7"/>
    <w:rsid w:val="00927032"/>
    <w:rsid w:val="009364F1"/>
    <w:rsid w:val="009366F5"/>
    <w:rsid w:val="00947C1D"/>
    <w:rsid w:val="009513D9"/>
    <w:rsid w:val="0095196C"/>
    <w:rsid w:val="009547FE"/>
    <w:rsid w:val="00956664"/>
    <w:rsid w:val="0096048F"/>
    <w:rsid w:val="009616DF"/>
    <w:rsid w:val="00961893"/>
    <w:rsid w:val="00962ABB"/>
    <w:rsid w:val="009648DA"/>
    <w:rsid w:val="00964CCD"/>
    <w:rsid w:val="00966818"/>
    <w:rsid w:val="00971115"/>
    <w:rsid w:val="00981F50"/>
    <w:rsid w:val="009844A9"/>
    <w:rsid w:val="00987E92"/>
    <w:rsid w:val="009910B0"/>
    <w:rsid w:val="009950ED"/>
    <w:rsid w:val="009973AA"/>
    <w:rsid w:val="009A038F"/>
    <w:rsid w:val="009A4D3E"/>
    <w:rsid w:val="009A57C7"/>
    <w:rsid w:val="009B075B"/>
    <w:rsid w:val="009B3472"/>
    <w:rsid w:val="009B5379"/>
    <w:rsid w:val="009C1875"/>
    <w:rsid w:val="009C1C63"/>
    <w:rsid w:val="009C2330"/>
    <w:rsid w:val="009C685B"/>
    <w:rsid w:val="009D14E1"/>
    <w:rsid w:val="009D3A05"/>
    <w:rsid w:val="009D4622"/>
    <w:rsid w:val="009E7B65"/>
    <w:rsid w:val="009F3712"/>
    <w:rsid w:val="00A0116A"/>
    <w:rsid w:val="00A037A5"/>
    <w:rsid w:val="00A0451D"/>
    <w:rsid w:val="00A129BF"/>
    <w:rsid w:val="00A13E93"/>
    <w:rsid w:val="00A1458F"/>
    <w:rsid w:val="00A16B8C"/>
    <w:rsid w:val="00A17665"/>
    <w:rsid w:val="00A31593"/>
    <w:rsid w:val="00A36613"/>
    <w:rsid w:val="00A41250"/>
    <w:rsid w:val="00A4165F"/>
    <w:rsid w:val="00A42354"/>
    <w:rsid w:val="00A426E8"/>
    <w:rsid w:val="00A42D0A"/>
    <w:rsid w:val="00A44837"/>
    <w:rsid w:val="00A466F3"/>
    <w:rsid w:val="00A46B10"/>
    <w:rsid w:val="00A47746"/>
    <w:rsid w:val="00A47C0A"/>
    <w:rsid w:val="00A50364"/>
    <w:rsid w:val="00A509C0"/>
    <w:rsid w:val="00A547CB"/>
    <w:rsid w:val="00A557AA"/>
    <w:rsid w:val="00A57F72"/>
    <w:rsid w:val="00A61624"/>
    <w:rsid w:val="00A64FA7"/>
    <w:rsid w:val="00A67203"/>
    <w:rsid w:val="00A67A23"/>
    <w:rsid w:val="00A71C3C"/>
    <w:rsid w:val="00A761AB"/>
    <w:rsid w:val="00A7680C"/>
    <w:rsid w:val="00A81B7D"/>
    <w:rsid w:val="00A85117"/>
    <w:rsid w:val="00A930F2"/>
    <w:rsid w:val="00A9458F"/>
    <w:rsid w:val="00A95676"/>
    <w:rsid w:val="00A970B4"/>
    <w:rsid w:val="00AA710E"/>
    <w:rsid w:val="00AB3513"/>
    <w:rsid w:val="00AC72AD"/>
    <w:rsid w:val="00AE62F1"/>
    <w:rsid w:val="00AE7CE6"/>
    <w:rsid w:val="00AF036E"/>
    <w:rsid w:val="00AF101C"/>
    <w:rsid w:val="00AF2C97"/>
    <w:rsid w:val="00AF737F"/>
    <w:rsid w:val="00B006BD"/>
    <w:rsid w:val="00B0095D"/>
    <w:rsid w:val="00B06FBA"/>
    <w:rsid w:val="00B14771"/>
    <w:rsid w:val="00B16376"/>
    <w:rsid w:val="00B208F2"/>
    <w:rsid w:val="00B22FB8"/>
    <w:rsid w:val="00B23B38"/>
    <w:rsid w:val="00B244B3"/>
    <w:rsid w:val="00B30BDE"/>
    <w:rsid w:val="00B31062"/>
    <w:rsid w:val="00B331C9"/>
    <w:rsid w:val="00B34EED"/>
    <w:rsid w:val="00B40914"/>
    <w:rsid w:val="00B51BB9"/>
    <w:rsid w:val="00B6375D"/>
    <w:rsid w:val="00B6796E"/>
    <w:rsid w:val="00B712EE"/>
    <w:rsid w:val="00B75817"/>
    <w:rsid w:val="00B75E70"/>
    <w:rsid w:val="00B777BB"/>
    <w:rsid w:val="00B77A6D"/>
    <w:rsid w:val="00B80959"/>
    <w:rsid w:val="00B81B02"/>
    <w:rsid w:val="00B8270A"/>
    <w:rsid w:val="00B82762"/>
    <w:rsid w:val="00B858E8"/>
    <w:rsid w:val="00B91B52"/>
    <w:rsid w:val="00B92430"/>
    <w:rsid w:val="00B9247F"/>
    <w:rsid w:val="00B92843"/>
    <w:rsid w:val="00B92D0B"/>
    <w:rsid w:val="00B96ED9"/>
    <w:rsid w:val="00BA0F7F"/>
    <w:rsid w:val="00BA4BF6"/>
    <w:rsid w:val="00BB574A"/>
    <w:rsid w:val="00BC1F78"/>
    <w:rsid w:val="00BC5022"/>
    <w:rsid w:val="00BD0583"/>
    <w:rsid w:val="00BD15B6"/>
    <w:rsid w:val="00BE0A23"/>
    <w:rsid w:val="00BE0B2F"/>
    <w:rsid w:val="00BE1A4C"/>
    <w:rsid w:val="00BE719F"/>
    <w:rsid w:val="00BE7603"/>
    <w:rsid w:val="00BF7082"/>
    <w:rsid w:val="00C03A9A"/>
    <w:rsid w:val="00C048D5"/>
    <w:rsid w:val="00C06910"/>
    <w:rsid w:val="00C07E04"/>
    <w:rsid w:val="00C07F64"/>
    <w:rsid w:val="00C13CD1"/>
    <w:rsid w:val="00C17E69"/>
    <w:rsid w:val="00C225E3"/>
    <w:rsid w:val="00C26D54"/>
    <w:rsid w:val="00C32281"/>
    <w:rsid w:val="00C3337B"/>
    <w:rsid w:val="00C44398"/>
    <w:rsid w:val="00C46568"/>
    <w:rsid w:val="00C47C80"/>
    <w:rsid w:val="00C511E3"/>
    <w:rsid w:val="00C515EE"/>
    <w:rsid w:val="00C529DF"/>
    <w:rsid w:val="00C533C0"/>
    <w:rsid w:val="00C542AC"/>
    <w:rsid w:val="00C579C4"/>
    <w:rsid w:val="00C61917"/>
    <w:rsid w:val="00C704C6"/>
    <w:rsid w:val="00C713A1"/>
    <w:rsid w:val="00C81B81"/>
    <w:rsid w:val="00C823AA"/>
    <w:rsid w:val="00C8259F"/>
    <w:rsid w:val="00C95E8D"/>
    <w:rsid w:val="00C95EA1"/>
    <w:rsid w:val="00C97C01"/>
    <w:rsid w:val="00C97D91"/>
    <w:rsid w:val="00CA01F0"/>
    <w:rsid w:val="00CA1A36"/>
    <w:rsid w:val="00CA3B7E"/>
    <w:rsid w:val="00CA4577"/>
    <w:rsid w:val="00CA471D"/>
    <w:rsid w:val="00CA5501"/>
    <w:rsid w:val="00CA6716"/>
    <w:rsid w:val="00CA679D"/>
    <w:rsid w:val="00CA6E4A"/>
    <w:rsid w:val="00CB3713"/>
    <w:rsid w:val="00CB791E"/>
    <w:rsid w:val="00CC0165"/>
    <w:rsid w:val="00CC2C6E"/>
    <w:rsid w:val="00CC5749"/>
    <w:rsid w:val="00CC707B"/>
    <w:rsid w:val="00CC7E3E"/>
    <w:rsid w:val="00CD3706"/>
    <w:rsid w:val="00CE1F6D"/>
    <w:rsid w:val="00CE4B52"/>
    <w:rsid w:val="00CE5394"/>
    <w:rsid w:val="00D05567"/>
    <w:rsid w:val="00D0672C"/>
    <w:rsid w:val="00D10648"/>
    <w:rsid w:val="00D16A5C"/>
    <w:rsid w:val="00D20840"/>
    <w:rsid w:val="00D23AA2"/>
    <w:rsid w:val="00D23DD4"/>
    <w:rsid w:val="00D32EFB"/>
    <w:rsid w:val="00D33123"/>
    <w:rsid w:val="00D35CBD"/>
    <w:rsid w:val="00D44C09"/>
    <w:rsid w:val="00D479A5"/>
    <w:rsid w:val="00D5004F"/>
    <w:rsid w:val="00D5179B"/>
    <w:rsid w:val="00D5201A"/>
    <w:rsid w:val="00D5547A"/>
    <w:rsid w:val="00D60A9A"/>
    <w:rsid w:val="00D6132D"/>
    <w:rsid w:val="00D64793"/>
    <w:rsid w:val="00D64B42"/>
    <w:rsid w:val="00D65285"/>
    <w:rsid w:val="00D671B0"/>
    <w:rsid w:val="00D73A1D"/>
    <w:rsid w:val="00D75912"/>
    <w:rsid w:val="00D76A41"/>
    <w:rsid w:val="00D76F72"/>
    <w:rsid w:val="00D83A06"/>
    <w:rsid w:val="00D84361"/>
    <w:rsid w:val="00D84902"/>
    <w:rsid w:val="00D84EB3"/>
    <w:rsid w:val="00D85080"/>
    <w:rsid w:val="00D86739"/>
    <w:rsid w:val="00D92D16"/>
    <w:rsid w:val="00D92E63"/>
    <w:rsid w:val="00D94ED1"/>
    <w:rsid w:val="00DA0465"/>
    <w:rsid w:val="00DA40CB"/>
    <w:rsid w:val="00DA78A1"/>
    <w:rsid w:val="00DB4082"/>
    <w:rsid w:val="00DB7073"/>
    <w:rsid w:val="00DD1BBF"/>
    <w:rsid w:val="00DD36AF"/>
    <w:rsid w:val="00DD62EC"/>
    <w:rsid w:val="00DD6EB4"/>
    <w:rsid w:val="00DE08F2"/>
    <w:rsid w:val="00DE5F4F"/>
    <w:rsid w:val="00DF2A80"/>
    <w:rsid w:val="00DF35DF"/>
    <w:rsid w:val="00E01BEC"/>
    <w:rsid w:val="00E01FAD"/>
    <w:rsid w:val="00E024FC"/>
    <w:rsid w:val="00E13370"/>
    <w:rsid w:val="00E15CC8"/>
    <w:rsid w:val="00E17BCE"/>
    <w:rsid w:val="00E20A47"/>
    <w:rsid w:val="00E20D2E"/>
    <w:rsid w:val="00E2289C"/>
    <w:rsid w:val="00E2412D"/>
    <w:rsid w:val="00E2739C"/>
    <w:rsid w:val="00E306AD"/>
    <w:rsid w:val="00E31E09"/>
    <w:rsid w:val="00E3253E"/>
    <w:rsid w:val="00E32660"/>
    <w:rsid w:val="00E34305"/>
    <w:rsid w:val="00E346BA"/>
    <w:rsid w:val="00E351A1"/>
    <w:rsid w:val="00E35FC9"/>
    <w:rsid w:val="00E50EE6"/>
    <w:rsid w:val="00E521EB"/>
    <w:rsid w:val="00E540EE"/>
    <w:rsid w:val="00E54B21"/>
    <w:rsid w:val="00E64FEF"/>
    <w:rsid w:val="00E676D6"/>
    <w:rsid w:val="00E7020A"/>
    <w:rsid w:val="00E914FA"/>
    <w:rsid w:val="00E95BDF"/>
    <w:rsid w:val="00E970E2"/>
    <w:rsid w:val="00EA2CDB"/>
    <w:rsid w:val="00EA528E"/>
    <w:rsid w:val="00EA71FD"/>
    <w:rsid w:val="00EB57FA"/>
    <w:rsid w:val="00EC0D5F"/>
    <w:rsid w:val="00EC0EB4"/>
    <w:rsid w:val="00EC18D2"/>
    <w:rsid w:val="00EC1932"/>
    <w:rsid w:val="00EC5F75"/>
    <w:rsid w:val="00ED0A21"/>
    <w:rsid w:val="00ED52AF"/>
    <w:rsid w:val="00EE1CF4"/>
    <w:rsid w:val="00EE2BB9"/>
    <w:rsid w:val="00EE3BE0"/>
    <w:rsid w:val="00EE4781"/>
    <w:rsid w:val="00EF035E"/>
    <w:rsid w:val="00EF0B43"/>
    <w:rsid w:val="00EF2CFE"/>
    <w:rsid w:val="00EF33A6"/>
    <w:rsid w:val="00EF34F2"/>
    <w:rsid w:val="00EF39F3"/>
    <w:rsid w:val="00F0062B"/>
    <w:rsid w:val="00F10B64"/>
    <w:rsid w:val="00F1331E"/>
    <w:rsid w:val="00F167D3"/>
    <w:rsid w:val="00F179EC"/>
    <w:rsid w:val="00F23AAD"/>
    <w:rsid w:val="00F255F2"/>
    <w:rsid w:val="00F37F9F"/>
    <w:rsid w:val="00F415A2"/>
    <w:rsid w:val="00F456A6"/>
    <w:rsid w:val="00F510E3"/>
    <w:rsid w:val="00F55BD9"/>
    <w:rsid w:val="00F60D80"/>
    <w:rsid w:val="00F60ECB"/>
    <w:rsid w:val="00F642C7"/>
    <w:rsid w:val="00F702DD"/>
    <w:rsid w:val="00F74766"/>
    <w:rsid w:val="00F827C0"/>
    <w:rsid w:val="00F855A7"/>
    <w:rsid w:val="00F869D6"/>
    <w:rsid w:val="00F86A57"/>
    <w:rsid w:val="00F93A35"/>
    <w:rsid w:val="00F951AF"/>
    <w:rsid w:val="00FA5C5D"/>
    <w:rsid w:val="00FB0F53"/>
    <w:rsid w:val="00FB4B55"/>
    <w:rsid w:val="00FB624C"/>
    <w:rsid w:val="00FC26E2"/>
    <w:rsid w:val="00FC2830"/>
    <w:rsid w:val="00FC2F1A"/>
    <w:rsid w:val="00FC4D67"/>
    <w:rsid w:val="00FD31B9"/>
    <w:rsid w:val="00FD3FA0"/>
    <w:rsid w:val="00FD6E74"/>
    <w:rsid w:val="00FE10BF"/>
    <w:rsid w:val="00FE6172"/>
    <w:rsid w:val="00FF3658"/>
    <w:rsid w:val="00FF47B6"/>
    <w:rsid w:val="00FF48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List Bullet"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5CED"/>
    <w:pPr>
      <w:spacing w:after="120"/>
    </w:pPr>
    <w:rPr>
      <w:rFonts w:ascii="Garamond" w:hAnsi="Garamond"/>
      <w:sz w:val="24"/>
      <w:szCs w:val="24"/>
      <w:lang w:eastAsia="en-US"/>
    </w:rPr>
  </w:style>
  <w:style w:type="paragraph" w:styleId="Heading1">
    <w:name w:val="heading 1"/>
    <w:basedOn w:val="Normal"/>
    <w:next w:val="Normal"/>
    <w:link w:val="Heading1Char"/>
    <w:qFormat/>
    <w:rsid w:val="00E20A4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511E3"/>
    <w:pPr>
      <w:keepNext/>
      <w:spacing w:before="240" w:after="60"/>
      <w:outlineLvl w:val="1"/>
    </w:pPr>
    <w:rPr>
      <w:rFonts w:ascii="Arial" w:hAnsi="Arial" w:cs="Arial"/>
      <w:b/>
      <w:bCs/>
      <w:i/>
      <w:iCs/>
      <w:sz w:val="28"/>
      <w:szCs w:val="28"/>
      <w:lang w:val="en-US"/>
    </w:rPr>
  </w:style>
  <w:style w:type="paragraph" w:styleId="Heading3">
    <w:name w:val="heading 3"/>
    <w:basedOn w:val="Normal"/>
    <w:qFormat/>
    <w:rsid w:val="00C511E3"/>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11E3"/>
    <w:rPr>
      <w:color w:val="0000FF"/>
      <w:u w:val="single"/>
    </w:rPr>
  </w:style>
  <w:style w:type="paragraph" w:styleId="NormalWeb">
    <w:name w:val="Normal (Web)"/>
    <w:basedOn w:val="Normal"/>
    <w:uiPriority w:val="99"/>
    <w:rsid w:val="00C511E3"/>
    <w:pPr>
      <w:spacing w:before="100" w:beforeAutospacing="1" w:after="100" w:afterAutospacing="1"/>
    </w:pPr>
    <w:rPr>
      <w:lang w:val="en-US"/>
    </w:rPr>
  </w:style>
  <w:style w:type="paragraph" w:styleId="FootnoteText">
    <w:name w:val="footnote text"/>
    <w:aliases w:val="fn"/>
    <w:basedOn w:val="Normal"/>
    <w:link w:val="FootnoteTextChar"/>
    <w:rsid w:val="00121AE0"/>
    <w:rPr>
      <w:sz w:val="20"/>
      <w:szCs w:val="20"/>
    </w:rPr>
  </w:style>
  <w:style w:type="character" w:styleId="FootnoteReference">
    <w:name w:val="footnote reference"/>
    <w:rsid w:val="00121AE0"/>
    <w:rPr>
      <w:vertAlign w:val="superscript"/>
    </w:rPr>
  </w:style>
  <w:style w:type="paragraph" w:customStyle="1" w:styleId="Default">
    <w:name w:val="Default"/>
    <w:rsid w:val="00514244"/>
    <w:pPr>
      <w:autoSpaceDE w:val="0"/>
      <w:autoSpaceDN w:val="0"/>
      <w:adjustRightInd w:val="0"/>
    </w:pPr>
    <w:rPr>
      <w:rFonts w:ascii="Arial" w:hAnsi="Arial" w:cs="Arial"/>
      <w:color w:val="000000"/>
      <w:sz w:val="24"/>
      <w:szCs w:val="24"/>
      <w:lang w:val="en-US" w:eastAsia="en-US"/>
    </w:rPr>
  </w:style>
  <w:style w:type="character" w:customStyle="1" w:styleId="FootnoteTextChar">
    <w:name w:val="Footnote Text Char"/>
    <w:aliases w:val="fn Char"/>
    <w:link w:val="FootnoteText"/>
    <w:rsid w:val="00701C7D"/>
    <w:rPr>
      <w:lang w:val="en-AU" w:eastAsia="en-US" w:bidi="ar-SA"/>
    </w:rPr>
  </w:style>
  <w:style w:type="paragraph" w:styleId="Footer">
    <w:name w:val="footer"/>
    <w:basedOn w:val="Normal"/>
    <w:rsid w:val="00D23DD4"/>
    <w:pPr>
      <w:tabs>
        <w:tab w:val="center" w:pos="4320"/>
        <w:tab w:val="right" w:pos="8640"/>
      </w:tabs>
    </w:pPr>
  </w:style>
  <w:style w:type="character" w:styleId="PageNumber">
    <w:name w:val="page number"/>
    <w:basedOn w:val="DefaultParagraphFont"/>
    <w:rsid w:val="00D23DD4"/>
  </w:style>
  <w:style w:type="paragraph" w:styleId="BalloonText">
    <w:name w:val="Balloon Text"/>
    <w:basedOn w:val="Normal"/>
    <w:semiHidden/>
    <w:rsid w:val="00F60ECB"/>
    <w:rPr>
      <w:rFonts w:ascii="Tahoma" w:hAnsi="Tahoma" w:cs="Tahoma"/>
      <w:sz w:val="16"/>
      <w:szCs w:val="16"/>
    </w:rPr>
  </w:style>
  <w:style w:type="character" w:styleId="CommentReference">
    <w:name w:val="annotation reference"/>
    <w:semiHidden/>
    <w:rsid w:val="002443FF"/>
    <w:rPr>
      <w:sz w:val="16"/>
      <w:szCs w:val="16"/>
    </w:rPr>
  </w:style>
  <w:style w:type="paragraph" w:styleId="CommentText">
    <w:name w:val="annotation text"/>
    <w:basedOn w:val="Normal"/>
    <w:semiHidden/>
    <w:rsid w:val="002443FF"/>
    <w:rPr>
      <w:sz w:val="20"/>
      <w:szCs w:val="20"/>
    </w:rPr>
  </w:style>
  <w:style w:type="paragraph" w:styleId="CommentSubject">
    <w:name w:val="annotation subject"/>
    <w:basedOn w:val="CommentText"/>
    <w:next w:val="CommentText"/>
    <w:semiHidden/>
    <w:rsid w:val="002443FF"/>
    <w:rPr>
      <w:b/>
      <w:bCs/>
    </w:rPr>
  </w:style>
  <w:style w:type="character" w:customStyle="1" w:styleId="menulink1">
    <w:name w:val="menulink1"/>
    <w:rsid w:val="002C468F"/>
    <w:rPr>
      <w:rFonts w:ascii="Arial" w:hAnsi="Arial" w:cs="Arial" w:hint="default"/>
      <w:b/>
      <w:bCs/>
      <w:strike w:val="0"/>
      <w:dstrike w:val="0"/>
      <w:color w:val="000000"/>
      <w:sz w:val="22"/>
      <w:szCs w:val="22"/>
      <w:u w:val="none"/>
      <w:effect w:val="none"/>
    </w:rPr>
  </w:style>
  <w:style w:type="paragraph" w:styleId="Header">
    <w:name w:val="header"/>
    <w:basedOn w:val="Normal"/>
    <w:rsid w:val="00E32660"/>
    <w:pPr>
      <w:tabs>
        <w:tab w:val="center" w:pos="4153"/>
        <w:tab w:val="right" w:pos="8306"/>
      </w:tabs>
    </w:pPr>
  </w:style>
  <w:style w:type="paragraph" w:customStyle="1" w:styleId="Policycoverpagetext">
    <w:name w:val="Policy cover page text"/>
    <w:basedOn w:val="Normal"/>
    <w:autoRedefine/>
    <w:rsid w:val="00E32660"/>
  </w:style>
  <w:style w:type="character" w:customStyle="1" w:styleId="Heading1Char">
    <w:name w:val="Heading 1 Char"/>
    <w:link w:val="Heading1"/>
    <w:rsid w:val="00E20A47"/>
    <w:rPr>
      <w:rFonts w:ascii="Arial" w:hAnsi="Arial" w:cs="Arial"/>
      <w:b/>
      <w:bCs/>
      <w:kern w:val="32"/>
      <w:sz w:val="32"/>
      <w:szCs w:val="32"/>
      <w:lang w:val="en-AU" w:eastAsia="en-US" w:bidi="ar-SA"/>
    </w:rPr>
  </w:style>
  <w:style w:type="paragraph" w:customStyle="1" w:styleId="PolicyHeading1">
    <w:name w:val="Policy Heading 1"/>
    <w:basedOn w:val="Normal"/>
    <w:rsid w:val="00861A68"/>
    <w:pPr>
      <w:pBdr>
        <w:top w:val="single" w:sz="4" w:space="1" w:color="auto"/>
        <w:left w:val="single" w:sz="4" w:space="4" w:color="auto"/>
        <w:bottom w:val="single" w:sz="4" w:space="1" w:color="auto"/>
        <w:right w:val="single" w:sz="4" w:space="4" w:color="auto"/>
      </w:pBdr>
      <w:shd w:val="clear" w:color="auto" w:fill="E0E0E0"/>
      <w:jc w:val="both"/>
    </w:pPr>
    <w:rPr>
      <w:rFonts w:ascii="Arial" w:hAnsi="Arial" w:cs="Arial"/>
      <w:b/>
      <w:sz w:val="28"/>
      <w:szCs w:val="28"/>
    </w:rPr>
  </w:style>
  <w:style w:type="paragraph" w:customStyle="1" w:styleId="PolicyHeading2">
    <w:name w:val="Policy Heading 2"/>
    <w:basedOn w:val="Heading3"/>
    <w:rsid w:val="00861A68"/>
    <w:pPr>
      <w:pBdr>
        <w:top w:val="single" w:sz="4" w:space="1" w:color="auto"/>
        <w:left w:val="single" w:sz="4" w:space="4" w:color="auto"/>
        <w:bottom w:val="single" w:sz="4" w:space="1" w:color="auto"/>
        <w:right w:val="single" w:sz="4" w:space="4" w:color="auto"/>
      </w:pBdr>
      <w:shd w:val="clear" w:color="auto" w:fill="E0E0E0"/>
      <w:spacing w:before="0" w:after="0"/>
      <w:jc w:val="both"/>
    </w:pPr>
    <w:rPr>
      <w:sz w:val="24"/>
      <w:szCs w:val="24"/>
    </w:rPr>
  </w:style>
  <w:style w:type="paragraph" w:styleId="ListParagraph">
    <w:name w:val="List Paragraph"/>
    <w:aliases w:val="List Paragraph1,Recommendation,List Paragraph11"/>
    <w:basedOn w:val="Normal"/>
    <w:link w:val="ListParagraphChar"/>
    <w:uiPriority w:val="34"/>
    <w:qFormat/>
    <w:rsid w:val="001E227A"/>
    <w:pPr>
      <w:ind w:left="720"/>
      <w:contextualSpacing/>
    </w:pPr>
  </w:style>
  <w:style w:type="paragraph" w:styleId="EndnoteText">
    <w:name w:val="endnote text"/>
    <w:basedOn w:val="Normal"/>
    <w:link w:val="EndnoteTextChar"/>
    <w:uiPriority w:val="99"/>
    <w:rsid w:val="00426D0A"/>
    <w:pPr>
      <w:spacing w:after="0"/>
    </w:pPr>
    <w:rPr>
      <w:sz w:val="20"/>
      <w:szCs w:val="20"/>
    </w:rPr>
  </w:style>
  <w:style w:type="character" w:customStyle="1" w:styleId="EndnoteTextChar">
    <w:name w:val="Endnote Text Char"/>
    <w:basedOn w:val="DefaultParagraphFont"/>
    <w:link w:val="EndnoteText"/>
    <w:uiPriority w:val="99"/>
    <w:rsid w:val="00426D0A"/>
    <w:rPr>
      <w:rFonts w:ascii="Garamond" w:hAnsi="Garamond"/>
      <w:lang w:eastAsia="en-US"/>
    </w:rPr>
  </w:style>
  <w:style w:type="character" w:styleId="EndnoteReference">
    <w:name w:val="endnote reference"/>
    <w:basedOn w:val="DefaultParagraphFont"/>
    <w:uiPriority w:val="99"/>
    <w:rsid w:val="00426D0A"/>
    <w:rPr>
      <w:vertAlign w:val="superscript"/>
    </w:rPr>
  </w:style>
  <w:style w:type="table" w:styleId="TableGrid">
    <w:name w:val="Table Grid"/>
    <w:basedOn w:val="TableNormal"/>
    <w:rsid w:val="005E05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actsheetcontentmain">
    <w:name w:val="factsheet_contentmain"/>
    <w:basedOn w:val="DefaultParagraphFont"/>
    <w:rsid w:val="00612509"/>
  </w:style>
  <w:style w:type="paragraph" w:styleId="Revision">
    <w:name w:val="Revision"/>
    <w:hidden/>
    <w:uiPriority w:val="99"/>
    <w:semiHidden/>
    <w:rsid w:val="00563AC1"/>
    <w:rPr>
      <w:rFonts w:ascii="Garamond" w:hAnsi="Garamond"/>
      <w:sz w:val="24"/>
      <w:szCs w:val="24"/>
      <w:lang w:eastAsia="en-US"/>
    </w:rPr>
  </w:style>
  <w:style w:type="paragraph" w:styleId="ListBullet">
    <w:name w:val="List Bullet"/>
    <w:basedOn w:val="BodyText"/>
    <w:link w:val="ListBulletChar"/>
    <w:qFormat/>
    <w:rsid w:val="00925EF7"/>
    <w:pPr>
      <w:numPr>
        <w:numId w:val="39"/>
      </w:numPr>
      <w:spacing w:before="120" w:after="0"/>
      <w:contextualSpacing/>
      <w:jc w:val="both"/>
    </w:pPr>
    <w:rPr>
      <w:rFonts w:ascii="Arial" w:hAnsi="Arial" w:cs="Arial"/>
      <w:sz w:val="22"/>
      <w:szCs w:val="22"/>
      <w:lang w:eastAsia="en-AU"/>
    </w:rPr>
  </w:style>
  <w:style w:type="character" w:customStyle="1" w:styleId="ListBulletChar">
    <w:name w:val="List Bullet Char"/>
    <w:link w:val="ListBullet"/>
    <w:rsid w:val="00925EF7"/>
    <w:rPr>
      <w:rFonts w:ascii="Arial" w:hAnsi="Arial" w:cs="Arial"/>
      <w:sz w:val="22"/>
      <w:szCs w:val="22"/>
    </w:rPr>
  </w:style>
  <w:style w:type="paragraph" w:styleId="BodyText">
    <w:name w:val="Body Text"/>
    <w:basedOn w:val="Normal"/>
    <w:link w:val="BodyTextChar"/>
    <w:rsid w:val="00925EF7"/>
  </w:style>
  <w:style w:type="character" w:customStyle="1" w:styleId="BodyTextChar">
    <w:name w:val="Body Text Char"/>
    <w:basedOn w:val="DefaultParagraphFont"/>
    <w:link w:val="BodyText"/>
    <w:rsid w:val="00925EF7"/>
    <w:rPr>
      <w:rFonts w:ascii="Garamond" w:hAnsi="Garamond"/>
      <w:sz w:val="24"/>
      <w:szCs w:val="24"/>
      <w:lang w:eastAsia="en-US"/>
    </w:rPr>
  </w:style>
  <w:style w:type="character" w:customStyle="1" w:styleId="ListParagraphChar">
    <w:name w:val="List Paragraph Char"/>
    <w:aliases w:val="List Paragraph1 Char,Recommendation Char,List Paragraph11 Char"/>
    <w:link w:val="ListParagraph"/>
    <w:uiPriority w:val="34"/>
    <w:locked/>
    <w:rsid w:val="0010355B"/>
    <w:rPr>
      <w:rFonts w:ascii="Garamond" w:hAnsi="Garamond"/>
      <w:sz w:val="24"/>
      <w:szCs w:val="24"/>
      <w:lang w:eastAsia="en-US"/>
    </w:rPr>
  </w:style>
  <w:style w:type="paragraph" w:customStyle="1" w:styleId="RecTitle">
    <w:name w:val="Rec Title"/>
    <w:basedOn w:val="BodyText"/>
    <w:next w:val="Normal"/>
    <w:rsid w:val="0010355B"/>
    <w:pPr>
      <w:keepNext/>
      <w:keepLines/>
      <w:spacing w:before="240" w:after="0" w:line="320" w:lineRule="atLeast"/>
      <w:jc w:val="both"/>
    </w:pPr>
    <w:rPr>
      <w:rFonts w:ascii="Times New Roman" w:hAnsi="Times New Roman"/>
      <w:cap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List Bullet"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5CED"/>
    <w:pPr>
      <w:spacing w:after="120"/>
    </w:pPr>
    <w:rPr>
      <w:rFonts w:ascii="Garamond" w:hAnsi="Garamond"/>
      <w:sz w:val="24"/>
      <w:szCs w:val="24"/>
      <w:lang w:eastAsia="en-US"/>
    </w:rPr>
  </w:style>
  <w:style w:type="paragraph" w:styleId="Heading1">
    <w:name w:val="heading 1"/>
    <w:basedOn w:val="Normal"/>
    <w:next w:val="Normal"/>
    <w:link w:val="Heading1Char"/>
    <w:qFormat/>
    <w:rsid w:val="00E20A4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511E3"/>
    <w:pPr>
      <w:keepNext/>
      <w:spacing w:before="240" w:after="60"/>
      <w:outlineLvl w:val="1"/>
    </w:pPr>
    <w:rPr>
      <w:rFonts w:ascii="Arial" w:hAnsi="Arial" w:cs="Arial"/>
      <w:b/>
      <w:bCs/>
      <w:i/>
      <w:iCs/>
      <w:sz w:val="28"/>
      <w:szCs w:val="28"/>
      <w:lang w:val="en-US"/>
    </w:rPr>
  </w:style>
  <w:style w:type="paragraph" w:styleId="Heading3">
    <w:name w:val="heading 3"/>
    <w:basedOn w:val="Normal"/>
    <w:qFormat/>
    <w:rsid w:val="00C511E3"/>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11E3"/>
    <w:rPr>
      <w:color w:val="0000FF"/>
      <w:u w:val="single"/>
    </w:rPr>
  </w:style>
  <w:style w:type="paragraph" w:styleId="NormalWeb">
    <w:name w:val="Normal (Web)"/>
    <w:basedOn w:val="Normal"/>
    <w:uiPriority w:val="99"/>
    <w:rsid w:val="00C511E3"/>
    <w:pPr>
      <w:spacing w:before="100" w:beforeAutospacing="1" w:after="100" w:afterAutospacing="1"/>
    </w:pPr>
    <w:rPr>
      <w:lang w:val="en-US"/>
    </w:rPr>
  </w:style>
  <w:style w:type="paragraph" w:styleId="FootnoteText">
    <w:name w:val="footnote text"/>
    <w:aliases w:val="fn"/>
    <w:basedOn w:val="Normal"/>
    <w:link w:val="FootnoteTextChar"/>
    <w:rsid w:val="00121AE0"/>
    <w:rPr>
      <w:sz w:val="20"/>
      <w:szCs w:val="20"/>
    </w:rPr>
  </w:style>
  <w:style w:type="character" w:styleId="FootnoteReference">
    <w:name w:val="footnote reference"/>
    <w:rsid w:val="00121AE0"/>
    <w:rPr>
      <w:vertAlign w:val="superscript"/>
    </w:rPr>
  </w:style>
  <w:style w:type="paragraph" w:customStyle="1" w:styleId="Default">
    <w:name w:val="Default"/>
    <w:rsid w:val="00514244"/>
    <w:pPr>
      <w:autoSpaceDE w:val="0"/>
      <w:autoSpaceDN w:val="0"/>
      <w:adjustRightInd w:val="0"/>
    </w:pPr>
    <w:rPr>
      <w:rFonts w:ascii="Arial" w:hAnsi="Arial" w:cs="Arial"/>
      <w:color w:val="000000"/>
      <w:sz w:val="24"/>
      <w:szCs w:val="24"/>
      <w:lang w:val="en-US" w:eastAsia="en-US"/>
    </w:rPr>
  </w:style>
  <w:style w:type="character" w:customStyle="1" w:styleId="FootnoteTextChar">
    <w:name w:val="Footnote Text Char"/>
    <w:aliases w:val="fn Char"/>
    <w:link w:val="FootnoteText"/>
    <w:rsid w:val="00701C7D"/>
    <w:rPr>
      <w:lang w:val="en-AU" w:eastAsia="en-US" w:bidi="ar-SA"/>
    </w:rPr>
  </w:style>
  <w:style w:type="paragraph" w:styleId="Footer">
    <w:name w:val="footer"/>
    <w:basedOn w:val="Normal"/>
    <w:rsid w:val="00D23DD4"/>
    <w:pPr>
      <w:tabs>
        <w:tab w:val="center" w:pos="4320"/>
        <w:tab w:val="right" w:pos="8640"/>
      </w:tabs>
    </w:pPr>
  </w:style>
  <w:style w:type="character" w:styleId="PageNumber">
    <w:name w:val="page number"/>
    <w:basedOn w:val="DefaultParagraphFont"/>
    <w:rsid w:val="00D23DD4"/>
  </w:style>
  <w:style w:type="paragraph" w:styleId="BalloonText">
    <w:name w:val="Balloon Text"/>
    <w:basedOn w:val="Normal"/>
    <w:semiHidden/>
    <w:rsid w:val="00F60ECB"/>
    <w:rPr>
      <w:rFonts w:ascii="Tahoma" w:hAnsi="Tahoma" w:cs="Tahoma"/>
      <w:sz w:val="16"/>
      <w:szCs w:val="16"/>
    </w:rPr>
  </w:style>
  <w:style w:type="character" w:styleId="CommentReference">
    <w:name w:val="annotation reference"/>
    <w:semiHidden/>
    <w:rsid w:val="002443FF"/>
    <w:rPr>
      <w:sz w:val="16"/>
      <w:szCs w:val="16"/>
    </w:rPr>
  </w:style>
  <w:style w:type="paragraph" w:styleId="CommentText">
    <w:name w:val="annotation text"/>
    <w:basedOn w:val="Normal"/>
    <w:semiHidden/>
    <w:rsid w:val="002443FF"/>
    <w:rPr>
      <w:sz w:val="20"/>
      <w:szCs w:val="20"/>
    </w:rPr>
  </w:style>
  <w:style w:type="paragraph" w:styleId="CommentSubject">
    <w:name w:val="annotation subject"/>
    <w:basedOn w:val="CommentText"/>
    <w:next w:val="CommentText"/>
    <w:semiHidden/>
    <w:rsid w:val="002443FF"/>
    <w:rPr>
      <w:b/>
      <w:bCs/>
    </w:rPr>
  </w:style>
  <w:style w:type="character" w:customStyle="1" w:styleId="menulink1">
    <w:name w:val="menulink1"/>
    <w:rsid w:val="002C468F"/>
    <w:rPr>
      <w:rFonts w:ascii="Arial" w:hAnsi="Arial" w:cs="Arial" w:hint="default"/>
      <w:b/>
      <w:bCs/>
      <w:strike w:val="0"/>
      <w:dstrike w:val="0"/>
      <w:color w:val="000000"/>
      <w:sz w:val="22"/>
      <w:szCs w:val="22"/>
      <w:u w:val="none"/>
      <w:effect w:val="none"/>
    </w:rPr>
  </w:style>
  <w:style w:type="paragraph" w:styleId="Header">
    <w:name w:val="header"/>
    <w:basedOn w:val="Normal"/>
    <w:rsid w:val="00E32660"/>
    <w:pPr>
      <w:tabs>
        <w:tab w:val="center" w:pos="4153"/>
        <w:tab w:val="right" w:pos="8306"/>
      </w:tabs>
    </w:pPr>
  </w:style>
  <w:style w:type="paragraph" w:customStyle="1" w:styleId="Policycoverpagetext">
    <w:name w:val="Policy cover page text"/>
    <w:basedOn w:val="Normal"/>
    <w:autoRedefine/>
    <w:rsid w:val="00E32660"/>
  </w:style>
  <w:style w:type="character" w:customStyle="1" w:styleId="Heading1Char">
    <w:name w:val="Heading 1 Char"/>
    <w:link w:val="Heading1"/>
    <w:rsid w:val="00E20A47"/>
    <w:rPr>
      <w:rFonts w:ascii="Arial" w:hAnsi="Arial" w:cs="Arial"/>
      <w:b/>
      <w:bCs/>
      <w:kern w:val="32"/>
      <w:sz w:val="32"/>
      <w:szCs w:val="32"/>
      <w:lang w:val="en-AU" w:eastAsia="en-US" w:bidi="ar-SA"/>
    </w:rPr>
  </w:style>
  <w:style w:type="paragraph" w:customStyle="1" w:styleId="PolicyHeading1">
    <w:name w:val="Policy Heading 1"/>
    <w:basedOn w:val="Normal"/>
    <w:rsid w:val="00861A68"/>
    <w:pPr>
      <w:pBdr>
        <w:top w:val="single" w:sz="4" w:space="1" w:color="auto"/>
        <w:left w:val="single" w:sz="4" w:space="4" w:color="auto"/>
        <w:bottom w:val="single" w:sz="4" w:space="1" w:color="auto"/>
        <w:right w:val="single" w:sz="4" w:space="4" w:color="auto"/>
      </w:pBdr>
      <w:shd w:val="clear" w:color="auto" w:fill="E0E0E0"/>
      <w:jc w:val="both"/>
    </w:pPr>
    <w:rPr>
      <w:rFonts w:ascii="Arial" w:hAnsi="Arial" w:cs="Arial"/>
      <w:b/>
      <w:sz w:val="28"/>
      <w:szCs w:val="28"/>
    </w:rPr>
  </w:style>
  <w:style w:type="paragraph" w:customStyle="1" w:styleId="PolicyHeading2">
    <w:name w:val="Policy Heading 2"/>
    <w:basedOn w:val="Heading3"/>
    <w:rsid w:val="00861A68"/>
    <w:pPr>
      <w:pBdr>
        <w:top w:val="single" w:sz="4" w:space="1" w:color="auto"/>
        <w:left w:val="single" w:sz="4" w:space="4" w:color="auto"/>
        <w:bottom w:val="single" w:sz="4" w:space="1" w:color="auto"/>
        <w:right w:val="single" w:sz="4" w:space="4" w:color="auto"/>
      </w:pBdr>
      <w:shd w:val="clear" w:color="auto" w:fill="E0E0E0"/>
      <w:spacing w:before="0" w:after="0"/>
      <w:jc w:val="both"/>
    </w:pPr>
    <w:rPr>
      <w:sz w:val="24"/>
      <w:szCs w:val="24"/>
    </w:rPr>
  </w:style>
  <w:style w:type="paragraph" w:styleId="ListParagraph">
    <w:name w:val="List Paragraph"/>
    <w:aliases w:val="List Paragraph1,Recommendation,List Paragraph11"/>
    <w:basedOn w:val="Normal"/>
    <w:link w:val="ListParagraphChar"/>
    <w:uiPriority w:val="34"/>
    <w:qFormat/>
    <w:rsid w:val="001E227A"/>
    <w:pPr>
      <w:ind w:left="720"/>
      <w:contextualSpacing/>
    </w:pPr>
  </w:style>
  <w:style w:type="paragraph" w:styleId="EndnoteText">
    <w:name w:val="endnote text"/>
    <w:basedOn w:val="Normal"/>
    <w:link w:val="EndnoteTextChar"/>
    <w:uiPriority w:val="99"/>
    <w:rsid w:val="00426D0A"/>
    <w:pPr>
      <w:spacing w:after="0"/>
    </w:pPr>
    <w:rPr>
      <w:sz w:val="20"/>
      <w:szCs w:val="20"/>
    </w:rPr>
  </w:style>
  <w:style w:type="character" w:customStyle="1" w:styleId="EndnoteTextChar">
    <w:name w:val="Endnote Text Char"/>
    <w:basedOn w:val="DefaultParagraphFont"/>
    <w:link w:val="EndnoteText"/>
    <w:uiPriority w:val="99"/>
    <w:rsid w:val="00426D0A"/>
    <w:rPr>
      <w:rFonts w:ascii="Garamond" w:hAnsi="Garamond"/>
      <w:lang w:eastAsia="en-US"/>
    </w:rPr>
  </w:style>
  <w:style w:type="character" w:styleId="EndnoteReference">
    <w:name w:val="endnote reference"/>
    <w:basedOn w:val="DefaultParagraphFont"/>
    <w:uiPriority w:val="99"/>
    <w:rsid w:val="00426D0A"/>
    <w:rPr>
      <w:vertAlign w:val="superscript"/>
    </w:rPr>
  </w:style>
  <w:style w:type="table" w:styleId="TableGrid">
    <w:name w:val="Table Grid"/>
    <w:basedOn w:val="TableNormal"/>
    <w:rsid w:val="005E05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actsheetcontentmain">
    <w:name w:val="factsheet_contentmain"/>
    <w:basedOn w:val="DefaultParagraphFont"/>
    <w:rsid w:val="00612509"/>
  </w:style>
  <w:style w:type="paragraph" w:styleId="Revision">
    <w:name w:val="Revision"/>
    <w:hidden/>
    <w:uiPriority w:val="99"/>
    <w:semiHidden/>
    <w:rsid w:val="00563AC1"/>
    <w:rPr>
      <w:rFonts w:ascii="Garamond" w:hAnsi="Garamond"/>
      <w:sz w:val="24"/>
      <w:szCs w:val="24"/>
      <w:lang w:eastAsia="en-US"/>
    </w:rPr>
  </w:style>
  <w:style w:type="paragraph" w:styleId="ListBullet">
    <w:name w:val="List Bullet"/>
    <w:basedOn w:val="BodyText"/>
    <w:link w:val="ListBulletChar"/>
    <w:qFormat/>
    <w:rsid w:val="00925EF7"/>
    <w:pPr>
      <w:numPr>
        <w:numId w:val="39"/>
      </w:numPr>
      <w:spacing w:before="120" w:after="0"/>
      <w:contextualSpacing/>
      <w:jc w:val="both"/>
    </w:pPr>
    <w:rPr>
      <w:rFonts w:ascii="Arial" w:hAnsi="Arial" w:cs="Arial"/>
      <w:sz w:val="22"/>
      <w:szCs w:val="22"/>
      <w:lang w:eastAsia="en-AU"/>
    </w:rPr>
  </w:style>
  <w:style w:type="character" w:customStyle="1" w:styleId="ListBulletChar">
    <w:name w:val="List Bullet Char"/>
    <w:link w:val="ListBullet"/>
    <w:rsid w:val="00925EF7"/>
    <w:rPr>
      <w:rFonts w:ascii="Arial" w:hAnsi="Arial" w:cs="Arial"/>
      <w:sz w:val="22"/>
      <w:szCs w:val="22"/>
    </w:rPr>
  </w:style>
  <w:style w:type="paragraph" w:styleId="BodyText">
    <w:name w:val="Body Text"/>
    <w:basedOn w:val="Normal"/>
    <w:link w:val="BodyTextChar"/>
    <w:rsid w:val="00925EF7"/>
  </w:style>
  <w:style w:type="character" w:customStyle="1" w:styleId="BodyTextChar">
    <w:name w:val="Body Text Char"/>
    <w:basedOn w:val="DefaultParagraphFont"/>
    <w:link w:val="BodyText"/>
    <w:rsid w:val="00925EF7"/>
    <w:rPr>
      <w:rFonts w:ascii="Garamond" w:hAnsi="Garamond"/>
      <w:sz w:val="24"/>
      <w:szCs w:val="24"/>
      <w:lang w:eastAsia="en-US"/>
    </w:rPr>
  </w:style>
  <w:style w:type="character" w:customStyle="1" w:styleId="ListParagraphChar">
    <w:name w:val="List Paragraph Char"/>
    <w:aliases w:val="List Paragraph1 Char,Recommendation Char,List Paragraph11 Char"/>
    <w:link w:val="ListParagraph"/>
    <w:uiPriority w:val="34"/>
    <w:locked/>
    <w:rsid w:val="0010355B"/>
    <w:rPr>
      <w:rFonts w:ascii="Garamond" w:hAnsi="Garamond"/>
      <w:sz w:val="24"/>
      <w:szCs w:val="24"/>
      <w:lang w:eastAsia="en-US"/>
    </w:rPr>
  </w:style>
  <w:style w:type="paragraph" w:customStyle="1" w:styleId="RecTitle">
    <w:name w:val="Rec Title"/>
    <w:basedOn w:val="BodyText"/>
    <w:next w:val="Normal"/>
    <w:rsid w:val="0010355B"/>
    <w:pPr>
      <w:keepNext/>
      <w:keepLines/>
      <w:spacing w:before="240" w:after="0" w:line="320" w:lineRule="atLeast"/>
      <w:jc w:val="both"/>
    </w:pPr>
    <w:rPr>
      <w:rFonts w:ascii="Times New Roman" w:hAnsi="Times New Roman"/>
      <w:cap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1447">
      <w:bodyDiv w:val="1"/>
      <w:marLeft w:val="0"/>
      <w:marRight w:val="0"/>
      <w:marTop w:val="0"/>
      <w:marBottom w:val="0"/>
      <w:divBdr>
        <w:top w:val="none" w:sz="0" w:space="0" w:color="auto"/>
        <w:left w:val="none" w:sz="0" w:space="0" w:color="auto"/>
        <w:bottom w:val="none" w:sz="0" w:space="0" w:color="auto"/>
        <w:right w:val="none" w:sz="0" w:space="0" w:color="auto"/>
      </w:divBdr>
    </w:div>
    <w:div w:id="65960066">
      <w:bodyDiv w:val="1"/>
      <w:marLeft w:val="0"/>
      <w:marRight w:val="0"/>
      <w:marTop w:val="0"/>
      <w:marBottom w:val="0"/>
      <w:divBdr>
        <w:top w:val="none" w:sz="0" w:space="0" w:color="auto"/>
        <w:left w:val="none" w:sz="0" w:space="0" w:color="auto"/>
        <w:bottom w:val="none" w:sz="0" w:space="0" w:color="auto"/>
        <w:right w:val="none" w:sz="0" w:space="0" w:color="auto"/>
      </w:divBdr>
    </w:div>
    <w:div w:id="129397518">
      <w:bodyDiv w:val="1"/>
      <w:marLeft w:val="0"/>
      <w:marRight w:val="0"/>
      <w:marTop w:val="0"/>
      <w:marBottom w:val="0"/>
      <w:divBdr>
        <w:top w:val="none" w:sz="0" w:space="0" w:color="auto"/>
        <w:left w:val="none" w:sz="0" w:space="0" w:color="auto"/>
        <w:bottom w:val="none" w:sz="0" w:space="0" w:color="auto"/>
        <w:right w:val="none" w:sz="0" w:space="0" w:color="auto"/>
      </w:divBdr>
    </w:div>
    <w:div w:id="170800292">
      <w:bodyDiv w:val="1"/>
      <w:marLeft w:val="0"/>
      <w:marRight w:val="0"/>
      <w:marTop w:val="0"/>
      <w:marBottom w:val="0"/>
      <w:divBdr>
        <w:top w:val="none" w:sz="0" w:space="0" w:color="auto"/>
        <w:left w:val="none" w:sz="0" w:space="0" w:color="auto"/>
        <w:bottom w:val="none" w:sz="0" w:space="0" w:color="auto"/>
        <w:right w:val="none" w:sz="0" w:space="0" w:color="auto"/>
      </w:divBdr>
    </w:div>
    <w:div w:id="186793774">
      <w:bodyDiv w:val="1"/>
      <w:marLeft w:val="0"/>
      <w:marRight w:val="0"/>
      <w:marTop w:val="0"/>
      <w:marBottom w:val="0"/>
      <w:divBdr>
        <w:top w:val="none" w:sz="0" w:space="0" w:color="auto"/>
        <w:left w:val="none" w:sz="0" w:space="0" w:color="auto"/>
        <w:bottom w:val="none" w:sz="0" w:space="0" w:color="auto"/>
        <w:right w:val="none" w:sz="0" w:space="0" w:color="auto"/>
      </w:divBdr>
    </w:div>
    <w:div w:id="338581434">
      <w:bodyDiv w:val="1"/>
      <w:marLeft w:val="0"/>
      <w:marRight w:val="0"/>
      <w:marTop w:val="0"/>
      <w:marBottom w:val="0"/>
      <w:divBdr>
        <w:top w:val="none" w:sz="0" w:space="0" w:color="auto"/>
        <w:left w:val="none" w:sz="0" w:space="0" w:color="auto"/>
        <w:bottom w:val="none" w:sz="0" w:space="0" w:color="auto"/>
        <w:right w:val="none" w:sz="0" w:space="0" w:color="auto"/>
      </w:divBdr>
    </w:div>
    <w:div w:id="402528917">
      <w:bodyDiv w:val="1"/>
      <w:marLeft w:val="0"/>
      <w:marRight w:val="0"/>
      <w:marTop w:val="0"/>
      <w:marBottom w:val="0"/>
      <w:divBdr>
        <w:top w:val="none" w:sz="0" w:space="0" w:color="auto"/>
        <w:left w:val="none" w:sz="0" w:space="0" w:color="auto"/>
        <w:bottom w:val="none" w:sz="0" w:space="0" w:color="auto"/>
        <w:right w:val="none" w:sz="0" w:space="0" w:color="auto"/>
      </w:divBdr>
    </w:div>
    <w:div w:id="422187869">
      <w:bodyDiv w:val="1"/>
      <w:marLeft w:val="0"/>
      <w:marRight w:val="0"/>
      <w:marTop w:val="0"/>
      <w:marBottom w:val="0"/>
      <w:divBdr>
        <w:top w:val="none" w:sz="0" w:space="0" w:color="auto"/>
        <w:left w:val="none" w:sz="0" w:space="0" w:color="auto"/>
        <w:bottom w:val="none" w:sz="0" w:space="0" w:color="auto"/>
        <w:right w:val="none" w:sz="0" w:space="0" w:color="auto"/>
      </w:divBdr>
    </w:div>
    <w:div w:id="456484230">
      <w:bodyDiv w:val="1"/>
      <w:marLeft w:val="0"/>
      <w:marRight w:val="0"/>
      <w:marTop w:val="0"/>
      <w:marBottom w:val="0"/>
      <w:divBdr>
        <w:top w:val="none" w:sz="0" w:space="0" w:color="auto"/>
        <w:left w:val="none" w:sz="0" w:space="0" w:color="auto"/>
        <w:bottom w:val="none" w:sz="0" w:space="0" w:color="auto"/>
        <w:right w:val="none" w:sz="0" w:space="0" w:color="auto"/>
      </w:divBdr>
    </w:div>
    <w:div w:id="459033459">
      <w:bodyDiv w:val="1"/>
      <w:marLeft w:val="0"/>
      <w:marRight w:val="0"/>
      <w:marTop w:val="0"/>
      <w:marBottom w:val="0"/>
      <w:divBdr>
        <w:top w:val="none" w:sz="0" w:space="0" w:color="auto"/>
        <w:left w:val="none" w:sz="0" w:space="0" w:color="auto"/>
        <w:bottom w:val="none" w:sz="0" w:space="0" w:color="auto"/>
        <w:right w:val="none" w:sz="0" w:space="0" w:color="auto"/>
      </w:divBdr>
    </w:div>
    <w:div w:id="467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193695">
          <w:marLeft w:val="0"/>
          <w:marRight w:val="0"/>
          <w:marTop w:val="0"/>
          <w:marBottom w:val="0"/>
          <w:divBdr>
            <w:top w:val="none" w:sz="0" w:space="0" w:color="auto"/>
            <w:left w:val="none" w:sz="0" w:space="0" w:color="auto"/>
            <w:bottom w:val="none" w:sz="0" w:space="0" w:color="auto"/>
            <w:right w:val="none" w:sz="0" w:space="0" w:color="auto"/>
          </w:divBdr>
        </w:div>
        <w:div w:id="53549429">
          <w:marLeft w:val="0"/>
          <w:marRight w:val="0"/>
          <w:marTop w:val="0"/>
          <w:marBottom w:val="0"/>
          <w:divBdr>
            <w:top w:val="none" w:sz="0" w:space="0" w:color="auto"/>
            <w:left w:val="none" w:sz="0" w:space="0" w:color="auto"/>
            <w:bottom w:val="none" w:sz="0" w:space="0" w:color="auto"/>
            <w:right w:val="none" w:sz="0" w:space="0" w:color="auto"/>
          </w:divBdr>
        </w:div>
      </w:divsChild>
    </w:div>
    <w:div w:id="492259705">
      <w:bodyDiv w:val="1"/>
      <w:marLeft w:val="0"/>
      <w:marRight w:val="0"/>
      <w:marTop w:val="0"/>
      <w:marBottom w:val="0"/>
      <w:divBdr>
        <w:top w:val="none" w:sz="0" w:space="0" w:color="auto"/>
        <w:left w:val="none" w:sz="0" w:space="0" w:color="auto"/>
        <w:bottom w:val="none" w:sz="0" w:space="0" w:color="auto"/>
        <w:right w:val="none" w:sz="0" w:space="0" w:color="auto"/>
      </w:divBdr>
    </w:div>
    <w:div w:id="704057975">
      <w:bodyDiv w:val="1"/>
      <w:marLeft w:val="0"/>
      <w:marRight w:val="0"/>
      <w:marTop w:val="0"/>
      <w:marBottom w:val="0"/>
      <w:divBdr>
        <w:top w:val="none" w:sz="0" w:space="0" w:color="auto"/>
        <w:left w:val="none" w:sz="0" w:space="0" w:color="auto"/>
        <w:bottom w:val="none" w:sz="0" w:space="0" w:color="auto"/>
        <w:right w:val="none" w:sz="0" w:space="0" w:color="auto"/>
      </w:divBdr>
    </w:div>
    <w:div w:id="780492498">
      <w:bodyDiv w:val="1"/>
      <w:marLeft w:val="0"/>
      <w:marRight w:val="0"/>
      <w:marTop w:val="0"/>
      <w:marBottom w:val="0"/>
      <w:divBdr>
        <w:top w:val="none" w:sz="0" w:space="0" w:color="auto"/>
        <w:left w:val="none" w:sz="0" w:space="0" w:color="auto"/>
        <w:bottom w:val="none" w:sz="0" w:space="0" w:color="auto"/>
        <w:right w:val="none" w:sz="0" w:space="0" w:color="auto"/>
      </w:divBdr>
    </w:div>
    <w:div w:id="786241279">
      <w:bodyDiv w:val="1"/>
      <w:marLeft w:val="0"/>
      <w:marRight w:val="0"/>
      <w:marTop w:val="0"/>
      <w:marBottom w:val="0"/>
      <w:divBdr>
        <w:top w:val="none" w:sz="0" w:space="0" w:color="auto"/>
        <w:left w:val="none" w:sz="0" w:space="0" w:color="auto"/>
        <w:bottom w:val="none" w:sz="0" w:space="0" w:color="auto"/>
        <w:right w:val="none" w:sz="0" w:space="0" w:color="auto"/>
      </w:divBdr>
    </w:div>
    <w:div w:id="875048882">
      <w:bodyDiv w:val="1"/>
      <w:marLeft w:val="0"/>
      <w:marRight w:val="0"/>
      <w:marTop w:val="0"/>
      <w:marBottom w:val="0"/>
      <w:divBdr>
        <w:top w:val="none" w:sz="0" w:space="0" w:color="auto"/>
        <w:left w:val="none" w:sz="0" w:space="0" w:color="auto"/>
        <w:bottom w:val="none" w:sz="0" w:space="0" w:color="auto"/>
        <w:right w:val="none" w:sz="0" w:space="0" w:color="auto"/>
      </w:divBdr>
    </w:div>
    <w:div w:id="906721221">
      <w:bodyDiv w:val="1"/>
      <w:marLeft w:val="0"/>
      <w:marRight w:val="0"/>
      <w:marTop w:val="0"/>
      <w:marBottom w:val="0"/>
      <w:divBdr>
        <w:top w:val="none" w:sz="0" w:space="0" w:color="auto"/>
        <w:left w:val="none" w:sz="0" w:space="0" w:color="auto"/>
        <w:bottom w:val="none" w:sz="0" w:space="0" w:color="auto"/>
        <w:right w:val="none" w:sz="0" w:space="0" w:color="auto"/>
      </w:divBdr>
      <w:divsChild>
        <w:div w:id="1980070474">
          <w:marLeft w:val="0"/>
          <w:marRight w:val="0"/>
          <w:marTop w:val="0"/>
          <w:marBottom w:val="0"/>
          <w:divBdr>
            <w:top w:val="none" w:sz="0" w:space="0" w:color="auto"/>
            <w:left w:val="none" w:sz="0" w:space="0" w:color="auto"/>
            <w:bottom w:val="none" w:sz="0" w:space="0" w:color="auto"/>
            <w:right w:val="none" w:sz="0" w:space="0" w:color="auto"/>
          </w:divBdr>
        </w:div>
        <w:div w:id="39982702">
          <w:marLeft w:val="0"/>
          <w:marRight w:val="0"/>
          <w:marTop w:val="0"/>
          <w:marBottom w:val="0"/>
          <w:divBdr>
            <w:top w:val="none" w:sz="0" w:space="0" w:color="auto"/>
            <w:left w:val="none" w:sz="0" w:space="0" w:color="auto"/>
            <w:bottom w:val="none" w:sz="0" w:space="0" w:color="auto"/>
            <w:right w:val="none" w:sz="0" w:space="0" w:color="auto"/>
          </w:divBdr>
        </w:div>
        <w:div w:id="2038850024">
          <w:marLeft w:val="0"/>
          <w:marRight w:val="0"/>
          <w:marTop w:val="0"/>
          <w:marBottom w:val="0"/>
          <w:divBdr>
            <w:top w:val="none" w:sz="0" w:space="0" w:color="auto"/>
            <w:left w:val="none" w:sz="0" w:space="0" w:color="auto"/>
            <w:bottom w:val="none" w:sz="0" w:space="0" w:color="auto"/>
            <w:right w:val="none" w:sz="0" w:space="0" w:color="auto"/>
          </w:divBdr>
        </w:div>
        <w:div w:id="574704629">
          <w:marLeft w:val="0"/>
          <w:marRight w:val="0"/>
          <w:marTop w:val="0"/>
          <w:marBottom w:val="0"/>
          <w:divBdr>
            <w:top w:val="none" w:sz="0" w:space="0" w:color="auto"/>
            <w:left w:val="none" w:sz="0" w:space="0" w:color="auto"/>
            <w:bottom w:val="none" w:sz="0" w:space="0" w:color="auto"/>
            <w:right w:val="none" w:sz="0" w:space="0" w:color="auto"/>
          </w:divBdr>
        </w:div>
        <w:div w:id="199902201">
          <w:marLeft w:val="0"/>
          <w:marRight w:val="0"/>
          <w:marTop w:val="0"/>
          <w:marBottom w:val="0"/>
          <w:divBdr>
            <w:top w:val="none" w:sz="0" w:space="0" w:color="auto"/>
            <w:left w:val="none" w:sz="0" w:space="0" w:color="auto"/>
            <w:bottom w:val="none" w:sz="0" w:space="0" w:color="auto"/>
            <w:right w:val="none" w:sz="0" w:space="0" w:color="auto"/>
          </w:divBdr>
        </w:div>
        <w:div w:id="891698056">
          <w:marLeft w:val="0"/>
          <w:marRight w:val="0"/>
          <w:marTop w:val="0"/>
          <w:marBottom w:val="0"/>
          <w:divBdr>
            <w:top w:val="none" w:sz="0" w:space="0" w:color="auto"/>
            <w:left w:val="none" w:sz="0" w:space="0" w:color="auto"/>
            <w:bottom w:val="none" w:sz="0" w:space="0" w:color="auto"/>
            <w:right w:val="none" w:sz="0" w:space="0" w:color="auto"/>
          </w:divBdr>
        </w:div>
        <w:div w:id="1778216122">
          <w:marLeft w:val="0"/>
          <w:marRight w:val="0"/>
          <w:marTop w:val="0"/>
          <w:marBottom w:val="0"/>
          <w:divBdr>
            <w:top w:val="none" w:sz="0" w:space="0" w:color="auto"/>
            <w:left w:val="none" w:sz="0" w:space="0" w:color="auto"/>
            <w:bottom w:val="none" w:sz="0" w:space="0" w:color="auto"/>
            <w:right w:val="none" w:sz="0" w:space="0" w:color="auto"/>
          </w:divBdr>
        </w:div>
        <w:div w:id="1452554789">
          <w:marLeft w:val="0"/>
          <w:marRight w:val="0"/>
          <w:marTop w:val="0"/>
          <w:marBottom w:val="0"/>
          <w:divBdr>
            <w:top w:val="none" w:sz="0" w:space="0" w:color="auto"/>
            <w:left w:val="none" w:sz="0" w:space="0" w:color="auto"/>
            <w:bottom w:val="none" w:sz="0" w:space="0" w:color="auto"/>
            <w:right w:val="none" w:sz="0" w:space="0" w:color="auto"/>
          </w:divBdr>
        </w:div>
      </w:divsChild>
    </w:div>
    <w:div w:id="908275047">
      <w:bodyDiv w:val="1"/>
      <w:marLeft w:val="0"/>
      <w:marRight w:val="0"/>
      <w:marTop w:val="0"/>
      <w:marBottom w:val="0"/>
      <w:divBdr>
        <w:top w:val="none" w:sz="0" w:space="0" w:color="auto"/>
        <w:left w:val="none" w:sz="0" w:space="0" w:color="auto"/>
        <w:bottom w:val="none" w:sz="0" w:space="0" w:color="auto"/>
        <w:right w:val="none" w:sz="0" w:space="0" w:color="auto"/>
      </w:divBdr>
    </w:div>
    <w:div w:id="949707922">
      <w:bodyDiv w:val="1"/>
      <w:marLeft w:val="0"/>
      <w:marRight w:val="0"/>
      <w:marTop w:val="0"/>
      <w:marBottom w:val="0"/>
      <w:divBdr>
        <w:top w:val="none" w:sz="0" w:space="0" w:color="auto"/>
        <w:left w:val="none" w:sz="0" w:space="0" w:color="auto"/>
        <w:bottom w:val="none" w:sz="0" w:space="0" w:color="auto"/>
        <w:right w:val="none" w:sz="0" w:space="0" w:color="auto"/>
      </w:divBdr>
    </w:div>
    <w:div w:id="984894772">
      <w:bodyDiv w:val="1"/>
      <w:marLeft w:val="0"/>
      <w:marRight w:val="0"/>
      <w:marTop w:val="0"/>
      <w:marBottom w:val="0"/>
      <w:divBdr>
        <w:top w:val="none" w:sz="0" w:space="0" w:color="auto"/>
        <w:left w:val="none" w:sz="0" w:space="0" w:color="auto"/>
        <w:bottom w:val="none" w:sz="0" w:space="0" w:color="auto"/>
        <w:right w:val="none" w:sz="0" w:space="0" w:color="auto"/>
      </w:divBdr>
    </w:div>
    <w:div w:id="1002315574">
      <w:bodyDiv w:val="1"/>
      <w:marLeft w:val="0"/>
      <w:marRight w:val="0"/>
      <w:marTop w:val="0"/>
      <w:marBottom w:val="0"/>
      <w:divBdr>
        <w:top w:val="none" w:sz="0" w:space="0" w:color="auto"/>
        <w:left w:val="none" w:sz="0" w:space="0" w:color="auto"/>
        <w:bottom w:val="none" w:sz="0" w:space="0" w:color="auto"/>
        <w:right w:val="none" w:sz="0" w:space="0" w:color="auto"/>
      </w:divBdr>
      <w:divsChild>
        <w:div w:id="2073966990">
          <w:marLeft w:val="0"/>
          <w:marRight w:val="0"/>
          <w:marTop w:val="0"/>
          <w:marBottom w:val="0"/>
          <w:divBdr>
            <w:top w:val="none" w:sz="0" w:space="0" w:color="auto"/>
            <w:left w:val="none" w:sz="0" w:space="0" w:color="auto"/>
            <w:bottom w:val="none" w:sz="0" w:space="0" w:color="auto"/>
            <w:right w:val="none" w:sz="0" w:space="0" w:color="auto"/>
          </w:divBdr>
        </w:div>
        <w:div w:id="331882944">
          <w:marLeft w:val="0"/>
          <w:marRight w:val="0"/>
          <w:marTop w:val="0"/>
          <w:marBottom w:val="0"/>
          <w:divBdr>
            <w:top w:val="none" w:sz="0" w:space="0" w:color="auto"/>
            <w:left w:val="none" w:sz="0" w:space="0" w:color="auto"/>
            <w:bottom w:val="none" w:sz="0" w:space="0" w:color="auto"/>
            <w:right w:val="none" w:sz="0" w:space="0" w:color="auto"/>
          </w:divBdr>
        </w:div>
        <w:div w:id="1678998778">
          <w:marLeft w:val="0"/>
          <w:marRight w:val="0"/>
          <w:marTop w:val="0"/>
          <w:marBottom w:val="0"/>
          <w:divBdr>
            <w:top w:val="none" w:sz="0" w:space="0" w:color="auto"/>
            <w:left w:val="none" w:sz="0" w:space="0" w:color="auto"/>
            <w:bottom w:val="none" w:sz="0" w:space="0" w:color="auto"/>
            <w:right w:val="none" w:sz="0" w:space="0" w:color="auto"/>
          </w:divBdr>
        </w:div>
      </w:divsChild>
    </w:div>
    <w:div w:id="1167787591">
      <w:bodyDiv w:val="1"/>
      <w:marLeft w:val="0"/>
      <w:marRight w:val="0"/>
      <w:marTop w:val="0"/>
      <w:marBottom w:val="0"/>
      <w:divBdr>
        <w:top w:val="none" w:sz="0" w:space="0" w:color="auto"/>
        <w:left w:val="none" w:sz="0" w:space="0" w:color="auto"/>
        <w:bottom w:val="none" w:sz="0" w:space="0" w:color="auto"/>
        <w:right w:val="none" w:sz="0" w:space="0" w:color="auto"/>
      </w:divBdr>
    </w:div>
    <w:div w:id="1199077426">
      <w:bodyDiv w:val="1"/>
      <w:marLeft w:val="0"/>
      <w:marRight w:val="0"/>
      <w:marTop w:val="0"/>
      <w:marBottom w:val="0"/>
      <w:divBdr>
        <w:top w:val="none" w:sz="0" w:space="0" w:color="auto"/>
        <w:left w:val="none" w:sz="0" w:space="0" w:color="auto"/>
        <w:bottom w:val="none" w:sz="0" w:space="0" w:color="auto"/>
        <w:right w:val="none" w:sz="0" w:space="0" w:color="auto"/>
      </w:divBdr>
    </w:div>
    <w:div w:id="1249656384">
      <w:bodyDiv w:val="1"/>
      <w:marLeft w:val="0"/>
      <w:marRight w:val="0"/>
      <w:marTop w:val="0"/>
      <w:marBottom w:val="0"/>
      <w:divBdr>
        <w:top w:val="none" w:sz="0" w:space="0" w:color="auto"/>
        <w:left w:val="none" w:sz="0" w:space="0" w:color="auto"/>
        <w:bottom w:val="none" w:sz="0" w:space="0" w:color="auto"/>
        <w:right w:val="none" w:sz="0" w:space="0" w:color="auto"/>
      </w:divBdr>
    </w:div>
    <w:div w:id="1264845604">
      <w:bodyDiv w:val="1"/>
      <w:marLeft w:val="0"/>
      <w:marRight w:val="0"/>
      <w:marTop w:val="0"/>
      <w:marBottom w:val="0"/>
      <w:divBdr>
        <w:top w:val="none" w:sz="0" w:space="0" w:color="auto"/>
        <w:left w:val="none" w:sz="0" w:space="0" w:color="auto"/>
        <w:bottom w:val="none" w:sz="0" w:space="0" w:color="auto"/>
        <w:right w:val="none" w:sz="0" w:space="0" w:color="auto"/>
      </w:divBdr>
    </w:div>
    <w:div w:id="1296445456">
      <w:bodyDiv w:val="1"/>
      <w:marLeft w:val="0"/>
      <w:marRight w:val="0"/>
      <w:marTop w:val="0"/>
      <w:marBottom w:val="0"/>
      <w:divBdr>
        <w:top w:val="none" w:sz="0" w:space="0" w:color="auto"/>
        <w:left w:val="none" w:sz="0" w:space="0" w:color="auto"/>
        <w:bottom w:val="none" w:sz="0" w:space="0" w:color="auto"/>
        <w:right w:val="none" w:sz="0" w:space="0" w:color="auto"/>
      </w:divBdr>
    </w:div>
    <w:div w:id="1358503541">
      <w:bodyDiv w:val="1"/>
      <w:marLeft w:val="0"/>
      <w:marRight w:val="0"/>
      <w:marTop w:val="0"/>
      <w:marBottom w:val="0"/>
      <w:divBdr>
        <w:top w:val="none" w:sz="0" w:space="0" w:color="auto"/>
        <w:left w:val="none" w:sz="0" w:space="0" w:color="auto"/>
        <w:bottom w:val="none" w:sz="0" w:space="0" w:color="auto"/>
        <w:right w:val="none" w:sz="0" w:space="0" w:color="auto"/>
      </w:divBdr>
    </w:div>
    <w:div w:id="1412236342">
      <w:bodyDiv w:val="1"/>
      <w:marLeft w:val="0"/>
      <w:marRight w:val="0"/>
      <w:marTop w:val="0"/>
      <w:marBottom w:val="0"/>
      <w:divBdr>
        <w:top w:val="none" w:sz="0" w:space="0" w:color="auto"/>
        <w:left w:val="none" w:sz="0" w:space="0" w:color="auto"/>
        <w:bottom w:val="none" w:sz="0" w:space="0" w:color="auto"/>
        <w:right w:val="none" w:sz="0" w:space="0" w:color="auto"/>
      </w:divBdr>
      <w:divsChild>
        <w:div w:id="700667765">
          <w:marLeft w:val="0"/>
          <w:marRight w:val="0"/>
          <w:marTop w:val="0"/>
          <w:marBottom w:val="0"/>
          <w:divBdr>
            <w:top w:val="none" w:sz="0" w:space="0" w:color="auto"/>
            <w:left w:val="none" w:sz="0" w:space="0" w:color="auto"/>
            <w:bottom w:val="none" w:sz="0" w:space="0" w:color="auto"/>
            <w:right w:val="none" w:sz="0" w:space="0" w:color="auto"/>
          </w:divBdr>
        </w:div>
        <w:div w:id="1476295981">
          <w:marLeft w:val="0"/>
          <w:marRight w:val="0"/>
          <w:marTop w:val="0"/>
          <w:marBottom w:val="0"/>
          <w:divBdr>
            <w:top w:val="none" w:sz="0" w:space="0" w:color="auto"/>
            <w:left w:val="none" w:sz="0" w:space="0" w:color="auto"/>
            <w:bottom w:val="none" w:sz="0" w:space="0" w:color="auto"/>
            <w:right w:val="none" w:sz="0" w:space="0" w:color="auto"/>
          </w:divBdr>
        </w:div>
      </w:divsChild>
    </w:div>
    <w:div w:id="1420105136">
      <w:bodyDiv w:val="1"/>
      <w:marLeft w:val="0"/>
      <w:marRight w:val="0"/>
      <w:marTop w:val="0"/>
      <w:marBottom w:val="0"/>
      <w:divBdr>
        <w:top w:val="none" w:sz="0" w:space="0" w:color="auto"/>
        <w:left w:val="none" w:sz="0" w:space="0" w:color="auto"/>
        <w:bottom w:val="none" w:sz="0" w:space="0" w:color="auto"/>
        <w:right w:val="none" w:sz="0" w:space="0" w:color="auto"/>
      </w:divBdr>
    </w:div>
    <w:div w:id="1478572694">
      <w:bodyDiv w:val="1"/>
      <w:marLeft w:val="0"/>
      <w:marRight w:val="0"/>
      <w:marTop w:val="0"/>
      <w:marBottom w:val="0"/>
      <w:divBdr>
        <w:top w:val="none" w:sz="0" w:space="0" w:color="auto"/>
        <w:left w:val="none" w:sz="0" w:space="0" w:color="auto"/>
        <w:bottom w:val="none" w:sz="0" w:space="0" w:color="auto"/>
        <w:right w:val="none" w:sz="0" w:space="0" w:color="auto"/>
      </w:divBdr>
    </w:div>
    <w:div w:id="1536187657">
      <w:bodyDiv w:val="1"/>
      <w:marLeft w:val="0"/>
      <w:marRight w:val="0"/>
      <w:marTop w:val="0"/>
      <w:marBottom w:val="0"/>
      <w:divBdr>
        <w:top w:val="none" w:sz="0" w:space="0" w:color="auto"/>
        <w:left w:val="none" w:sz="0" w:space="0" w:color="auto"/>
        <w:bottom w:val="none" w:sz="0" w:space="0" w:color="auto"/>
        <w:right w:val="none" w:sz="0" w:space="0" w:color="auto"/>
      </w:divBdr>
    </w:div>
    <w:div w:id="1576355259">
      <w:bodyDiv w:val="1"/>
      <w:marLeft w:val="0"/>
      <w:marRight w:val="0"/>
      <w:marTop w:val="0"/>
      <w:marBottom w:val="0"/>
      <w:divBdr>
        <w:top w:val="none" w:sz="0" w:space="0" w:color="auto"/>
        <w:left w:val="none" w:sz="0" w:space="0" w:color="auto"/>
        <w:bottom w:val="none" w:sz="0" w:space="0" w:color="auto"/>
        <w:right w:val="none" w:sz="0" w:space="0" w:color="auto"/>
      </w:divBdr>
    </w:div>
    <w:div w:id="1702779014">
      <w:bodyDiv w:val="1"/>
      <w:marLeft w:val="0"/>
      <w:marRight w:val="0"/>
      <w:marTop w:val="0"/>
      <w:marBottom w:val="0"/>
      <w:divBdr>
        <w:top w:val="none" w:sz="0" w:space="0" w:color="auto"/>
        <w:left w:val="none" w:sz="0" w:space="0" w:color="auto"/>
        <w:bottom w:val="none" w:sz="0" w:space="0" w:color="auto"/>
        <w:right w:val="none" w:sz="0" w:space="0" w:color="auto"/>
      </w:divBdr>
    </w:div>
    <w:div w:id="1785617607">
      <w:bodyDiv w:val="1"/>
      <w:marLeft w:val="0"/>
      <w:marRight w:val="0"/>
      <w:marTop w:val="0"/>
      <w:marBottom w:val="0"/>
      <w:divBdr>
        <w:top w:val="none" w:sz="0" w:space="0" w:color="auto"/>
        <w:left w:val="none" w:sz="0" w:space="0" w:color="auto"/>
        <w:bottom w:val="none" w:sz="0" w:space="0" w:color="auto"/>
        <w:right w:val="none" w:sz="0" w:space="0" w:color="auto"/>
      </w:divBdr>
      <w:divsChild>
        <w:div w:id="1644969693">
          <w:marLeft w:val="0"/>
          <w:marRight w:val="0"/>
          <w:marTop w:val="0"/>
          <w:marBottom w:val="0"/>
          <w:divBdr>
            <w:top w:val="none" w:sz="0" w:space="0" w:color="auto"/>
            <w:left w:val="none" w:sz="0" w:space="0" w:color="auto"/>
            <w:bottom w:val="none" w:sz="0" w:space="0" w:color="auto"/>
            <w:right w:val="none" w:sz="0" w:space="0" w:color="auto"/>
          </w:divBdr>
        </w:div>
        <w:div w:id="1011684149">
          <w:marLeft w:val="0"/>
          <w:marRight w:val="0"/>
          <w:marTop w:val="0"/>
          <w:marBottom w:val="0"/>
          <w:divBdr>
            <w:top w:val="none" w:sz="0" w:space="0" w:color="auto"/>
            <w:left w:val="none" w:sz="0" w:space="0" w:color="auto"/>
            <w:bottom w:val="none" w:sz="0" w:space="0" w:color="auto"/>
            <w:right w:val="none" w:sz="0" w:space="0" w:color="auto"/>
          </w:divBdr>
        </w:div>
        <w:div w:id="1482885917">
          <w:marLeft w:val="0"/>
          <w:marRight w:val="0"/>
          <w:marTop w:val="0"/>
          <w:marBottom w:val="0"/>
          <w:divBdr>
            <w:top w:val="none" w:sz="0" w:space="0" w:color="auto"/>
            <w:left w:val="none" w:sz="0" w:space="0" w:color="auto"/>
            <w:bottom w:val="none" w:sz="0" w:space="0" w:color="auto"/>
            <w:right w:val="none" w:sz="0" w:space="0" w:color="auto"/>
          </w:divBdr>
        </w:div>
      </w:divsChild>
    </w:div>
    <w:div w:id="1802112192">
      <w:bodyDiv w:val="1"/>
      <w:marLeft w:val="0"/>
      <w:marRight w:val="0"/>
      <w:marTop w:val="0"/>
      <w:marBottom w:val="0"/>
      <w:divBdr>
        <w:top w:val="none" w:sz="0" w:space="0" w:color="auto"/>
        <w:left w:val="none" w:sz="0" w:space="0" w:color="auto"/>
        <w:bottom w:val="none" w:sz="0" w:space="0" w:color="auto"/>
        <w:right w:val="none" w:sz="0" w:space="0" w:color="auto"/>
      </w:divBdr>
    </w:div>
    <w:div w:id="1956253663">
      <w:bodyDiv w:val="1"/>
      <w:marLeft w:val="0"/>
      <w:marRight w:val="0"/>
      <w:marTop w:val="0"/>
      <w:marBottom w:val="0"/>
      <w:divBdr>
        <w:top w:val="none" w:sz="0" w:space="0" w:color="auto"/>
        <w:left w:val="none" w:sz="0" w:space="0" w:color="auto"/>
        <w:bottom w:val="none" w:sz="0" w:space="0" w:color="auto"/>
        <w:right w:val="none" w:sz="0" w:space="0" w:color="auto"/>
      </w:divBdr>
    </w:div>
    <w:div w:id="1962878081">
      <w:bodyDiv w:val="1"/>
      <w:marLeft w:val="0"/>
      <w:marRight w:val="0"/>
      <w:marTop w:val="0"/>
      <w:marBottom w:val="0"/>
      <w:divBdr>
        <w:top w:val="none" w:sz="0" w:space="0" w:color="auto"/>
        <w:left w:val="none" w:sz="0" w:space="0" w:color="auto"/>
        <w:bottom w:val="none" w:sz="0" w:space="0" w:color="auto"/>
        <w:right w:val="none" w:sz="0" w:space="0" w:color="auto"/>
      </w:divBdr>
    </w:div>
    <w:div w:id="1980766831">
      <w:bodyDiv w:val="1"/>
      <w:marLeft w:val="0"/>
      <w:marRight w:val="0"/>
      <w:marTop w:val="0"/>
      <w:marBottom w:val="0"/>
      <w:divBdr>
        <w:top w:val="none" w:sz="0" w:space="0" w:color="auto"/>
        <w:left w:val="none" w:sz="0" w:space="0" w:color="auto"/>
        <w:bottom w:val="none" w:sz="0" w:space="0" w:color="auto"/>
        <w:right w:val="none" w:sz="0" w:space="0" w:color="auto"/>
      </w:divBdr>
    </w:div>
    <w:div w:id="1989745364">
      <w:bodyDiv w:val="1"/>
      <w:marLeft w:val="0"/>
      <w:marRight w:val="0"/>
      <w:marTop w:val="0"/>
      <w:marBottom w:val="0"/>
      <w:divBdr>
        <w:top w:val="none" w:sz="0" w:space="0" w:color="auto"/>
        <w:left w:val="none" w:sz="0" w:space="0" w:color="auto"/>
        <w:bottom w:val="none" w:sz="0" w:space="0" w:color="auto"/>
        <w:right w:val="none" w:sz="0" w:space="0" w:color="auto"/>
      </w:divBdr>
    </w:div>
    <w:div w:id="2066294339">
      <w:bodyDiv w:val="1"/>
      <w:marLeft w:val="0"/>
      <w:marRight w:val="0"/>
      <w:marTop w:val="0"/>
      <w:marBottom w:val="0"/>
      <w:divBdr>
        <w:top w:val="none" w:sz="0" w:space="0" w:color="auto"/>
        <w:left w:val="none" w:sz="0" w:space="0" w:color="auto"/>
        <w:bottom w:val="none" w:sz="0" w:space="0" w:color="auto"/>
        <w:right w:val="none" w:sz="0" w:space="0" w:color="auto"/>
      </w:divBdr>
    </w:div>
    <w:div w:id="2098820904">
      <w:bodyDiv w:val="1"/>
      <w:marLeft w:val="0"/>
      <w:marRight w:val="0"/>
      <w:marTop w:val="0"/>
      <w:marBottom w:val="0"/>
      <w:divBdr>
        <w:top w:val="none" w:sz="0" w:space="0" w:color="auto"/>
        <w:left w:val="none" w:sz="0" w:space="0" w:color="auto"/>
        <w:bottom w:val="none" w:sz="0" w:space="0" w:color="auto"/>
        <w:right w:val="none" w:sz="0" w:space="0" w:color="auto"/>
      </w:divBdr>
    </w:div>
    <w:div w:id="2102799306">
      <w:bodyDiv w:val="1"/>
      <w:marLeft w:val="0"/>
      <w:marRight w:val="0"/>
      <w:marTop w:val="0"/>
      <w:marBottom w:val="0"/>
      <w:divBdr>
        <w:top w:val="none" w:sz="0" w:space="0" w:color="auto"/>
        <w:left w:val="none" w:sz="0" w:space="0" w:color="auto"/>
        <w:bottom w:val="none" w:sz="0" w:space="0" w:color="auto"/>
        <w:right w:val="none" w:sz="0" w:space="0" w:color="auto"/>
      </w:divBdr>
    </w:div>
    <w:div w:id="2105371576">
      <w:bodyDiv w:val="1"/>
      <w:marLeft w:val="0"/>
      <w:marRight w:val="0"/>
      <w:marTop w:val="0"/>
      <w:marBottom w:val="0"/>
      <w:divBdr>
        <w:top w:val="none" w:sz="0" w:space="0" w:color="auto"/>
        <w:left w:val="none" w:sz="0" w:space="0" w:color="auto"/>
        <w:bottom w:val="none" w:sz="0" w:space="0" w:color="auto"/>
        <w:right w:val="none" w:sz="0" w:space="0" w:color="auto"/>
      </w:divBdr>
    </w:div>
    <w:div w:id="212619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do@nsw.edo.org.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do@nsw.edo.org.au" TargetMode="External"/><Relationship Id="rId17" Type="http://schemas.openxmlformats.org/officeDocument/2006/relationships/hyperlink" Target="mailto:edowa@edowa.org.au" TargetMode="External"/><Relationship Id="rId2" Type="http://schemas.openxmlformats.org/officeDocument/2006/relationships/numbering" Target="numbering.xml"/><Relationship Id="rId16" Type="http://schemas.openxmlformats.org/officeDocument/2006/relationships/hyperlink" Target="mailto:edovic@edo.org.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o@nsw.edo.org.au" TargetMode="External"/><Relationship Id="rId5" Type="http://schemas.openxmlformats.org/officeDocument/2006/relationships/settings" Target="settings.xml"/><Relationship Id="rId15" Type="http://schemas.openxmlformats.org/officeDocument/2006/relationships/hyperlink" Target="mailto:edotas@edo.org.au" TargetMode="External"/><Relationship Id="rId10" Type="http://schemas.openxmlformats.org/officeDocument/2006/relationships/hyperlink" Target="mailto:edonsw@edonsw.org.a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edo@nsw.edo.org.au" TargetMode="External"/><Relationship Id="rId14" Type="http://schemas.openxmlformats.org/officeDocument/2006/relationships/hyperlink" Target="mailto:edo@nsw.edo.org.au"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planning.nsw.gov.au/performance-monitoring" TargetMode="External"/><Relationship Id="rId2" Type="http://schemas.openxmlformats.org/officeDocument/2006/relationships/hyperlink" Target="http://registers.water.nsw.gov.au/wma/ApplicationSearch.jsp?selectedRegister=Application" TargetMode="External"/><Relationship Id="rId1" Type="http://schemas.openxmlformats.org/officeDocument/2006/relationships/hyperlink" Target="http://www.hrcr.org/safrica/access_courts/Austrailia/aus_cons_comm.html" TargetMode="External"/><Relationship Id="rId4" Type="http://schemas.openxmlformats.org/officeDocument/2006/relationships/hyperlink" Target="http://edo.org.au/policy/121207-Cth-FOI-Act-review-ANEDO-submission-FINAL.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9CD1C-A4D2-4E1C-B5C6-4ED45F1E1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9654</Words>
  <Characters>54683</Characters>
  <Application>Microsoft Office Word</Application>
  <DocSecurity>0</DocSecurity>
  <Lines>1477</Lines>
  <Paragraphs>456</Paragraphs>
  <ScaleCrop>false</ScaleCrop>
  <HeadingPairs>
    <vt:vector size="2" baseType="variant">
      <vt:variant>
        <vt:lpstr>Title</vt:lpstr>
      </vt:variant>
      <vt:variant>
        <vt:i4>1</vt:i4>
      </vt:variant>
    </vt:vector>
  </HeadingPairs>
  <TitlesOfParts>
    <vt:vector size="1" baseType="lpstr">
      <vt:lpstr>Submission 94 - Australian Network Environmental Defenders Offices - Access to Justice Arrangements - Public inquiry</vt:lpstr>
    </vt:vector>
  </TitlesOfParts>
  <Company>Australian Network Environmental Defenders Offices</Company>
  <LinksUpToDate>false</LinksUpToDate>
  <CharactersWithSpaces>63881</CharactersWithSpaces>
  <SharedDoc>false</SharedDoc>
  <HLinks>
    <vt:vector size="54" baseType="variant">
      <vt:variant>
        <vt:i4>721016</vt:i4>
      </vt:variant>
      <vt:variant>
        <vt:i4>28</vt:i4>
      </vt:variant>
      <vt:variant>
        <vt:i4>0</vt:i4>
      </vt:variant>
      <vt:variant>
        <vt:i4>5</vt:i4>
      </vt:variant>
      <vt:variant>
        <vt:lpwstr>mailto:edowa@edowa.org.au</vt:lpwstr>
      </vt:variant>
      <vt:variant>
        <vt:lpwstr/>
      </vt:variant>
      <vt:variant>
        <vt:i4>2228312</vt:i4>
      </vt:variant>
      <vt:variant>
        <vt:i4>25</vt:i4>
      </vt:variant>
      <vt:variant>
        <vt:i4>0</vt:i4>
      </vt:variant>
      <vt:variant>
        <vt:i4>5</vt:i4>
      </vt:variant>
      <vt:variant>
        <vt:lpwstr>mailto:edovic@edo.org.au</vt:lpwstr>
      </vt:variant>
      <vt:variant>
        <vt:lpwstr/>
      </vt:variant>
      <vt:variant>
        <vt:i4>2752586</vt:i4>
      </vt:variant>
      <vt:variant>
        <vt:i4>22</vt:i4>
      </vt:variant>
      <vt:variant>
        <vt:i4>0</vt:i4>
      </vt:variant>
      <vt:variant>
        <vt:i4>5</vt:i4>
      </vt:variant>
      <vt:variant>
        <vt:lpwstr>mailto:edotas@edo.org.au</vt:lpwstr>
      </vt:variant>
      <vt:variant>
        <vt:lpwstr/>
      </vt:variant>
      <vt:variant>
        <vt:i4>1179685</vt:i4>
      </vt:variant>
      <vt:variant>
        <vt:i4>19</vt:i4>
      </vt:variant>
      <vt:variant>
        <vt:i4>0</vt:i4>
      </vt:variant>
      <vt:variant>
        <vt:i4>5</vt:i4>
      </vt:variant>
      <vt:variant>
        <vt:lpwstr>mailto:edo@nsw.edo.org.au</vt:lpwstr>
      </vt:variant>
      <vt:variant>
        <vt:lpwstr/>
      </vt:variant>
      <vt:variant>
        <vt:i4>1179685</vt:i4>
      </vt:variant>
      <vt:variant>
        <vt:i4>16</vt:i4>
      </vt:variant>
      <vt:variant>
        <vt:i4>0</vt:i4>
      </vt:variant>
      <vt:variant>
        <vt:i4>5</vt:i4>
      </vt:variant>
      <vt:variant>
        <vt:lpwstr>mailto:edo@nsw.edo.org.au</vt:lpwstr>
      </vt:variant>
      <vt:variant>
        <vt:lpwstr/>
      </vt:variant>
      <vt:variant>
        <vt:i4>1179685</vt:i4>
      </vt:variant>
      <vt:variant>
        <vt:i4>13</vt:i4>
      </vt:variant>
      <vt:variant>
        <vt:i4>0</vt:i4>
      </vt:variant>
      <vt:variant>
        <vt:i4>5</vt:i4>
      </vt:variant>
      <vt:variant>
        <vt:lpwstr>mailto:edo@nsw.edo.org.au</vt:lpwstr>
      </vt:variant>
      <vt:variant>
        <vt:lpwstr/>
      </vt:variant>
      <vt:variant>
        <vt:i4>1179685</vt:i4>
      </vt:variant>
      <vt:variant>
        <vt:i4>10</vt:i4>
      </vt:variant>
      <vt:variant>
        <vt:i4>0</vt:i4>
      </vt:variant>
      <vt:variant>
        <vt:i4>5</vt:i4>
      </vt:variant>
      <vt:variant>
        <vt:lpwstr>mailto:edo@nsw.edo.org.au</vt:lpwstr>
      </vt:variant>
      <vt:variant>
        <vt:lpwstr/>
      </vt:variant>
      <vt:variant>
        <vt:i4>5177404</vt:i4>
      </vt:variant>
      <vt:variant>
        <vt:i4>7</vt:i4>
      </vt:variant>
      <vt:variant>
        <vt:i4>0</vt:i4>
      </vt:variant>
      <vt:variant>
        <vt:i4>5</vt:i4>
      </vt:variant>
      <vt:variant>
        <vt:lpwstr>mailto:edonsw@edonsw.org.au</vt:lpwstr>
      </vt:variant>
      <vt:variant>
        <vt:lpwstr/>
      </vt:variant>
      <vt:variant>
        <vt:i4>1179685</vt:i4>
      </vt:variant>
      <vt:variant>
        <vt:i4>4</vt:i4>
      </vt:variant>
      <vt:variant>
        <vt:i4>0</vt:i4>
      </vt:variant>
      <vt:variant>
        <vt:i4>5</vt:i4>
      </vt:variant>
      <vt:variant>
        <vt:lpwstr>mailto:edo@nsw.edo.org.au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94 - Australian Network Environmental Defenders Offices - Access to Justice Arrangements - Public inquiry</dc:title>
  <dc:creator>Australian Network Environmental Defenders Offices</dc:creator>
  <cp:lastModifiedBy>Productivity Commission</cp:lastModifiedBy>
  <cp:revision>2</cp:revision>
  <cp:lastPrinted>2013-11-10T23:29:00Z</cp:lastPrinted>
  <dcterms:created xsi:type="dcterms:W3CDTF">2013-11-28T00:34:00Z</dcterms:created>
  <dcterms:modified xsi:type="dcterms:W3CDTF">2013-11-28T00:34:00Z</dcterms:modified>
</cp:coreProperties>
</file>