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25" w:rsidRDefault="00997525" w:rsidP="00997525">
      <w:pPr>
        <w:spacing w:before="720" w:after="480"/>
        <w:rPr>
          <w:szCs w:val="24"/>
        </w:rPr>
      </w:pPr>
      <w:bookmarkStart w:id="0" w:name="_GoBack"/>
      <w:bookmarkEnd w:id="0"/>
      <w:r>
        <w:rPr>
          <w:szCs w:val="24"/>
        </w:rPr>
        <w:t xml:space="preserve">Our reference: </w:t>
      </w:r>
      <w:r w:rsidR="000F5CF8">
        <w:rPr>
          <w:szCs w:val="24"/>
        </w:rPr>
        <w:t>14/000026-02</w:t>
      </w:r>
    </w:p>
    <w:p w:rsidR="00997525" w:rsidRDefault="000F5CF8" w:rsidP="00997525">
      <w:pPr>
        <w:spacing w:after="480"/>
        <w:rPr>
          <w:szCs w:val="24"/>
        </w:rPr>
      </w:pPr>
      <w:r w:rsidRPr="000F5CF8">
        <w:rPr>
          <w:szCs w:val="24"/>
          <w:lang w:val="en"/>
        </w:rPr>
        <w:t>Access to Justice Arrangements</w:t>
      </w:r>
      <w:r w:rsidRPr="000F5CF8">
        <w:rPr>
          <w:szCs w:val="24"/>
          <w:lang w:val="en"/>
        </w:rPr>
        <w:br/>
        <w:t>Productivity Commission</w:t>
      </w:r>
      <w:r w:rsidRPr="000F5CF8">
        <w:rPr>
          <w:szCs w:val="24"/>
          <w:lang w:val="en"/>
        </w:rPr>
        <w:br/>
        <w:t>LB2 Collins Street East</w:t>
      </w:r>
      <w:r w:rsidRPr="000F5CF8">
        <w:rPr>
          <w:szCs w:val="24"/>
          <w:lang w:val="en"/>
        </w:rPr>
        <w:br/>
        <w:t>Melbourne Vic 8003</w:t>
      </w:r>
      <w:r>
        <w:rPr>
          <w:szCs w:val="24"/>
          <w:lang w:val="en"/>
        </w:rPr>
        <w:br/>
      </w:r>
      <w:r>
        <w:rPr>
          <w:szCs w:val="24"/>
        </w:rPr>
        <w:t xml:space="preserve">by email: </w:t>
      </w:r>
      <w:hyperlink r:id="rId9" w:history="1">
        <w:r w:rsidRPr="000F5CF8">
          <w:rPr>
            <w:rStyle w:val="Hyperlink"/>
            <w:bCs/>
            <w:szCs w:val="24"/>
            <w:lang w:val="en"/>
          </w:rPr>
          <w:t>access.justice@pc.gov.au</w:t>
        </w:r>
      </w:hyperlink>
    </w:p>
    <w:p w:rsidR="00997525" w:rsidRDefault="00997525" w:rsidP="00997525">
      <w:pPr>
        <w:rPr>
          <w:szCs w:val="24"/>
        </w:rPr>
      </w:pPr>
      <w:r>
        <w:rPr>
          <w:szCs w:val="24"/>
        </w:rPr>
        <w:t xml:space="preserve">Dear </w:t>
      </w:r>
      <w:r w:rsidR="000F5CF8">
        <w:rPr>
          <w:szCs w:val="24"/>
        </w:rPr>
        <w:t>Commissioners,</w:t>
      </w:r>
    </w:p>
    <w:p w:rsidR="00997525" w:rsidRDefault="000F5CF8" w:rsidP="000F5CF8">
      <w:pPr>
        <w:pStyle w:val="Heading1"/>
        <w:tabs>
          <w:tab w:val="left" w:pos="7560"/>
        </w:tabs>
        <w:spacing w:before="240"/>
      </w:pPr>
      <w:r>
        <w:t>Pro</w:t>
      </w:r>
      <w:r w:rsidR="001A7CB1">
        <w:t>ductivity Commission Draft Report on Access to Justice A</w:t>
      </w:r>
      <w:r>
        <w:t>rrangements</w:t>
      </w:r>
      <w:r>
        <w:tab/>
      </w:r>
    </w:p>
    <w:p w:rsidR="000F5CF8" w:rsidRDefault="001A7CB1" w:rsidP="00997525">
      <w:r>
        <w:t>Thank you for the opportunity to provide feedback on the Productivity Commission Draft Report on Access to Justice Arrangements (the draft report).</w:t>
      </w:r>
    </w:p>
    <w:p w:rsidR="00AC3C26" w:rsidRDefault="00242366" w:rsidP="00997525">
      <w:r>
        <w:t xml:space="preserve">I have two observations </w:t>
      </w:r>
      <w:r w:rsidR="00C117CF">
        <w:t>to make in relation to Chapter 9</w:t>
      </w:r>
      <w:r>
        <w:t xml:space="preserve"> and ‘ombudsman-like bodies’ such as the Office of the Australian Information Commissioner (OAIC). </w:t>
      </w:r>
    </w:p>
    <w:p w:rsidR="00F053E2" w:rsidRDefault="00AC3C26" w:rsidP="00997525">
      <w:r>
        <w:t xml:space="preserve">The first is </w:t>
      </w:r>
      <w:r w:rsidR="00DB35AE">
        <w:t>in relation to the ‘</w:t>
      </w:r>
      <w:r w:rsidR="00AC3009">
        <w:t xml:space="preserve">cost </w:t>
      </w:r>
      <w:r w:rsidR="00C117CF">
        <w:t>per complaint’ figures on page 290 (Figure 9.2)</w:t>
      </w:r>
      <w:r w:rsidR="00DB35AE">
        <w:t xml:space="preserve"> and their accuracy. In my view, these figures are misleading. The draft report draws attention to the apparently high cost of processing disputes </w:t>
      </w:r>
      <w:r w:rsidR="00DB4DFE">
        <w:t>at</w:t>
      </w:r>
      <w:r w:rsidR="00DB35AE">
        <w:t xml:space="preserve"> privacy and </w:t>
      </w:r>
      <w:r w:rsidR="00B730D8">
        <w:t>freedom of information (FOI)</w:t>
      </w:r>
      <w:r w:rsidR="00DB35AE">
        <w:t xml:space="preserve"> regulators</w:t>
      </w:r>
      <w:r w:rsidR="00AC3009">
        <w:t xml:space="preserve"> compared with other regulators. For example, the draft report cites the per case cost of complaints </w:t>
      </w:r>
      <w:r w:rsidR="00167224">
        <w:t>at the OAIC as approximately $90</w:t>
      </w:r>
      <w:r w:rsidR="00AC3009">
        <w:t>00. By comparison, the Commonwealth Ombudsman processes compl</w:t>
      </w:r>
      <w:r w:rsidR="00F053E2">
        <w:t>aints at an average cost of $670</w:t>
      </w:r>
      <w:r w:rsidR="00AC3009">
        <w:t xml:space="preserve">. </w:t>
      </w:r>
      <w:r w:rsidR="002D6AD0">
        <w:t xml:space="preserve">It is difficult to understand the wide discrepancy between these figures and how they have been calculated. </w:t>
      </w:r>
    </w:p>
    <w:p w:rsidR="002D6AD0" w:rsidRDefault="002D6AD0" w:rsidP="00997525">
      <w:r>
        <w:t>My assumption is that the Omb</w:t>
      </w:r>
      <w:r w:rsidR="00F053E2">
        <w:t>udsman figure has been derived from</w:t>
      </w:r>
      <w:r>
        <w:t xml:space="preserve"> dividing the Ombu</w:t>
      </w:r>
      <w:r w:rsidR="001F048B">
        <w:t>dsman’s annual appropriation (</w:t>
      </w:r>
      <w:r>
        <w:t>$27 million</w:t>
      </w:r>
      <w:r w:rsidR="001F048B">
        <w:t>)</w:t>
      </w:r>
      <w:r>
        <w:t xml:space="preserve"> by the total number of </w:t>
      </w:r>
      <w:r w:rsidR="00F053E2">
        <w:t>‘</w:t>
      </w:r>
      <w:r>
        <w:t>approaches and complaints</w:t>
      </w:r>
      <w:r w:rsidR="00F053E2">
        <w:t>’</w:t>
      </w:r>
      <w:r>
        <w:t xml:space="preserve"> reported for that </w:t>
      </w:r>
      <w:r w:rsidR="001C1169">
        <w:t>o</w:t>
      </w:r>
      <w:r>
        <w:t>ffice in 2011</w:t>
      </w:r>
      <w:r w:rsidR="00F053E2">
        <w:t>-12</w:t>
      </w:r>
      <w:r w:rsidR="00955780">
        <w:t xml:space="preserve"> (40,</w:t>
      </w:r>
      <w:r>
        <w:t>477).</w:t>
      </w:r>
      <w:r w:rsidR="00F053E2">
        <w:t xml:space="preserve"> In a similar vein, the OA</w:t>
      </w:r>
      <w:r w:rsidR="0085544F">
        <w:t>IC’s cost per complaint of $9000</w:t>
      </w:r>
      <w:r w:rsidR="00F053E2">
        <w:t xml:space="preserve"> appears to be this office’s total resourcing and payments for 2011-12</w:t>
      </w:r>
      <w:r>
        <w:t xml:space="preserve"> </w:t>
      </w:r>
      <w:r w:rsidR="00F053E2">
        <w:t>($17.4 million) divided by the number of compl</w:t>
      </w:r>
      <w:r w:rsidR="0085544F">
        <w:t>aints and reviews received (1939</w:t>
      </w:r>
      <w:r w:rsidR="00F053E2">
        <w:t xml:space="preserve">). </w:t>
      </w:r>
      <w:r>
        <w:t xml:space="preserve">  </w:t>
      </w:r>
    </w:p>
    <w:p w:rsidR="00DE6FD3" w:rsidRDefault="00F053E2" w:rsidP="00997525">
      <w:r>
        <w:t>These figures do</w:t>
      </w:r>
      <w:r w:rsidR="00AC3009">
        <w:t xml:space="preserve"> not compare like with like. The</w:t>
      </w:r>
      <w:r w:rsidR="002C7F10">
        <w:t xml:space="preserve"> inclusion of ‘approaches’ with complaints in the</w:t>
      </w:r>
      <w:r w:rsidR="00AC3009">
        <w:t xml:space="preserve"> Ombudsman figure </w:t>
      </w:r>
      <w:r w:rsidR="002C7F10">
        <w:t xml:space="preserve"> encompasses</w:t>
      </w:r>
      <w:r>
        <w:t xml:space="preserve"> enquiries.</w:t>
      </w:r>
      <w:r w:rsidR="002C7F10">
        <w:rPr>
          <w:rStyle w:val="FootnoteReference"/>
        </w:rPr>
        <w:footnoteReference w:id="1"/>
      </w:r>
      <w:r>
        <w:t xml:space="preserve"> The OAIC figure does not.</w:t>
      </w:r>
      <w:r w:rsidR="00AC3009">
        <w:t xml:space="preserve"> </w:t>
      </w:r>
      <w:r w:rsidR="007E325C">
        <w:t xml:space="preserve">If it did, the number of matters dealt with by the OAIC in </w:t>
      </w:r>
      <w:r w:rsidR="00955780">
        <w:t>2011-12 would have been over 26,</w:t>
      </w:r>
      <w:r w:rsidR="007E325C">
        <w:t>000. This results in a per case cost of</w:t>
      </w:r>
      <w:r w:rsidR="0085544F">
        <w:t xml:space="preserve"> approximately</w:t>
      </w:r>
      <w:r w:rsidR="007E325C">
        <w:t xml:space="preserve"> $667 – the </w:t>
      </w:r>
      <w:r w:rsidR="00DE6FD3">
        <w:t>same as the Ombudsman.</w:t>
      </w:r>
      <w:r w:rsidR="00154B64">
        <w:rPr>
          <w:rStyle w:val="FootnoteReference"/>
        </w:rPr>
        <w:footnoteReference w:id="2"/>
      </w:r>
    </w:p>
    <w:p w:rsidR="00AC3C26" w:rsidRDefault="00154B64" w:rsidP="00997525">
      <w:r>
        <w:lastRenderedPageBreak/>
        <w:t>And that is not the full picture</w:t>
      </w:r>
      <w:r w:rsidR="00DE6FD3">
        <w:t>.</w:t>
      </w:r>
      <w:r>
        <w:t xml:space="preserve"> The OAIC has a range of other functions that </w:t>
      </w:r>
      <w:r w:rsidR="00B730D8">
        <w:t>are not easily acco</w:t>
      </w:r>
      <w:r w:rsidR="000069C8">
        <w:t>mmodated in a breakdown of cost</w:t>
      </w:r>
      <w:r w:rsidR="00B730D8">
        <w:t xml:space="preserve"> by dispute</w:t>
      </w:r>
      <w:r w:rsidR="00955780">
        <w:t>. A major aspect of the OAIC’s work is in awareness-raising act</w:t>
      </w:r>
      <w:r w:rsidR="006778D9">
        <w:t xml:space="preserve">ivities and policy development, </w:t>
      </w:r>
      <w:r w:rsidR="00955780">
        <w:t>including the development of guidelines, fact sheets, resources and reports</w:t>
      </w:r>
      <w:r w:rsidR="001A2453">
        <w:t xml:space="preserve"> to government</w:t>
      </w:r>
      <w:r w:rsidR="006778D9">
        <w:t>.</w:t>
      </w:r>
      <w:r w:rsidR="006778D9">
        <w:rPr>
          <w:rStyle w:val="FootnoteReference"/>
        </w:rPr>
        <w:footnoteReference w:id="3"/>
      </w:r>
      <w:r w:rsidR="006778D9">
        <w:t xml:space="preserve"> A</w:t>
      </w:r>
      <w:r w:rsidR="00955780">
        <w:t xml:space="preserve"> significant proportion of the OAIC’s budget is allocated to those activities. </w:t>
      </w:r>
      <w:r w:rsidR="006778D9">
        <w:t xml:space="preserve">Nor does </w:t>
      </w:r>
      <w:r w:rsidR="00955780">
        <w:t>the per case c</w:t>
      </w:r>
      <w:r w:rsidR="006778D9">
        <w:t>ost figure</w:t>
      </w:r>
      <w:r w:rsidR="004761B2">
        <w:t xml:space="preserve"> </w:t>
      </w:r>
      <w:r w:rsidR="000069C8">
        <w:t xml:space="preserve">include other </w:t>
      </w:r>
      <w:r w:rsidR="001A2453">
        <w:t>major</w:t>
      </w:r>
      <w:r w:rsidR="00F25B28">
        <w:t xml:space="preserve"> </w:t>
      </w:r>
      <w:r w:rsidR="000069C8">
        <w:t xml:space="preserve">activities </w:t>
      </w:r>
      <w:r w:rsidR="006A03F8">
        <w:t>of</w:t>
      </w:r>
      <w:r w:rsidR="000069C8">
        <w:t xml:space="preserve"> the OAIC such as the processing of requests from agencies for extensions to the statutory processing period for FOI requests.</w:t>
      </w:r>
      <w:r w:rsidR="001A2453">
        <w:rPr>
          <w:rStyle w:val="FootnoteReference"/>
        </w:rPr>
        <w:footnoteReference w:id="4"/>
      </w:r>
      <w:r w:rsidR="000069C8">
        <w:t xml:space="preserve"> </w:t>
      </w:r>
      <w:r w:rsidR="00C117CF">
        <w:t>These are activities that are not easy to compare across regulators.</w:t>
      </w:r>
    </w:p>
    <w:p w:rsidR="001A2453" w:rsidRDefault="001A2453" w:rsidP="00997525">
      <w:r>
        <w:t xml:space="preserve">On that basis, I think that the OAIC (and possibly other privacy and FOI regulators) </w:t>
      </w:r>
      <w:r w:rsidR="00845597">
        <w:t>should be</w:t>
      </w:r>
      <w:r>
        <w:t xml:space="preserve"> in the same category as the Australian Competition</w:t>
      </w:r>
      <w:r w:rsidR="00C117CF">
        <w:t xml:space="preserve"> and Consumer </w:t>
      </w:r>
      <w:r>
        <w:t>Commission which the draft report excluded from case</w:t>
      </w:r>
      <w:r w:rsidR="000B1B50">
        <w:t>/cost comparisons</w:t>
      </w:r>
      <w:r>
        <w:t xml:space="preserve"> due to </w:t>
      </w:r>
      <w:r w:rsidR="007F7237">
        <w:t>its</w:t>
      </w:r>
      <w:r>
        <w:t xml:space="preserve"> wide range of regulatory responsibilities and the difficulty of separating out its complaints functions</w:t>
      </w:r>
      <w:r w:rsidR="000B1B50">
        <w:t xml:space="preserve"> (</w:t>
      </w:r>
      <w:r w:rsidR="00885994">
        <w:t>see p 284 and p </w:t>
      </w:r>
      <w:r w:rsidR="000B1B50">
        <w:t>285, Figure 9.1)</w:t>
      </w:r>
      <w:r>
        <w:t>.</w:t>
      </w:r>
    </w:p>
    <w:p w:rsidR="000F5CF8" w:rsidRDefault="00F2010F" w:rsidP="00997525">
      <w:r>
        <w:t xml:space="preserve">The second observation I wish to make is in relation to </w:t>
      </w:r>
      <w:r w:rsidR="001C1169">
        <w:t>o</w:t>
      </w:r>
      <w:r>
        <w:t xml:space="preserve">mbudsman-like bodies and their critical importance to access to justice outcomes. </w:t>
      </w:r>
      <w:r w:rsidR="00242366">
        <w:t xml:space="preserve">You will be aware that the </w:t>
      </w:r>
      <w:r w:rsidR="00AC3C26">
        <w:t>OAIC is to close at the end of the year, in accordance with the Government’s recent budget announcement.</w:t>
      </w:r>
      <w:r w:rsidR="007F7237">
        <w:t xml:space="preserve"> Notwithstanding this fact, the OAIC has, during </w:t>
      </w:r>
      <w:r w:rsidR="00A17366">
        <w:t xml:space="preserve">the period of </w:t>
      </w:r>
      <w:r w:rsidR="007F7237">
        <w:t>its operation, played a significant role in enhancing access to justice for FOI applicants and priva</w:t>
      </w:r>
      <w:r w:rsidR="00243E85">
        <w:t xml:space="preserve">cy complainants. Prior to the establishment of the OAIC in November 2010, the </w:t>
      </w:r>
      <w:r w:rsidR="00A17366">
        <w:t>Administrative Appeals Tribunal (AAT)</w:t>
      </w:r>
      <w:r w:rsidR="00243E85">
        <w:t xml:space="preserve"> was the </w:t>
      </w:r>
      <w:r w:rsidR="00243E85" w:rsidRPr="00243E85">
        <w:rPr>
          <w:lang w:val="en-GB"/>
        </w:rPr>
        <w:t>only avenue for external merit review of decisions of agencies and ministers on FOI requests</w:t>
      </w:r>
      <w:r w:rsidR="00243E85">
        <w:t xml:space="preserve">. In 2009-10, the AAT received 110 </w:t>
      </w:r>
      <w:r w:rsidR="00243E85" w:rsidRPr="00243E85">
        <w:rPr>
          <w:lang w:val="en-GB"/>
        </w:rPr>
        <w:t>applications for review of FOI decisions</w:t>
      </w:r>
      <w:r w:rsidR="00243E85">
        <w:rPr>
          <w:lang w:val="en-GB"/>
        </w:rPr>
        <w:t xml:space="preserve">. In 2012-13, the OAIC received 507 applications for </w:t>
      </w:r>
      <w:r w:rsidR="00A17366">
        <w:rPr>
          <w:lang w:val="en-GB"/>
        </w:rPr>
        <w:t>FOI merit</w:t>
      </w:r>
      <w:r w:rsidR="00243E85">
        <w:rPr>
          <w:lang w:val="en-GB"/>
        </w:rPr>
        <w:t xml:space="preserve"> review.</w:t>
      </w:r>
      <w:r w:rsidR="00AC3C26">
        <w:t xml:space="preserve"> </w:t>
      </w:r>
    </w:p>
    <w:p w:rsidR="000F5CF8" w:rsidRDefault="00243E85" w:rsidP="00997525">
      <w:r w:rsidRPr="00243E85">
        <w:rPr>
          <w:lang w:val="en-GB"/>
        </w:rPr>
        <w:t xml:space="preserve">While some of this increase could </w:t>
      </w:r>
      <w:r w:rsidR="00FD3FE1">
        <w:rPr>
          <w:lang w:val="en-GB"/>
        </w:rPr>
        <w:t>have been</w:t>
      </w:r>
      <w:r w:rsidRPr="00243E85">
        <w:rPr>
          <w:lang w:val="en-GB"/>
        </w:rPr>
        <w:t xml:space="preserve"> due to the increased number of FOI requests received by ministers and agencies (an increase of</w:t>
      </w:r>
      <w:r w:rsidR="005D0A6E">
        <w:rPr>
          <w:lang w:val="en-GB"/>
        </w:rPr>
        <w:t xml:space="preserve"> 15% from 2009–10 to 2012–13</w:t>
      </w:r>
      <w:r w:rsidRPr="00243E85">
        <w:rPr>
          <w:lang w:val="en-GB"/>
        </w:rPr>
        <w:t xml:space="preserve">), the more influential factors </w:t>
      </w:r>
      <w:r w:rsidR="00A17366">
        <w:rPr>
          <w:lang w:val="en-GB"/>
        </w:rPr>
        <w:t>have been</w:t>
      </w:r>
      <w:r w:rsidRPr="00243E85">
        <w:rPr>
          <w:lang w:val="en-GB"/>
        </w:rPr>
        <w:t xml:space="preserve"> that a person can make a free application for review</w:t>
      </w:r>
      <w:r w:rsidR="00A17366">
        <w:rPr>
          <w:lang w:val="en-GB"/>
        </w:rPr>
        <w:t xml:space="preserve"> by the OAIC</w:t>
      </w:r>
      <w:r w:rsidRPr="00243E85">
        <w:rPr>
          <w:lang w:val="en-GB"/>
        </w:rPr>
        <w:t xml:space="preserve">, and </w:t>
      </w:r>
      <w:r w:rsidR="00A17366">
        <w:rPr>
          <w:lang w:val="en-GB"/>
        </w:rPr>
        <w:t xml:space="preserve">that </w:t>
      </w:r>
      <w:r w:rsidRPr="00243E85">
        <w:rPr>
          <w:lang w:val="en-GB"/>
        </w:rPr>
        <w:t>legal representation is not required.</w:t>
      </w:r>
    </w:p>
    <w:p w:rsidR="000F5CF8" w:rsidRDefault="00FC107F" w:rsidP="00997525">
      <w:r>
        <w:t>It is disappointing that the OAIC will close its doors. However, the OAIC’s regulatory model, and that of ombudsm</w:t>
      </w:r>
      <w:r w:rsidR="00D60F35">
        <w:t>e</w:t>
      </w:r>
      <w:r>
        <w:t xml:space="preserve">n more generally, is a </w:t>
      </w:r>
      <w:r w:rsidR="001B0E01">
        <w:t>sound</w:t>
      </w:r>
      <w:r w:rsidR="007D7AC7">
        <w:t xml:space="preserve"> </w:t>
      </w:r>
      <w:r>
        <w:t>one</w:t>
      </w:r>
      <w:r w:rsidR="001B0E01">
        <w:t>.</w:t>
      </w:r>
      <w:r w:rsidR="007D7AC7">
        <w:t xml:space="preserve"> The costs a</w:t>
      </w:r>
      <w:r w:rsidR="00952198">
        <w:t>re low (comparative to the cost</w:t>
      </w:r>
      <w:r w:rsidR="007D7AC7">
        <w:t xml:space="preserve"> of processing disputes </w:t>
      </w:r>
      <w:r w:rsidR="00A20F12">
        <w:t>in</w:t>
      </w:r>
      <w:r w:rsidR="007D7AC7">
        <w:t xml:space="preserve"> tribunals </w:t>
      </w:r>
      <w:r w:rsidR="000B24DE">
        <w:t>and courts</w:t>
      </w:r>
      <w:r w:rsidR="007D7AC7">
        <w:t xml:space="preserve">) and </w:t>
      </w:r>
      <w:r w:rsidR="00A20F12">
        <w:t xml:space="preserve">the benefits </w:t>
      </w:r>
      <w:r w:rsidR="00556F5F">
        <w:t>(as outlined in the draft report, pp 278-81)</w:t>
      </w:r>
      <w:r w:rsidR="007D7AC7">
        <w:t xml:space="preserve"> are many.</w:t>
      </w:r>
      <w:r w:rsidR="001B0E01">
        <w:t xml:space="preserve"> In this regard, I hope that the Productivity Commission’s </w:t>
      </w:r>
      <w:r w:rsidR="009C2F00">
        <w:t xml:space="preserve">final </w:t>
      </w:r>
      <w:r w:rsidR="001B0E01">
        <w:t xml:space="preserve">report </w:t>
      </w:r>
      <w:r w:rsidR="009C2F00">
        <w:t>makes a strong case for</w:t>
      </w:r>
      <w:r w:rsidR="001B0E01">
        <w:t xml:space="preserve"> </w:t>
      </w:r>
      <w:r w:rsidR="009C2F00">
        <w:t>the important contribution that ombudsm</w:t>
      </w:r>
      <w:r w:rsidR="00D60F35">
        <w:t>e</w:t>
      </w:r>
      <w:r w:rsidR="009C2F00">
        <w:t>n</w:t>
      </w:r>
      <w:r w:rsidR="00D60F35">
        <w:t xml:space="preserve"> and similar</w:t>
      </w:r>
      <w:r w:rsidR="009C2F00">
        <w:t xml:space="preserve"> bodies make to </w:t>
      </w:r>
      <w:r w:rsidR="000D2010">
        <w:t xml:space="preserve">enhancing </w:t>
      </w:r>
      <w:r w:rsidR="009C2F00">
        <w:t>access to justice.</w:t>
      </w:r>
      <w:r w:rsidR="001B0E01">
        <w:t xml:space="preserve">  </w:t>
      </w:r>
    </w:p>
    <w:p w:rsidR="00997525" w:rsidRDefault="00997525" w:rsidP="00997525">
      <w:pPr>
        <w:rPr>
          <w:szCs w:val="24"/>
        </w:rPr>
      </w:pPr>
      <w:r>
        <w:rPr>
          <w:szCs w:val="24"/>
        </w:rPr>
        <w:t>Yours sincerely</w:t>
      </w:r>
    </w:p>
    <w:p w:rsidR="00997525" w:rsidRDefault="000F5CF8" w:rsidP="00860E53">
      <w:pPr>
        <w:spacing w:before="600" w:after="0"/>
        <w:rPr>
          <w:szCs w:val="24"/>
        </w:rPr>
      </w:pPr>
      <w:r>
        <w:rPr>
          <w:szCs w:val="24"/>
        </w:rPr>
        <w:t xml:space="preserve">Prof </w:t>
      </w:r>
      <w:r w:rsidR="00997525">
        <w:rPr>
          <w:szCs w:val="24"/>
        </w:rPr>
        <w:t xml:space="preserve">John </w:t>
      </w:r>
      <w:r>
        <w:rPr>
          <w:szCs w:val="24"/>
        </w:rPr>
        <w:t>McMillan</w:t>
      </w:r>
      <w:r w:rsidR="00997525">
        <w:rPr>
          <w:szCs w:val="24"/>
        </w:rPr>
        <w:t xml:space="preserve"> </w:t>
      </w:r>
    </w:p>
    <w:p w:rsidR="00997525" w:rsidRDefault="000F5CF8" w:rsidP="00860E53">
      <w:pPr>
        <w:keepNext/>
        <w:spacing w:after="0"/>
        <w:rPr>
          <w:szCs w:val="24"/>
        </w:rPr>
      </w:pPr>
      <w:r>
        <w:rPr>
          <w:szCs w:val="24"/>
        </w:rPr>
        <w:t>Australian Information Commissioner</w:t>
      </w:r>
    </w:p>
    <w:p w:rsidR="00841E94" w:rsidRPr="0008786E" w:rsidRDefault="001C1169" w:rsidP="00860E53">
      <w:pPr>
        <w:spacing w:after="0"/>
        <w:rPr>
          <w:szCs w:val="24"/>
        </w:rPr>
      </w:pPr>
      <w:r>
        <w:rPr>
          <w:szCs w:val="24"/>
        </w:rPr>
        <w:t>20</w:t>
      </w:r>
      <w:r w:rsidR="000F5CF8">
        <w:rPr>
          <w:szCs w:val="24"/>
        </w:rPr>
        <w:t xml:space="preserve"> May 2014</w:t>
      </w:r>
    </w:p>
    <w:sectPr w:rsidR="00841E94" w:rsidRPr="0008786E" w:rsidSect="00013D48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40" w:right="1440" w:bottom="1440" w:left="1276" w:header="568" w:footer="24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F35" w:rsidRDefault="00D60F35" w:rsidP="007E3776">
      <w:r>
        <w:separator/>
      </w:r>
    </w:p>
  </w:endnote>
  <w:endnote w:type="continuationSeparator" w:id="0">
    <w:p w:rsidR="00D60F35" w:rsidRDefault="00D60F35" w:rsidP="007E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8409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0F35" w:rsidRDefault="00D60F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3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0F35" w:rsidRDefault="00D60F35" w:rsidP="00AB231C">
    <w:pPr>
      <w:pStyle w:val="Footer"/>
      <w:ind w:hanging="18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F35" w:rsidRDefault="00D60F35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DEB49B4" wp14:editId="06775754">
          <wp:simplePos x="0" y="0"/>
          <wp:positionH relativeFrom="column">
            <wp:posOffset>-849630</wp:posOffset>
          </wp:positionH>
          <wp:positionV relativeFrom="paragraph">
            <wp:posOffset>-622300</wp:posOffset>
          </wp:positionV>
          <wp:extent cx="7659258" cy="911230"/>
          <wp:effectExtent l="0" t="0" r="0" b="3175"/>
          <wp:wrapNone/>
          <wp:docPr id="5" name="Picture 5" descr="GPO Box 2999, Canberra ACT 2601; Tel 02 9284 9800; Fax 02 9284 9666; email enquiries@oaic.gov.au; www.oaic.gov.au" title="OAIC address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IC_Base_AC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9258" cy="91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F35" w:rsidRDefault="00D60F35" w:rsidP="007E3776">
      <w:r>
        <w:separator/>
      </w:r>
    </w:p>
  </w:footnote>
  <w:footnote w:type="continuationSeparator" w:id="0">
    <w:p w:rsidR="00D60F35" w:rsidRDefault="00D60F35" w:rsidP="007E3776">
      <w:r>
        <w:continuationSeparator/>
      </w:r>
    </w:p>
  </w:footnote>
  <w:footnote w:id="1">
    <w:p w:rsidR="00D60F35" w:rsidRDefault="00D60F35">
      <w:pPr>
        <w:pStyle w:val="FootnoteText"/>
      </w:pPr>
      <w:r>
        <w:rPr>
          <w:rStyle w:val="FootnoteReference"/>
        </w:rPr>
        <w:footnoteRef/>
      </w:r>
      <w:r>
        <w:t xml:space="preserve"> The Ombudsman’s </w:t>
      </w:r>
      <w:r w:rsidR="00DA49E0">
        <w:t>five</w:t>
      </w:r>
      <w:r>
        <w:t xml:space="preserve"> category system of approaches</w:t>
      </w:r>
      <w:r w:rsidR="009C0E7D">
        <w:t xml:space="preserve"> and complaints</w:t>
      </w:r>
      <w:r>
        <w:t xml:space="preserve"> is explained in the glossary to the 2011-12 Annual Report (p 204).</w:t>
      </w:r>
    </w:p>
  </w:footnote>
  <w:footnote w:id="2">
    <w:p w:rsidR="00D60F35" w:rsidRPr="00154B64" w:rsidRDefault="00D60F3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On a similar note, I would observe that the per case cost cited for the Western Australia Information Commissioner appears to be incorrect. That office’s 2012-13 annual report cites the average cost of external reviews finalized as $9909 – not almost $20,000 as reported in the draft report</w:t>
      </w:r>
      <w:r w:rsidR="009C0E7D">
        <w:rPr>
          <w:lang w:val="en-US"/>
        </w:rPr>
        <w:t xml:space="preserve"> (p 27)</w:t>
      </w:r>
      <w:r>
        <w:rPr>
          <w:lang w:val="en-US"/>
        </w:rPr>
        <w:t>. And again, this figure does not include the cost of processing enquiries which would decrease the per case cost further.</w:t>
      </w:r>
    </w:p>
  </w:footnote>
  <w:footnote w:id="3">
    <w:p w:rsidR="00D60F35" w:rsidRDefault="00D60F35">
      <w:pPr>
        <w:pStyle w:val="FootnoteText"/>
      </w:pPr>
      <w:r>
        <w:rPr>
          <w:rStyle w:val="FootnoteReference"/>
        </w:rPr>
        <w:footnoteRef/>
      </w:r>
      <w:r>
        <w:t xml:space="preserve"> Over the past three years in FOI work the OAIC has published over 250 pages of FOI guidelines, 16 </w:t>
      </w:r>
      <w:r w:rsidR="00C37B06">
        <w:t>f</w:t>
      </w:r>
      <w:r>
        <w:t>act sheets for the public, over 30 detailed agency guides, and reports on FOI charges, FOI reform and information policy trends.</w:t>
      </w:r>
    </w:p>
  </w:footnote>
  <w:footnote w:id="4">
    <w:p w:rsidR="00D60F35" w:rsidRPr="001A2453" w:rsidRDefault="00D60F3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In 2012-13, the OAIC processed </w:t>
      </w:r>
      <w:r w:rsidRPr="00FC418C">
        <w:rPr>
          <w:rFonts w:cs="Helvetica"/>
          <w:color w:val="000000"/>
          <w:szCs w:val="18"/>
          <w:lang w:val="en-GB"/>
        </w:rPr>
        <w:t>2290</w:t>
      </w:r>
      <w:r>
        <w:t xml:space="preserve"> requests for extensions of time.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F35" w:rsidRDefault="00D60F35" w:rsidP="00AB231C">
    <w:pPr>
      <w:pStyle w:val="Header"/>
      <w:ind w:hanging="127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F35" w:rsidRDefault="00D60F35" w:rsidP="00F31B8B">
    <w:pPr>
      <w:pStyle w:val="Header"/>
      <w:ind w:left="-1134"/>
      <w:jc w:val="both"/>
    </w:pPr>
    <w:r w:rsidRPr="00F31B8B"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4DC0DA71" wp14:editId="7A89042D">
          <wp:simplePos x="0" y="0"/>
          <wp:positionH relativeFrom="column">
            <wp:posOffset>-495300</wp:posOffset>
          </wp:positionH>
          <wp:positionV relativeFrom="paragraph">
            <wp:posOffset>1270</wp:posOffset>
          </wp:positionV>
          <wp:extent cx="3992880" cy="752856"/>
          <wp:effectExtent l="0" t="0" r="0" b="9525"/>
          <wp:wrapNone/>
          <wp:docPr id="2" name="Picture 0" descr="OAIC logo" title="OAI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IC_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880" cy="752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22AD067F"/>
    <w:multiLevelType w:val="hybridMultilevel"/>
    <w:tmpl w:val="B6CAFC94"/>
    <w:lvl w:ilvl="0" w:tplc="4ED4909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10228"/>
    <w:multiLevelType w:val="hybridMultilevel"/>
    <w:tmpl w:val="16425B40"/>
    <w:lvl w:ilvl="0" w:tplc="1266328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6346F"/>
    <w:multiLevelType w:val="multilevel"/>
    <w:tmpl w:val="886A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CF8"/>
    <w:rsid w:val="000069C8"/>
    <w:rsid w:val="00013D48"/>
    <w:rsid w:val="00026FA0"/>
    <w:rsid w:val="0005568A"/>
    <w:rsid w:val="0008786E"/>
    <w:rsid w:val="000A5596"/>
    <w:rsid w:val="000B1B50"/>
    <w:rsid w:val="000B24DE"/>
    <w:rsid w:val="000D2010"/>
    <w:rsid w:val="000F4296"/>
    <w:rsid w:val="000F5CF8"/>
    <w:rsid w:val="001054F8"/>
    <w:rsid w:val="00127862"/>
    <w:rsid w:val="00154B64"/>
    <w:rsid w:val="00167224"/>
    <w:rsid w:val="001A2453"/>
    <w:rsid w:val="001A7CB1"/>
    <w:rsid w:val="001B0E01"/>
    <w:rsid w:val="001C1169"/>
    <w:rsid w:val="001F048B"/>
    <w:rsid w:val="00242366"/>
    <w:rsid w:val="00243E85"/>
    <w:rsid w:val="00253D85"/>
    <w:rsid w:val="00257435"/>
    <w:rsid w:val="002A53E5"/>
    <w:rsid w:val="002C7F10"/>
    <w:rsid w:val="002D678D"/>
    <w:rsid w:val="002D6AD0"/>
    <w:rsid w:val="00381EE0"/>
    <w:rsid w:val="003860F3"/>
    <w:rsid w:val="003962C6"/>
    <w:rsid w:val="003A5184"/>
    <w:rsid w:val="003B0C96"/>
    <w:rsid w:val="003F1EFF"/>
    <w:rsid w:val="00436379"/>
    <w:rsid w:val="00452563"/>
    <w:rsid w:val="004761B2"/>
    <w:rsid w:val="00556F5F"/>
    <w:rsid w:val="00580999"/>
    <w:rsid w:val="005C3ECF"/>
    <w:rsid w:val="005C795C"/>
    <w:rsid w:val="005D0A6E"/>
    <w:rsid w:val="006271E2"/>
    <w:rsid w:val="00657F10"/>
    <w:rsid w:val="006778D9"/>
    <w:rsid w:val="00685C69"/>
    <w:rsid w:val="006A03F8"/>
    <w:rsid w:val="006E0BA0"/>
    <w:rsid w:val="00746805"/>
    <w:rsid w:val="007D7AC7"/>
    <w:rsid w:val="007E23E8"/>
    <w:rsid w:val="007E325C"/>
    <w:rsid w:val="007E3776"/>
    <w:rsid w:val="007F7237"/>
    <w:rsid w:val="00834997"/>
    <w:rsid w:val="00841E94"/>
    <w:rsid w:val="00845597"/>
    <w:rsid w:val="0085544F"/>
    <w:rsid w:val="00860E53"/>
    <w:rsid w:val="00885994"/>
    <w:rsid w:val="008B6BB5"/>
    <w:rsid w:val="008D0E00"/>
    <w:rsid w:val="00936F0F"/>
    <w:rsid w:val="00952198"/>
    <w:rsid w:val="00955780"/>
    <w:rsid w:val="00997525"/>
    <w:rsid w:val="009C0E7D"/>
    <w:rsid w:val="009C2F00"/>
    <w:rsid w:val="00A17366"/>
    <w:rsid w:val="00A20F12"/>
    <w:rsid w:val="00A47067"/>
    <w:rsid w:val="00A954DB"/>
    <w:rsid w:val="00AB231C"/>
    <w:rsid w:val="00AC3009"/>
    <w:rsid w:val="00AC3C26"/>
    <w:rsid w:val="00B730D8"/>
    <w:rsid w:val="00B9489B"/>
    <w:rsid w:val="00BA1B4B"/>
    <w:rsid w:val="00BF7648"/>
    <w:rsid w:val="00C117CF"/>
    <w:rsid w:val="00C20A0B"/>
    <w:rsid w:val="00C37B06"/>
    <w:rsid w:val="00C41808"/>
    <w:rsid w:val="00C445AE"/>
    <w:rsid w:val="00C603D4"/>
    <w:rsid w:val="00C74917"/>
    <w:rsid w:val="00D17C89"/>
    <w:rsid w:val="00D60F35"/>
    <w:rsid w:val="00D72072"/>
    <w:rsid w:val="00D85517"/>
    <w:rsid w:val="00DA49E0"/>
    <w:rsid w:val="00DB35AE"/>
    <w:rsid w:val="00DB4DFE"/>
    <w:rsid w:val="00DE6FD3"/>
    <w:rsid w:val="00DF45C9"/>
    <w:rsid w:val="00DF7C1E"/>
    <w:rsid w:val="00E61DDE"/>
    <w:rsid w:val="00E81FFB"/>
    <w:rsid w:val="00F053E2"/>
    <w:rsid w:val="00F2010F"/>
    <w:rsid w:val="00F25B28"/>
    <w:rsid w:val="00F31B8B"/>
    <w:rsid w:val="00F343A5"/>
    <w:rsid w:val="00FA1520"/>
    <w:rsid w:val="00FC0B8E"/>
    <w:rsid w:val="00FC107F"/>
    <w:rsid w:val="00FC2CB9"/>
    <w:rsid w:val="00FC418C"/>
    <w:rsid w:val="00FD3FE1"/>
    <w:rsid w:val="00FD5C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2" w:unhideWhenUsed="0" w:qFormat="1"/>
    <w:lsdException w:name="heading 4" w:uiPriority="9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525"/>
    <w:pPr>
      <w:spacing w:after="240"/>
    </w:pPr>
    <w:rPr>
      <w:rFonts w:ascii="Calibri" w:hAnsi="Calibri"/>
      <w:sz w:val="24"/>
      <w:lang w:val="en-AU"/>
    </w:rPr>
  </w:style>
  <w:style w:type="paragraph" w:styleId="Heading1">
    <w:name w:val="heading 1"/>
    <w:basedOn w:val="Normal"/>
    <w:next w:val="Normal"/>
    <w:link w:val="Heading1Char"/>
    <w:uiPriority w:val="2"/>
    <w:qFormat/>
    <w:rsid w:val="00E81FFB"/>
    <w:pPr>
      <w:keepNext/>
      <w:keepLines/>
      <w:spacing w:before="300" w:after="1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05568A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E81FF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4"/>
    <w:unhideWhenUsed/>
    <w:rsid w:val="003962C6"/>
    <w:pPr>
      <w:keepNext/>
      <w:keepLines/>
      <w:spacing w:before="240" w:after="1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2A53E5"/>
    <w:pPr>
      <w:keepNext/>
      <w:keepLines/>
      <w:spacing w:before="120" w:after="120"/>
      <w:outlineLvl w:val="4"/>
    </w:pPr>
    <w:rPr>
      <w:rFonts w:eastAsiaTheme="majorEastAsia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FFB"/>
    <w:pPr>
      <w:tabs>
        <w:tab w:val="center" w:pos="4320"/>
        <w:tab w:val="right" w:pos="8640"/>
      </w:tabs>
    </w:pPr>
    <w:rPr>
      <w:b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E81FFB"/>
    <w:rPr>
      <w:rFonts w:ascii="Calibri" w:hAnsi="Calibri"/>
      <w:b/>
      <w:sz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17C8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7C89"/>
    <w:rPr>
      <w:rFonts w:ascii="Calibri" w:hAnsi="Calibri"/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B8B"/>
    <w:rPr>
      <w:rFonts w:ascii="Tahoma" w:hAnsi="Tahoma" w:cs="Tahoma"/>
      <w:sz w:val="16"/>
      <w:szCs w:val="16"/>
      <w:lang w:val="en-AU"/>
    </w:rPr>
  </w:style>
  <w:style w:type="character" w:customStyle="1" w:styleId="Heading1Char">
    <w:name w:val="Heading 1 Char"/>
    <w:basedOn w:val="DefaultParagraphFont"/>
    <w:link w:val="Heading1"/>
    <w:uiPriority w:val="2"/>
    <w:rsid w:val="00E81FFB"/>
    <w:rPr>
      <w:rFonts w:asciiTheme="majorHAnsi" w:eastAsiaTheme="majorEastAsia" w:hAnsiTheme="majorHAnsi" w:cstheme="majorBidi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2"/>
    <w:rsid w:val="0005568A"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paragraph" w:styleId="Quote">
    <w:name w:val="Quote"/>
    <w:basedOn w:val="Normal"/>
    <w:next w:val="Normal"/>
    <w:link w:val="QuoteChar"/>
    <w:uiPriority w:val="3"/>
    <w:qFormat/>
    <w:rsid w:val="00E81FFB"/>
    <w:pPr>
      <w:spacing w:before="120"/>
      <w:ind w:left="567"/>
    </w:pPr>
    <w:rPr>
      <w:szCs w:val="26"/>
    </w:rPr>
  </w:style>
  <w:style w:type="character" w:customStyle="1" w:styleId="QuoteChar">
    <w:name w:val="Quote Char"/>
    <w:basedOn w:val="DefaultParagraphFont"/>
    <w:link w:val="Quote"/>
    <w:uiPriority w:val="3"/>
    <w:rsid w:val="00E81FFB"/>
    <w:rPr>
      <w:rFonts w:ascii="Calibri" w:hAnsi="Calibri"/>
      <w:sz w:val="24"/>
      <w:szCs w:val="26"/>
      <w:lang w:val="en-AU"/>
    </w:rPr>
  </w:style>
  <w:style w:type="paragraph" w:styleId="ListParagraph">
    <w:name w:val="List Paragraph"/>
    <w:basedOn w:val="Normal"/>
    <w:uiPriority w:val="11"/>
    <w:qFormat/>
    <w:rsid w:val="0005568A"/>
    <w:pPr>
      <w:numPr>
        <w:numId w:val="1"/>
      </w:numPr>
      <w:spacing w:before="120"/>
      <w:ind w:left="567" w:hanging="425"/>
      <w:contextualSpacing/>
    </w:pPr>
    <w:rPr>
      <w:szCs w:val="26"/>
    </w:rPr>
  </w:style>
  <w:style w:type="paragraph" w:styleId="Subtitle">
    <w:name w:val="Subtitle"/>
    <w:basedOn w:val="Normal"/>
    <w:next w:val="Normal"/>
    <w:link w:val="SubtitleChar"/>
    <w:uiPriority w:val="6"/>
    <w:qFormat/>
    <w:rsid w:val="00257435"/>
    <w:pPr>
      <w:keepNext/>
      <w:numPr>
        <w:ilvl w:val="1"/>
      </w:numPr>
      <w:spacing w:before="240"/>
    </w:pPr>
    <w:rPr>
      <w:rFonts w:asciiTheme="majorHAnsi" w:eastAsiaTheme="majorEastAsia" w:hAnsiTheme="majorHAnsi" w:cstheme="majorBidi"/>
      <w:b/>
      <w:iCs/>
      <w:spacing w:val="15"/>
      <w:sz w:val="40"/>
      <w:szCs w:val="24"/>
    </w:rPr>
  </w:style>
  <w:style w:type="paragraph" w:styleId="Title">
    <w:name w:val="Title"/>
    <w:basedOn w:val="Normal"/>
    <w:next w:val="Normal"/>
    <w:link w:val="TitleChar"/>
    <w:uiPriority w:val="5"/>
    <w:qFormat/>
    <w:rsid w:val="00013D48"/>
    <w:pPr>
      <w:keepNext/>
      <w:spacing w:before="240"/>
    </w:pPr>
    <w:rPr>
      <w:rFonts w:asciiTheme="majorHAnsi" w:eastAsiaTheme="majorEastAsia" w:hAnsiTheme="majorHAnsi" w:cstheme="majorBidi"/>
      <w:b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013D48"/>
    <w:rPr>
      <w:rFonts w:asciiTheme="majorHAnsi" w:eastAsiaTheme="majorEastAsia" w:hAnsiTheme="majorHAnsi" w:cstheme="majorBidi"/>
      <w:b/>
      <w:kern w:val="28"/>
      <w:sz w:val="52"/>
      <w:szCs w:val="52"/>
      <w:lang w:val="en-AU"/>
    </w:rPr>
  </w:style>
  <w:style w:type="character" w:customStyle="1" w:styleId="SubtitleChar">
    <w:name w:val="Subtitle Char"/>
    <w:basedOn w:val="DefaultParagraphFont"/>
    <w:link w:val="Subtitle"/>
    <w:uiPriority w:val="6"/>
    <w:rsid w:val="00257435"/>
    <w:rPr>
      <w:rFonts w:asciiTheme="majorHAnsi" w:eastAsiaTheme="majorEastAsia" w:hAnsiTheme="majorHAnsi" w:cstheme="majorBidi"/>
      <w:b/>
      <w:iCs/>
      <w:spacing w:val="15"/>
      <w:sz w:val="40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2"/>
    <w:rsid w:val="00E81FFB"/>
    <w:rPr>
      <w:rFonts w:asciiTheme="majorHAnsi" w:eastAsiaTheme="majorEastAsia" w:hAnsiTheme="majorHAnsi" w:cstheme="majorBidi"/>
      <w:b/>
      <w:bCs/>
      <w:i/>
      <w:sz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4"/>
    <w:rsid w:val="00013D48"/>
    <w:rPr>
      <w:rFonts w:ascii="Calibri" w:eastAsiaTheme="majorEastAsia" w:hAnsi="Calibri" w:cstheme="majorBidi"/>
      <w:bCs/>
      <w:i/>
      <w:iCs/>
      <w:sz w:val="24"/>
      <w:lang w:val="en-AU"/>
    </w:rPr>
  </w:style>
  <w:style w:type="character" w:customStyle="1" w:styleId="Heading5Char">
    <w:name w:val="Heading 5 Char"/>
    <w:basedOn w:val="DefaultParagraphFont"/>
    <w:link w:val="Heading5"/>
    <w:uiPriority w:val="4"/>
    <w:rsid w:val="00013D48"/>
    <w:rPr>
      <w:rFonts w:ascii="Calibri" w:eastAsiaTheme="majorEastAsia" w:hAnsi="Calibri" w:cstheme="majorBidi"/>
      <w:b/>
      <w:sz w:val="22"/>
      <w:lang w:val="en-AU"/>
    </w:rPr>
  </w:style>
  <w:style w:type="paragraph" w:customStyle="1" w:styleId="Bulletlist">
    <w:name w:val="Bullet list"/>
    <w:basedOn w:val="ListParagraph"/>
    <w:qFormat/>
    <w:rsid w:val="00013D48"/>
    <w:pPr>
      <w:numPr>
        <w:numId w:val="2"/>
      </w:numPr>
      <w:ind w:left="567" w:hanging="425"/>
    </w:pPr>
  </w:style>
  <w:style w:type="paragraph" w:customStyle="1" w:styleId="BodyText1">
    <w:name w:val="Body Text1"/>
    <w:basedOn w:val="Normal"/>
    <w:qFormat/>
    <w:rsid w:val="00013D48"/>
    <w:rPr>
      <w:szCs w:val="26"/>
    </w:rPr>
  </w:style>
  <w:style w:type="character" w:styleId="Hyperlink">
    <w:name w:val="Hyperlink"/>
    <w:basedOn w:val="DefaultParagraphFont"/>
    <w:uiPriority w:val="99"/>
    <w:unhideWhenUsed/>
    <w:rsid w:val="000F5CF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4B64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4B64"/>
    <w:rPr>
      <w:rFonts w:ascii="Calibri" w:hAnsi="Calibri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154B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2" w:unhideWhenUsed="0" w:qFormat="1"/>
    <w:lsdException w:name="heading 4" w:uiPriority="9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525"/>
    <w:pPr>
      <w:spacing w:after="240"/>
    </w:pPr>
    <w:rPr>
      <w:rFonts w:ascii="Calibri" w:hAnsi="Calibri"/>
      <w:sz w:val="24"/>
      <w:lang w:val="en-AU"/>
    </w:rPr>
  </w:style>
  <w:style w:type="paragraph" w:styleId="Heading1">
    <w:name w:val="heading 1"/>
    <w:basedOn w:val="Normal"/>
    <w:next w:val="Normal"/>
    <w:link w:val="Heading1Char"/>
    <w:uiPriority w:val="2"/>
    <w:qFormat/>
    <w:rsid w:val="00E81FFB"/>
    <w:pPr>
      <w:keepNext/>
      <w:keepLines/>
      <w:spacing w:before="300" w:after="1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05568A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E81FF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4"/>
    <w:unhideWhenUsed/>
    <w:rsid w:val="003962C6"/>
    <w:pPr>
      <w:keepNext/>
      <w:keepLines/>
      <w:spacing w:before="240" w:after="1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2A53E5"/>
    <w:pPr>
      <w:keepNext/>
      <w:keepLines/>
      <w:spacing w:before="120" w:after="120"/>
      <w:outlineLvl w:val="4"/>
    </w:pPr>
    <w:rPr>
      <w:rFonts w:eastAsiaTheme="majorEastAsia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FFB"/>
    <w:pPr>
      <w:tabs>
        <w:tab w:val="center" w:pos="4320"/>
        <w:tab w:val="right" w:pos="8640"/>
      </w:tabs>
    </w:pPr>
    <w:rPr>
      <w:b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E81FFB"/>
    <w:rPr>
      <w:rFonts w:ascii="Calibri" w:hAnsi="Calibri"/>
      <w:b/>
      <w:sz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17C8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7C89"/>
    <w:rPr>
      <w:rFonts w:ascii="Calibri" w:hAnsi="Calibri"/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B8B"/>
    <w:rPr>
      <w:rFonts w:ascii="Tahoma" w:hAnsi="Tahoma" w:cs="Tahoma"/>
      <w:sz w:val="16"/>
      <w:szCs w:val="16"/>
      <w:lang w:val="en-AU"/>
    </w:rPr>
  </w:style>
  <w:style w:type="character" w:customStyle="1" w:styleId="Heading1Char">
    <w:name w:val="Heading 1 Char"/>
    <w:basedOn w:val="DefaultParagraphFont"/>
    <w:link w:val="Heading1"/>
    <w:uiPriority w:val="2"/>
    <w:rsid w:val="00E81FFB"/>
    <w:rPr>
      <w:rFonts w:asciiTheme="majorHAnsi" w:eastAsiaTheme="majorEastAsia" w:hAnsiTheme="majorHAnsi" w:cstheme="majorBidi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2"/>
    <w:rsid w:val="0005568A"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paragraph" w:styleId="Quote">
    <w:name w:val="Quote"/>
    <w:basedOn w:val="Normal"/>
    <w:next w:val="Normal"/>
    <w:link w:val="QuoteChar"/>
    <w:uiPriority w:val="3"/>
    <w:qFormat/>
    <w:rsid w:val="00E81FFB"/>
    <w:pPr>
      <w:spacing w:before="120"/>
      <w:ind w:left="567"/>
    </w:pPr>
    <w:rPr>
      <w:szCs w:val="26"/>
    </w:rPr>
  </w:style>
  <w:style w:type="character" w:customStyle="1" w:styleId="QuoteChar">
    <w:name w:val="Quote Char"/>
    <w:basedOn w:val="DefaultParagraphFont"/>
    <w:link w:val="Quote"/>
    <w:uiPriority w:val="3"/>
    <w:rsid w:val="00E81FFB"/>
    <w:rPr>
      <w:rFonts w:ascii="Calibri" w:hAnsi="Calibri"/>
      <w:sz w:val="24"/>
      <w:szCs w:val="26"/>
      <w:lang w:val="en-AU"/>
    </w:rPr>
  </w:style>
  <w:style w:type="paragraph" w:styleId="ListParagraph">
    <w:name w:val="List Paragraph"/>
    <w:basedOn w:val="Normal"/>
    <w:uiPriority w:val="11"/>
    <w:qFormat/>
    <w:rsid w:val="0005568A"/>
    <w:pPr>
      <w:numPr>
        <w:numId w:val="1"/>
      </w:numPr>
      <w:spacing w:before="120"/>
      <w:ind w:left="567" w:hanging="425"/>
      <w:contextualSpacing/>
    </w:pPr>
    <w:rPr>
      <w:szCs w:val="26"/>
    </w:rPr>
  </w:style>
  <w:style w:type="paragraph" w:styleId="Subtitle">
    <w:name w:val="Subtitle"/>
    <w:basedOn w:val="Normal"/>
    <w:next w:val="Normal"/>
    <w:link w:val="SubtitleChar"/>
    <w:uiPriority w:val="6"/>
    <w:qFormat/>
    <w:rsid w:val="00257435"/>
    <w:pPr>
      <w:keepNext/>
      <w:numPr>
        <w:ilvl w:val="1"/>
      </w:numPr>
      <w:spacing w:before="240"/>
    </w:pPr>
    <w:rPr>
      <w:rFonts w:asciiTheme="majorHAnsi" w:eastAsiaTheme="majorEastAsia" w:hAnsiTheme="majorHAnsi" w:cstheme="majorBidi"/>
      <w:b/>
      <w:iCs/>
      <w:spacing w:val="15"/>
      <w:sz w:val="40"/>
      <w:szCs w:val="24"/>
    </w:rPr>
  </w:style>
  <w:style w:type="paragraph" w:styleId="Title">
    <w:name w:val="Title"/>
    <w:basedOn w:val="Normal"/>
    <w:next w:val="Normal"/>
    <w:link w:val="TitleChar"/>
    <w:uiPriority w:val="5"/>
    <w:qFormat/>
    <w:rsid w:val="00013D48"/>
    <w:pPr>
      <w:keepNext/>
      <w:spacing w:before="240"/>
    </w:pPr>
    <w:rPr>
      <w:rFonts w:asciiTheme="majorHAnsi" w:eastAsiaTheme="majorEastAsia" w:hAnsiTheme="majorHAnsi" w:cstheme="majorBidi"/>
      <w:b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013D48"/>
    <w:rPr>
      <w:rFonts w:asciiTheme="majorHAnsi" w:eastAsiaTheme="majorEastAsia" w:hAnsiTheme="majorHAnsi" w:cstheme="majorBidi"/>
      <w:b/>
      <w:kern w:val="28"/>
      <w:sz w:val="52"/>
      <w:szCs w:val="52"/>
      <w:lang w:val="en-AU"/>
    </w:rPr>
  </w:style>
  <w:style w:type="character" w:customStyle="1" w:styleId="SubtitleChar">
    <w:name w:val="Subtitle Char"/>
    <w:basedOn w:val="DefaultParagraphFont"/>
    <w:link w:val="Subtitle"/>
    <w:uiPriority w:val="6"/>
    <w:rsid w:val="00257435"/>
    <w:rPr>
      <w:rFonts w:asciiTheme="majorHAnsi" w:eastAsiaTheme="majorEastAsia" w:hAnsiTheme="majorHAnsi" w:cstheme="majorBidi"/>
      <w:b/>
      <w:iCs/>
      <w:spacing w:val="15"/>
      <w:sz w:val="40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2"/>
    <w:rsid w:val="00E81FFB"/>
    <w:rPr>
      <w:rFonts w:asciiTheme="majorHAnsi" w:eastAsiaTheme="majorEastAsia" w:hAnsiTheme="majorHAnsi" w:cstheme="majorBidi"/>
      <w:b/>
      <w:bCs/>
      <w:i/>
      <w:sz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4"/>
    <w:rsid w:val="00013D48"/>
    <w:rPr>
      <w:rFonts w:ascii="Calibri" w:eastAsiaTheme="majorEastAsia" w:hAnsi="Calibri" w:cstheme="majorBidi"/>
      <w:bCs/>
      <w:i/>
      <w:iCs/>
      <w:sz w:val="24"/>
      <w:lang w:val="en-AU"/>
    </w:rPr>
  </w:style>
  <w:style w:type="character" w:customStyle="1" w:styleId="Heading5Char">
    <w:name w:val="Heading 5 Char"/>
    <w:basedOn w:val="DefaultParagraphFont"/>
    <w:link w:val="Heading5"/>
    <w:uiPriority w:val="4"/>
    <w:rsid w:val="00013D48"/>
    <w:rPr>
      <w:rFonts w:ascii="Calibri" w:eastAsiaTheme="majorEastAsia" w:hAnsi="Calibri" w:cstheme="majorBidi"/>
      <w:b/>
      <w:sz w:val="22"/>
      <w:lang w:val="en-AU"/>
    </w:rPr>
  </w:style>
  <w:style w:type="paragraph" w:customStyle="1" w:styleId="Bulletlist">
    <w:name w:val="Bullet list"/>
    <w:basedOn w:val="ListParagraph"/>
    <w:qFormat/>
    <w:rsid w:val="00013D48"/>
    <w:pPr>
      <w:numPr>
        <w:numId w:val="2"/>
      </w:numPr>
      <w:ind w:left="567" w:hanging="425"/>
    </w:pPr>
  </w:style>
  <w:style w:type="paragraph" w:customStyle="1" w:styleId="BodyText1">
    <w:name w:val="Body Text1"/>
    <w:basedOn w:val="Normal"/>
    <w:qFormat/>
    <w:rsid w:val="00013D48"/>
    <w:rPr>
      <w:szCs w:val="26"/>
    </w:rPr>
  </w:style>
  <w:style w:type="character" w:styleId="Hyperlink">
    <w:name w:val="Hyperlink"/>
    <w:basedOn w:val="DefaultParagraphFont"/>
    <w:uiPriority w:val="99"/>
    <w:unhideWhenUsed/>
    <w:rsid w:val="000F5CF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4B64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4B64"/>
    <w:rPr>
      <w:rFonts w:ascii="Calibri" w:hAnsi="Calibri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154B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902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769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1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7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34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890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26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475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03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07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263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4" w:color="DEDEDE"/>
                                                                        <w:left w:val="single" w:sz="2" w:space="4" w:color="DEDEDE"/>
                                                                        <w:bottom w:val="single" w:sz="2" w:space="4" w:color="DEDEDE"/>
                                                                        <w:right w:val="single" w:sz="2" w:space="4" w:color="DEDEDE"/>
                                                                      </w:divBdr>
                                                                      <w:divsChild>
                                                                        <w:div w:id="193159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577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ccess.justice@pc.gov.a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27CB9-2D28-4114-8AFE-D28FFA42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3958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DR179 - Australian Information Commissioner - Access to Justice Arrangements - Public inquiry</vt:lpstr>
    </vt:vector>
  </TitlesOfParts>
  <Company>Australian Information Commissioner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DR179 - Australian Information Commissioner - Access to Justice Arrangements - Public inquiry</dc:title>
  <dc:creator>Australian Information Commissioner</dc:creator>
  <cp:lastModifiedBy>Productivity Commission</cp:lastModifiedBy>
  <cp:revision>2</cp:revision>
  <cp:lastPrinted>2014-05-20T05:59:00Z</cp:lastPrinted>
  <dcterms:created xsi:type="dcterms:W3CDTF">2014-05-22T04:37:00Z</dcterms:created>
  <dcterms:modified xsi:type="dcterms:W3CDTF">2014-05-22T04:37:00Z</dcterms:modified>
</cp:coreProperties>
</file>