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9B" w:rsidRDefault="008C0C9B" w:rsidP="00E56098">
      <w:pPr>
        <w:rPr>
          <w:rFonts w:ascii="Arial" w:hAnsi="Arial" w:cs="Arial"/>
        </w:rPr>
      </w:pPr>
      <w:bookmarkStart w:id="0" w:name="_GoBack"/>
      <w:bookmarkEnd w:id="0"/>
    </w:p>
    <w:p w:rsidR="00414BFC" w:rsidRDefault="00414BFC" w:rsidP="00E56098">
      <w:pPr>
        <w:spacing w:after="0"/>
        <w:rPr>
          <w:rFonts w:ascii="Arial" w:hAnsi="Arial" w:cs="Arial"/>
          <w:b/>
        </w:rPr>
      </w:pPr>
    </w:p>
    <w:p w:rsidR="00247ABC" w:rsidRPr="008B1064" w:rsidRDefault="001D7DCA" w:rsidP="00E56098">
      <w:pPr>
        <w:rPr>
          <w:rFonts w:ascii="Arial" w:hAnsi="Arial" w:cs="Arial"/>
          <w:color w:val="000000"/>
        </w:rPr>
      </w:pPr>
      <w:r>
        <w:rPr>
          <w:rFonts w:ascii="Arial" w:hAnsi="Arial" w:cs="Arial"/>
          <w:color w:val="000000"/>
        </w:rPr>
        <w:t>21 May 2014</w:t>
      </w:r>
    </w:p>
    <w:p w:rsidR="00247ABC" w:rsidRDefault="00247ABC" w:rsidP="00E56098">
      <w:pPr>
        <w:rPr>
          <w:rFonts w:ascii="Arial" w:hAnsi="Arial" w:cs="Arial"/>
          <w:b/>
          <w:bCs/>
          <w:color w:val="000000"/>
        </w:rPr>
      </w:pPr>
    </w:p>
    <w:p w:rsidR="008B58C7" w:rsidRPr="008B58C7" w:rsidRDefault="008B58C7" w:rsidP="00E56098">
      <w:pPr>
        <w:rPr>
          <w:rFonts w:ascii="Arial" w:hAnsi="Arial" w:cs="Arial"/>
          <w:bCs/>
          <w:color w:val="000000"/>
        </w:rPr>
      </w:pPr>
      <w:r>
        <w:rPr>
          <w:rFonts w:ascii="Arial" w:hAnsi="Arial" w:cs="Arial"/>
          <w:bCs/>
          <w:color w:val="000000"/>
        </w:rPr>
        <w:t>Access to Justice Arrangements</w:t>
      </w:r>
      <w:r w:rsidR="00355DDA">
        <w:rPr>
          <w:rFonts w:ascii="Arial" w:hAnsi="Arial" w:cs="Arial"/>
          <w:bCs/>
          <w:color w:val="000000"/>
        </w:rPr>
        <w:br/>
      </w:r>
      <w:r>
        <w:rPr>
          <w:rFonts w:ascii="Arial" w:hAnsi="Arial" w:cs="Arial"/>
          <w:bCs/>
          <w:color w:val="000000"/>
        </w:rPr>
        <w:t>Productivity Commission</w:t>
      </w:r>
      <w:r w:rsidR="00355DDA">
        <w:rPr>
          <w:rFonts w:ascii="Arial" w:hAnsi="Arial" w:cs="Arial"/>
          <w:bCs/>
          <w:color w:val="000000"/>
        </w:rPr>
        <w:br/>
      </w:r>
      <w:r>
        <w:rPr>
          <w:rFonts w:ascii="Arial" w:hAnsi="Arial" w:cs="Arial"/>
          <w:bCs/>
          <w:color w:val="000000"/>
        </w:rPr>
        <w:t>PO Box 1428</w:t>
      </w:r>
      <w:r w:rsidR="00355DDA">
        <w:rPr>
          <w:rFonts w:ascii="Arial" w:hAnsi="Arial" w:cs="Arial"/>
          <w:bCs/>
          <w:color w:val="000000"/>
        </w:rPr>
        <w:br/>
      </w:r>
      <w:r>
        <w:rPr>
          <w:rFonts w:ascii="Arial" w:hAnsi="Arial" w:cs="Arial"/>
          <w:bCs/>
          <w:color w:val="000000"/>
        </w:rPr>
        <w:t>Canberra City ACT 2601</w:t>
      </w:r>
    </w:p>
    <w:p w:rsidR="008B58C7" w:rsidRDefault="00A25FC5" w:rsidP="00E56098">
      <w:pPr>
        <w:rPr>
          <w:rFonts w:ascii="Arial" w:hAnsi="Arial" w:cs="Arial"/>
          <w:b/>
          <w:bCs/>
          <w:color w:val="000000"/>
        </w:rPr>
      </w:pPr>
      <w:r>
        <w:rPr>
          <w:rFonts w:ascii="Arial" w:hAnsi="Arial" w:cs="Arial"/>
          <w:b/>
          <w:bCs/>
          <w:color w:val="000000"/>
        </w:rPr>
        <w:br/>
      </w:r>
      <w:r w:rsidR="00AB1A8D" w:rsidRPr="007D3AAA">
        <w:rPr>
          <w:rFonts w:ascii="Arial" w:hAnsi="Arial" w:cs="Arial"/>
          <w:b/>
          <w:bCs/>
          <w:color w:val="000000"/>
        </w:rPr>
        <w:t xml:space="preserve">By </w:t>
      </w:r>
      <w:r w:rsidR="006D340E" w:rsidRPr="007D3AAA">
        <w:rPr>
          <w:rFonts w:ascii="Arial" w:hAnsi="Arial" w:cs="Arial"/>
          <w:b/>
          <w:bCs/>
          <w:color w:val="000000"/>
        </w:rPr>
        <w:t>email</w:t>
      </w:r>
      <w:r w:rsidR="00AB1A8D" w:rsidRPr="007D3AAA">
        <w:rPr>
          <w:rFonts w:ascii="Arial" w:hAnsi="Arial" w:cs="Arial"/>
          <w:b/>
          <w:bCs/>
          <w:color w:val="000000"/>
        </w:rPr>
        <w:t xml:space="preserve">: </w:t>
      </w:r>
      <w:r w:rsidR="008B58C7">
        <w:rPr>
          <w:rFonts w:ascii="Arial" w:hAnsi="Arial" w:cs="Arial"/>
          <w:b/>
          <w:bCs/>
          <w:color w:val="000000"/>
        </w:rPr>
        <w:t>access.justice@pc.gov.au</w:t>
      </w:r>
    </w:p>
    <w:p w:rsidR="008B58C7" w:rsidRPr="008B58C7" w:rsidRDefault="00A25FC5" w:rsidP="00E56098">
      <w:pPr>
        <w:rPr>
          <w:rFonts w:ascii="Arial" w:hAnsi="Arial" w:cs="Arial"/>
          <w:b/>
          <w:bCs/>
          <w:color w:val="000000"/>
        </w:rPr>
      </w:pPr>
      <w:r>
        <w:rPr>
          <w:rFonts w:ascii="Arial" w:hAnsi="Arial" w:cs="Arial"/>
          <w:b/>
          <w:bCs/>
          <w:color w:val="000000"/>
        </w:rPr>
        <w:br/>
      </w:r>
      <w:r w:rsidR="008B58C7">
        <w:rPr>
          <w:rFonts w:ascii="Arial" w:hAnsi="Arial" w:cs="Arial"/>
          <w:b/>
          <w:bCs/>
          <w:color w:val="000000"/>
        </w:rPr>
        <w:t xml:space="preserve">Due date for submissions: </w:t>
      </w:r>
      <w:r w:rsidR="00DB01AF">
        <w:rPr>
          <w:rFonts w:ascii="Arial" w:hAnsi="Arial" w:cs="Arial"/>
          <w:b/>
          <w:bCs/>
          <w:color w:val="000000"/>
        </w:rPr>
        <w:t>21 May 2014</w:t>
      </w:r>
    </w:p>
    <w:p w:rsidR="00247ABC" w:rsidRDefault="00232D1A" w:rsidP="00E56098">
      <w:pPr>
        <w:pStyle w:val="FootnoteText"/>
        <w:rPr>
          <w:color w:val="000000"/>
          <w:sz w:val="22"/>
        </w:rPr>
      </w:pPr>
      <w:r>
        <w:rPr>
          <w:color w:val="000000"/>
          <w:sz w:val="22"/>
        </w:rPr>
        <w:br/>
      </w:r>
    </w:p>
    <w:p w:rsidR="00247ABC" w:rsidRDefault="008B58C7" w:rsidP="00E56098">
      <w:pPr>
        <w:pStyle w:val="FootnoteText"/>
        <w:rPr>
          <w:color w:val="000000"/>
          <w:sz w:val="22"/>
        </w:rPr>
      </w:pPr>
      <w:r>
        <w:rPr>
          <w:color w:val="000000"/>
          <w:sz w:val="22"/>
        </w:rPr>
        <w:t xml:space="preserve">To </w:t>
      </w:r>
      <w:r w:rsidR="00232D1A">
        <w:rPr>
          <w:color w:val="000000"/>
          <w:sz w:val="22"/>
        </w:rPr>
        <w:t>the Commission</w:t>
      </w:r>
    </w:p>
    <w:p w:rsidR="008B58C7" w:rsidRDefault="00DB01AF" w:rsidP="00E56098">
      <w:pPr>
        <w:pStyle w:val="Subject"/>
        <w:ind w:right="0"/>
        <w:rPr>
          <w:sz w:val="28"/>
        </w:rPr>
      </w:pPr>
      <w:r>
        <w:rPr>
          <w:sz w:val="28"/>
        </w:rPr>
        <w:t xml:space="preserve">Productivity Commission Draft Report on </w:t>
      </w:r>
      <w:r w:rsidR="008B58C7">
        <w:rPr>
          <w:sz w:val="28"/>
        </w:rPr>
        <w:t xml:space="preserve">Access to Justice Arrangements </w:t>
      </w:r>
    </w:p>
    <w:p w:rsidR="00247ABC" w:rsidRDefault="00DB01AF" w:rsidP="00E56098">
      <w:pPr>
        <w:pStyle w:val="Subject"/>
        <w:ind w:right="0"/>
        <w:rPr>
          <w:sz w:val="28"/>
          <w:szCs w:val="28"/>
        </w:rPr>
      </w:pPr>
      <w:r>
        <w:rPr>
          <w:sz w:val="28"/>
        </w:rPr>
        <w:t xml:space="preserve">Further </w:t>
      </w:r>
      <w:r w:rsidR="008B58C7">
        <w:rPr>
          <w:sz w:val="28"/>
        </w:rPr>
        <w:t xml:space="preserve">Submission by the Refugee Advice </w:t>
      </w:r>
      <w:r w:rsidR="00355DDA">
        <w:rPr>
          <w:sz w:val="28"/>
        </w:rPr>
        <w:t xml:space="preserve">&amp; </w:t>
      </w:r>
      <w:r w:rsidR="008B58C7">
        <w:rPr>
          <w:sz w:val="28"/>
        </w:rPr>
        <w:t>Casework Service (</w:t>
      </w:r>
      <w:r w:rsidR="00232D1A">
        <w:rPr>
          <w:sz w:val="28"/>
        </w:rPr>
        <w:t>Aust</w:t>
      </w:r>
      <w:r w:rsidR="008B58C7">
        <w:rPr>
          <w:sz w:val="28"/>
        </w:rPr>
        <w:t>)</w:t>
      </w:r>
      <w:r w:rsidR="00232D1A">
        <w:rPr>
          <w:sz w:val="28"/>
        </w:rPr>
        <w:t xml:space="preserve"> Inc.</w:t>
      </w:r>
    </w:p>
    <w:p w:rsidR="00247ABC" w:rsidRPr="00342B8B" w:rsidRDefault="00247ABC" w:rsidP="00E56098">
      <w:pPr>
        <w:pStyle w:val="level1"/>
        <w:ind w:left="0" w:right="0" w:firstLine="0"/>
        <w:rPr>
          <w:sz w:val="4"/>
          <w:szCs w:val="4"/>
        </w:rPr>
      </w:pPr>
    </w:p>
    <w:p w:rsidR="00DB01AF" w:rsidRDefault="00DB01AF" w:rsidP="00E56098">
      <w:pPr>
        <w:pStyle w:val="level1"/>
        <w:ind w:left="0" w:right="0" w:firstLine="0"/>
        <w:jc w:val="both"/>
        <w:rPr>
          <w:sz w:val="22"/>
        </w:rPr>
      </w:pPr>
      <w:r>
        <w:rPr>
          <w:sz w:val="22"/>
        </w:rPr>
        <w:t>We refer to your draft report entitled Access to Justice Arrangements and our letter</w:t>
      </w:r>
      <w:r w:rsidR="005B3418">
        <w:rPr>
          <w:sz w:val="22"/>
        </w:rPr>
        <w:t xml:space="preserve"> dated</w:t>
      </w:r>
      <w:r>
        <w:rPr>
          <w:sz w:val="22"/>
        </w:rPr>
        <w:t xml:space="preserve"> 4 November 2013.</w:t>
      </w:r>
    </w:p>
    <w:p w:rsidR="00F60960" w:rsidRDefault="00DB01AF" w:rsidP="00E56098">
      <w:pPr>
        <w:pStyle w:val="level1"/>
        <w:ind w:left="0" w:right="0" w:firstLine="0"/>
        <w:jc w:val="both"/>
        <w:rPr>
          <w:sz w:val="22"/>
        </w:rPr>
      </w:pPr>
      <w:r>
        <w:rPr>
          <w:sz w:val="22"/>
        </w:rPr>
        <w:t xml:space="preserve">As you are aware, </w:t>
      </w:r>
      <w:r w:rsidR="00232D1A">
        <w:rPr>
          <w:sz w:val="22"/>
        </w:rPr>
        <w:t>T</w:t>
      </w:r>
      <w:r w:rsidR="00232D1A" w:rsidRPr="00232D1A">
        <w:rPr>
          <w:sz w:val="22"/>
        </w:rPr>
        <w:t>he Refugee Advice &amp; Casework Service</w:t>
      </w:r>
      <w:r w:rsidR="00232D1A">
        <w:rPr>
          <w:sz w:val="22"/>
        </w:rPr>
        <w:t xml:space="preserve"> (</w:t>
      </w:r>
      <w:r w:rsidR="00232D1A" w:rsidRPr="00DB01AF">
        <w:rPr>
          <w:b/>
          <w:sz w:val="22"/>
        </w:rPr>
        <w:t>RACS</w:t>
      </w:r>
      <w:r w:rsidR="00232D1A">
        <w:rPr>
          <w:sz w:val="22"/>
        </w:rPr>
        <w:t>)</w:t>
      </w:r>
      <w:r w:rsidR="00232D1A" w:rsidRPr="00232D1A">
        <w:rPr>
          <w:sz w:val="22"/>
        </w:rPr>
        <w:t xml:space="preserve"> </w:t>
      </w:r>
      <w:r w:rsidR="003F3305">
        <w:rPr>
          <w:sz w:val="22"/>
        </w:rPr>
        <w:t>is a community legal centre that provides free legal advice and assistance to people seeking refugee</w:t>
      </w:r>
      <w:r w:rsidR="00BD53B2">
        <w:rPr>
          <w:sz w:val="22"/>
        </w:rPr>
        <w:t xml:space="preserve"> status in Australia. It is a</w:t>
      </w:r>
      <w:r w:rsidR="003F3305">
        <w:rPr>
          <w:sz w:val="22"/>
        </w:rPr>
        <w:t xml:space="preserve"> specialised r</w:t>
      </w:r>
      <w:r w:rsidR="00BD53B2">
        <w:rPr>
          <w:sz w:val="22"/>
        </w:rPr>
        <w:t>efugee legal centre</w:t>
      </w:r>
      <w:r w:rsidR="003F3305">
        <w:rPr>
          <w:sz w:val="22"/>
        </w:rPr>
        <w:t xml:space="preserve"> and has been assisting </w:t>
      </w:r>
      <w:r w:rsidR="00232D1A">
        <w:rPr>
          <w:sz w:val="22"/>
        </w:rPr>
        <w:t xml:space="preserve">asylum-seekers </w:t>
      </w:r>
      <w:r w:rsidR="003F3305">
        <w:rPr>
          <w:sz w:val="22"/>
        </w:rPr>
        <w:t>on a not-for-profit basis since 1988.</w:t>
      </w:r>
      <w:r w:rsidR="00165D08">
        <w:rPr>
          <w:sz w:val="22"/>
        </w:rPr>
        <w:t xml:space="preserve"> </w:t>
      </w:r>
    </w:p>
    <w:p w:rsidR="00F60960" w:rsidRDefault="00232D1A" w:rsidP="00E56098">
      <w:pPr>
        <w:pStyle w:val="level1"/>
        <w:ind w:left="0" w:right="0" w:firstLine="0"/>
        <w:jc w:val="both"/>
        <w:rPr>
          <w:sz w:val="22"/>
        </w:rPr>
      </w:pPr>
      <w:r>
        <w:rPr>
          <w:sz w:val="22"/>
        </w:rPr>
        <w:t xml:space="preserve">RACS </w:t>
      </w:r>
      <w:r w:rsidR="00165D08">
        <w:rPr>
          <w:sz w:val="22"/>
        </w:rPr>
        <w:t xml:space="preserve">would like to make </w:t>
      </w:r>
      <w:r w:rsidR="008B1064">
        <w:rPr>
          <w:sz w:val="22"/>
        </w:rPr>
        <w:t>further submissions</w:t>
      </w:r>
      <w:r w:rsidR="00165D08">
        <w:rPr>
          <w:sz w:val="22"/>
        </w:rPr>
        <w:t xml:space="preserve"> </w:t>
      </w:r>
      <w:r w:rsidR="008B1064">
        <w:rPr>
          <w:sz w:val="22"/>
        </w:rPr>
        <w:t>regarding</w:t>
      </w:r>
      <w:r w:rsidR="00165D08">
        <w:rPr>
          <w:sz w:val="22"/>
        </w:rPr>
        <w:t xml:space="preserve"> the</w:t>
      </w:r>
      <w:r w:rsidR="00B14B38">
        <w:rPr>
          <w:sz w:val="22"/>
        </w:rPr>
        <w:t xml:space="preserve"> draft report on</w:t>
      </w:r>
      <w:r w:rsidR="00165D08">
        <w:rPr>
          <w:sz w:val="22"/>
        </w:rPr>
        <w:t xml:space="preserve"> </w:t>
      </w:r>
      <w:r w:rsidR="00355DDA">
        <w:rPr>
          <w:sz w:val="22"/>
        </w:rPr>
        <w:t xml:space="preserve">Access to Justice Arrangements </w:t>
      </w:r>
      <w:r w:rsidR="00DC1ED6">
        <w:rPr>
          <w:sz w:val="22"/>
        </w:rPr>
        <w:t xml:space="preserve">that </w:t>
      </w:r>
      <w:r w:rsidR="00165D08">
        <w:rPr>
          <w:sz w:val="22"/>
        </w:rPr>
        <w:t xml:space="preserve">are </w:t>
      </w:r>
      <w:r w:rsidR="00AE60ED">
        <w:rPr>
          <w:sz w:val="22"/>
        </w:rPr>
        <w:t xml:space="preserve">relevant to </w:t>
      </w:r>
      <w:r w:rsidR="00165D08">
        <w:rPr>
          <w:sz w:val="22"/>
        </w:rPr>
        <w:t>our service</w:t>
      </w:r>
      <w:r w:rsidR="00F60960">
        <w:rPr>
          <w:sz w:val="22"/>
        </w:rPr>
        <w:t xml:space="preserve">, namely the </w:t>
      </w:r>
      <w:r w:rsidR="00AF6DA8">
        <w:rPr>
          <w:sz w:val="22"/>
        </w:rPr>
        <w:t xml:space="preserve">access to justice issues facing </w:t>
      </w:r>
      <w:r w:rsidR="00F60960">
        <w:rPr>
          <w:sz w:val="22"/>
        </w:rPr>
        <w:t>asylum seekers in Australia</w:t>
      </w:r>
      <w:r w:rsidR="00165D08">
        <w:rPr>
          <w:sz w:val="22"/>
        </w:rPr>
        <w:t xml:space="preserve">. </w:t>
      </w:r>
    </w:p>
    <w:p w:rsidR="00AE60ED" w:rsidRDefault="007E31E0" w:rsidP="00E56098">
      <w:pPr>
        <w:pStyle w:val="level1"/>
        <w:ind w:left="0" w:right="0" w:firstLine="0"/>
        <w:jc w:val="both"/>
        <w:rPr>
          <w:b/>
          <w:sz w:val="22"/>
        </w:rPr>
      </w:pPr>
      <w:r>
        <w:rPr>
          <w:sz w:val="22"/>
        </w:rPr>
        <w:t xml:space="preserve">Our cover sheet and a copy of our previous submissions are </w:t>
      </w:r>
      <w:r w:rsidRPr="007E31E0">
        <w:rPr>
          <w:b/>
          <w:sz w:val="22"/>
        </w:rPr>
        <w:t>enclosed</w:t>
      </w:r>
      <w:r>
        <w:rPr>
          <w:sz w:val="22"/>
        </w:rPr>
        <w:t>.</w:t>
      </w:r>
    </w:p>
    <w:p w:rsidR="007E31E0" w:rsidRDefault="00B519FC" w:rsidP="00B519FC">
      <w:pPr>
        <w:pStyle w:val="level1"/>
        <w:ind w:left="0" w:right="0" w:firstLine="0"/>
        <w:jc w:val="both"/>
        <w:rPr>
          <w:b/>
          <w:sz w:val="22"/>
        </w:rPr>
      </w:pPr>
      <w:r>
        <w:rPr>
          <w:b/>
          <w:sz w:val="22"/>
        </w:rPr>
        <w:t>Lack of consideration</w:t>
      </w:r>
      <w:r w:rsidR="00763B08">
        <w:rPr>
          <w:b/>
          <w:sz w:val="22"/>
        </w:rPr>
        <w:t xml:space="preserve"> of</w:t>
      </w:r>
      <w:r w:rsidR="00845799">
        <w:rPr>
          <w:b/>
          <w:sz w:val="22"/>
        </w:rPr>
        <w:t xml:space="preserve"> RACS’</w:t>
      </w:r>
      <w:r>
        <w:rPr>
          <w:b/>
          <w:sz w:val="22"/>
        </w:rPr>
        <w:t xml:space="preserve"> p</w:t>
      </w:r>
      <w:r w:rsidR="007E31E0">
        <w:rPr>
          <w:b/>
          <w:sz w:val="22"/>
        </w:rPr>
        <w:t>revious submissions</w:t>
      </w:r>
    </w:p>
    <w:p w:rsidR="007E31E0" w:rsidRDefault="007E31E0" w:rsidP="007E31E0">
      <w:pPr>
        <w:pStyle w:val="level1"/>
        <w:ind w:left="0" w:right="0" w:firstLine="0"/>
        <w:jc w:val="both"/>
        <w:rPr>
          <w:sz w:val="22"/>
        </w:rPr>
      </w:pPr>
      <w:r>
        <w:rPr>
          <w:sz w:val="22"/>
        </w:rPr>
        <w:t>We note that</w:t>
      </w:r>
      <w:r w:rsidR="00935CF3">
        <w:rPr>
          <w:sz w:val="22"/>
        </w:rPr>
        <w:t xml:space="preserve"> a number of </w:t>
      </w:r>
      <w:r w:rsidR="0059395D">
        <w:rPr>
          <w:sz w:val="22"/>
        </w:rPr>
        <w:t xml:space="preserve">the </w:t>
      </w:r>
      <w:r w:rsidR="00935CF3">
        <w:rPr>
          <w:sz w:val="22"/>
        </w:rPr>
        <w:t>access to justice</w:t>
      </w:r>
      <w:r>
        <w:rPr>
          <w:sz w:val="22"/>
        </w:rPr>
        <w:t xml:space="preserve"> issues</w:t>
      </w:r>
      <w:r w:rsidR="00782637">
        <w:rPr>
          <w:sz w:val="22"/>
        </w:rPr>
        <w:t xml:space="preserve"> that are</w:t>
      </w:r>
      <w:r w:rsidR="00935CF3">
        <w:rPr>
          <w:sz w:val="22"/>
        </w:rPr>
        <w:t xml:space="preserve"> raised generally in your draft report </w:t>
      </w:r>
      <w:r w:rsidR="00926E5B">
        <w:rPr>
          <w:sz w:val="22"/>
        </w:rPr>
        <w:t xml:space="preserve">would </w:t>
      </w:r>
      <w:r w:rsidR="00935CF3">
        <w:rPr>
          <w:sz w:val="22"/>
        </w:rPr>
        <w:t xml:space="preserve">also relate to issues facing asylum seekers.  </w:t>
      </w:r>
      <w:r w:rsidR="007E671E">
        <w:rPr>
          <w:sz w:val="22"/>
        </w:rPr>
        <w:t>These issues include</w:t>
      </w:r>
      <w:r w:rsidR="005D4F8A">
        <w:rPr>
          <w:sz w:val="22"/>
        </w:rPr>
        <w:t xml:space="preserve"> but are not limited to</w:t>
      </w:r>
      <w:r w:rsidR="007E671E">
        <w:rPr>
          <w:sz w:val="22"/>
        </w:rPr>
        <w:t>:</w:t>
      </w:r>
    </w:p>
    <w:p w:rsidR="007E31E0" w:rsidRDefault="007E671E" w:rsidP="00A92654">
      <w:pPr>
        <w:pStyle w:val="level1"/>
        <w:numPr>
          <w:ilvl w:val="0"/>
          <w:numId w:val="10"/>
        </w:numPr>
        <w:ind w:right="0"/>
        <w:jc w:val="both"/>
        <w:rPr>
          <w:sz w:val="22"/>
        </w:rPr>
      </w:pPr>
      <w:r>
        <w:rPr>
          <w:sz w:val="22"/>
        </w:rPr>
        <w:t xml:space="preserve">The funding and role </w:t>
      </w:r>
      <w:r w:rsidR="00FA4A5F">
        <w:rPr>
          <w:sz w:val="22"/>
        </w:rPr>
        <w:t>of Community Legal Centres (</w:t>
      </w:r>
      <w:r w:rsidR="00FA4A5F" w:rsidRPr="00FA4A5F">
        <w:rPr>
          <w:b/>
          <w:sz w:val="22"/>
        </w:rPr>
        <w:t>CLC</w:t>
      </w:r>
      <w:r w:rsidRPr="00FA4A5F">
        <w:rPr>
          <w:b/>
          <w:sz w:val="22"/>
        </w:rPr>
        <w:t>s</w:t>
      </w:r>
      <w:r>
        <w:rPr>
          <w:sz w:val="22"/>
        </w:rPr>
        <w:t>);</w:t>
      </w:r>
    </w:p>
    <w:p w:rsidR="007E671E" w:rsidRDefault="007E671E" w:rsidP="00A92654">
      <w:pPr>
        <w:pStyle w:val="level1"/>
        <w:numPr>
          <w:ilvl w:val="0"/>
          <w:numId w:val="10"/>
        </w:numPr>
        <w:ind w:right="0"/>
        <w:jc w:val="both"/>
        <w:rPr>
          <w:sz w:val="22"/>
        </w:rPr>
      </w:pPr>
      <w:r>
        <w:rPr>
          <w:sz w:val="22"/>
        </w:rPr>
        <w:lastRenderedPageBreak/>
        <w:t>Pro bono legal work; and</w:t>
      </w:r>
    </w:p>
    <w:p w:rsidR="007E671E" w:rsidRDefault="007E671E" w:rsidP="00A92654">
      <w:pPr>
        <w:pStyle w:val="level1"/>
        <w:numPr>
          <w:ilvl w:val="0"/>
          <w:numId w:val="10"/>
        </w:numPr>
        <w:ind w:right="0"/>
        <w:jc w:val="both"/>
        <w:rPr>
          <w:sz w:val="22"/>
        </w:rPr>
      </w:pPr>
      <w:r>
        <w:rPr>
          <w:sz w:val="22"/>
        </w:rPr>
        <w:t>Access to the courts and tribunals.</w:t>
      </w:r>
    </w:p>
    <w:p w:rsidR="0059395D" w:rsidRDefault="003B4DC8" w:rsidP="007E31E0">
      <w:pPr>
        <w:pStyle w:val="level1"/>
        <w:ind w:left="0" w:right="0" w:firstLine="0"/>
        <w:jc w:val="both"/>
        <w:rPr>
          <w:sz w:val="22"/>
        </w:rPr>
      </w:pPr>
      <w:r>
        <w:rPr>
          <w:sz w:val="22"/>
        </w:rPr>
        <w:t>Further</w:t>
      </w:r>
      <w:r w:rsidR="009405C4">
        <w:rPr>
          <w:sz w:val="22"/>
        </w:rPr>
        <w:t xml:space="preserve"> </w:t>
      </w:r>
      <w:r>
        <w:rPr>
          <w:sz w:val="22"/>
        </w:rPr>
        <w:t>we</w:t>
      </w:r>
      <w:r w:rsidR="00935CF3">
        <w:rPr>
          <w:sz w:val="22"/>
        </w:rPr>
        <w:t xml:space="preserve"> also</w:t>
      </w:r>
      <w:r>
        <w:rPr>
          <w:sz w:val="22"/>
        </w:rPr>
        <w:t xml:space="preserve"> </w:t>
      </w:r>
      <w:r w:rsidR="0059395D">
        <w:rPr>
          <w:sz w:val="22"/>
        </w:rPr>
        <w:t xml:space="preserve">note that immigration issues </w:t>
      </w:r>
      <w:r w:rsidR="005B3418">
        <w:rPr>
          <w:sz w:val="22"/>
        </w:rPr>
        <w:t>specifically</w:t>
      </w:r>
      <w:r>
        <w:rPr>
          <w:sz w:val="22"/>
        </w:rPr>
        <w:t xml:space="preserve"> feat</w:t>
      </w:r>
      <w:r w:rsidR="009405C4">
        <w:rPr>
          <w:sz w:val="22"/>
        </w:rPr>
        <w:t xml:space="preserve">ure within the draft </w:t>
      </w:r>
      <w:r w:rsidR="00842B5A">
        <w:rPr>
          <w:sz w:val="22"/>
        </w:rPr>
        <w:t>report</w:t>
      </w:r>
      <w:r w:rsidR="00935CF3">
        <w:rPr>
          <w:sz w:val="22"/>
        </w:rPr>
        <w:t xml:space="preserve">, </w:t>
      </w:r>
      <w:r w:rsidR="00FA4A5F">
        <w:rPr>
          <w:sz w:val="22"/>
        </w:rPr>
        <w:t>for example</w:t>
      </w:r>
      <w:r w:rsidR="00763B08">
        <w:rPr>
          <w:sz w:val="22"/>
        </w:rPr>
        <w:t xml:space="preserve"> at pages </w:t>
      </w:r>
      <w:r w:rsidR="00926E5B">
        <w:rPr>
          <w:sz w:val="22"/>
        </w:rPr>
        <w:t xml:space="preserve">655, </w:t>
      </w:r>
      <w:r w:rsidR="00763B08">
        <w:rPr>
          <w:sz w:val="22"/>
        </w:rPr>
        <w:t>815 and 835</w:t>
      </w:r>
      <w:r w:rsidR="00935CF3">
        <w:rPr>
          <w:sz w:val="22"/>
        </w:rPr>
        <w:t xml:space="preserve">.  </w:t>
      </w:r>
    </w:p>
    <w:p w:rsidR="003B4DC8" w:rsidRDefault="00935CF3" w:rsidP="007E31E0">
      <w:pPr>
        <w:pStyle w:val="level1"/>
        <w:ind w:left="0" w:right="0" w:firstLine="0"/>
        <w:jc w:val="both"/>
        <w:rPr>
          <w:sz w:val="22"/>
        </w:rPr>
      </w:pPr>
      <w:r>
        <w:rPr>
          <w:sz w:val="22"/>
        </w:rPr>
        <w:t xml:space="preserve">However, </w:t>
      </w:r>
      <w:r w:rsidR="00782637">
        <w:rPr>
          <w:sz w:val="22"/>
        </w:rPr>
        <w:t>immigration</w:t>
      </w:r>
      <w:r w:rsidR="0059395D">
        <w:rPr>
          <w:sz w:val="22"/>
        </w:rPr>
        <w:t xml:space="preserve"> and asylum seek</w:t>
      </w:r>
      <w:r w:rsidR="00782637">
        <w:rPr>
          <w:sz w:val="22"/>
        </w:rPr>
        <w:t>er issues are</w:t>
      </w:r>
      <w:r w:rsidR="0059395D">
        <w:rPr>
          <w:sz w:val="22"/>
        </w:rPr>
        <w:t xml:space="preserve"> only</w:t>
      </w:r>
      <w:r w:rsidR="003B4DC8">
        <w:rPr>
          <w:sz w:val="22"/>
        </w:rPr>
        <w:t xml:space="preserve"> dealt with relatively briefly a</w:t>
      </w:r>
      <w:r w:rsidR="00782637">
        <w:rPr>
          <w:sz w:val="22"/>
        </w:rPr>
        <w:t>nd do</w:t>
      </w:r>
      <w:r w:rsidR="003B4DC8">
        <w:rPr>
          <w:sz w:val="22"/>
        </w:rPr>
        <w:t xml:space="preserve"> not appear to incorporate any of the submissions</w:t>
      </w:r>
      <w:r w:rsidR="009405C4">
        <w:rPr>
          <w:sz w:val="22"/>
        </w:rPr>
        <w:t xml:space="preserve"> made by RACS on 4 November 2013</w:t>
      </w:r>
      <w:r w:rsidR="00842B5A">
        <w:rPr>
          <w:sz w:val="22"/>
        </w:rPr>
        <w:t xml:space="preserve"> (</w:t>
      </w:r>
      <w:r w:rsidR="00842B5A" w:rsidRPr="00842B5A">
        <w:rPr>
          <w:b/>
          <w:sz w:val="22"/>
        </w:rPr>
        <w:t>enclosed</w:t>
      </w:r>
      <w:r w:rsidR="00842B5A">
        <w:rPr>
          <w:sz w:val="22"/>
        </w:rPr>
        <w:t>)</w:t>
      </w:r>
      <w:r w:rsidR="009405C4">
        <w:rPr>
          <w:sz w:val="22"/>
        </w:rPr>
        <w:t>.</w:t>
      </w:r>
    </w:p>
    <w:p w:rsidR="007E31E0" w:rsidRDefault="009405C4" w:rsidP="007E31E0">
      <w:pPr>
        <w:pStyle w:val="level1"/>
        <w:ind w:left="0" w:right="0" w:firstLine="0"/>
        <w:jc w:val="both"/>
        <w:rPr>
          <w:sz w:val="22"/>
        </w:rPr>
      </w:pPr>
      <w:r>
        <w:rPr>
          <w:sz w:val="22"/>
        </w:rPr>
        <w:t xml:space="preserve">In light of </w:t>
      </w:r>
      <w:r w:rsidR="00935CF3">
        <w:rPr>
          <w:sz w:val="22"/>
        </w:rPr>
        <w:t>this</w:t>
      </w:r>
      <w:r w:rsidR="008E5081">
        <w:rPr>
          <w:sz w:val="22"/>
        </w:rPr>
        <w:t xml:space="preserve"> concern</w:t>
      </w:r>
      <w:r w:rsidR="00926E5B">
        <w:rPr>
          <w:sz w:val="22"/>
        </w:rPr>
        <w:t xml:space="preserve"> </w:t>
      </w:r>
      <w:r>
        <w:rPr>
          <w:sz w:val="22"/>
        </w:rPr>
        <w:t>we have summarised</w:t>
      </w:r>
      <w:r w:rsidR="00842B5A">
        <w:rPr>
          <w:sz w:val="22"/>
        </w:rPr>
        <w:t xml:space="preserve"> some of the key points from</w:t>
      </w:r>
      <w:r>
        <w:rPr>
          <w:sz w:val="22"/>
        </w:rPr>
        <w:t xml:space="preserve"> our previ</w:t>
      </w:r>
      <w:r w:rsidR="00926E5B">
        <w:rPr>
          <w:sz w:val="22"/>
        </w:rPr>
        <w:t>ous submissions below for consideration in your final report</w:t>
      </w:r>
      <w:r>
        <w:rPr>
          <w:sz w:val="22"/>
        </w:rPr>
        <w:t>:</w:t>
      </w:r>
    </w:p>
    <w:p w:rsidR="00217A02" w:rsidRDefault="00217A02" w:rsidP="00A92654">
      <w:pPr>
        <w:pStyle w:val="level1"/>
        <w:numPr>
          <w:ilvl w:val="0"/>
          <w:numId w:val="14"/>
        </w:numPr>
        <w:ind w:right="0"/>
        <w:jc w:val="both"/>
        <w:rPr>
          <w:sz w:val="22"/>
        </w:rPr>
      </w:pPr>
      <w:r>
        <w:rPr>
          <w:sz w:val="22"/>
        </w:rPr>
        <w:t xml:space="preserve">There is a high level of demand from asylum seekers for legal services due to the complex nature of the legal landscape and a lack of proficiency in English or, at times, </w:t>
      </w:r>
      <w:r w:rsidR="00D121DF">
        <w:rPr>
          <w:sz w:val="22"/>
        </w:rPr>
        <w:t>illiteracy</w:t>
      </w:r>
      <w:r>
        <w:rPr>
          <w:sz w:val="22"/>
        </w:rPr>
        <w:t xml:space="preserve">.  </w:t>
      </w:r>
    </w:p>
    <w:p w:rsidR="00474313" w:rsidRPr="00446F73" w:rsidRDefault="00217A02" w:rsidP="00446F73">
      <w:pPr>
        <w:pStyle w:val="level1"/>
        <w:numPr>
          <w:ilvl w:val="0"/>
          <w:numId w:val="14"/>
        </w:numPr>
        <w:ind w:right="0"/>
        <w:jc w:val="both"/>
        <w:rPr>
          <w:sz w:val="22"/>
        </w:rPr>
      </w:pPr>
      <w:r>
        <w:rPr>
          <w:sz w:val="22"/>
        </w:rPr>
        <w:t>Funding previously afforded by the Australian Government to organisations which assisted asylum seeker</w:t>
      </w:r>
      <w:r w:rsidR="00D25C0D">
        <w:rPr>
          <w:sz w:val="22"/>
        </w:rPr>
        <w:t>s have been cut, so that asylum</w:t>
      </w:r>
      <w:r>
        <w:rPr>
          <w:sz w:val="22"/>
        </w:rPr>
        <w:t xml:space="preserve"> seekers who arrive by boat or by plane without a va</w:t>
      </w:r>
      <w:r w:rsidR="000777B4">
        <w:rPr>
          <w:sz w:val="22"/>
        </w:rPr>
        <w:t>lid visa will not be granted</w:t>
      </w:r>
      <w:r>
        <w:rPr>
          <w:sz w:val="22"/>
        </w:rPr>
        <w:t xml:space="preserve"> funding to assist their claim for protection in Australia</w:t>
      </w:r>
      <w:r w:rsidR="003962A0">
        <w:rPr>
          <w:sz w:val="22"/>
        </w:rPr>
        <w:t>.</w:t>
      </w:r>
      <w:r w:rsidR="00446F73">
        <w:rPr>
          <w:sz w:val="22"/>
        </w:rPr>
        <w:t xml:space="preserve">  This places asylum seekers at a disadvantage given that </w:t>
      </w:r>
      <w:r w:rsidR="00842B5A">
        <w:rPr>
          <w:sz w:val="22"/>
        </w:rPr>
        <w:t>they</w:t>
      </w:r>
      <w:r w:rsidR="00474313" w:rsidRPr="00446F73">
        <w:rPr>
          <w:sz w:val="22"/>
        </w:rPr>
        <w:t xml:space="preserve"> often lack the financial resources to pay for legal advice and representation.</w:t>
      </w:r>
    </w:p>
    <w:p w:rsidR="003962A0" w:rsidRDefault="003962A0" w:rsidP="00A92654">
      <w:pPr>
        <w:pStyle w:val="level1"/>
        <w:numPr>
          <w:ilvl w:val="0"/>
          <w:numId w:val="14"/>
        </w:numPr>
        <w:ind w:right="0"/>
        <w:jc w:val="both"/>
        <w:rPr>
          <w:sz w:val="22"/>
        </w:rPr>
      </w:pPr>
      <w:r>
        <w:rPr>
          <w:sz w:val="22"/>
        </w:rPr>
        <w:t>The legal framework surrounding immigration is at times unnecessarily duplicitous</w:t>
      </w:r>
      <w:r w:rsidR="00D121DF">
        <w:rPr>
          <w:sz w:val="22"/>
        </w:rPr>
        <w:t xml:space="preserve"> and complex</w:t>
      </w:r>
      <w:r>
        <w:rPr>
          <w:sz w:val="22"/>
        </w:rPr>
        <w:t>, which res</w:t>
      </w:r>
      <w:r w:rsidR="00DC3A98">
        <w:rPr>
          <w:sz w:val="22"/>
        </w:rPr>
        <w:t>ults in an increased use of resources</w:t>
      </w:r>
      <w:r>
        <w:rPr>
          <w:sz w:val="22"/>
        </w:rPr>
        <w:t xml:space="preserve"> and in turn increased expenditure.</w:t>
      </w:r>
    </w:p>
    <w:p w:rsidR="00B519FC" w:rsidRDefault="003962A0" w:rsidP="00A92654">
      <w:pPr>
        <w:pStyle w:val="level1"/>
        <w:numPr>
          <w:ilvl w:val="0"/>
          <w:numId w:val="14"/>
        </w:numPr>
        <w:ind w:right="0"/>
        <w:jc w:val="both"/>
        <w:rPr>
          <w:sz w:val="22"/>
        </w:rPr>
      </w:pPr>
      <w:r>
        <w:rPr>
          <w:sz w:val="22"/>
        </w:rPr>
        <w:t>By restricting</w:t>
      </w:r>
      <w:r w:rsidR="00B519FC">
        <w:rPr>
          <w:sz w:val="22"/>
        </w:rPr>
        <w:t xml:space="preserve"> asylum seekers’</w:t>
      </w:r>
      <w:r>
        <w:rPr>
          <w:sz w:val="22"/>
        </w:rPr>
        <w:t xml:space="preserve"> access to legal services</w:t>
      </w:r>
      <w:r w:rsidR="00B519FC">
        <w:rPr>
          <w:sz w:val="22"/>
        </w:rPr>
        <w:t xml:space="preserve"> through the reduction in funding by the Australian Government, </w:t>
      </w:r>
      <w:r w:rsidR="00D121DF">
        <w:rPr>
          <w:sz w:val="22"/>
        </w:rPr>
        <w:t>it undermines</w:t>
      </w:r>
      <w:r w:rsidR="00474313">
        <w:rPr>
          <w:sz w:val="22"/>
        </w:rPr>
        <w:t xml:space="preserve"> the</w:t>
      </w:r>
      <w:r w:rsidR="00D121DF">
        <w:rPr>
          <w:sz w:val="22"/>
        </w:rPr>
        <w:t xml:space="preserve"> </w:t>
      </w:r>
      <w:r w:rsidR="00D76B5E" w:rsidRPr="00755D7D">
        <w:rPr>
          <w:sz w:val="22"/>
        </w:rPr>
        <w:t>“just, quick</w:t>
      </w:r>
      <w:r w:rsidR="00D121DF" w:rsidRPr="00755D7D">
        <w:rPr>
          <w:sz w:val="22"/>
        </w:rPr>
        <w:t xml:space="preserve"> and cheap”</w:t>
      </w:r>
      <w:r w:rsidR="00D76B5E" w:rsidRPr="00A43289">
        <w:rPr>
          <w:rStyle w:val="FootnoteReference"/>
          <w:sz w:val="22"/>
        </w:rPr>
        <w:footnoteReference w:id="1"/>
      </w:r>
      <w:r w:rsidR="00D121DF">
        <w:rPr>
          <w:sz w:val="22"/>
        </w:rPr>
        <w:t xml:space="preserve"> principles of </w:t>
      </w:r>
      <w:r w:rsidR="00B519FC">
        <w:rPr>
          <w:sz w:val="22"/>
        </w:rPr>
        <w:t>the legal system.  For example, by restricting legal representation due</w:t>
      </w:r>
      <w:r w:rsidR="00D25C0D">
        <w:rPr>
          <w:sz w:val="22"/>
        </w:rPr>
        <w:t xml:space="preserve"> to lack of funding, </w:t>
      </w:r>
      <w:r w:rsidR="00B519FC">
        <w:rPr>
          <w:sz w:val="22"/>
        </w:rPr>
        <w:t>asylum seekers may not be able to plead their case effectively resulting in more appeals to the Refugee Review Tribunal</w:t>
      </w:r>
      <w:r w:rsidR="000777B4">
        <w:rPr>
          <w:sz w:val="22"/>
        </w:rPr>
        <w:t xml:space="preserve"> and the Federal Court</w:t>
      </w:r>
      <w:r w:rsidR="00B519FC">
        <w:rPr>
          <w:sz w:val="22"/>
        </w:rPr>
        <w:t>, which will in turn take longer and will result in further costs incurred for the process.</w:t>
      </w:r>
    </w:p>
    <w:p w:rsidR="005D4F8A" w:rsidRDefault="005D4F8A" w:rsidP="00B519FC">
      <w:pPr>
        <w:pStyle w:val="level1"/>
        <w:ind w:left="0" w:right="0" w:firstLine="0"/>
        <w:jc w:val="both"/>
        <w:rPr>
          <w:b/>
          <w:sz w:val="22"/>
        </w:rPr>
      </w:pPr>
      <w:r>
        <w:rPr>
          <w:b/>
          <w:sz w:val="22"/>
        </w:rPr>
        <w:t>Methodology issues in draft report</w:t>
      </w:r>
    </w:p>
    <w:p w:rsidR="003962A0" w:rsidRPr="005D4F8A" w:rsidRDefault="00B519FC" w:rsidP="00B519FC">
      <w:pPr>
        <w:pStyle w:val="level1"/>
        <w:ind w:left="0" w:right="0" w:firstLine="0"/>
        <w:jc w:val="both"/>
        <w:rPr>
          <w:i/>
          <w:sz w:val="22"/>
        </w:rPr>
      </w:pPr>
      <w:r w:rsidRPr="005D4F8A">
        <w:rPr>
          <w:i/>
          <w:sz w:val="22"/>
        </w:rPr>
        <w:t xml:space="preserve">Data collection issues </w:t>
      </w:r>
    </w:p>
    <w:p w:rsidR="00CD3803" w:rsidRPr="00217A02" w:rsidRDefault="00B519FC" w:rsidP="00217A02">
      <w:pPr>
        <w:pStyle w:val="level1"/>
        <w:ind w:left="0" w:right="0" w:firstLine="0"/>
        <w:jc w:val="both"/>
        <w:rPr>
          <w:sz w:val="22"/>
        </w:rPr>
      </w:pPr>
      <w:r>
        <w:rPr>
          <w:sz w:val="22"/>
        </w:rPr>
        <w:t>Upon revi</w:t>
      </w:r>
      <w:r w:rsidR="00232C45">
        <w:rPr>
          <w:sz w:val="22"/>
        </w:rPr>
        <w:t xml:space="preserve">ew of your draft </w:t>
      </w:r>
      <w:r w:rsidR="00CF3CBC">
        <w:rPr>
          <w:sz w:val="22"/>
        </w:rPr>
        <w:t>report</w:t>
      </w:r>
      <w:r w:rsidR="00232C45">
        <w:rPr>
          <w:sz w:val="22"/>
        </w:rPr>
        <w:t xml:space="preserve"> it </w:t>
      </w:r>
      <w:r w:rsidR="00CD3803" w:rsidRPr="00217A02">
        <w:rPr>
          <w:sz w:val="22"/>
        </w:rPr>
        <w:t xml:space="preserve">appears </w:t>
      </w:r>
      <w:r w:rsidR="00935CF3">
        <w:rPr>
          <w:sz w:val="22"/>
        </w:rPr>
        <w:t>that some of the data</w:t>
      </w:r>
      <w:r w:rsidR="00050303">
        <w:rPr>
          <w:sz w:val="22"/>
        </w:rPr>
        <w:t xml:space="preserve"> collected does</w:t>
      </w:r>
      <w:r w:rsidR="00FC7D95">
        <w:rPr>
          <w:sz w:val="22"/>
        </w:rPr>
        <w:t xml:space="preserve"> not accurately represent the</w:t>
      </w:r>
      <w:r w:rsidR="00935CF3">
        <w:rPr>
          <w:sz w:val="22"/>
        </w:rPr>
        <w:t xml:space="preserve"> current status of access to justice within the community and in particular asylum seekers.</w:t>
      </w:r>
      <w:r w:rsidR="00FC7D95">
        <w:rPr>
          <w:sz w:val="22"/>
        </w:rPr>
        <w:t xml:space="preserve"> </w:t>
      </w:r>
      <w:r w:rsidR="00935CF3">
        <w:rPr>
          <w:sz w:val="22"/>
        </w:rPr>
        <w:t>For example, we note that</w:t>
      </w:r>
      <w:r w:rsidR="00232C45">
        <w:rPr>
          <w:sz w:val="22"/>
        </w:rPr>
        <w:t>:</w:t>
      </w:r>
    </w:p>
    <w:p w:rsidR="00A92654" w:rsidRDefault="00A92654" w:rsidP="00A92654">
      <w:pPr>
        <w:pStyle w:val="level1"/>
        <w:numPr>
          <w:ilvl w:val="0"/>
          <w:numId w:val="13"/>
        </w:numPr>
        <w:ind w:right="0"/>
        <w:jc w:val="both"/>
        <w:rPr>
          <w:sz w:val="22"/>
        </w:rPr>
      </w:pPr>
      <w:r>
        <w:rPr>
          <w:sz w:val="22"/>
        </w:rPr>
        <w:t>We have concerns with the</w:t>
      </w:r>
      <w:r w:rsidR="009405C4">
        <w:rPr>
          <w:sz w:val="22"/>
        </w:rPr>
        <w:t xml:space="preserve"> LAW Survey</w:t>
      </w:r>
      <w:r w:rsidR="00D86624">
        <w:rPr>
          <w:sz w:val="22"/>
        </w:rPr>
        <w:t xml:space="preserve"> referred to on page 92</w:t>
      </w:r>
      <w:r w:rsidR="009405C4">
        <w:rPr>
          <w:sz w:val="22"/>
        </w:rPr>
        <w:t xml:space="preserve"> involving 20,</w:t>
      </w:r>
      <w:r w:rsidR="00232C45">
        <w:rPr>
          <w:sz w:val="22"/>
        </w:rPr>
        <w:t>716 telephone interviews</w:t>
      </w:r>
      <w:r w:rsidR="00A55EF3">
        <w:rPr>
          <w:sz w:val="22"/>
        </w:rPr>
        <w:t>, which ran between January and November 2008,</w:t>
      </w:r>
      <w:r w:rsidR="00232C45">
        <w:rPr>
          <w:sz w:val="22"/>
        </w:rPr>
        <w:t xml:space="preserve"> in </w:t>
      </w:r>
      <w:r>
        <w:rPr>
          <w:sz w:val="22"/>
        </w:rPr>
        <w:t>particular that:</w:t>
      </w:r>
    </w:p>
    <w:p w:rsidR="00232C45" w:rsidRDefault="00842B5A" w:rsidP="00A92654">
      <w:pPr>
        <w:pStyle w:val="level1"/>
        <w:numPr>
          <w:ilvl w:val="1"/>
          <w:numId w:val="13"/>
        </w:numPr>
        <w:ind w:right="0"/>
        <w:jc w:val="both"/>
        <w:rPr>
          <w:sz w:val="22"/>
        </w:rPr>
      </w:pPr>
      <w:r>
        <w:rPr>
          <w:sz w:val="22"/>
        </w:rPr>
        <w:t>over</w:t>
      </w:r>
      <w:r w:rsidR="00A92654">
        <w:rPr>
          <w:sz w:val="22"/>
        </w:rPr>
        <w:t xml:space="preserve"> 6 years have passed since that survey commenced and </w:t>
      </w:r>
      <w:r w:rsidR="00232C45">
        <w:rPr>
          <w:sz w:val="22"/>
        </w:rPr>
        <w:t>the</w:t>
      </w:r>
      <w:r w:rsidR="00A92654">
        <w:rPr>
          <w:sz w:val="22"/>
        </w:rPr>
        <w:t xml:space="preserve">re have </w:t>
      </w:r>
      <w:r w:rsidR="00704583">
        <w:rPr>
          <w:sz w:val="22"/>
        </w:rPr>
        <w:t xml:space="preserve">been </w:t>
      </w:r>
      <w:r w:rsidR="00CF3CBC">
        <w:rPr>
          <w:sz w:val="22"/>
        </w:rPr>
        <w:t>significant</w:t>
      </w:r>
      <w:r w:rsidR="00232C45">
        <w:rPr>
          <w:sz w:val="22"/>
        </w:rPr>
        <w:t xml:space="preserve"> changes that have occurred in the legal </w:t>
      </w:r>
      <w:r w:rsidR="00CF3CBC">
        <w:rPr>
          <w:sz w:val="22"/>
        </w:rPr>
        <w:t>environment since then</w:t>
      </w:r>
      <w:r w:rsidR="000777B4">
        <w:rPr>
          <w:sz w:val="22"/>
        </w:rPr>
        <w:t xml:space="preserve"> (especially in</w:t>
      </w:r>
      <w:r w:rsidR="005D4F8A">
        <w:rPr>
          <w:sz w:val="22"/>
        </w:rPr>
        <w:t xml:space="preserve"> </w:t>
      </w:r>
      <w:r w:rsidR="00D80B2E">
        <w:rPr>
          <w:sz w:val="22"/>
        </w:rPr>
        <w:t>immigration law)</w:t>
      </w:r>
      <w:r w:rsidR="009405C4">
        <w:rPr>
          <w:sz w:val="22"/>
        </w:rPr>
        <w:t>.  For this reason, w</w:t>
      </w:r>
      <w:r w:rsidR="00D80B2E">
        <w:rPr>
          <w:sz w:val="22"/>
        </w:rPr>
        <w:t xml:space="preserve">e do not believe that these figures </w:t>
      </w:r>
      <w:r w:rsidR="00A55EF3">
        <w:rPr>
          <w:sz w:val="22"/>
        </w:rPr>
        <w:t>would accurately reflect the current</w:t>
      </w:r>
      <w:r w:rsidR="00835091">
        <w:rPr>
          <w:sz w:val="22"/>
        </w:rPr>
        <w:t xml:space="preserve"> legal</w:t>
      </w:r>
      <w:r w:rsidR="00A55EF3">
        <w:rPr>
          <w:sz w:val="22"/>
        </w:rPr>
        <w:t xml:space="preserve"> </w:t>
      </w:r>
      <w:r w:rsidR="00935CF3">
        <w:rPr>
          <w:sz w:val="22"/>
        </w:rPr>
        <w:t xml:space="preserve">issues </w:t>
      </w:r>
      <w:r w:rsidR="0047491C">
        <w:rPr>
          <w:sz w:val="22"/>
        </w:rPr>
        <w:t>in the community;</w:t>
      </w:r>
    </w:p>
    <w:p w:rsidR="00A92654" w:rsidRDefault="00CF3CBC" w:rsidP="00A92654">
      <w:pPr>
        <w:pStyle w:val="level1"/>
        <w:numPr>
          <w:ilvl w:val="1"/>
          <w:numId w:val="13"/>
        </w:numPr>
        <w:ind w:right="0"/>
        <w:jc w:val="both"/>
        <w:rPr>
          <w:sz w:val="22"/>
        </w:rPr>
      </w:pPr>
      <w:r>
        <w:rPr>
          <w:sz w:val="22"/>
        </w:rPr>
        <w:lastRenderedPageBreak/>
        <w:t>g</w:t>
      </w:r>
      <w:r w:rsidR="00704583">
        <w:rPr>
          <w:sz w:val="22"/>
        </w:rPr>
        <w:t>iven</w:t>
      </w:r>
      <w:r w:rsidR="00A92654">
        <w:rPr>
          <w:sz w:val="22"/>
        </w:rPr>
        <w:t xml:space="preserve"> that a number of asylum seekers </w:t>
      </w:r>
      <w:r w:rsidR="00050303">
        <w:rPr>
          <w:sz w:val="22"/>
        </w:rPr>
        <w:t>were</w:t>
      </w:r>
      <w:r w:rsidR="00A92654">
        <w:rPr>
          <w:sz w:val="22"/>
        </w:rPr>
        <w:t xml:space="preserve"> </w:t>
      </w:r>
      <w:r w:rsidR="00D86624">
        <w:rPr>
          <w:sz w:val="22"/>
        </w:rPr>
        <w:t>residing in detention centres</w:t>
      </w:r>
      <w:r w:rsidR="005D4F8A">
        <w:rPr>
          <w:sz w:val="22"/>
        </w:rPr>
        <w:t xml:space="preserve"> at the time and would not have had </w:t>
      </w:r>
      <w:r w:rsidR="00A92654">
        <w:rPr>
          <w:sz w:val="22"/>
        </w:rPr>
        <w:t>access to a telephone</w:t>
      </w:r>
      <w:r w:rsidR="005D4F8A">
        <w:rPr>
          <w:sz w:val="22"/>
        </w:rPr>
        <w:t xml:space="preserve">, </w:t>
      </w:r>
      <w:r w:rsidR="00A92654">
        <w:rPr>
          <w:sz w:val="22"/>
        </w:rPr>
        <w:t>their participation in t</w:t>
      </w:r>
      <w:r w:rsidR="009405C4">
        <w:rPr>
          <w:sz w:val="22"/>
        </w:rPr>
        <w:t>his survey would have be</w:t>
      </w:r>
      <w:r w:rsidR="0047491C">
        <w:rPr>
          <w:sz w:val="22"/>
        </w:rPr>
        <w:t>en extremely limited; and</w:t>
      </w:r>
    </w:p>
    <w:p w:rsidR="0047491C" w:rsidRDefault="0047491C" w:rsidP="00A92654">
      <w:pPr>
        <w:pStyle w:val="level1"/>
        <w:numPr>
          <w:ilvl w:val="1"/>
          <w:numId w:val="13"/>
        </w:numPr>
        <w:ind w:right="0"/>
        <w:jc w:val="both"/>
        <w:rPr>
          <w:sz w:val="22"/>
        </w:rPr>
      </w:pPr>
      <w:r>
        <w:rPr>
          <w:sz w:val="22"/>
        </w:rPr>
        <w:t xml:space="preserve">in any event, the majority of asylum seekers </w:t>
      </w:r>
      <w:r w:rsidR="000777B4">
        <w:rPr>
          <w:sz w:val="22"/>
        </w:rPr>
        <w:t>are not proficient in</w:t>
      </w:r>
      <w:r>
        <w:rPr>
          <w:sz w:val="22"/>
        </w:rPr>
        <w:t xml:space="preserve"> English further limiting their ability to participate</w:t>
      </w:r>
      <w:r w:rsidR="000777B4">
        <w:rPr>
          <w:sz w:val="22"/>
        </w:rPr>
        <w:t xml:space="preserve"> in this survey</w:t>
      </w:r>
      <w:r>
        <w:rPr>
          <w:sz w:val="22"/>
        </w:rPr>
        <w:t>.</w:t>
      </w:r>
    </w:p>
    <w:p w:rsidR="008A267B" w:rsidRPr="00A92654" w:rsidRDefault="008A267B" w:rsidP="00A92654">
      <w:pPr>
        <w:pStyle w:val="level1"/>
        <w:numPr>
          <w:ilvl w:val="0"/>
          <w:numId w:val="13"/>
        </w:numPr>
        <w:ind w:right="0"/>
        <w:jc w:val="both"/>
        <w:rPr>
          <w:sz w:val="22"/>
        </w:rPr>
      </w:pPr>
      <w:r>
        <w:rPr>
          <w:sz w:val="22"/>
        </w:rPr>
        <w:t xml:space="preserve">On page 835 of the </w:t>
      </w:r>
      <w:r w:rsidR="00704583">
        <w:rPr>
          <w:sz w:val="22"/>
        </w:rPr>
        <w:t xml:space="preserve">draft report </w:t>
      </w:r>
      <w:r w:rsidR="00E36FE6">
        <w:rPr>
          <w:sz w:val="22"/>
        </w:rPr>
        <w:t>you indicate</w:t>
      </w:r>
      <w:r>
        <w:rPr>
          <w:sz w:val="22"/>
        </w:rPr>
        <w:t xml:space="preserve"> that from 2008 – 2009 until 2011 – 2012 there has been a sharp fall in the amount of self represented litigants in the Federal Court.  </w:t>
      </w:r>
      <w:r w:rsidRPr="009F1B1B">
        <w:rPr>
          <w:sz w:val="22"/>
        </w:rPr>
        <w:t>We also note that comments</w:t>
      </w:r>
      <w:r w:rsidR="009F1B1B" w:rsidRPr="009F1B1B">
        <w:rPr>
          <w:sz w:val="22"/>
        </w:rPr>
        <w:t xml:space="preserve"> were made regarding</w:t>
      </w:r>
      <w:r w:rsidRPr="009F1B1B">
        <w:rPr>
          <w:sz w:val="22"/>
        </w:rPr>
        <w:t xml:space="preserve"> asylum seekers appealing decisions at the Federal Court</w:t>
      </w:r>
      <w:r w:rsidR="00704583" w:rsidRPr="009F1B1B">
        <w:rPr>
          <w:sz w:val="22"/>
        </w:rPr>
        <w:t xml:space="preserve"> to gain access to legal advice and representation</w:t>
      </w:r>
      <w:r w:rsidRPr="009F1B1B">
        <w:rPr>
          <w:sz w:val="22"/>
        </w:rPr>
        <w:t>.</w:t>
      </w:r>
      <w:r>
        <w:rPr>
          <w:sz w:val="22"/>
        </w:rPr>
        <w:t xml:space="preserve">  However, we believe that these figures may be misleading as the most recent figures are almost 2 years old and given the</w:t>
      </w:r>
      <w:r w:rsidR="00E36FE6">
        <w:rPr>
          <w:sz w:val="22"/>
        </w:rPr>
        <w:t xml:space="preserve"> current</w:t>
      </w:r>
      <w:r>
        <w:rPr>
          <w:sz w:val="22"/>
        </w:rPr>
        <w:t xml:space="preserve"> lack of funding to asylum seekers </w:t>
      </w:r>
      <w:r w:rsidR="00704583">
        <w:rPr>
          <w:sz w:val="22"/>
        </w:rPr>
        <w:t>we believe that it is more than likely that the number of self represented litigants will rise.</w:t>
      </w:r>
    </w:p>
    <w:p w:rsidR="009405C4" w:rsidRPr="000645F7" w:rsidRDefault="003E182E" w:rsidP="00CD3803">
      <w:pPr>
        <w:pStyle w:val="level1"/>
        <w:ind w:left="0" w:right="0" w:firstLine="0"/>
        <w:jc w:val="both"/>
        <w:rPr>
          <w:i/>
          <w:sz w:val="22"/>
        </w:rPr>
      </w:pPr>
      <w:r w:rsidRPr="000645F7">
        <w:rPr>
          <w:i/>
          <w:sz w:val="22"/>
        </w:rPr>
        <w:t>Funding issues</w:t>
      </w:r>
    </w:p>
    <w:p w:rsidR="003E182E" w:rsidRDefault="00E36FE6" w:rsidP="00CD3803">
      <w:pPr>
        <w:pStyle w:val="level1"/>
        <w:ind w:left="0" w:right="0" w:firstLine="0"/>
        <w:jc w:val="both"/>
        <w:rPr>
          <w:sz w:val="22"/>
        </w:rPr>
      </w:pPr>
      <w:r>
        <w:rPr>
          <w:sz w:val="22"/>
        </w:rPr>
        <w:t>In your draft report general comments are</w:t>
      </w:r>
      <w:r w:rsidR="003E182E">
        <w:rPr>
          <w:sz w:val="22"/>
        </w:rPr>
        <w:t xml:space="preserve"> made regarding funding cuts (pages 601 and 655) and that CLC funding is generally provided on a “historical basis” under funding agreements.  This means that the currently funded CLC’s a</w:t>
      </w:r>
      <w:r w:rsidR="00842B5A">
        <w:rPr>
          <w:sz w:val="22"/>
        </w:rPr>
        <w:t xml:space="preserve">re the ones that were funded 10 – </w:t>
      </w:r>
      <w:r w:rsidR="003E182E">
        <w:rPr>
          <w:sz w:val="22"/>
        </w:rPr>
        <w:t>20 years ago and funding is only cut on an exceptional basis.</w:t>
      </w:r>
    </w:p>
    <w:p w:rsidR="003E182E" w:rsidRDefault="003E182E" w:rsidP="00CD3803">
      <w:pPr>
        <w:pStyle w:val="level1"/>
        <w:ind w:left="0" w:right="0" w:firstLine="0"/>
        <w:jc w:val="both"/>
        <w:rPr>
          <w:sz w:val="22"/>
        </w:rPr>
      </w:pPr>
      <w:r>
        <w:rPr>
          <w:sz w:val="22"/>
        </w:rPr>
        <w:t xml:space="preserve">The above general comments </w:t>
      </w:r>
      <w:r w:rsidR="00F47369">
        <w:rPr>
          <w:sz w:val="22"/>
        </w:rPr>
        <w:t>fail to</w:t>
      </w:r>
      <w:r>
        <w:rPr>
          <w:sz w:val="22"/>
        </w:rPr>
        <w:t xml:space="preserve"> take into consideration the recent CLC funding cuts, which </w:t>
      </w:r>
      <w:r w:rsidR="000645F7">
        <w:rPr>
          <w:sz w:val="22"/>
        </w:rPr>
        <w:t xml:space="preserve">predominantly </w:t>
      </w:r>
      <w:r>
        <w:rPr>
          <w:sz w:val="22"/>
        </w:rPr>
        <w:t>relate to asylum seekers (</w:t>
      </w:r>
      <w:r w:rsidR="000645F7">
        <w:rPr>
          <w:sz w:val="22"/>
        </w:rPr>
        <w:t>this issue is addressed in more detail above and</w:t>
      </w:r>
      <w:r>
        <w:rPr>
          <w:sz w:val="22"/>
        </w:rPr>
        <w:t xml:space="preserve"> in our previous submissions</w:t>
      </w:r>
      <w:r w:rsidR="00EB42D2">
        <w:rPr>
          <w:sz w:val="22"/>
        </w:rPr>
        <w:t>, which are</w:t>
      </w:r>
      <w:r>
        <w:rPr>
          <w:sz w:val="22"/>
        </w:rPr>
        <w:t xml:space="preserve"> </w:t>
      </w:r>
      <w:r w:rsidRPr="003E182E">
        <w:rPr>
          <w:b/>
          <w:sz w:val="22"/>
        </w:rPr>
        <w:t>enclosed</w:t>
      </w:r>
      <w:r>
        <w:rPr>
          <w:sz w:val="22"/>
        </w:rPr>
        <w:t>).</w:t>
      </w:r>
    </w:p>
    <w:p w:rsidR="000645F7" w:rsidRDefault="004642EB" w:rsidP="00CD3803">
      <w:pPr>
        <w:pStyle w:val="level1"/>
        <w:ind w:left="0" w:right="0" w:firstLine="0"/>
        <w:jc w:val="both"/>
        <w:rPr>
          <w:sz w:val="22"/>
        </w:rPr>
      </w:pPr>
      <w:r>
        <w:rPr>
          <w:sz w:val="22"/>
        </w:rPr>
        <w:t>W</w:t>
      </w:r>
      <w:r w:rsidR="008C236F">
        <w:rPr>
          <w:sz w:val="22"/>
        </w:rPr>
        <w:t>e note that you also voice</w:t>
      </w:r>
      <w:r>
        <w:rPr>
          <w:sz w:val="22"/>
        </w:rPr>
        <w:t xml:space="preserve"> concerns regarding the cost of practising </w:t>
      </w:r>
      <w:r w:rsidR="00F47369">
        <w:rPr>
          <w:sz w:val="22"/>
        </w:rPr>
        <w:t>certificates</w:t>
      </w:r>
      <w:r>
        <w:rPr>
          <w:sz w:val="22"/>
        </w:rPr>
        <w:t xml:space="preserve"> in providing</w:t>
      </w:r>
      <w:r w:rsidR="00F47369">
        <w:rPr>
          <w:sz w:val="22"/>
        </w:rPr>
        <w:t xml:space="preserve"> pro bono assistance to clients.</w:t>
      </w:r>
      <w:r>
        <w:rPr>
          <w:sz w:val="22"/>
        </w:rPr>
        <w:t xml:space="preserve"> A further concern, which has also been overlooked by the </w:t>
      </w:r>
      <w:r w:rsidR="008C236F">
        <w:rPr>
          <w:sz w:val="22"/>
        </w:rPr>
        <w:t>report,</w:t>
      </w:r>
      <w:r>
        <w:rPr>
          <w:sz w:val="22"/>
        </w:rPr>
        <w:t xml:space="preserve"> is that providing immigration legal assistance can also have additional expenses tied to it.  For example:</w:t>
      </w:r>
    </w:p>
    <w:p w:rsidR="004642EB" w:rsidRDefault="0047491C" w:rsidP="004642EB">
      <w:pPr>
        <w:pStyle w:val="level1"/>
        <w:numPr>
          <w:ilvl w:val="0"/>
          <w:numId w:val="15"/>
        </w:numPr>
        <w:ind w:right="0"/>
        <w:jc w:val="both"/>
        <w:rPr>
          <w:sz w:val="22"/>
        </w:rPr>
      </w:pPr>
      <w:r>
        <w:rPr>
          <w:sz w:val="22"/>
        </w:rPr>
        <w:t>since</w:t>
      </w:r>
      <w:r w:rsidR="0051466D">
        <w:rPr>
          <w:sz w:val="22"/>
        </w:rPr>
        <w:t xml:space="preserve"> the majority of asylum seekers do not speak English, in order to provide legal assistance we are</w:t>
      </w:r>
      <w:r w:rsidR="00F47369">
        <w:rPr>
          <w:sz w:val="22"/>
        </w:rPr>
        <w:t xml:space="preserve"> often</w:t>
      </w:r>
      <w:r w:rsidR="0051466D">
        <w:rPr>
          <w:sz w:val="22"/>
        </w:rPr>
        <w:t xml:space="preserve"> required </w:t>
      </w:r>
      <w:r w:rsidR="00EB42D2">
        <w:rPr>
          <w:sz w:val="22"/>
        </w:rPr>
        <w:t>to use</w:t>
      </w:r>
      <w:r w:rsidR="00F47369">
        <w:rPr>
          <w:sz w:val="22"/>
        </w:rPr>
        <w:t xml:space="preserve"> </w:t>
      </w:r>
      <w:r w:rsidR="00842B5A">
        <w:rPr>
          <w:sz w:val="22"/>
        </w:rPr>
        <w:t>interpreters</w:t>
      </w:r>
      <w:r w:rsidR="00F47369">
        <w:rPr>
          <w:sz w:val="22"/>
        </w:rPr>
        <w:t>, which add an additional significant cost to our service</w:t>
      </w:r>
      <w:r w:rsidR="00842B5A">
        <w:rPr>
          <w:sz w:val="22"/>
        </w:rPr>
        <w:t>s</w:t>
      </w:r>
      <w:r w:rsidR="0051466D">
        <w:rPr>
          <w:sz w:val="22"/>
        </w:rPr>
        <w:t>;</w:t>
      </w:r>
      <w:r>
        <w:rPr>
          <w:sz w:val="22"/>
        </w:rPr>
        <w:t xml:space="preserve"> and</w:t>
      </w:r>
    </w:p>
    <w:p w:rsidR="0051466D" w:rsidRPr="003E182E" w:rsidRDefault="0047491C" w:rsidP="004642EB">
      <w:pPr>
        <w:pStyle w:val="level1"/>
        <w:numPr>
          <w:ilvl w:val="0"/>
          <w:numId w:val="15"/>
        </w:numPr>
        <w:ind w:right="0"/>
        <w:jc w:val="both"/>
        <w:rPr>
          <w:sz w:val="22"/>
        </w:rPr>
      </w:pPr>
      <w:r>
        <w:rPr>
          <w:sz w:val="22"/>
        </w:rPr>
        <w:t>a</w:t>
      </w:r>
      <w:r w:rsidR="0051466D">
        <w:rPr>
          <w:sz w:val="22"/>
        </w:rPr>
        <w:t>s noted at page 452 of your draft report, to provide legal advice</w:t>
      </w:r>
      <w:r w:rsidR="008C236F">
        <w:rPr>
          <w:sz w:val="22"/>
        </w:rPr>
        <w:t xml:space="preserve"> in migration matters</w:t>
      </w:r>
      <w:r w:rsidR="0051466D">
        <w:rPr>
          <w:sz w:val="22"/>
        </w:rPr>
        <w:t xml:space="preserve"> a person must be a registered Migr</w:t>
      </w:r>
      <w:r w:rsidR="00EB42D2">
        <w:rPr>
          <w:sz w:val="22"/>
        </w:rPr>
        <w:t xml:space="preserve">ation Agent.  However, you do not </w:t>
      </w:r>
      <w:r w:rsidR="0051466D">
        <w:rPr>
          <w:sz w:val="22"/>
        </w:rPr>
        <w:t>identify that this is a further cost (o</w:t>
      </w:r>
      <w:r w:rsidR="00F47369">
        <w:rPr>
          <w:sz w:val="22"/>
        </w:rPr>
        <w:t>ften on top of</w:t>
      </w:r>
      <w:r w:rsidR="0051466D">
        <w:rPr>
          <w:sz w:val="22"/>
        </w:rPr>
        <w:t xml:space="preserve"> a practising certificate) that </w:t>
      </w:r>
      <w:r w:rsidR="008C236F">
        <w:rPr>
          <w:sz w:val="22"/>
        </w:rPr>
        <w:t>is</w:t>
      </w:r>
      <w:r w:rsidR="0051466D">
        <w:rPr>
          <w:sz w:val="22"/>
        </w:rPr>
        <w:t xml:space="preserve"> incur</w:t>
      </w:r>
      <w:r w:rsidR="008C236F">
        <w:rPr>
          <w:sz w:val="22"/>
        </w:rPr>
        <w:t>red</w:t>
      </w:r>
      <w:r w:rsidR="0051466D">
        <w:rPr>
          <w:sz w:val="22"/>
        </w:rPr>
        <w:t xml:space="preserve"> in order to assist asylum seekers.</w:t>
      </w:r>
    </w:p>
    <w:p w:rsidR="00D31865" w:rsidRPr="00D31865" w:rsidRDefault="00D31865" w:rsidP="00E56098">
      <w:pPr>
        <w:pStyle w:val="level1"/>
        <w:ind w:left="0" w:right="0" w:firstLine="0"/>
        <w:jc w:val="both"/>
        <w:rPr>
          <w:b/>
          <w:sz w:val="22"/>
        </w:rPr>
      </w:pPr>
      <w:r>
        <w:rPr>
          <w:b/>
          <w:sz w:val="22"/>
        </w:rPr>
        <w:t>Closing comments</w:t>
      </w:r>
    </w:p>
    <w:p w:rsidR="001E0018" w:rsidRDefault="001E0018" w:rsidP="00E56098">
      <w:pPr>
        <w:pStyle w:val="level1"/>
        <w:ind w:left="0" w:right="0" w:firstLine="0"/>
        <w:jc w:val="both"/>
        <w:rPr>
          <w:sz w:val="22"/>
        </w:rPr>
      </w:pPr>
      <w:r>
        <w:rPr>
          <w:sz w:val="22"/>
        </w:rPr>
        <w:t>RACS strongly supports the continued funding of not-for-</w:t>
      </w:r>
      <w:r w:rsidR="005D589D">
        <w:rPr>
          <w:sz w:val="22"/>
        </w:rPr>
        <w:t xml:space="preserve">profit legal assistance for asylum seekers. </w:t>
      </w:r>
    </w:p>
    <w:p w:rsidR="00165D08" w:rsidRDefault="005D589D" w:rsidP="00E56098">
      <w:pPr>
        <w:pStyle w:val="level1"/>
        <w:ind w:left="0" w:right="0" w:firstLine="0"/>
        <w:jc w:val="both"/>
        <w:rPr>
          <w:sz w:val="22"/>
        </w:rPr>
      </w:pPr>
      <w:r>
        <w:rPr>
          <w:sz w:val="22"/>
        </w:rPr>
        <w:t>RACS and other community legal centres are uniquely placed to provid</w:t>
      </w:r>
      <w:r w:rsidR="00A25FC5">
        <w:rPr>
          <w:sz w:val="22"/>
        </w:rPr>
        <w:t>e</w:t>
      </w:r>
      <w:r>
        <w:rPr>
          <w:sz w:val="22"/>
        </w:rPr>
        <w:t xml:space="preserve"> accurate</w:t>
      </w:r>
      <w:r w:rsidR="00A25FC5">
        <w:rPr>
          <w:sz w:val="22"/>
        </w:rPr>
        <w:t>, efficient</w:t>
      </w:r>
      <w:r>
        <w:rPr>
          <w:sz w:val="22"/>
        </w:rPr>
        <w:t xml:space="preserve"> and </w:t>
      </w:r>
      <w:r w:rsidR="00A97840">
        <w:rPr>
          <w:sz w:val="22"/>
        </w:rPr>
        <w:t>specialised</w:t>
      </w:r>
      <w:r w:rsidR="00391AE3">
        <w:rPr>
          <w:sz w:val="22"/>
        </w:rPr>
        <w:t xml:space="preserve"> </w:t>
      </w:r>
      <w:r w:rsidR="00A97840">
        <w:rPr>
          <w:sz w:val="22"/>
        </w:rPr>
        <w:t xml:space="preserve">legal </w:t>
      </w:r>
      <w:r>
        <w:rPr>
          <w:sz w:val="22"/>
        </w:rPr>
        <w:t xml:space="preserve">assistance </w:t>
      </w:r>
      <w:r w:rsidR="00A25FC5">
        <w:rPr>
          <w:sz w:val="22"/>
        </w:rPr>
        <w:t>to</w:t>
      </w:r>
      <w:r>
        <w:rPr>
          <w:sz w:val="22"/>
        </w:rPr>
        <w:t xml:space="preserve"> people seeking </w:t>
      </w:r>
      <w:r w:rsidR="00391AE3">
        <w:rPr>
          <w:sz w:val="22"/>
        </w:rPr>
        <w:t>im</w:t>
      </w:r>
      <w:r>
        <w:rPr>
          <w:sz w:val="22"/>
        </w:rPr>
        <w:t>migration advice</w:t>
      </w:r>
      <w:r w:rsidR="00A97840">
        <w:rPr>
          <w:sz w:val="22"/>
        </w:rPr>
        <w:t xml:space="preserve">.  RACS and organisations like us have been effective at lowering the cost of access to legal services and promoting equality in the justice system for asylum-seekers experiencing financial hardship.  </w:t>
      </w:r>
    </w:p>
    <w:p w:rsidR="00093F68" w:rsidRDefault="00093F68" w:rsidP="00E56098">
      <w:pPr>
        <w:pStyle w:val="level1"/>
        <w:ind w:left="0" w:right="0" w:firstLine="0"/>
        <w:jc w:val="both"/>
        <w:rPr>
          <w:b/>
          <w:sz w:val="22"/>
        </w:rPr>
      </w:pPr>
      <w:r>
        <w:rPr>
          <w:sz w:val="22"/>
        </w:rPr>
        <w:lastRenderedPageBreak/>
        <w:t>The level of disadvantage and vulnerability experienced by asylum seekers makes the provision of legal representation and assistance vital for this group.  The financial and non-financial costs associated with the removal of legal aid for asylum seekers needs to be properly assessed and the broader impact on Australian society taken into consideration.</w:t>
      </w:r>
    </w:p>
    <w:p w:rsidR="00AB1A8D" w:rsidRDefault="003F3305" w:rsidP="003F3305">
      <w:pPr>
        <w:pStyle w:val="level1"/>
        <w:ind w:left="0" w:firstLine="0"/>
        <w:jc w:val="both"/>
        <w:rPr>
          <w:sz w:val="22"/>
        </w:rPr>
      </w:pPr>
      <w:r>
        <w:rPr>
          <w:sz w:val="22"/>
        </w:rPr>
        <w:t xml:space="preserve">To discuss </w:t>
      </w:r>
      <w:r w:rsidR="003759F8">
        <w:rPr>
          <w:sz w:val="22"/>
        </w:rPr>
        <w:t>the contents of this submission</w:t>
      </w:r>
      <w:r>
        <w:rPr>
          <w:sz w:val="22"/>
        </w:rPr>
        <w:t>,</w:t>
      </w:r>
      <w:r w:rsidR="00AB1A8D">
        <w:rPr>
          <w:sz w:val="22"/>
        </w:rPr>
        <w:t xml:space="preserve"> please contact </w:t>
      </w:r>
      <w:r w:rsidR="003F29A0">
        <w:rPr>
          <w:sz w:val="22"/>
        </w:rPr>
        <w:t>us</w:t>
      </w:r>
      <w:r w:rsidR="00AB1A8D">
        <w:rPr>
          <w:sz w:val="22"/>
        </w:rPr>
        <w:t xml:space="preserve"> on</w:t>
      </w:r>
      <w:r w:rsidR="00A25FC5">
        <w:rPr>
          <w:sz w:val="22"/>
        </w:rPr>
        <w:t xml:space="preserve"> (02)</w:t>
      </w:r>
      <w:r w:rsidR="00AB1A8D">
        <w:rPr>
          <w:sz w:val="22"/>
        </w:rPr>
        <w:t xml:space="preserve"> 9114 1600.</w:t>
      </w:r>
    </w:p>
    <w:p w:rsidR="00414BFC" w:rsidRPr="00414BFC" w:rsidRDefault="00414BFC" w:rsidP="003F3305">
      <w:pPr>
        <w:jc w:val="both"/>
        <w:rPr>
          <w:rFonts w:ascii="Arial" w:hAnsi="Arial" w:cs="Arial"/>
        </w:rPr>
      </w:pPr>
    </w:p>
    <w:p w:rsidR="00291979" w:rsidRPr="00414BFC" w:rsidRDefault="00291979" w:rsidP="003F3305">
      <w:pPr>
        <w:spacing w:before="240" w:after="240" w:line="312" w:lineRule="auto"/>
        <w:ind w:right="318"/>
        <w:jc w:val="both"/>
        <w:rPr>
          <w:rFonts w:ascii="Arial" w:eastAsia="Times New Roman" w:hAnsi="Arial" w:cs="Arial"/>
        </w:rPr>
      </w:pPr>
      <w:r w:rsidRPr="00414BFC">
        <w:rPr>
          <w:rFonts w:ascii="Arial" w:eastAsia="Times New Roman" w:hAnsi="Arial" w:cs="Arial"/>
        </w:rPr>
        <w:t xml:space="preserve">Yours sincerely, </w:t>
      </w:r>
    </w:p>
    <w:p w:rsidR="00291979" w:rsidRPr="00414BFC" w:rsidRDefault="00291979" w:rsidP="003F3305">
      <w:pPr>
        <w:spacing w:before="100" w:after="0" w:line="312" w:lineRule="auto"/>
        <w:ind w:right="317"/>
        <w:jc w:val="both"/>
        <w:rPr>
          <w:rFonts w:ascii="Arial" w:eastAsia="Times New Roman" w:hAnsi="Arial" w:cs="Arial"/>
        </w:rPr>
      </w:pPr>
      <w:r w:rsidRPr="00414BFC">
        <w:rPr>
          <w:rFonts w:ascii="Arial" w:eastAsia="Times New Roman" w:hAnsi="Arial" w:cs="Arial"/>
        </w:rPr>
        <w:t xml:space="preserve">REFUGEE ADVICE AND CASEWORK SERVICE (AUST) INC </w:t>
      </w:r>
    </w:p>
    <w:p w:rsidR="00291979" w:rsidRDefault="00291979" w:rsidP="003F3305">
      <w:pPr>
        <w:spacing w:before="100" w:after="0" w:line="312" w:lineRule="auto"/>
        <w:ind w:right="317"/>
        <w:jc w:val="both"/>
        <w:rPr>
          <w:rFonts w:ascii="Arial" w:eastAsia="Times New Roman" w:hAnsi="Arial" w:cs="Arial"/>
        </w:rPr>
      </w:pPr>
      <w:r w:rsidRPr="00414BFC">
        <w:rPr>
          <w:rFonts w:ascii="Arial" w:eastAsia="Times New Roman" w:hAnsi="Arial" w:cs="Arial"/>
        </w:rPr>
        <w:t>Per:</w:t>
      </w:r>
    </w:p>
    <w:p w:rsidR="00A25FC5" w:rsidRDefault="00A25FC5" w:rsidP="003F3305">
      <w:pPr>
        <w:spacing w:before="100" w:after="0" w:line="312" w:lineRule="auto"/>
        <w:ind w:right="317"/>
        <w:jc w:val="both"/>
        <w:rPr>
          <w:rFonts w:ascii="Arial" w:eastAsia="Times New Rom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820"/>
      </w:tblGrid>
      <w:tr w:rsidR="00A25FC5" w:rsidTr="009239A3">
        <w:trPr>
          <w:trHeight w:val="2309"/>
        </w:trPr>
        <w:tc>
          <w:tcPr>
            <w:tcW w:w="4219" w:type="dxa"/>
          </w:tcPr>
          <w:p w:rsidR="00A25FC5" w:rsidRDefault="00A25FC5" w:rsidP="00A25FC5">
            <w:pPr>
              <w:jc w:val="both"/>
              <w:rPr>
                <w:rFonts w:ascii="Arial" w:eastAsia="Times New Roman" w:hAnsi="Arial" w:cs="Arial"/>
              </w:rPr>
            </w:pPr>
            <w:r>
              <w:rPr>
                <w:rFonts w:ascii="Arial" w:eastAsia="Times New Roman" w:hAnsi="Arial" w:cs="Arial"/>
              </w:rPr>
              <w:t xml:space="preserve">       </w:t>
            </w: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noProof/>
                <w:lang w:eastAsia="ja-JP"/>
              </w:rPr>
            </w:pPr>
          </w:p>
          <w:p w:rsidR="00A25FC5" w:rsidRDefault="00A25FC5" w:rsidP="00A25FC5">
            <w:pPr>
              <w:jc w:val="both"/>
              <w:rPr>
                <w:rFonts w:ascii="Arial" w:eastAsia="Times New Roman" w:hAnsi="Arial" w:cs="Arial"/>
              </w:rPr>
            </w:pPr>
            <w:r>
              <w:rPr>
                <w:rFonts w:ascii="Arial" w:eastAsia="Times New Roman" w:hAnsi="Arial" w:cs="Arial"/>
              </w:rPr>
              <w:t xml:space="preserve">      Tanya Jackson-Vaughan</w:t>
            </w:r>
          </w:p>
          <w:p w:rsidR="00A25FC5" w:rsidRDefault="00A25FC5" w:rsidP="009239A3">
            <w:pPr>
              <w:jc w:val="both"/>
              <w:rPr>
                <w:rFonts w:ascii="Arial" w:eastAsia="Times New Roman" w:hAnsi="Arial" w:cs="Arial"/>
              </w:rPr>
            </w:pPr>
            <w:r>
              <w:rPr>
                <w:rFonts w:ascii="Arial" w:eastAsia="Times New Roman" w:hAnsi="Arial" w:cs="Arial"/>
              </w:rPr>
              <w:t xml:space="preserve">      Executive Director</w:t>
            </w:r>
          </w:p>
        </w:tc>
        <w:tc>
          <w:tcPr>
            <w:tcW w:w="4820" w:type="dxa"/>
          </w:tcPr>
          <w:p w:rsidR="00A25FC5" w:rsidRDefault="00A25FC5" w:rsidP="00A25FC5">
            <w:pPr>
              <w:jc w:val="both"/>
              <w:rPr>
                <w:rFonts w:ascii="Arial" w:eastAsia="Times New Roman" w:hAnsi="Arial" w:cs="Arial"/>
              </w:rPr>
            </w:pPr>
            <w:r>
              <w:rPr>
                <w:rFonts w:ascii="Arial" w:eastAsia="Times New Roman" w:hAnsi="Arial" w:cs="Arial"/>
              </w:rPr>
              <w:t xml:space="preserve"> </w:t>
            </w:r>
          </w:p>
          <w:p w:rsidR="00A25FC5" w:rsidRDefault="00A25FC5" w:rsidP="009239A3">
            <w:pPr>
              <w:spacing w:before="100" w:line="312" w:lineRule="auto"/>
              <w:ind w:right="317"/>
              <w:jc w:val="both"/>
              <w:rPr>
                <w:rFonts w:ascii="Arial" w:eastAsia="Times New Roman" w:hAnsi="Arial" w:cs="Arial"/>
              </w:rPr>
            </w:pPr>
          </w:p>
          <w:p w:rsidR="00A25FC5" w:rsidRDefault="00A25FC5" w:rsidP="009239A3">
            <w:pPr>
              <w:spacing w:before="100" w:line="312" w:lineRule="auto"/>
              <w:ind w:right="317"/>
              <w:jc w:val="both"/>
              <w:rPr>
                <w:rFonts w:ascii="Arial" w:eastAsia="Times New Roman" w:hAnsi="Arial" w:cs="Arial"/>
              </w:rPr>
            </w:pPr>
          </w:p>
          <w:p w:rsidR="00A25FC5" w:rsidRDefault="00A25FC5" w:rsidP="00A25FC5">
            <w:pPr>
              <w:jc w:val="both"/>
              <w:rPr>
                <w:rFonts w:ascii="Arial" w:eastAsia="Times New Roman" w:hAnsi="Arial" w:cs="Arial"/>
                <w:noProof/>
                <w:lang w:eastAsia="ja-JP"/>
              </w:rPr>
            </w:pPr>
          </w:p>
          <w:p w:rsidR="00A25FC5" w:rsidRDefault="00A25FC5" w:rsidP="00A25FC5">
            <w:pPr>
              <w:jc w:val="both"/>
              <w:rPr>
                <w:rFonts w:ascii="Arial" w:eastAsia="Times New Roman" w:hAnsi="Arial" w:cs="Arial"/>
                <w:noProof/>
                <w:lang w:eastAsia="ja-JP"/>
              </w:rPr>
            </w:pPr>
          </w:p>
          <w:p w:rsidR="00A25FC5" w:rsidRDefault="00A25FC5" w:rsidP="009239A3">
            <w:pPr>
              <w:rPr>
                <w:rFonts w:ascii="Arial" w:eastAsia="Times New Roman" w:hAnsi="Arial" w:cs="Arial"/>
              </w:rPr>
            </w:pPr>
            <w:r>
              <w:rPr>
                <w:rFonts w:ascii="Arial" w:eastAsia="Times New Roman" w:hAnsi="Arial" w:cs="Arial"/>
              </w:rPr>
              <w:t xml:space="preserve">        Katie Wrigley</w:t>
            </w:r>
            <w:r>
              <w:rPr>
                <w:rFonts w:ascii="Arial" w:eastAsia="Times New Roman" w:hAnsi="Arial" w:cs="Arial"/>
              </w:rPr>
              <w:br/>
              <w:t xml:space="preserve">        Principal Solicitor</w:t>
            </w:r>
          </w:p>
        </w:tc>
      </w:tr>
    </w:tbl>
    <w:p w:rsidR="00A25FC5" w:rsidRPr="00414BFC" w:rsidRDefault="00A25FC5" w:rsidP="003F3305">
      <w:pPr>
        <w:spacing w:before="100" w:after="0" w:line="312" w:lineRule="auto"/>
        <w:ind w:right="317"/>
        <w:jc w:val="both"/>
        <w:rPr>
          <w:rFonts w:ascii="Arial" w:eastAsia="Times New Roman" w:hAnsi="Arial" w:cs="Arial"/>
        </w:rPr>
      </w:pPr>
    </w:p>
    <w:p w:rsidR="00291979" w:rsidRPr="00414BFC" w:rsidRDefault="00291979" w:rsidP="003F3305">
      <w:pPr>
        <w:spacing w:before="100" w:after="0" w:line="312" w:lineRule="auto"/>
        <w:ind w:left="360" w:right="317"/>
        <w:jc w:val="both"/>
        <w:rPr>
          <w:rFonts w:ascii="Arial" w:eastAsia="Times New Roman" w:hAnsi="Arial" w:cs="Arial"/>
        </w:rPr>
      </w:pPr>
    </w:p>
    <w:p w:rsidR="00291979" w:rsidRPr="00414BFC" w:rsidRDefault="00291979" w:rsidP="003F3305">
      <w:pPr>
        <w:spacing w:before="100" w:after="0" w:line="312" w:lineRule="auto"/>
        <w:ind w:right="317"/>
        <w:jc w:val="both"/>
        <w:rPr>
          <w:rFonts w:ascii="Arial" w:eastAsia="Times New Roman" w:hAnsi="Arial" w:cs="Arial"/>
        </w:rPr>
      </w:pPr>
    </w:p>
    <w:p w:rsidR="00E85C26" w:rsidRDefault="00E85C26" w:rsidP="00BD53B2">
      <w:pPr>
        <w:jc w:val="both"/>
        <w:rPr>
          <w:rFonts w:ascii="Arial" w:eastAsia="Times New Roman" w:hAnsi="Arial" w:cs="Arial"/>
        </w:rPr>
      </w:pPr>
    </w:p>
    <w:p w:rsidR="00BD53B2" w:rsidRDefault="003F3305">
      <w:pPr>
        <w:jc w:val="both"/>
        <w:rPr>
          <w:rFonts w:ascii="Arial" w:eastAsia="Times New Roman" w:hAnsi="Arial" w:cs="Arial"/>
        </w:rPr>
      </w:pPr>
      <w:r w:rsidRPr="00BD53B2">
        <w:rPr>
          <w:rFonts w:ascii="Arial" w:eastAsia="Times New Roman" w:hAnsi="Arial" w:cs="Arial"/>
        </w:rPr>
        <w:t>.</w:t>
      </w:r>
    </w:p>
    <w:p w:rsidR="005D589D" w:rsidRDefault="005D589D" w:rsidP="00BD53B2">
      <w:pPr>
        <w:jc w:val="both"/>
        <w:rPr>
          <w:rFonts w:ascii="Arial" w:eastAsia="Times New Roman" w:hAnsi="Arial" w:cs="Arial"/>
        </w:rPr>
      </w:pPr>
    </w:p>
    <w:p w:rsidR="005D589D" w:rsidRPr="005F4724" w:rsidRDefault="005D589D" w:rsidP="005F4724">
      <w:pPr>
        <w:rPr>
          <w:rFonts w:ascii="Arial" w:eastAsia="Times New Roman" w:hAnsi="Arial" w:cs="Arial"/>
        </w:rPr>
      </w:pPr>
    </w:p>
    <w:sectPr w:rsidR="005D589D" w:rsidRPr="005F4724" w:rsidSect="008C0C9B">
      <w:head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D1" w:rsidRDefault="00F660D1" w:rsidP="008C0C9B">
      <w:pPr>
        <w:spacing w:after="0" w:line="240" w:lineRule="auto"/>
      </w:pPr>
      <w:r>
        <w:separator/>
      </w:r>
    </w:p>
  </w:endnote>
  <w:endnote w:type="continuationSeparator" w:id="0">
    <w:p w:rsidR="00F660D1" w:rsidRDefault="00F660D1" w:rsidP="008C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022244"/>
      <w:docPartObj>
        <w:docPartGallery w:val="Page Numbers (Bottom of Page)"/>
        <w:docPartUnique/>
      </w:docPartObj>
    </w:sdtPr>
    <w:sdtEndPr>
      <w:rPr>
        <w:noProof/>
      </w:rPr>
    </w:sdtEndPr>
    <w:sdtContent>
      <w:p w:rsidR="00CF3CBC" w:rsidRDefault="00CF3CBC">
        <w:pPr>
          <w:pStyle w:val="Footer"/>
          <w:jc w:val="center"/>
        </w:pPr>
        <w:r>
          <w:fldChar w:fldCharType="begin"/>
        </w:r>
        <w:r>
          <w:instrText xml:space="preserve"> PAGE   \* MERGEFORMAT </w:instrText>
        </w:r>
        <w:r>
          <w:fldChar w:fldCharType="separate"/>
        </w:r>
        <w:r w:rsidR="00410DBA">
          <w:rPr>
            <w:noProof/>
          </w:rPr>
          <w:t>1</w:t>
        </w:r>
        <w:r>
          <w:rPr>
            <w:noProof/>
          </w:rPr>
          <w:fldChar w:fldCharType="end"/>
        </w:r>
      </w:p>
    </w:sdtContent>
  </w:sdt>
  <w:p w:rsidR="00CF3CBC" w:rsidRPr="008C0C9B" w:rsidRDefault="00CF3CBC">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D1" w:rsidRDefault="00F660D1" w:rsidP="008C0C9B">
      <w:pPr>
        <w:spacing w:after="0" w:line="240" w:lineRule="auto"/>
      </w:pPr>
      <w:r>
        <w:separator/>
      </w:r>
    </w:p>
  </w:footnote>
  <w:footnote w:type="continuationSeparator" w:id="0">
    <w:p w:rsidR="00F660D1" w:rsidRDefault="00F660D1" w:rsidP="008C0C9B">
      <w:pPr>
        <w:spacing w:after="0" w:line="240" w:lineRule="auto"/>
      </w:pPr>
      <w:r>
        <w:continuationSeparator/>
      </w:r>
    </w:p>
  </w:footnote>
  <w:footnote w:id="1">
    <w:p w:rsidR="00CF3CBC" w:rsidRPr="00D76B5E" w:rsidRDefault="00CF3CBC">
      <w:pPr>
        <w:pStyle w:val="FootnoteText"/>
        <w:rPr>
          <w:lang w:val="en-AU"/>
        </w:rPr>
      </w:pPr>
      <w:r>
        <w:rPr>
          <w:rStyle w:val="FootnoteReference"/>
        </w:rPr>
        <w:footnoteRef/>
      </w:r>
      <w:r>
        <w:t xml:space="preserve"> </w:t>
      </w:r>
      <w:r>
        <w:rPr>
          <w:lang w:val="en-AU"/>
        </w:rPr>
        <w:t xml:space="preserve">Section 56, </w:t>
      </w:r>
      <w:r>
        <w:rPr>
          <w:i/>
          <w:lang w:val="en-AU"/>
        </w:rPr>
        <w:t xml:space="preserve">Civil Procedure Act 2005 </w:t>
      </w:r>
      <w:r>
        <w:rPr>
          <w:lang w:val="en-AU"/>
        </w:rPr>
        <w:t>(NSW)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BC" w:rsidRPr="009239A3" w:rsidRDefault="00CF3CBC">
    <w:pPr>
      <w:pStyle w:val="Header"/>
      <w:rPr>
        <w:lang w:val="en-US"/>
      </w:rPr>
    </w:pPr>
    <w:r>
      <w:rPr>
        <w:lang w:val="en-US"/>
      </w:rPr>
      <w:t>RACS</w:t>
    </w:r>
    <w:r>
      <w:rPr>
        <w:lang w:val="en-US"/>
      </w:rPr>
      <w:tab/>
    </w:r>
    <w:r>
      <w:rPr>
        <w:lang w:val="en-US"/>
      </w:rPr>
      <w:tab/>
    </w:r>
    <w:r w:rsidR="001D7DCA">
      <w:rPr>
        <w:lang w:val="en-US"/>
      </w:rPr>
      <w:t>21 May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BC" w:rsidRDefault="00CF3CBC">
    <w:pPr>
      <w:pStyle w:val="Header"/>
    </w:pPr>
    <w:r>
      <w:rPr>
        <w:noProof/>
        <w:lang w:eastAsia="en-AU"/>
      </w:rPr>
      <w:drawing>
        <wp:inline distT="0" distB="0" distL="0" distR="0" wp14:anchorId="55F13970" wp14:editId="2235653E">
          <wp:extent cx="5731510" cy="1243330"/>
          <wp:effectExtent l="0" t="0" r="2540" b="0"/>
          <wp:docPr id="6" name="Picture 6" descr="C:\Users\elyse.trotter\AppData\Local\Microsoft\Windows\Temporary Internet Files\Content.Outlook\20HROY3N\racs_logo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yse.trotter\AppData\Local\Microsoft\Windows\Temporary Internet Files\Content.Outlook\20HROY3N\racs_logo_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43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4629"/>
    <w:multiLevelType w:val="hybridMultilevel"/>
    <w:tmpl w:val="1D1E77E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4580842"/>
    <w:multiLevelType w:val="hybridMultilevel"/>
    <w:tmpl w:val="DB1C669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368430EB"/>
    <w:multiLevelType w:val="hybridMultilevel"/>
    <w:tmpl w:val="612AE178"/>
    <w:lvl w:ilvl="0" w:tplc="54FA5662">
      <w:start w:val="1"/>
      <w:numFmt w:val="decimal"/>
      <w:lvlText w:val="%1."/>
      <w:lvlJc w:val="left"/>
      <w:pPr>
        <w:ind w:left="720" w:hanging="360"/>
      </w:pPr>
      <w:rPr>
        <w:rFonts w:ascii="Arial" w:eastAsia="Times New Roman"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0370CD"/>
    <w:multiLevelType w:val="hybridMultilevel"/>
    <w:tmpl w:val="53A43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071DCE"/>
    <w:multiLevelType w:val="multilevel"/>
    <w:tmpl w:val="18A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816B1"/>
    <w:multiLevelType w:val="hybridMultilevel"/>
    <w:tmpl w:val="A8203EDA"/>
    <w:lvl w:ilvl="0" w:tplc="A4BE78B2">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7EF5EB3"/>
    <w:multiLevelType w:val="hybridMultilevel"/>
    <w:tmpl w:val="86ACFE2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8E414B1"/>
    <w:multiLevelType w:val="hybridMultilevel"/>
    <w:tmpl w:val="0FA21B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511013E1"/>
    <w:multiLevelType w:val="hybridMultilevel"/>
    <w:tmpl w:val="A1EC6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755C10"/>
    <w:multiLevelType w:val="hybridMultilevel"/>
    <w:tmpl w:val="5D6C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EAE1076"/>
    <w:multiLevelType w:val="hybridMultilevel"/>
    <w:tmpl w:val="67E09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F045FC0"/>
    <w:multiLevelType w:val="hybridMultilevel"/>
    <w:tmpl w:val="19D2DC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67562B1B"/>
    <w:multiLevelType w:val="hybridMultilevel"/>
    <w:tmpl w:val="1D1E77E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766D0AD4"/>
    <w:multiLevelType w:val="hybridMultilevel"/>
    <w:tmpl w:val="1B304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3"/>
  </w:num>
  <w:num w:numId="5">
    <w:abstractNumId w:val="2"/>
  </w:num>
  <w:num w:numId="6">
    <w:abstractNumId w:val="3"/>
  </w:num>
  <w:num w:numId="7">
    <w:abstractNumId w:val="9"/>
  </w:num>
  <w:num w:numId="8">
    <w:abstractNumId w:val="14"/>
  </w:num>
  <w:num w:numId="9">
    <w:abstractNumId w:val="8"/>
  </w:num>
  <w:num w:numId="10">
    <w:abstractNumId w:val="0"/>
  </w:num>
  <w:num w:numId="11">
    <w:abstractNumId w:val="4"/>
  </w:num>
  <w:num w:numId="12">
    <w:abstractNumId w:val="6"/>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9B"/>
    <w:rsid w:val="0000460D"/>
    <w:rsid w:val="000135F5"/>
    <w:rsid w:val="00050303"/>
    <w:rsid w:val="00062BAC"/>
    <w:rsid w:val="000645F7"/>
    <w:rsid w:val="000777B4"/>
    <w:rsid w:val="00093F68"/>
    <w:rsid w:val="000F12A7"/>
    <w:rsid w:val="00105ED6"/>
    <w:rsid w:val="00113F4F"/>
    <w:rsid w:val="00144591"/>
    <w:rsid w:val="00155963"/>
    <w:rsid w:val="00163325"/>
    <w:rsid w:val="00165D08"/>
    <w:rsid w:val="00183FC2"/>
    <w:rsid w:val="001914F6"/>
    <w:rsid w:val="001A0424"/>
    <w:rsid w:val="001B50C2"/>
    <w:rsid w:val="001C31CE"/>
    <w:rsid w:val="001D5F0B"/>
    <w:rsid w:val="001D78D6"/>
    <w:rsid w:val="001D7DCA"/>
    <w:rsid w:val="001E0018"/>
    <w:rsid w:val="002167A1"/>
    <w:rsid w:val="00217A02"/>
    <w:rsid w:val="00231FAF"/>
    <w:rsid w:val="00232C45"/>
    <w:rsid w:val="00232D1A"/>
    <w:rsid w:val="00235528"/>
    <w:rsid w:val="00247ABC"/>
    <w:rsid w:val="00266474"/>
    <w:rsid w:val="00271CEA"/>
    <w:rsid w:val="0027478F"/>
    <w:rsid w:val="002752D1"/>
    <w:rsid w:val="00291979"/>
    <w:rsid w:val="00355DDA"/>
    <w:rsid w:val="003759F8"/>
    <w:rsid w:val="00391AE3"/>
    <w:rsid w:val="003962A0"/>
    <w:rsid w:val="003B1FDC"/>
    <w:rsid w:val="003B25F5"/>
    <w:rsid w:val="003B3467"/>
    <w:rsid w:val="003B4DC8"/>
    <w:rsid w:val="003C03A6"/>
    <w:rsid w:val="003C5BB6"/>
    <w:rsid w:val="003D6D5A"/>
    <w:rsid w:val="003E182E"/>
    <w:rsid w:val="003F11DD"/>
    <w:rsid w:val="003F29A0"/>
    <w:rsid w:val="003F3305"/>
    <w:rsid w:val="00410DBA"/>
    <w:rsid w:val="00414BFC"/>
    <w:rsid w:val="00446F73"/>
    <w:rsid w:val="004642EB"/>
    <w:rsid w:val="00474313"/>
    <w:rsid w:val="0047491C"/>
    <w:rsid w:val="00491F12"/>
    <w:rsid w:val="004A6FE3"/>
    <w:rsid w:val="004B368C"/>
    <w:rsid w:val="004D76CA"/>
    <w:rsid w:val="004E315F"/>
    <w:rsid w:val="004E48BB"/>
    <w:rsid w:val="00507E75"/>
    <w:rsid w:val="0051466D"/>
    <w:rsid w:val="0054571E"/>
    <w:rsid w:val="0059395D"/>
    <w:rsid w:val="005B3418"/>
    <w:rsid w:val="005C1F8F"/>
    <w:rsid w:val="005C7BF0"/>
    <w:rsid w:val="005D4F8A"/>
    <w:rsid w:val="005D589D"/>
    <w:rsid w:val="005E1E29"/>
    <w:rsid w:val="005E65D8"/>
    <w:rsid w:val="005F3E9F"/>
    <w:rsid w:val="005F4724"/>
    <w:rsid w:val="0060503F"/>
    <w:rsid w:val="0068052A"/>
    <w:rsid w:val="00685260"/>
    <w:rsid w:val="00691ED1"/>
    <w:rsid w:val="006C1686"/>
    <w:rsid w:val="006D340E"/>
    <w:rsid w:val="00704583"/>
    <w:rsid w:val="00712020"/>
    <w:rsid w:val="0072359A"/>
    <w:rsid w:val="00737487"/>
    <w:rsid w:val="00747212"/>
    <w:rsid w:val="00747C90"/>
    <w:rsid w:val="00755D7D"/>
    <w:rsid w:val="00761A32"/>
    <w:rsid w:val="00763700"/>
    <w:rsid w:val="00763B08"/>
    <w:rsid w:val="00782637"/>
    <w:rsid w:val="007A52D2"/>
    <w:rsid w:val="007B65D1"/>
    <w:rsid w:val="007D3AAA"/>
    <w:rsid w:val="007D4F0B"/>
    <w:rsid w:val="007E31E0"/>
    <w:rsid w:val="007E671E"/>
    <w:rsid w:val="007F2215"/>
    <w:rsid w:val="00817753"/>
    <w:rsid w:val="00835091"/>
    <w:rsid w:val="00842B5A"/>
    <w:rsid w:val="00844687"/>
    <w:rsid w:val="00845799"/>
    <w:rsid w:val="00846CE7"/>
    <w:rsid w:val="00864C7C"/>
    <w:rsid w:val="00886BD8"/>
    <w:rsid w:val="008A267B"/>
    <w:rsid w:val="008B1064"/>
    <w:rsid w:val="008B2C28"/>
    <w:rsid w:val="008B58C7"/>
    <w:rsid w:val="008C0C9B"/>
    <w:rsid w:val="008C160A"/>
    <w:rsid w:val="008C236F"/>
    <w:rsid w:val="008C6254"/>
    <w:rsid w:val="008E5081"/>
    <w:rsid w:val="009239A3"/>
    <w:rsid w:val="00926E5B"/>
    <w:rsid w:val="00935CF3"/>
    <w:rsid w:val="009405C4"/>
    <w:rsid w:val="00977529"/>
    <w:rsid w:val="009B6A60"/>
    <w:rsid w:val="009C32EE"/>
    <w:rsid w:val="009F1B1B"/>
    <w:rsid w:val="009F40E7"/>
    <w:rsid w:val="00A00ECD"/>
    <w:rsid w:val="00A25FC5"/>
    <w:rsid w:val="00A30CE4"/>
    <w:rsid w:val="00A31ACF"/>
    <w:rsid w:val="00A43289"/>
    <w:rsid w:val="00A55EF3"/>
    <w:rsid w:val="00A63425"/>
    <w:rsid w:val="00A838A6"/>
    <w:rsid w:val="00A92654"/>
    <w:rsid w:val="00A93012"/>
    <w:rsid w:val="00A97840"/>
    <w:rsid w:val="00AA3C95"/>
    <w:rsid w:val="00AB1A8D"/>
    <w:rsid w:val="00AE0254"/>
    <w:rsid w:val="00AE60ED"/>
    <w:rsid w:val="00AF0D3D"/>
    <w:rsid w:val="00AF1955"/>
    <w:rsid w:val="00AF6DA8"/>
    <w:rsid w:val="00B14B38"/>
    <w:rsid w:val="00B473D2"/>
    <w:rsid w:val="00B519FC"/>
    <w:rsid w:val="00B5227A"/>
    <w:rsid w:val="00B80DE6"/>
    <w:rsid w:val="00BD53B2"/>
    <w:rsid w:val="00BF024F"/>
    <w:rsid w:val="00C4306D"/>
    <w:rsid w:val="00CD3803"/>
    <w:rsid w:val="00CD5344"/>
    <w:rsid w:val="00CD6A9A"/>
    <w:rsid w:val="00CF3CBC"/>
    <w:rsid w:val="00CF4DCA"/>
    <w:rsid w:val="00CF6102"/>
    <w:rsid w:val="00D007A6"/>
    <w:rsid w:val="00D00BCC"/>
    <w:rsid w:val="00D121DF"/>
    <w:rsid w:val="00D25C0D"/>
    <w:rsid w:val="00D31865"/>
    <w:rsid w:val="00D76B5E"/>
    <w:rsid w:val="00D80B2E"/>
    <w:rsid w:val="00D81D9C"/>
    <w:rsid w:val="00D86624"/>
    <w:rsid w:val="00DA4578"/>
    <w:rsid w:val="00DB01AF"/>
    <w:rsid w:val="00DC1ED6"/>
    <w:rsid w:val="00DC3A98"/>
    <w:rsid w:val="00E028BB"/>
    <w:rsid w:val="00E36FE6"/>
    <w:rsid w:val="00E41190"/>
    <w:rsid w:val="00E56098"/>
    <w:rsid w:val="00E85C26"/>
    <w:rsid w:val="00EB0C29"/>
    <w:rsid w:val="00EB42D2"/>
    <w:rsid w:val="00EE4339"/>
    <w:rsid w:val="00EF6AA9"/>
    <w:rsid w:val="00F2198F"/>
    <w:rsid w:val="00F47369"/>
    <w:rsid w:val="00F60960"/>
    <w:rsid w:val="00F660D1"/>
    <w:rsid w:val="00F677E9"/>
    <w:rsid w:val="00F70719"/>
    <w:rsid w:val="00F74994"/>
    <w:rsid w:val="00F74EAA"/>
    <w:rsid w:val="00FA4A5F"/>
    <w:rsid w:val="00FB4EA9"/>
    <w:rsid w:val="00FC7D95"/>
    <w:rsid w:val="00FD3153"/>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C9B"/>
  </w:style>
  <w:style w:type="paragraph" w:styleId="Footer">
    <w:name w:val="footer"/>
    <w:basedOn w:val="Normal"/>
    <w:link w:val="FooterChar"/>
    <w:uiPriority w:val="99"/>
    <w:unhideWhenUsed/>
    <w:rsid w:val="008C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C9B"/>
  </w:style>
  <w:style w:type="paragraph" w:styleId="BalloonText">
    <w:name w:val="Balloon Text"/>
    <w:basedOn w:val="Normal"/>
    <w:link w:val="BalloonTextChar"/>
    <w:uiPriority w:val="99"/>
    <w:semiHidden/>
    <w:unhideWhenUsed/>
    <w:rsid w:val="008C0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9B"/>
    <w:rPr>
      <w:rFonts w:ascii="Tahoma" w:hAnsi="Tahoma" w:cs="Tahoma"/>
      <w:sz w:val="16"/>
      <w:szCs w:val="16"/>
    </w:rPr>
  </w:style>
  <w:style w:type="paragraph" w:styleId="ListParagraph">
    <w:name w:val="List Paragraph"/>
    <w:basedOn w:val="Normal"/>
    <w:uiPriority w:val="34"/>
    <w:qFormat/>
    <w:rsid w:val="00291979"/>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 text,fn"/>
    <w:basedOn w:val="Normal"/>
    <w:link w:val="FootnoteTextChar"/>
    <w:uiPriority w:val="99"/>
    <w:rsid w:val="00247ABC"/>
    <w:pPr>
      <w:spacing w:after="0" w:line="240" w:lineRule="auto"/>
    </w:pPr>
    <w:rPr>
      <w:rFonts w:ascii="Arial" w:eastAsia="Times New Roman" w:hAnsi="Arial" w:cs="Times New Roman"/>
      <w:sz w:val="20"/>
      <w:szCs w:val="20"/>
      <w:lang w:val="en-US"/>
    </w:rPr>
  </w:style>
  <w:style w:type="character" w:customStyle="1" w:styleId="FootnoteTextChar">
    <w:name w:val="Footnote Text Char"/>
    <w:aliases w:val="footnotes Char1,Footnote Text Char2 Char Char1,Footnote Text Char Char1 Char Char1,Footnote Text Char2 Char Char Char Char1,Footnote Text Char1 Char Char Char Char Char1,Footnote Text Char Char Char Char Char Char Char1,fn Char"/>
    <w:basedOn w:val="DefaultParagraphFont"/>
    <w:link w:val="FootnoteText"/>
    <w:uiPriority w:val="99"/>
    <w:rsid w:val="00247ABC"/>
    <w:rPr>
      <w:rFonts w:ascii="Arial" w:eastAsia="Times New Roman" w:hAnsi="Arial" w:cs="Times New Roman"/>
      <w:sz w:val="20"/>
      <w:szCs w:val="20"/>
      <w:lang w:val="en-US"/>
    </w:rPr>
  </w:style>
  <w:style w:type="paragraph" w:customStyle="1" w:styleId="level1">
    <w:name w:val="level1"/>
    <w:basedOn w:val="Normal"/>
    <w:rsid w:val="00247ABC"/>
    <w:pPr>
      <w:spacing w:before="100" w:after="0" w:line="312" w:lineRule="auto"/>
      <w:ind w:left="2127" w:right="423" w:firstLine="11"/>
    </w:pPr>
    <w:rPr>
      <w:rFonts w:ascii="Arial" w:eastAsia="Times New Roman" w:hAnsi="Arial" w:cs="Times New Roman"/>
      <w:color w:val="000000"/>
      <w:sz w:val="20"/>
      <w:szCs w:val="20"/>
    </w:rPr>
  </w:style>
  <w:style w:type="paragraph" w:customStyle="1" w:styleId="Restriction">
    <w:name w:val="Restriction"/>
    <w:basedOn w:val="Normal"/>
    <w:rsid w:val="00247ABC"/>
    <w:pPr>
      <w:spacing w:before="100" w:after="0" w:line="312" w:lineRule="auto"/>
    </w:pPr>
    <w:rPr>
      <w:rFonts w:ascii="Arial" w:eastAsia="Times New Roman" w:hAnsi="Arial" w:cs="Times New Roman"/>
      <w:b/>
      <w:sz w:val="20"/>
      <w:szCs w:val="20"/>
    </w:rPr>
  </w:style>
  <w:style w:type="paragraph" w:customStyle="1" w:styleId="Subject">
    <w:name w:val="Subject"/>
    <w:basedOn w:val="Normal"/>
    <w:rsid w:val="00247ABC"/>
    <w:pPr>
      <w:spacing w:before="120" w:after="0" w:line="240" w:lineRule="auto"/>
      <w:ind w:right="1985"/>
    </w:pPr>
    <w:rPr>
      <w:rFonts w:ascii="Arial" w:eastAsia="Times New Roman" w:hAnsi="Arial" w:cs="Times New Roman"/>
      <w:b/>
      <w:sz w:val="24"/>
      <w:szCs w:val="20"/>
    </w:rPr>
  </w:style>
  <w:style w:type="paragraph" w:styleId="BodyText">
    <w:name w:val="Body Text"/>
    <w:link w:val="BodyTextChar"/>
    <w:uiPriority w:val="99"/>
    <w:qFormat/>
    <w:rsid w:val="008B58C7"/>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uiPriority w:val="99"/>
    <w:rsid w:val="008B58C7"/>
    <w:rPr>
      <w:rFonts w:ascii="Times New Roman" w:eastAsia="Times New Roman" w:hAnsi="Times New Roman" w:cs="Times New Roman"/>
      <w:sz w:val="26"/>
      <w:szCs w:val="20"/>
      <w:lang w:eastAsia="en-AU"/>
    </w:rPr>
  </w:style>
  <w:style w:type="paragraph" w:customStyle="1" w:styleId="Bulletform">
    <w:name w:val="Bullet form"/>
    <w:basedOn w:val="Normal"/>
    <w:rsid w:val="008B58C7"/>
    <w:pPr>
      <w:numPr>
        <w:numId w:val="4"/>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NoSpacing">
    <w:name w:val="No Spacing"/>
    <w:link w:val="NoSpacingChar"/>
    <w:uiPriority w:val="1"/>
    <w:qFormat/>
    <w:rsid w:val="008B5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58C7"/>
    <w:rPr>
      <w:rFonts w:eastAsiaTheme="minorEastAsia"/>
      <w:lang w:val="en-US" w:eastAsia="ja-JP"/>
    </w:rPr>
  </w:style>
  <w:style w:type="character" w:styleId="FootnoteReference">
    <w:name w:val="footnote reference"/>
    <w:aliases w:val="Footnote Refernece,BVI fnr,callout,Footnote Reference Superscript,Footnote Refernece + (Latein) Arial,10 pt,Blau"/>
    <w:basedOn w:val="DefaultParagraphFont"/>
    <w:uiPriority w:val="99"/>
    <w:semiHidden/>
    <w:rsid w:val="00F60960"/>
    <w:rPr>
      <w:vertAlign w:val="superscript"/>
    </w:rPr>
  </w:style>
  <w:style w:type="character" w:customStyle="1" w:styleId="FootnoteTextChar1">
    <w:name w:val="Footnote Text Char1"/>
    <w:aliases w:val="footnotes Char,Footnote Text Char2 Char Char,Footnote Text Char Char1 Char Char,Footnote Text Char2 Char Char Char Char,Footnote Text Char1 Char Char Char Char Char,Footnote Text Char Char Char Char Char Char Char,footnote text Char"/>
    <w:basedOn w:val="DefaultParagraphFont"/>
    <w:semiHidden/>
    <w:rsid w:val="00F60960"/>
    <w:rPr>
      <w:rFonts w:ascii="Calibri" w:eastAsia="SimSun" w:hAnsi="Calibri" w:cs="Times New Roman"/>
      <w:sz w:val="20"/>
      <w:szCs w:val="20"/>
      <w:lang w:val="it-IT" w:eastAsia="zh-CN"/>
    </w:rPr>
  </w:style>
  <w:style w:type="character" w:styleId="Hyperlink">
    <w:name w:val="Hyperlink"/>
    <w:basedOn w:val="DefaultParagraphFont"/>
    <w:uiPriority w:val="99"/>
    <w:unhideWhenUsed/>
    <w:rsid w:val="00F60960"/>
    <w:rPr>
      <w:color w:val="0000FF" w:themeColor="hyperlink"/>
      <w:u w:val="single"/>
    </w:rPr>
  </w:style>
  <w:style w:type="table" w:styleId="TableGrid">
    <w:name w:val="Table Grid"/>
    <w:basedOn w:val="TableNormal"/>
    <w:uiPriority w:val="59"/>
    <w:rsid w:val="00A25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C9B"/>
  </w:style>
  <w:style w:type="paragraph" w:styleId="Footer">
    <w:name w:val="footer"/>
    <w:basedOn w:val="Normal"/>
    <w:link w:val="FooterChar"/>
    <w:uiPriority w:val="99"/>
    <w:unhideWhenUsed/>
    <w:rsid w:val="008C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C9B"/>
  </w:style>
  <w:style w:type="paragraph" w:styleId="BalloonText">
    <w:name w:val="Balloon Text"/>
    <w:basedOn w:val="Normal"/>
    <w:link w:val="BalloonTextChar"/>
    <w:uiPriority w:val="99"/>
    <w:semiHidden/>
    <w:unhideWhenUsed/>
    <w:rsid w:val="008C0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9B"/>
    <w:rPr>
      <w:rFonts w:ascii="Tahoma" w:hAnsi="Tahoma" w:cs="Tahoma"/>
      <w:sz w:val="16"/>
      <w:szCs w:val="16"/>
    </w:rPr>
  </w:style>
  <w:style w:type="paragraph" w:styleId="ListParagraph">
    <w:name w:val="List Paragraph"/>
    <w:basedOn w:val="Normal"/>
    <w:uiPriority w:val="34"/>
    <w:qFormat/>
    <w:rsid w:val="00291979"/>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 text,fn"/>
    <w:basedOn w:val="Normal"/>
    <w:link w:val="FootnoteTextChar"/>
    <w:uiPriority w:val="99"/>
    <w:rsid w:val="00247ABC"/>
    <w:pPr>
      <w:spacing w:after="0" w:line="240" w:lineRule="auto"/>
    </w:pPr>
    <w:rPr>
      <w:rFonts w:ascii="Arial" w:eastAsia="Times New Roman" w:hAnsi="Arial" w:cs="Times New Roman"/>
      <w:sz w:val="20"/>
      <w:szCs w:val="20"/>
      <w:lang w:val="en-US"/>
    </w:rPr>
  </w:style>
  <w:style w:type="character" w:customStyle="1" w:styleId="FootnoteTextChar">
    <w:name w:val="Footnote Text Char"/>
    <w:aliases w:val="footnotes Char1,Footnote Text Char2 Char Char1,Footnote Text Char Char1 Char Char1,Footnote Text Char2 Char Char Char Char1,Footnote Text Char1 Char Char Char Char Char1,Footnote Text Char Char Char Char Char Char Char1,fn Char"/>
    <w:basedOn w:val="DefaultParagraphFont"/>
    <w:link w:val="FootnoteText"/>
    <w:uiPriority w:val="99"/>
    <w:rsid w:val="00247ABC"/>
    <w:rPr>
      <w:rFonts w:ascii="Arial" w:eastAsia="Times New Roman" w:hAnsi="Arial" w:cs="Times New Roman"/>
      <w:sz w:val="20"/>
      <w:szCs w:val="20"/>
      <w:lang w:val="en-US"/>
    </w:rPr>
  </w:style>
  <w:style w:type="paragraph" w:customStyle="1" w:styleId="level1">
    <w:name w:val="level1"/>
    <w:basedOn w:val="Normal"/>
    <w:rsid w:val="00247ABC"/>
    <w:pPr>
      <w:spacing w:before="100" w:after="0" w:line="312" w:lineRule="auto"/>
      <w:ind w:left="2127" w:right="423" w:firstLine="11"/>
    </w:pPr>
    <w:rPr>
      <w:rFonts w:ascii="Arial" w:eastAsia="Times New Roman" w:hAnsi="Arial" w:cs="Times New Roman"/>
      <w:color w:val="000000"/>
      <w:sz w:val="20"/>
      <w:szCs w:val="20"/>
    </w:rPr>
  </w:style>
  <w:style w:type="paragraph" w:customStyle="1" w:styleId="Restriction">
    <w:name w:val="Restriction"/>
    <w:basedOn w:val="Normal"/>
    <w:rsid w:val="00247ABC"/>
    <w:pPr>
      <w:spacing w:before="100" w:after="0" w:line="312" w:lineRule="auto"/>
    </w:pPr>
    <w:rPr>
      <w:rFonts w:ascii="Arial" w:eastAsia="Times New Roman" w:hAnsi="Arial" w:cs="Times New Roman"/>
      <w:b/>
      <w:sz w:val="20"/>
      <w:szCs w:val="20"/>
    </w:rPr>
  </w:style>
  <w:style w:type="paragraph" w:customStyle="1" w:styleId="Subject">
    <w:name w:val="Subject"/>
    <w:basedOn w:val="Normal"/>
    <w:rsid w:val="00247ABC"/>
    <w:pPr>
      <w:spacing w:before="120" w:after="0" w:line="240" w:lineRule="auto"/>
      <w:ind w:right="1985"/>
    </w:pPr>
    <w:rPr>
      <w:rFonts w:ascii="Arial" w:eastAsia="Times New Roman" w:hAnsi="Arial" w:cs="Times New Roman"/>
      <w:b/>
      <w:sz w:val="24"/>
      <w:szCs w:val="20"/>
    </w:rPr>
  </w:style>
  <w:style w:type="paragraph" w:styleId="BodyText">
    <w:name w:val="Body Text"/>
    <w:link w:val="BodyTextChar"/>
    <w:uiPriority w:val="99"/>
    <w:qFormat/>
    <w:rsid w:val="008B58C7"/>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uiPriority w:val="99"/>
    <w:rsid w:val="008B58C7"/>
    <w:rPr>
      <w:rFonts w:ascii="Times New Roman" w:eastAsia="Times New Roman" w:hAnsi="Times New Roman" w:cs="Times New Roman"/>
      <w:sz w:val="26"/>
      <w:szCs w:val="20"/>
      <w:lang w:eastAsia="en-AU"/>
    </w:rPr>
  </w:style>
  <w:style w:type="paragraph" w:customStyle="1" w:styleId="Bulletform">
    <w:name w:val="Bullet form"/>
    <w:basedOn w:val="Normal"/>
    <w:rsid w:val="008B58C7"/>
    <w:pPr>
      <w:numPr>
        <w:numId w:val="4"/>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NoSpacing">
    <w:name w:val="No Spacing"/>
    <w:link w:val="NoSpacingChar"/>
    <w:uiPriority w:val="1"/>
    <w:qFormat/>
    <w:rsid w:val="008B5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58C7"/>
    <w:rPr>
      <w:rFonts w:eastAsiaTheme="minorEastAsia"/>
      <w:lang w:val="en-US" w:eastAsia="ja-JP"/>
    </w:rPr>
  </w:style>
  <w:style w:type="character" w:styleId="FootnoteReference">
    <w:name w:val="footnote reference"/>
    <w:aliases w:val="Footnote Refernece,BVI fnr,callout,Footnote Reference Superscript,Footnote Refernece + (Latein) Arial,10 pt,Blau"/>
    <w:basedOn w:val="DefaultParagraphFont"/>
    <w:uiPriority w:val="99"/>
    <w:semiHidden/>
    <w:rsid w:val="00F60960"/>
    <w:rPr>
      <w:vertAlign w:val="superscript"/>
    </w:rPr>
  </w:style>
  <w:style w:type="character" w:customStyle="1" w:styleId="FootnoteTextChar1">
    <w:name w:val="Footnote Text Char1"/>
    <w:aliases w:val="footnotes Char,Footnote Text Char2 Char Char,Footnote Text Char Char1 Char Char,Footnote Text Char2 Char Char Char Char,Footnote Text Char1 Char Char Char Char Char,Footnote Text Char Char Char Char Char Char Char,footnote text Char"/>
    <w:basedOn w:val="DefaultParagraphFont"/>
    <w:semiHidden/>
    <w:rsid w:val="00F60960"/>
    <w:rPr>
      <w:rFonts w:ascii="Calibri" w:eastAsia="SimSun" w:hAnsi="Calibri" w:cs="Times New Roman"/>
      <w:sz w:val="20"/>
      <w:szCs w:val="20"/>
      <w:lang w:val="it-IT" w:eastAsia="zh-CN"/>
    </w:rPr>
  </w:style>
  <w:style w:type="character" w:styleId="Hyperlink">
    <w:name w:val="Hyperlink"/>
    <w:basedOn w:val="DefaultParagraphFont"/>
    <w:uiPriority w:val="99"/>
    <w:unhideWhenUsed/>
    <w:rsid w:val="00F60960"/>
    <w:rPr>
      <w:color w:val="0000FF" w:themeColor="hyperlink"/>
      <w:u w:val="single"/>
    </w:rPr>
  </w:style>
  <w:style w:type="table" w:styleId="TableGrid">
    <w:name w:val="Table Grid"/>
    <w:basedOn w:val="TableNormal"/>
    <w:uiPriority w:val="59"/>
    <w:rsid w:val="00A25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0481">
      <w:bodyDiv w:val="1"/>
      <w:marLeft w:val="0"/>
      <w:marRight w:val="0"/>
      <w:marTop w:val="0"/>
      <w:marBottom w:val="0"/>
      <w:divBdr>
        <w:top w:val="none" w:sz="0" w:space="0" w:color="auto"/>
        <w:left w:val="none" w:sz="0" w:space="0" w:color="auto"/>
        <w:bottom w:val="none" w:sz="0" w:space="0" w:color="auto"/>
        <w:right w:val="none" w:sz="0" w:space="0" w:color="auto"/>
      </w:divBdr>
    </w:div>
    <w:div w:id="640379876">
      <w:bodyDiv w:val="1"/>
      <w:marLeft w:val="0"/>
      <w:marRight w:val="0"/>
      <w:marTop w:val="0"/>
      <w:marBottom w:val="0"/>
      <w:divBdr>
        <w:top w:val="none" w:sz="0" w:space="0" w:color="auto"/>
        <w:left w:val="none" w:sz="0" w:space="0" w:color="auto"/>
        <w:bottom w:val="none" w:sz="0" w:space="0" w:color="auto"/>
        <w:right w:val="none" w:sz="0" w:space="0" w:color="auto"/>
      </w:divBdr>
    </w:div>
    <w:div w:id="1317030303">
      <w:bodyDiv w:val="1"/>
      <w:marLeft w:val="0"/>
      <w:marRight w:val="0"/>
      <w:marTop w:val="0"/>
      <w:marBottom w:val="0"/>
      <w:divBdr>
        <w:top w:val="none" w:sz="0" w:space="0" w:color="auto"/>
        <w:left w:val="none" w:sz="0" w:space="0" w:color="auto"/>
        <w:bottom w:val="none" w:sz="0" w:space="0" w:color="auto"/>
        <w:right w:val="none" w:sz="0" w:space="0" w:color="auto"/>
      </w:divBdr>
    </w:div>
    <w:div w:id="17851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BD60-7AF6-48E6-BAE0-197B3358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6133</Characters>
  <Application>Microsoft Office Word</Application>
  <DocSecurity>0</DocSecurity>
  <Lines>142</Lines>
  <Paragraphs>58</Paragraphs>
  <ScaleCrop>false</ScaleCrop>
  <HeadingPairs>
    <vt:vector size="2" baseType="variant">
      <vt:variant>
        <vt:lpstr>Title</vt:lpstr>
      </vt:variant>
      <vt:variant>
        <vt:i4>1</vt:i4>
      </vt:variant>
    </vt:vector>
  </HeadingPairs>
  <TitlesOfParts>
    <vt:vector size="1" baseType="lpstr">
      <vt:lpstr>Submission DR182 - The Refugee Advice and Casework Service (RACS) - Access to Justice Arrangements - Public inquiry</vt:lpstr>
    </vt:vector>
  </TitlesOfParts>
  <Company>Productivity Commission</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DR182 - The Refugee Advice and Casework Service (RACS) - Access to Justice Arrangements - Public inquiry</dc:title>
  <dc:creator>The Refugee Advice and Casework Service (RACS)</dc:creator>
  <cp:lastModifiedBy>Productivity Commission</cp:lastModifiedBy>
  <cp:revision>2</cp:revision>
  <cp:lastPrinted>2014-05-06T23:43:00Z</cp:lastPrinted>
  <dcterms:created xsi:type="dcterms:W3CDTF">2014-05-23T05:23:00Z</dcterms:created>
  <dcterms:modified xsi:type="dcterms:W3CDTF">2014-05-23T05:23:00Z</dcterms:modified>
</cp:coreProperties>
</file>