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4A7" w:rsidRDefault="001F258D">
      <w:pPr>
        <w:rPr>
          <w:rFonts w:ascii="Calibri" w:hAnsi="Calibri" w:cs="Calibri"/>
        </w:rPr>
      </w:pPr>
      <w:bookmarkStart w:id="0" w:name="_GoBack"/>
      <w:bookmarkEnd w:id="0"/>
      <w:r>
        <w:rPr>
          <w:rFonts w:ascii="Calibri" w:hAnsi="Calibri" w:cs="Calibri"/>
        </w:rPr>
        <w:t>Appendix</w:t>
      </w:r>
      <w:r w:rsidR="00BD7CEE" w:rsidRPr="00BD7CEE">
        <w:rPr>
          <w:rFonts w:ascii="Calibri" w:hAnsi="Calibri" w:cs="Calibri"/>
        </w:rPr>
        <w:t xml:space="preserve"> J Productivity Commission draft report on Access to Justice Arrang</w:t>
      </w:r>
      <w:r w:rsidR="00BD7CEE">
        <w:rPr>
          <w:rFonts w:ascii="Calibri" w:hAnsi="Calibri" w:cs="Calibri"/>
        </w:rPr>
        <w:t>e</w:t>
      </w:r>
      <w:r w:rsidR="00BD7CEE" w:rsidRPr="00BD7CEE">
        <w:rPr>
          <w:rFonts w:ascii="Calibri" w:hAnsi="Calibri" w:cs="Calibri"/>
        </w:rPr>
        <w:t>ments</w:t>
      </w:r>
    </w:p>
    <w:p w:rsidR="00BD7CEE" w:rsidRDefault="00BD7CEE">
      <w:pPr>
        <w:rPr>
          <w:rFonts w:ascii="Calibri" w:hAnsi="Calibri" w:cs="Calibri"/>
        </w:rPr>
      </w:pPr>
    </w:p>
    <w:p w:rsidR="00BD7CEE" w:rsidRPr="00BD7CEE" w:rsidRDefault="00BD7CEE" w:rsidP="00BD7CEE">
      <w:pPr>
        <w:jc w:val="center"/>
        <w:rPr>
          <w:rFonts w:ascii="Calibri" w:hAnsi="Calibri" w:cs="Calibri"/>
          <w:b/>
        </w:rPr>
      </w:pPr>
      <w:r w:rsidRPr="00BD7CEE">
        <w:rPr>
          <w:rFonts w:ascii="Calibri" w:hAnsi="Calibri" w:cs="Calibri"/>
          <w:b/>
        </w:rPr>
        <w:t>Legal assistance landscape</w:t>
      </w:r>
    </w:p>
    <w:tbl>
      <w:tblPr>
        <w:tblStyle w:val="TableGrid"/>
        <w:tblW w:w="15309" w:type="dxa"/>
        <w:tblInd w:w="-459" w:type="dxa"/>
        <w:tblLook w:val="04A0" w:firstRow="1" w:lastRow="0" w:firstColumn="1" w:lastColumn="0" w:noHBand="0" w:noVBand="1"/>
      </w:tblPr>
      <w:tblGrid>
        <w:gridCol w:w="3231"/>
        <w:gridCol w:w="2949"/>
        <w:gridCol w:w="2948"/>
        <w:gridCol w:w="2949"/>
        <w:gridCol w:w="3232"/>
      </w:tblGrid>
      <w:tr w:rsidR="00BD7CEE" w:rsidRPr="00BD7CEE" w:rsidTr="00856FB8">
        <w:tc>
          <w:tcPr>
            <w:tcW w:w="3231" w:type="dxa"/>
          </w:tcPr>
          <w:p w:rsidR="00BD7CEE" w:rsidRPr="00F0739A" w:rsidRDefault="00BD7CEE" w:rsidP="004532B5">
            <w:pPr>
              <w:jc w:val="center"/>
              <w:rPr>
                <w:rFonts w:ascii="Calibri" w:hAnsi="Calibri" w:cs="Calibri"/>
                <w:b/>
                <w:sz w:val="22"/>
                <w:szCs w:val="22"/>
              </w:rPr>
            </w:pPr>
            <w:r w:rsidRPr="00F0739A">
              <w:rPr>
                <w:rFonts w:ascii="Calibri" w:hAnsi="Calibri" w:cs="Calibri"/>
                <w:b/>
                <w:sz w:val="22"/>
                <w:szCs w:val="22"/>
              </w:rPr>
              <w:t>Policy question</w:t>
            </w:r>
          </w:p>
        </w:tc>
        <w:tc>
          <w:tcPr>
            <w:tcW w:w="2949" w:type="dxa"/>
          </w:tcPr>
          <w:p w:rsidR="00BD7CEE" w:rsidRPr="00F0739A" w:rsidRDefault="00BD7CEE" w:rsidP="004532B5">
            <w:pPr>
              <w:jc w:val="center"/>
              <w:rPr>
                <w:rFonts w:ascii="Calibri" w:hAnsi="Calibri" w:cs="Calibri"/>
                <w:b/>
                <w:sz w:val="22"/>
                <w:szCs w:val="22"/>
              </w:rPr>
            </w:pPr>
            <w:r w:rsidRPr="00F0739A">
              <w:rPr>
                <w:rFonts w:ascii="Calibri" w:hAnsi="Calibri" w:cs="Calibri"/>
                <w:b/>
                <w:sz w:val="22"/>
                <w:szCs w:val="22"/>
              </w:rPr>
              <w:t>Data required</w:t>
            </w:r>
          </w:p>
        </w:tc>
        <w:tc>
          <w:tcPr>
            <w:tcW w:w="2948" w:type="dxa"/>
          </w:tcPr>
          <w:p w:rsidR="00BD7CEE" w:rsidRPr="00F0739A" w:rsidRDefault="00BD7CEE" w:rsidP="004532B5">
            <w:pPr>
              <w:jc w:val="center"/>
              <w:rPr>
                <w:rFonts w:ascii="Calibri" w:hAnsi="Calibri" w:cs="Calibri"/>
                <w:b/>
                <w:sz w:val="22"/>
                <w:szCs w:val="22"/>
              </w:rPr>
            </w:pPr>
            <w:r w:rsidRPr="00F0739A">
              <w:rPr>
                <w:rFonts w:ascii="Calibri" w:hAnsi="Calibri" w:cs="Calibri"/>
                <w:b/>
                <w:sz w:val="22"/>
                <w:szCs w:val="22"/>
              </w:rPr>
              <w:t xml:space="preserve">Available data </w:t>
            </w:r>
            <w:r w:rsidR="004532B5" w:rsidRPr="00F0739A">
              <w:rPr>
                <w:rFonts w:ascii="Calibri" w:hAnsi="Calibri" w:cs="Calibri"/>
                <w:b/>
                <w:sz w:val="22"/>
                <w:szCs w:val="22"/>
              </w:rPr>
              <w:t xml:space="preserve">&amp; </w:t>
            </w:r>
            <w:r w:rsidRPr="00F0739A">
              <w:rPr>
                <w:rFonts w:ascii="Calibri" w:hAnsi="Calibri" w:cs="Calibri"/>
                <w:b/>
                <w:sz w:val="22"/>
                <w:szCs w:val="22"/>
              </w:rPr>
              <w:t>gaps</w:t>
            </w:r>
          </w:p>
        </w:tc>
        <w:tc>
          <w:tcPr>
            <w:tcW w:w="2949" w:type="dxa"/>
          </w:tcPr>
          <w:p w:rsidR="00BD7CEE" w:rsidRPr="00F0739A" w:rsidRDefault="00BD7CEE" w:rsidP="004532B5">
            <w:pPr>
              <w:jc w:val="center"/>
              <w:rPr>
                <w:rFonts w:ascii="Calibri" w:hAnsi="Calibri" w:cs="Calibri"/>
                <w:b/>
                <w:sz w:val="22"/>
                <w:szCs w:val="22"/>
              </w:rPr>
            </w:pPr>
            <w:r w:rsidRPr="00F0739A">
              <w:rPr>
                <w:rFonts w:ascii="Calibri" w:hAnsi="Calibri" w:cs="Calibri"/>
                <w:b/>
                <w:sz w:val="22"/>
                <w:szCs w:val="22"/>
              </w:rPr>
              <w:t>Data response</w:t>
            </w:r>
          </w:p>
        </w:tc>
        <w:tc>
          <w:tcPr>
            <w:tcW w:w="3232" w:type="dxa"/>
          </w:tcPr>
          <w:p w:rsidR="00BD7CEE" w:rsidRPr="00F0739A" w:rsidRDefault="00BD7CEE" w:rsidP="007D2FDC">
            <w:pPr>
              <w:jc w:val="center"/>
              <w:rPr>
                <w:rFonts w:ascii="Calibri" w:hAnsi="Calibri" w:cs="Calibri"/>
                <w:b/>
                <w:sz w:val="22"/>
                <w:szCs w:val="22"/>
              </w:rPr>
            </w:pPr>
            <w:r w:rsidRPr="00F0739A">
              <w:rPr>
                <w:rFonts w:ascii="Calibri" w:hAnsi="Calibri" w:cs="Calibri"/>
                <w:b/>
                <w:sz w:val="22"/>
                <w:szCs w:val="22"/>
              </w:rPr>
              <w:t xml:space="preserve">NLA </w:t>
            </w:r>
            <w:r w:rsidR="007D2FDC">
              <w:rPr>
                <w:rFonts w:ascii="Calibri" w:hAnsi="Calibri" w:cs="Calibri"/>
                <w:b/>
                <w:sz w:val="22"/>
                <w:szCs w:val="22"/>
              </w:rPr>
              <w:t>comments</w:t>
            </w:r>
          </w:p>
        </w:tc>
      </w:tr>
      <w:tr w:rsidR="00BD7CEE" w:rsidRPr="00BD7CEE" w:rsidTr="00856FB8">
        <w:tc>
          <w:tcPr>
            <w:tcW w:w="3231" w:type="dxa"/>
          </w:tcPr>
          <w:p w:rsidR="00BD7CEE" w:rsidRPr="00856FB8" w:rsidRDefault="00BD7CEE" w:rsidP="00BD7CEE">
            <w:pPr>
              <w:rPr>
                <w:rFonts w:ascii="Calibri" w:hAnsi="Calibri" w:cs="Calibri"/>
                <w:sz w:val="22"/>
                <w:szCs w:val="22"/>
              </w:rPr>
            </w:pPr>
            <w:r w:rsidRPr="00856FB8">
              <w:rPr>
                <w:rFonts w:ascii="Calibri" w:hAnsi="Calibri" w:cs="Calibri"/>
                <w:sz w:val="22"/>
                <w:szCs w:val="22"/>
              </w:rPr>
              <w:t xml:space="preserve">• Are legal assistance providers (LACs), Aboriginal and Torres Strait Islander legal services (ATSILS), family </w:t>
            </w:r>
            <w:r w:rsidR="00F0739A" w:rsidRPr="00856FB8">
              <w:rPr>
                <w:rFonts w:ascii="Calibri" w:hAnsi="Calibri" w:cs="Calibri"/>
                <w:sz w:val="22"/>
                <w:szCs w:val="22"/>
              </w:rPr>
              <w:t>v</w:t>
            </w:r>
            <w:r w:rsidRPr="00856FB8">
              <w:rPr>
                <w:rFonts w:ascii="Calibri" w:hAnsi="Calibri" w:cs="Calibri"/>
                <w:sz w:val="22"/>
                <w:szCs w:val="22"/>
              </w:rPr>
              <w:t xml:space="preserve">iolence prevention legal services (FVPLS) and community legal centres </w:t>
            </w:r>
            <w:r w:rsidR="00F0739A" w:rsidRPr="00856FB8">
              <w:rPr>
                <w:rFonts w:ascii="Calibri" w:hAnsi="Calibri" w:cs="Calibri"/>
                <w:sz w:val="22"/>
                <w:szCs w:val="22"/>
              </w:rPr>
              <w:t>(</w:t>
            </w:r>
            <w:r w:rsidRPr="00856FB8">
              <w:rPr>
                <w:rFonts w:ascii="Calibri" w:hAnsi="Calibri" w:cs="Calibri"/>
                <w:sz w:val="22"/>
                <w:szCs w:val="22"/>
              </w:rPr>
              <w:t xml:space="preserve">CLCs) providing services effectively and efficiently? </w:t>
            </w:r>
          </w:p>
          <w:p w:rsidR="00BD7CEE" w:rsidRPr="00BD7CEE" w:rsidRDefault="00BD7CEE" w:rsidP="00F0739A">
            <w:pPr>
              <w:rPr>
                <w:rFonts w:ascii="Calibri" w:hAnsi="Calibri" w:cs="Calibri"/>
                <w:sz w:val="22"/>
                <w:szCs w:val="22"/>
              </w:rPr>
            </w:pPr>
            <w:r w:rsidRPr="00856FB8">
              <w:rPr>
                <w:rFonts w:ascii="Calibri" w:hAnsi="Calibri" w:cs="Calibri"/>
                <w:sz w:val="22"/>
                <w:szCs w:val="22"/>
              </w:rPr>
              <w:t>• Is the allocation of legal assistance funding amongst LACs, ATSILS, FVPLS and CLCs appropriate?</w:t>
            </w:r>
          </w:p>
        </w:tc>
        <w:tc>
          <w:tcPr>
            <w:tcW w:w="2949" w:type="dxa"/>
          </w:tcPr>
          <w:p w:rsidR="00BD7CEE" w:rsidRDefault="00BD7CEE" w:rsidP="00BD7CEE">
            <w:pPr>
              <w:rPr>
                <w:rFonts w:ascii="Calibri" w:hAnsi="Calibri" w:cs="Calibri"/>
                <w:sz w:val="22"/>
                <w:szCs w:val="22"/>
              </w:rPr>
            </w:pPr>
            <w:r w:rsidRPr="00BD7CEE">
              <w:rPr>
                <w:rFonts w:ascii="Calibri" w:hAnsi="Calibri" w:cs="Calibri"/>
                <w:sz w:val="22"/>
                <w:szCs w:val="22"/>
              </w:rPr>
              <w:t>•</w:t>
            </w:r>
            <w:r>
              <w:rPr>
                <w:rFonts w:ascii="Calibri" w:hAnsi="Calibri" w:cs="Calibri"/>
                <w:sz w:val="22"/>
                <w:szCs w:val="22"/>
              </w:rPr>
              <w:t xml:space="preserve"> </w:t>
            </w:r>
            <w:r w:rsidRPr="00BD7CEE">
              <w:rPr>
                <w:rFonts w:ascii="Calibri" w:hAnsi="Calibri" w:cs="Calibri"/>
                <w:sz w:val="22"/>
                <w:szCs w:val="22"/>
              </w:rPr>
              <w:t xml:space="preserve">Demographic data on users. </w:t>
            </w:r>
            <w:r>
              <w:rPr>
                <w:rFonts w:ascii="Calibri" w:hAnsi="Calibri" w:cs="Calibri"/>
                <w:sz w:val="22"/>
                <w:szCs w:val="22"/>
              </w:rPr>
              <w:t>I</w:t>
            </w:r>
            <w:r w:rsidRPr="00BD7CEE">
              <w:rPr>
                <w:rFonts w:ascii="Calibri" w:hAnsi="Calibri" w:cs="Calibri"/>
                <w:sz w:val="22"/>
                <w:szCs w:val="22"/>
              </w:rPr>
              <w:t xml:space="preserve">nformation on costs to provide different sorts of </w:t>
            </w:r>
            <w:r>
              <w:rPr>
                <w:rFonts w:ascii="Calibri" w:hAnsi="Calibri" w:cs="Calibri"/>
                <w:sz w:val="22"/>
                <w:szCs w:val="22"/>
              </w:rPr>
              <w:t xml:space="preserve">services (eg </w:t>
            </w:r>
            <w:r w:rsidRPr="00BD7CEE">
              <w:rPr>
                <w:rFonts w:ascii="Calibri" w:hAnsi="Calibri" w:cs="Calibri"/>
                <w:sz w:val="22"/>
                <w:szCs w:val="22"/>
              </w:rPr>
              <w:t xml:space="preserve">advice, casework, CLE). </w:t>
            </w:r>
          </w:p>
          <w:p w:rsidR="00BD7CEE" w:rsidRPr="00BD7CEE" w:rsidRDefault="00BD7CEE" w:rsidP="00BD7CEE">
            <w:pPr>
              <w:rPr>
                <w:rFonts w:ascii="Calibri" w:hAnsi="Calibri" w:cs="Calibri"/>
                <w:sz w:val="22"/>
                <w:szCs w:val="22"/>
              </w:rPr>
            </w:pPr>
            <w:r w:rsidRPr="00BD7CEE">
              <w:rPr>
                <w:rFonts w:ascii="Calibri" w:hAnsi="Calibri" w:cs="Calibri"/>
                <w:sz w:val="22"/>
                <w:szCs w:val="22"/>
              </w:rPr>
              <w:t xml:space="preserve">• Client satisfaction data. </w:t>
            </w:r>
          </w:p>
          <w:p w:rsidR="00BD7CEE" w:rsidRPr="00BD7CEE" w:rsidRDefault="00BD7CEE" w:rsidP="00BD7CEE">
            <w:pPr>
              <w:rPr>
                <w:rFonts w:ascii="Calibri" w:hAnsi="Calibri" w:cs="Calibri"/>
                <w:sz w:val="22"/>
                <w:szCs w:val="22"/>
              </w:rPr>
            </w:pPr>
          </w:p>
        </w:tc>
        <w:tc>
          <w:tcPr>
            <w:tcW w:w="2948" w:type="dxa"/>
          </w:tcPr>
          <w:p w:rsidR="00BD7CEE" w:rsidRDefault="00BD7CEE" w:rsidP="00BD7CEE">
            <w:pPr>
              <w:rPr>
                <w:rFonts w:ascii="Calibri" w:hAnsi="Calibri" w:cs="Calibri"/>
                <w:sz w:val="22"/>
                <w:szCs w:val="22"/>
              </w:rPr>
            </w:pPr>
            <w:r w:rsidRPr="00BD7CEE">
              <w:rPr>
                <w:rFonts w:ascii="Calibri" w:hAnsi="Calibri" w:cs="Calibri"/>
                <w:sz w:val="22"/>
                <w:szCs w:val="22"/>
              </w:rPr>
              <w:t xml:space="preserve">• Demographic data are collected, but can be of poor quality. </w:t>
            </w:r>
          </w:p>
          <w:p w:rsidR="00BD7CEE" w:rsidRDefault="00BD7CEE" w:rsidP="00BD7CEE">
            <w:pPr>
              <w:rPr>
                <w:rFonts w:ascii="Calibri" w:hAnsi="Calibri" w:cs="Calibri"/>
                <w:sz w:val="22"/>
                <w:szCs w:val="22"/>
              </w:rPr>
            </w:pPr>
            <w:r w:rsidRPr="00BD7CEE">
              <w:rPr>
                <w:rFonts w:ascii="Calibri" w:hAnsi="Calibri" w:cs="Calibri"/>
                <w:sz w:val="22"/>
                <w:szCs w:val="22"/>
              </w:rPr>
              <w:t xml:space="preserve">• Information on costs of different services by provider is lacking. </w:t>
            </w:r>
          </w:p>
          <w:p w:rsidR="00BD7CEE" w:rsidRDefault="00BD7CEE" w:rsidP="00BD7CEE">
            <w:pPr>
              <w:rPr>
                <w:rFonts w:ascii="Calibri" w:hAnsi="Calibri" w:cs="Calibri"/>
                <w:sz w:val="22"/>
                <w:szCs w:val="22"/>
              </w:rPr>
            </w:pPr>
            <w:r w:rsidRPr="00BD7CEE">
              <w:rPr>
                <w:rFonts w:ascii="Calibri" w:hAnsi="Calibri" w:cs="Calibri"/>
                <w:sz w:val="22"/>
                <w:szCs w:val="22"/>
              </w:rPr>
              <w:t xml:space="preserve">• Apparent divergence between required data and what is actually reported (some missing fields, definitions not always adhered to). </w:t>
            </w:r>
          </w:p>
          <w:p w:rsidR="00BD7CEE" w:rsidRDefault="00BD7CEE" w:rsidP="00BD7CEE">
            <w:pPr>
              <w:rPr>
                <w:rFonts w:ascii="Calibri" w:hAnsi="Calibri" w:cs="Calibri"/>
                <w:sz w:val="22"/>
                <w:szCs w:val="22"/>
              </w:rPr>
            </w:pPr>
            <w:r w:rsidRPr="00BD7CEE">
              <w:rPr>
                <w:rFonts w:ascii="Calibri" w:hAnsi="Calibri" w:cs="Calibri"/>
                <w:sz w:val="22"/>
                <w:szCs w:val="22"/>
              </w:rPr>
              <w:t xml:space="preserve">• National Legal Aid (NLA) does not publish cost data. Some LACs, </w:t>
            </w:r>
            <w:r>
              <w:rPr>
                <w:rFonts w:ascii="Calibri" w:hAnsi="Calibri" w:cs="Calibri"/>
                <w:sz w:val="22"/>
                <w:szCs w:val="22"/>
              </w:rPr>
              <w:t>i</w:t>
            </w:r>
            <w:r w:rsidRPr="00BD7CEE">
              <w:rPr>
                <w:rFonts w:ascii="Calibri" w:hAnsi="Calibri" w:cs="Calibri"/>
                <w:sz w:val="22"/>
                <w:szCs w:val="22"/>
              </w:rPr>
              <w:t xml:space="preserve">ncluding Legal Aid WA and Legal Aid QLD publish average costs of services. </w:t>
            </w:r>
          </w:p>
          <w:p w:rsidR="00BD7CEE" w:rsidRDefault="00BD7CEE" w:rsidP="00BD7CEE">
            <w:pPr>
              <w:rPr>
                <w:rFonts w:ascii="Calibri" w:hAnsi="Calibri" w:cs="Calibri"/>
                <w:sz w:val="22"/>
                <w:szCs w:val="22"/>
              </w:rPr>
            </w:pPr>
            <w:r w:rsidRPr="00BD7CEE">
              <w:rPr>
                <w:rFonts w:ascii="Calibri" w:hAnsi="Calibri" w:cs="Calibri"/>
                <w:sz w:val="22"/>
                <w:szCs w:val="22"/>
              </w:rPr>
              <w:t xml:space="preserve">• Comparing the outcomes between different LACs can be difficult. </w:t>
            </w:r>
          </w:p>
          <w:p w:rsidR="00BD7CEE" w:rsidRPr="00BD7CEE" w:rsidRDefault="00BD7CEE" w:rsidP="00F0739A">
            <w:pPr>
              <w:rPr>
                <w:rFonts w:ascii="Calibri" w:hAnsi="Calibri" w:cs="Calibri"/>
                <w:sz w:val="22"/>
                <w:szCs w:val="22"/>
              </w:rPr>
            </w:pPr>
            <w:r w:rsidRPr="00BD7CEE">
              <w:rPr>
                <w:rFonts w:ascii="Calibri" w:hAnsi="Calibri" w:cs="Calibri"/>
                <w:sz w:val="22"/>
                <w:szCs w:val="22"/>
              </w:rPr>
              <w:t>• ATSILS no longer collect client satisfaction data. Have moved selected stakeholder assessment instead.</w:t>
            </w:r>
          </w:p>
        </w:tc>
        <w:tc>
          <w:tcPr>
            <w:tcW w:w="2949" w:type="dxa"/>
          </w:tcPr>
          <w:p w:rsidR="00BD7CEE" w:rsidRDefault="00BD7CEE" w:rsidP="00BD7CEE">
            <w:pPr>
              <w:rPr>
                <w:rFonts w:ascii="Calibri" w:hAnsi="Calibri" w:cs="Calibri"/>
                <w:sz w:val="22"/>
                <w:szCs w:val="22"/>
              </w:rPr>
            </w:pPr>
            <w:r w:rsidRPr="00BD7CEE">
              <w:rPr>
                <w:rFonts w:ascii="Calibri" w:hAnsi="Calibri" w:cs="Calibri"/>
                <w:sz w:val="22"/>
                <w:szCs w:val="22"/>
              </w:rPr>
              <w:t xml:space="preserve">• Demographic data should be collected more efficiently by examining what data items are needed and reducing load by removing those that are not. </w:t>
            </w:r>
          </w:p>
          <w:p w:rsidR="00BD7CEE" w:rsidRDefault="00BD7CEE" w:rsidP="00BD7CEE">
            <w:pPr>
              <w:rPr>
                <w:rFonts w:ascii="Calibri" w:hAnsi="Calibri" w:cs="Calibri"/>
                <w:sz w:val="22"/>
                <w:szCs w:val="22"/>
              </w:rPr>
            </w:pPr>
            <w:r w:rsidRPr="00BD7CEE">
              <w:rPr>
                <w:rFonts w:ascii="Calibri" w:hAnsi="Calibri" w:cs="Calibri"/>
                <w:sz w:val="22"/>
                <w:szCs w:val="22"/>
              </w:rPr>
              <w:t xml:space="preserve">• Types of services (e.g. minor assistance) should be consistently defined and reported to allow for benchmarking. </w:t>
            </w:r>
          </w:p>
          <w:p w:rsidR="00BD7CEE" w:rsidRPr="00BD7CEE" w:rsidRDefault="00BD7CEE" w:rsidP="00F0739A">
            <w:pPr>
              <w:rPr>
                <w:rFonts w:ascii="Calibri" w:hAnsi="Calibri" w:cs="Calibri"/>
                <w:sz w:val="22"/>
                <w:szCs w:val="22"/>
              </w:rPr>
            </w:pPr>
            <w:r w:rsidRPr="00BD7CEE">
              <w:rPr>
                <w:rFonts w:ascii="Calibri" w:hAnsi="Calibri" w:cs="Calibri"/>
                <w:sz w:val="22"/>
                <w:szCs w:val="22"/>
              </w:rPr>
              <w:t xml:space="preserve">• Reporting requirements should be consistent within and across legal assistance providers. This will allow for comparisons across the legal assistance landscape and will reduce reporting burden. </w:t>
            </w:r>
          </w:p>
        </w:tc>
        <w:tc>
          <w:tcPr>
            <w:tcW w:w="3232" w:type="dxa"/>
          </w:tcPr>
          <w:p w:rsidR="00BD7CEE" w:rsidRDefault="00BD7CEE"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4C3B91" w:rsidRDefault="004C3B91" w:rsidP="00856FB8">
            <w:pPr>
              <w:rPr>
                <w:rFonts w:ascii="Calibri" w:hAnsi="Calibri" w:cs="Calibri"/>
                <w:sz w:val="22"/>
                <w:szCs w:val="22"/>
              </w:rPr>
            </w:pPr>
          </w:p>
          <w:p w:rsidR="00F7410B" w:rsidRDefault="00856FB8" w:rsidP="00857D8A">
            <w:pPr>
              <w:pStyle w:val="ListParagraph"/>
              <w:ind w:left="0"/>
              <w:rPr>
                <w:rFonts w:ascii="Calibri" w:hAnsi="Calibri" w:cs="Calibri"/>
                <w:sz w:val="22"/>
                <w:szCs w:val="22"/>
              </w:rPr>
            </w:pPr>
            <w:r>
              <w:rPr>
                <w:rFonts w:ascii="Calibri" w:hAnsi="Calibri" w:cs="Calibri"/>
                <w:sz w:val="22"/>
                <w:szCs w:val="22"/>
              </w:rPr>
              <w:t xml:space="preserve">• </w:t>
            </w:r>
            <w:r w:rsidR="00857D8A">
              <w:rPr>
                <w:rFonts w:ascii="Calibri" w:hAnsi="Calibri" w:cs="Calibri"/>
                <w:sz w:val="22"/>
                <w:szCs w:val="22"/>
              </w:rPr>
              <w:t>O</w:t>
            </w:r>
            <w:r w:rsidR="004C3B91">
              <w:rPr>
                <w:rFonts w:ascii="Calibri" w:hAnsi="Calibri" w:cs="Calibri"/>
                <w:sz w:val="22"/>
                <w:szCs w:val="22"/>
              </w:rPr>
              <w:t xml:space="preserve">ne data set with agreed definitions and counting rules should be possible. </w:t>
            </w:r>
            <w:r w:rsidR="001847C5">
              <w:rPr>
                <w:rFonts w:ascii="Calibri" w:hAnsi="Calibri" w:cs="Calibri"/>
                <w:sz w:val="22"/>
                <w:szCs w:val="22"/>
              </w:rPr>
              <w:t xml:space="preserve"> However, e</w:t>
            </w:r>
            <w:r w:rsidR="004C3B91">
              <w:rPr>
                <w:rFonts w:ascii="Calibri" w:hAnsi="Calibri" w:cs="Calibri"/>
                <w:sz w:val="22"/>
                <w:szCs w:val="22"/>
              </w:rPr>
              <w:t>ven with such a data set</w:t>
            </w:r>
            <w:r w:rsidR="00F7410B">
              <w:rPr>
                <w:rFonts w:ascii="Calibri" w:hAnsi="Calibri" w:cs="Calibri"/>
                <w:sz w:val="22"/>
                <w:szCs w:val="22"/>
              </w:rPr>
              <w:t>,</w:t>
            </w:r>
            <w:r w:rsidR="004C3B91">
              <w:rPr>
                <w:rFonts w:ascii="Calibri" w:hAnsi="Calibri" w:cs="Calibri"/>
                <w:sz w:val="22"/>
                <w:szCs w:val="22"/>
              </w:rPr>
              <w:t xml:space="preserve"> care will need to</w:t>
            </w:r>
            <w:r>
              <w:rPr>
                <w:rFonts w:ascii="Calibri" w:hAnsi="Calibri" w:cs="Calibri"/>
                <w:sz w:val="22"/>
                <w:szCs w:val="22"/>
              </w:rPr>
              <w:t xml:space="preserve"> be taken in any comparisons</w:t>
            </w:r>
            <w:r w:rsidR="00857D8A">
              <w:rPr>
                <w:rFonts w:ascii="Calibri" w:hAnsi="Calibri" w:cs="Calibri"/>
                <w:sz w:val="22"/>
                <w:szCs w:val="22"/>
              </w:rPr>
              <w:t xml:space="preserve"> and any data presentations will need to be appropriately contextualised</w:t>
            </w:r>
            <w:r>
              <w:rPr>
                <w:rFonts w:ascii="Calibri" w:hAnsi="Calibri" w:cs="Calibri"/>
                <w:sz w:val="22"/>
                <w:szCs w:val="22"/>
              </w:rPr>
              <w:t xml:space="preserve">. </w:t>
            </w:r>
            <w:proofErr w:type="spellStart"/>
            <w:r w:rsidR="00857D8A">
              <w:rPr>
                <w:rFonts w:ascii="Calibri" w:hAnsi="Calibri" w:cs="Calibri"/>
                <w:sz w:val="22"/>
                <w:szCs w:val="22"/>
              </w:rPr>
              <w:t>E.g</w:t>
            </w:r>
            <w:proofErr w:type="spellEnd"/>
            <w:r w:rsidR="00857D8A">
              <w:rPr>
                <w:rFonts w:ascii="Calibri" w:hAnsi="Calibri" w:cs="Calibri"/>
                <w:sz w:val="22"/>
                <w:szCs w:val="22"/>
              </w:rPr>
              <w:t xml:space="preserve"> “Count of 1 issues”, not all services are provided by all providers</w:t>
            </w:r>
            <w:r w:rsidR="00F7410B">
              <w:rPr>
                <w:rFonts w:ascii="Calibri" w:hAnsi="Calibri" w:cs="Calibri"/>
                <w:sz w:val="22"/>
                <w:szCs w:val="22"/>
              </w:rPr>
              <w:t>,</w:t>
            </w:r>
            <w:r w:rsidR="00857D8A">
              <w:rPr>
                <w:rFonts w:ascii="Calibri" w:hAnsi="Calibri" w:cs="Calibri"/>
                <w:sz w:val="22"/>
                <w:szCs w:val="22"/>
              </w:rPr>
              <w:t xml:space="preserve"> etc</w:t>
            </w:r>
            <w:r w:rsidR="000512D1">
              <w:rPr>
                <w:rFonts w:ascii="Calibri" w:hAnsi="Calibri" w:cs="Calibri"/>
                <w:sz w:val="22"/>
                <w:szCs w:val="22"/>
              </w:rPr>
              <w:t>.</w:t>
            </w:r>
            <w:r w:rsidR="00857D8A">
              <w:rPr>
                <w:rFonts w:ascii="Calibri" w:hAnsi="Calibri" w:cs="Calibri"/>
                <w:sz w:val="22"/>
                <w:szCs w:val="22"/>
              </w:rPr>
              <w:t xml:space="preserve"> </w:t>
            </w:r>
          </w:p>
          <w:p w:rsidR="004C3B91" w:rsidRPr="008C51D4" w:rsidRDefault="009F1F1E" w:rsidP="00857D8A">
            <w:pPr>
              <w:pStyle w:val="ListParagraph"/>
              <w:ind w:left="0"/>
              <w:rPr>
                <w:rFonts w:ascii="Calibri" w:hAnsi="Calibri" w:cs="Calibri"/>
                <w:sz w:val="22"/>
                <w:szCs w:val="22"/>
              </w:rPr>
            </w:pPr>
            <w:r>
              <w:rPr>
                <w:rFonts w:ascii="Calibri" w:hAnsi="Calibri" w:cs="Calibri"/>
                <w:sz w:val="22"/>
                <w:szCs w:val="22"/>
              </w:rPr>
              <w:t>Please also s</w:t>
            </w:r>
            <w:r w:rsidR="00857D8A">
              <w:rPr>
                <w:rFonts w:ascii="Calibri" w:hAnsi="Calibri" w:cs="Calibri"/>
                <w:sz w:val="22"/>
                <w:szCs w:val="22"/>
              </w:rPr>
              <w:t xml:space="preserve">ee NLA comments on draft report.  </w:t>
            </w:r>
          </w:p>
        </w:tc>
      </w:tr>
      <w:tr w:rsidR="00BD7CEE" w:rsidRPr="00BD7CEE" w:rsidTr="00856FB8">
        <w:tc>
          <w:tcPr>
            <w:tcW w:w="3231" w:type="dxa"/>
          </w:tcPr>
          <w:p w:rsidR="00BD7CEE" w:rsidRDefault="00BD7CEE" w:rsidP="00BD7CEE">
            <w:pPr>
              <w:rPr>
                <w:rFonts w:ascii="Calibri" w:hAnsi="Calibri" w:cs="Calibri"/>
                <w:sz w:val="22"/>
                <w:szCs w:val="22"/>
              </w:rPr>
            </w:pPr>
            <w:r w:rsidRPr="00BD7CEE">
              <w:rPr>
                <w:rFonts w:ascii="Calibri" w:hAnsi="Calibri" w:cs="Calibri"/>
                <w:sz w:val="22"/>
                <w:szCs w:val="22"/>
              </w:rPr>
              <w:t xml:space="preserve">• What are the incomes and assets of people receiving legal aid grants relative to those being rejected? </w:t>
            </w:r>
          </w:p>
          <w:p w:rsidR="00BD7CEE" w:rsidRPr="00BD7CEE" w:rsidRDefault="00BD7CEE" w:rsidP="004532B5">
            <w:pPr>
              <w:rPr>
                <w:rFonts w:ascii="Calibri" w:hAnsi="Calibri" w:cs="Calibri"/>
                <w:sz w:val="22"/>
                <w:szCs w:val="22"/>
              </w:rPr>
            </w:pPr>
            <w:r w:rsidRPr="00BD7CEE">
              <w:rPr>
                <w:rFonts w:ascii="Calibri" w:hAnsi="Calibri" w:cs="Calibri"/>
                <w:sz w:val="22"/>
                <w:szCs w:val="22"/>
              </w:rPr>
              <w:t xml:space="preserve">• How restrictive is the means test? </w:t>
            </w:r>
          </w:p>
        </w:tc>
        <w:tc>
          <w:tcPr>
            <w:tcW w:w="2949" w:type="dxa"/>
          </w:tcPr>
          <w:p w:rsidR="00BD7CEE" w:rsidRPr="00BD7CEE" w:rsidRDefault="00BD7CEE" w:rsidP="004532B5">
            <w:pPr>
              <w:rPr>
                <w:rFonts w:ascii="Calibri" w:hAnsi="Calibri" w:cs="Calibri"/>
                <w:sz w:val="22"/>
                <w:szCs w:val="22"/>
              </w:rPr>
            </w:pPr>
            <w:r w:rsidRPr="00BD7CEE">
              <w:rPr>
                <w:rFonts w:ascii="Calibri" w:hAnsi="Calibri" w:cs="Calibri"/>
                <w:sz w:val="22"/>
                <w:szCs w:val="22"/>
              </w:rPr>
              <w:t xml:space="preserve">• Income and assets of legal aid users and grant </w:t>
            </w:r>
            <w:r w:rsidR="004532B5">
              <w:rPr>
                <w:rFonts w:ascii="Calibri" w:hAnsi="Calibri" w:cs="Calibri"/>
                <w:sz w:val="22"/>
                <w:szCs w:val="22"/>
              </w:rPr>
              <w:t>a</w:t>
            </w:r>
            <w:r w:rsidRPr="00BD7CEE">
              <w:rPr>
                <w:rFonts w:ascii="Calibri" w:hAnsi="Calibri" w:cs="Calibri"/>
                <w:sz w:val="22"/>
                <w:szCs w:val="22"/>
              </w:rPr>
              <w:t xml:space="preserve">pplicants. </w:t>
            </w:r>
          </w:p>
        </w:tc>
        <w:tc>
          <w:tcPr>
            <w:tcW w:w="2948" w:type="dxa"/>
          </w:tcPr>
          <w:p w:rsidR="00BD7CEE" w:rsidRDefault="00BD7CEE" w:rsidP="00BD7CEE">
            <w:pPr>
              <w:rPr>
                <w:rFonts w:ascii="Calibri" w:hAnsi="Calibri" w:cs="Calibri"/>
                <w:sz w:val="22"/>
                <w:szCs w:val="22"/>
              </w:rPr>
            </w:pPr>
            <w:r w:rsidRPr="00BD7CEE">
              <w:rPr>
                <w:rFonts w:ascii="Calibri" w:hAnsi="Calibri" w:cs="Calibri"/>
                <w:sz w:val="22"/>
                <w:szCs w:val="22"/>
              </w:rPr>
              <w:t xml:space="preserve">• Some LACs publish the proportion of users on income support. </w:t>
            </w:r>
          </w:p>
          <w:p w:rsidR="00BD7CEE" w:rsidRDefault="00BD7CEE" w:rsidP="00BD7CEE">
            <w:pPr>
              <w:rPr>
                <w:rFonts w:ascii="Calibri" w:hAnsi="Calibri" w:cs="Calibri"/>
                <w:sz w:val="22"/>
                <w:szCs w:val="22"/>
              </w:rPr>
            </w:pPr>
            <w:r w:rsidRPr="00BD7CEE">
              <w:rPr>
                <w:rFonts w:ascii="Calibri" w:hAnsi="Calibri" w:cs="Calibri"/>
                <w:sz w:val="22"/>
                <w:szCs w:val="22"/>
              </w:rPr>
              <w:t xml:space="preserve">• Users’ income (including those not earning an income and not receiving income support) not published. </w:t>
            </w:r>
          </w:p>
          <w:p w:rsidR="00BD7CEE" w:rsidRDefault="00BD7CEE" w:rsidP="00BD7CEE">
            <w:pPr>
              <w:rPr>
                <w:rFonts w:ascii="Calibri" w:hAnsi="Calibri" w:cs="Calibri"/>
                <w:sz w:val="22"/>
                <w:szCs w:val="22"/>
              </w:rPr>
            </w:pPr>
            <w:r w:rsidRPr="00BD7CEE">
              <w:rPr>
                <w:rFonts w:ascii="Calibri" w:hAnsi="Calibri" w:cs="Calibri"/>
                <w:sz w:val="22"/>
                <w:szCs w:val="22"/>
              </w:rPr>
              <w:lastRenderedPageBreak/>
              <w:t xml:space="preserve">• Aggregate data on applicants’ incomes not published. </w:t>
            </w:r>
          </w:p>
          <w:p w:rsidR="00BD7CEE" w:rsidRPr="00BD7CEE" w:rsidRDefault="00BD7CEE" w:rsidP="004532B5">
            <w:pPr>
              <w:rPr>
                <w:rFonts w:ascii="Calibri" w:hAnsi="Calibri" w:cs="Calibri"/>
                <w:sz w:val="22"/>
                <w:szCs w:val="22"/>
              </w:rPr>
            </w:pPr>
            <w:r w:rsidRPr="00BD7CEE">
              <w:rPr>
                <w:rFonts w:ascii="Calibri" w:hAnsi="Calibri" w:cs="Calibri"/>
                <w:sz w:val="22"/>
                <w:szCs w:val="22"/>
              </w:rPr>
              <w:t xml:space="preserve">• NLA publishes application statistics by jurisdiction and by law type (criminal, </w:t>
            </w:r>
            <w:r w:rsidRPr="00BD7CEE">
              <w:rPr>
                <w:rFonts w:ascii="Calibri" w:hAnsi="Calibri" w:cs="Calibri"/>
                <w:sz w:val="22"/>
                <w:szCs w:val="22"/>
              </w:rPr>
              <w:cr/>
            </w:r>
            <w:r>
              <w:rPr>
                <w:rFonts w:ascii="Calibri" w:hAnsi="Calibri" w:cs="Calibri"/>
                <w:sz w:val="22"/>
                <w:szCs w:val="22"/>
              </w:rPr>
              <w:t>civil, family)</w:t>
            </w:r>
            <w:r w:rsidR="004532B5">
              <w:rPr>
                <w:rFonts w:ascii="Calibri" w:hAnsi="Calibri" w:cs="Calibri"/>
                <w:sz w:val="22"/>
                <w:szCs w:val="22"/>
              </w:rPr>
              <w:t>.</w:t>
            </w:r>
          </w:p>
        </w:tc>
        <w:tc>
          <w:tcPr>
            <w:tcW w:w="2949" w:type="dxa"/>
          </w:tcPr>
          <w:p w:rsidR="00BD7CEE" w:rsidRPr="00BD7CEE" w:rsidRDefault="00BD7CEE" w:rsidP="00F0739A">
            <w:pPr>
              <w:rPr>
                <w:rFonts w:ascii="Calibri" w:hAnsi="Calibri" w:cs="Calibri"/>
                <w:sz w:val="22"/>
                <w:szCs w:val="22"/>
              </w:rPr>
            </w:pPr>
            <w:r w:rsidRPr="00BD7CEE">
              <w:rPr>
                <w:rFonts w:ascii="Calibri" w:hAnsi="Calibri" w:cs="Calibri"/>
                <w:sz w:val="22"/>
                <w:szCs w:val="22"/>
              </w:rPr>
              <w:lastRenderedPageBreak/>
              <w:t xml:space="preserve">• NLA should report information on the sources and amounts of people applying for grants, receiving grants and being rejected and whether applications have been rejected due to means, </w:t>
            </w:r>
            <w:r w:rsidRPr="00BD7CEE">
              <w:rPr>
                <w:rFonts w:ascii="Calibri" w:hAnsi="Calibri" w:cs="Calibri"/>
                <w:sz w:val="22"/>
                <w:szCs w:val="22"/>
              </w:rPr>
              <w:lastRenderedPageBreak/>
              <w:t>merit or the nature of the matter.</w:t>
            </w:r>
          </w:p>
        </w:tc>
        <w:tc>
          <w:tcPr>
            <w:tcW w:w="3232" w:type="dxa"/>
          </w:tcPr>
          <w:p w:rsidR="00BD7CEE" w:rsidRDefault="00856FB8" w:rsidP="00856FB8">
            <w:pPr>
              <w:rPr>
                <w:rFonts w:ascii="Calibri" w:hAnsi="Calibri" w:cs="Calibri"/>
                <w:sz w:val="22"/>
                <w:szCs w:val="22"/>
              </w:rPr>
            </w:pPr>
            <w:r>
              <w:rPr>
                <w:rFonts w:ascii="Calibri" w:hAnsi="Calibri" w:cs="Calibri"/>
                <w:sz w:val="22"/>
                <w:szCs w:val="22"/>
              </w:rPr>
              <w:lastRenderedPageBreak/>
              <w:t xml:space="preserve">• </w:t>
            </w:r>
            <w:r w:rsidR="00D40FE9">
              <w:rPr>
                <w:rFonts w:ascii="Calibri" w:hAnsi="Calibri" w:cs="Calibri"/>
                <w:sz w:val="22"/>
                <w:szCs w:val="22"/>
              </w:rPr>
              <w:t>For NLA to report on the data of all LACs, the data must first be collected and provided to the NLA Secretariat</w:t>
            </w:r>
            <w:r w:rsidR="00FE4443">
              <w:rPr>
                <w:rFonts w:ascii="Calibri" w:hAnsi="Calibri" w:cs="Calibri"/>
                <w:sz w:val="22"/>
                <w:szCs w:val="22"/>
              </w:rPr>
              <w:t>.</w:t>
            </w:r>
          </w:p>
          <w:p w:rsidR="001847C5" w:rsidRDefault="001847C5" w:rsidP="001847C5">
            <w:pPr>
              <w:rPr>
                <w:rFonts w:ascii="Calibri" w:hAnsi="Calibri" w:cs="Calibri"/>
                <w:sz w:val="22"/>
                <w:szCs w:val="22"/>
              </w:rPr>
            </w:pPr>
            <w:r>
              <w:rPr>
                <w:rFonts w:ascii="Calibri" w:hAnsi="Calibri" w:cs="Calibri"/>
                <w:sz w:val="22"/>
                <w:szCs w:val="22"/>
              </w:rPr>
              <w:t xml:space="preserve">• As a matter of principle NLA agrees it would be good to collect and report on this data.  </w:t>
            </w:r>
          </w:p>
          <w:p w:rsidR="00FE4443" w:rsidRPr="001847C5" w:rsidRDefault="002F7321" w:rsidP="002F7321">
            <w:pPr>
              <w:pStyle w:val="ListParagraph"/>
              <w:ind w:left="6"/>
              <w:rPr>
                <w:rFonts w:ascii="Calibri" w:hAnsi="Calibri" w:cs="Calibri"/>
                <w:sz w:val="22"/>
                <w:szCs w:val="22"/>
              </w:rPr>
            </w:pPr>
            <w:r>
              <w:rPr>
                <w:rFonts w:ascii="Calibri" w:hAnsi="Calibri" w:cs="Calibri"/>
                <w:sz w:val="22"/>
                <w:szCs w:val="22"/>
              </w:rPr>
              <w:lastRenderedPageBreak/>
              <w:t>•</w:t>
            </w:r>
            <w:r w:rsidR="00D40FE9" w:rsidRPr="001847C5">
              <w:rPr>
                <w:rFonts w:ascii="Calibri" w:hAnsi="Calibri" w:cs="Calibri"/>
                <w:sz w:val="22"/>
                <w:szCs w:val="22"/>
              </w:rPr>
              <w:t>For LACs to each collect and report on various sources of income support etc</w:t>
            </w:r>
            <w:r w:rsidR="009F1F1E">
              <w:rPr>
                <w:rFonts w:ascii="Calibri" w:hAnsi="Calibri" w:cs="Calibri"/>
                <w:sz w:val="22"/>
                <w:szCs w:val="22"/>
              </w:rPr>
              <w:t>.</w:t>
            </w:r>
            <w:r w:rsidR="00D40FE9" w:rsidRPr="001847C5">
              <w:rPr>
                <w:rFonts w:ascii="Calibri" w:hAnsi="Calibri" w:cs="Calibri"/>
                <w:sz w:val="22"/>
                <w:szCs w:val="22"/>
              </w:rPr>
              <w:t xml:space="preserve"> will require substantial systems adjustment with associated expense. </w:t>
            </w:r>
          </w:p>
          <w:p w:rsidR="00701214" w:rsidRDefault="00CE6539" w:rsidP="00701214">
            <w:pPr>
              <w:rPr>
                <w:rFonts w:ascii="Calibri" w:hAnsi="Calibri" w:cs="Calibri"/>
                <w:sz w:val="22"/>
                <w:szCs w:val="22"/>
              </w:rPr>
            </w:pPr>
            <w:r>
              <w:rPr>
                <w:rFonts w:ascii="Calibri" w:hAnsi="Calibri" w:cs="Calibri"/>
                <w:sz w:val="22"/>
                <w:szCs w:val="22"/>
              </w:rPr>
              <w:t>•</w:t>
            </w:r>
            <w:r w:rsidR="00FE4443">
              <w:rPr>
                <w:rFonts w:ascii="Calibri" w:hAnsi="Calibri" w:cs="Calibri"/>
                <w:sz w:val="22"/>
                <w:szCs w:val="22"/>
              </w:rPr>
              <w:t>In relation to reporting on the reason for the rejection of</w:t>
            </w:r>
            <w:r w:rsidR="00D40FE9">
              <w:rPr>
                <w:rFonts w:ascii="Calibri" w:hAnsi="Calibri" w:cs="Calibri"/>
                <w:sz w:val="22"/>
                <w:szCs w:val="22"/>
              </w:rPr>
              <w:t xml:space="preserve"> </w:t>
            </w:r>
            <w:r w:rsidR="00FE4443">
              <w:rPr>
                <w:rFonts w:ascii="Calibri" w:hAnsi="Calibri" w:cs="Calibri"/>
                <w:sz w:val="22"/>
                <w:szCs w:val="22"/>
              </w:rPr>
              <w:t>a grant of aid, electronic systems first apply a means test</w:t>
            </w:r>
            <w:r w:rsidR="00701214">
              <w:rPr>
                <w:rFonts w:ascii="Calibri" w:hAnsi="Calibri" w:cs="Calibri"/>
                <w:sz w:val="22"/>
                <w:szCs w:val="22"/>
              </w:rPr>
              <w:t>.  I</w:t>
            </w:r>
            <w:r w:rsidR="00FE4443">
              <w:rPr>
                <w:rFonts w:ascii="Calibri" w:hAnsi="Calibri" w:cs="Calibri"/>
                <w:sz w:val="22"/>
                <w:szCs w:val="22"/>
              </w:rPr>
              <w:t>f an application is rejected on the basis of means</w:t>
            </w:r>
            <w:r w:rsidR="00701214">
              <w:rPr>
                <w:rFonts w:ascii="Calibri" w:hAnsi="Calibri" w:cs="Calibri"/>
                <w:sz w:val="22"/>
                <w:szCs w:val="22"/>
              </w:rPr>
              <w:t xml:space="preserve">, </w:t>
            </w:r>
            <w:r w:rsidR="009F1F1E">
              <w:rPr>
                <w:rFonts w:ascii="Calibri" w:hAnsi="Calibri" w:cs="Calibri"/>
                <w:sz w:val="22"/>
                <w:szCs w:val="22"/>
              </w:rPr>
              <w:t>i</w:t>
            </w:r>
            <w:r w:rsidR="00D34836">
              <w:rPr>
                <w:rFonts w:ascii="Calibri" w:hAnsi="Calibri" w:cs="Calibri"/>
                <w:sz w:val="22"/>
                <w:szCs w:val="22"/>
              </w:rPr>
              <w:t>n some LAC</w:t>
            </w:r>
            <w:r w:rsidR="00701214">
              <w:rPr>
                <w:rFonts w:ascii="Calibri" w:hAnsi="Calibri" w:cs="Calibri"/>
                <w:sz w:val="22"/>
                <w:szCs w:val="22"/>
              </w:rPr>
              <w:t>s</w:t>
            </w:r>
            <w:r w:rsidR="00FE4443">
              <w:rPr>
                <w:rFonts w:ascii="Calibri" w:hAnsi="Calibri" w:cs="Calibri"/>
                <w:sz w:val="22"/>
                <w:szCs w:val="22"/>
              </w:rPr>
              <w:t xml:space="preserve"> the application does not </w:t>
            </w:r>
            <w:r w:rsidR="00701214">
              <w:rPr>
                <w:rFonts w:ascii="Calibri" w:hAnsi="Calibri" w:cs="Calibri"/>
                <w:sz w:val="22"/>
                <w:szCs w:val="22"/>
              </w:rPr>
              <w:t xml:space="preserve">generally then </w:t>
            </w:r>
            <w:r w:rsidR="00FE4443">
              <w:rPr>
                <w:rFonts w:ascii="Calibri" w:hAnsi="Calibri" w:cs="Calibri"/>
                <w:sz w:val="22"/>
                <w:szCs w:val="22"/>
              </w:rPr>
              <w:t>proceed fo</w:t>
            </w:r>
            <w:r w:rsidR="00856FB8">
              <w:rPr>
                <w:rFonts w:ascii="Calibri" w:hAnsi="Calibri" w:cs="Calibri"/>
                <w:sz w:val="22"/>
                <w:szCs w:val="22"/>
              </w:rPr>
              <w:t>r further eligibility testing</w:t>
            </w:r>
            <w:r w:rsidR="00701214">
              <w:rPr>
                <w:rFonts w:ascii="Calibri" w:hAnsi="Calibri" w:cs="Calibri"/>
                <w:sz w:val="22"/>
                <w:szCs w:val="22"/>
              </w:rPr>
              <w:t xml:space="preserve">, </w:t>
            </w:r>
            <w:r w:rsidR="00D34836">
              <w:rPr>
                <w:rFonts w:ascii="Calibri" w:hAnsi="Calibri" w:cs="Calibri"/>
                <w:sz w:val="22"/>
                <w:szCs w:val="22"/>
              </w:rPr>
              <w:t>other LAC</w:t>
            </w:r>
            <w:r w:rsidR="00701214">
              <w:rPr>
                <w:rFonts w:ascii="Calibri" w:hAnsi="Calibri" w:cs="Calibri"/>
                <w:sz w:val="22"/>
                <w:szCs w:val="22"/>
              </w:rPr>
              <w:t>s</w:t>
            </w:r>
            <w:r w:rsidR="009F1F1E">
              <w:rPr>
                <w:rFonts w:ascii="Calibri" w:hAnsi="Calibri" w:cs="Calibri"/>
                <w:sz w:val="22"/>
                <w:szCs w:val="22"/>
              </w:rPr>
              <w:t xml:space="preserve"> </w:t>
            </w:r>
            <w:r w:rsidR="00D34836">
              <w:rPr>
                <w:rFonts w:ascii="Calibri" w:hAnsi="Calibri" w:cs="Calibri"/>
                <w:sz w:val="22"/>
                <w:szCs w:val="22"/>
              </w:rPr>
              <w:t xml:space="preserve">will record </w:t>
            </w:r>
            <w:r w:rsidR="00701214">
              <w:rPr>
                <w:rFonts w:ascii="Calibri" w:hAnsi="Calibri" w:cs="Calibri"/>
                <w:sz w:val="22"/>
                <w:szCs w:val="22"/>
              </w:rPr>
              <w:t xml:space="preserve">other </w:t>
            </w:r>
            <w:r w:rsidR="00D34836">
              <w:rPr>
                <w:rFonts w:ascii="Calibri" w:hAnsi="Calibri" w:cs="Calibri"/>
                <w:sz w:val="22"/>
                <w:szCs w:val="22"/>
              </w:rPr>
              <w:t>reasons for refusal even if applicant is out on the means test</w:t>
            </w:r>
            <w:r w:rsidR="00856FB8">
              <w:rPr>
                <w:rFonts w:ascii="Calibri" w:hAnsi="Calibri" w:cs="Calibri"/>
                <w:sz w:val="22"/>
                <w:szCs w:val="22"/>
              </w:rPr>
              <w:t xml:space="preserve">. </w:t>
            </w:r>
          </w:p>
          <w:p w:rsidR="009F1F1E" w:rsidRDefault="00701214" w:rsidP="00701214">
            <w:pPr>
              <w:rPr>
                <w:rFonts w:ascii="Calibri" w:hAnsi="Calibri" w:cs="Calibri"/>
                <w:sz w:val="22"/>
                <w:szCs w:val="22"/>
              </w:rPr>
            </w:pPr>
            <w:r>
              <w:rPr>
                <w:rFonts w:ascii="Calibri" w:hAnsi="Calibri" w:cs="Calibri"/>
                <w:sz w:val="22"/>
                <w:szCs w:val="22"/>
              </w:rPr>
              <w:t>• E</w:t>
            </w:r>
            <w:r w:rsidR="00170E23">
              <w:rPr>
                <w:rFonts w:ascii="Calibri" w:hAnsi="Calibri" w:cs="Calibri"/>
                <w:sz w:val="22"/>
                <w:szCs w:val="22"/>
              </w:rPr>
              <w:t>ligibility tests in relation to means, merit and matter type are restricted and relaxed over time by the individual commis</w:t>
            </w:r>
            <w:r w:rsidR="00856FB8">
              <w:rPr>
                <w:rFonts w:ascii="Calibri" w:hAnsi="Calibri" w:cs="Calibri"/>
                <w:sz w:val="22"/>
                <w:szCs w:val="22"/>
              </w:rPr>
              <w:t xml:space="preserve">sions in order to meet budget. </w:t>
            </w:r>
            <w:r w:rsidR="001847C5">
              <w:rPr>
                <w:rFonts w:ascii="Calibri" w:hAnsi="Calibri" w:cs="Calibri"/>
                <w:sz w:val="22"/>
                <w:szCs w:val="22"/>
              </w:rPr>
              <w:t xml:space="preserve">  </w:t>
            </w:r>
          </w:p>
          <w:p w:rsidR="00701214" w:rsidRDefault="009F1F1E" w:rsidP="00701214">
            <w:pPr>
              <w:rPr>
                <w:rFonts w:ascii="Calibri" w:hAnsi="Calibri" w:cs="Calibri"/>
                <w:sz w:val="22"/>
                <w:szCs w:val="22"/>
              </w:rPr>
            </w:pPr>
            <w:r>
              <w:rPr>
                <w:rFonts w:ascii="Calibri" w:hAnsi="Calibri" w:cs="Calibri"/>
                <w:sz w:val="22"/>
                <w:szCs w:val="22"/>
              </w:rPr>
              <w:t xml:space="preserve">• </w:t>
            </w:r>
            <w:r w:rsidR="00701214">
              <w:rPr>
                <w:rFonts w:ascii="Calibri" w:hAnsi="Calibri" w:cs="Calibri"/>
                <w:sz w:val="22"/>
                <w:szCs w:val="22"/>
              </w:rPr>
              <w:t xml:space="preserve">Any data comparisons would require an understanding of </w:t>
            </w:r>
            <w:r>
              <w:rPr>
                <w:rFonts w:ascii="Calibri" w:hAnsi="Calibri" w:cs="Calibri"/>
                <w:sz w:val="22"/>
                <w:szCs w:val="22"/>
              </w:rPr>
              <w:t xml:space="preserve">these </w:t>
            </w:r>
            <w:r w:rsidR="00701214">
              <w:rPr>
                <w:rFonts w:ascii="Calibri" w:hAnsi="Calibri" w:cs="Calibri"/>
                <w:sz w:val="22"/>
                <w:szCs w:val="22"/>
              </w:rPr>
              <w:t>context</w:t>
            </w:r>
            <w:r>
              <w:rPr>
                <w:rFonts w:ascii="Calibri" w:hAnsi="Calibri" w:cs="Calibri"/>
                <w:sz w:val="22"/>
                <w:szCs w:val="22"/>
              </w:rPr>
              <w:t>s</w:t>
            </w:r>
            <w:r w:rsidR="00701214">
              <w:rPr>
                <w:rFonts w:ascii="Calibri" w:hAnsi="Calibri" w:cs="Calibri"/>
                <w:sz w:val="22"/>
                <w:szCs w:val="22"/>
              </w:rPr>
              <w:t>.</w:t>
            </w:r>
          </w:p>
          <w:p w:rsidR="00D40FE9" w:rsidRPr="00D40FE9" w:rsidRDefault="00701214" w:rsidP="00701214">
            <w:pPr>
              <w:rPr>
                <w:rFonts w:ascii="Calibri" w:hAnsi="Calibri" w:cs="Calibri"/>
                <w:sz w:val="22"/>
                <w:szCs w:val="22"/>
              </w:rPr>
            </w:pPr>
            <w:r>
              <w:rPr>
                <w:rFonts w:ascii="Calibri" w:hAnsi="Calibri" w:cs="Calibri"/>
                <w:sz w:val="22"/>
                <w:szCs w:val="22"/>
              </w:rPr>
              <w:t xml:space="preserve">• </w:t>
            </w:r>
            <w:r w:rsidR="00F5224C">
              <w:rPr>
                <w:rFonts w:ascii="Calibri" w:hAnsi="Calibri" w:cs="Calibri"/>
                <w:sz w:val="22"/>
                <w:szCs w:val="22"/>
              </w:rPr>
              <w:t>T</w:t>
            </w:r>
            <w:r w:rsidR="00170E23">
              <w:rPr>
                <w:rFonts w:ascii="Calibri" w:hAnsi="Calibri" w:cs="Calibri"/>
                <w:sz w:val="22"/>
                <w:szCs w:val="22"/>
              </w:rPr>
              <w:t xml:space="preserve">he </w:t>
            </w:r>
            <w:r w:rsidR="00F5224C">
              <w:rPr>
                <w:rFonts w:ascii="Calibri" w:hAnsi="Calibri" w:cs="Calibri"/>
                <w:sz w:val="22"/>
                <w:szCs w:val="22"/>
              </w:rPr>
              <w:t>cost of adjusting systems would be significant.</w:t>
            </w:r>
          </w:p>
        </w:tc>
      </w:tr>
      <w:tr w:rsidR="00BD7CEE" w:rsidRPr="00BD7CEE" w:rsidTr="00856FB8">
        <w:tc>
          <w:tcPr>
            <w:tcW w:w="3231" w:type="dxa"/>
          </w:tcPr>
          <w:p w:rsidR="00BD7CEE" w:rsidRPr="00BD7CEE" w:rsidRDefault="00BD7CEE" w:rsidP="00F0739A">
            <w:pPr>
              <w:rPr>
                <w:rFonts w:ascii="Calibri" w:hAnsi="Calibri" w:cs="Calibri"/>
                <w:sz w:val="22"/>
                <w:szCs w:val="22"/>
              </w:rPr>
            </w:pPr>
            <w:r w:rsidRPr="00BD7CEE">
              <w:rPr>
                <w:rFonts w:ascii="Calibri" w:hAnsi="Calibri" w:cs="Calibri"/>
                <w:sz w:val="22"/>
                <w:szCs w:val="22"/>
              </w:rPr>
              <w:lastRenderedPageBreak/>
              <w:t>• How effective are legal assistance providers over time?</w:t>
            </w:r>
          </w:p>
        </w:tc>
        <w:tc>
          <w:tcPr>
            <w:tcW w:w="2949" w:type="dxa"/>
          </w:tcPr>
          <w:p w:rsidR="00BD7CEE" w:rsidRPr="00BD7CEE" w:rsidRDefault="00BD7CEE" w:rsidP="004532B5">
            <w:pPr>
              <w:rPr>
                <w:rFonts w:ascii="Calibri" w:hAnsi="Calibri" w:cs="Calibri"/>
                <w:sz w:val="22"/>
                <w:szCs w:val="22"/>
              </w:rPr>
            </w:pPr>
            <w:r w:rsidRPr="00BD7CEE">
              <w:rPr>
                <w:rFonts w:ascii="Calibri" w:hAnsi="Calibri" w:cs="Calibri"/>
                <w:sz w:val="22"/>
                <w:szCs w:val="22"/>
              </w:rPr>
              <w:t xml:space="preserve">• Follow-up data on, or tracking of, users. </w:t>
            </w:r>
          </w:p>
        </w:tc>
        <w:tc>
          <w:tcPr>
            <w:tcW w:w="2948" w:type="dxa"/>
          </w:tcPr>
          <w:p w:rsidR="004532B5" w:rsidRDefault="00BD7CEE" w:rsidP="00BD7CEE">
            <w:pPr>
              <w:rPr>
                <w:rFonts w:ascii="Calibri" w:hAnsi="Calibri" w:cs="Calibri"/>
                <w:sz w:val="22"/>
                <w:szCs w:val="22"/>
              </w:rPr>
            </w:pPr>
            <w:r w:rsidRPr="00BD7CEE">
              <w:rPr>
                <w:rFonts w:ascii="Calibri" w:hAnsi="Calibri" w:cs="Calibri"/>
                <w:sz w:val="22"/>
                <w:szCs w:val="22"/>
              </w:rPr>
              <w:t xml:space="preserve">• Reported data only allows for ‘snapshots’. </w:t>
            </w:r>
          </w:p>
          <w:p w:rsidR="00BD7CEE" w:rsidRPr="00BD7CEE" w:rsidRDefault="00BD7CEE" w:rsidP="00F0739A">
            <w:pPr>
              <w:rPr>
                <w:rFonts w:ascii="Calibri" w:hAnsi="Calibri" w:cs="Calibri"/>
                <w:sz w:val="22"/>
                <w:szCs w:val="22"/>
              </w:rPr>
            </w:pPr>
            <w:r w:rsidRPr="00BD7CEE">
              <w:rPr>
                <w:rFonts w:ascii="Calibri" w:hAnsi="Calibri" w:cs="Calibri"/>
                <w:sz w:val="22"/>
                <w:szCs w:val="22"/>
              </w:rPr>
              <w:t>• Understanding the longitudinal effects of legal assistance provision requires</w:t>
            </w:r>
            <w:r w:rsidR="00F0739A">
              <w:rPr>
                <w:rFonts w:ascii="Calibri" w:hAnsi="Calibri" w:cs="Calibri"/>
                <w:sz w:val="22"/>
                <w:szCs w:val="22"/>
              </w:rPr>
              <w:t xml:space="preserve"> </w:t>
            </w:r>
            <w:r w:rsidRPr="00BD7CEE">
              <w:rPr>
                <w:rFonts w:ascii="Calibri" w:hAnsi="Calibri" w:cs="Calibri"/>
                <w:sz w:val="22"/>
                <w:szCs w:val="22"/>
              </w:rPr>
              <w:t>users to be tracked across time</w:t>
            </w:r>
            <w:r w:rsidR="00F0739A">
              <w:rPr>
                <w:rFonts w:ascii="Calibri" w:hAnsi="Calibri" w:cs="Calibri"/>
                <w:sz w:val="22"/>
                <w:szCs w:val="22"/>
              </w:rPr>
              <w:t>.</w:t>
            </w:r>
          </w:p>
        </w:tc>
        <w:tc>
          <w:tcPr>
            <w:tcW w:w="2949" w:type="dxa"/>
          </w:tcPr>
          <w:p w:rsidR="00BD7CEE" w:rsidRPr="00BD7CEE" w:rsidRDefault="00BD7CEE" w:rsidP="004532B5">
            <w:pPr>
              <w:rPr>
                <w:rFonts w:ascii="Calibri" w:hAnsi="Calibri" w:cs="Calibri"/>
                <w:sz w:val="22"/>
                <w:szCs w:val="22"/>
              </w:rPr>
            </w:pPr>
            <w:r w:rsidRPr="00BD7CEE">
              <w:rPr>
                <w:rFonts w:ascii="Calibri" w:hAnsi="Calibri" w:cs="Calibri"/>
                <w:sz w:val="22"/>
                <w:szCs w:val="22"/>
              </w:rPr>
              <w:t xml:space="preserve">• Providers should track outcomes through time. </w:t>
            </w:r>
          </w:p>
        </w:tc>
        <w:tc>
          <w:tcPr>
            <w:tcW w:w="3232" w:type="dxa"/>
          </w:tcPr>
          <w:p w:rsidR="009F1F1E" w:rsidRDefault="00856FB8" w:rsidP="00701214">
            <w:pPr>
              <w:rPr>
                <w:rFonts w:ascii="Calibri" w:hAnsi="Calibri" w:cs="Calibri"/>
                <w:sz w:val="22"/>
                <w:szCs w:val="22"/>
              </w:rPr>
            </w:pPr>
            <w:r>
              <w:rPr>
                <w:rFonts w:ascii="Calibri" w:hAnsi="Calibri" w:cs="Calibri"/>
                <w:sz w:val="22"/>
                <w:szCs w:val="22"/>
              </w:rPr>
              <w:t xml:space="preserve">• </w:t>
            </w:r>
            <w:r w:rsidR="00F5224C">
              <w:rPr>
                <w:rFonts w:ascii="Calibri" w:hAnsi="Calibri" w:cs="Calibri"/>
                <w:sz w:val="22"/>
                <w:szCs w:val="22"/>
              </w:rPr>
              <w:t xml:space="preserve">Depending on the definition of “outcomes” and </w:t>
            </w:r>
            <w:r>
              <w:rPr>
                <w:rFonts w:ascii="Calibri" w:hAnsi="Calibri" w:cs="Calibri"/>
                <w:sz w:val="22"/>
                <w:szCs w:val="22"/>
              </w:rPr>
              <w:t>the associated data collections</w:t>
            </w:r>
            <w:r w:rsidR="00F5224C">
              <w:rPr>
                <w:rFonts w:ascii="Calibri" w:hAnsi="Calibri" w:cs="Calibri"/>
                <w:sz w:val="22"/>
                <w:szCs w:val="22"/>
              </w:rPr>
              <w:t xml:space="preserve"> proposed, NLA is of the view that “outcomes data” is generally better </w:t>
            </w:r>
            <w:r>
              <w:rPr>
                <w:rFonts w:ascii="Calibri" w:hAnsi="Calibri" w:cs="Calibri"/>
                <w:sz w:val="22"/>
                <w:szCs w:val="22"/>
              </w:rPr>
              <w:t>obtained by survey or snapshot</w:t>
            </w:r>
            <w:r w:rsidR="00701214">
              <w:rPr>
                <w:rFonts w:ascii="Calibri" w:hAnsi="Calibri" w:cs="Calibri"/>
                <w:sz w:val="22"/>
                <w:szCs w:val="22"/>
              </w:rPr>
              <w:t xml:space="preserve">.  </w:t>
            </w:r>
            <w:r w:rsidR="009F1F1E">
              <w:rPr>
                <w:rFonts w:ascii="Calibri" w:hAnsi="Calibri" w:cs="Calibri"/>
                <w:sz w:val="22"/>
                <w:szCs w:val="22"/>
              </w:rPr>
              <w:t>Please also s</w:t>
            </w:r>
            <w:r w:rsidR="00701214">
              <w:rPr>
                <w:rFonts w:ascii="Calibri" w:hAnsi="Calibri" w:cs="Calibri"/>
                <w:sz w:val="22"/>
                <w:szCs w:val="22"/>
              </w:rPr>
              <w:t xml:space="preserve">ee NLA comments on draft report. </w:t>
            </w:r>
          </w:p>
          <w:p w:rsidR="00BD7CEE" w:rsidRPr="00F5224C" w:rsidRDefault="00701214" w:rsidP="00701214">
            <w:pPr>
              <w:rPr>
                <w:rFonts w:ascii="Calibri" w:hAnsi="Calibri" w:cs="Calibri"/>
                <w:sz w:val="22"/>
                <w:szCs w:val="22"/>
              </w:rPr>
            </w:pPr>
            <w:r>
              <w:rPr>
                <w:rFonts w:ascii="Calibri" w:hAnsi="Calibri" w:cs="Calibri"/>
                <w:sz w:val="22"/>
                <w:szCs w:val="22"/>
              </w:rPr>
              <w:lastRenderedPageBreak/>
              <w:t>•</w:t>
            </w:r>
            <w:r w:rsidR="00F5224C">
              <w:rPr>
                <w:rFonts w:ascii="Calibri" w:hAnsi="Calibri" w:cs="Calibri"/>
                <w:sz w:val="22"/>
                <w:szCs w:val="22"/>
              </w:rPr>
              <w:t>Adjustments to data recording systems and training are also costly.</w:t>
            </w:r>
          </w:p>
        </w:tc>
      </w:tr>
      <w:tr w:rsidR="00BD7CEE" w:rsidRPr="00BD7CEE" w:rsidTr="00856FB8">
        <w:tc>
          <w:tcPr>
            <w:tcW w:w="3231" w:type="dxa"/>
          </w:tcPr>
          <w:p w:rsidR="00BD7CEE" w:rsidRDefault="00BD7CEE" w:rsidP="00BD7CEE">
            <w:pPr>
              <w:rPr>
                <w:rFonts w:ascii="Calibri" w:hAnsi="Calibri" w:cs="Calibri"/>
                <w:sz w:val="22"/>
                <w:szCs w:val="22"/>
              </w:rPr>
            </w:pPr>
            <w:r w:rsidRPr="00BD7CEE">
              <w:rPr>
                <w:rFonts w:ascii="Calibri" w:hAnsi="Calibri" w:cs="Calibri"/>
                <w:sz w:val="22"/>
                <w:szCs w:val="22"/>
              </w:rPr>
              <w:lastRenderedPageBreak/>
              <w:t xml:space="preserve">• What are the characteristics of intensive users of legal assistance? What factors contribute to the multiplicity of their legal problems? </w:t>
            </w:r>
          </w:p>
          <w:p w:rsidR="00BD7CEE" w:rsidRDefault="00BD7CEE" w:rsidP="00BD7CEE">
            <w:pPr>
              <w:rPr>
                <w:rFonts w:ascii="Calibri" w:hAnsi="Calibri" w:cs="Calibri"/>
                <w:sz w:val="22"/>
                <w:szCs w:val="22"/>
              </w:rPr>
            </w:pPr>
            <w:r w:rsidRPr="00BD7CEE">
              <w:rPr>
                <w:rFonts w:ascii="Calibri" w:hAnsi="Calibri" w:cs="Calibri"/>
                <w:sz w:val="22"/>
                <w:szCs w:val="22"/>
              </w:rPr>
              <w:t>• What share of legal assistance resources are allocated to assisting intensive</w:t>
            </w:r>
            <w:r w:rsidR="00F0739A">
              <w:rPr>
                <w:rFonts w:ascii="Calibri" w:hAnsi="Calibri" w:cs="Calibri"/>
                <w:sz w:val="22"/>
                <w:szCs w:val="22"/>
              </w:rPr>
              <w:t xml:space="preserve"> </w:t>
            </w:r>
            <w:r w:rsidRPr="00BD7CEE">
              <w:rPr>
                <w:rFonts w:ascii="Calibri" w:hAnsi="Calibri" w:cs="Calibri"/>
                <w:sz w:val="22"/>
                <w:szCs w:val="22"/>
              </w:rPr>
              <w:t xml:space="preserve">users? </w:t>
            </w:r>
          </w:p>
          <w:p w:rsidR="00BD7CEE" w:rsidRPr="00BD7CEE" w:rsidRDefault="00BD7CEE" w:rsidP="00F0739A">
            <w:pPr>
              <w:rPr>
                <w:rFonts w:ascii="Calibri" w:hAnsi="Calibri" w:cs="Calibri"/>
                <w:sz w:val="22"/>
                <w:szCs w:val="22"/>
              </w:rPr>
            </w:pPr>
            <w:r w:rsidRPr="00BD7CEE">
              <w:rPr>
                <w:rFonts w:ascii="Calibri" w:hAnsi="Calibri" w:cs="Calibri"/>
                <w:sz w:val="22"/>
                <w:szCs w:val="22"/>
              </w:rPr>
              <w:t xml:space="preserve">• How effective and efficient are legal assistance services targeted at intensive users? </w:t>
            </w:r>
          </w:p>
        </w:tc>
        <w:tc>
          <w:tcPr>
            <w:tcW w:w="2949" w:type="dxa"/>
          </w:tcPr>
          <w:p w:rsidR="00BD7CEE" w:rsidRDefault="00BD7CEE" w:rsidP="00BD7CEE">
            <w:pPr>
              <w:rPr>
                <w:rFonts w:ascii="Calibri" w:hAnsi="Calibri" w:cs="Calibri"/>
                <w:sz w:val="22"/>
                <w:szCs w:val="22"/>
              </w:rPr>
            </w:pPr>
            <w:r w:rsidRPr="00BD7CEE">
              <w:rPr>
                <w:rFonts w:ascii="Calibri" w:hAnsi="Calibri" w:cs="Calibri"/>
                <w:sz w:val="22"/>
                <w:szCs w:val="22"/>
              </w:rPr>
              <w:t xml:space="preserve">• Extensive demographic data (see results of Legal Aid NSW study on intensive users). </w:t>
            </w:r>
          </w:p>
          <w:p w:rsidR="00BD7CEE" w:rsidRDefault="00BD7CEE" w:rsidP="00BD7CEE">
            <w:pPr>
              <w:rPr>
                <w:rFonts w:ascii="Calibri" w:hAnsi="Calibri" w:cs="Calibri"/>
                <w:sz w:val="22"/>
                <w:szCs w:val="22"/>
              </w:rPr>
            </w:pPr>
            <w:r w:rsidRPr="00BD7CEE">
              <w:rPr>
                <w:rFonts w:ascii="Calibri" w:hAnsi="Calibri" w:cs="Calibri"/>
                <w:sz w:val="22"/>
                <w:szCs w:val="22"/>
              </w:rPr>
              <w:t xml:space="preserve">• Longitudinal data on intensive users including frequency of use, nature of legal problems, and actions sought. </w:t>
            </w:r>
          </w:p>
          <w:p w:rsidR="00BD7CEE" w:rsidRDefault="00BD7CEE" w:rsidP="00BD7CEE">
            <w:pPr>
              <w:rPr>
                <w:rFonts w:ascii="Calibri" w:hAnsi="Calibri" w:cs="Calibri"/>
                <w:sz w:val="22"/>
                <w:szCs w:val="22"/>
              </w:rPr>
            </w:pPr>
            <w:r w:rsidRPr="00BD7CEE">
              <w:rPr>
                <w:rFonts w:ascii="Calibri" w:hAnsi="Calibri" w:cs="Calibri"/>
                <w:sz w:val="22"/>
                <w:szCs w:val="22"/>
              </w:rPr>
              <w:t xml:space="preserve">• Financial and time costs of providing services to </w:t>
            </w:r>
            <w:r w:rsidR="004532B5">
              <w:rPr>
                <w:rFonts w:ascii="Calibri" w:hAnsi="Calibri" w:cs="Calibri"/>
                <w:sz w:val="22"/>
                <w:szCs w:val="22"/>
              </w:rPr>
              <w:t>i</w:t>
            </w:r>
            <w:r w:rsidRPr="00BD7CEE">
              <w:rPr>
                <w:rFonts w:ascii="Calibri" w:hAnsi="Calibri" w:cs="Calibri"/>
                <w:sz w:val="22"/>
                <w:szCs w:val="22"/>
              </w:rPr>
              <w:t xml:space="preserve">dentified </w:t>
            </w:r>
            <w:r w:rsidR="00F0739A">
              <w:rPr>
                <w:rFonts w:ascii="Calibri" w:hAnsi="Calibri" w:cs="Calibri"/>
                <w:sz w:val="22"/>
                <w:szCs w:val="22"/>
              </w:rPr>
              <w:t xml:space="preserve">intensive users. </w:t>
            </w:r>
          </w:p>
          <w:p w:rsidR="00BD7CEE" w:rsidRPr="00BD7CEE" w:rsidRDefault="00BD7CEE" w:rsidP="00BD7CEE">
            <w:pPr>
              <w:rPr>
                <w:rFonts w:ascii="Calibri" w:hAnsi="Calibri" w:cs="Calibri"/>
                <w:sz w:val="22"/>
                <w:szCs w:val="22"/>
              </w:rPr>
            </w:pPr>
          </w:p>
        </w:tc>
        <w:tc>
          <w:tcPr>
            <w:tcW w:w="2948" w:type="dxa"/>
          </w:tcPr>
          <w:p w:rsidR="00BD7CEE" w:rsidRDefault="00BD7CEE" w:rsidP="00BD7CEE">
            <w:pPr>
              <w:rPr>
                <w:rFonts w:ascii="Calibri" w:hAnsi="Calibri" w:cs="Calibri"/>
                <w:sz w:val="22"/>
                <w:szCs w:val="22"/>
              </w:rPr>
            </w:pPr>
            <w:r w:rsidRPr="00BD7CEE">
              <w:rPr>
                <w:rFonts w:ascii="Calibri" w:hAnsi="Calibri" w:cs="Calibri"/>
                <w:sz w:val="22"/>
                <w:szCs w:val="22"/>
              </w:rPr>
              <w:t xml:space="preserve">• Demographic data reported by some legal assistance providers is incomplete and inconsistent — particularly in relation to Indigenous and disability status. NSW and Vic have detailed data on web. It is unclear whether other jurisdictions collect similar information but do not report it publicly. </w:t>
            </w:r>
          </w:p>
          <w:p w:rsidR="00BD7CEE" w:rsidRDefault="00BD7CEE" w:rsidP="00BD7CEE">
            <w:pPr>
              <w:rPr>
                <w:rFonts w:ascii="Calibri" w:hAnsi="Calibri" w:cs="Calibri"/>
                <w:sz w:val="22"/>
                <w:szCs w:val="22"/>
              </w:rPr>
            </w:pPr>
            <w:r w:rsidRPr="00BD7CEE">
              <w:rPr>
                <w:rFonts w:ascii="Calibri" w:hAnsi="Calibri" w:cs="Calibri"/>
                <w:sz w:val="22"/>
                <w:szCs w:val="22"/>
              </w:rPr>
              <w:t xml:space="preserve">• There is a lack of information on whether interventions have been successful in achieving resolution of legal problems and whether intensive users return to seek legal assistance with related legal problems. </w:t>
            </w:r>
          </w:p>
          <w:p w:rsidR="00BD7CEE" w:rsidRDefault="00BD7CEE" w:rsidP="00BD7CEE">
            <w:pPr>
              <w:rPr>
                <w:rFonts w:ascii="Calibri" w:hAnsi="Calibri" w:cs="Calibri"/>
                <w:sz w:val="22"/>
                <w:szCs w:val="22"/>
              </w:rPr>
            </w:pPr>
            <w:r w:rsidRPr="00BD7CEE">
              <w:rPr>
                <w:rFonts w:ascii="Calibri" w:hAnsi="Calibri" w:cs="Calibri"/>
                <w:sz w:val="22"/>
                <w:szCs w:val="22"/>
              </w:rPr>
              <w:t xml:space="preserve">• Spending on intensive users, relative to total cost of legal assistance is not collected. </w:t>
            </w:r>
          </w:p>
          <w:p w:rsidR="00BD7CEE" w:rsidRPr="00BD7CEE" w:rsidRDefault="00BD7CEE" w:rsidP="00BD7CEE">
            <w:pPr>
              <w:rPr>
                <w:rFonts w:ascii="Calibri" w:hAnsi="Calibri" w:cs="Calibri"/>
                <w:sz w:val="22"/>
                <w:szCs w:val="22"/>
              </w:rPr>
            </w:pPr>
            <w:r w:rsidRPr="00BD7CEE">
              <w:rPr>
                <w:rFonts w:ascii="Calibri" w:hAnsi="Calibri" w:cs="Calibri"/>
                <w:sz w:val="22"/>
                <w:szCs w:val="22"/>
              </w:rPr>
              <w:t xml:space="preserve">• No agreed definition of intensive users. </w:t>
            </w:r>
          </w:p>
        </w:tc>
        <w:tc>
          <w:tcPr>
            <w:tcW w:w="2949" w:type="dxa"/>
          </w:tcPr>
          <w:p w:rsidR="004532B5" w:rsidRDefault="00BD7CEE" w:rsidP="00BD7CEE">
            <w:pPr>
              <w:rPr>
                <w:rFonts w:ascii="Calibri" w:hAnsi="Calibri" w:cs="Calibri"/>
                <w:sz w:val="22"/>
                <w:szCs w:val="22"/>
              </w:rPr>
            </w:pPr>
            <w:r w:rsidRPr="00BD7CEE">
              <w:rPr>
                <w:rFonts w:ascii="Calibri" w:hAnsi="Calibri" w:cs="Calibri"/>
                <w:sz w:val="22"/>
                <w:szCs w:val="22"/>
              </w:rPr>
              <w:t>• Adopt a common definition of intensive users, identify the characteristics of this group and measure the share of services they use.</w:t>
            </w:r>
          </w:p>
          <w:p w:rsidR="00BD7CEE" w:rsidRDefault="00BD7CEE" w:rsidP="00BD7CEE">
            <w:pPr>
              <w:rPr>
                <w:rFonts w:ascii="Calibri" w:hAnsi="Calibri" w:cs="Calibri"/>
                <w:sz w:val="22"/>
                <w:szCs w:val="22"/>
              </w:rPr>
            </w:pPr>
            <w:r w:rsidRPr="00BD7CEE">
              <w:rPr>
                <w:rFonts w:ascii="Calibri" w:hAnsi="Calibri" w:cs="Calibri"/>
                <w:sz w:val="22"/>
                <w:szCs w:val="22"/>
              </w:rPr>
              <w:t xml:space="preserve">• Track outcomes for these users over the medium (as well as short) term. </w:t>
            </w:r>
          </w:p>
          <w:p w:rsidR="00BD7CEE" w:rsidRPr="00BD7CEE" w:rsidRDefault="00BD7CEE" w:rsidP="00F0739A">
            <w:pPr>
              <w:rPr>
                <w:rFonts w:ascii="Calibri" w:hAnsi="Calibri" w:cs="Calibri"/>
                <w:sz w:val="22"/>
                <w:szCs w:val="22"/>
              </w:rPr>
            </w:pPr>
            <w:r w:rsidRPr="00BD7CEE">
              <w:rPr>
                <w:rFonts w:ascii="Calibri" w:hAnsi="Calibri" w:cs="Calibri"/>
                <w:sz w:val="22"/>
                <w:szCs w:val="22"/>
              </w:rPr>
              <w:t xml:space="preserve">• Identify risk factors for poor outcomes over the medium term. </w:t>
            </w:r>
          </w:p>
        </w:tc>
        <w:tc>
          <w:tcPr>
            <w:tcW w:w="3232" w:type="dxa"/>
          </w:tcPr>
          <w:p w:rsidR="00BD7CEE" w:rsidRPr="00084727" w:rsidRDefault="00856FB8" w:rsidP="00856FB8">
            <w:pPr>
              <w:rPr>
                <w:rFonts w:ascii="Calibri" w:hAnsi="Calibri" w:cs="Calibri"/>
                <w:sz w:val="22"/>
                <w:szCs w:val="22"/>
              </w:rPr>
            </w:pPr>
            <w:r>
              <w:rPr>
                <w:rFonts w:ascii="Calibri" w:hAnsi="Calibri" w:cs="Calibri"/>
                <w:sz w:val="22"/>
                <w:szCs w:val="22"/>
              </w:rPr>
              <w:t xml:space="preserve">• </w:t>
            </w:r>
            <w:r w:rsidR="00084727">
              <w:rPr>
                <w:rFonts w:ascii="Calibri" w:hAnsi="Calibri" w:cs="Calibri"/>
                <w:sz w:val="22"/>
                <w:szCs w:val="22"/>
              </w:rPr>
              <w:t>See comments above.</w:t>
            </w:r>
          </w:p>
        </w:tc>
      </w:tr>
    </w:tbl>
    <w:p w:rsidR="00BD7CEE" w:rsidRPr="00BD7CEE" w:rsidRDefault="00BD7CEE">
      <w:pPr>
        <w:rPr>
          <w:rFonts w:ascii="Calibri" w:hAnsi="Calibri" w:cs="Calibri"/>
        </w:rPr>
      </w:pPr>
    </w:p>
    <w:p w:rsidR="00BD7CEE" w:rsidRPr="00BD7CEE" w:rsidRDefault="00BD7CEE">
      <w:pPr>
        <w:rPr>
          <w:rFonts w:ascii="Calibri" w:hAnsi="Calibri" w:cs="Calibri"/>
        </w:rPr>
      </w:pPr>
    </w:p>
    <w:sectPr w:rsidR="00BD7CEE" w:rsidRPr="00BD7CEE" w:rsidSect="00D47EFF">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568" w:right="851" w:bottom="99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23" w:rsidRDefault="00B45123" w:rsidP="00B45123">
      <w:r>
        <w:separator/>
      </w:r>
    </w:p>
  </w:endnote>
  <w:endnote w:type="continuationSeparator" w:id="0">
    <w:p w:rsidR="00B45123" w:rsidRDefault="00B45123" w:rsidP="00B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23" w:rsidRDefault="00B45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23" w:rsidRDefault="00B45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23" w:rsidRDefault="00B45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23" w:rsidRDefault="00B45123" w:rsidP="00B45123">
      <w:r>
        <w:separator/>
      </w:r>
    </w:p>
  </w:footnote>
  <w:footnote w:type="continuationSeparator" w:id="0">
    <w:p w:rsidR="00B45123" w:rsidRDefault="00B45123" w:rsidP="00B45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23" w:rsidRDefault="00B45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23" w:rsidRDefault="00B451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123" w:rsidRDefault="00B45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293"/>
    <w:multiLevelType w:val="hybridMultilevel"/>
    <w:tmpl w:val="F6723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1D762F"/>
    <w:multiLevelType w:val="hybridMultilevel"/>
    <w:tmpl w:val="DD083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EF0061"/>
    <w:multiLevelType w:val="hybridMultilevel"/>
    <w:tmpl w:val="89840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E395F19"/>
    <w:multiLevelType w:val="hybridMultilevel"/>
    <w:tmpl w:val="3E48E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Sharp">
    <w15:presenceInfo w15:providerId="AD" w15:userId="S-1-5-21-1550213064-1102842940-1232828436-1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EE"/>
    <w:rsid w:val="00000F0F"/>
    <w:rsid w:val="00032ABF"/>
    <w:rsid w:val="00033047"/>
    <w:rsid w:val="000342B3"/>
    <w:rsid w:val="00040924"/>
    <w:rsid w:val="00044BFA"/>
    <w:rsid w:val="000512D1"/>
    <w:rsid w:val="0005244A"/>
    <w:rsid w:val="00066E3F"/>
    <w:rsid w:val="00084727"/>
    <w:rsid w:val="000867F9"/>
    <w:rsid w:val="000969F4"/>
    <w:rsid w:val="00096D23"/>
    <w:rsid w:val="00097179"/>
    <w:rsid w:val="00097E97"/>
    <w:rsid w:val="000B1982"/>
    <w:rsid w:val="000C692B"/>
    <w:rsid w:val="000F1335"/>
    <w:rsid w:val="000F75A3"/>
    <w:rsid w:val="00170E23"/>
    <w:rsid w:val="001847C5"/>
    <w:rsid w:val="0019644E"/>
    <w:rsid w:val="001A00CF"/>
    <w:rsid w:val="001B5CC6"/>
    <w:rsid w:val="001D3776"/>
    <w:rsid w:val="001F1C19"/>
    <w:rsid w:val="001F258D"/>
    <w:rsid w:val="0021262F"/>
    <w:rsid w:val="00224CE6"/>
    <w:rsid w:val="002372A5"/>
    <w:rsid w:val="00241C93"/>
    <w:rsid w:val="00247902"/>
    <w:rsid w:val="002C1F16"/>
    <w:rsid w:val="002F7321"/>
    <w:rsid w:val="00301FD8"/>
    <w:rsid w:val="00311BF2"/>
    <w:rsid w:val="00324410"/>
    <w:rsid w:val="003348C2"/>
    <w:rsid w:val="00343E84"/>
    <w:rsid w:val="00344A7B"/>
    <w:rsid w:val="00366D6C"/>
    <w:rsid w:val="003739D2"/>
    <w:rsid w:val="003A2125"/>
    <w:rsid w:val="003A3981"/>
    <w:rsid w:val="003C7462"/>
    <w:rsid w:val="00416787"/>
    <w:rsid w:val="004532B5"/>
    <w:rsid w:val="00476392"/>
    <w:rsid w:val="00490D6C"/>
    <w:rsid w:val="004911C9"/>
    <w:rsid w:val="0049277B"/>
    <w:rsid w:val="004966D4"/>
    <w:rsid w:val="004B3F2E"/>
    <w:rsid w:val="004C00C5"/>
    <w:rsid w:val="004C3B91"/>
    <w:rsid w:val="004D2D13"/>
    <w:rsid w:val="004D6090"/>
    <w:rsid w:val="00502051"/>
    <w:rsid w:val="005270C2"/>
    <w:rsid w:val="00542E51"/>
    <w:rsid w:val="00556076"/>
    <w:rsid w:val="00566A49"/>
    <w:rsid w:val="00571518"/>
    <w:rsid w:val="00582A95"/>
    <w:rsid w:val="005870FD"/>
    <w:rsid w:val="00593EA7"/>
    <w:rsid w:val="005C4BDE"/>
    <w:rsid w:val="005D6CF0"/>
    <w:rsid w:val="005E77F3"/>
    <w:rsid w:val="005F0BD2"/>
    <w:rsid w:val="00600503"/>
    <w:rsid w:val="00607F39"/>
    <w:rsid w:val="00611310"/>
    <w:rsid w:val="0061779B"/>
    <w:rsid w:val="00655F4F"/>
    <w:rsid w:val="00662C72"/>
    <w:rsid w:val="00673D13"/>
    <w:rsid w:val="00684B35"/>
    <w:rsid w:val="00687AD7"/>
    <w:rsid w:val="0069408C"/>
    <w:rsid w:val="006B0283"/>
    <w:rsid w:val="006C2BCA"/>
    <w:rsid w:val="006E6792"/>
    <w:rsid w:val="00701214"/>
    <w:rsid w:val="00711853"/>
    <w:rsid w:val="00725D6B"/>
    <w:rsid w:val="00747B49"/>
    <w:rsid w:val="007567B1"/>
    <w:rsid w:val="00762B47"/>
    <w:rsid w:val="00762CCF"/>
    <w:rsid w:val="00774FA4"/>
    <w:rsid w:val="0078069F"/>
    <w:rsid w:val="00782BD4"/>
    <w:rsid w:val="007967A7"/>
    <w:rsid w:val="007B3ED7"/>
    <w:rsid w:val="007D2FDC"/>
    <w:rsid w:val="008057DA"/>
    <w:rsid w:val="00856FB8"/>
    <w:rsid w:val="00857D8A"/>
    <w:rsid w:val="008634A7"/>
    <w:rsid w:val="008716A0"/>
    <w:rsid w:val="0088436F"/>
    <w:rsid w:val="0088615D"/>
    <w:rsid w:val="00894AE2"/>
    <w:rsid w:val="00896DAE"/>
    <w:rsid w:val="008A2F11"/>
    <w:rsid w:val="008A7799"/>
    <w:rsid w:val="008C51D4"/>
    <w:rsid w:val="008D5105"/>
    <w:rsid w:val="008D6F18"/>
    <w:rsid w:val="008E048A"/>
    <w:rsid w:val="008E177E"/>
    <w:rsid w:val="008E73A5"/>
    <w:rsid w:val="008F14B3"/>
    <w:rsid w:val="008F45D1"/>
    <w:rsid w:val="00903C37"/>
    <w:rsid w:val="00904D91"/>
    <w:rsid w:val="00943B9C"/>
    <w:rsid w:val="00944A5C"/>
    <w:rsid w:val="009600AC"/>
    <w:rsid w:val="00970036"/>
    <w:rsid w:val="00997CF2"/>
    <w:rsid w:val="009B2E43"/>
    <w:rsid w:val="009C6D5B"/>
    <w:rsid w:val="009D2644"/>
    <w:rsid w:val="009E7369"/>
    <w:rsid w:val="009F1F1E"/>
    <w:rsid w:val="00A44F38"/>
    <w:rsid w:val="00A45E15"/>
    <w:rsid w:val="00A87B8D"/>
    <w:rsid w:val="00A97130"/>
    <w:rsid w:val="00AA7C57"/>
    <w:rsid w:val="00AB4176"/>
    <w:rsid w:val="00B15E22"/>
    <w:rsid w:val="00B219EB"/>
    <w:rsid w:val="00B45123"/>
    <w:rsid w:val="00B5624D"/>
    <w:rsid w:val="00BA03BD"/>
    <w:rsid w:val="00BC3981"/>
    <w:rsid w:val="00BD3172"/>
    <w:rsid w:val="00BD6727"/>
    <w:rsid w:val="00BD7CEE"/>
    <w:rsid w:val="00BE36AC"/>
    <w:rsid w:val="00BF33DD"/>
    <w:rsid w:val="00C04AC8"/>
    <w:rsid w:val="00C07B9B"/>
    <w:rsid w:val="00C24634"/>
    <w:rsid w:val="00C42DC4"/>
    <w:rsid w:val="00C60275"/>
    <w:rsid w:val="00C716B8"/>
    <w:rsid w:val="00C734FC"/>
    <w:rsid w:val="00CE6539"/>
    <w:rsid w:val="00D34836"/>
    <w:rsid w:val="00D40FE9"/>
    <w:rsid w:val="00D47EFF"/>
    <w:rsid w:val="00D72F3A"/>
    <w:rsid w:val="00D73B21"/>
    <w:rsid w:val="00D81A82"/>
    <w:rsid w:val="00DA0AEA"/>
    <w:rsid w:val="00DC51C5"/>
    <w:rsid w:val="00DD1AED"/>
    <w:rsid w:val="00DF6AB2"/>
    <w:rsid w:val="00E0054E"/>
    <w:rsid w:val="00E153F4"/>
    <w:rsid w:val="00E15DF4"/>
    <w:rsid w:val="00E53930"/>
    <w:rsid w:val="00E55A9E"/>
    <w:rsid w:val="00E62C6E"/>
    <w:rsid w:val="00E705A2"/>
    <w:rsid w:val="00E7622F"/>
    <w:rsid w:val="00E81EA0"/>
    <w:rsid w:val="00EA7699"/>
    <w:rsid w:val="00EB4D47"/>
    <w:rsid w:val="00EB7AE0"/>
    <w:rsid w:val="00EC3FEA"/>
    <w:rsid w:val="00ED0B4E"/>
    <w:rsid w:val="00EE1D6F"/>
    <w:rsid w:val="00EE29D8"/>
    <w:rsid w:val="00EE7EC9"/>
    <w:rsid w:val="00F0739A"/>
    <w:rsid w:val="00F1195A"/>
    <w:rsid w:val="00F2667A"/>
    <w:rsid w:val="00F5224C"/>
    <w:rsid w:val="00F63EDF"/>
    <w:rsid w:val="00F7410B"/>
    <w:rsid w:val="00F835F7"/>
    <w:rsid w:val="00FA7A43"/>
    <w:rsid w:val="00FB1453"/>
    <w:rsid w:val="00FB2177"/>
    <w:rsid w:val="00FC6BD7"/>
    <w:rsid w:val="00FE0EE5"/>
    <w:rsid w:val="00FE4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CEE"/>
    <w:pPr>
      <w:ind w:left="720"/>
      <w:contextualSpacing/>
    </w:pPr>
  </w:style>
  <w:style w:type="paragraph" w:styleId="BalloonText">
    <w:name w:val="Balloon Text"/>
    <w:basedOn w:val="Normal"/>
    <w:link w:val="BalloonTextChar"/>
    <w:semiHidden/>
    <w:unhideWhenUsed/>
    <w:rsid w:val="00D34836"/>
    <w:rPr>
      <w:rFonts w:ascii="Segoe UI" w:hAnsi="Segoe UI" w:cs="Segoe UI"/>
      <w:sz w:val="18"/>
      <w:szCs w:val="18"/>
    </w:rPr>
  </w:style>
  <w:style w:type="character" w:customStyle="1" w:styleId="BalloonTextChar">
    <w:name w:val="Balloon Text Char"/>
    <w:basedOn w:val="DefaultParagraphFont"/>
    <w:link w:val="BalloonText"/>
    <w:semiHidden/>
    <w:rsid w:val="00D34836"/>
    <w:rPr>
      <w:rFonts w:ascii="Segoe UI" w:hAnsi="Segoe UI" w:cs="Segoe UI"/>
      <w:sz w:val="18"/>
      <w:szCs w:val="18"/>
    </w:rPr>
  </w:style>
  <w:style w:type="paragraph" w:styleId="Header">
    <w:name w:val="header"/>
    <w:basedOn w:val="Normal"/>
    <w:link w:val="HeaderChar"/>
    <w:unhideWhenUsed/>
    <w:rsid w:val="00B45123"/>
    <w:pPr>
      <w:tabs>
        <w:tab w:val="center" w:pos="4513"/>
        <w:tab w:val="right" w:pos="9026"/>
      </w:tabs>
    </w:pPr>
  </w:style>
  <w:style w:type="character" w:customStyle="1" w:styleId="HeaderChar">
    <w:name w:val="Header Char"/>
    <w:basedOn w:val="DefaultParagraphFont"/>
    <w:link w:val="Header"/>
    <w:rsid w:val="00B45123"/>
    <w:rPr>
      <w:rFonts w:ascii="Arial" w:hAnsi="Arial"/>
      <w:sz w:val="24"/>
      <w:szCs w:val="24"/>
    </w:rPr>
  </w:style>
  <w:style w:type="paragraph" w:styleId="Footer">
    <w:name w:val="footer"/>
    <w:basedOn w:val="Normal"/>
    <w:link w:val="FooterChar"/>
    <w:unhideWhenUsed/>
    <w:rsid w:val="00B45123"/>
    <w:pPr>
      <w:tabs>
        <w:tab w:val="center" w:pos="4513"/>
        <w:tab w:val="right" w:pos="9026"/>
      </w:tabs>
    </w:pPr>
  </w:style>
  <w:style w:type="character" w:customStyle="1" w:styleId="FooterChar">
    <w:name w:val="Footer Char"/>
    <w:basedOn w:val="DefaultParagraphFont"/>
    <w:link w:val="Footer"/>
    <w:rsid w:val="00B45123"/>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CEE"/>
    <w:pPr>
      <w:ind w:left="720"/>
      <w:contextualSpacing/>
    </w:pPr>
  </w:style>
  <w:style w:type="paragraph" w:styleId="BalloonText">
    <w:name w:val="Balloon Text"/>
    <w:basedOn w:val="Normal"/>
    <w:link w:val="BalloonTextChar"/>
    <w:semiHidden/>
    <w:unhideWhenUsed/>
    <w:rsid w:val="00D34836"/>
    <w:rPr>
      <w:rFonts w:ascii="Segoe UI" w:hAnsi="Segoe UI" w:cs="Segoe UI"/>
      <w:sz w:val="18"/>
      <w:szCs w:val="18"/>
    </w:rPr>
  </w:style>
  <w:style w:type="character" w:customStyle="1" w:styleId="BalloonTextChar">
    <w:name w:val="Balloon Text Char"/>
    <w:basedOn w:val="DefaultParagraphFont"/>
    <w:link w:val="BalloonText"/>
    <w:semiHidden/>
    <w:rsid w:val="00D34836"/>
    <w:rPr>
      <w:rFonts w:ascii="Segoe UI" w:hAnsi="Segoe UI" w:cs="Segoe UI"/>
      <w:sz w:val="18"/>
      <w:szCs w:val="18"/>
    </w:rPr>
  </w:style>
  <w:style w:type="paragraph" w:styleId="Header">
    <w:name w:val="header"/>
    <w:basedOn w:val="Normal"/>
    <w:link w:val="HeaderChar"/>
    <w:unhideWhenUsed/>
    <w:rsid w:val="00B45123"/>
    <w:pPr>
      <w:tabs>
        <w:tab w:val="center" w:pos="4513"/>
        <w:tab w:val="right" w:pos="9026"/>
      </w:tabs>
    </w:pPr>
  </w:style>
  <w:style w:type="character" w:customStyle="1" w:styleId="HeaderChar">
    <w:name w:val="Header Char"/>
    <w:basedOn w:val="DefaultParagraphFont"/>
    <w:link w:val="Header"/>
    <w:rsid w:val="00B45123"/>
    <w:rPr>
      <w:rFonts w:ascii="Arial" w:hAnsi="Arial"/>
      <w:sz w:val="24"/>
      <w:szCs w:val="24"/>
    </w:rPr>
  </w:style>
  <w:style w:type="paragraph" w:styleId="Footer">
    <w:name w:val="footer"/>
    <w:basedOn w:val="Normal"/>
    <w:link w:val="FooterChar"/>
    <w:unhideWhenUsed/>
    <w:rsid w:val="00B45123"/>
    <w:pPr>
      <w:tabs>
        <w:tab w:val="center" w:pos="4513"/>
        <w:tab w:val="right" w:pos="9026"/>
      </w:tabs>
    </w:pPr>
  </w:style>
  <w:style w:type="character" w:customStyle="1" w:styleId="FooterChar">
    <w:name w:val="Footer Char"/>
    <w:basedOn w:val="DefaultParagraphFont"/>
    <w:link w:val="Footer"/>
    <w:rsid w:val="00B4512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5113</Characters>
  <Application>Microsoft Office Word</Application>
  <DocSecurity>0</DocSecurity>
  <Lines>255</Lines>
  <Paragraphs>69</Paragraphs>
  <ScaleCrop>false</ScaleCrop>
  <HeadingPairs>
    <vt:vector size="2" baseType="variant">
      <vt:variant>
        <vt:lpstr>Title</vt:lpstr>
      </vt:variant>
      <vt:variant>
        <vt:i4>1</vt:i4>
      </vt:variant>
    </vt:vector>
  </HeadingPairs>
  <TitlesOfParts>
    <vt:vector size="1" baseType="lpstr">
      <vt:lpstr>Submission DR228 - Attachment - National Legal Aid - Access to Justice Arrangements - Public inquiry</vt:lpstr>
    </vt:vector>
  </TitlesOfParts>
  <Company>National Legal Aid</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DR228 - Attachment - National Legal Aid - Access to Justice Arrangements - Public inquiry</dc:title>
  <dc:creator>National Legal Aid</dc:creator>
  <cp:lastModifiedBy>Productivity Commission</cp:lastModifiedBy>
  <cp:revision>2</cp:revision>
  <dcterms:created xsi:type="dcterms:W3CDTF">2014-06-05T03:12:00Z</dcterms:created>
  <dcterms:modified xsi:type="dcterms:W3CDTF">2014-06-05T03:12:00Z</dcterms:modified>
</cp:coreProperties>
</file>